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仿宋" w:hAnsi="仿宋" w:eastAsia="仿宋" w:cs="仿宋"/>
          <w:b/>
          <w:bCs/>
          <w:color w:val="auto"/>
          <w:sz w:val="44"/>
          <w:szCs w:val="44"/>
          <w:highlight w:val="none"/>
        </w:rPr>
      </w:pPr>
      <w:r>
        <w:rPr>
          <w:rFonts w:hint="eastAsia" w:ascii="仿宋" w:hAnsi="仿宋" w:eastAsia="仿宋" w:cs="仿宋"/>
          <w:color w:val="auto"/>
        </w:rPr>
        <w:drawing>
          <wp:anchor distT="0" distB="0" distL="114300" distR="114300" simplePos="0" relativeHeight="251659264" behindDoc="0" locked="0" layoutInCell="1" allowOverlap="1">
            <wp:simplePos x="0" y="0"/>
            <wp:positionH relativeFrom="column">
              <wp:posOffset>5284470</wp:posOffset>
            </wp:positionH>
            <wp:positionV relativeFrom="paragraph">
              <wp:posOffset>96520</wp:posOffset>
            </wp:positionV>
            <wp:extent cx="517525" cy="677545"/>
            <wp:effectExtent l="0" t="0" r="15875" b="825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517525" cy="67754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720" w:lineRule="auto"/>
        <w:ind w:right="-319" w:rightChars="-152"/>
        <w:jc w:val="center"/>
        <w:textAlignment w:val="auto"/>
        <w:rPr>
          <w:rFonts w:hint="eastAsia" w:ascii="仿宋" w:hAnsi="仿宋" w:eastAsia="仿宋" w:cs="仿宋"/>
          <w:b/>
          <w:bCs/>
          <w:color w:val="auto"/>
          <w:sz w:val="44"/>
          <w:szCs w:val="44"/>
          <w:highlight w:val="none"/>
          <w:lang w:eastAsia="zh-CN"/>
        </w:rPr>
      </w:pPr>
    </w:p>
    <w:p>
      <w:pPr>
        <w:spacing w:line="660" w:lineRule="exac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克拉玛依市白碱滩区（克拉玛依高新技术产业开发区）金龙镇学校改善提升工程</w:t>
      </w:r>
    </w:p>
    <w:p>
      <w:pPr>
        <w:spacing w:line="6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竞争性磋商文件</w:t>
      </w:r>
    </w:p>
    <w:p>
      <w:pPr>
        <w:spacing w:line="660" w:lineRule="exact"/>
        <w:jc w:val="center"/>
        <w:rPr>
          <w:rFonts w:hint="eastAsia" w:ascii="仿宋" w:hAnsi="仿宋" w:eastAsia="仿宋" w:cs="仿宋"/>
          <w:color w:val="auto"/>
          <w:sz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项目</w:t>
      </w:r>
      <w:r>
        <w:rPr>
          <w:rFonts w:hint="eastAsia" w:ascii="仿宋" w:hAnsi="仿宋" w:eastAsia="仿宋" w:cs="仿宋"/>
          <w:b/>
          <w:color w:val="auto"/>
          <w:sz w:val="28"/>
          <w:szCs w:val="28"/>
          <w:highlight w:val="none"/>
        </w:rPr>
        <w:t>编号：</w:t>
      </w:r>
      <w:r>
        <w:rPr>
          <w:rFonts w:hint="eastAsia" w:ascii="仿宋" w:hAnsi="仿宋" w:eastAsia="仿宋" w:cs="仿宋"/>
          <w:b/>
          <w:bCs/>
          <w:color w:val="auto"/>
          <w:w w:val="95"/>
          <w:sz w:val="30"/>
          <w:szCs w:val="30"/>
        </w:rPr>
        <w:t>QZX【</w:t>
      </w:r>
      <w:r>
        <w:rPr>
          <w:rFonts w:hint="eastAsia" w:ascii="仿宋" w:hAnsi="仿宋" w:eastAsia="仿宋" w:cs="仿宋"/>
          <w:b/>
          <w:bCs/>
          <w:color w:val="auto"/>
          <w:w w:val="95"/>
          <w:sz w:val="30"/>
          <w:szCs w:val="30"/>
          <w:lang w:val="en-US" w:eastAsia="zh-CN"/>
        </w:rPr>
        <w:t>ZC</w:t>
      </w:r>
      <w:r>
        <w:rPr>
          <w:rFonts w:hint="eastAsia" w:ascii="仿宋" w:hAnsi="仿宋" w:eastAsia="仿宋" w:cs="仿宋"/>
          <w:b/>
          <w:bCs/>
          <w:color w:val="auto"/>
          <w:w w:val="95"/>
          <w:sz w:val="30"/>
          <w:szCs w:val="30"/>
        </w:rPr>
        <w:t>】202</w:t>
      </w:r>
      <w:r>
        <w:rPr>
          <w:rFonts w:hint="eastAsia" w:ascii="仿宋" w:hAnsi="仿宋" w:eastAsia="仿宋" w:cs="仿宋"/>
          <w:b/>
          <w:bCs/>
          <w:color w:val="auto"/>
          <w:w w:val="95"/>
          <w:sz w:val="30"/>
          <w:szCs w:val="30"/>
          <w:lang w:val="en-US" w:eastAsia="zh-CN"/>
        </w:rPr>
        <w:t>3</w:t>
      </w:r>
      <w:r>
        <w:rPr>
          <w:rFonts w:hint="eastAsia" w:ascii="仿宋" w:hAnsi="仿宋" w:eastAsia="仿宋" w:cs="仿宋"/>
          <w:b/>
          <w:bCs/>
          <w:color w:val="auto"/>
          <w:w w:val="95"/>
          <w:sz w:val="30"/>
          <w:szCs w:val="30"/>
        </w:rPr>
        <w:t>-</w:t>
      </w:r>
      <w:r>
        <w:rPr>
          <w:rFonts w:hint="eastAsia" w:ascii="仿宋" w:hAnsi="仿宋" w:eastAsia="仿宋" w:cs="仿宋"/>
          <w:b/>
          <w:bCs/>
          <w:color w:val="auto"/>
          <w:w w:val="95"/>
          <w:sz w:val="30"/>
          <w:szCs w:val="30"/>
          <w:lang w:val="en-US" w:eastAsia="zh-CN"/>
        </w:rPr>
        <w:t>15</w:t>
      </w:r>
      <w:r>
        <w:rPr>
          <w:rFonts w:hint="eastAsia" w:ascii="仿宋" w:hAnsi="仿宋" w:eastAsia="仿宋" w:cs="仿宋"/>
          <w:b/>
          <w:color w:val="auto"/>
          <w:sz w:val="28"/>
          <w:szCs w:val="28"/>
          <w:highlight w:val="none"/>
        </w:rPr>
        <w:t>）</w:t>
      </w:r>
    </w:p>
    <w:p>
      <w:pPr>
        <w:pStyle w:val="12"/>
        <w:rPr>
          <w:rFonts w:hint="eastAsia" w:ascii="仿宋" w:hAnsi="仿宋" w:eastAsia="仿宋" w:cs="仿宋"/>
          <w:b/>
          <w:bCs/>
          <w:color w:val="auto"/>
          <w:sz w:val="32"/>
          <w:szCs w:val="32"/>
          <w:highlight w:val="none"/>
        </w:rPr>
      </w:pPr>
    </w:p>
    <w:p>
      <w:pPr>
        <w:pStyle w:val="12"/>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pStyle w:val="12"/>
        <w:rPr>
          <w:rFonts w:hint="eastAsia" w:ascii="仿宋" w:hAnsi="仿宋" w:eastAsia="仿宋" w:cs="仿宋"/>
          <w:color w:val="auto"/>
          <w:highlight w:val="none"/>
        </w:rPr>
      </w:pPr>
    </w:p>
    <w:p>
      <w:pPr>
        <w:spacing w:line="480" w:lineRule="auto"/>
        <w:ind w:firstLine="1124" w:firstLineChars="4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采 购 人：克拉玛依市白碱滩区（克拉玛依高新技术产业开发区）</w:t>
      </w:r>
    </w:p>
    <w:p>
      <w:pPr>
        <w:spacing w:line="480" w:lineRule="auto"/>
        <w:ind w:firstLine="2530" w:firstLineChars="9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教育局</w:t>
      </w:r>
    </w:p>
    <w:p>
      <w:pPr>
        <w:spacing w:line="480" w:lineRule="auto"/>
        <w:ind w:firstLine="1124" w:firstLineChars="4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联 系 人：</w:t>
      </w:r>
      <w:r>
        <w:rPr>
          <w:rFonts w:hint="eastAsia" w:ascii="仿宋" w:hAnsi="仿宋" w:eastAsia="仿宋" w:cs="仿宋"/>
          <w:b/>
          <w:color w:val="auto"/>
          <w:sz w:val="30"/>
          <w:szCs w:val="30"/>
          <w:highlight w:val="none"/>
          <w:lang w:val="en-US" w:eastAsia="zh-CN"/>
        </w:rPr>
        <w:t>陈文杰    0990-6982312</w:t>
      </w:r>
    </w:p>
    <w:p>
      <w:pPr>
        <w:spacing w:line="360" w:lineRule="auto"/>
        <w:ind w:firstLine="1124" w:firstLineChars="400"/>
        <w:rPr>
          <w:rFonts w:hint="eastAsia" w:ascii="仿宋" w:hAnsi="仿宋" w:eastAsia="仿宋" w:cs="仿宋"/>
          <w:b/>
          <w:color w:val="auto"/>
          <w:sz w:val="28"/>
          <w:szCs w:val="28"/>
        </w:rPr>
      </w:pPr>
      <w:r>
        <w:rPr>
          <w:rFonts w:hint="eastAsia" w:ascii="仿宋" w:hAnsi="仿宋" w:eastAsia="仿宋" w:cs="仿宋"/>
          <w:b/>
          <w:bCs/>
          <w:color w:val="auto"/>
          <w:sz w:val="28"/>
          <w:szCs w:val="28"/>
          <w:highlight w:val="none"/>
        </w:rPr>
        <w:t>代理机构：</w:t>
      </w:r>
      <w:r>
        <w:rPr>
          <w:rFonts w:hint="eastAsia" w:ascii="仿宋" w:hAnsi="仿宋" w:eastAsia="仿宋" w:cs="仿宋"/>
          <w:b/>
          <w:color w:val="auto"/>
          <w:sz w:val="28"/>
          <w:szCs w:val="28"/>
        </w:rPr>
        <w:t xml:space="preserve">新疆秦之玺工程咨询有限责任公司 </w:t>
      </w:r>
    </w:p>
    <w:p>
      <w:pPr>
        <w:spacing w:line="480" w:lineRule="auto"/>
        <w:ind w:firstLine="1124" w:firstLineChars="400"/>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rPr>
        <w:t>联 系 人：巴冀彩  0990-6222280</w:t>
      </w:r>
    </w:p>
    <w:p>
      <w:pPr>
        <w:spacing w:line="480" w:lineRule="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 xml:space="preserve">        </w:t>
      </w:r>
    </w:p>
    <w:p>
      <w:pPr>
        <w:spacing w:line="360" w:lineRule="auto"/>
        <w:jc w:val="center"/>
        <w:rPr>
          <w:rFonts w:hint="eastAsia" w:ascii="仿宋" w:hAnsi="仿宋" w:eastAsia="仿宋" w:cs="仿宋"/>
          <w:b/>
          <w:color w:val="auto"/>
          <w:sz w:val="28"/>
          <w:szCs w:val="28"/>
          <w:highlight w:val="none"/>
        </w:rPr>
      </w:pPr>
    </w:p>
    <w:p>
      <w:pPr>
        <w:pStyle w:val="12"/>
        <w:rPr>
          <w:rFonts w:hint="eastAsia" w:ascii="仿宋" w:hAnsi="仿宋" w:eastAsia="仿宋" w:cs="仿宋"/>
          <w:color w:val="auto"/>
          <w:highlight w:val="none"/>
        </w:rPr>
      </w:pPr>
    </w:p>
    <w:p>
      <w:pPr>
        <w:overflowPunct w:val="0"/>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二零二</w:t>
      </w:r>
      <w:r>
        <w:rPr>
          <w:rFonts w:hint="eastAsia" w:ascii="仿宋" w:hAnsi="仿宋" w:eastAsia="仿宋" w:cs="仿宋"/>
          <w:b/>
          <w:color w:val="auto"/>
          <w:sz w:val="32"/>
          <w:szCs w:val="32"/>
          <w:lang w:val="en-US" w:eastAsia="zh-CN"/>
        </w:rPr>
        <w:t>三</w:t>
      </w:r>
      <w:r>
        <w:rPr>
          <w:rFonts w:hint="eastAsia" w:ascii="仿宋" w:hAnsi="仿宋" w:eastAsia="仿宋" w:cs="仿宋"/>
          <w:b/>
          <w:color w:val="auto"/>
          <w:sz w:val="32"/>
          <w:szCs w:val="32"/>
        </w:rPr>
        <w:t>年</w:t>
      </w:r>
      <w:r>
        <w:rPr>
          <w:rFonts w:hint="eastAsia" w:ascii="仿宋" w:hAnsi="仿宋" w:eastAsia="仿宋" w:cs="仿宋"/>
          <w:b/>
          <w:color w:val="auto"/>
          <w:sz w:val="32"/>
          <w:szCs w:val="32"/>
          <w:lang w:val="en-US" w:eastAsia="zh-CN"/>
        </w:rPr>
        <w:t>六</w:t>
      </w:r>
      <w:r>
        <w:rPr>
          <w:rFonts w:hint="eastAsia" w:ascii="仿宋" w:hAnsi="仿宋" w:eastAsia="仿宋" w:cs="仿宋"/>
          <w:b/>
          <w:color w:val="auto"/>
          <w:sz w:val="32"/>
          <w:szCs w:val="32"/>
        </w:rPr>
        <w:t>月</w:t>
      </w:r>
    </w:p>
    <w:p>
      <w:pPr>
        <w:pageBreakBefore/>
        <w:spacing w:line="500" w:lineRule="exact"/>
        <w:jc w:val="center"/>
        <w:rPr>
          <w:rFonts w:hint="eastAsia" w:ascii="仿宋" w:hAnsi="仿宋" w:eastAsia="仿宋" w:cs="仿宋"/>
          <w:b/>
          <w:bCs/>
          <w:color w:val="auto"/>
          <w:sz w:val="32"/>
          <w:szCs w:val="32"/>
          <w:highlight w:val="none"/>
        </w:rPr>
        <w:sectPr>
          <w:headerReference r:id="rId3" w:type="default"/>
          <w:footerReference r:id="rId4" w:type="default"/>
          <w:pgSz w:w="11906" w:h="16838"/>
          <w:pgMar w:top="1440" w:right="1080" w:bottom="1440" w:left="1080" w:header="851" w:footer="992" w:gutter="0"/>
          <w:pgNumType w:fmt="numberInDash"/>
          <w:cols w:space="425" w:num="1"/>
          <w:docGrid w:type="lines" w:linePitch="312" w:charSpace="0"/>
        </w:sectPr>
      </w:pPr>
    </w:p>
    <w:p>
      <w:pPr>
        <w:pageBreakBefore/>
        <w:spacing w:line="500" w:lineRule="exact"/>
        <w:jc w:val="center"/>
        <w:rPr>
          <w:rFonts w:hint="eastAsia" w:ascii="仿宋" w:hAnsi="仿宋" w:eastAsia="仿宋" w:cs="仿宋"/>
          <w:b/>
          <w:color w:val="auto"/>
          <w:kern w:val="2"/>
          <w:sz w:val="24"/>
          <w:szCs w:val="24"/>
          <w:highlight w:val="none"/>
        </w:rPr>
      </w:pPr>
      <w:r>
        <w:rPr>
          <w:rFonts w:hint="eastAsia" w:ascii="仿宋" w:hAnsi="仿宋" w:eastAsia="仿宋" w:cs="仿宋"/>
          <w:b/>
          <w:bCs/>
          <w:color w:val="auto"/>
          <w:sz w:val="32"/>
          <w:szCs w:val="32"/>
          <w:highlight w:val="none"/>
        </w:rPr>
        <w:t>总  目  录</w:t>
      </w:r>
    </w:p>
    <w:p>
      <w:pPr>
        <w:pStyle w:val="31"/>
        <w:tabs>
          <w:tab w:val="right" w:leader="dot" w:pos="9185"/>
        </w:tabs>
        <w:spacing w:line="600" w:lineRule="auto"/>
        <w:rPr>
          <w:rFonts w:hint="eastAsia" w:ascii="仿宋" w:hAnsi="仿宋" w:eastAsia="仿宋" w:cs="仿宋"/>
          <w:b/>
          <w:color w:val="auto"/>
          <w:kern w:val="2"/>
          <w:sz w:val="28"/>
          <w:szCs w:val="28"/>
          <w:highlight w:val="none"/>
          <w:lang w:eastAsia="zh-CN"/>
        </w:rPr>
      </w:pPr>
      <w:r>
        <w:rPr>
          <w:rFonts w:hint="eastAsia" w:ascii="仿宋" w:hAnsi="仿宋" w:eastAsia="仿宋" w:cs="仿宋"/>
          <w:b/>
          <w:color w:val="auto"/>
          <w:kern w:val="2"/>
          <w:sz w:val="28"/>
          <w:szCs w:val="28"/>
          <w:highlight w:val="none"/>
        </w:rPr>
        <w:t>第一章、竞争性磋商公告</w:t>
      </w:r>
    </w:p>
    <w:p>
      <w:pPr>
        <w:pStyle w:val="31"/>
        <w:tabs>
          <w:tab w:val="right" w:leader="dot" w:pos="9185"/>
        </w:tabs>
        <w:spacing w:line="600" w:lineRule="auto"/>
        <w:rPr>
          <w:rFonts w:hint="eastAsia" w:ascii="仿宋" w:hAnsi="仿宋" w:eastAsia="仿宋" w:cs="仿宋"/>
          <w:b/>
          <w:color w:val="auto"/>
          <w:kern w:val="2"/>
          <w:sz w:val="28"/>
          <w:szCs w:val="28"/>
          <w:highlight w:val="none"/>
          <w:lang w:eastAsia="zh-CN"/>
        </w:rPr>
      </w:pPr>
      <w:r>
        <w:rPr>
          <w:rFonts w:hint="eastAsia" w:ascii="仿宋" w:hAnsi="仿宋" w:eastAsia="仿宋" w:cs="仿宋"/>
          <w:b/>
          <w:color w:val="auto"/>
          <w:kern w:val="2"/>
          <w:sz w:val="28"/>
          <w:szCs w:val="28"/>
          <w:highlight w:val="none"/>
        </w:rPr>
        <w:t>第二章、供应商须知</w:t>
      </w:r>
    </w:p>
    <w:p>
      <w:pPr>
        <w:pStyle w:val="31"/>
        <w:tabs>
          <w:tab w:val="right" w:leader="dot" w:pos="9185"/>
        </w:tabs>
        <w:spacing w:line="600" w:lineRule="auto"/>
        <w:rPr>
          <w:rFonts w:hint="eastAsia" w:ascii="仿宋" w:hAnsi="仿宋" w:eastAsia="仿宋" w:cs="仿宋"/>
          <w:b/>
          <w:color w:val="auto"/>
          <w:kern w:val="2"/>
          <w:sz w:val="28"/>
          <w:szCs w:val="28"/>
          <w:highlight w:val="none"/>
          <w:lang w:eastAsia="zh-CN"/>
        </w:rPr>
      </w:pPr>
      <w:r>
        <w:rPr>
          <w:rFonts w:hint="eastAsia" w:ascii="仿宋" w:hAnsi="仿宋" w:eastAsia="仿宋" w:cs="仿宋"/>
          <w:b/>
          <w:color w:val="auto"/>
          <w:kern w:val="2"/>
          <w:sz w:val="28"/>
          <w:szCs w:val="28"/>
          <w:highlight w:val="none"/>
        </w:rPr>
        <w:t>第三章、项目采购需求</w:t>
      </w:r>
    </w:p>
    <w:p>
      <w:pPr>
        <w:pStyle w:val="31"/>
        <w:tabs>
          <w:tab w:val="right" w:leader="dot" w:pos="9185"/>
        </w:tabs>
        <w:spacing w:line="600" w:lineRule="auto"/>
        <w:rPr>
          <w:rFonts w:hint="eastAsia" w:ascii="仿宋" w:hAnsi="仿宋" w:eastAsia="仿宋" w:cs="仿宋"/>
          <w:b/>
          <w:color w:val="auto"/>
          <w:kern w:val="2"/>
          <w:sz w:val="28"/>
          <w:szCs w:val="28"/>
          <w:highlight w:val="none"/>
          <w:lang w:val="en-US" w:eastAsia="zh-CN"/>
        </w:rPr>
      </w:pPr>
      <w:r>
        <w:rPr>
          <w:rFonts w:hint="eastAsia" w:ascii="仿宋" w:hAnsi="仿宋" w:eastAsia="仿宋" w:cs="仿宋"/>
          <w:b/>
          <w:color w:val="auto"/>
          <w:kern w:val="2"/>
          <w:sz w:val="28"/>
          <w:szCs w:val="28"/>
          <w:highlight w:val="none"/>
        </w:rPr>
        <w:t>第四章、合同协议书</w:t>
      </w:r>
    </w:p>
    <w:p>
      <w:pPr>
        <w:pStyle w:val="31"/>
        <w:tabs>
          <w:tab w:val="right" w:leader="dot" w:pos="9185"/>
        </w:tabs>
        <w:spacing w:line="600" w:lineRule="auto"/>
        <w:rPr>
          <w:rFonts w:hint="eastAsia" w:ascii="仿宋" w:hAnsi="仿宋" w:eastAsia="仿宋" w:cs="仿宋"/>
          <w:b/>
          <w:color w:val="auto"/>
          <w:kern w:val="2"/>
          <w:sz w:val="28"/>
          <w:szCs w:val="28"/>
          <w:highlight w:val="none"/>
          <w:lang w:val="en-US" w:eastAsia="zh-CN"/>
        </w:rPr>
      </w:pPr>
      <w:r>
        <w:rPr>
          <w:rFonts w:hint="eastAsia" w:ascii="仿宋" w:hAnsi="仿宋" w:eastAsia="仿宋" w:cs="仿宋"/>
          <w:b/>
          <w:color w:val="auto"/>
          <w:kern w:val="2"/>
          <w:sz w:val="28"/>
          <w:szCs w:val="28"/>
          <w:highlight w:val="none"/>
        </w:rPr>
        <w:t>第五章、</w:t>
      </w:r>
      <w:r>
        <w:rPr>
          <w:rFonts w:hint="eastAsia" w:ascii="仿宋" w:hAnsi="仿宋" w:eastAsia="仿宋" w:cs="仿宋"/>
          <w:b/>
          <w:color w:val="auto"/>
          <w:kern w:val="2"/>
          <w:sz w:val="28"/>
          <w:szCs w:val="28"/>
          <w:highlight w:val="none"/>
          <w:lang w:eastAsia="zh-CN"/>
        </w:rPr>
        <w:t>投标文件</w:t>
      </w:r>
      <w:r>
        <w:rPr>
          <w:rFonts w:hint="eastAsia" w:ascii="仿宋" w:hAnsi="仿宋" w:eastAsia="仿宋" w:cs="仿宋"/>
          <w:b/>
          <w:color w:val="auto"/>
          <w:kern w:val="2"/>
          <w:sz w:val="28"/>
          <w:szCs w:val="28"/>
          <w:highlight w:val="none"/>
        </w:rPr>
        <w:t>格式</w:t>
      </w:r>
    </w:p>
    <w:p>
      <w:pPr>
        <w:pStyle w:val="31"/>
        <w:tabs>
          <w:tab w:val="right" w:leader="dot" w:pos="9185"/>
        </w:tabs>
        <w:spacing w:line="600" w:lineRule="auto"/>
        <w:rPr>
          <w:rFonts w:hint="eastAsia" w:ascii="仿宋" w:hAnsi="仿宋" w:eastAsia="仿宋" w:cs="仿宋"/>
          <w:b/>
          <w:color w:val="auto"/>
          <w:kern w:val="2"/>
          <w:sz w:val="28"/>
          <w:szCs w:val="28"/>
          <w:highlight w:val="none"/>
          <w:lang w:val="en-US" w:eastAsia="zh-CN"/>
        </w:rPr>
      </w:pPr>
      <w:r>
        <w:rPr>
          <w:rFonts w:hint="eastAsia" w:ascii="仿宋" w:hAnsi="仿宋" w:eastAsia="仿宋" w:cs="仿宋"/>
          <w:b/>
          <w:color w:val="auto"/>
          <w:kern w:val="2"/>
          <w:sz w:val="28"/>
          <w:szCs w:val="28"/>
          <w:highlight w:val="none"/>
        </w:rPr>
        <w:t>第六章、评标标准（综合评</w:t>
      </w:r>
      <w:r>
        <w:rPr>
          <w:rFonts w:hint="eastAsia" w:ascii="仿宋" w:hAnsi="仿宋" w:eastAsia="仿宋" w:cs="仿宋"/>
          <w:b/>
          <w:color w:val="auto"/>
          <w:kern w:val="2"/>
          <w:sz w:val="28"/>
          <w:szCs w:val="28"/>
          <w:highlight w:val="none"/>
          <w:lang w:eastAsia="zh-CN"/>
        </w:rPr>
        <w:t>分</w:t>
      </w:r>
      <w:r>
        <w:rPr>
          <w:rFonts w:hint="eastAsia" w:ascii="仿宋" w:hAnsi="仿宋" w:eastAsia="仿宋" w:cs="仿宋"/>
          <w:b/>
          <w:color w:val="auto"/>
          <w:kern w:val="2"/>
          <w:sz w:val="28"/>
          <w:szCs w:val="28"/>
          <w:highlight w:val="none"/>
        </w:rPr>
        <w:t>法）</w:t>
      </w:r>
    </w:p>
    <w:p>
      <w:pPr>
        <w:spacing w:line="312" w:lineRule="auto"/>
        <w:jc w:val="center"/>
        <w:rPr>
          <w:rFonts w:hint="eastAsia" w:ascii="仿宋" w:hAnsi="仿宋" w:eastAsia="仿宋" w:cs="仿宋"/>
          <w:b/>
          <w:color w:val="auto"/>
          <w:sz w:val="30"/>
          <w:szCs w:val="30"/>
          <w:highlight w:val="none"/>
        </w:rPr>
      </w:pPr>
    </w:p>
    <w:p>
      <w:pPr>
        <w:spacing w:line="312" w:lineRule="auto"/>
        <w:jc w:val="center"/>
        <w:rPr>
          <w:rFonts w:hint="eastAsia" w:ascii="仿宋" w:hAnsi="仿宋" w:eastAsia="仿宋" w:cs="仿宋"/>
          <w:b/>
          <w:color w:val="auto"/>
          <w:sz w:val="30"/>
          <w:szCs w:val="30"/>
          <w:highlight w:val="none"/>
        </w:rPr>
      </w:pPr>
    </w:p>
    <w:p>
      <w:pPr>
        <w:spacing w:line="312" w:lineRule="auto"/>
        <w:jc w:val="center"/>
        <w:rPr>
          <w:rFonts w:hint="eastAsia" w:ascii="仿宋" w:hAnsi="仿宋" w:eastAsia="仿宋" w:cs="仿宋"/>
          <w:b/>
          <w:color w:val="auto"/>
          <w:sz w:val="30"/>
          <w:szCs w:val="30"/>
          <w:highlight w:val="none"/>
        </w:rPr>
      </w:pPr>
    </w:p>
    <w:p>
      <w:pPr>
        <w:spacing w:line="312" w:lineRule="auto"/>
        <w:jc w:val="center"/>
        <w:rPr>
          <w:rFonts w:hint="eastAsia" w:ascii="仿宋" w:hAnsi="仿宋" w:eastAsia="仿宋" w:cs="仿宋"/>
          <w:b/>
          <w:color w:val="auto"/>
          <w:sz w:val="30"/>
          <w:szCs w:val="30"/>
          <w:highlight w:val="none"/>
        </w:rPr>
      </w:pPr>
    </w:p>
    <w:p>
      <w:pPr>
        <w:spacing w:line="312" w:lineRule="auto"/>
        <w:jc w:val="center"/>
        <w:rPr>
          <w:rFonts w:hint="eastAsia" w:ascii="仿宋" w:hAnsi="仿宋" w:eastAsia="仿宋" w:cs="仿宋"/>
          <w:b/>
          <w:color w:val="auto"/>
          <w:sz w:val="30"/>
          <w:szCs w:val="30"/>
          <w:highlight w:val="none"/>
        </w:rPr>
      </w:pPr>
    </w:p>
    <w:p>
      <w:pPr>
        <w:spacing w:line="312" w:lineRule="auto"/>
        <w:jc w:val="center"/>
        <w:rPr>
          <w:rFonts w:hint="eastAsia" w:ascii="仿宋" w:hAnsi="仿宋" w:eastAsia="仿宋" w:cs="仿宋"/>
          <w:b/>
          <w:color w:val="auto"/>
          <w:sz w:val="30"/>
          <w:szCs w:val="30"/>
          <w:highlight w:val="none"/>
        </w:rPr>
      </w:pPr>
    </w:p>
    <w:p>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pPr>
        <w:numPr>
          <w:ilvl w:val="0"/>
          <w:numId w:val="2"/>
        </w:numPr>
        <w:tabs>
          <w:tab w:val="left" w:pos="1230"/>
          <w:tab w:val="left" w:pos="1275"/>
        </w:tabs>
        <w:spacing w:line="3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竞争性磋商</w:t>
      </w:r>
      <w:r>
        <w:rPr>
          <w:rFonts w:hint="eastAsia" w:ascii="仿宋" w:hAnsi="仿宋" w:eastAsia="仿宋" w:cs="仿宋"/>
          <w:b/>
          <w:bCs/>
          <w:color w:val="auto"/>
          <w:sz w:val="32"/>
          <w:szCs w:val="32"/>
          <w:highlight w:val="none"/>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rPr>
      </w:pPr>
      <w:bookmarkStart w:id="0" w:name="_Toc28359012"/>
      <w:bookmarkStart w:id="1" w:name="_Toc35393798"/>
      <w:bookmarkStart w:id="2" w:name="_Toc28359089"/>
      <w:bookmarkStart w:id="3" w:name="_Toc35393629"/>
      <w:bookmarkStart w:id="4" w:name="_Toc19876_WPSOffice_Level1"/>
      <w:r>
        <w:rPr>
          <w:rFonts w:hint="eastAsia" w:ascii="仿宋" w:hAnsi="仿宋" w:eastAsia="仿宋" w:cs="仿宋"/>
          <w:color w:val="auto"/>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克拉玛依市白碱滩区（克拉玛依高新技术产业开发区）金龙镇学校改善提升工程</w:t>
      </w:r>
      <w:r>
        <w:rPr>
          <w:rFonts w:hint="eastAsia" w:ascii="仿宋" w:hAnsi="仿宋" w:eastAsia="仿宋" w:cs="仿宋"/>
          <w:color w:val="auto"/>
          <w:sz w:val="24"/>
          <w:szCs w:val="24"/>
        </w:rPr>
        <w:t>采购项目的潜在供应商应在</w:t>
      </w:r>
      <w:r>
        <w:rPr>
          <w:rFonts w:hint="eastAsia" w:ascii="仿宋" w:hAnsi="仿宋" w:eastAsia="仿宋" w:cs="仿宋"/>
          <w:color w:val="auto"/>
          <w:sz w:val="24"/>
          <w:szCs w:val="24"/>
          <w:u w:val="single"/>
        </w:rPr>
        <w:t>新疆政府采购网</w:t>
      </w:r>
      <w:r>
        <w:rPr>
          <w:rFonts w:hint="eastAsia" w:ascii="仿宋" w:hAnsi="仿宋" w:eastAsia="仿宋" w:cs="仿宋"/>
          <w:color w:val="auto"/>
          <w:sz w:val="24"/>
          <w:szCs w:val="24"/>
        </w:rPr>
        <w:t>获取采购文件，并于</w:t>
      </w:r>
      <w:r>
        <w:rPr>
          <w:rFonts w:hint="eastAsia" w:ascii="仿宋" w:hAnsi="仿宋" w:eastAsia="仿宋" w:cs="仿宋"/>
          <w:b/>
          <w:bCs/>
          <w:color w:val="0000FF"/>
          <w:sz w:val="24"/>
          <w:szCs w:val="24"/>
          <w:highlight w:val="none"/>
          <w:u w:val="single"/>
        </w:rPr>
        <w:t xml:space="preserve"> </w:t>
      </w:r>
      <w:r>
        <w:rPr>
          <w:rFonts w:hint="eastAsia" w:ascii="仿宋" w:hAnsi="仿宋" w:eastAsia="仿宋" w:cs="仿宋"/>
          <w:b/>
          <w:bCs/>
          <w:color w:val="0000FF"/>
          <w:sz w:val="24"/>
          <w:szCs w:val="24"/>
          <w:highlight w:val="none"/>
          <w:u w:val="single"/>
          <w:lang w:val="en-US" w:eastAsia="zh-CN"/>
        </w:rPr>
        <w:t>2023</w:t>
      </w:r>
      <w:r>
        <w:rPr>
          <w:rFonts w:hint="eastAsia" w:ascii="仿宋" w:hAnsi="仿宋" w:eastAsia="仿宋" w:cs="仿宋"/>
          <w:b/>
          <w:bCs/>
          <w:color w:val="0000FF"/>
          <w:sz w:val="24"/>
          <w:szCs w:val="24"/>
          <w:highlight w:val="none"/>
          <w:u w:val="single"/>
        </w:rPr>
        <w:t>年</w:t>
      </w:r>
      <w:r>
        <w:rPr>
          <w:rFonts w:hint="eastAsia" w:ascii="仿宋" w:hAnsi="仿宋" w:eastAsia="仿宋" w:cs="仿宋"/>
          <w:b/>
          <w:bCs/>
          <w:color w:val="0000FF"/>
          <w:sz w:val="24"/>
          <w:szCs w:val="24"/>
          <w:highlight w:val="none"/>
          <w:u w:val="single"/>
          <w:lang w:val="en-US" w:eastAsia="zh-CN"/>
        </w:rPr>
        <w:t>7</w:t>
      </w:r>
      <w:r>
        <w:rPr>
          <w:rFonts w:hint="eastAsia" w:ascii="仿宋" w:hAnsi="仿宋" w:eastAsia="仿宋" w:cs="仿宋"/>
          <w:b/>
          <w:bCs/>
          <w:color w:val="0000FF"/>
          <w:sz w:val="24"/>
          <w:szCs w:val="24"/>
          <w:highlight w:val="none"/>
          <w:u w:val="single"/>
        </w:rPr>
        <w:t>月</w:t>
      </w:r>
      <w:r>
        <w:rPr>
          <w:rFonts w:hint="eastAsia" w:ascii="仿宋" w:hAnsi="仿宋" w:eastAsia="仿宋" w:cs="仿宋"/>
          <w:b/>
          <w:bCs/>
          <w:color w:val="0000FF"/>
          <w:sz w:val="24"/>
          <w:szCs w:val="24"/>
          <w:highlight w:val="none"/>
          <w:u w:val="single"/>
          <w:lang w:val="en-US" w:eastAsia="zh-CN"/>
        </w:rPr>
        <w:t>14</w:t>
      </w:r>
      <w:r>
        <w:rPr>
          <w:rFonts w:hint="eastAsia" w:ascii="仿宋" w:hAnsi="仿宋" w:eastAsia="仿宋" w:cs="仿宋"/>
          <w:b/>
          <w:bCs/>
          <w:color w:val="0000FF"/>
          <w:sz w:val="24"/>
          <w:szCs w:val="24"/>
          <w:highlight w:val="none"/>
          <w:u w:val="single"/>
        </w:rPr>
        <w:t>日</w:t>
      </w:r>
      <w:r>
        <w:rPr>
          <w:rFonts w:hint="eastAsia" w:ascii="仿宋" w:hAnsi="仿宋" w:eastAsia="仿宋" w:cs="仿宋"/>
          <w:b/>
          <w:bCs/>
          <w:color w:val="0000FF"/>
          <w:sz w:val="24"/>
          <w:szCs w:val="24"/>
          <w:highlight w:val="none"/>
          <w:u w:val="single"/>
          <w:lang w:val="en-US" w:eastAsia="zh-CN"/>
        </w:rPr>
        <w:t>10</w:t>
      </w:r>
      <w:r>
        <w:rPr>
          <w:rFonts w:hint="eastAsia" w:ascii="仿宋" w:hAnsi="仿宋" w:eastAsia="仿宋" w:cs="仿宋"/>
          <w:b/>
          <w:bCs/>
          <w:color w:val="0000FF"/>
          <w:sz w:val="24"/>
          <w:szCs w:val="24"/>
          <w:highlight w:val="none"/>
          <w:u w:val="single"/>
        </w:rPr>
        <w:t>点</w:t>
      </w:r>
      <w:r>
        <w:rPr>
          <w:rFonts w:hint="eastAsia" w:ascii="仿宋" w:hAnsi="仿宋" w:eastAsia="仿宋" w:cs="仿宋"/>
          <w:b/>
          <w:bCs/>
          <w:color w:val="0000FF"/>
          <w:sz w:val="24"/>
          <w:szCs w:val="24"/>
          <w:highlight w:val="none"/>
          <w:u w:val="single"/>
          <w:lang w:val="en-US" w:eastAsia="zh-CN"/>
        </w:rPr>
        <w:t>30</w:t>
      </w:r>
      <w:r>
        <w:rPr>
          <w:rFonts w:hint="eastAsia" w:ascii="仿宋" w:hAnsi="仿宋" w:eastAsia="仿宋" w:cs="仿宋"/>
          <w:b/>
          <w:bCs/>
          <w:color w:val="0000FF"/>
          <w:sz w:val="24"/>
          <w:szCs w:val="24"/>
          <w:highlight w:val="none"/>
          <w:u w:val="single"/>
        </w:rPr>
        <w:t>分</w:t>
      </w:r>
      <w:r>
        <w:rPr>
          <w:rFonts w:hint="eastAsia" w:ascii="仿宋" w:hAnsi="仿宋" w:eastAsia="仿宋" w:cs="仿宋"/>
          <w:bCs/>
          <w:color w:val="auto"/>
          <w:sz w:val="24"/>
          <w:szCs w:val="24"/>
        </w:rPr>
        <w:t>（北京时间）前提交响应文件</w:t>
      </w:r>
      <w:r>
        <w:rPr>
          <w:rFonts w:hint="eastAsia" w:ascii="仿宋" w:hAnsi="仿宋" w:eastAsia="仿宋" w:cs="仿宋"/>
          <w:color w:val="auto"/>
          <w:sz w:val="24"/>
          <w:szCs w:val="24"/>
        </w:rPr>
        <w:t>。</w:t>
      </w:r>
    </w:p>
    <w:p>
      <w:pPr>
        <w:pStyle w:val="2"/>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项目编号：QZX[ZC]202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15</w:t>
      </w:r>
    </w:p>
    <w:p>
      <w:pPr>
        <w:spacing w:line="390" w:lineRule="exact"/>
        <w:ind w:left="1679" w:leftChars="228" w:hanging="1200" w:hangingChars="5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克拉玛依市白碱滩区（克拉玛依高新技术产业开发区）金龙镇学校改善提升工程</w:t>
      </w:r>
    </w:p>
    <w:p>
      <w:pPr>
        <w:spacing w:line="390" w:lineRule="exact"/>
        <w:ind w:firstLine="480" w:firstLineChars="200"/>
        <w:rPr>
          <w:rFonts w:ascii="仿宋" w:hAnsi="仿宋" w:eastAsia="仿宋" w:cs="仿宋"/>
          <w:sz w:val="24"/>
        </w:rPr>
      </w:pPr>
      <w:r>
        <w:rPr>
          <w:rFonts w:hint="eastAsia" w:ascii="仿宋" w:hAnsi="仿宋" w:eastAsia="仿宋" w:cs="仿宋"/>
          <w:sz w:val="24"/>
        </w:rPr>
        <w:t>采购方式：□竞争性谈判 ☑竞争性磋商 □询价</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highlight w:val="none"/>
          <w:lang w:val="en-US" w:eastAsia="zh-CN"/>
        </w:rPr>
        <w:t>200</w:t>
      </w:r>
      <w:r>
        <w:rPr>
          <w:rFonts w:hint="eastAsia" w:ascii="仿宋" w:hAnsi="仿宋" w:eastAsia="仿宋" w:cs="仿宋"/>
          <w:color w:val="auto"/>
          <w:sz w:val="24"/>
          <w:szCs w:val="24"/>
          <w:highlight w:val="none"/>
        </w:rPr>
        <w:t>万元</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rPr>
        <w:t>最高限价（如有）：</w:t>
      </w:r>
      <w:r>
        <w:rPr>
          <w:rFonts w:hint="eastAsia" w:ascii="仿宋" w:hAnsi="仿宋" w:eastAsia="仿宋" w:cs="仿宋"/>
          <w:color w:val="auto"/>
          <w:sz w:val="24"/>
          <w:szCs w:val="24"/>
          <w:highlight w:val="none"/>
          <w:lang w:val="en-US" w:eastAsia="zh-CN"/>
        </w:rPr>
        <w:t xml:space="preserve">   万元</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采购需求：</w:t>
      </w:r>
      <w:r>
        <w:rPr>
          <w:rFonts w:hint="eastAsia" w:ascii="仿宋" w:hAnsi="仿宋" w:eastAsia="仿宋" w:cs="仿宋"/>
          <w:color w:val="auto"/>
          <w:sz w:val="24"/>
          <w:szCs w:val="24"/>
          <w:lang w:val="en-US" w:eastAsia="zh-CN"/>
        </w:rPr>
        <w:t>详见招标文件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合同履行期限：详见招标文件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不</w:t>
      </w:r>
      <w:r>
        <w:rPr>
          <w:rFonts w:hint="eastAsia" w:ascii="仿宋" w:hAnsi="仿宋" w:eastAsia="仿宋" w:cs="仿宋"/>
          <w:color w:val="auto"/>
          <w:sz w:val="24"/>
          <w:szCs w:val="24"/>
        </w:rPr>
        <w:t>接受联合体。</w:t>
      </w:r>
    </w:p>
    <w:p>
      <w:pPr>
        <w:pStyle w:val="2"/>
        <w:keepNext/>
        <w:keepLines/>
        <w:pageBreakBefore w:val="0"/>
        <w:widowControl w:val="0"/>
        <w:numPr>
          <w:ilvl w:val="0"/>
          <w:numId w:val="3"/>
        </w:numPr>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color w:val="auto"/>
          <w:sz w:val="24"/>
          <w:szCs w:val="24"/>
        </w:rPr>
      </w:pPr>
      <w:bookmarkStart w:id="5" w:name="_Toc35393799"/>
      <w:bookmarkStart w:id="6" w:name="_Toc28359013"/>
      <w:bookmarkStart w:id="7" w:name="_Toc28359090"/>
      <w:bookmarkStart w:id="8" w:name="_Toc35393630"/>
      <w:r>
        <w:rPr>
          <w:rFonts w:hint="eastAsia" w:ascii="仿宋" w:hAnsi="仿宋" w:eastAsia="仿宋" w:cs="仿宋"/>
          <w:b w:val="0"/>
          <w:color w:val="auto"/>
          <w:sz w:val="24"/>
          <w:szCs w:val="24"/>
        </w:rPr>
        <w:t>申请人的资格要求：</w:t>
      </w:r>
      <w:bookmarkEnd w:id="5"/>
      <w:bookmarkEnd w:id="6"/>
      <w:bookmarkEnd w:id="7"/>
      <w:bookmarkEnd w:id="8"/>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highlight w:val="none"/>
          <w:lang w:eastAsia="zh-CN"/>
        </w:rPr>
      </w:pPr>
      <w:bookmarkStart w:id="9" w:name="_Toc28359014"/>
      <w:bookmarkStart w:id="10" w:name="_Toc28359091"/>
      <w:r>
        <w:rPr>
          <w:rFonts w:hint="eastAsia" w:ascii="仿宋" w:hAnsi="仿宋" w:eastAsia="仿宋" w:cs="仿宋"/>
          <w:color w:val="auto"/>
          <w:sz w:val="24"/>
          <w:szCs w:val="24"/>
          <w:highlight w:val="none"/>
        </w:rPr>
        <w:t>2.落实政府采购政策需满足的资格要求：供应商为中小企业</w:t>
      </w:r>
      <w:r>
        <w:rPr>
          <w:rFonts w:hint="eastAsia" w:ascii="仿宋" w:hAnsi="仿宋" w:eastAsia="仿宋" w:cs="仿宋"/>
          <w:sz w:val="24"/>
        </w:rPr>
        <w:t>。</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本次招标共分</w:t>
      </w:r>
      <w:r>
        <w:rPr>
          <w:rFonts w:hint="eastAsia" w:ascii="仿宋" w:hAnsi="仿宋" w:eastAsia="仿宋" w:cs="仿宋"/>
          <w:b w:val="0"/>
          <w:color w:val="auto"/>
          <w:sz w:val="24"/>
          <w:szCs w:val="24"/>
          <w:lang w:val="en-US" w:eastAsia="zh-CN"/>
        </w:rPr>
        <w:t>2</w:t>
      </w:r>
      <w:r>
        <w:rPr>
          <w:rFonts w:hint="eastAsia" w:ascii="仿宋" w:hAnsi="仿宋" w:eastAsia="仿宋" w:cs="仿宋"/>
          <w:b w:val="0"/>
          <w:color w:val="auto"/>
          <w:sz w:val="24"/>
          <w:szCs w:val="24"/>
        </w:rPr>
        <w:t>个标段（包）：</w:t>
      </w:r>
    </w:p>
    <w:p>
      <w:pPr>
        <w:pageBreakBefore w:val="0"/>
        <w:widowControl w:val="0"/>
        <w:kinsoku/>
        <w:wordWrap/>
        <w:overflowPunct/>
        <w:topLinePunct w:val="0"/>
        <w:autoSpaceDE/>
        <w:autoSpaceDN/>
        <w:bidi w:val="0"/>
        <w:adjustRightInd/>
        <w:snapToGrid/>
        <w:spacing w:line="39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val="0"/>
          <w:color w:val="auto"/>
          <w:sz w:val="24"/>
          <w:szCs w:val="24"/>
          <w:highlight w:val="none"/>
        </w:rPr>
        <w:t>第1包（标段）：第九中学管网维修改造</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color w:val="auto"/>
          <w:sz w:val="24"/>
          <w:szCs w:val="24"/>
          <w:highlight w:val="none"/>
        </w:rPr>
        <w:t>第2包（标段）：第十四小学管网维修改造；</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kern w:val="0"/>
          <w:sz w:val="24"/>
          <w:highlight w:val="yellow"/>
          <w:lang w:eastAsia="zh-CN" w:bidi="ar"/>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kern w:val="0"/>
          <w:sz w:val="24"/>
          <w:highlight w:val="none"/>
          <w:lang w:bidi="ar"/>
        </w:rPr>
        <w:t>具有独立法人资格并依法取得营业执照</w:t>
      </w:r>
      <w:r>
        <w:rPr>
          <w:rFonts w:hint="eastAsia" w:ascii="仿宋" w:hAnsi="仿宋" w:eastAsia="仿宋" w:cs="仿宋"/>
          <w:color w:val="auto"/>
          <w:kern w:val="0"/>
          <w:sz w:val="24"/>
          <w:highlight w:val="none"/>
          <w:lang w:val="en-US" w:eastAsia="zh-CN" w:bidi="ar"/>
        </w:rPr>
        <w:t>且</w:t>
      </w:r>
      <w:r>
        <w:rPr>
          <w:rFonts w:hint="eastAsia" w:ascii="仿宋" w:hAnsi="仿宋" w:eastAsia="仿宋" w:cs="仿宋"/>
          <w:color w:val="auto"/>
          <w:kern w:val="0"/>
          <w:sz w:val="24"/>
          <w:highlight w:val="none"/>
          <w:lang w:bidi="ar"/>
        </w:rPr>
        <w:t>营业执照在有效期内</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val="en-US" w:eastAsia="zh-CN" w:bidi="ar"/>
        </w:rPr>
        <w:t>并</w:t>
      </w:r>
      <w:r>
        <w:rPr>
          <w:rFonts w:hint="eastAsia" w:ascii="仿宋" w:hAnsi="仿宋" w:eastAsia="仿宋" w:cs="仿宋"/>
          <w:color w:val="auto"/>
          <w:sz w:val="24"/>
          <w:szCs w:val="24"/>
          <w:lang w:val="en-US" w:eastAsia="zh-CN"/>
        </w:rPr>
        <w:t>具有相应的经营范围；</w:t>
      </w:r>
    </w:p>
    <w:p>
      <w:pPr>
        <w:keepNext w:val="0"/>
        <w:keepLines w:val="0"/>
        <w:pageBreakBefore w:val="0"/>
        <w:widowControl w:val="0"/>
        <w:numPr>
          <w:ilvl w:val="0"/>
          <w:numId w:val="0"/>
        </w:numPr>
        <w:tabs>
          <w:tab w:val="left" w:pos="1230"/>
          <w:tab w:val="left" w:pos="1275"/>
        </w:tabs>
        <w:kinsoku/>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lang w:val="en-US" w:eastAsia="zh-CN"/>
        </w:rPr>
        <w:t>（2）具有建设行政主管部门核发的建筑工程施工总承包叁级及以上资质；以及有效的安全生产许可证；</w:t>
      </w:r>
    </w:p>
    <w:p>
      <w:pPr>
        <w:keepNext w:val="0"/>
        <w:keepLines w:val="0"/>
        <w:pageBreakBefore w:val="0"/>
        <w:widowControl w:val="0"/>
        <w:numPr>
          <w:ilvl w:val="0"/>
          <w:numId w:val="0"/>
        </w:numPr>
        <w:tabs>
          <w:tab w:val="left" w:pos="1230"/>
          <w:tab w:val="left" w:pos="1275"/>
        </w:tabs>
        <w:kinsoku/>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highlight w:val="none"/>
        </w:rPr>
        <w:t>拟派项目负责人应具有</w:t>
      </w:r>
      <w:r>
        <w:rPr>
          <w:rFonts w:hint="eastAsia" w:ascii="仿宋" w:hAnsi="仿宋" w:eastAsia="仿宋" w:cs="仿宋"/>
          <w:color w:val="auto"/>
          <w:sz w:val="24"/>
          <w:highlight w:val="none"/>
          <w:lang w:eastAsia="zh-CN"/>
        </w:rPr>
        <w:t>建筑</w:t>
      </w:r>
      <w:r>
        <w:rPr>
          <w:rFonts w:hint="eastAsia" w:ascii="仿宋" w:hAnsi="仿宋" w:eastAsia="仿宋" w:cs="仿宋"/>
          <w:color w:val="auto"/>
          <w:sz w:val="24"/>
          <w:highlight w:val="none"/>
        </w:rPr>
        <w:t>工程专业贰级及以上</w:t>
      </w:r>
      <w:r>
        <w:rPr>
          <w:rFonts w:hint="eastAsia" w:ascii="仿宋" w:hAnsi="仿宋" w:eastAsia="仿宋" w:cs="仿宋"/>
          <w:color w:val="auto"/>
          <w:sz w:val="24"/>
          <w:highlight w:val="none"/>
          <w:lang w:val="en-US" w:eastAsia="zh-CN"/>
        </w:rPr>
        <w:t>建造师证书,</w:t>
      </w:r>
      <w:r>
        <w:rPr>
          <w:rFonts w:hint="eastAsia" w:ascii="仿宋" w:hAnsi="仿宋" w:eastAsia="仿宋" w:cs="仿宋"/>
          <w:sz w:val="24"/>
          <w:szCs w:val="24"/>
          <w:highlight w:val="none"/>
        </w:rPr>
        <w:t>并取得有效期内的安全生产考核合格证（A类或B类）</w:t>
      </w:r>
      <w:r>
        <w:rPr>
          <w:rFonts w:hint="eastAsia" w:ascii="仿宋" w:hAnsi="仿宋" w:eastAsia="仿宋" w:cs="仿宋"/>
          <w:color w:val="auto"/>
          <w:sz w:val="24"/>
          <w:szCs w:val="24"/>
          <w:highlight w:val="none"/>
          <w:lang w:val="en-US" w:eastAsia="zh-CN"/>
        </w:rPr>
        <w:t>。</w:t>
      </w:r>
    </w:p>
    <w:p>
      <w:pPr>
        <w:keepNext w:val="0"/>
        <w:keepLines w:val="0"/>
        <w:pageBreakBefore w:val="0"/>
        <w:widowControl w:val="0"/>
        <w:numPr>
          <w:ilvl w:val="0"/>
          <w:numId w:val="0"/>
        </w:numPr>
        <w:tabs>
          <w:tab w:val="left" w:pos="1230"/>
          <w:tab w:val="left" w:pos="1275"/>
        </w:tabs>
        <w:kinsoku/>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采购活动前三年内，在经营活动中没有重大违法记录(受行政主管部门的处罚不能参加投标)，及“信用中国”网站（www.creditchina.gov.cn）中国政府采购网（www.ccgp.gov.cn）无违法违规行为的查询纪录</w:t>
      </w:r>
      <w:r>
        <w:rPr>
          <w:rFonts w:hint="eastAsia" w:ascii="仿宋" w:hAnsi="仿宋" w:eastAsia="仿宋" w:cs="仿宋"/>
          <w:color w:val="auto"/>
          <w:sz w:val="24"/>
          <w:szCs w:val="24"/>
          <w:highlight w:val="none"/>
          <w:lang w:eastAsia="zh-CN"/>
        </w:rPr>
        <w:t>。</w:t>
      </w:r>
    </w:p>
    <w:p>
      <w:pPr>
        <w:pStyle w:val="2"/>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color w:val="auto"/>
          <w:sz w:val="24"/>
          <w:szCs w:val="24"/>
          <w:highlight w:val="none"/>
        </w:rPr>
      </w:pPr>
      <w:bookmarkStart w:id="11" w:name="_Toc35393800"/>
      <w:bookmarkStart w:id="12" w:name="_Toc35393631"/>
      <w:r>
        <w:rPr>
          <w:rFonts w:hint="eastAsia" w:ascii="仿宋" w:hAnsi="仿宋" w:eastAsia="仿宋" w:cs="仿宋"/>
          <w:b w:val="0"/>
          <w:color w:val="auto"/>
          <w:sz w:val="24"/>
          <w:szCs w:val="24"/>
          <w:highlight w:val="none"/>
        </w:rPr>
        <w:t>三、获取采购文件</w:t>
      </w:r>
      <w:bookmarkEnd w:id="9"/>
      <w:bookmarkEnd w:id="10"/>
      <w:bookmarkEnd w:id="11"/>
      <w:bookmarkEnd w:id="12"/>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 xml:space="preserve">2023 </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27</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u w:val="single"/>
          <w:lang w:val="en-US" w:eastAsia="zh-CN"/>
        </w:rPr>
        <w:t>10:00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13:00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u w:val="single"/>
          <w:lang w:val="en-US" w:eastAsia="zh-CN"/>
        </w:rPr>
        <w:t>16:00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19:00</w:t>
      </w:r>
    </w:p>
    <w:p>
      <w:pPr>
        <w:pageBreakBefore w:val="0"/>
        <w:widowControl w:val="0"/>
        <w:kinsoku/>
        <w:wordWrap/>
        <w:overflowPunct/>
        <w:topLinePunct w:val="0"/>
        <w:autoSpaceDE/>
        <w:autoSpaceDN/>
        <w:bidi w:val="0"/>
        <w:adjustRightInd/>
        <w:snapToGrid/>
        <w:spacing w:line="370" w:lineRule="exact"/>
        <w:ind w:firstLine="540"/>
        <w:textAlignment w:val="auto"/>
        <w:rPr>
          <w:rFonts w:hint="eastAsia" w:ascii="仿宋" w:hAnsi="仿宋" w:eastAsia="仿宋" w:cs="仿宋"/>
          <w:b w:val="0"/>
          <w:sz w:val="24"/>
          <w:szCs w:val="24"/>
        </w:rPr>
      </w:pPr>
      <w:r>
        <w:rPr>
          <w:rFonts w:hint="eastAsia" w:ascii="仿宋" w:hAnsi="仿宋" w:eastAsia="仿宋" w:cs="仿宋"/>
          <w:b w:val="0"/>
          <w:sz w:val="24"/>
          <w:szCs w:val="24"/>
        </w:rPr>
        <w:t>方式：</w:t>
      </w:r>
      <w:r>
        <w:rPr>
          <w:rFonts w:hint="eastAsia" w:ascii="仿宋" w:hAnsi="仿宋" w:eastAsia="仿宋" w:cs="仿宋"/>
          <w:b w:val="0"/>
          <w:sz w:val="24"/>
          <w:szCs w:val="24"/>
          <w:lang w:val="en-US" w:eastAsia="zh-CN"/>
        </w:rPr>
        <w:t>线上获取，供应商登陆政采云账户,在线申请获取采购文件（登录政府采购云平台→ 采购项目→获取采购文件→申请，审核通过后可下载采购文件，如有操作性问题，可与政采云在线客服进行咨询，咨询电话400-881-7190）。</w:t>
      </w:r>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b w:val="0"/>
          <w:color w:val="auto"/>
          <w:sz w:val="24"/>
          <w:szCs w:val="24"/>
          <w:lang w:val="en-US" w:eastAsia="zh-CN"/>
        </w:rPr>
      </w:pPr>
      <w:r>
        <w:rPr>
          <w:rFonts w:hint="eastAsia" w:ascii="仿宋" w:hAnsi="仿宋" w:eastAsia="仿宋" w:cs="仿宋"/>
          <w:b w:val="0"/>
          <w:color w:val="auto"/>
          <w:sz w:val="24"/>
          <w:szCs w:val="24"/>
        </w:rPr>
        <w:t>售价：</w:t>
      </w:r>
      <w:r>
        <w:rPr>
          <w:rFonts w:hint="eastAsia" w:ascii="仿宋" w:hAnsi="仿宋" w:eastAsia="仿宋" w:cs="仿宋"/>
          <w:b w:val="0"/>
          <w:color w:val="auto"/>
          <w:sz w:val="24"/>
          <w:szCs w:val="24"/>
          <w:lang w:val="en-US" w:eastAsia="zh-CN"/>
        </w:rPr>
        <w:t>0元</w:t>
      </w:r>
      <w:bookmarkStart w:id="13" w:name="_Toc28359092"/>
      <w:bookmarkStart w:id="14" w:name="_Toc35393801"/>
      <w:bookmarkStart w:id="15" w:name="_Toc35393632"/>
      <w:bookmarkStart w:id="16" w:name="_Toc28359015"/>
    </w:p>
    <w:p>
      <w:pPr>
        <w:pageBreakBefore w:val="0"/>
        <w:widowControl w:val="0"/>
        <w:numPr>
          <w:ilvl w:val="0"/>
          <w:numId w:val="4"/>
        </w:numPr>
        <w:kinsoku/>
        <w:wordWrap/>
        <w:overflowPunct/>
        <w:topLinePunct w:val="0"/>
        <w:autoSpaceDE/>
        <w:autoSpaceDN/>
        <w:bidi w:val="0"/>
        <w:adjustRightInd/>
        <w:snapToGrid/>
        <w:spacing w:line="390" w:lineRule="exact"/>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响应文件提交</w:t>
      </w:r>
      <w:bookmarkEnd w:id="13"/>
      <w:bookmarkEnd w:id="14"/>
      <w:bookmarkEnd w:id="15"/>
      <w:bookmarkEnd w:id="16"/>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截止时</w:t>
      </w:r>
      <w:r>
        <w:rPr>
          <w:rFonts w:hint="eastAsia" w:ascii="仿宋" w:hAnsi="仿宋" w:eastAsia="仿宋" w:cs="仿宋"/>
          <w:b w:val="0"/>
          <w:color w:val="auto"/>
          <w:sz w:val="24"/>
          <w:szCs w:val="24"/>
          <w:highlight w:val="none"/>
        </w:rPr>
        <w:t>间：</w:t>
      </w:r>
      <w:r>
        <w:rPr>
          <w:rFonts w:hint="eastAsia" w:ascii="仿宋" w:hAnsi="仿宋" w:eastAsia="仿宋" w:cs="仿宋"/>
          <w:b w:val="0"/>
          <w:color w:val="auto"/>
          <w:sz w:val="24"/>
          <w:szCs w:val="24"/>
          <w:highlight w:val="none"/>
          <w:lang w:val="en-US" w:eastAsia="zh-CN"/>
        </w:rPr>
        <w:t>2023</w:t>
      </w:r>
      <w:r>
        <w:rPr>
          <w:rFonts w:hint="eastAsia" w:ascii="仿宋" w:hAnsi="仿宋" w:eastAsia="仿宋" w:cs="仿宋"/>
          <w:b w:val="0"/>
          <w:color w:val="auto"/>
          <w:sz w:val="24"/>
          <w:szCs w:val="24"/>
          <w:highlight w:val="none"/>
        </w:rPr>
        <w:t>年</w:t>
      </w:r>
      <w:r>
        <w:rPr>
          <w:rFonts w:hint="eastAsia" w:ascii="仿宋" w:hAnsi="仿宋" w:eastAsia="仿宋" w:cs="仿宋"/>
          <w:b w:val="0"/>
          <w:color w:val="auto"/>
          <w:sz w:val="24"/>
          <w:szCs w:val="24"/>
          <w:highlight w:val="none"/>
          <w:lang w:val="en-US" w:eastAsia="zh-CN"/>
        </w:rPr>
        <w:t>7</w:t>
      </w:r>
      <w:r>
        <w:rPr>
          <w:rFonts w:hint="eastAsia" w:ascii="仿宋" w:hAnsi="仿宋" w:eastAsia="仿宋" w:cs="仿宋"/>
          <w:b w:val="0"/>
          <w:color w:val="auto"/>
          <w:sz w:val="24"/>
          <w:szCs w:val="24"/>
          <w:highlight w:val="none"/>
        </w:rPr>
        <w:t>月</w:t>
      </w:r>
      <w:r>
        <w:rPr>
          <w:rFonts w:hint="eastAsia" w:ascii="仿宋" w:hAnsi="仿宋" w:eastAsia="仿宋" w:cs="仿宋"/>
          <w:b w:val="0"/>
          <w:color w:val="auto"/>
          <w:sz w:val="24"/>
          <w:szCs w:val="24"/>
          <w:highlight w:val="none"/>
          <w:lang w:val="en-US" w:eastAsia="zh-CN"/>
        </w:rPr>
        <w:t>14</w:t>
      </w:r>
      <w:r>
        <w:rPr>
          <w:rFonts w:hint="eastAsia" w:ascii="仿宋" w:hAnsi="仿宋" w:eastAsia="仿宋" w:cs="仿宋"/>
          <w:b w:val="0"/>
          <w:color w:val="auto"/>
          <w:sz w:val="24"/>
          <w:szCs w:val="24"/>
          <w:highlight w:val="none"/>
        </w:rPr>
        <w:t>日</w:t>
      </w:r>
      <w:r>
        <w:rPr>
          <w:rFonts w:hint="eastAsia" w:ascii="仿宋" w:hAnsi="仿宋" w:eastAsia="仿宋" w:cs="仿宋"/>
          <w:b w:val="0"/>
          <w:color w:val="auto"/>
          <w:sz w:val="24"/>
          <w:szCs w:val="24"/>
          <w:highlight w:val="none"/>
          <w:lang w:val="en-US" w:eastAsia="zh-CN"/>
        </w:rPr>
        <w:t>10</w:t>
      </w:r>
      <w:r>
        <w:rPr>
          <w:rFonts w:hint="eastAsia" w:ascii="仿宋" w:hAnsi="仿宋" w:eastAsia="仿宋" w:cs="仿宋"/>
          <w:b w:val="0"/>
          <w:color w:val="auto"/>
          <w:sz w:val="24"/>
          <w:szCs w:val="24"/>
          <w:highlight w:val="none"/>
        </w:rPr>
        <w:t>点</w:t>
      </w:r>
      <w:r>
        <w:rPr>
          <w:rFonts w:hint="eastAsia" w:ascii="仿宋" w:hAnsi="仿宋" w:eastAsia="仿宋" w:cs="仿宋"/>
          <w:b w:val="0"/>
          <w:color w:val="auto"/>
          <w:sz w:val="24"/>
          <w:szCs w:val="24"/>
          <w:highlight w:val="none"/>
          <w:lang w:val="en-US" w:eastAsia="zh-CN"/>
        </w:rPr>
        <w:t>30</w:t>
      </w:r>
      <w:r>
        <w:rPr>
          <w:rFonts w:hint="eastAsia" w:ascii="仿宋" w:hAnsi="仿宋" w:eastAsia="仿宋" w:cs="仿宋"/>
          <w:b w:val="0"/>
          <w:color w:val="auto"/>
          <w:sz w:val="24"/>
          <w:szCs w:val="24"/>
          <w:highlight w:val="none"/>
        </w:rPr>
        <w:t>分（北京时间</w:t>
      </w:r>
      <w:r>
        <w:rPr>
          <w:rFonts w:hint="eastAsia" w:ascii="仿宋" w:hAnsi="仿宋" w:eastAsia="仿宋" w:cs="仿宋"/>
          <w:b w:val="0"/>
          <w:color w:val="auto"/>
          <w:sz w:val="24"/>
          <w:szCs w:val="24"/>
        </w:rPr>
        <w:t>）</w:t>
      </w:r>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color w:val="auto"/>
          <w:sz w:val="24"/>
          <w:szCs w:val="24"/>
          <w:highlight w:val="yellow"/>
        </w:rPr>
      </w:pPr>
      <w:r>
        <w:rPr>
          <w:rFonts w:hint="eastAsia" w:ascii="仿宋" w:hAnsi="仿宋" w:eastAsia="仿宋" w:cs="仿宋"/>
          <w:b w:val="0"/>
          <w:color w:val="auto"/>
          <w:sz w:val="24"/>
          <w:szCs w:val="24"/>
        </w:rPr>
        <w:t>地点：</w:t>
      </w:r>
      <w:r>
        <w:rPr>
          <w:rFonts w:hint="eastAsia" w:ascii="仿宋" w:hAnsi="仿宋" w:eastAsia="仿宋" w:cs="仿宋"/>
          <w:b w:val="0"/>
          <w:bCs w:val="0"/>
          <w:sz w:val="24"/>
          <w:szCs w:val="24"/>
        </w:rPr>
        <w:t>新疆政府采购网政采云平台（www.zcygov.cn）</w:t>
      </w:r>
    </w:p>
    <w:p>
      <w:pPr>
        <w:pStyle w:val="2"/>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color w:val="auto"/>
          <w:sz w:val="24"/>
          <w:szCs w:val="24"/>
        </w:rPr>
      </w:pPr>
      <w:bookmarkStart w:id="17" w:name="_Toc28359093"/>
      <w:bookmarkStart w:id="18" w:name="_Toc35393802"/>
      <w:bookmarkStart w:id="19" w:name="_Toc35393633"/>
      <w:bookmarkStart w:id="20" w:name="_Toc28359016"/>
      <w:r>
        <w:rPr>
          <w:rFonts w:hint="eastAsia" w:ascii="仿宋" w:hAnsi="仿宋" w:eastAsia="仿宋" w:cs="仿宋"/>
          <w:b w:val="0"/>
          <w:color w:val="auto"/>
          <w:sz w:val="24"/>
          <w:szCs w:val="24"/>
        </w:rPr>
        <w:t>五、开启</w:t>
      </w:r>
      <w:bookmarkEnd w:id="17"/>
      <w:bookmarkEnd w:id="18"/>
      <w:bookmarkEnd w:id="19"/>
      <w:bookmarkEnd w:id="20"/>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7</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 xml:space="preserve">14 </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10</w:t>
      </w:r>
      <w:r>
        <w:rPr>
          <w:rFonts w:hint="eastAsia" w:ascii="仿宋" w:hAnsi="仿宋" w:eastAsia="仿宋" w:cs="仿宋"/>
          <w:bCs/>
          <w:color w:val="auto"/>
          <w:sz w:val="24"/>
          <w:szCs w:val="24"/>
          <w:highlight w:val="none"/>
          <w:u w:val="single"/>
        </w:rPr>
        <w:t>点</w:t>
      </w:r>
      <w:r>
        <w:rPr>
          <w:rFonts w:hint="eastAsia" w:ascii="仿宋" w:hAnsi="仿宋" w:eastAsia="仿宋" w:cs="仿宋"/>
          <w:bCs/>
          <w:color w:val="auto"/>
          <w:sz w:val="24"/>
          <w:szCs w:val="24"/>
          <w:highlight w:val="none"/>
          <w:u w:val="single"/>
          <w:lang w:val="en-US" w:eastAsia="zh-CN"/>
        </w:rPr>
        <w:t>30</w:t>
      </w:r>
      <w:r>
        <w:rPr>
          <w:rFonts w:hint="eastAsia" w:ascii="仿宋" w:hAnsi="仿宋" w:eastAsia="仿宋" w:cs="仿宋"/>
          <w:bCs/>
          <w:color w:val="auto"/>
          <w:sz w:val="24"/>
          <w:szCs w:val="24"/>
          <w:highlight w:val="none"/>
          <w:u w:val="single"/>
        </w:rPr>
        <w:t>分</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rPr>
        <w:t>北京时间）</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地点：</w:t>
      </w:r>
      <w:r>
        <w:rPr>
          <w:rFonts w:hint="eastAsia" w:ascii="仿宋" w:hAnsi="仿宋" w:eastAsia="仿宋" w:cs="仿宋"/>
          <w:b w:val="0"/>
          <w:bCs w:val="0"/>
          <w:sz w:val="24"/>
          <w:szCs w:val="24"/>
        </w:rPr>
        <w:t>新疆政府采购网政采云平台（www.zcygov.cn）</w:t>
      </w:r>
    </w:p>
    <w:p>
      <w:pPr>
        <w:pStyle w:val="2"/>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bCs w:val="0"/>
          <w:color w:val="auto"/>
          <w:sz w:val="24"/>
          <w:szCs w:val="24"/>
        </w:rPr>
      </w:pPr>
      <w:bookmarkStart w:id="21" w:name="_Toc28359017"/>
      <w:bookmarkStart w:id="22" w:name="_Toc35393803"/>
      <w:bookmarkStart w:id="23" w:name="_Toc35393634"/>
      <w:bookmarkStart w:id="24" w:name="_Toc28359094"/>
      <w:r>
        <w:rPr>
          <w:rFonts w:hint="eastAsia" w:ascii="仿宋" w:hAnsi="仿宋" w:eastAsia="仿宋" w:cs="仿宋"/>
          <w:b/>
          <w:bCs w:val="0"/>
          <w:color w:val="auto"/>
          <w:sz w:val="24"/>
          <w:szCs w:val="24"/>
        </w:rPr>
        <w:t>六、公告期限</w:t>
      </w:r>
      <w:bookmarkEnd w:id="21"/>
      <w:bookmarkEnd w:id="22"/>
      <w:bookmarkEnd w:id="23"/>
      <w:bookmarkEnd w:id="24"/>
    </w:p>
    <w:p>
      <w:pPr>
        <w:pStyle w:val="2"/>
        <w:keepNext/>
        <w:keepLines/>
        <w:pageBreakBefore w:val="0"/>
        <w:widowControl w:val="0"/>
        <w:kinsoku/>
        <w:wordWrap/>
        <w:overflowPunct/>
        <w:topLinePunct w:val="0"/>
        <w:autoSpaceDE/>
        <w:autoSpaceDN/>
        <w:bidi w:val="0"/>
        <w:adjustRightInd/>
        <w:snapToGrid/>
        <w:spacing w:before="0" w:after="0" w:line="390" w:lineRule="exact"/>
        <w:ind w:firstLine="480" w:firstLineChars="200"/>
        <w:textAlignment w:val="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自本公告发布之日起</w:t>
      </w:r>
      <w:r>
        <w:rPr>
          <w:rFonts w:hint="eastAsia" w:ascii="仿宋" w:hAnsi="仿宋" w:eastAsia="仿宋" w:cs="仿宋"/>
          <w:b w:val="0"/>
          <w:color w:val="auto"/>
          <w:sz w:val="24"/>
          <w:szCs w:val="24"/>
          <w:lang w:val="en-US" w:eastAsia="zh-CN"/>
        </w:rPr>
        <w:t>5</w:t>
      </w:r>
      <w:r>
        <w:rPr>
          <w:rFonts w:hint="eastAsia" w:ascii="仿宋" w:hAnsi="仿宋" w:eastAsia="仿宋" w:cs="仿宋"/>
          <w:b w:val="0"/>
          <w:color w:val="auto"/>
          <w:sz w:val="24"/>
          <w:szCs w:val="24"/>
        </w:rPr>
        <w:t>个工作日。</w:t>
      </w:r>
    </w:p>
    <w:p>
      <w:pPr>
        <w:pStyle w:val="2"/>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bCs w:val="0"/>
          <w:color w:val="auto"/>
          <w:sz w:val="24"/>
          <w:szCs w:val="24"/>
        </w:rPr>
      </w:pPr>
      <w:bookmarkStart w:id="25" w:name="_Toc35393635"/>
      <w:bookmarkStart w:id="26" w:name="_Toc35393804"/>
      <w:r>
        <w:rPr>
          <w:rFonts w:hint="eastAsia" w:ascii="仿宋" w:hAnsi="仿宋" w:eastAsia="仿宋" w:cs="仿宋"/>
          <w:b/>
          <w:bCs w:val="0"/>
          <w:color w:val="auto"/>
          <w:sz w:val="24"/>
          <w:szCs w:val="24"/>
        </w:rPr>
        <w:t>七、其他补充事宜</w:t>
      </w:r>
      <w:bookmarkEnd w:id="25"/>
      <w:bookmarkEnd w:id="26"/>
    </w:p>
    <w:p>
      <w:pPr>
        <w:pageBreakBefore w:val="0"/>
        <w:widowControl w:val="0"/>
        <w:numPr>
          <w:ilvl w:val="0"/>
          <w:numId w:val="5"/>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本项目为电子招投标项目，供应商需要使用 CA 加密设备，凡参加本项目供应商可通过新疆数字证书认证中心官网（https://www.xjca.com.cn/）或下载“新疆政务通”APP 自行进行线上申领，或前往新疆克拉玛依市克拉玛依区迎宾路 75 号（中国银行大厦11楼营业部）或新疆克拉玛依市独山子区大庆东路3039号（市民服务中心三楼大厅）进行线下办理。如有操作性问题可与政采云在线客服进行咨询，咨询电话：400-881-7190。 </w:t>
      </w:r>
    </w:p>
    <w:p>
      <w:pPr>
        <w:keepNext w:val="0"/>
        <w:keepLines w:val="0"/>
        <w:pageBreakBefore w:val="0"/>
        <w:widowControl w:val="0"/>
        <w:numPr>
          <w:ilvl w:val="0"/>
          <w:numId w:val="5"/>
        </w:numPr>
        <w:kinsoku/>
        <w:wordWrap/>
        <w:overflowPunct/>
        <w:topLinePunct w:val="0"/>
        <w:autoSpaceDE/>
        <w:autoSpaceDN/>
        <w:bidi w:val="0"/>
        <w:adjustRightInd/>
        <w:snapToGrid/>
        <w:spacing w:line="390" w:lineRule="exact"/>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本项目实行网上投标，采用电子响应文件，若供应商参与磋商，应自行承担磋商一切费用。                                                                                  3.供应商应在磋商前应确保成为新疆政府采购网正式注册入库供应商，并完成 CA 数字证书申领。因未注册入库、未办理CA数字证书等原因造成无法投标或投标失败等后果由供应商自行承担。 </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 务热线 400-881-7190 进行咨询。</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5.供应商应当在递交响应文件截止时间前，将生成的“电子加密响应文件”上传递交至“政 府采购云平台”，递交响应文件截止时间后上传递交的响应文件将被“政府采购云平台”拒收。 </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6.供应商登录政采云平台，在开标时间后15分钟内用“项目采购-开标评标”功能进行解密响应文件。若供应商在规定时间内未按时解密的，视为无效响应。解密与加密响应文件须使用同一个CA。</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2" w:firstLineChars="200"/>
        <w:textAlignment w:val="auto"/>
        <w:rPr>
          <w:rFonts w:hint="eastAsia" w:ascii="仿宋" w:hAnsi="仿宋" w:eastAsia="仿宋" w:cs="仿宋"/>
          <w:b w:val="0"/>
          <w:bCs/>
          <w:sz w:val="24"/>
          <w:szCs w:val="24"/>
        </w:rPr>
      </w:pPr>
      <w:r>
        <w:rPr>
          <w:rFonts w:hint="eastAsia" w:ascii="仿宋" w:hAnsi="仿宋" w:eastAsia="仿宋" w:cs="仿宋"/>
          <w:b/>
          <w:bCs w:val="0"/>
          <w:sz w:val="24"/>
          <w:szCs w:val="24"/>
        </w:rPr>
        <w:t>特别提示：</w:t>
      </w:r>
      <w:r>
        <w:rPr>
          <w:rFonts w:hint="eastAsia" w:ascii="仿宋" w:hAnsi="仿宋" w:eastAsia="仿宋" w:cs="仿宋"/>
          <w:b w:val="0"/>
          <w:bCs/>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b w:val="0"/>
          <w:bCs/>
          <w:sz w:val="24"/>
          <w:szCs w:val="24"/>
        </w:rPr>
        <w:t>对于未预留份额专门面向中小企业的采购项目，以及预留份额项目中的非预留部分采购包</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采购人、采购代理机构应当对符合规定的小微企业报价给予10%~20%（工程项目为 6%~10%）的扣除，用扣除后的价格参加评审。适用招标投标法的政府采购工程建设项目，采用 综合</w:t>
      </w:r>
      <w:r>
        <w:rPr>
          <w:rFonts w:hint="eastAsia" w:ascii="仿宋" w:hAnsi="仿宋" w:eastAsia="仿宋" w:cs="仿宋"/>
          <w:b w:val="0"/>
          <w:bCs/>
          <w:sz w:val="24"/>
          <w:szCs w:val="24"/>
          <w:highlight w:val="none"/>
        </w:rPr>
        <w:t>评估法</w:t>
      </w:r>
      <w:r>
        <w:rPr>
          <w:rFonts w:hint="eastAsia" w:ascii="仿宋" w:hAnsi="仿宋" w:eastAsia="仿宋" w:cs="仿宋"/>
          <w:b w:val="0"/>
          <w:bCs/>
          <w:sz w:val="24"/>
          <w:szCs w:val="24"/>
        </w:rPr>
        <w:t>但未采用低价优先法计算价格分的，评标时应当在采用原报价进行评分的基础上增 加其价格得分的 6%~10%作为其价格分。接受大中型企业与小微企业组成联合体或者允许大中型企业向一家或者多家小微企业分包的采购项目，对于联合协议或者分包意向协议约定小微企业的合同份额占到合同总金额 40% 以上的，采购人、采购代理机构应当对联合体或者大中型企业的报价给予4%~6%（工程项目为 2%~4%）的扣除，用扣除后的价格参加评审。适用招标投标法的政府采购工程建设项目，采用综</w:t>
      </w:r>
      <w:r>
        <w:rPr>
          <w:rFonts w:hint="eastAsia" w:ascii="仿宋" w:hAnsi="仿宋" w:eastAsia="仿宋" w:cs="仿宋"/>
          <w:b w:val="0"/>
          <w:bCs/>
          <w:sz w:val="24"/>
          <w:szCs w:val="24"/>
          <w:highlight w:val="none"/>
        </w:rPr>
        <w:t>合评估法</w:t>
      </w:r>
      <w:r>
        <w:rPr>
          <w:rFonts w:hint="eastAsia" w:ascii="仿宋" w:hAnsi="仿宋" w:eastAsia="仿宋" w:cs="仿宋"/>
          <w:b w:val="0"/>
          <w:bCs/>
          <w:sz w:val="24"/>
          <w:szCs w:val="24"/>
        </w:rPr>
        <w:t>但未采用低价优先法计算价格分的，评标时应当在采用原报价进行评分的基础上增加其价格得分的 2%~4%作为其价格分。</w:t>
      </w:r>
    </w:p>
    <w:p>
      <w:pPr>
        <w:pStyle w:val="2"/>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bCs w:val="0"/>
          <w:color w:val="auto"/>
          <w:sz w:val="24"/>
          <w:szCs w:val="24"/>
        </w:rPr>
      </w:pPr>
      <w:bookmarkStart w:id="27" w:name="_Toc28359095"/>
      <w:bookmarkStart w:id="28" w:name="_Toc28359018"/>
      <w:bookmarkStart w:id="29" w:name="_Toc35393805"/>
      <w:bookmarkStart w:id="30" w:name="_Toc35393636"/>
      <w:r>
        <w:rPr>
          <w:rFonts w:hint="eastAsia" w:ascii="仿宋" w:hAnsi="仿宋" w:eastAsia="仿宋" w:cs="仿宋"/>
          <w:b/>
          <w:bCs w:val="0"/>
          <w:color w:val="auto"/>
          <w:sz w:val="24"/>
          <w:szCs w:val="24"/>
        </w:rPr>
        <w:t>八、凡对本次采购提出询问，请按以下方式联系。</w:t>
      </w:r>
      <w:bookmarkEnd w:id="27"/>
      <w:bookmarkEnd w:id="28"/>
      <w:bookmarkEnd w:id="29"/>
      <w:bookmarkEnd w:id="30"/>
    </w:p>
    <w:p>
      <w:pPr>
        <w:pStyle w:val="2"/>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color w:val="auto"/>
          <w:sz w:val="24"/>
          <w:szCs w:val="24"/>
        </w:rPr>
      </w:pPr>
      <w:bookmarkStart w:id="31" w:name="_Toc28359096"/>
      <w:bookmarkStart w:id="32" w:name="_Toc28359019"/>
      <w:bookmarkStart w:id="33" w:name="_Toc35393806"/>
      <w:bookmarkStart w:id="34" w:name="_Toc35393637"/>
      <w:r>
        <w:rPr>
          <w:rFonts w:hint="eastAsia" w:ascii="仿宋" w:hAnsi="仿宋" w:eastAsia="仿宋" w:cs="仿宋"/>
          <w:b w:val="0"/>
          <w:color w:val="auto"/>
          <w:sz w:val="24"/>
          <w:szCs w:val="24"/>
        </w:rPr>
        <w:t>1.采购人信息</w:t>
      </w:r>
      <w:bookmarkEnd w:id="31"/>
      <w:bookmarkEnd w:id="32"/>
      <w:bookmarkEnd w:id="33"/>
      <w:bookmarkEnd w:id="34"/>
    </w:p>
    <w:p>
      <w:pPr>
        <w:pageBreakBefore w:val="0"/>
        <w:widowControl w:val="0"/>
        <w:kinsoku/>
        <w:wordWrap/>
        <w:overflowPunct/>
        <w:topLinePunct w:val="0"/>
        <w:autoSpaceDE/>
        <w:autoSpaceDN/>
        <w:bidi w:val="0"/>
        <w:adjustRightInd/>
        <w:snapToGrid/>
        <w:spacing w:before="100" w:after="100" w:line="390" w:lineRule="exact"/>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kern w:val="2"/>
          <w:sz w:val="24"/>
          <w:szCs w:val="24"/>
          <w:u w:val="single"/>
          <w:lang w:val="en-US" w:eastAsia="zh-CN" w:bidi="ar-SA"/>
        </w:rPr>
        <w:t xml:space="preserve"> 克拉玛依市白碱滩区（克拉玛依高新技术产业开发区）教育局   </w:t>
      </w:r>
    </w:p>
    <w:p>
      <w:pPr>
        <w:pStyle w:val="24"/>
        <w:ind w:left="0" w:leftChars="0" w:firstLine="0" w:firstLineChars="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联系电话：</w:t>
      </w:r>
      <w:r>
        <w:rPr>
          <w:rFonts w:hint="eastAsia" w:ascii="仿宋" w:hAnsi="仿宋" w:eastAsia="仿宋" w:cs="仿宋"/>
          <w:color w:val="auto"/>
          <w:sz w:val="24"/>
          <w:szCs w:val="24"/>
          <w:u w:val="single"/>
          <w:lang w:val="en-US" w:eastAsia="zh-CN"/>
        </w:rPr>
        <w:t xml:space="preserve"> 陈文杰  0990-6982312 </w:t>
      </w:r>
    </w:p>
    <w:p>
      <w:pPr>
        <w:pStyle w:val="2"/>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b w:val="0"/>
          <w:color w:val="auto"/>
          <w:sz w:val="24"/>
          <w:szCs w:val="24"/>
        </w:rPr>
      </w:pPr>
      <w:bookmarkStart w:id="35" w:name="_Toc35393807"/>
      <w:bookmarkStart w:id="36" w:name="_Toc28359020"/>
      <w:bookmarkStart w:id="37" w:name="_Toc28359097"/>
      <w:bookmarkStart w:id="38" w:name="_Toc35393638"/>
      <w:r>
        <w:rPr>
          <w:rFonts w:hint="eastAsia" w:ascii="仿宋" w:hAnsi="仿宋" w:eastAsia="仿宋" w:cs="仿宋"/>
          <w:b w:val="0"/>
          <w:color w:val="auto"/>
          <w:sz w:val="24"/>
          <w:szCs w:val="24"/>
        </w:rPr>
        <w:t>2.采购代理机构信息</w:t>
      </w:r>
      <w:bookmarkEnd w:id="35"/>
      <w:bookmarkEnd w:id="36"/>
      <w:bookmarkEnd w:id="37"/>
      <w:bookmarkEnd w:id="38"/>
    </w:p>
    <w:p>
      <w:pPr>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新疆秦之玺工程咨询有限责任公司　</w:t>
      </w:r>
    </w:p>
    <w:p>
      <w:pPr>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lang w:val="en-US" w:eastAsia="zh-CN"/>
        </w:rPr>
        <w:t xml:space="preserve"> 克拉玛依市广源路恒隆广场B座501</w:t>
      </w:r>
    </w:p>
    <w:p>
      <w:pPr>
        <w:pStyle w:val="24"/>
        <w:numPr>
          <w:ilvl w:val="0"/>
          <w:numId w:val="6"/>
        </w:numPr>
        <w:ind w:left="0" w:leftChars="0" w:firstLine="0" w:firstLineChars="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项目联系方式</w:t>
      </w:r>
    </w:p>
    <w:p>
      <w:pPr>
        <w:pStyle w:val="24"/>
        <w:numPr>
          <w:ilvl w:val="0"/>
          <w:numId w:val="0"/>
        </w:numPr>
        <w:ind w:leftChars="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项目联系人：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巴冀彩</w:t>
      </w:r>
      <w:r>
        <w:rPr>
          <w:rFonts w:hint="eastAsia" w:ascii="仿宋" w:hAnsi="仿宋" w:eastAsia="仿宋" w:cs="仿宋"/>
          <w:color w:val="auto"/>
          <w:sz w:val="24"/>
          <w:szCs w:val="24"/>
          <w:u w:val="single"/>
          <w:lang w:val="en-US" w:eastAsia="zh-CN"/>
        </w:rPr>
        <w:t xml:space="preserve">  、徐静              </w:t>
      </w:r>
    </w:p>
    <w:p>
      <w:pPr>
        <w:pStyle w:val="24"/>
        <w:numPr>
          <w:ilvl w:val="0"/>
          <w:numId w:val="0"/>
        </w:numPr>
        <w:ind w:leftChars="0"/>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电      话：</w:t>
      </w:r>
      <w:r>
        <w:rPr>
          <w:rFonts w:hint="eastAsia" w:ascii="仿宋" w:hAnsi="仿宋" w:eastAsia="仿宋" w:cs="仿宋"/>
          <w:color w:val="auto"/>
          <w:sz w:val="24"/>
          <w:szCs w:val="24"/>
          <w:u w:val="single"/>
          <w:lang w:val="en-US" w:eastAsia="zh-CN"/>
        </w:rPr>
        <w:t xml:space="preserve"> 0990-6222280  18196001677</w:t>
      </w:r>
    </w:p>
    <w:p>
      <w:pPr>
        <w:rPr>
          <w:rFonts w:hint="eastAsia" w:ascii="仿宋" w:hAnsi="仿宋" w:eastAsia="仿宋" w:cs="仿宋"/>
          <w:color w:val="auto"/>
          <w:sz w:val="24"/>
          <w:szCs w:val="24"/>
          <w:u w:val="single"/>
          <w:lang w:val="en-US" w:eastAsia="zh-CN"/>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前</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附</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表</w:t>
      </w:r>
      <w:bookmarkEnd w:id="4"/>
    </w:p>
    <w:tbl>
      <w:tblPr>
        <w:tblStyle w:val="25"/>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0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项号</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克拉玛依市白碱滩区（克拉玛依高新技术产业开发区）金龙镇学校改善提升工程</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文件编号：QZX</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ZC</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0015" w:type="dxa"/>
            <w:vAlign w:val="center"/>
          </w:tcPr>
          <w:p>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采购人：克拉玛依市白碱滩区（克拉玛依高新技术产业开发区）教育局   </w:t>
            </w:r>
          </w:p>
          <w:p>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联系人：陈文杰 联系电话：0990-6982312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00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采购代理机构：新疆秦之玺工程咨询有限责任公司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联系人：巴冀彩、徐静   联系电话：0990-6222280  18196001677</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Cs w:val="21"/>
                <w:highlight w:val="none"/>
              </w:rPr>
            </w:pPr>
            <w:r>
              <w:rPr>
                <w:rFonts w:hint="eastAsia" w:ascii="仿宋" w:hAnsi="仿宋" w:eastAsia="仿宋" w:cs="仿宋"/>
                <w:color w:val="auto"/>
                <w:kern w:val="2"/>
                <w:sz w:val="21"/>
                <w:szCs w:val="21"/>
                <w:lang w:val="en-US" w:eastAsia="zh-CN" w:bidi="ar-SA"/>
              </w:rPr>
              <w:t>地址：克拉玛依市广源路恒隆广场B座501开标室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rPr>
            </w:pPr>
            <w:r>
              <w:rPr>
                <w:rFonts w:hint="eastAsia" w:ascii="仿宋" w:hAnsi="仿宋" w:eastAsia="仿宋" w:cs="仿宋"/>
                <w:b w:val="0"/>
                <w:bCs/>
                <w:color w:val="auto"/>
                <w:highlight w:val="none"/>
                <w:lang w:val="en-US" w:eastAsia="zh-CN"/>
              </w:rPr>
              <w:t>投标</w:t>
            </w:r>
            <w:r>
              <w:rPr>
                <w:rFonts w:hint="eastAsia" w:ascii="仿宋" w:hAnsi="仿宋" w:eastAsia="仿宋" w:cs="仿宋"/>
                <w:color w:val="auto"/>
                <w:highlight w:val="none"/>
                <w:lang w:eastAsia="zh-CN"/>
              </w:rPr>
              <w:t>文件</w:t>
            </w:r>
            <w:r>
              <w:rPr>
                <w:rFonts w:hint="eastAsia" w:ascii="仿宋" w:hAnsi="仿宋" w:eastAsia="仿宋" w:cs="仿宋"/>
                <w:color w:val="auto"/>
                <w:highlight w:val="none"/>
              </w:rPr>
              <w:t>有效期：递交</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截止之日起60天（日历日）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响应文件采用电子文档。响应文件应编制完整的页码、目录（编制上传响应文件与相应模块对应）。各</w:t>
            </w:r>
            <w:r>
              <w:rPr>
                <w:rFonts w:hint="eastAsia" w:ascii="仿宋" w:hAnsi="仿宋" w:eastAsia="仿宋" w:cs="仿宋"/>
                <w:color w:val="auto"/>
                <w:highlight w:val="none"/>
                <w:lang w:eastAsia="zh-CN"/>
              </w:rPr>
              <w:t>标</w:t>
            </w:r>
            <w:r>
              <w:rPr>
                <w:rFonts w:hint="eastAsia" w:ascii="仿宋" w:hAnsi="仿宋" w:eastAsia="仿宋" w:cs="仿宋"/>
                <w:color w:val="auto"/>
                <w:highlight w:val="none"/>
              </w:rPr>
              <w:t>段供应商不论</w:t>
            </w:r>
            <w:r>
              <w:rPr>
                <w:rFonts w:hint="eastAsia" w:ascii="仿宋" w:hAnsi="仿宋" w:eastAsia="仿宋" w:cs="仿宋"/>
                <w:color w:val="auto"/>
                <w:highlight w:val="none"/>
                <w:lang w:eastAsia="zh-CN"/>
              </w:rPr>
              <w:t>中标</w:t>
            </w:r>
            <w:r>
              <w:rPr>
                <w:rFonts w:hint="eastAsia" w:ascii="仿宋" w:hAnsi="仿宋" w:eastAsia="仿宋" w:cs="仿宋"/>
                <w:color w:val="auto"/>
                <w:highlight w:val="none"/>
              </w:rPr>
              <w:t>与否，磋商后需将纸质版响应文件按要求递交至采购代理机构。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采购人如有疑问，于2023年07月 07日19:00前将有关疑问以书面形式（必须加盖采购人公章）送达或传真（同时将疑问电子版发至47630271@qq.com）至新疆秦之玺工程咨询有限责任公司（克拉玛依市广源路恒隆广场B座501），采购人将对所提疑问以书面形式通知至领取磋商文件的每位投标人，超过此时间所提疑问采购人或招标代理机构均不予答复。</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书面提问截止时间 ：2023年07月 07 日19:00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highlight w:val="none"/>
              </w:rPr>
              <w:t>7</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递交</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时间：</w:t>
            </w:r>
            <w:r>
              <w:rPr>
                <w:rFonts w:hint="eastAsia" w:ascii="仿宋" w:hAnsi="仿宋" w:eastAsia="仿宋" w:cs="仿宋"/>
                <w:color w:val="auto"/>
                <w:highlight w:val="none"/>
                <w:lang w:val="en-US" w:eastAsia="zh-CN"/>
              </w:rPr>
              <w:t>2023年7月14日10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0-1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30</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递交</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截止时间：</w:t>
            </w:r>
            <w:r>
              <w:rPr>
                <w:rFonts w:hint="eastAsia" w:ascii="仿宋" w:hAnsi="仿宋" w:eastAsia="仿宋" w:cs="仿宋"/>
                <w:color w:val="auto"/>
                <w:highlight w:val="none"/>
                <w:lang w:val="en-US" w:eastAsia="zh-CN"/>
              </w:rPr>
              <w:t>2023年7月14日</w:t>
            </w: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0</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递交</w:t>
            </w:r>
            <w:r>
              <w:rPr>
                <w:rFonts w:hint="eastAsia" w:ascii="仿宋" w:hAnsi="仿宋" w:eastAsia="仿宋" w:cs="仿宋"/>
                <w:color w:val="auto"/>
                <w:highlight w:val="none"/>
                <w:lang w:eastAsia="zh-CN"/>
              </w:rPr>
              <w:t>投标文件</w:t>
            </w:r>
            <w:r>
              <w:rPr>
                <w:rFonts w:hint="eastAsia" w:ascii="仿宋" w:hAnsi="仿宋" w:eastAsia="仿宋" w:cs="仿宋"/>
                <w:color w:val="auto"/>
                <w:highlight w:val="none"/>
              </w:rPr>
              <w:t>地点：</w:t>
            </w:r>
            <w:r>
              <w:rPr>
                <w:rFonts w:hint="eastAsia" w:ascii="仿宋" w:hAnsi="仿宋" w:eastAsia="仿宋" w:cs="仿宋"/>
                <w:color w:val="auto"/>
                <w:highlight w:val="none"/>
                <w:lang w:val="en-US" w:eastAsia="zh-CN"/>
              </w:rPr>
              <w:t>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highlight w:val="none"/>
              </w:rPr>
              <w:t>8</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开标</w:t>
            </w:r>
            <w:r>
              <w:rPr>
                <w:rFonts w:hint="eastAsia" w:ascii="仿宋" w:hAnsi="仿宋" w:eastAsia="仿宋" w:cs="仿宋"/>
                <w:color w:val="auto"/>
                <w:highlight w:val="none"/>
              </w:rPr>
              <w:t>时间：</w:t>
            </w:r>
            <w:r>
              <w:rPr>
                <w:rFonts w:hint="eastAsia" w:ascii="仿宋" w:hAnsi="仿宋" w:eastAsia="仿宋" w:cs="仿宋"/>
                <w:color w:val="auto"/>
                <w:highlight w:val="none"/>
                <w:lang w:val="en-US" w:eastAsia="zh-CN"/>
              </w:rPr>
              <w:t>2023年7月14日</w:t>
            </w: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0</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highlight w:val="none"/>
                <w:lang w:eastAsia="zh-CN"/>
              </w:rPr>
              <w:t>开标</w:t>
            </w:r>
            <w:r>
              <w:rPr>
                <w:rFonts w:hint="eastAsia" w:ascii="仿宋" w:hAnsi="仿宋" w:eastAsia="仿宋" w:cs="仿宋"/>
                <w:color w:val="auto"/>
                <w:highlight w:val="none"/>
              </w:rPr>
              <w:t>地点：</w:t>
            </w:r>
            <w:r>
              <w:rPr>
                <w:rFonts w:hint="eastAsia" w:ascii="仿宋" w:hAnsi="仿宋" w:eastAsia="仿宋" w:cs="仿宋"/>
                <w:color w:val="auto"/>
                <w:highlight w:val="none"/>
                <w:lang w:val="en-US" w:eastAsia="zh-CN"/>
              </w:rPr>
              <w:t>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highlight w:val="none"/>
                <w:lang w:val="en-US" w:eastAsia="zh-CN"/>
              </w:rPr>
              <w:t>9</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投标</w:t>
            </w:r>
            <w:r>
              <w:rPr>
                <w:rFonts w:hint="eastAsia" w:ascii="仿宋" w:hAnsi="仿宋" w:eastAsia="仿宋" w:cs="仿宋"/>
                <w:color w:val="auto"/>
                <w:highlight w:val="none"/>
              </w:rPr>
              <w:t>文件的份数：一式叁份，其中正本壹份，副本贰份，电子文件（光盘或U盘）一式贰份（</w:t>
            </w:r>
            <w:r>
              <w:rPr>
                <w:rFonts w:hint="eastAsia" w:ascii="仿宋" w:hAnsi="仿宋" w:eastAsia="仿宋" w:cs="仿宋"/>
                <w:color w:val="auto"/>
                <w:highlight w:val="none"/>
                <w:lang w:eastAsia="zh-CN"/>
              </w:rPr>
              <w:t>中标</w:t>
            </w:r>
            <w:r>
              <w:rPr>
                <w:rFonts w:hint="eastAsia" w:ascii="仿宋" w:hAnsi="仿宋" w:eastAsia="仿宋" w:cs="仿宋"/>
                <w:color w:val="auto"/>
                <w:highlight w:val="none"/>
              </w:rPr>
              <w:t>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highlight w:val="none"/>
                <w:lang w:val="en-US" w:eastAsia="zh-CN"/>
              </w:rPr>
              <w:t>10</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本次招标共分</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个标段（包）</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第1包（标段）：第九中学管网维修改造；第2包（标段）：第十四小学管网维修改造；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highlight w:val="none"/>
                <w:lang w:val="en-US" w:eastAsia="zh-CN"/>
              </w:rPr>
              <w:t>11</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0000FF"/>
                <w:highlight w:val="none"/>
              </w:rPr>
              <w:t>采购项目</w:t>
            </w:r>
            <w:r>
              <w:rPr>
                <w:rFonts w:hint="eastAsia" w:ascii="仿宋" w:hAnsi="仿宋" w:eastAsia="仿宋" w:cs="仿宋"/>
                <w:b/>
                <w:bCs/>
                <w:color w:val="0000FF"/>
                <w:highlight w:val="none"/>
                <w:lang w:val="en-US" w:eastAsia="zh-CN"/>
              </w:rPr>
              <w:t>第1包采购控制价：¥127.6007万元（大写：人民币壹佰贰拾柒万陆仟零柒元整），其中安全文明施工费为人民币1.4241万元（大写：人民币壹万肆仟贰佰肆拾壹元整）；第2包采购控制价：¥82.8309万元（大写：人民币捌拾贰万捌仟叁佰零玖元整），其中安全文明施工费为人民币0.5778万元（大写：人民币伍仟柒佰柒拾捌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664" w:type="dxa"/>
            <w:vAlign w:val="center"/>
          </w:tcPr>
          <w:p>
            <w:pPr>
              <w:pStyle w:val="14"/>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0015" w:type="dxa"/>
            <w:vAlign w:val="center"/>
          </w:tcPr>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lang w:eastAsia="zh-CN"/>
              </w:rPr>
              <w:t>采购</w:t>
            </w:r>
            <w:r>
              <w:rPr>
                <w:rFonts w:hint="eastAsia" w:ascii="仿宋" w:hAnsi="仿宋" w:eastAsia="仿宋" w:cs="仿宋"/>
                <w:b/>
                <w:bCs/>
                <w:color w:val="auto"/>
              </w:rPr>
              <w:t>代理费：</w:t>
            </w:r>
            <w:r>
              <w:rPr>
                <w:rFonts w:hint="eastAsia" w:ascii="仿宋" w:hAnsi="仿宋" w:eastAsia="仿宋" w:cs="仿宋"/>
                <w:b/>
                <w:bCs/>
                <w:color w:val="auto"/>
                <w:highlight w:val="none"/>
              </w:rPr>
              <w:t>本项目</w:t>
            </w:r>
            <w:r>
              <w:rPr>
                <w:rFonts w:hint="eastAsia" w:ascii="仿宋" w:hAnsi="仿宋" w:eastAsia="仿宋" w:cs="仿宋"/>
                <w:b/>
                <w:bCs/>
                <w:color w:val="auto"/>
                <w:highlight w:val="none"/>
                <w:lang w:eastAsia="zh-CN"/>
              </w:rPr>
              <w:t>采购</w:t>
            </w:r>
            <w:r>
              <w:rPr>
                <w:rFonts w:hint="eastAsia" w:ascii="仿宋" w:hAnsi="仿宋" w:eastAsia="仿宋" w:cs="仿宋"/>
                <w:b/>
                <w:bCs/>
                <w:color w:val="auto"/>
                <w:highlight w:val="none"/>
              </w:rPr>
              <w:t>代理费经与</w:t>
            </w:r>
            <w:r>
              <w:rPr>
                <w:rFonts w:hint="eastAsia" w:ascii="仿宋" w:hAnsi="仿宋" w:eastAsia="仿宋" w:cs="仿宋"/>
                <w:b/>
                <w:bCs/>
                <w:color w:val="auto"/>
                <w:highlight w:val="none"/>
                <w:lang w:eastAsia="zh-CN"/>
              </w:rPr>
              <w:t>采购</w:t>
            </w:r>
            <w:r>
              <w:rPr>
                <w:rFonts w:hint="eastAsia" w:ascii="仿宋" w:hAnsi="仿宋" w:eastAsia="仿宋" w:cs="仿宋"/>
                <w:b/>
                <w:bCs/>
                <w:color w:val="auto"/>
                <w:highlight w:val="none"/>
              </w:rPr>
              <w:t>人协商，确定由</w:t>
            </w:r>
            <w:r>
              <w:rPr>
                <w:rFonts w:hint="eastAsia" w:ascii="仿宋" w:hAnsi="仿宋" w:eastAsia="仿宋" w:cs="仿宋"/>
                <w:b/>
                <w:bCs/>
                <w:color w:val="auto"/>
                <w:highlight w:val="none"/>
                <w:lang w:eastAsia="zh-CN"/>
              </w:rPr>
              <w:t>中标</w:t>
            </w:r>
            <w:r>
              <w:rPr>
                <w:rFonts w:hint="eastAsia" w:ascii="仿宋" w:hAnsi="仿宋" w:eastAsia="仿宋" w:cs="仿宋"/>
                <w:b/>
                <w:bCs/>
                <w:color w:val="auto"/>
                <w:highlight w:val="none"/>
              </w:rPr>
              <w:t>单位进行支付，1</w:t>
            </w:r>
            <w:r>
              <w:rPr>
                <w:rFonts w:hint="eastAsia" w:ascii="仿宋" w:hAnsi="仿宋" w:eastAsia="仿宋" w:cs="仿宋"/>
                <w:b/>
                <w:bCs/>
                <w:color w:val="auto"/>
                <w:highlight w:val="none"/>
                <w:lang w:eastAsia="zh-CN"/>
              </w:rPr>
              <w:t>标</w:t>
            </w:r>
            <w:r>
              <w:rPr>
                <w:rFonts w:hint="eastAsia" w:ascii="仿宋" w:hAnsi="仿宋" w:eastAsia="仿宋" w:cs="仿宋"/>
                <w:b/>
                <w:bCs/>
                <w:color w:val="auto"/>
                <w:highlight w:val="none"/>
              </w:rPr>
              <w:t>段代理费为人民币</w:t>
            </w:r>
            <w:r>
              <w:rPr>
                <w:rFonts w:hint="eastAsia" w:ascii="仿宋" w:hAnsi="仿宋" w:eastAsia="仿宋" w:cs="仿宋"/>
                <w:b/>
                <w:bCs/>
                <w:color w:val="auto"/>
                <w:highlight w:val="none"/>
                <w:lang w:val="en-US" w:eastAsia="zh-CN"/>
              </w:rPr>
              <w:t>1.2万</w:t>
            </w:r>
            <w:r>
              <w:rPr>
                <w:rFonts w:hint="eastAsia" w:ascii="仿宋" w:hAnsi="仿宋" w:eastAsia="仿宋" w:cs="仿宋"/>
                <w:b/>
                <w:bCs/>
                <w:color w:val="auto"/>
                <w:highlight w:val="none"/>
              </w:rPr>
              <w:t>元（大写：人民币</w:t>
            </w:r>
            <w:r>
              <w:rPr>
                <w:rFonts w:hint="eastAsia" w:ascii="仿宋" w:hAnsi="仿宋" w:eastAsia="仿宋" w:cs="仿宋"/>
                <w:b/>
                <w:bCs/>
                <w:color w:val="auto"/>
                <w:highlight w:val="none"/>
                <w:lang w:eastAsia="zh-CN"/>
              </w:rPr>
              <w:t>壹万贰仟</w:t>
            </w:r>
            <w:r>
              <w:rPr>
                <w:rFonts w:hint="eastAsia" w:ascii="仿宋" w:hAnsi="仿宋" w:eastAsia="仿宋" w:cs="仿宋"/>
                <w:b/>
                <w:bCs/>
                <w:color w:val="auto"/>
                <w:highlight w:val="none"/>
              </w:rPr>
              <w:t>元整）；2</w:t>
            </w:r>
            <w:r>
              <w:rPr>
                <w:rFonts w:hint="eastAsia" w:ascii="仿宋" w:hAnsi="仿宋" w:eastAsia="仿宋" w:cs="仿宋"/>
                <w:b/>
                <w:bCs/>
                <w:color w:val="auto"/>
                <w:highlight w:val="none"/>
                <w:lang w:eastAsia="zh-CN"/>
              </w:rPr>
              <w:t>标</w:t>
            </w:r>
            <w:r>
              <w:rPr>
                <w:rFonts w:hint="eastAsia" w:ascii="仿宋" w:hAnsi="仿宋" w:eastAsia="仿宋" w:cs="仿宋"/>
                <w:b/>
                <w:bCs/>
                <w:color w:val="auto"/>
                <w:highlight w:val="none"/>
              </w:rPr>
              <w:t>段代理费为人民币</w:t>
            </w:r>
            <w:r>
              <w:rPr>
                <w:rFonts w:hint="eastAsia" w:ascii="仿宋" w:hAnsi="仿宋" w:eastAsia="仿宋" w:cs="仿宋"/>
                <w:b/>
                <w:bCs/>
                <w:color w:val="auto"/>
                <w:highlight w:val="none"/>
                <w:lang w:val="en-US" w:eastAsia="zh-CN"/>
              </w:rPr>
              <w:t>0.8万</w:t>
            </w:r>
            <w:r>
              <w:rPr>
                <w:rFonts w:hint="eastAsia" w:ascii="仿宋" w:hAnsi="仿宋" w:eastAsia="仿宋" w:cs="仿宋"/>
                <w:b/>
                <w:bCs/>
                <w:color w:val="auto"/>
                <w:highlight w:val="none"/>
              </w:rPr>
              <w:t>元（大写：人民币</w:t>
            </w:r>
            <w:r>
              <w:rPr>
                <w:rFonts w:hint="eastAsia" w:ascii="仿宋" w:hAnsi="仿宋" w:eastAsia="仿宋" w:cs="仿宋"/>
                <w:b/>
                <w:bCs/>
                <w:color w:val="auto"/>
                <w:highlight w:val="none"/>
                <w:lang w:eastAsia="zh-CN"/>
              </w:rPr>
              <w:t>捌</w:t>
            </w:r>
            <w:r>
              <w:rPr>
                <w:rFonts w:hint="eastAsia" w:ascii="仿宋" w:hAnsi="仿宋" w:eastAsia="仿宋" w:cs="仿宋"/>
                <w:b/>
                <w:bCs/>
                <w:color w:val="auto"/>
                <w:highlight w:val="none"/>
              </w:rPr>
              <w:t>仟元整）；</w:t>
            </w:r>
            <w:r>
              <w:rPr>
                <w:rFonts w:hint="eastAsia" w:ascii="仿宋" w:hAnsi="仿宋" w:eastAsia="仿宋" w:cs="仿宋"/>
                <w:b/>
                <w:bCs/>
                <w:color w:val="auto"/>
              </w:rPr>
              <w:t>中标单位领取中标通知书前，支付招标代理费。</w:t>
            </w:r>
            <w:r>
              <w:rPr>
                <w:rFonts w:hint="eastAsia" w:ascii="仿宋" w:hAnsi="仿宋" w:eastAsia="仿宋" w:cs="仿宋"/>
                <w:b/>
                <w:bCs/>
                <w:color w:val="auto"/>
                <w:sz w:val="24"/>
                <w:szCs w:val="24"/>
                <w:highlight w:val="none"/>
                <w:lang w:val="en-US" w:eastAsia="zh-CN"/>
              </w:rPr>
              <w:br w:type="textWrapping"/>
            </w:r>
            <w:r>
              <w:rPr>
                <w:rFonts w:hint="eastAsia" w:ascii="仿宋" w:hAnsi="仿宋" w:eastAsia="仿宋" w:cs="仿宋"/>
                <w:b/>
                <w:bCs/>
                <w:color w:val="auto"/>
                <w:highlight w:val="none"/>
                <w:lang w:val="en-US" w:eastAsia="zh-CN"/>
              </w:rPr>
              <w:t>采购代理费和评委费由供应商自行考虑计入本次投标报价中，不因供应商漏报或忽略而后期追加费用。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1"/>
                <w:szCs w:val="21"/>
              </w:rPr>
            </w:pPr>
            <w:r>
              <w:rPr>
                <w:rFonts w:hint="eastAsia" w:ascii="仿宋" w:hAnsi="仿宋" w:eastAsia="仿宋" w:cs="仿宋"/>
                <w:kern w:val="0"/>
                <w:sz w:val="21"/>
                <w:szCs w:val="21"/>
              </w:rPr>
              <w:t>单位名称：</w:t>
            </w:r>
            <w:r>
              <w:rPr>
                <w:rFonts w:hint="eastAsia" w:ascii="仿宋" w:hAnsi="仿宋" w:eastAsia="仿宋" w:cs="仿宋"/>
                <w:b/>
                <w:sz w:val="21"/>
                <w:szCs w:val="21"/>
              </w:rPr>
              <w:t>新疆秦之玺工程咨询有限责任公司克拉玛依分公司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highlight w:val="yellow"/>
              </w:rPr>
            </w:pPr>
            <w:r>
              <w:rPr>
                <w:rFonts w:hint="eastAsia" w:ascii="仿宋" w:hAnsi="仿宋" w:eastAsia="仿宋" w:cs="仿宋"/>
                <w:sz w:val="21"/>
                <w:szCs w:val="21"/>
              </w:rPr>
              <w:t>开</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户</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行：</w:t>
            </w:r>
            <w:r>
              <w:rPr>
                <w:rFonts w:hint="eastAsia" w:ascii="仿宋" w:hAnsi="仿宋" w:eastAsia="仿宋" w:cs="仿宋"/>
                <w:b/>
                <w:sz w:val="21"/>
                <w:szCs w:val="21"/>
              </w:rPr>
              <w:t>中国工商银行股份有限公司克拉玛依南泉支行</w:t>
            </w:r>
          </w:p>
          <w:p>
            <w:pPr>
              <w:pStyle w:val="14"/>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sz w:val="21"/>
                <w:szCs w:val="21"/>
              </w:rPr>
              <w:t>银行账号：</w:t>
            </w:r>
            <w:r>
              <w:rPr>
                <w:rFonts w:hint="eastAsia" w:ascii="仿宋" w:hAnsi="仿宋" w:eastAsia="仿宋" w:cs="仿宋"/>
                <w:b/>
                <w:sz w:val="21"/>
                <w:szCs w:val="21"/>
              </w:rPr>
              <w:t>3003024909100046811</w:t>
            </w:r>
          </w:p>
        </w:tc>
      </w:tr>
    </w:tbl>
    <w:p>
      <w:pPr>
        <w:rPr>
          <w:rFonts w:hint="eastAsia" w:ascii="仿宋" w:hAnsi="仿宋" w:eastAsia="仿宋" w:cs="仿宋"/>
          <w:b/>
          <w:bCs/>
          <w:color w:val="auto"/>
          <w:sz w:val="30"/>
          <w:szCs w:val="30"/>
          <w:highlight w:val="none"/>
        </w:rPr>
      </w:pPr>
      <w:bookmarkStart w:id="39" w:name="_Toc17277_WPSOffice_Level1"/>
      <w:r>
        <w:rPr>
          <w:rFonts w:hint="eastAsia" w:ascii="仿宋" w:hAnsi="仿宋" w:eastAsia="仿宋" w:cs="仿宋"/>
          <w:b/>
          <w:bCs/>
          <w:color w:val="auto"/>
          <w:sz w:val="30"/>
          <w:szCs w:val="30"/>
          <w:highlight w:val="none"/>
        </w:rPr>
        <w:br w:type="page"/>
      </w:r>
    </w:p>
    <w:p>
      <w:pPr>
        <w:pStyle w:val="24"/>
        <w:numPr>
          <w:ilvl w:val="0"/>
          <w:numId w:val="0"/>
        </w:numPr>
        <w:ind w:leftChars="0"/>
        <w:jc w:val="center"/>
        <w:rPr>
          <w:rFonts w:hint="eastAsia" w:ascii="仿宋" w:hAnsi="仿宋" w:eastAsia="仿宋" w:cs="仿宋"/>
          <w:b/>
          <w:bCs/>
          <w:color w:val="auto"/>
          <w:sz w:val="24"/>
          <w:highlight w:val="none"/>
        </w:rPr>
      </w:pPr>
      <w:r>
        <w:rPr>
          <w:rFonts w:hint="eastAsia" w:ascii="仿宋" w:hAnsi="仿宋" w:eastAsia="仿宋" w:cs="仿宋"/>
          <w:b/>
          <w:bCs/>
          <w:color w:val="auto"/>
          <w:sz w:val="30"/>
          <w:szCs w:val="30"/>
          <w:highlight w:val="none"/>
        </w:rPr>
        <w:t>第二章、供应商须知</w:t>
      </w:r>
      <w:bookmarkEnd w:id="39"/>
    </w:p>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一、说明</w:t>
      </w:r>
    </w:p>
    <w:p>
      <w:pPr>
        <w:pStyle w:val="14"/>
        <w:spacing w:line="360" w:lineRule="auto"/>
        <w:ind w:firstLine="480" w:firstLineChars="200"/>
        <w:outlineLvl w:val="1"/>
        <w:rPr>
          <w:rFonts w:hint="eastAsia" w:ascii="仿宋" w:hAnsi="仿宋" w:eastAsia="仿宋" w:cs="仿宋"/>
          <w:color w:val="auto"/>
          <w:sz w:val="24"/>
          <w:highlight w:val="none"/>
        </w:rPr>
      </w:pPr>
      <w:bookmarkStart w:id="40" w:name="_Toc243907571"/>
      <w:bookmarkStart w:id="41" w:name="_Toc243906311"/>
      <w:bookmarkStart w:id="42" w:name="_Toc246216180"/>
      <w:bookmarkStart w:id="43" w:name="_Toc233274811"/>
      <w:bookmarkStart w:id="44" w:name="_Toc6629"/>
      <w:r>
        <w:rPr>
          <w:rFonts w:hint="eastAsia" w:ascii="仿宋" w:hAnsi="仿宋" w:eastAsia="仿宋" w:cs="仿宋"/>
          <w:color w:val="auto"/>
          <w:sz w:val="24"/>
          <w:highlight w:val="none"/>
        </w:rPr>
        <w:t>1、适用范围</w:t>
      </w:r>
      <w:bookmarkEnd w:id="40"/>
      <w:bookmarkEnd w:id="41"/>
      <w:bookmarkEnd w:id="42"/>
      <w:bookmarkEnd w:id="43"/>
      <w:r>
        <w:rPr>
          <w:rFonts w:hint="eastAsia" w:ascii="仿宋" w:hAnsi="仿宋" w:eastAsia="仿宋" w:cs="仿宋"/>
          <w:color w:val="auto"/>
          <w:sz w:val="24"/>
          <w:highlight w:val="none"/>
        </w:rPr>
        <w:t>及招标依据</w:t>
      </w:r>
      <w:bookmarkEnd w:id="44"/>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 适用范围</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文件仅适用于</w:t>
      </w:r>
      <w:r>
        <w:rPr>
          <w:rFonts w:hint="eastAsia" w:ascii="仿宋" w:hAnsi="仿宋" w:eastAsia="仿宋" w:cs="仿宋"/>
          <w:color w:val="0000FF"/>
          <w:sz w:val="24"/>
          <w:highlight w:val="none"/>
        </w:rPr>
        <w:t>克拉玛依市白碱滩区（克拉玛依高新技术产业开发区）金龙镇学校改善提升工程</w:t>
      </w:r>
      <w:r>
        <w:rPr>
          <w:rFonts w:hint="eastAsia" w:ascii="仿宋" w:hAnsi="仿宋" w:eastAsia="仿宋" w:cs="仿宋"/>
          <w:color w:val="auto"/>
          <w:sz w:val="24"/>
          <w:szCs w:val="24"/>
          <w:highlight w:val="none"/>
        </w:rPr>
        <w:t>。</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1.2招标依据</w:t>
      </w:r>
    </w:p>
    <w:p>
      <w:pPr>
        <w:pStyle w:val="14"/>
        <w:spacing w:line="360" w:lineRule="auto"/>
        <w:ind w:firstLine="480" w:firstLineChars="200"/>
        <w:rPr>
          <w:rFonts w:ascii="仿宋" w:hAnsi="仿宋" w:eastAsia="仿宋" w:cs="仿宋"/>
          <w:color w:val="000000" w:themeColor="text1"/>
          <w:sz w:val="24"/>
          <w14:textFill>
            <w14:solidFill>
              <w14:schemeClr w14:val="tx1"/>
            </w14:solidFill>
          </w14:textFill>
        </w:rPr>
      </w:pPr>
      <w:bookmarkStart w:id="45" w:name="_Toc246216181"/>
      <w:bookmarkStart w:id="46" w:name="_Toc243906312"/>
      <w:bookmarkStart w:id="47" w:name="_Toc243907572"/>
      <w:bookmarkStart w:id="48" w:name="_Toc20877"/>
      <w:bookmarkStart w:id="49" w:name="_Toc233274812"/>
      <w:r>
        <w:rPr>
          <w:rFonts w:hint="eastAsia" w:ascii="仿宋" w:hAnsi="仿宋" w:eastAsia="仿宋" w:cs="仿宋"/>
          <w:color w:val="000000" w:themeColor="text1"/>
          <w:sz w:val="24"/>
          <w14:textFill>
            <w14:solidFill>
              <w14:schemeClr w14:val="tx1"/>
            </w14:solidFill>
          </w14:textFill>
        </w:rPr>
        <w:t>根据《中华人民共和国政府采购法》、《中华人民共和国政府采购实施条例》、《财政部关于印发〈政府采购竞争性磋商采购方式管理暂行办法〉的通知》（财库〔2014〕214号）及有关法律、法规。</w:t>
      </w:r>
    </w:p>
    <w:p>
      <w:pPr>
        <w:pStyle w:val="14"/>
        <w:spacing w:line="360" w:lineRule="auto"/>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2、定义</w:t>
      </w:r>
      <w:bookmarkEnd w:id="45"/>
      <w:bookmarkEnd w:id="46"/>
      <w:bookmarkEnd w:id="47"/>
      <w:bookmarkEnd w:id="48"/>
      <w:bookmarkEnd w:id="49"/>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w:t>
      </w:r>
      <w:r>
        <w:rPr>
          <w:rFonts w:hint="eastAsia" w:ascii="仿宋" w:hAnsi="仿宋" w:eastAsia="仿宋" w:cs="仿宋"/>
          <w:color w:val="0000FF"/>
          <w:sz w:val="24"/>
          <w:highlight w:val="none"/>
        </w:rPr>
        <w:t>克拉玛依市白碱滩区（克拉玛依高新技术产业开发区）教育局</w:t>
      </w:r>
      <w:r>
        <w:rPr>
          <w:rFonts w:hint="eastAsia" w:ascii="仿宋" w:hAnsi="仿宋" w:eastAsia="仿宋" w:cs="仿宋"/>
          <w:color w:val="auto"/>
          <w:sz w:val="24"/>
          <w:highlight w:val="none"/>
        </w:rPr>
        <w:t>，在签订和执行合同阶段称“</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2.2 </w:t>
      </w: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highlight w:val="none"/>
        </w:rPr>
        <w:t>系指</w:t>
      </w:r>
      <w:r>
        <w:rPr>
          <w:rFonts w:hint="eastAsia" w:ascii="仿宋" w:hAnsi="仿宋" w:eastAsia="仿宋" w:cs="仿宋"/>
          <w:color w:val="0000FF"/>
          <w:sz w:val="24"/>
        </w:rPr>
        <w:t>新疆秦之玺工程咨询有限责任公司</w:t>
      </w:r>
      <w:r>
        <w:rPr>
          <w:rFonts w:hint="eastAsia" w:ascii="仿宋" w:hAnsi="仿宋" w:eastAsia="仿宋" w:cs="仿宋"/>
          <w:color w:val="auto"/>
          <w:sz w:val="24"/>
          <w:highlight w:val="none"/>
        </w:rPr>
        <w:t>。</w:t>
      </w:r>
    </w:p>
    <w:p>
      <w:pPr>
        <w:pStyle w:val="14"/>
        <w:spacing w:line="360" w:lineRule="auto"/>
        <w:ind w:firstLine="480" w:firstLineChars="200"/>
        <w:rPr>
          <w:rFonts w:hint="eastAsia" w:ascii="仿宋" w:hAnsi="仿宋" w:eastAsia="仿宋" w:cs="仿宋"/>
          <w:color w:val="auto"/>
          <w:sz w:val="24"/>
          <w:highlight w:val="none"/>
          <w:lang w:val="zh-CN"/>
        </w:rPr>
      </w:pPr>
      <w:bookmarkStart w:id="50" w:name="_Toc246216182"/>
      <w:bookmarkStart w:id="51" w:name="_Toc233274813"/>
      <w:bookmarkStart w:id="52" w:name="_Toc243906313"/>
      <w:bookmarkStart w:id="53" w:name="_Toc243907573"/>
      <w:r>
        <w:rPr>
          <w:rFonts w:hint="eastAsia" w:ascii="仿宋" w:hAnsi="仿宋" w:eastAsia="仿宋" w:cs="仿宋"/>
          <w:color w:val="auto"/>
          <w:sz w:val="24"/>
          <w:highlight w:val="none"/>
          <w:lang w:val="zh-CN"/>
        </w:rPr>
        <w:t>2.3 “供应商”系指具备资格并响应招标文件要求提交投标文件的法人，供应商若中标，在签订和执行合同阶段称“</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lang w:val="zh-CN"/>
        </w:rPr>
        <w:t>”。</w:t>
      </w:r>
    </w:p>
    <w:p>
      <w:pPr>
        <w:pStyle w:val="14"/>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2.4 “招标文件”系指由采购人向供应商发出的本采购项目的全部文件（包括修改文件、项目采购需求、补充文件、答疑纪要、各种通知和附件等）。</w:t>
      </w:r>
    </w:p>
    <w:p>
      <w:pPr>
        <w:pStyle w:val="14"/>
        <w:spacing w:line="360" w:lineRule="auto"/>
        <w:ind w:firstLine="480" w:firstLineChars="200"/>
        <w:rPr>
          <w:rFonts w:hint="eastAsia" w:ascii="仿宋" w:hAnsi="仿宋" w:eastAsia="仿宋" w:cs="仿宋"/>
          <w:color w:val="auto"/>
          <w:sz w:val="24"/>
          <w:highlight w:val="none"/>
          <w:shd w:val="clear" w:color="FFFFFF" w:fill="D9D9D9"/>
          <w:lang w:val="zh-CN"/>
        </w:rPr>
      </w:pPr>
      <w:r>
        <w:rPr>
          <w:rFonts w:hint="eastAsia" w:ascii="仿宋" w:hAnsi="仿宋" w:eastAsia="仿宋" w:cs="仿宋"/>
          <w:color w:val="auto"/>
          <w:sz w:val="24"/>
          <w:highlight w:val="none"/>
          <w:lang w:val="zh-CN"/>
        </w:rPr>
        <w:t>2.5 “投标文件”系指供应商根据招标文件提交的所有文件及电子文档。</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2.6 “合同货物”</w:t>
      </w:r>
      <w:r>
        <w:rPr>
          <w:rFonts w:hint="eastAsia" w:ascii="仿宋" w:hAnsi="仿宋" w:eastAsia="仿宋" w:cs="仿宋"/>
          <w:color w:val="auto"/>
          <w:sz w:val="24"/>
          <w:highlight w:val="none"/>
        </w:rPr>
        <w:t>系指按合同条款、技术规范及标准、项目采购需求、本</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文件规定，</w:t>
      </w:r>
      <w:r>
        <w:rPr>
          <w:rFonts w:hint="eastAsia" w:ascii="仿宋" w:hAnsi="仿宋" w:eastAsia="仿宋" w:cs="仿宋"/>
          <w:color w:val="auto"/>
          <w:sz w:val="24"/>
          <w:highlight w:val="none"/>
          <w:lang w:val="zh-CN"/>
        </w:rPr>
        <w:t>中标</w:t>
      </w:r>
      <w:r>
        <w:rPr>
          <w:rFonts w:hint="eastAsia" w:ascii="仿宋" w:hAnsi="仿宋" w:eastAsia="仿宋" w:cs="仿宋"/>
          <w:color w:val="auto"/>
          <w:sz w:val="24"/>
          <w:highlight w:val="none"/>
        </w:rPr>
        <w:t>供应商须向采购人提供服务。</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2.7 </w:t>
      </w:r>
      <w:r>
        <w:rPr>
          <w:rFonts w:hint="eastAsia" w:ascii="仿宋" w:hAnsi="仿宋" w:eastAsia="仿宋" w:cs="仿宋"/>
          <w:b/>
          <w:bCs/>
          <w:color w:val="auto"/>
          <w:sz w:val="24"/>
          <w:highlight w:val="none"/>
          <w:lang w:val="zh-CN"/>
        </w:rPr>
        <w:t>“服务”</w:t>
      </w:r>
      <w:r>
        <w:rPr>
          <w:rFonts w:hint="eastAsia" w:ascii="仿宋" w:hAnsi="仿宋" w:eastAsia="仿宋" w:cs="仿宋"/>
          <w:b/>
          <w:bCs/>
          <w:color w:val="auto"/>
          <w:sz w:val="24"/>
          <w:highlight w:val="none"/>
        </w:rPr>
        <w:t>系指按合同条款、技术规范及标准、项目采购需求、本</w:t>
      </w:r>
      <w:r>
        <w:rPr>
          <w:rFonts w:hint="eastAsia" w:ascii="仿宋" w:hAnsi="仿宋" w:eastAsia="仿宋" w:cs="仿宋"/>
          <w:b/>
          <w:bCs/>
          <w:color w:val="auto"/>
          <w:sz w:val="24"/>
          <w:highlight w:val="none"/>
          <w:lang w:eastAsia="zh-CN"/>
        </w:rPr>
        <w:t>招标</w:t>
      </w:r>
      <w:r>
        <w:rPr>
          <w:rFonts w:hint="eastAsia" w:ascii="仿宋" w:hAnsi="仿宋" w:eastAsia="仿宋" w:cs="仿宋"/>
          <w:b/>
          <w:bCs/>
          <w:color w:val="auto"/>
          <w:sz w:val="24"/>
          <w:highlight w:val="none"/>
        </w:rPr>
        <w:t>文件规定，</w:t>
      </w:r>
      <w:r>
        <w:rPr>
          <w:rFonts w:hint="eastAsia" w:ascii="仿宋" w:hAnsi="仿宋" w:eastAsia="仿宋" w:cs="仿宋"/>
          <w:b/>
          <w:bCs/>
          <w:color w:val="auto"/>
          <w:sz w:val="24"/>
          <w:highlight w:val="none"/>
          <w:lang w:val="zh-CN"/>
        </w:rPr>
        <w:t>中标</w:t>
      </w:r>
      <w:r>
        <w:rPr>
          <w:rFonts w:hint="eastAsia" w:ascii="仿宋" w:hAnsi="仿宋" w:eastAsia="仿宋" w:cs="仿宋"/>
          <w:b/>
          <w:bCs/>
          <w:color w:val="auto"/>
          <w:sz w:val="24"/>
          <w:highlight w:val="none"/>
          <w:lang w:eastAsia="zh-CN"/>
        </w:rPr>
        <w:t>供应商本次拟对金龙镇第九中学管网和第十四小学管网进行维修改造。各包段包含全部内容并配合采购人完成与此服务相关的全部工作。</w:t>
      </w:r>
    </w:p>
    <w:p>
      <w:pPr>
        <w:pStyle w:val="14"/>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w:t>
      </w:r>
      <w:r>
        <w:rPr>
          <w:rFonts w:hint="eastAsia" w:ascii="仿宋" w:hAnsi="仿宋" w:eastAsia="仿宋" w:cs="仿宋"/>
          <w:color w:val="auto"/>
          <w:sz w:val="24"/>
          <w:highlight w:val="none"/>
        </w:rPr>
        <w:t xml:space="preserve">8 </w:t>
      </w:r>
      <w:r>
        <w:rPr>
          <w:rFonts w:hint="eastAsia" w:ascii="仿宋" w:hAnsi="仿宋" w:eastAsia="仿宋" w:cs="仿宋"/>
          <w:color w:val="auto"/>
          <w:sz w:val="24"/>
          <w:highlight w:val="none"/>
          <w:lang w:val="zh-CN"/>
        </w:rPr>
        <w:t xml:space="preserve">凡提及的“天、日期、星期、月份和年份”系指公历日历的日历天、日期、星期、月份和年份。 </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50"/>
      <w:bookmarkEnd w:id="51"/>
      <w:bookmarkEnd w:id="52"/>
      <w:bookmarkEnd w:id="53"/>
      <w:r>
        <w:rPr>
          <w:rFonts w:hint="eastAsia" w:ascii="仿宋" w:hAnsi="仿宋" w:eastAsia="仿宋" w:cs="仿宋"/>
          <w:color w:val="auto"/>
          <w:sz w:val="24"/>
          <w:highlight w:val="none"/>
        </w:rPr>
        <w:t>采购范围及服务期限</w:t>
      </w:r>
    </w:p>
    <w:p>
      <w:pPr>
        <w:spacing w:line="360" w:lineRule="auto"/>
        <w:ind w:firstLine="482"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bCs/>
          <w:color w:val="auto"/>
          <w:sz w:val="24"/>
          <w:highlight w:val="none"/>
        </w:rPr>
        <w:t>3.1采购范围</w:t>
      </w: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rPr>
        <w:t>本次</w:t>
      </w:r>
      <w:r>
        <w:rPr>
          <w:rFonts w:hint="eastAsia" w:ascii="仿宋" w:hAnsi="仿宋" w:eastAsia="仿宋" w:cs="仿宋"/>
          <w:b/>
          <w:bCs/>
          <w:color w:val="auto"/>
          <w:sz w:val="24"/>
          <w:szCs w:val="24"/>
          <w:highlight w:val="none"/>
          <w:lang w:eastAsia="zh-CN"/>
        </w:rPr>
        <w:t>拟</w:t>
      </w:r>
      <w:r>
        <w:rPr>
          <w:rFonts w:hint="eastAsia" w:ascii="仿宋" w:hAnsi="仿宋" w:eastAsia="仿宋" w:cs="仿宋"/>
          <w:b/>
          <w:bCs/>
          <w:color w:val="auto"/>
          <w:sz w:val="24"/>
          <w:szCs w:val="24"/>
          <w:highlight w:val="none"/>
        </w:rPr>
        <w:t>对金龙镇第九中学管网和第十四小学管网进行维修改造</w:t>
      </w:r>
      <w:r>
        <w:rPr>
          <w:rFonts w:hint="eastAsia" w:ascii="仿宋" w:hAnsi="仿宋" w:eastAsia="仿宋" w:cs="仿宋"/>
          <w:b/>
          <w:bCs/>
          <w:color w:val="auto"/>
          <w:sz w:val="24"/>
          <w:highlight w:val="none"/>
          <w:lang w:val="en-US" w:eastAsia="zh-CN"/>
        </w:rPr>
        <w:t>，以及全部施工内容的保修责任和义务，项目建设过程中的管理及协调配合服务等工作内容。</w:t>
      </w:r>
    </w:p>
    <w:p>
      <w:pPr>
        <w:pStyle w:val="12"/>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kern w:val="2"/>
          <w:sz w:val="24"/>
          <w:szCs w:val="24"/>
          <w:highlight w:val="none"/>
          <w:lang w:val="en-US" w:eastAsia="zh-CN" w:bidi="ar-SA"/>
        </w:rPr>
        <w:t>3.2</w:t>
      </w:r>
      <w:r>
        <w:rPr>
          <w:rFonts w:hint="eastAsia" w:ascii="仿宋" w:hAnsi="仿宋" w:eastAsia="仿宋" w:cs="仿宋"/>
          <w:b/>
          <w:bCs/>
          <w:color w:val="auto"/>
          <w:sz w:val="24"/>
          <w:szCs w:val="24"/>
          <w:highlight w:val="none"/>
          <w:lang w:val="en-US" w:eastAsia="zh-CN"/>
        </w:rPr>
        <w:t>服务期限</w:t>
      </w:r>
      <w:r>
        <w:rPr>
          <w:rFonts w:hint="eastAsia" w:ascii="仿宋" w:hAnsi="仿宋" w:eastAsia="仿宋" w:cs="仿宋"/>
          <w:b/>
          <w:bCs/>
          <w:color w:val="auto"/>
          <w:sz w:val="24"/>
          <w:highlight w:val="none"/>
        </w:rPr>
        <w:t>：</w:t>
      </w:r>
      <w:r>
        <w:rPr>
          <w:rFonts w:hint="eastAsia" w:ascii="仿宋" w:hAnsi="仿宋" w:eastAsia="仿宋" w:cs="仿宋"/>
          <w:b/>
          <w:bCs/>
          <w:color w:val="0000FF"/>
          <w:kern w:val="2"/>
          <w:sz w:val="24"/>
          <w:szCs w:val="21"/>
          <w:highlight w:val="none"/>
          <w:lang w:val="en-US" w:eastAsia="zh-CN" w:bidi="ar-SA"/>
        </w:rPr>
        <w:t>各包段</w:t>
      </w:r>
      <w:r>
        <w:rPr>
          <w:rFonts w:hint="eastAsia" w:ascii="仿宋" w:hAnsi="仿宋" w:eastAsia="仿宋" w:cs="仿宋"/>
          <w:b/>
          <w:bCs/>
          <w:color w:val="auto"/>
          <w:sz w:val="24"/>
          <w:szCs w:val="24"/>
          <w:highlight w:val="none"/>
        </w:rPr>
        <w:t>计划进场时间</w:t>
      </w:r>
      <w:r>
        <w:rPr>
          <w:rFonts w:hint="eastAsia" w:ascii="仿宋" w:hAnsi="仿宋" w:eastAsia="仿宋" w:cs="仿宋"/>
          <w:b/>
          <w:bCs/>
          <w:color w:val="auto"/>
          <w:sz w:val="24"/>
          <w:szCs w:val="24"/>
          <w:highlight w:val="none"/>
          <w:lang w:eastAsia="zh-CN"/>
        </w:rPr>
        <w:t>均</w:t>
      </w:r>
      <w:r>
        <w:rPr>
          <w:rFonts w:hint="eastAsia" w:ascii="仿宋" w:hAnsi="仿宋" w:eastAsia="仿宋" w:cs="仿宋"/>
          <w:b/>
          <w:bCs/>
          <w:color w:val="auto"/>
          <w:sz w:val="24"/>
          <w:szCs w:val="24"/>
          <w:highlight w:val="none"/>
        </w:rPr>
        <w:t>为202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日，202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17</w:t>
      </w:r>
      <w:r>
        <w:rPr>
          <w:rFonts w:hint="eastAsia" w:ascii="仿宋" w:hAnsi="仿宋" w:eastAsia="仿宋" w:cs="仿宋"/>
          <w:b/>
          <w:bCs/>
          <w:color w:val="auto"/>
          <w:sz w:val="24"/>
          <w:szCs w:val="24"/>
          <w:highlight w:val="none"/>
        </w:rPr>
        <w:t>日工程竣工验收合格，计划总工期</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天（日历日）</w:t>
      </w:r>
      <w:r>
        <w:rPr>
          <w:rFonts w:hint="eastAsia" w:ascii="仿宋" w:hAnsi="仿宋" w:eastAsia="仿宋" w:cs="仿宋"/>
          <w:b/>
          <w:color w:val="auto"/>
          <w:kern w:val="2"/>
          <w:sz w:val="24"/>
          <w:szCs w:val="24"/>
          <w:highlight w:val="none"/>
          <w:lang w:val="en-US" w:eastAsia="zh-CN" w:bidi="ar-SA"/>
        </w:rPr>
        <w:t>，</w:t>
      </w:r>
      <w:r>
        <w:rPr>
          <w:rFonts w:hint="eastAsia" w:ascii="仿宋" w:hAnsi="仿宋" w:eastAsia="仿宋" w:cs="仿宋"/>
          <w:b/>
          <w:color w:val="auto"/>
          <w:kern w:val="2"/>
          <w:sz w:val="24"/>
          <w:szCs w:val="24"/>
          <w:lang w:val="en-US" w:eastAsia="zh-CN" w:bidi="ar-SA"/>
        </w:rPr>
        <w:t>供应商可根据招标人要求及自身实力自行承诺合理可行的工期</w:t>
      </w:r>
      <w:r>
        <w:rPr>
          <w:rFonts w:hint="eastAsia" w:ascii="仿宋" w:hAnsi="仿宋" w:eastAsia="仿宋" w:cs="仿宋"/>
          <w:b/>
          <w:bCs/>
          <w:color w:val="auto"/>
          <w:sz w:val="24"/>
          <w:highlight w:val="none"/>
          <w:lang w:val="en-US" w:eastAsia="zh-CN"/>
        </w:rPr>
        <w:t>。</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w:t>
      </w:r>
      <w:r>
        <w:rPr>
          <w:rFonts w:hint="eastAsia" w:ascii="仿宋" w:hAnsi="仿宋" w:eastAsia="仿宋" w:cs="仿宋"/>
          <w:color w:val="auto"/>
          <w:sz w:val="24"/>
          <w:highlight w:val="none"/>
        </w:rPr>
        <w:t>、合格供应商资格要求</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4.1详见第一章“</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公告”中的供应商资格要求。</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4.2采购有关规定</w:t>
      </w:r>
    </w:p>
    <w:p>
      <w:pPr>
        <w:snapToGrid w:val="0"/>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4.2.1供应商负责人为同一人或者存在直接控股、管理关系的不同供应商，不得参加同一合同项下的政府采购活动。</w:t>
      </w:r>
    </w:p>
    <w:p>
      <w:pPr>
        <w:snapToGrid w:val="0"/>
        <w:spacing w:line="360" w:lineRule="auto"/>
        <w:ind w:firstLine="479" w:firstLineChars="19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4.2.2为采购项目提供整体设计、规范编制或者项目管理、监理、检测等服务的供应商，不得再参加该采购项目的其他采购活动。</w:t>
      </w:r>
    </w:p>
    <w:p>
      <w:pPr>
        <w:pStyle w:val="38"/>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5、回避。政府采购活动中，采购人员及相关人员与供应商有下列利害关系之一的，应当回避：</w:t>
      </w:r>
    </w:p>
    <w:p>
      <w:pPr>
        <w:pStyle w:val="38"/>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5.1参加采购活动前3年内与供应商存在劳动关系；</w:t>
      </w:r>
    </w:p>
    <w:p>
      <w:pPr>
        <w:pStyle w:val="38"/>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5.2参加采购活动前3年内担任供应商的董事、监事；</w:t>
      </w:r>
    </w:p>
    <w:p>
      <w:pPr>
        <w:pStyle w:val="38"/>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5.3参加采购活动前3年内是供应商的控股股东或者实际控制人；</w:t>
      </w:r>
    </w:p>
    <w:p>
      <w:pPr>
        <w:pStyle w:val="38"/>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5.4与供应商的法定代表人或者负责人有夫妻、直系血亲、三代以内旁系血亲或者近姻亲关系；</w:t>
      </w:r>
    </w:p>
    <w:p>
      <w:pPr>
        <w:pStyle w:val="38"/>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5.5与供应商有其他可能影响政府采购活动公平、公正进行的关系。</w:t>
      </w:r>
    </w:p>
    <w:p>
      <w:pPr>
        <w:pStyle w:val="38"/>
        <w:spacing w:line="360" w:lineRule="auto"/>
        <w:ind w:left="1"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仿宋" w:hAnsi="仿宋" w:eastAsia="仿宋" w:cs="仿宋"/>
          <w:color w:val="auto"/>
          <w:kern w:val="2"/>
          <w:sz w:val="24"/>
          <w:szCs w:val="24"/>
          <w:highlight w:val="none"/>
          <w:lang w:eastAsia="zh-CN"/>
        </w:rPr>
        <w:t>评标</w:t>
      </w:r>
      <w:r>
        <w:rPr>
          <w:rFonts w:hint="eastAsia" w:ascii="仿宋" w:hAnsi="仿宋" w:eastAsia="仿宋" w:cs="仿宋"/>
          <w:color w:val="auto"/>
          <w:kern w:val="2"/>
          <w:sz w:val="24"/>
          <w:szCs w:val="24"/>
          <w:highlight w:val="none"/>
        </w:rPr>
        <w:t>小组成员。</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14"/>
        <w:spacing w:line="360" w:lineRule="auto"/>
        <w:ind w:firstLine="480" w:firstLineChars="200"/>
        <w:rPr>
          <w:rFonts w:hint="eastAsia" w:ascii="仿宋" w:hAnsi="仿宋" w:eastAsia="仿宋" w:cs="仿宋"/>
          <w:color w:val="auto"/>
          <w:sz w:val="24"/>
          <w:highlight w:val="none"/>
        </w:rPr>
      </w:pPr>
      <w:bookmarkStart w:id="54" w:name="_Toc243906316"/>
      <w:bookmarkStart w:id="55" w:name="_Toc243907576"/>
      <w:bookmarkStart w:id="56" w:name="_Toc245897276"/>
      <w:bookmarkStart w:id="57" w:name="_Toc233274816"/>
      <w:r>
        <w:rPr>
          <w:rFonts w:hint="eastAsia" w:ascii="仿宋" w:hAnsi="仿宋" w:eastAsia="仿宋" w:cs="仿宋"/>
          <w:color w:val="auto"/>
          <w:sz w:val="24"/>
          <w:highlight w:val="none"/>
        </w:rPr>
        <w:t>6、</w:t>
      </w:r>
      <w:r>
        <w:rPr>
          <w:rFonts w:hint="eastAsia" w:ascii="仿宋" w:hAnsi="仿宋" w:eastAsia="仿宋" w:cs="仿宋"/>
          <w:b/>
          <w:bCs/>
          <w:color w:val="auto"/>
          <w:sz w:val="24"/>
          <w:highlight w:val="none"/>
        </w:rPr>
        <w:t>实地考察和费用</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6.1实地考察</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采购人不统一组织勘察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须对采购项目的现场及采购项目所涉及的国家、自治区、克拉玛依地区、相关部门等与此相关的政策进行充分的调查、研究，参观并考察项目情况及其周围环境（包括当地气候条件及自然环境等）以取得所有与准备</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和实施</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有关的必要资料及信息。实地考察所发生的任何费用均由供应商自理。</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6.2参与</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费用</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6.2.1供应商应承担所有与</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准备和</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有关的全部费用，不论</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结果如何，采购人和采购代理机构无义务和责任承担供应商所发生的一切费用。</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6.2.2供应商在</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准备、实地考察和</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的全过程中，如果发生人身伤亡、财物或其它任何损失，不论何种原因所造成，均由供应商自行承担全部责任和损失。</w:t>
      </w:r>
    </w:p>
    <w:p>
      <w:pPr>
        <w:pStyle w:val="14"/>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zh-CN"/>
        </w:rPr>
        <w:t>、法律适用</w:t>
      </w:r>
      <w:bookmarkEnd w:id="54"/>
      <w:bookmarkEnd w:id="55"/>
      <w:bookmarkEnd w:id="56"/>
      <w:bookmarkEnd w:id="57"/>
    </w:p>
    <w:p>
      <w:pPr>
        <w:pStyle w:val="14"/>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zh-CN"/>
        </w:rPr>
        <w:t>.1本次</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lang w:val="zh-CN"/>
        </w:rPr>
        <w:t>活动及由本次</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lang w:val="zh-CN"/>
        </w:rPr>
        <w:t>产生的合同受中国法律制约和保护。</w:t>
      </w:r>
    </w:p>
    <w:p>
      <w:pPr>
        <w:pStyle w:val="14"/>
        <w:spacing w:line="360" w:lineRule="auto"/>
        <w:ind w:firstLine="480" w:firstLineChars="200"/>
        <w:rPr>
          <w:rFonts w:hint="eastAsia" w:ascii="仿宋" w:hAnsi="仿宋" w:eastAsia="仿宋" w:cs="仿宋"/>
          <w:color w:val="auto"/>
          <w:sz w:val="24"/>
          <w:highlight w:val="none"/>
          <w:lang w:val="zh-CN"/>
        </w:rPr>
      </w:pPr>
      <w:bookmarkStart w:id="58" w:name="_Toc233274817"/>
      <w:bookmarkStart w:id="59" w:name="_Toc243907577"/>
      <w:bookmarkStart w:id="60" w:name="_Toc243906317"/>
      <w:bookmarkStart w:id="61" w:name="_Toc245897277"/>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、招标文件的约束力</w:t>
      </w:r>
      <w:bookmarkEnd w:id="58"/>
      <w:bookmarkEnd w:id="59"/>
      <w:bookmarkEnd w:id="60"/>
      <w:bookmarkEnd w:id="61"/>
    </w:p>
    <w:p>
      <w:pPr>
        <w:pStyle w:val="14"/>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.1供应商若中标，即被认为接受了本招标文件中的所有条件和规定。是采购人与中标供应商签订合同的依据且是合同的组成部分。</w:t>
      </w: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w:t>
      </w:r>
      <w:r>
        <w:rPr>
          <w:rFonts w:hint="eastAsia" w:ascii="仿宋" w:hAnsi="仿宋" w:eastAsia="仿宋" w:cs="仿宋"/>
          <w:b/>
          <w:bCs/>
          <w:color w:val="auto"/>
          <w:sz w:val="28"/>
          <w:szCs w:val="28"/>
          <w:highlight w:val="none"/>
          <w:lang w:eastAsia="zh-CN"/>
        </w:rPr>
        <w:t>招标</w:t>
      </w:r>
      <w:r>
        <w:rPr>
          <w:rFonts w:hint="eastAsia" w:ascii="仿宋" w:hAnsi="仿宋" w:eastAsia="仿宋" w:cs="仿宋"/>
          <w:b/>
          <w:bCs/>
          <w:color w:val="auto"/>
          <w:sz w:val="28"/>
          <w:szCs w:val="28"/>
          <w:highlight w:val="none"/>
        </w:rPr>
        <w:t>文件</w:t>
      </w:r>
    </w:p>
    <w:p>
      <w:pPr>
        <w:pStyle w:val="14"/>
        <w:spacing w:line="360" w:lineRule="auto"/>
        <w:ind w:firstLine="480" w:firstLineChars="200"/>
        <w:rPr>
          <w:rFonts w:hint="eastAsia" w:ascii="仿宋" w:hAnsi="仿宋" w:eastAsia="仿宋" w:cs="仿宋"/>
          <w:color w:val="auto"/>
          <w:sz w:val="24"/>
          <w:highlight w:val="none"/>
        </w:rPr>
      </w:pPr>
      <w:bookmarkStart w:id="62" w:name="_Toc246216188"/>
      <w:bookmarkStart w:id="63" w:name="_Toc243906319"/>
      <w:bookmarkStart w:id="64" w:name="_Toc243907579"/>
      <w:bookmarkStart w:id="65" w:name="_Toc233274819"/>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文件的组成</w:t>
      </w:r>
      <w:bookmarkEnd w:id="62"/>
      <w:bookmarkEnd w:id="63"/>
      <w:bookmarkEnd w:id="64"/>
      <w:bookmarkEnd w:id="65"/>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9.1 本</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文件是对</w:t>
      </w:r>
      <w:r>
        <w:rPr>
          <w:rFonts w:hint="eastAsia" w:ascii="仿宋" w:hAnsi="仿宋" w:eastAsia="仿宋" w:cs="仿宋"/>
          <w:color w:val="0000FF"/>
          <w:sz w:val="24"/>
          <w:highlight w:val="none"/>
        </w:rPr>
        <w:t>克拉玛依市白碱滩区（克拉玛依高新技术产业开发区）金龙镇学校改善提升工程</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程序、合同条款进行说明。</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文件包括下列内容：</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第一章、竞争性磋商公告</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第二章、供应商须知</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第三章、项目采购需求</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第四章、合同协议书</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格式</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第六章、评标标准（综合评分法）</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9.2 </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文件以中文编印，以中文文本为准。</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9.3 除非有特殊要求，</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文件不单独提供采购项目使用地的自然环境、气候条件、劳动力及公用设施等情况，供应商被视为熟悉上述条件或若</w:t>
      </w:r>
      <w:r>
        <w:rPr>
          <w:rFonts w:hint="eastAsia" w:ascii="仿宋" w:hAnsi="仿宋" w:eastAsia="仿宋" w:cs="仿宋"/>
          <w:color w:val="auto"/>
          <w:sz w:val="24"/>
          <w:highlight w:val="none"/>
          <w:lang w:val="zh-CN"/>
        </w:rPr>
        <w:t>中标</w:t>
      </w:r>
      <w:r>
        <w:rPr>
          <w:rFonts w:hint="eastAsia" w:ascii="仿宋" w:hAnsi="仿宋" w:eastAsia="仿宋" w:cs="仿宋"/>
          <w:color w:val="auto"/>
          <w:sz w:val="24"/>
          <w:highlight w:val="none"/>
        </w:rPr>
        <w:t>履行合同有关的一切情况。</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9.4采购人向供应商提供的有关数据和资料，是采购人现有的能被供应商利用的资料，供应商对此做出的推论、理解和结论自行负责。</w:t>
      </w:r>
    </w:p>
    <w:p>
      <w:pPr>
        <w:pStyle w:val="14"/>
        <w:spacing w:line="360" w:lineRule="auto"/>
        <w:ind w:firstLine="480" w:firstLineChars="200"/>
        <w:rPr>
          <w:rFonts w:hint="eastAsia" w:ascii="仿宋" w:hAnsi="仿宋" w:eastAsia="仿宋" w:cs="仿宋"/>
          <w:color w:val="auto"/>
          <w:sz w:val="24"/>
          <w:highlight w:val="none"/>
        </w:rPr>
      </w:pPr>
      <w:bookmarkStart w:id="66" w:name="_Toc243907580"/>
      <w:bookmarkStart w:id="67" w:name="_Toc245897280"/>
      <w:bookmarkStart w:id="68" w:name="_Toc233274820"/>
      <w:bookmarkStart w:id="69" w:name="_Toc243906320"/>
      <w:r>
        <w:rPr>
          <w:rFonts w:hint="eastAsia" w:ascii="仿宋" w:hAnsi="仿宋" w:eastAsia="仿宋" w:cs="仿宋"/>
          <w:color w:val="auto"/>
          <w:sz w:val="24"/>
          <w:highlight w:val="none"/>
        </w:rPr>
        <w:t>10、</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文件的澄清</w:t>
      </w:r>
      <w:bookmarkEnd w:id="66"/>
      <w:bookmarkEnd w:id="67"/>
      <w:bookmarkEnd w:id="68"/>
      <w:bookmarkEnd w:id="69"/>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10.1 供应商对</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文件如有疑问，可要求澄清，应按</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文件“供应商须知前附表</w:t>
      </w:r>
      <w:r>
        <w:rPr>
          <w:rFonts w:hint="eastAsia" w:ascii="仿宋" w:hAnsi="仿宋" w:eastAsia="仿宋" w:cs="仿宋"/>
          <w:color w:val="auto"/>
          <w:sz w:val="24"/>
          <w:highlight w:val="none"/>
          <w:lang w:eastAsia="zh-CN"/>
        </w:rPr>
        <w:t>”规定</w:t>
      </w:r>
      <w:r>
        <w:rPr>
          <w:rFonts w:hint="eastAsia" w:ascii="仿宋" w:hAnsi="仿宋" w:eastAsia="仿宋" w:cs="仿宋"/>
          <w:color w:val="auto"/>
          <w:sz w:val="24"/>
          <w:highlight w:val="none"/>
        </w:rPr>
        <w:t>以书面形式（必须加盖供应商公章）送达或传真至采购代理机构（同时将疑问电子版发至</w:t>
      </w:r>
      <w:r>
        <w:rPr>
          <w:rFonts w:hint="eastAsia" w:ascii="仿宋" w:hAnsi="仿宋" w:eastAsia="仿宋" w:cs="仿宋"/>
          <w:color w:val="auto"/>
          <w:sz w:val="24"/>
          <w:highlight w:val="none"/>
          <w:lang w:val="en-US" w:eastAsia="zh-CN"/>
        </w:rPr>
        <w:t>47630271@</w:t>
      </w:r>
      <w:r>
        <w:rPr>
          <w:rFonts w:hint="eastAsia" w:ascii="仿宋" w:hAnsi="仿宋" w:eastAsia="仿宋" w:cs="仿宋"/>
          <w:color w:val="auto"/>
          <w:sz w:val="24"/>
          <w:highlight w:val="none"/>
        </w:rPr>
        <w:t>qq.com）。采购人和采购代理机构将视情况予以答复，并发至</w:t>
      </w:r>
      <w:r>
        <w:rPr>
          <w:rFonts w:hint="eastAsia" w:ascii="仿宋" w:hAnsi="仿宋" w:eastAsia="仿宋" w:cs="仿宋"/>
          <w:color w:val="auto"/>
          <w:sz w:val="24"/>
          <w:highlight w:val="none"/>
          <w:lang w:val="en-US" w:eastAsia="zh-CN"/>
        </w:rPr>
        <w:t>新疆政府采购网</w:t>
      </w:r>
      <w:r>
        <w:rPr>
          <w:rFonts w:hint="eastAsia" w:ascii="仿宋" w:hAnsi="仿宋" w:eastAsia="仿宋" w:cs="仿宋"/>
          <w:color w:val="auto"/>
          <w:sz w:val="24"/>
          <w:highlight w:val="none"/>
          <w:lang w:eastAsia="zh-CN"/>
        </w:rPr>
        <w:t>各</w:t>
      </w:r>
      <w:r>
        <w:rPr>
          <w:rFonts w:hint="eastAsia" w:ascii="仿宋" w:hAnsi="仿宋" w:eastAsia="仿宋" w:cs="仿宋"/>
          <w:color w:val="auto"/>
          <w:sz w:val="24"/>
          <w:highlight w:val="none"/>
        </w:rPr>
        <w:t>位供应商</w:t>
      </w:r>
      <w:r>
        <w:rPr>
          <w:rFonts w:hint="eastAsia" w:ascii="仿宋" w:hAnsi="仿宋" w:eastAsia="仿宋" w:cs="仿宋"/>
          <w:color w:val="auto"/>
          <w:sz w:val="24"/>
          <w:highlight w:val="none"/>
          <w:lang w:val="en-US" w:eastAsia="zh-CN"/>
        </w:rPr>
        <w:t>自行登录网站查阅。</w:t>
      </w:r>
      <w:r>
        <w:rPr>
          <w:rFonts w:hint="eastAsia" w:ascii="仿宋" w:hAnsi="仿宋" w:eastAsia="仿宋" w:cs="仿宋"/>
          <w:color w:val="auto"/>
          <w:sz w:val="24"/>
          <w:highlight w:val="none"/>
        </w:rPr>
        <w:t>答复中包括所提问题，但不包括问题的来源。</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 如果上述答复涉及对</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文件的修改或补充，则它将被视为</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文件的组成部分。凡原先所发</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文件中的内容与答复中的内容不一致之处，以最后</w:t>
      </w:r>
      <w:r>
        <w:rPr>
          <w:rFonts w:hint="eastAsia" w:ascii="仿宋" w:hAnsi="仿宋" w:eastAsia="仿宋" w:cs="仿宋"/>
          <w:color w:val="auto"/>
          <w:sz w:val="24"/>
          <w:highlight w:val="none"/>
          <w:lang w:eastAsia="zh-CN"/>
        </w:rPr>
        <w:t>发布</w:t>
      </w:r>
      <w:r>
        <w:rPr>
          <w:rFonts w:hint="eastAsia" w:ascii="仿宋" w:hAnsi="仿宋" w:eastAsia="仿宋" w:cs="仿宋"/>
          <w:color w:val="auto"/>
          <w:sz w:val="24"/>
          <w:highlight w:val="none"/>
        </w:rPr>
        <w:t>答复为准。任何电话或口头咨询和答复的意思解释均不具有法律约束力。</w:t>
      </w:r>
    </w:p>
    <w:p>
      <w:pPr>
        <w:pStyle w:val="14"/>
        <w:spacing w:line="360" w:lineRule="auto"/>
        <w:ind w:firstLine="480" w:firstLineChars="200"/>
        <w:rPr>
          <w:rFonts w:hint="eastAsia" w:ascii="仿宋" w:hAnsi="仿宋" w:eastAsia="仿宋" w:cs="仿宋"/>
          <w:color w:val="auto"/>
          <w:sz w:val="24"/>
          <w:highlight w:val="none"/>
        </w:rPr>
      </w:pPr>
      <w:bookmarkStart w:id="70" w:name="_Toc245897281"/>
      <w:bookmarkStart w:id="71" w:name="_Toc243906321"/>
      <w:bookmarkStart w:id="72" w:name="_Toc233274821"/>
      <w:bookmarkStart w:id="73" w:name="_Toc243907581"/>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文件的修改和补充</w:t>
      </w:r>
      <w:bookmarkEnd w:id="70"/>
      <w:bookmarkEnd w:id="71"/>
      <w:bookmarkEnd w:id="72"/>
      <w:bookmarkEnd w:id="73"/>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rPr>
        <w:t>在递交响应文件截止日期</w:t>
      </w:r>
      <w:r>
        <w:rPr>
          <w:rFonts w:hint="eastAsia" w:ascii="仿宋" w:hAnsi="仿宋" w:eastAsia="仿宋" w:cs="仿宋"/>
          <w:color w:val="auto"/>
          <w:sz w:val="24"/>
          <w:lang w:val="en-US" w:eastAsia="zh-CN"/>
        </w:rPr>
        <w:t>5</w:t>
      </w:r>
      <w:r>
        <w:rPr>
          <w:rFonts w:hint="eastAsia" w:ascii="仿宋" w:hAnsi="仿宋" w:eastAsia="仿宋" w:cs="仿宋"/>
          <w:color w:val="auto"/>
          <w:sz w:val="24"/>
        </w:rPr>
        <w:t>个工作日前的任何时候，</w:t>
      </w:r>
      <w:r>
        <w:rPr>
          <w:rFonts w:hint="eastAsia" w:ascii="仿宋" w:hAnsi="仿宋" w:eastAsia="仿宋" w:cs="仿宋"/>
          <w:color w:val="auto"/>
          <w:sz w:val="24"/>
          <w:lang w:eastAsia="zh-CN"/>
        </w:rPr>
        <w:t>采购人</w:t>
      </w:r>
      <w:r>
        <w:rPr>
          <w:rFonts w:hint="eastAsia" w:ascii="仿宋" w:hAnsi="仿宋" w:eastAsia="仿宋" w:cs="仿宋"/>
          <w:color w:val="auto"/>
          <w:sz w:val="24"/>
        </w:rPr>
        <w:t>可主动地或依据</w:t>
      </w:r>
      <w:r>
        <w:rPr>
          <w:rFonts w:hint="eastAsia" w:ascii="仿宋" w:hAnsi="仿宋" w:eastAsia="仿宋" w:cs="仿宋"/>
          <w:color w:val="auto"/>
          <w:sz w:val="24"/>
          <w:lang w:eastAsia="zh-CN"/>
        </w:rPr>
        <w:t>供应商</w:t>
      </w:r>
      <w:r>
        <w:rPr>
          <w:rFonts w:hint="eastAsia" w:ascii="仿宋" w:hAnsi="仿宋" w:eastAsia="仿宋" w:cs="仿宋"/>
          <w:color w:val="auto"/>
          <w:sz w:val="24"/>
        </w:rPr>
        <w:t>要求澄清的疑问而修改、补充竞争性磋商文件，对磋商文件的补充，采购代理机构将在新疆政府采购网政采云平台（www.zcygov.cn）发布，补充文件将作为磋商文件的组成部分，对所有供应商具有约束力</w:t>
      </w:r>
      <w:r>
        <w:rPr>
          <w:rFonts w:hint="eastAsia" w:ascii="仿宋" w:hAnsi="仿宋" w:eastAsia="仿宋" w:cs="仿宋"/>
          <w:color w:val="auto"/>
          <w:sz w:val="24"/>
          <w:highlight w:val="none"/>
        </w:rPr>
        <w:t>。</w:t>
      </w:r>
    </w:p>
    <w:p>
      <w:pPr>
        <w:pStyle w:val="1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rPr>
        <w:t>澄清或者修改的内容可能影响响应文件编制的，采购代理机构可延长递交响应文件截止时间和开启时间，但至少应当在规定的递交响应文件的截止时间</w:t>
      </w:r>
      <w:r>
        <w:rPr>
          <w:rFonts w:hint="eastAsia" w:ascii="仿宋" w:hAnsi="仿宋" w:eastAsia="仿宋" w:cs="仿宋"/>
          <w:color w:val="auto"/>
          <w:sz w:val="24"/>
          <w:lang w:val="en-US" w:eastAsia="zh-CN"/>
        </w:rPr>
        <w:t>5</w:t>
      </w:r>
      <w:r>
        <w:rPr>
          <w:rFonts w:hint="eastAsia" w:ascii="仿宋" w:hAnsi="仿宋" w:eastAsia="仿宋" w:cs="仿宋"/>
          <w:color w:val="auto"/>
          <w:sz w:val="24"/>
        </w:rPr>
        <w:t>日前，以书面形式通知所有领取磋商文件的每位供应商，不足</w:t>
      </w:r>
      <w:r>
        <w:rPr>
          <w:rFonts w:hint="eastAsia" w:ascii="仿宋" w:hAnsi="仿宋" w:eastAsia="仿宋" w:cs="仿宋"/>
          <w:color w:val="auto"/>
          <w:sz w:val="24"/>
          <w:lang w:val="en-US" w:eastAsia="zh-CN"/>
        </w:rPr>
        <w:t>5</w:t>
      </w:r>
      <w:r>
        <w:rPr>
          <w:rFonts w:hint="eastAsia" w:ascii="仿宋" w:hAnsi="仿宋" w:eastAsia="仿宋" w:cs="仿宋"/>
          <w:color w:val="auto"/>
          <w:sz w:val="24"/>
        </w:rPr>
        <w:t>日的，应当顺延提交响应文件截止日期</w:t>
      </w:r>
      <w:r>
        <w:rPr>
          <w:rFonts w:hint="eastAsia" w:ascii="仿宋" w:hAnsi="仿宋" w:eastAsia="仿宋" w:cs="仿宋"/>
          <w:color w:val="auto"/>
          <w:sz w:val="24"/>
          <w:highlight w:val="none"/>
        </w:rPr>
        <w:t>。</w:t>
      </w:r>
    </w:p>
    <w:p>
      <w:pPr>
        <w:pStyle w:val="14"/>
        <w:spacing w:line="360" w:lineRule="auto"/>
        <w:ind w:firstLine="480" w:firstLineChars="200"/>
        <w:rPr>
          <w:rFonts w:hint="eastAsia" w:ascii="仿宋" w:hAnsi="仿宋" w:eastAsia="仿宋" w:cs="仿宋"/>
          <w:color w:val="auto"/>
          <w:sz w:val="24"/>
          <w:highlight w:val="none"/>
        </w:rPr>
      </w:pPr>
    </w:p>
    <w:p>
      <w:pPr>
        <w:pStyle w:val="14"/>
        <w:numPr>
          <w:ilvl w:val="0"/>
          <w:numId w:val="7"/>
        </w:num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投标文件</w:t>
      </w:r>
      <w:r>
        <w:rPr>
          <w:rFonts w:hint="eastAsia" w:ascii="仿宋" w:hAnsi="仿宋" w:eastAsia="仿宋" w:cs="仿宋"/>
          <w:b/>
          <w:bCs/>
          <w:color w:val="auto"/>
          <w:sz w:val="28"/>
          <w:szCs w:val="28"/>
          <w:highlight w:val="none"/>
        </w:rPr>
        <w:t>的编写</w:t>
      </w:r>
    </w:p>
    <w:p>
      <w:pPr>
        <w:pStyle w:val="14"/>
        <w:spacing w:line="360" w:lineRule="auto"/>
        <w:ind w:firstLine="480" w:firstLineChars="200"/>
        <w:outlineLvl w:val="1"/>
        <w:rPr>
          <w:rFonts w:hint="eastAsia" w:ascii="仿宋" w:hAnsi="仿宋" w:eastAsia="仿宋" w:cs="仿宋"/>
          <w:color w:val="auto"/>
          <w:sz w:val="24"/>
          <w:szCs w:val="24"/>
          <w:highlight w:val="none"/>
        </w:rPr>
      </w:pPr>
      <w:bookmarkStart w:id="74" w:name="_Toc233274823"/>
      <w:bookmarkStart w:id="75" w:name="_Toc245897283"/>
      <w:bookmarkStart w:id="76" w:name="_Toc243907583"/>
      <w:bookmarkStart w:id="77" w:name="_Toc243906323"/>
      <w:bookmarkStart w:id="78" w:name="_Toc24796"/>
      <w:r>
        <w:rPr>
          <w:rFonts w:hint="eastAsia" w:ascii="仿宋" w:hAnsi="仿宋" w:eastAsia="仿宋" w:cs="仿宋"/>
          <w:color w:val="auto"/>
          <w:sz w:val="24"/>
          <w:szCs w:val="24"/>
          <w:highlight w:val="none"/>
        </w:rPr>
        <w:t>1</w:t>
      </w:r>
      <w:bookmarkEnd w:id="74"/>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的编写</w:t>
      </w:r>
      <w:bookmarkEnd w:id="75"/>
      <w:bookmarkEnd w:id="76"/>
      <w:bookmarkEnd w:id="77"/>
    </w:p>
    <w:p>
      <w:pPr>
        <w:spacing w:line="360" w:lineRule="auto"/>
        <w:ind w:firstLine="481"/>
        <w:rPr>
          <w:rFonts w:hint="eastAsia" w:ascii="仿宋" w:hAnsi="仿宋" w:eastAsia="仿宋" w:cs="仿宋"/>
          <w:color w:val="auto"/>
          <w:sz w:val="24"/>
          <w:highlight w:val="none"/>
        </w:rPr>
      </w:pPr>
      <w:r>
        <w:rPr>
          <w:rFonts w:hint="eastAsia" w:ascii="仿宋" w:hAnsi="仿宋" w:eastAsia="仿宋" w:cs="仿宋"/>
          <w:color w:val="auto"/>
          <w:sz w:val="24"/>
          <w:highlight w:val="none"/>
        </w:rPr>
        <w:t>12.1供应商必须详细阅读</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文件的章、节、条款、格式等所有内容，按</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文件的要求提交</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，并保证所提供的全部文件及相关资料的真实性，以使其对</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文件做出实质性响应。供应商应仔细阅读并充分理解</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文件、技术规范及标准、项目采购需求、合同条款后编制</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w:t>
      </w:r>
    </w:p>
    <w:p>
      <w:pPr>
        <w:pStyle w:val="14"/>
        <w:spacing w:line="360" w:lineRule="auto"/>
        <w:ind w:firstLine="480" w:firstLineChars="200"/>
        <w:outlineLvl w:val="1"/>
        <w:rPr>
          <w:rFonts w:hint="eastAsia" w:ascii="仿宋" w:hAnsi="仿宋" w:eastAsia="仿宋" w:cs="仿宋"/>
          <w:color w:val="auto"/>
          <w:sz w:val="24"/>
          <w:szCs w:val="24"/>
          <w:highlight w:val="none"/>
        </w:rPr>
      </w:pPr>
      <w:bookmarkStart w:id="79" w:name="_Toc233274824"/>
      <w:bookmarkStart w:id="80" w:name="_Toc243906324"/>
      <w:bookmarkStart w:id="81" w:name="_Toc243907584"/>
      <w:bookmarkStart w:id="82" w:name="_Toc245897284"/>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的语言及计量单位</w:t>
      </w:r>
      <w:bookmarkEnd w:id="79"/>
      <w:bookmarkEnd w:id="80"/>
      <w:bookmarkEnd w:id="81"/>
      <w:bookmarkEnd w:id="82"/>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13.1 </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及供应商和采购人及采购代理机构就有关</w:t>
      </w:r>
      <w:r>
        <w:rPr>
          <w:rFonts w:hint="eastAsia" w:ascii="仿宋" w:hAnsi="仿宋" w:eastAsia="仿宋" w:cs="仿宋"/>
          <w:color w:val="auto"/>
          <w:sz w:val="24"/>
          <w:szCs w:val="24"/>
          <w:highlight w:val="none"/>
          <w:lang w:eastAsia="zh-CN"/>
        </w:rPr>
        <w:t>发布</w:t>
      </w:r>
      <w:r>
        <w:rPr>
          <w:rFonts w:hint="eastAsia" w:ascii="仿宋" w:hAnsi="仿宋" w:eastAsia="仿宋" w:cs="仿宋"/>
          <w:color w:val="auto"/>
          <w:sz w:val="24"/>
          <w:szCs w:val="24"/>
          <w:highlight w:val="none"/>
        </w:rPr>
        <w:t>的所有文件和来往函件，应以中文书写。供应商可以提交用其他语言（原文）打印的资料，但必须翻译成中文，当原文和译文（中文）之间存有差异和/或矛盾时，以中文为准。</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除在</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文件的项目采购需求中另有规定外，计量单位应使用中华人民共和国法定计量单位（国际单位制和国家选定的其它计量单位）。如供应商采用其它计量单位，需事先得到采购人的同意。</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14、知识产权</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采购人享有本项目实施过程中产生的知识成果及知识产权。</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14.3供应商如欲在项目实施过程中采用自有知识成果，需在</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中声明，并提供相关知识产权证明文件。使用该知识成果后，供应商需承诺提供无限期技术支持，采购人享有永久使用权。</w:t>
      </w:r>
    </w:p>
    <w:p>
      <w:pPr>
        <w:spacing w:line="360" w:lineRule="auto"/>
        <w:ind w:firstLine="460" w:firstLineChars="192"/>
        <w:rPr>
          <w:rFonts w:hint="eastAsia" w:ascii="仿宋" w:hAnsi="仿宋" w:eastAsia="仿宋" w:cs="仿宋"/>
          <w:color w:val="auto"/>
          <w:sz w:val="24"/>
          <w:highlight w:val="none"/>
        </w:rPr>
      </w:pPr>
      <w:r>
        <w:rPr>
          <w:rFonts w:hint="eastAsia" w:ascii="仿宋" w:hAnsi="仿宋" w:eastAsia="仿宋" w:cs="仿宋"/>
          <w:color w:val="auto"/>
          <w:sz w:val="24"/>
          <w:highlight w:val="none"/>
        </w:rPr>
        <w:t>14.4 供应商如采用其所不拥有的知识产权，则在其</w:t>
      </w:r>
      <w:r>
        <w:rPr>
          <w:rFonts w:hint="eastAsia" w:ascii="仿宋" w:hAnsi="仿宋" w:eastAsia="仿宋" w:cs="仿宋"/>
          <w:color w:val="auto"/>
          <w:sz w:val="24"/>
          <w:highlight w:val="none"/>
          <w:lang w:eastAsia="zh-CN"/>
        </w:rPr>
        <w:t>投标报价</w:t>
      </w:r>
      <w:r>
        <w:rPr>
          <w:rFonts w:hint="eastAsia" w:ascii="仿宋" w:hAnsi="仿宋" w:eastAsia="仿宋" w:cs="仿宋"/>
          <w:color w:val="auto"/>
          <w:sz w:val="24"/>
          <w:highlight w:val="none"/>
        </w:rPr>
        <w:t xml:space="preserve">中必须包括合法获取该知识产权的相关费用。 </w:t>
      </w:r>
    </w:p>
    <w:p>
      <w:pPr>
        <w:pStyle w:val="14"/>
        <w:spacing w:line="360" w:lineRule="auto"/>
        <w:ind w:firstLine="480" w:firstLineChars="200"/>
        <w:outlineLvl w:val="1"/>
        <w:rPr>
          <w:rFonts w:hint="eastAsia" w:ascii="仿宋" w:hAnsi="仿宋" w:eastAsia="仿宋" w:cs="仿宋"/>
          <w:b/>
          <w:color w:val="auto"/>
          <w:sz w:val="24"/>
          <w:szCs w:val="24"/>
          <w:highlight w:val="none"/>
        </w:rPr>
      </w:pPr>
      <w:bookmarkStart w:id="83" w:name="_Toc245897285"/>
      <w:bookmarkStart w:id="84" w:name="_Toc233274825"/>
      <w:bookmarkStart w:id="85" w:name="_Toc243907585"/>
      <w:bookmarkStart w:id="86" w:name="_Toc243906325"/>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的组成</w:t>
      </w:r>
      <w:bookmarkEnd w:id="83"/>
      <w:bookmarkEnd w:id="84"/>
      <w:bookmarkEnd w:id="85"/>
      <w:bookmarkEnd w:id="86"/>
      <w:r>
        <w:rPr>
          <w:rFonts w:hint="eastAsia" w:ascii="仿宋" w:hAnsi="仿宋" w:eastAsia="仿宋" w:cs="仿宋"/>
          <w:color w:val="auto"/>
          <w:sz w:val="24"/>
          <w:szCs w:val="24"/>
          <w:highlight w:val="none"/>
          <w:lang w:eastAsia="zh-CN"/>
        </w:rPr>
        <w:t>：</w:t>
      </w:r>
      <w:r>
        <w:rPr>
          <w:rFonts w:hint="eastAsia" w:ascii="仿宋" w:hAnsi="仿宋" w:eastAsia="仿宋" w:cs="仿宋"/>
          <w:b/>
          <w:bCs w:val="0"/>
          <w:color w:val="0000FF"/>
          <w:kern w:val="2"/>
          <w:sz w:val="24"/>
          <w:szCs w:val="20"/>
          <w:highlight w:val="none"/>
          <w:lang w:val="en-US" w:eastAsia="zh-CN" w:bidi="ar-SA"/>
        </w:rPr>
        <w:t>各包段响应文件采用电子文档，响应文件应编制完整的页码、目录（编制上传响应文件与相应模块对应）。各包段响应文件包括但不限于以下内容，各供应商应对照“第三章、项目采购需求”及“第六章、评标标准（综合评分法）”提供相关的证明资料：</w:t>
      </w:r>
    </w:p>
    <w:p>
      <w:pPr>
        <w:numPr>
          <w:ilvl w:val="0"/>
          <w:numId w:val="8"/>
        </w:num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封面（详见格式1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分包段）；</w:t>
      </w:r>
    </w:p>
    <w:p>
      <w:pPr>
        <w:numPr>
          <w:ilvl w:val="0"/>
          <w:numId w:val="8"/>
        </w:num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响应函（详见格式</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（分包段））；</w:t>
      </w:r>
    </w:p>
    <w:p>
      <w:pPr>
        <w:numPr>
          <w:ilvl w:val="0"/>
          <w:numId w:val="8"/>
        </w:num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投标总价（详见格式</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）（分包段）</w:t>
      </w:r>
      <w:r>
        <w:rPr>
          <w:rFonts w:hint="eastAsia" w:ascii="仿宋" w:hAnsi="仿宋" w:eastAsia="仿宋" w:cs="仿宋"/>
          <w:b/>
          <w:color w:val="auto"/>
          <w:sz w:val="24"/>
          <w:szCs w:val="24"/>
          <w:highlight w:val="none"/>
          <w:lang w:val="en-US" w:eastAsia="zh-CN"/>
        </w:rPr>
        <w:t>供应商须按本投标总价表格式制作“最后报价表”，经磋商后由各供应商填写最后报价</w:t>
      </w:r>
      <w:r>
        <w:rPr>
          <w:rFonts w:hint="eastAsia" w:ascii="仿宋" w:hAnsi="仿宋" w:eastAsia="仿宋" w:cs="仿宋"/>
          <w:color w:val="auto"/>
          <w:sz w:val="24"/>
          <w:highlight w:val="none"/>
        </w:rPr>
        <w:t>；</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法定代表人资格证明书（详见格式</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法定代表人授权书（详见格式</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（详见格式</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承诺书（详见格式</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有效期内的企业营业执照（复印件）（分包段）</w:t>
      </w:r>
      <w:r>
        <w:rPr>
          <w:rStyle w:val="28"/>
          <w:rFonts w:hint="eastAsia" w:ascii="仿宋" w:hAnsi="仿宋" w:eastAsia="仿宋" w:cs="仿宋"/>
          <w:b w:val="0"/>
          <w:bCs/>
          <w:color w:val="auto"/>
          <w:sz w:val="24"/>
          <w:highlight w:val="none"/>
        </w:rPr>
        <w:t>；</w:t>
      </w:r>
    </w:p>
    <w:p>
      <w:pPr>
        <w:numPr>
          <w:ilvl w:val="0"/>
          <w:numId w:val="8"/>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lang w:val="en-US" w:eastAsia="zh-CN"/>
        </w:rPr>
        <w:t>具有建设行政主管部门核发的建筑工程施工总承包叁级及以上资质；以及有效的安全生产许可证</w:t>
      </w:r>
      <w:r>
        <w:rPr>
          <w:rFonts w:hint="eastAsia" w:ascii="仿宋" w:hAnsi="仿宋" w:eastAsia="仿宋" w:cs="仿宋"/>
          <w:color w:val="auto"/>
          <w:sz w:val="24"/>
          <w:highlight w:val="none"/>
        </w:rPr>
        <w:t>（复印件）（分包段）</w:t>
      </w:r>
      <w:r>
        <w:rPr>
          <w:rStyle w:val="28"/>
          <w:rFonts w:hint="eastAsia" w:ascii="仿宋" w:hAnsi="仿宋" w:eastAsia="仿宋" w:cs="仿宋"/>
          <w:b w:val="0"/>
          <w:bCs/>
          <w:color w:val="auto"/>
          <w:sz w:val="24"/>
          <w:highlight w:val="none"/>
        </w:rPr>
        <w:t>；</w:t>
      </w:r>
    </w:p>
    <w:p>
      <w:pPr>
        <w:numPr>
          <w:ilvl w:val="0"/>
          <w:numId w:val="8"/>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项目负责人简历（详见格式</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）（分包段）</w:t>
      </w:r>
      <w:r>
        <w:rPr>
          <w:rStyle w:val="28"/>
          <w:rFonts w:hint="eastAsia" w:ascii="仿宋" w:hAnsi="仿宋" w:eastAsia="仿宋" w:cs="仿宋"/>
          <w:b w:val="0"/>
          <w:bCs/>
          <w:color w:val="auto"/>
          <w:sz w:val="24"/>
          <w:highlight w:val="none"/>
        </w:rPr>
        <w:t>；</w:t>
      </w:r>
    </w:p>
    <w:p>
      <w:pPr>
        <w:numPr>
          <w:ilvl w:val="0"/>
          <w:numId w:val="8"/>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主要施工管理人员汇总表（格式详见附表</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主要施工机械设备表（详见格式</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）（分包段）；</w:t>
      </w:r>
    </w:p>
    <w:p>
      <w:pPr>
        <w:numPr>
          <w:ilvl w:val="0"/>
          <w:numId w:val="8"/>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项目拟分包情况表（详见格式</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）（分包段）；</w:t>
      </w:r>
    </w:p>
    <w:p>
      <w:pPr>
        <w:numPr>
          <w:ilvl w:val="0"/>
          <w:numId w:val="8"/>
        </w:num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安全文明施工费费用明细</w:t>
      </w:r>
      <w:r>
        <w:rPr>
          <w:rFonts w:hint="eastAsia" w:ascii="仿宋" w:hAnsi="仿宋" w:eastAsia="仿宋" w:cs="仿宋"/>
          <w:color w:val="auto"/>
          <w:sz w:val="24"/>
        </w:rPr>
        <w:t>表</w:t>
      </w:r>
      <w:r>
        <w:rPr>
          <w:rFonts w:hint="eastAsia" w:ascii="仿宋" w:hAnsi="仿宋" w:eastAsia="仿宋" w:cs="仿宋"/>
          <w:color w:val="auto"/>
          <w:sz w:val="24"/>
          <w:highlight w:val="none"/>
        </w:rPr>
        <w:t>（详见格式</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）（分包段）；</w:t>
      </w:r>
    </w:p>
    <w:p>
      <w:pPr>
        <w:numPr>
          <w:ilvl w:val="0"/>
          <w:numId w:val="8"/>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投标总价总说明（详见格式</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）（分包段）；</w:t>
      </w:r>
    </w:p>
    <w:p>
      <w:pPr>
        <w:numPr>
          <w:ilvl w:val="0"/>
          <w:numId w:val="8"/>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建设项目投标报价汇总表（详见格式</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）（分包段）；</w:t>
      </w:r>
    </w:p>
    <w:p>
      <w:pPr>
        <w:numPr>
          <w:ilvl w:val="0"/>
          <w:numId w:val="8"/>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单项工程投标报价汇总表（详见格式</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单位工程投标报价汇总表（详见格式</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分部分项工程和单价措施项目清单与计价表（详见格式</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综合单价分析表（详见格式</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）（分包段</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总价措施项目清单与计价表（详见格式</w:t>
      </w: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其他项目清单与计价汇总表（详见格式</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暂列金额明细表（详见格式</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材料（工程设备）暂估单价及调整表（详见格式</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专业工程估价表及结算价表（详见格式</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bCs/>
          <w:color w:val="auto"/>
          <w:sz w:val="24"/>
        </w:rPr>
        <w:t>措施项目汇总表</w:t>
      </w:r>
      <w:r>
        <w:rPr>
          <w:rFonts w:hint="eastAsia" w:ascii="仿宋" w:hAnsi="仿宋" w:eastAsia="仿宋" w:cs="仿宋"/>
          <w:color w:val="auto"/>
          <w:sz w:val="24"/>
          <w:highlight w:val="none"/>
        </w:rPr>
        <w:t>（详见格式</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计日工表（详见格式</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规费、税金项目计价表</w:t>
      </w:r>
      <w:r>
        <w:rPr>
          <w:rFonts w:hint="eastAsia" w:ascii="仿宋" w:hAnsi="仿宋" w:eastAsia="仿宋" w:cs="仿宋"/>
          <w:bCs/>
          <w:color w:val="auto"/>
          <w:sz w:val="24"/>
          <w:highlight w:val="none"/>
          <w:lang w:eastAsia="zh-CN"/>
        </w:rPr>
        <w:t>（建筑工程）</w:t>
      </w:r>
      <w:r>
        <w:rPr>
          <w:rFonts w:hint="eastAsia" w:ascii="仿宋" w:hAnsi="仿宋" w:eastAsia="仿宋" w:cs="仿宋"/>
          <w:color w:val="auto"/>
          <w:sz w:val="24"/>
          <w:highlight w:val="none"/>
        </w:rPr>
        <w:t>（详见格式</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规费、税金项目计价表</w:t>
      </w:r>
      <w:r>
        <w:rPr>
          <w:rFonts w:hint="eastAsia" w:ascii="仿宋" w:hAnsi="仿宋" w:eastAsia="仿宋" w:cs="仿宋"/>
          <w:bCs/>
          <w:color w:val="auto"/>
          <w:sz w:val="24"/>
          <w:highlight w:val="none"/>
          <w:lang w:eastAsia="zh-CN"/>
        </w:rPr>
        <w:t>（安装工程）</w:t>
      </w:r>
      <w:r>
        <w:rPr>
          <w:rFonts w:hint="eastAsia" w:ascii="仿宋" w:hAnsi="仿宋" w:eastAsia="仿宋" w:cs="仿宋"/>
          <w:color w:val="auto"/>
          <w:sz w:val="24"/>
          <w:highlight w:val="none"/>
        </w:rPr>
        <w:t>（详见格式</w:t>
      </w: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规费、税金项目计价表</w:t>
      </w:r>
      <w:r>
        <w:rPr>
          <w:rFonts w:hint="eastAsia" w:ascii="仿宋" w:hAnsi="仿宋" w:eastAsia="仿宋" w:cs="仿宋"/>
          <w:bCs/>
          <w:color w:val="auto"/>
          <w:sz w:val="24"/>
          <w:highlight w:val="none"/>
          <w:lang w:eastAsia="zh-CN"/>
        </w:rPr>
        <w:t>（装饰装修工程）</w:t>
      </w:r>
      <w:r>
        <w:rPr>
          <w:rFonts w:hint="eastAsia" w:ascii="仿宋" w:hAnsi="仿宋" w:eastAsia="仿宋" w:cs="仿宋"/>
          <w:color w:val="auto"/>
          <w:sz w:val="24"/>
          <w:highlight w:val="none"/>
        </w:rPr>
        <w:t>（详见格式</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实施方案（(包括但不限于:①实施目标、范围和任务②施工组织设计③施工技术方案、工进度计划、安全文明施工保证措施④劳动力安排计划及其保证措施⑤关键节点控制措施等)</w:t>
      </w:r>
      <w:r>
        <w:rPr>
          <w:rFonts w:hint="eastAsia" w:ascii="仿宋" w:hAnsi="仿宋" w:eastAsia="仿宋" w:cs="仿宋"/>
          <w:color w:val="auto"/>
          <w:sz w:val="24"/>
          <w:highlight w:val="none"/>
        </w:rPr>
        <w:t>（分包段）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其它与本项目有关的能证明企业实力的各项证明资料（分包段）；</w:t>
      </w:r>
    </w:p>
    <w:p>
      <w:pPr>
        <w:numPr>
          <w:ilvl w:val="0"/>
          <w:numId w:val="8"/>
        </w:numPr>
        <w:tabs>
          <w:tab w:val="left" w:pos="360"/>
          <w:tab w:val="left" w:pos="180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资格性/符合性自查表（详见格式</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）（分包段）；</w:t>
      </w:r>
    </w:p>
    <w:p>
      <w:pPr>
        <w:numPr>
          <w:ilvl w:val="0"/>
          <w:numId w:val="8"/>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文件要求提供的其它材料以及供应商认为需要提交的材料（分包段）。</w:t>
      </w:r>
    </w:p>
    <w:p>
      <w:pPr>
        <w:pStyle w:val="14"/>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特别说明：①上述各种证件、证书复印件须加盖供应商公章。如未按要求加盖供应商公章者，可能导致其</w:t>
      </w:r>
      <w:r>
        <w:rPr>
          <w:rFonts w:hint="eastAsia" w:ascii="仿宋" w:hAnsi="仿宋" w:eastAsia="仿宋" w:cs="仿宋"/>
          <w:b/>
          <w:color w:val="auto"/>
          <w:sz w:val="24"/>
          <w:szCs w:val="24"/>
          <w:highlight w:val="none"/>
          <w:lang w:eastAsia="zh-CN"/>
        </w:rPr>
        <w:t>投标文件</w:t>
      </w:r>
      <w:r>
        <w:rPr>
          <w:rFonts w:hint="eastAsia" w:ascii="仿宋" w:hAnsi="仿宋" w:eastAsia="仿宋" w:cs="仿宋"/>
          <w:b/>
          <w:color w:val="auto"/>
          <w:sz w:val="24"/>
          <w:szCs w:val="24"/>
          <w:highlight w:val="none"/>
        </w:rPr>
        <w:t>无效。</w:t>
      </w:r>
    </w:p>
    <w:p>
      <w:pPr>
        <w:pStyle w:val="14"/>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②供应商应如实提供资料，并保证真实可靠，不得弄虚作假。如供应商隐瞒事实真相、弄虚作假，一经查实，取消该供应商的</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资格，若</w:t>
      </w:r>
      <w:r>
        <w:rPr>
          <w:rFonts w:hint="eastAsia" w:ascii="仿宋" w:hAnsi="仿宋" w:eastAsia="仿宋" w:cs="仿宋"/>
          <w:b/>
          <w:color w:val="auto"/>
          <w:sz w:val="24"/>
          <w:szCs w:val="24"/>
          <w:highlight w:val="none"/>
          <w:lang w:eastAsia="zh-CN"/>
        </w:rPr>
        <w:t>中标</w:t>
      </w:r>
      <w:r>
        <w:rPr>
          <w:rFonts w:hint="eastAsia" w:ascii="仿宋" w:hAnsi="仿宋" w:eastAsia="仿宋" w:cs="仿宋"/>
          <w:b/>
          <w:color w:val="auto"/>
          <w:sz w:val="24"/>
          <w:szCs w:val="24"/>
          <w:highlight w:val="none"/>
        </w:rPr>
        <w:t>的，取消其</w:t>
      </w:r>
      <w:r>
        <w:rPr>
          <w:rFonts w:hint="eastAsia" w:ascii="仿宋" w:hAnsi="仿宋" w:eastAsia="仿宋" w:cs="仿宋"/>
          <w:b/>
          <w:color w:val="auto"/>
          <w:sz w:val="24"/>
          <w:szCs w:val="24"/>
          <w:highlight w:val="none"/>
          <w:lang w:eastAsia="zh-CN"/>
        </w:rPr>
        <w:t>中标</w:t>
      </w:r>
      <w:r>
        <w:rPr>
          <w:rFonts w:hint="eastAsia" w:ascii="仿宋" w:hAnsi="仿宋" w:eastAsia="仿宋" w:cs="仿宋"/>
          <w:b/>
          <w:color w:val="auto"/>
          <w:sz w:val="24"/>
          <w:szCs w:val="24"/>
          <w:highlight w:val="none"/>
        </w:rPr>
        <w:t>资格。</w:t>
      </w:r>
    </w:p>
    <w:p>
      <w:pPr>
        <w:pStyle w:val="14"/>
        <w:spacing w:line="360" w:lineRule="auto"/>
        <w:ind w:firstLine="480"/>
        <w:outlineLvl w:val="1"/>
        <w:rPr>
          <w:rFonts w:hint="eastAsia" w:ascii="仿宋" w:hAnsi="仿宋" w:eastAsia="仿宋" w:cs="仿宋"/>
          <w:color w:val="auto"/>
          <w:sz w:val="24"/>
          <w:szCs w:val="24"/>
          <w:highlight w:val="none"/>
        </w:rPr>
      </w:pPr>
      <w:bookmarkStart w:id="87" w:name="_Toc245897286"/>
      <w:bookmarkStart w:id="88" w:name="_Toc243906326"/>
      <w:bookmarkStart w:id="89" w:name="_Toc243907587"/>
      <w:bookmarkStart w:id="90" w:name="_Toc233274827"/>
      <w:bookmarkStart w:id="91" w:name="_Toc246216196"/>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格式</w:t>
      </w:r>
      <w:bookmarkEnd w:id="87"/>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16.1供应商应按本章“1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、响应文件的组成”中的要求提供响应文件，文件格式可参考第五章“响应文件格式”。若表格的栏目设计不够，供应商可按照同一格式自制表格填写；未提出的格式，供应商应自行拟定格式佐证响应。</w:t>
      </w:r>
    </w:p>
    <w:p>
      <w:pPr>
        <w:pStyle w:val="14"/>
        <w:spacing w:line="360" w:lineRule="auto"/>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w:t>
      </w:r>
      <w:bookmarkEnd w:id="88"/>
      <w:bookmarkEnd w:id="89"/>
      <w:bookmarkEnd w:id="90"/>
      <w:bookmarkEnd w:id="91"/>
      <w:r>
        <w:rPr>
          <w:rFonts w:hint="eastAsia" w:ascii="仿宋" w:hAnsi="仿宋" w:eastAsia="仿宋" w:cs="仿宋"/>
          <w:color w:val="auto"/>
          <w:sz w:val="24"/>
          <w:szCs w:val="24"/>
          <w:highlight w:val="none"/>
        </w:rPr>
        <w:t>（按包段规定要求计取）</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17.1供应商的</w:t>
      </w:r>
      <w:r>
        <w:rPr>
          <w:rFonts w:hint="eastAsia" w:ascii="仿宋" w:hAnsi="仿宋" w:eastAsia="仿宋" w:cs="仿宋"/>
          <w:color w:val="auto"/>
          <w:sz w:val="24"/>
          <w:highlight w:val="none"/>
          <w:lang w:eastAsia="zh-CN"/>
        </w:rPr>
        <w:t>投标报价</w:t>
      </w:r>
      <w:r>
        <w:rPr>
          <w:rFonts w:hint="eastAsia" w:ascii="仿宋" w:hAnsi="仿宋" w:eastAsia="仿宋" w:cs="仿宋"/>
          <w:color w:val="auto"/>
          <w:sz w:val="24"/>
          <w:highlight w:val="none"/>
        </w:rPr>
        <w:t>应是为采购人提供全部服务，并保证技术规范及标准、项目采购需求及合同条款、本招标文件约定的所有费用的总和。</w:t>
      </w:r>
    </w:p>
    <w:p>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任何因供应商忽视或误解采购范围、技术规范及标准、项目采购需求、合同条款和项目现场情况，若</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rPr>
        <w:t>，采购人将不予批准由此而产生的索赔或服务期限延长申请。</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投标报价</w:t>
      </w:r>
      <w:r>
        <w:rPr>
          <w:rFonts w:hint="eastAsia" w:ascii="仿宋" w:hAnsi="仿宋" w:eastAsia="仿宋" w:cs="仿宋"/>
          <w:b/>
          <w:bCs/>
          <w:color w:val="auto"/>
          <w:sz w:val="24"/>
          <w:highlight w:val="none"/>
        </w:rPr>
        <w:t>中不得包含技术规范及标准、项目采购需求及合同条款、本招标文件要求以外的其他内容。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r>
        <w:rPr>
          <w:rFonts w:hint="eastAsia" w:ascii="仿宋" w:hAnsi="仿宋" w:eastAsia="仿宋" w:cs="仿宋"/>
          <w:color w:val="auto"/>
          <w:sz w:val="24"/>
          <w:highlight w:val="none"/>
          <w:lang w:eastAsia="zh-CN"/>
        </w:rPr>
        <w:t>投标报价</w:t>
      </w:r>
      <w:r>
        <w:rPr>
          <w:rFonts w:hint="eastAsia" w:ascii="仿宋" w:hAnsi="仿宋" w:eastAsia="仿宋" w:cs="仿宋"/>
          <w:color w:val="auto"/>
          <w:sz w:val="24"/>
          <w:highlight w:val="none"/>
        </w:rPr>
        <w:t>总价应包括的内容和计价因素</w:t>
      </w:r>
    </w:p>
    <w:p>
      <w:pPr>
        <w:spacing w:line="360" w:lineRule="auto"/>
        <w:ind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w:t>
      </w:r>
      <w:r>
        <w:rPr>
          <w:rFonts w:hint="eastAsia" w:ascii="仿宋" w:hAnsi="仿宋" w:eastAsia="仿宋" w:cs="仿宋"/>
          <w:b/>
          <w:bCs/>
          <w:color w:val="auto"/>
          <w:sz w:val="24"/>
          <w:highlight w:val="none"/>
          <w:lang w:val="en-US" w:eastAsia="zh-CN"/>
        </w:rPr>
        <w:t>针对</w:t>
      </w:r>
      <w:r>
        <w:rPr>
          <w:rFonts w:hint="eastAsia" w:ascii="仿宋" w:hAnsi="仿宋" w:eastAsia="仿宋" w:cs="仿宋"/>
          <w:b/>
          <w:bCs/>
          <w:color w:val="0000FF"/>
          <w:sz w:val="24"/>
          <w:highlight w:val="none"/>
          <w:lang w:val="en-US" w:eastAsia="zh-CN"/>
        </w:rPr>
        <w:t>克拉玛依市白碱滩区（克拉玛依高新技术产业开发区）金龙镇学校改善提升工程</w:t>
      </w:r>
      <w:r>
        <w:rPr>
          <w:rFonts w:hint="eastAsia" w:ascii="仿宋" w:hAnsi="仿宋" w:eastAsia="仿宋" w:cs="仿宋"/>
          <w:b/>
          <w:bCs/>
          <w:color w:val="auto"/>
          <w:sz w:val="24"/>
          <w:highlight w:val="none"/>
          <w:lang w:val="en-US" w:eastAsia="zh-CN"/>
        </w:rPr>
        <w:t>各包段包含的全部内容并配合采购人完成与此服务相关的全部工作。</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lang w:val="en-US" w:eastAsia="zh-CN"/>
        </w:rPr>
        <w:t>（2）</w:t>
      </w:r>
      <w:r>
        <w:rPr>
          <w:rFonts w:hint="eastAsia" w:ascii="仿宋" w:hAnsi="仿宋" w:eastAsia="仿宋" w:cs="仿宋"/>
          <w:bCs/>
          <w:color w:val="auto"/>
          <w:sz w:val="24"/>
          <w:highlight w:val="none"/>
        </w:rPr>
        <w:t>供应商根据对本</w:t>
      </w:r>
      <w:r>
        <w:rPr>
          <w:rFonts w:hint="eastAsia" w:ascii="仿宋" w:hAnsi="仿宋" w:eastAsia="仿宋" w:cs="仿宋"/>
          <w:bCs/>
          <w:color w:val="auto"/>
          <w:sz w:val="24"/>
          <w:highlight w:val="none"/>
          <w:lang w:eastAsia="zh-CN"/>
        </w:rPr>
        <w:t>招标</w:t>
      </w:r>
      <w:r>
        <w:rPr>
          <w:rFonts w:hint="eastAsia" w:ascii="仿宋" w:hAnsi="仿宋" w:eastAsia="仿宋" w:cs="仿宋"/>
          <w:bCs/>
          <w:color w:val="auto"/>
          <w:sz w:val="24"/>
          <w:highlight w:val="none"/>
        </w:rPr>
        <w:t>文件、技术规范和标准、项目采购需求、合同条款的理解，应达到的技术指标、检验及验收标准等要求，结合市场情况进行</w:t>
      </w:r>
      <w:r>
        <w:rPr>
          <w:rFonts w:hint="eastAsia" w:ascii="仿宋" w:hAnsi="仿宋" w:eastAsia="仿宋" w:cs="仿宋"/>
          <w:bCs/>
          <w:color w:val="auto"/>
          <w:sz w:val="24"/>
          <w:highlight w:val="none"/>
          <w:lang w:eastAsia="zh-CN"/>
        </w:rPr>
        <w:t>投标报价</w:t>
      </w:r>
      <w:r>
        <w:rPr>
          <w:rFonts w:hint="eastAsia" w:ascii="仿宋" w:hAnsi="仿宋" w:eastAsia="仿宋" w:cs="仿宋"/>
          <w:bCs/>
          <w:color w:val="auto"/>
          <w:sz w:val="24"/>
          <w:highlight w:val="none"/>
        </w:rPr>
        <w:t>。供应商应充分考虑合同执行期内的市场风险和国家政策性调整风险等因素对</w:t>
      </w:r>
      <w:r>
        <w:rPr>
          <w:rFonts w:hint="eastAsia" w:ascii="仿宋" w:hAnsi="仿宋" w:eastAsia="仿宋" w:cs="仿宋"/>
          <w:bCs/>
          <w:color w:val="auto"/>
          <w:sz w:val="24"/>
          <w:highlight w:val="none"/>
          <w:lang w:eastAsia="zh-CN"/>
        </w:rPr>
        <w:t>投标报价</w:t>
      </w:r>
      <w:r>
        <w:rPr>
          <w:rFonts w:hint="eastAsia" w:ascii="仿宋" w:hAnsi="仿宋" w:eastAsia="仿宋" w:cs="仿宋"/>
          <w:bCs/>
          <w:color w:val="auto"/>
          <w:sz w:val="24"/>
          <w:highlight w:val="none"/>
        </w:rPr>
        <w:t>的影响。</w:t>
      </w:r>
    </w:p>
    <w:p>
      <w:pPr>
        <w:spacing w:line="360" w:lineRule="auto"/>
        <w:ind w:firstLine="480" w:firstLineChars="200"/>
        <w:rPr>
          <w:rFonts w:hint="eastAsia" w:ascii="仿宋" w:hAnsi="仿宋" w:eastAsia="仿宋" w:cs="仿宋"/>
          <w:color w:val="auto"/>
          <w:sz w:val="24"/>
          <w:highlight w:val="none"/>
        </w:rPr>
      </w:pPr>
      <w:bookmarkStart w:id="92" w:name="_Toc243906327"/>
      <w:bookmarkStart w:id="93" w:name="_Toc246216197"/>
      <w:bookmarkStart w:id="94" w:name="_Toc243907588"/>
      <w:bookmarkStart w:id="95" w:name="_Toc233274828"/>
      <w:r>
        <w:rPr>
          <w:rFonts w:hint="eastAsia" w:ascii="仿宋" w:hAnsi="仿宋" w:eastAsia="仿宋" w:cs="仿宋"/>
          <w:color w:val="auto"/>
          <w:sz w:val="24"/>
          <w:highlight w:val="none"/>
        </w:rPr>
        <w:t>17.3供应商应按照</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文件所附的格式完整地填写</w:t>
      </w:r>
      <w:r>
        <w:rPr>
          <w:rFonts w:hint="eastAsia" w:ascii="仿宋" w:hAnsi="仿宋" w:eastAsia="仿宋" w:cs="仿宋"/>
          <w:color w:val="auto"/>
          <w:sz w:val="24"/>
          <w:highlight w:val="none"/>
          <w:lang w:eastAsia="zh-CN"/>
        </w:rPr>
        <w:t>投标报价</w:t>
      </w:r>
      <w:r>
        <w:rPr>
          <w:rFonts w:hint="eastAsia" w:ascii="仿宋" w:hAnsi="仿宋" w:eastAsia="仿宋" w:cs="仿宋"/>
          <w:color w:val="auto"/>
          <w:sz w:val="24"/>
          <w:highlight w:val="none"/>
        </w:rPr>
        <w:t>一览表。</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应对相应包段招标范围内的全部服务内容进行报价</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供应商若</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rPr>
        <w:t>，不得以任何理由在合同执行期间予以价格调整。任何包含价格调整的要求将被认为是非响应而予以拒绝。</w:t>
      </w:r>
    </w:p>
    <w:bookmarkEnd w:id="92"/>
    <w:bookmarkEnd w:id="93"/>
    <w:bookmarkEnd w:id="94"/>
    <w:bookmarkEnd w:id="95"/>
    <w:p>
      <w:pPr>
        <w:pStyle w:val="14"/>
        <w:spacing w:line="360" w:lineRule="auto"/>
        <w:ind w:firstLine="480" w:firstLineChars="200"/>
        <w:rPr>
          <w:rFonts w:hint="eastAsia" w:ascii="仿宋" w:hAnsi="仿宋" w:eastAsia="仿宋" w:cs="仿宋"/>
          <w:color w:val="auto"/>
          <w:sz w:val="24"/>
          <w:szCs w:val="24"/>
          <w:highlight w:val="none"/>
        </w:rPr>
      </w:pPr>
      <w:bookmarkStart w:id="96" w:name="_Toc245897288"/>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货币</w:t>
      </w:r>
      <w:bookmarkEnd w:id="96"/>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一览表和</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中的所有报价一律使用人民币（RMB）填报。</w:t>
      </w:r>
    </w:p>
    <w:p>
      <w:pPr>
        <w:pStyle w:val="14"/>
        <w:spacing w:line="360" w:lineRule="auto"/>
        <w:ind w:firstLine="480" w:firstLineChars="200"/>
        <w:rPr>
          <w:rFonts w:hint="eastAsia" w:ascii="仿宋" w:hAnsi="仿宋" w:eastAsia="仿宋" w:cs="仿宋"/>
          <w:color w:val="auto"/>
          <w:sz w:val="24"/>
          <w:szCs w:val="24"/>
          <w:highlight w:val="none"/>
        </w:rPr>
      </w:pPr>
      <w:bookmarkStart w:id="97" w:name="_Toc243906328"/>
      <w:bookmarkStart w:id="98" w:name="_Toc245897289"/>
      <w:bookmarkStart w:id="99" w:name="_Toc243907589"/>
      <w:bookmarkStart w:id="100" w:name="_Toc233274829"/>
      <w:r>
        <w:rPr>
          <w:rFonts w:hint="eastAsia" w:ascii="仿宋" w:hAnsi="仿宋" w:eastAsia="仿宋" w:cs="仿宋"/>
          <w:color w:val="auto"/>
          <w:sz w:val="24"/>
          <w:szCs w:val="24"/>
          <w:highlight w:val="none"/>
        </w:rPr>
        <w:t>19、供应商资格证明文件</w:t>
      </w:r>
      <w:bookmarkEnd w:id="97"/>
      <w:bookmarkEnd w:id="98"/>
      <w:bookmarkEnd w:id="99"/>
      <w:bookmarkEnd w:id="100"/>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供应商必须提交证明其有资格参加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后有能力履行合同的文件。</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19.2供应商须提交证明其拟供货物和服务符合</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文件、技术规范及标准、项目采购需求规定的技术</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，作为</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的一部分。</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19.3上述文件可以是文字资料、图纸和数据，并须提供主要技术性能的详细描述及设备清单和所提供服务的详细说明；</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19.4供应商应逐条对</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文件、项目采购需求、合同条款等进行仔细阅读，提出自己提供的服务是否对其做出了实质性的响应。</w:t>
      </w:r>
    </w:p>
    <w:p>
      <w:pPr>
        <w:pStyle w:val="14"/>
        <w:spacing w:line="360" w:lineRule="auto"/>
        <w:ind w:firstLine="480" w:firstLineChars="200"/>
        <w:rPr>
          <w:rFonts w:hint="eastAsia" w:ascii="仿宋" w:hAnsi="仿宋" w:eastAsia="仿宋" w:cs="仿宋"/>
          <w:color w:val="auto"/>
          <w:sz w:val="24"/>
          <w:szCs w:val="24"/>
          <w:highlight w:val="none"/>
        </w:rPr>
      </w:pPr>
      <w:bookmarkStart w:id="101" w:name="_Toc243907591"/>
      <w:bookmarkStart w:id="102" w:name="_Toc233274831"/>
      <w:bookmarkStart w:id="103" w:name="_Toc243906330"/>
      <w:bookmarkStart w:id="104" w:name="_Toc245897291"/>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有效期</w:t>
      </w:r>
      <w:bookmarkEnd w:id="101"/>
      <w:bookmarkEnd w:id="102"/>
      <w:bookmarkEnd w:id="103"/>
      <w:bookmarkEnd w:id="104"/>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w:t>
      </w:r>
      <w:r>
        <w:rPr>
          <w:rFonts w:hint="eastAsia" w:ascii="仿宋" w:hAnsi="仿宋" w:eastAsia="仿宋" w:cs="仿宋"/>
          <w:b w:val="0"/>
          <w:bCs w:val="0"/>
          <w:color w:val="auto"/>
          <w:sz w:val="24"/>
          <w:szCs w:val="24"/>
          <w:highlight w:val="none"/>
          <w:lang w:eastAsia="zh-CN"/>
        </w:rPr>
        <w:t>投标文件</w:t>
      </w:r>
      <w:r>
        <w:rPr>
          <w:rFonts w:hint="eastAsia" w:ascii="仿宋" w:hAnsi="仿宋" w:eastAsia="仿宋" w:cs="仿宋"/>
          <w:b w:val="0"/>
          <w:bCs w:val="0"/>
          <w:color w:val="auto"/>
          <w:sz w:val="24"/>
          <w:szCs w:val="24"/>
          <w:highlight w:val="none"/>
        </w:rPr>
        <w:t>有效期为递交</w:t>
      </w:r>
      <w:r>
        <w:rPr>
          <w:rFonts w:hint="eastAsia" w:ascii="仿宋" w:hAnsi="仿宋" w:eastAsia="仿宋" w:cs="仿宋"/>
          <w:b w:val="0"/>
          <w:bCs w:val="0"/>
          <w:color w:val="auto"/>
          <w:sz w:val="24"/>
          <w:szCs w:val="24"/>
          <w:highlight w:val="none"/>
          <w:lang w:eastAsia="zh-CN"/>
        </w:rPr>
        <w:t>投标文件</w:t>
      </w:r>
      <w:r>
        <w:rPr>
          <w:rFonts w:hint="eastAsia" w:ascii="仿宋" w:hAnsi="仿宋" w:eastAsia="仿宋" w:cs="仿宋"/>
          <w:b w:val="0"/>
          <w:bCs w:val="0"/>
          <w:color w:val="auto"/>
          <w:sz w:val="24"/>
          <w:szCs w:val="24"/>
          <w:highlight w:val="none"/>
        </w:rPr>
        <w:t>截止之日起60天（日历日）。供应商的</w:t>
      </w:r>
      <w:r>
        <w:rPr>
          <w:rFonts w:hint="eastAsia" w:ascii="仿宋" w:hAnsi="仿宋" w:eastAsia="仿宋" w:cs="仿宋"/>
          <w:b w:val="0"/>
          <w:bCs w:val="0"/>
          <w:color w:val="auto"/>
          <w:sz w:val="24"/>
          <w:szCs w:val="24"/>
          <w:highlight w:val="none"/>
          <w:lang w:eastAsia="zh-CN"/>
        </w:rPr>
        <w:t>投标文件</w:t>
      </w:r>
      <w:r>
        <w:rPr>
          <w:rFonts w:hint="eastAsia" w:ascii="仿宋" w:hAnsi="仿宋" w:eastAsia="仿宋" w:cs="仿宋"/>
          <w:b w:val="0"/>
          <w:bCs w:val="0"/>
          <w:color w:val="auto"/>
          <w:sz w:val="24"/>
          <w:szCs w:val="24"/>
          <w:highlight w:val="none"/>
        </w:rPr>
        <w:t>有效期比规定的有效期短的，</w:t>
      </w:r>
      <w:r>
        <w:rPr>
          <w:rFonts w:hint="eastAsia" w:ascii="仿宋" w:hAnsi="仿宋" w:eastAsia="仿宋" w:cs="仿宋"/>
          <w:b/>
          <w:bCs/>
          <w:color w:val="auto"/>
          <w:sz w:val="24"/>
          <w:szCs w:val="24"/>
          <w:highlight w:val="none"/>
        </w:rPr>
        <w:t>将被视为非响应而予以拒绝</w:t>
      </w:r>
      <w:r>
        <w:rPr>
          <w:rFonts w:hint="eastAsia" w:ascii="仿宋" w:hAnsi="仿宋" w:eastAsia="仿宋" w:cs="仿宋"/>
          <w:color w:val="auto"/>
          <w:sz w:val="24"/>
          <w:szCs w:val="24"/>
          <w:highlight w:val="none"/>
        </w:rPr>
        <w:t>。</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特殊情况下，在原有效期届满之前，采购人可征得供应商的同意延长其有效期，这种要求与答复均应以书面形式。供应商拒绝延长的，其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失效。同意延长有效期的供应商，既不要求也不允许其修改</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pPr>
        <w:pStyle w:val="1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的签署及规定</w:t>
      </w:r>
    </w:p>
    <w:p>
      <w:pPr>
        <w:pStyle w:val="14"/>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各包段</w:t>
      </w:r>
      <w:r>
        <w:rPr>
          <w:rFonts w:hint="eastAsia" w:ascii="仿宋" w:hAnsi="仿宋" w:eastAsia="仿宋" w:cs="仿宋"/>
          <w:b w:val="0"/>
          <w:bCs w:val="0"/>
          <w:color w:val="auto"/>
          <w:sz w:val="24"/>
          <w:szCs w:val="24"/>
        </w:rPr>
        <w:t>供应商应提交本须知第1</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条规定的加密电子版响应文件。</w:t>
      </w:r>
      <w:r>
        <w:rPr>
          <w:rFonts w:hint="eastAsia" w:ascii="仿宋" w:hAnsi="仿宋" w:eastAsia="仿宋" w:cs="仿宋"/>
          <w:b w:val="0"/>
          <w:bCs w:val="0"/>
          <w:color w:val="auto"/>
          <w:sz w:val="24"/>
          <w:szCs w:val="24"/>
          <w:lang w:eastAsia="zh-CN"/>
        </w:rPr>
        <w:t>各包段</w:t>
      </w:r>
      <w:r>
        <w:rPr>
          <w:rFonts w:hint="eastAsia" w:ascii="仿宋" w:hAnsi="仿宋" w:eastAsia="仿宋" w:cs="仿宋"/>
          <w:b w:val="0"/>
          <w:bCs w:val="0"/>
          <w:color w:val="auto"/>
          <w:sz w:val="24"/>
          <w:szCs w:val="24"/>
        </w:rPr>
        <w:t>响应文件应编制完整的页码、目录（</w:t>
      </w:r>
      <w:r>
        <w:rPr>
          <w:rFonts w:hint="eastAsia" w:ascii="仿宋" w:hAnsi="仿宋" w:eastAsia="仿宋" w:cs="仿宋"/>
          <w:b/>
          <w:bCs/>
          <w:color w:val="0000FF"/>
          <w:sz w:val="24"/>
          <w:highlight w:val="none"/>
          <w:lang w:val="en-US" w:eastAsia="zh-CN"/>
        </w:rPr>
        <w:t>如供应商报名多个包段的，分别编制各包段响应文件，</w:t>
      </w:r>
      <w:r>
        <w:rPr>
          <w:rFonts w:hint="eastAsia" w:ascii="仿宋" w:hAnsi="仿宋" w:eastAsia="仿宋" w:cs="仿宋"/>
          <w:b w:val="0"/>
          <w:bCs w:val="0"/>
          <w:color w:val="auto"/>
          <w:sz w:val="24"/>
          <w:szCs w:val="24"/>
        </w:rPr>
        <w:t>编制上传响应文件与相应模块对应）</w:t>
      </w:r>
      <w:r>
        <w:rPr>
          <w:rFonts w:hint="eastAsia" w:ascii="仿宋" w:hAnsi="仿宋" w:eastAsia="仿宋" w:cs="仿宋"/>
          <w:b/>
          <w:bCs/>
          <w:color w:val="auto"/>
          <w:sz w:val="24"/>
          <w:highlight w:val="none"/>
        </w:rPr>
        <w:t>。</w:t>
      </w:r>
    </w:p>
    <w:p>
      <w:pPr>
        <w:pStyle w:val="14"/>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.2各包段加密电子版响应文件应按照采购文件“第四章 响应文件格式”中规定签字、盖章的地方必须按规定签字盖章。</w:t>
      </w:r>
    </w:p>
    <w:p>
      <w:pPr>
        <w:pStyle w:val="14"/>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 除供应商对错误做必要修改外，投标文件中不许有增删、涂改或改写。若确有修改必须由签署投标文件的委托代理人签字或盖章。</w:t>
      </w:r>
    </w:p>
    <w:p>
      <w:pPr>
        <w:pStyle w:val="14"/>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采购人概不接受电报、电传、电话、邮寄以及电子邮件等方式的公开投标。</w:t>
      </w:r>
    </w:p>
    <w:p>
      <w:pPr>
        <w:pStyle w:val="14"/>
        <w:spacing w:line="360" w:lineRule="auto"/>
        <w:jc w:val="center"/>
        <w:outlineLvl w:val="1"/>
        <w:rPr>
          <w:rFonts w:hint="eastAsia" w:ascii="仿宋" w:hAnsi="仿宋" w:eastAsia="仿宋" w:cs="仿宋"/>
          <w:b/>
          <w:bCs/>
          <w:color w:val="auto"/>
          <w:sz w:val="28"/>
          <w:szCs w:val="28"/>
          <w:highlight w:val="none"/>
        </w:rPr>
      </w:pPr>
    </w:p>
    <w:p>
      <w:pPr>
        <w:pStyle w:val="14"/>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四、各包段</w:t>
      </w:r>
      <w:r>
        <w:rPr>
          <w:rFonts w:hint="eastAsia" w:ascii="仿宋" w:hAnsi="仿宋" w:eastAsia="仿宋" w:cs="仿宋"/>
          <w:b/>
          <w:bCs/>
          <w:color w:val="auto"/>
          <w:sz w:val="28"/>
          <w:szCs w:val="28"/>
          <w:highlight w:val="none"/>
          <w:lang w:eastAsia="zh-CN"/>
        </w:rPr>
        <w:t>投标文件</w:t>
      </w:r>
      <w:r>
        <w:rPr>
          <w:rFonts w:hint="eastAsia" w:ascii="仿宋" w:hAnsi="仿宋" w:eastAsia="仿宋" w:cs="仿宋"/>
          <w:b/>
          <w:bCs/>
          <w:color w:val="auto"/>
          <w:sz w:val="28"/>
          <w:szCs w:val="28"/>
          <w:highlight w:val="none"/>
        </w:rPr>
        <w:t>的递交、修改和撤回</w:t>
      </w:r>
      <w:bookmarkEnd w:id="78"/>
    </w:p>
    <w:p>
      <w:pPr>
        <w:spacing w:line="360" w:lineRule="auto"/>
        <w:ind w:firstLine="480" w:firstLineChars="200"/>
        <w:outlineLvl w:val="1"/>
        <w:rPr>
          <w:rFonts w:hint="eastAsia" w:ascii="仿宋" w:hAnsi="仿宋" w:eastAsia="仿宋" w:cs="仿宋"/>
          <w:color w:val="auto"/>
          <w:sz w:val="24"/>
          <w:highlight w:val="none"/>
        </w:rPr>
      </w:pPr>
      <w:bookmarkStart w:id="105" w:name="_Toc243907595"/>
      <w:bookmarkStart w:id="106" w:name="_Toc245897295"/>
      <w:bookmarkStart w:id="107" w:name="_Toc243906334"/>
      <w:bookmarkStart w:id="108" w:name="_Toc233274835"/>
      <w:bookmarkStart w:id="109" w:name="_Toc29459"/>
      <w:bookmarkStart w:id="110" w:name="_Toc246216209"/>
      <w:bookmarkStart w:id="111" w:name="_Toc19823"/>
      <w:bookmarkStart w:id="112" w:name="_Toc243907600"/>
      <w:bookmarkStart w:id="113" w:name="_Toc243906339"/>
      <w:bookmarkStart w:id="114" w:name="_Toc233274840"/>
      <w:r>
        <w:rPr>
          <w:rFonts w:hint="eastAsia" w:ascii="仿宋" w:hAnsi="仿宋" w:eastAsia="仿宋" w:cs="仿宋"/>
          <w:color w:val="auto"/>
          <w:sz w:val="24"/>
          <w:highlight w:val="none"/>
        </w:rPr>
        <w:t>22、</w:t>
      </w:r>
      <w:bookmarkEnd w:id="105"/>
      <w:bookmarkEnd w:id="106"/>
      <w:bookmarkEnd w:id="107"/>
      <w:bookmarkEnd w:id="108"/>
      <w:r>
        <w:rPr>
          <w:rFonts w:hint="eastAsia" w:ascii="仿宋" w:hAnsi="仿宋" w:eastAsia="仿宋" w:cs="仿宋"/>
          <w:b/>
          <w:bCs/>
          <w:color w:val="auto"/>
          <w:sz w:val="24"/>
        </w:rPr>
        <w:t xml:space="preserve">递交响应文件截止时间 </w:t>
      </w:r>
    </w:p>
    <w:p>
      <w:pPr>
        <w:spacing w:line="360" w:lineRule="auto"/>
        <w:ind w:firstLine="480" w:firstLineChars="200"/>
        <w:outlineLvl w:val="1"/>
        <w:rPr>
          <w:rFonts w:hint="eastAsia" w:ascii="仿宋" w:hAnsi="仿宋" w:eastAsia="仿宋" w:cs="仿宋"/>
          <w:b/>
          <w:color w:val="auto"/>
          <w:sz w:val="24"/>
          <w:highlight w:val="none"/>
        </w:rPr>
      </w:pPr>
      <w:r>
        <w:rPr>
          <w:rFonts w:hint="eastAsia" w:ascii="仿宋" w:hAnsi="仿宋" w:eastAsia="仿宋" w:cs="仿宋"/>
          <w:color w:val="auto"/>
          <w:sz w:val="24"/>
          <w:highlight w:val="none"/>
        </w:rPr>
        <w:t>22.1</w:t>
      </w:r>
      <w:r>
        <w:rPr>
          <w:rFonts w:hint="eastAsia" w:ascii="仿宋" w:hAnsi="仿宋" w:eastAsia="仿宋" w:cs="仿宋"/>
          <w:b/>
          <w:bCs/>
          <w:color w:val="0000FF"/>
          <w:sz w:val="24"/>
          <w:highlight w:val="none"/>
        </w:rPr>
        <w:t>各包段</w:t>
      </w:r>
      <w:r>
        <w:rPr>
          <w:rFonts w:hint="eastAsia" w:ascii="仿宋" w:hAnsi="仿宋" w:eastAsia="仿宋" w:cs="仿宋"/>
          <w:b/>
          <w:bCs/>
          <w:color w:val="0000FF"/>
          <w:sz w:val="24"/>
        </w:rPr>
        <w:t>加密电子版响应文件都必须按采购文件供应商须知前附表中规定的递交响应文件截止时间之前上传至新疆政府采购网政采云平台（www.zcygov.cn）</w:t>
      </w:r>
      <w:r>
        <w:rPr>
          <w:rFonts w:hint="eastAsia" w:ascii="仿宋" w:hAnsi="仿宋" w:eastAsia="仿宋" w:cs="仿宋"/>
          <w:b/>
          <w:color w:val="auto"/>
          <w:sz w:val="24"/>
          <w:highlight w:val="none"/>
        </w:rPr>
        <w:t>。</w:t>
      </w:r>
    </w:p>
    <w:bookmarkEnd w:id="109"/>
    <w:p>
      <w:pPr>
        <w:pStyle w:val="14"/>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highlight w:val="none"/>
        </w:rPr>
      </w:pPr>
      <w:bookmarkStart w:id="115" w:name="_Toc32392"/>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w:t>
      </w:r>
      <w:bookmarkEnd w:id="115"/>
      <w:r>
        <w:rPr>
          <w:rFonts w:hint="eastAsia" w:ascii="仿宋" w:hAnsi="仿宋" w:eastAsia="仿宋" w:cs="仿宋"/>
          <w:b w:val="0"/>
          <w:bCs w:val="0"/>
          <w:color w:val="auto"/>
          <w:sz w:val="24"/>
        </w:rPr>
        <w:t>出现因</w:t>
      </w:r>
      <w:r>
        <w:rPr>
          <w:rFonts w:hint="eastAsia" w:ascii="仿宋" w:hAnsi="仿宋" w:eastAsia="仿宋" w:cs="仿宋"/>
          <w:b w:val="0"/>
          <w:bCs w:val="0"/>
          <w:color w:val="auto"/>
          <w:sz w:val="24"/>
          <w:lang w:eastAsia="zh-CN"/>
        </w:rPr>
        <w:t>招标</w:t>
      </w:r>
      <w:r>
        <w:rPr>
          <w:rFonts w:hint="eastAsia" w:ascii="仿宋" w:hAnsi="仿宋" w:eastAsia="仿宋" w:cs="仿宋"/>
          <w:b w:val="0"/>
          <w:bCs w:val="0"/>
          <w:color w:val="auto"/>
          <w:sz w:val="24"/>
        </w:rPr>
        <w:t>文件的修改推迟截止日期时，则按采购代理机构修改通知规定的时间</w:t>
      </w:r>
      <w:r>
        <w:rPr>
          <w:rFonts w:hint="eastAsia" w:ascii="仿宋" w:hAnsi="仿宋" w:eastAsia="仿宋" w:cs="仿宋"/>
          <w:color w:val="auto"/>
          <w:sz w:val="24"/>
          <w:highlight w:val="none"/>
        </w:rPr>
        <w:t>递交加密电子版响应文件。在此情况下，采购人和采购代理机构与供应商之间受截止期制约的所有权利和义务应延长至新的截止期。</w:t>
      </w:r>
    </w:p>
    <w:p>
      <w:pPr>
        <w:widowControl/>
        <w:spacing w:line="360" w:lineRule="auto"/>
        <w:ind w:firstLine="480" w:firstLineChars="200"/>
        <w:rPr>
          <w:rFonts w:hint="eastAsia" w:ascii="仿宋" w:hAnsi="仿宋" w:eastAsia="仿宋" w:cs="仿宋"/>
          <w:color w:val="auto"/>
          <w:sz w:val="24"/>
          <w:highlight w:val="none"/>
          <w:lang w:val="en-US" w:eastAsia="zh-CN"/>
        </w:rPr>
      </w:pPr>
      <w:bookmarkStart w:id="116" w:name="_Toc243907597"/>
      <w:bookmarkStart w:id="117" w:name="_Toc245897297"/>
      <w:bookmarkStart w:id="118" w:name="_Toc243906336"/>
      <w:bookmarkStart w:id="119" w:name="_Toc233274837"/>
      <w:r>
        <w:rPr>
          <w:rFonts w:hint="eastAsia" w:ascii="仿宋" w:hAnsi="仿宋" w:eastAsia="仿宋" w:cs="仿宋"/>
          <w:color w:val="auto"/>
          <w:sz w:val="24"/>
          <w:highlight w:val="none"/>
          <w:lang w:val="en-US" w:eastAsia="zh-CN"/>
        </w:rPr>
        <w:t>23.供应商提交的响应文件必须唯一有效，响应文件内要求有盖章及签字的必须有盖章签字，所盖章必须是红章。</w:t>
      </w:r>
    </w:p>
    <w:p>
      <w:pPr>
        <w:widowControl/>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24、迟交的</w:t>
      </w:r>
      <w:bookmarkEnd w:id="116"/>
      <w:bookmarkEnd w:id="117"/>
      <w:bookmarkEnd w:id="118"/>
      <w:bookmarkEnd w:id="119"/>
      <w:r>
        <w:rPr>
          <w:rFonts w:hint="eastAsia" w:ascii="仿宋" w:hAnsi="仿宋" w:eastAsia="仿宋" w:cs="仿宋"/>
          <w:color w:val="auto"/>
          <w:sz w:val="24"/>
          <w:highlight w:val="none"/>
          <w:lang w:eastAsia="zh-CN"/>
        </w:rPr>
        <w:t>投标文件</w:t>
      </w:r>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w:t>
      </w:r>
      <w:r>
        <w:rPr>
          <w:rFonts w:hint="eastAsia" w:ascii="仿宋" w:hAnsi="仿宋" w:eastAsia="仿宋" w:cs="仿宋"/>
          <w:b w:val="0"/>
          <w:bCs w:val="0"/>
          <w:color w:val="auto"/>
          <w:sz w:val="24"/>
        </w:rPr>
        <w:t>采购人将拒绝接收在规定的递交响应文件截止时间后上传至新疆政府采购网政采云平台（www.zcygov.cn）的加密电子版响应文件</w:t>
      </w:r>
      <w:r>
        <w:rPr>
          <w:rFonts w:hint="eastAsia" w:ascii="仿宋" w:hAnsi="仿宋" w:eastAsia="仿宋" w:cs="仿宋"/>
          <w:color w:val="auto"/>
          <w:sz w:val="24"/>
          <w:highlight w:val="none"/>
        </w:rPr>
        <w:t>。</w:t>
      </w:r>
    </w:p>
    <w:p>
      <w:pPr>
        <w:widowControl/>
        <w:spacing w:line="360" w:lineRule="auto"/>
        <w:ind w:firstLine="480" w:firstLineChars="200"/>
        <w:rPr>
          <w:rFonts w:hint="eastAsia" w:ascii="仿宋" w:hAnsi="仿宋" w:eastAsia="仿宋" w:cs="仿宋"/>
          <w:color w:val="auto"/>
          <w:sz w:val="24"/>
          <w:highlight w:val="none"/>
        </w:rPr>
      </w:pPr>
      <w:bookmarkStart w:id="120" w:name="_Toc243907598"/>
      <w:bookmarkStart w:id="121" w:name="_Toc245897298"/>
      <w:bookmarkStart w:id="122" w:name="_Toc243906337"/>
      <w:bookmarkStart w:id="123" w:name="_Toc233274838"/>
      <w:r>
        <w:rPr>
          <w:rFonts w:hint="eastAsia" w:ascii="仿宋" w:hAnsi="仿宋" w:eastAsia="仿宋" w:cs="仿宋"/>
          <w:color w:val="auto"/>
          <w:sz w:val="24"/>
          <w:highlight w:val="none"/>
        </w:rPr>
        <w:t>25、</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的修改和撤回</w:t>
      </w:r>
      <w:bookmarkEnd w:id="120"/>
      <w:bookmarkEnd w:id="121"/>
      <w:bookmarkEnd w:id="122"/>
      <w:bookmarkEnd w:id="123"/>
    </w:p>
    <w:p>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25.1 </w:t>
      </w:r>
      <w:r>
        <w:rPr>
          <w:rFonts w:hint="eastAsia" w:ascii="仿宋" w:hAnsi="仿宋" w:eastAsia="仿宋" w:cs="仿宋"/>
          <w:b w:val="0"/>
          <w:bCs w:val="0"/>
          <w:color w:val="auto"/>
          <w:sz w:val="24"/>
        </w:rPr>
        <w:t>应商应按本供应商须知前附表规定的时间及地点上传加密电子版响应文件</w:t>
      </w:r>
      <w:r>
        <w:rPr>
          <w:rFonts w:hint="eastAsia" w:ascii="仿宋" w:hAnsi="仿宋" w:eastAsia="仿宋" w:cs="仿宋"/>
          <w:color w:val="auto"/>
          <w:sz w:val="24"/>
          <w:highlight w:val="none"/>
        </w:rPr>
        <w:t>。</w:t>
      </w:r>
    </w:p>
    <w:p>
      <w:pPr>
        <w:spacing w:line="360" w:lineRule="auto"/>
        <w:jc w:val="center"/>
        <w:outlineLvl w:val="1"/>
        <w:rPr>
          <w:rFonts w:hint="eastAsia" w:ascii="仿宋" w:hAnsi="仿宋" w:eastAsia="仿宋" w:cs="仿宋"/>
          <w:b/>
          <w:bCs/>
          <w:color w:val="auto"/>
          <w:sz w:val="28"/>
          <w:szCs w:val="28"/>
          <w:highlight w:val="none"/>
        </w:rPr>
      </w:pPr>
    </w:p>
    <w:p>
      <w:pPr>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w:t>
      </w:r>
      <w:bookmarkEnd w:id="110"/>
      <w:bookmarkEnd w:id="111"/>
      <w:bookmarkEnd w:id="112"/>
      <w:bookmarkEnd w:id="113"/>
      <w:bookmarkEnd w:id="114"/>
      <w:r>
        <w:rPr>
          <w:rFonts w:hint="eastAsia" w:ascii="仿宋" w:hAnsi="仿宋" w:eastAsia="仿宋" w:cs="仿宋"/>
          <w:b/>
          <w:bCs/>
          <w:color w:val="auto"/>
          <w:sz w:val="28"/>
          <w:szCs w:val="28"/>
          <w:highlight w:val="none"/>
        </w:rPr>
        <w:t>开标、</w:t>
      </w:r>
      <w:r>
        <w:rPr>
          <w:rFonts w:hint="eastAsia" w:ascii="仿宋" w:hAnsi="仿宋" w:eastAsia="仿宋" w:cs="仿宋"/>
          <w:b/>
          <w:color w:val="auto"/>
          <w:sz w:val="28"/>
          <w:szCs w:val="28"/>
          <w:highlight w:val="none"/>
        </w:rPr>
        <w:t>评标</w:t>
      </w:r>
      <w:r>
        <w:rPr>
          <w:rFonts w:hint="eastAsia" w:ascii="仿宋" w:hAnsi="仿宋" w:eastAsia="仿宋" w:cs="仿宋"/>
          <w:b/>
          <w:bCs/>
          <w:color w:val="auto"/>
          <w:sz w:val="28"/>
          <w:szCs w:val="28"/>
          <w:highlight w:val="none"/>
        </w:rPr>
        <w:t>、确定中标供应商</w:t>
      </w:r>
    </w:p>
    <w:p>
      <w:pPr>
        <w:spacing w:line="360" w:lineRule="auto"/>
        <w:ind w:firstLine="480" w:firstLineChars="200"/>
        <w:outlineLvl w:val="1"/>
        <w:rPr>
          <w:rFonts w:hint="eastAsia" w:ascii="仿宋" w:hAnsi="仿宋" w:eastAsia="仿宋" w:cs="仿宋"/>
          <w:color w:val="auto"/>
          <w:sz w:val="24"/>
          <w:highlight w:val="none"/>
        </w:rPr>
      </w:pPr>
      <w:bookmarkStart w:id="124" w:name="_Toc243907601"/>
      <w:bookmarkStart w:id="125" w:name="_Toc245897301"/>
      <w:bookmarkStart w:id="126" w:name="_Toc243906340"/>
      <w:bookmarkStart w:id="127" w:name="_Toc233274841"/>
      <w:bookmarkStart w:id="128" w:name="_Toc245897308"/>
      <w:bookmarkStart w:id="129" w:name="_Toc243907609"/>
      <w:bookmarkStart w:id="130" w:name="_Toc243906348"/>
      <w:bookmarkStart w:id="131" w:name="_Toc233274847"/>
      <w:bookmarkStart w:id="132" w:name="_Toc22731"/>
      <w:r>
        <w:rPr>
          <w:rFonts w:hint="eastAsia" w:ascii="仿宋" w:hAnsi="仿宋" w:eastAsia="仿宋" w:cs="仿宋"/>
          <w:color w:val="auto"/>
          <w:sz w:val="24"/>
          <w:highlight w:val="none"/>
        </w:rPr>
        <w:t>27、</w:t>
      </w:r>
      <w:bookmarkEnd w:id="124"/>
      <w:bookmarkEnd w:id="125"/>
      <w:bookmarkEnd w:id="126"/>
      <w:bookmarkEnd w:id="127"/>
      <w:r>
        <w:rPr>
          <w:rFonts w:hint="eastAsia" w:ascii="仿宋" w:hAnsi="仿宋" w:eastAsia="仿宋" w:cs="仿宋"/>
          <w:b/>
          <w:bCs/>
          <w:sz w:val="24"/>
        </w:rPr>
        <w:t>磋商会议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27.1采购人在本供应商须知前附表规定的时间和地点组织磋商会议。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w:t>
      </w:r>
      <w:r>
        <w:rPr>
          <w:rFonts w:hint="eastAsia" w:ascii="仿宋" w:hAnsi="仿宋" w:eastAsia="仿宋" w:cs="仿宋"/>
          <w:b/>
          <w:bCs/>
          <w:color w:val="auto"/>
          <w:sz w:val="24"/>
        </w:rPr>
        <w:t>本次采用网上评标系统，供应商在线参加磋商（无需到开标现场）。磋商前供应商完成设备测试，保证摄像头及麦克风正常使用。自磋商时间起至评审结束，供应商须登录新疆政府采购网政采云平台并保持网络畅通，随时答复磋商小组的疑问。若供应商未在规定时 间内答复的，由此产生的后果将由供应商自行承担。</w:t>
      </w:r>
    </w:p>
    <w:p>
      <w:pPr>
        <w:pStyle w:val="12"/>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FF"/>
          <w:kern w:val="2"/>
          <w:sz w:val="24"/>
          <w:szCs w:val="24"/>
          <w:lang w:val="en-US" w:eastAsia="zh-CN" w:bidi="ar-SA"/>
        </w:rPr>
      </w:pPr>
      <w:r>
        <w:rPr>
          <w:rFonts w:hint="eastAsia" w:ascii="仿宋" w:hAnsi="仿宋" w:eastAsia="仿宋" w:cs="仿宋"/>
          <w:b/>
          <w:color w:val="auto"/>
          <w:sz w:val="24"/>
          <w:highlight w:val="none"/>
        </w:rPr>
        <w:t>27.3</w:t>
      </w:r>
      <w:r>
        <w:rPr>
          <w:rFonts w:hint="eastAsia" w:ascii="仿宋" w:hAnsi="仿宋" w:eastAsia="仿宋" w:cs="仿宋"/>
          <w:b/>
          <w:bCs/>
          <w:color w:val="0000FF"/>
          <w:kern w:val="2"/>
          <w:sz w:val="24"/>
          <w:szCs w:val="24"/>
          <w:lang w:val="en-US" w:eastAsia="zh-CN" w:bidi="ar-SA"/>
        </w:rPr>
        <w:t>各包段供应商登录政采云平台，在磋商时间后15分钟内用“项目采购-开标评标”功能进行解密电子版响应文件。若供应商在规定时间内未按时解密的，视为无效响应。解密与加密电子版响应文件须使用同一个CA。</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27.4磋商会议由采购代理机构组织并主持。</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27.5在磋商过程中，工作人员如发现响应文件组成部分不齐全，由磋商小组认定其有效性。磋商小组认定的无效响应文件将不进入磋商、评审阶段。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hint="eastAsia" w:ascii="仿宋" w:hAnsi="仿宋" w:eastAsia="仿宋" w:cs="仿宋"/>
          <w:color w:val="auto"/>
          <w:sz w:val="24"/>
          <w:highlight w:val="none"/>
        </w:rPr>
      </w:pPr>
      <w:bookmarkStart w:id="133" w:name="_Toc233274842"/>
      <w:bookmarkStart w:id="134" w:name="_Toc243907602"/>
      <w:bookmarkStart w:id="135" w:name="_Toc243906341"/>
      <w:bookmarkStart w:id="136" w:name="_Toc245897302"/>
      <w:bookmarkStart w:id="137" w:name="_Toc245897304"/>
      <w:bookmarkStart w:id="138" w:name="_Toc243907605"/>
      <w:bookmarkStart w:id="139" w:name="_Toc233274843"/>
      <w:bookmarkStart w:id="140" w:name="_Toc243906344"/>
      <w:r>
        <w:rPr>
          <w:rFonts w:hint="eastAsia" w:ascii="仿宋" w:hAnsi="仿宋" w:eastAsia="仿宋" w:cs="仿宋"/>
          <w:color w:val="auto"/>
          <w:sz w:val="24"/>
          <w:highlight w:val="none"/>
        </w:rPr>
        <w:t>28、</w:t>
      </w:r>
      <w:bookmarkEnd w:id="133"/>
      <w:bookmarkEnd w:id="134"/>
      <w:bookmarkEnd w:id="135"/>
      <w:bookmarkEnd w:id="136"/>
      <w:r>
        <w:rPr>
          <w:rFonts w:hint="eastAsia" w:ascii="仿宋" w:hAnsi="仿宋" w:eastAsia="仿宋" w:cs="仿宋"/>
          <w:b/>
          <w:bCs/>
          <w:sz w:val="24"/>
        </w:rPr>
        <w:t>磋商小组</w:t>
      </w:r>
    </w:p>
    <w:p>
      <w:pPr>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.1</w:t>
      </w:r>
      <w:r>
        <w:rPr>
          <w:rFonts w:hint="eastAsia" w:ascii="仿宋" w:hAnsi="仿宋" w:eastAsia="仿宋" w:cs="仿宋"/>
          <w:sz w:val="24"/>
        </w:rPr>
        <w:t>磋商小组成员组成：按照《中华人民共和国政府采购法》、《中华人民共和国政府采购实施条例》、《政府采购竞争性磋商采购方式管理暂行办法》（中华人民共和国财政部文件财库[2014]214号）及相关法律、法规规定组建，由采购人代表和评审专家组成。磋商小组将负责对供应商提交的响应文件进行磋商、评审，确保磋商、评审过程公正、合法、保密，并向采购人推荐成交候选供应商</w:t>
      </w:r>
      <w:r>
        <w:rPr>
          <w:rFonts w:hint="eastAsia" w:ascii="仿宋" w:hAnsi="仿宋" w:eastAsia="仿宋" w:cs="仿宋"/>
          <w:color w:val="auto"/>
          <w:sz w:val="24"/>
          <w:highlight w:val="none"/>
        </w:rPr>
        <w:t>。</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color w:val="auto"/>
          <w:highlight w:val="none"/>
        </w:rPr>
      </w:pPr>
      <w:r>
        <w:rPr>
          <w:rFonts w:hint="eastAsia" w:ascii="仿宋" w:hAnsi="仿宋" w:eastAsia="仿宋" w:cs="仿宋"/>
          <w:b/>
          <w:color w:val="auto"/>
          <w:sz w:val="24"/>
          <w:highlight w:val="none"/>
          <w:lang w:val="en-US" w:eastAsia="zh-CN"/>
        </w:rPr>
        <w:t>29</w:t>
      </w:r>
      <w:r>
        <w:rPr>
          <w:rFonts w:hint="eastAsia" w:ascii="仿宋" w:hAnsi="仿宋" w:eastAsia="仿宋" w:cs="仿宋"/>
          <w:b/>
          <w:color w:val="auto"/>
          <w:sz w:val="24"/>
          <w:highlight w:val="none"/>
        </w:rPr>
        <w:t>、</w:t>
      </w:r>
      <w:r>
        <w:rPr>
          <w:rFonts w:hint="eastAsia" w:ascii="仿宋" w:hAnsi="仿宋" w:eastAsia="仿宋" w:cs="仿宋"/>
          <w:b/>
          <w:bCs/>
          <w:sz w:val="24"/>
        </w:rPr>
        <w:t>磋商</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29</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1磋商小组所有成员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r>
        <w:rPr>
          <w:rFonts w:hint="eastAsia" w:ascii="仿宋" w:hAnsi="仿宋" w:eastAsia="仿宋" w:cs="仿宋"/>
          <w:b/>
          <w:color w:val="auto"/>
          <w:sz w:val="24"/>
          <w:highlight w:val="none"/>
        </w:rPr>
        <w:t>。</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29</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2磋商文件能够详细列明采购标的的技术、服务要求的，磋商小组在磋商结束后，磋商小组应当要求所有实质性响应的供应商在规定时间内提交最后报价，最后报价是供应商响应文件的有效组成部分</w:t>
      </w:r>
      <w:r>
        <w:rPr>
          <w:rFonts w:hint="eastAsia" w:ascii="仿宋" w:hAnsi="仿宋" w:eastAsia="仿宋" w:cs="仿宋"/>
          <w:b/>
          <w:color w:val="auto"/>
          <w:sz w:val="24"/>
          <w:highlight w:val="none"/>
        </w:rPr>
        <w:t>。</w:t>
      </w:r>
    </w:p>
    <w:p>
      <w:pPr>
        <w:widowControl/>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29</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r>
        <w:rPr>
          <w:rFonts w:hint="eastAsia" w:ascii="仿宋" w:hAnsi="仿宋" w:eastAsia="仿宋" w:cs="仿宋"/>
          <w:b/>
          <w:color w:val="auto"/>
          <w:sz w:val="24"/>
          <w:highlight w:val="none"/>
        </w:rPr>
        <w:t>。</w:t>
      </w:r>
    </w:p>
    <w:bookmarkEnd w:id="137"/>
    <w:bookmarkEnd w:id="138"/>
    <w:bookmarkEnd w:id="139"/>
    <w:bookmarkEnd w:id="140"/>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highlight w:val="none"/>
          <w:lang w:val="en-US" w:eastAsia="zh-CN"/>
        </w:rPr>
      </w:pPr>
      <w:bookmarkStart w:id="141" w:name="_Toc20715"/>
      <w:bookmarkStart w:id="142" w:name="_Toc224624767"/>
      <w:bookmarkStart w:id="143" w:name="_Toc224623663"/>
      <w:bookmarkStart w:id="144" w:name="_Toc224623451"/>
      <w:bookmarkStart w:id="145" w:name="_Toc245897305"/>
      <w:bookmarkStart w:id="146" w:name="_Toc243907606"/>
      <w:bookmarkStart w:id="147" w:name="_Toc243906345"/>
      <w:bookmarkStart w:id="148" w:name="_Toc224620071"/>
      <w:bookmarkStart w:id="149" w:name="_Toc224624488"/>
      <w:bookmarkStart w:id="150" w:name="_Toc224620150"/>
      <w:bookmarkStart w:id="151" w:name="_Toc224623557"/>
      <w:bookmarkStart w:id="152" w:name="_Toc224622928"/>
      <w:bookmarkStart w:id="153" w:name="_Toc224624628"/>
      <w:r>
        <w:rPr>
          <w:rFonts w:hint="eastAsia" w:ascii="仿宋" w:hAnsi="仿宋" w:eastAsia="仿宋" w:cs="仿宋"/>
          <w:b/>
          <w:color w:val="auto"/>
          <w:sz w:val="24"/>
          <w:highlight w:val="none"/>
          <w:lang w:val="en-US" w:eastAsia="zh-CN"/>
        </w:rPr>
        <w:t>29.4已提交响应文件的供应商，在提交最后报价之前，可以根据磋商情况退出磋商。</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29.5磋商小组判断响应文件的响应性仅基于响应文件本身而不依靠任何外部证据，但响应文件有不真实、不正确的内容除外。</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29.6如果响应文件实质上没有响应磋商文件的要求，磋商小组将予以拒绝，供应商不得通过修正或撤消不符合要求的偏离或保留，而使其成为实质上响应。</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highlight w:val="none"/>
          <w:lang w:val="en-US" w:eastAsia="zh-CN"/>
        </w:rPr>
      </w:pPr>
      <w:r>
        <w:rPr>
          <w:rFonts w:hint="eastAsia" w:ascii="仿宋" w:hAnsi="仿宋" w:eastAsia="仿宋" w:cs="仿宋"/>
          <w:b/>
          <w:bCs/>
          <w:sz w:val="24"/>
          <w:lang w:val="en-US" w:eastAsia="zh-CN"/>
        </w:rPr>
        <w:t>29.7</w:t>
      </w:r>
      <w:r>
        <w:rPr>
          <w:rFonts w:hint="eastAsia" w:ascii="仿宋" w:hAnsi="仿宋" w:eastAsia="仿宋" w:cs="仿宋"/>
          <w:b/>
          <w:bCs/>
          <w:sz w:val="24"/>
        </w:rPr>
        <w:t>经磋商确定最终采购需求和提交报价的供应商后，由磋商小组采用综合评分法对提交报价的供应商响应文件和报价进行综合评分。</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30</w:t>
      </w:r>
      <w:r>
        <w:rPr>
          <w:rFonts w:hint="eastAsia" w:ascii="仿宋" w:hAnsi="仿宋" w:eastAsia="仿宋" w:cs="仿宋"/>
          <w:b/>
          <w:color w:val="auto"/>
          <w:sz w:val="24"/>
          <w:highlight w:val="none"/>
        </w:rPr>
        <w:t>、重大偏离</w:t>
      </w:r>
      <w:bookmarkEnd w:id="141"/>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重大偏离是指实质上影响合同的采购范围、质量和性能、项目周期等，或者实质上不满足招标文件的要求，而且限制了采购人的权力或减轻了供应商的义务。纠正或承认这些偏离将会对其他实质上响应要求的供应商合理的竞争地位产生不公正的影响。</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highlight w:val="none"/>
        </w:rPr>
      </w:pPr>
      <w:bookmarkStart w:id="154" w:name="_Toc22298"/>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bookmarkEnd w:id="154"/>
      <w:r>
        <w:rPr>
          <w:rFonts w:hint="eastAsia" w:ascii="仿宋" w:hAnsi="仿宋" w:eastAsia="仿宋" w:cs="仿宋"/>
          <w:b/>
          <w:color w:val="auto"/>
          <w:sz w:val="24"/>
          <w:highlight w:val="none"/>
        </w:rPr>
        <w:t>在招标采购中，出现下列情形之一的，应予废标</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.1符合专业条件的供应商或者对招标文件作实质响应的供应商不足三家的；</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.2出现影响采购公正的违法、违规行为的；</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.3因重大变故，采购任务取消的；</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.4《中华人民共和国政府采购法》及相关法律法规及招标文件明确规定废标的其他情形。</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highlight w:val="none"/>
        </w:rPr>
      </w:pPr>
      <w:bookmarkStart w:id="155" w:name="_Toc15179"/>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、供应商串通投标</w:t>
      </w:r>
      <w:bookmarkEnd w:id="155"/>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有下列情形之一的，视为供应商串通投标，其投标无效：</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.1不同供应商的投标文件由同一单位或者个人编制；</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.2不同供应商委托同一单位或者个人办理投标事宜；</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.3不同供应商的投标文件载明的项目管理成员或者联系人员为同一人；</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.4不同供应商的投标文件异常一致或者投标报价呈规律性差异；</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.5不同供应商的投标文件相互混装；</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szCs w:val="20"/>
          <w:highlight w:val="none"/>
        </w:rPr>
      </w:pPr>
      <w:bookmarkStart w:id="156" w:name="_Toc6184"/>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、投标无效：供应商存在下列情况之一的，其投标无效:</w:t>
      </w:r>
      <w:bookmarkEnd w:id="156"/>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szCs w:val="20"/>
          <w:highlight w:val="none"/>
        </w:rPr>
      </w:pPr>
      <w:bookmarkStart w:id="157" w:name="_Toc23413"/>
      <w:r>
        <w:rPr>
          <w:rFonts w:hint="eastAsia" w:ascii="仿宋" w:hAnsi="仿宋" w:eastAsia="仿宋" w:cs="仿宋"/>
          <w:b/>
          <w:color w:val="auto"/>
          <w:sz w:val="24"/>
          <w:szCs w:val="20"/>
          <w:highlight w:val="none"/>
        </w:rPr>
        <w:t>3</w:t>
      </w:r>
      <w:r>
        <w:rPr>
          <w:rFonts w:hint="eastAsia" w:ascii="仿宋" w:hAnsi="仿宋" w:eastAsia="仿宋" w:cs="仿宋"/>
          <w:b/>
          <w:color w:val="auto"/>
          <w:sz w:val="24"/>
          <w:szCs w:val="20"/>
          <w:highlight w:val="none"/>
          <w:lang w:val="en-US" w:eastAsia="zh-CN"/>
        </w:rPr>
        <w:t>3</w:t>
      </w:r>
      <w:r>
        <w:rPr>
          <w:rFonts w:hint="eastAsia" w:ascii="仿宋" w:hAnsi="仿宋" w:eastAsia="仿宋" w:cs="仿宋"/>
          <w:b/>
          <w:color w:val="auto"/>
          <w:sz w:val="24"/>
          <w:szCs w:val="20"/>
          <w:highlight w:val="none"/>
        </w:rPr>
        <w:t>.</w:t>
      </w:r>
      <w:r>
        <w:rPr>
          <w:rFonts w:hint="eastAsia" w:ascii="仿宋" w:hAnsi="仿宋" w:eastAsia="仿宋" w:cs="仿宋"/>
          <w:b/>
          <w:color w:val="auto"/>
          <w:sz w:val="24"/>
          <w:szCs w:val="20"/>
          <w:highlight w:val="none"/>
          <w:lang w:val="en-US" w:eastAsia="zh-CN"/>
        </w:rPr>
        <w:t>1</w:t>
      </w:r>
      <w:r>
        <w:rPr>
          <w:rFonts w:hint="eastAsia" w:ascii="仿宋" w:hAnsi="仿宋" w:eastAsia="仿宋" w:cs="仿宋"/>
          <w:b/>
          <w:color w:val="auto"/>
          <w:sz w:val="24"/>
          <w:highlight w:val="none"/>
        </w:rPr>
        <w:t>投标文件未经供应商盖章和单位负责人签字的；</w:t>
      </w:r>
      <w:bookmarkEnd w:id="157"/>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szCs w:val="20"/>
          <w:highlight w:val="none"/>
        </w:rPr>
      </w:pPr>
      <w:bookmarkStart w:id="158" w:name="_Toc10757"/>
      <w:r>
        <w:rPr>
          <w:rFonts w:hint="eastAsia" w:ascii="仿宋" w:hAnsi="仿宋" w:eastAsia="仿宋" w:cs="仿宋"/>
          <w:b/>
          <w:color w:val="auto"/>
          <w:sz w:val="24"/>
          <w:szCs w:val="20"/>
          <w:highlight w:val="none"/>
        </w:rPr>
        <w:t>3</w:t>
      </w:r>
      <w:r>
        <w:rPr>
          <w:rFonts w:hint="eastAsia" w:ascii="仿宋" w:hAnsi="仿宋" w:eastAsia="仿宋" w:cs="仿宋"/>
          <w:b/>
          <w:color w:val="auto"/>
          <w:sz w:val="24"/>
          <w:szCs w:val="20"/>
          <w:highlight w:val="none"/>
          <w:lang w:val="en-US" w:eastAsia="zh-CN"/>
        </w:rPr>
        <w:t>3</w:t>
      </w:r>
      <w:r>
        <w:rPr>
          <w:rFonts w:hint="eastAsia" w:ascii="仿宋" w:hAnsi="仿宋" w:eastAsia="仿宋" w:cs="仿宋"/>
          <w:b/>
          <w:color w:val="auto"/>
          <w:sz w:val="24"/>
          <w:szCs w:val="20"/>
          <w:highlight w:val="none"/>
        </w:rPr>
        <w:t>.</w:t>
      </w:r>
      <w:r>
        <w:rPr>
          <w:rFonts w:hint="eastAsia" w:ascii="仿宋" w:hAnsi="仿宋" w:eastAsia="仿宋" w:cs="仿宋"/>
          <w:b/>
          <w:color w:val="auto"/>
          <w:sz w:val="24"/>
          <w:szCs w:val="20"/>
          <w:highlight w:val="none"/>
          <w:lang w:val="en-US" w:eastAsia="zh-CN"/>
        </w:rPr>
        <w:t>2</w:t>
      </w:r>
      <w:r>
        <w:rPr>
          <w:rFonts w:hint="eastAsia" w:ascii="仿宋" w:hAnsi="仿宋" w:eastAsia="仿宋" w:cs="仿宋"/>
          <w:b/>
          <w:color w:val="auto"/>
          <w:sz w:val="24"/>
          <w:szCs w:val="20"/>
          <w:highlight w:val="none"/>
        </w:rPr>
        <w:t>不具备招标文件中规定的资格要求的；</w:t>
      </w:r>
      <w:bookmarkEnd w:id="158"/>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highlight w:val="none"/>
        </w:rPr>
      </w:pPr>
      <w:bookmarkStart w:id="159" w:name="_Toc3541"/>
      <w:r>
        <w:rPr>
          <w:rFonts w:hint="eastAsia" w:ascii="仿宋" w:hAnsi="仿宋" w:eastAsia="仿宋" w:cs="仿宋"/>
          <w:b/>
          <w:color w:val="auto"/>
          <w:sz w:val="24"/>
          <w:szCs w:val="20"/>
          <w:highlight w:val="none"/>
        </w:rPr>
        <w:t>3</w:t>
      </w:r>
      <w:r>
        <w:rPr>
          <w:rFonts w:hint="eastAsia" w:ascii="仿宋" w:hAnsi="仿宋" w:eastAsia="仿宋" w:cs="仿宋"/>
          <w:b/>
          <w:color w:val="auto"/>
          <w:sz w:val="24"/>
          <w:szCs w:val="20"/>
          <w:highlight w:val="none"/>
          <w:lang w:val="en-US" w:eastAsia="zh-CN"/>
        </w:rPr>
        <w:t>3</w:t>
      </w:r>
      <w:r>
        <w:rPr>
          <w:rFonts w:hint="eastAsia" w:ascii="仿宋" w:hAnsi="仿宋" w:eastAsia="仿宋" w:cs="仿宋"/>
          <w:b/>
          <w:color w:val="auto"/>
          <w:sz w:val="24"/>
          <w:szCs w:val="20"/>
          <w:highlight w:val="none"/>
        </w:rPr>
        <w:t>.</w:t>
      </w:r>
      <w:r>
        <w:rPr>
          <w:rFonts w:hint="eastAsia" w:ascii="仿宋" w:hAnsi="仿宋" w:eastAsia="仿宋" w:cs="仿宋"/>
          <w:b/>
          <w:color w:val="auto"/>
          <w:sz w:val="24"/>
          <w:szCs w:val="20"/>
          <w:highlight w:val="none"/>
          <w:lang w:val="en-US" w:eastAsia="zh-CN"/>
        </w:rPr>
        <w:t>3</w:t>
      </w:r>
      <w:r>
        <w:rPr>
          <w:rFonts w:hint="eastAsia" w:ascii="仿宋" w:hAnsi="仿宋" w:eastAsia="仿宋" w:cs="仿宋"/>
          <w:b/>
          <w:color w:val="auto"/>
          <w:sz w:val="24"/>
          <w:highlight w:val="none"/>
        </w:rPr>
        <w:t>未按中标文件规定的格式填写，内容不全或关键字迹模糊、无法辨认的；</w:t>
      </w:r>
      <w:bookmarkEnd w:id="159"/>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highlight w:val="none"/>
        </w:rPr>
      </w:pPr>
      <w:bookmarkStart w:id="160" w:name="_Toc5591"/>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同一供应商提供两份或多份不同的投标文件，或在一份投标文件中对同一招标货物报有两个或多个报价，且未说明哪一个为最终报价的；</w:t>
      </w:r>
      <w:bookmarkEnd w:id="160"/>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szCs w:val="20"/>
          <w:highlight w:val="none"/>
        </w:rPr>
      </w:pPr>
      <w:bookmarkStart w:id="161" w:name="_Toc15791"/>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供应商的</w:t>
      </w:r>
      <w:r>
        <w:rPr>
          <w:rFonts w:hint="eastAsia" w:ascii="仿宋" w:hAnsi="仿宋" w:eastAsia="仿宋" w:cs="仿宋"/>
          <w:b/>
          <w:color w:val="auto"/>
          <w:sz w:val="24"/>
          <w:highlight w:val="none"/>
          <w:lang w:eastAsia="zh-CN"/>
        </w:rPr>
        <w:t>投标报价</w:t>
      </w:r>
      <w:r>
        <w:rPr>
          <w:rFonts w:hint="eastAsia" w:ascii="仿宋" w:hAnsi="仿宋" w:eastAsia="仿宋" w:cs="仿宋"/>
          <w:b/>
          <w:color w:val="auto"/>
          <w:sz w:val="24"/>
          <w:highlight w:val="none"/>
        </w:rPr>
        <w:t>高于采购预算的</w:t>
      </w:r>
      <w:r>
        <w:rPr>
          <w:rFonts w:hint="eastAsia" w:ascii="仿宋" w:hAnsi="仿宋" w:eastAsia="仿宋" w:cs="仿宋"/>
          <w:b/>
          <w:color w:val="auto"/>
          <w:sz w:val="24"/>
          <w:highlight w:val="none"/>
          <w:lang w:eastAsia="zh-CN"/>
        </w:rPr>
        <w:t>限定价的</w:t>
      </w:r>
      <w:r>
        <w:rPr>
          <w:rFonts w:hint="eastAsia" w:ascii="仿宋" w:hAnsi="仿宋" w:eastAsia="仿宋" w:cs="仿宋"/>
          <w:b/>
          <w:color w:val="auto"/>
          <w:sz w:val="24"/>
          <w:szCs w:val="20"/>
          <w:highlight w:val="none"/>
        </w:rPr>
        <w:t>；</w:t>
      </w:r>
      <w:bookmarkEnd w:id="161"/>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szCs w:val="20"/>
          <w:highlight w:val="none"/>
        </w:rPr>
      </w:pPr>
      <w:bookmarkStart w:id="162" w:name="_Toc14333"/>
      <w:r>
        <w:rPr>
          <w:rFonts w:hint="eastAsia" w:ascii="仿宋" w:hAnsi="仿宋" w:eastAsia="仿宋" w:cs="仿宋"/>
          <w:b/>
          <w:color w:val="auto"/>
          <w:sz w:val="24"/>
          <w:szCs w:val="20"/>
          <w:highlight w:val="none"/>
        </w:rPr>
        <w:t>3</w:t>
      </w:r>
      <w:r>
        <w:rPr>
          <w:rFonts w:hint="eastAsia" w:ascii="仿宋" w:hAnsi="仿宋" w:eastAsia="仿宋" w:cs="仿宋"/>
          <w:b/>
          <w:color w:val="auto"/>
          <w:sz w:val="24"/>
          <w:szCs w:val="20"/>
          <w:highlight w:val="none"/>
          <w:lang w:val="en-US" w:eastAsia="zh-CN"/>
        </w:rPr>
        <w:t>3</w:t>
      </w:r>
      <w:r>
        <w:rPr>
          <w:rFonts w:hint="eastAsia" w:ascii="仿宋" w:hAnsi="仿宋" w:eastAsia="仿宋" w:cs="仿宋"/>
          <w:b/>
          <w:color w:val="auto"/>
          <w:sz w:val="24"/>
          <w:szCs w:val="20"/>
          <w:highlight w:val="none"/>
        </w:rPr>
        <w:t>.</w:t>
      </w:r>
      <w:r>
        <w:rPr>
          <w:rFonts w:hint="eastAsia" w:ascii="仿宋" w:hAnsi="仿宋" w:eastAsia="仿宋" w:cs="仿宋"/>
          <w:b/>
          <w:color w:val="auto"/>
          <w:sz w:val="24"/>
          <w:szCs w:val="20"/>
          <w:highlight w:val="none"/>
          <w:lang w:val="en-US" w:eastAsia="zh-CN"/>
        </w:rPr>
        <w:t>6</w:t>
      </w:r>
      <w:r>
        <w:rPr>
          <w:rFonts w:hint="eastAsia" w:ascii="仿宋" w:hAnsi="仿宋" w:eastAsia="仿宋" w:cs="仿宋"/>
          <w:b/>
          <w:color w:val="auto"/>
          <w:sz w:val="24"/>
          <w:szCs w:val="20"/>
          <w:highlight w:val="none"/>
        </w:rPr>
        <w:t>投标文件含有采购人不能接受的附加条件的;</w:t>
      </w:r>
      <w:bookmarkEnd w:id="162"/>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szCs w:val="20"/>
          <w:highlight w:val="none"/>
        </w:rPr>
        <w:t>3</w:t>
      </w:r>
      <w:r>
        <w:rPr>
          <w:rFonts w:hint="eastAsia" w:ascii="仿宋" w:hAnsi="仿宋" w:eastAsia="仿宋" w:cs="仿宋"/>
          <w:b/>
          <w:color w:val="auto"/>
          <w:sz w:val="24"/>
          <w:szCs w:val="20"/>
          <w:highlight w:val="none"/>
          <w:lang w:val="en-US" w:eastAsia="zh-CN"/>
        </w:rPr>
        <w:t>3</w:t>
      </w:r>
      <w:r>
        <w:rPr>
          <w:rFonts w:hint="eastAsia" w:ascii="仿宋" w:hAnsi="仿宋" w:eastAsia="仿宋" w:cs="仿宋"/>
          <w:b/>
          <w:color w:val="auto"/>
          <w:sz w:val="24"/>
          <w:szCs w:val="20"/>
          <w:highlight w:val="none"/>
        </w:rPr>
        <w:t>.</w:t>
      </w:r>
      <w:r>
        <w:rPr>
          <w:rFonts w:hint="eastAsia" w:ascii="仿宋" w:hAnsi="仿宋" w:eastAsia="仿宋" w:cs="仿宋"/>
          <w:b/>
          <w:color w:val="auto"/>
          <w:sz w:val="24"/>
          <w:szCs w:val="20"/>
          <w:highlight w:val="none"/>
          <w:lang w:val="en-US" w:eastAsia="zh-CN"/>
        </w:rPr>
        <w:t>7</w:t>
      </w:r>
      <w:r>
        <w:rPr>
          <w:rFonts w:hint="eastAsia" w:ascii="仿宋" w:hAnsi="仿宋" w:eastAsia="仿宋" w:cs="仿宋"/>
          <w:b/>
          <w:color w:val="auto"/>
          <w:sz w:val="24"/>
          <w:szCs w:val="20"/>
          <w:highlight w:val="none"/>
        </w:rPr>
        <w:t>《中华人民共和国政府采购法》、《中华人民共和国政府采购法实施条例》、《政府采购货物和服务招标投标管理办法》及相关法律法规及招标文件明确规定可以作无效投标文件的其他情形。</w:t>
      </w:r>
      <w:bookmarkEnd w:id="142"/>
      <w:bookmarkEnd w:id="143"/>
      <w:bookmarkEnd w:id="144"/>
      <w:bookmarkEnd w:id="145"/>
      <w:bookmarkEnd w:id="146"/>
      <w:bookmarkEnd w:id="147"/>
      <w:bookmarkEnd w:id="148"/>
      <w:bookmarkEnd w:id="149"/>
      <w:bookmarkEnd w:id="150"/>
      <w:bookmarkEnd w:id="151"/>
      <w:bookmarkEnd w:id="152"/>
      <w:bookmarkEnd w:id="153"/>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34、评标办法及定标原则</w:t>
      </w:r>
    </w:p>
    <w:bookmarkEnd w:id="128"/>
    <w:bookmarkEnd w:id="129"/>
    <w:bookmarkEnd w:id="130"/>
    <w:bookmarkEnd w:id="131"/>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3</w:t>
      </w:r>
      <w:r>
        <w:rPr>
          <w:rFonts w:hint="eastAsia" w:ascii="仿宋" w:hAnsi="仿宋" w:eastAsia="仿宋" w:cs="仿宋"/>
          <w:b/>
          <w:color w:val="auto"/>
          <w:sz w:val="24"/>
          <w:szCs w:val="20"/>
          <w:highlight w:val="none"/>
          <w:lang w:val="en-US" w:eastAsia="zh-CN"/>
        </w:rPr>
        <w:t>4</w:t>
      </w:r>
      <w:r>
        <w:rPr>
          <w:rFonts w:hint="eastAsia" w:ascii="仿宋" w:hAnsi="仿宋" w:eastAsia="仿宋" w:cs="仿宋"/>
          <w:b/>
          <w:color w:val="auto"/>
          <w:sz w:val="24"/>
          <w:szCs w:val="20"/>
          <w:highlight w:val="none"/>
        </w:rPr>
        <w:t>.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szCs w:val="20"/>
          <w:highlight w:val="yellow"/>
        </w:rPr>
      </w:pPr>
      <w:r>
        <w:rPr>
          <w:rFonts w:hint="eastAsia" w:ascii="仿宋" w:hAnsi="仿宋" w:eastAsia="仿宋" w:cs="仿宋"/>
          <w:b/>
          <w:color w:val="auto"/>
          <w:sz w:val="24"/>
          <w:szCs w:val="20"/>
          <w:highlight w:val="none"/>
        </w:rPr>
        <w:t>3</w:t>
      </w:r>
      <w:r>
        <w:rPr>
          <w:rFonts w:hint="eastAsia" w:ascii="仿宋" w:hAnsi="仿宋" w:eastAsia="仿宋" w:cs="仿宋"/>
          <w:b/>
          <w:color w:val="auto"/>
          <w:sz w:val="24"/>
          <w:szCs w:val="20"/>
          <w:highlight w:val="none"/>
          <w:lang w:val="en-US" w:eastAsia="zh-CN"/>
        </w:rPr>
        <w:t>4</w:t>
      </w:r>
      <w:r>
        <w:rPr>
          <w:rFonts w:hint="eastAsia" w:ascii="仿宋" w:hAnsi="仿宋" w:eastAsia="仿宋" w:cs="仿宋"/>
          <w:b/>
          <w:color w:val="auto"/>
          <w:sz w:val="24"/>
          <w:szCs w:val="20"/>
          <w:highlight w:val="none"/>
        </w:rPr>
        <w:t>.1.2登录“中国执行信息公开网”（网址：</w:t>
      </w:r>
      <w:r>
        <w:rPr>
          <w:rFonts w:hint="eastAsia" w:ascii="仿宋" w:hAnsi="仿宋" w:eastAsia="仿宋" w:cs="仿宋"/>
          <w:b/>
          <w:color w:val="auto"/>
          <w:sz w:val="24"/>
          <w:szCs w:val="20"/>
          <w:highlight w:val="none"/>
        </w:rPr>
        <w:drawing>
          <wp:inline distT="0" distB="0" distL="114300" distR="114300">
            <wp:extent cx="190500" cy="144780"/>
            <wp:effectExtent l="0" t="0" r="0" b="7620"/>
            <wp:docPr id="1" name="图片 1" descr="[5UQ[BL(6~BS2JV6W}N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UQ[BL(6~BS2JV6W}N6[%S"/>
                    <pic:cNvPicPr>
                      <a:picLocks noChangeAspect="1"/>
                    </pic:cNvPicPr>
                  </pic:nvPicPr>
                  <pic:blipFill>
                    <a:blip r:embed="rId14"/>
                    <a:stretch>
                      <a:fillRect/>
                    </a:stretch>
                  </pic:blipFill>
                  <pic:spPr>
                    <a:xfrm>
                      <a:off x="0" y="0"/>
                      <a:ext cx="190500" cy="144780"/>
                    </a:xfrm>
                    <a:prstGeom prst="rect">
                      <a:avLst/>
                    </a:prstGeom>
                    <a:noFill/>
                    <a:ln>
                      <a:noFill/>
                    </a:ln>
                  </pic:spPr>
                </pic:pic>
              </a:graphicData>
            </a:graphic>
          </wp:inline>
        </w:drawing>
      </w:r>
      <w:r>
        <w:rPr>
          <w:rFonts w:hint="eastAsia" w:ascii="仿宋" w:hAnsi="仿宋" w:eastAsia="仿宋" w:cs="仿宋"/>
          <w:b/>
          <w:color w:val="auto"/>
          <w:sz w:val="24"/>
          <w:szCs w:val="20"/>
          <w:highlight w:val="none"/>
        </w:rPr>
        <w:t xml:space="preserve">shixin.court.gov.cn）失信被执行人名单库查询。（如查询到该公司信息，说明该公司为失信被执行人），拒绝参与政府采购活动，同时对信用信息查询记录和证据进行打印存档。 </w:t>
      </w:r>
    </w:p>
    <w:p>
      <w:pPr>
        <w:spacing w:line="360" w:lineRule="auto"/>
        <w:ind w:firstLine="482" w:firstLineChars="200"/>
        <w:rPr>
          <w:rFonts w:hint="eastAsia" w:ascii="仿宋" w:hAnsi="仿宋" w:eastAsia="仿宋" w:cs="仿宋"/>
          <w:b/>
          <w:sz w:val="24"/>
        </w:rPr>
      </w:pPr>
      <w:r>
        <w:rPr>
          <w:rFonts w:hint="eastAsia" w:ascii="仿宋" w:hAnsi="仿宋" w:eastAsia="仿宋" w:cs="仿宋"/>
          <w:b/>
          <w:color w:val="000000" w:themeColor="text1"/>
          <w:sz w:val="24"/>
          <w:szCs w:val="20"/>
          <w:highlight w:val="none"/>
          <w14:textFill>
            <w14:solidFill>
              <w14:schemeClr w14:val="tx1"/>
            </w14:solidFill>
          </w14:textFill>
        </w:rPr>
        <w:t>3</w:t>
      </w:r>
      <w:r>
        <w:rPr>
          <w:rFonts w:hint="eastAsia" w:ascii="仿宋" w:hAnsi="仿宋" w:eastAsia="仿宋" w:cs="仿宋"/>
          <w:b/>
          <w:color w:val="000000" w:themeColor="text1"/>
          <w:sz w:val="24"/>
          <w:szCs w:val="20"/>
          <w:highlight w:val="none"/>
          <w:lang w:val="en-US" w:eastAsia="zh-CN"/>
          <w14:textFill>
            <w14:solidFill>
              <w14:schemeClr w14:val="tx1"/>
            </w14:solidFill>
          </w14:textFill>
        </w:rPr>
        <w:t>4</w:t>
      </w:r>
      <w:r>
        <w:rPr>
          <w:rFonts w:hint="eastAsia" w:ascii="仿宋" w:hAnsi="仿宋" w:eastAsia="仿宋" w:cs="仿宋"/>
          <w:b/>
          <w:color w:val="000000" w:themeColor="text1"/>
          <w:sz w:val="24"/>
          <w:szCs w:val="20"/>
          <w:highlight w:val="none"/>
          <w14:textFill>
            <w14:solidFill>
              <w14:schemeClr w14:val="tx1"/>
            </w14:solidFill>
          </w14:textFill>
        </w:rPr>
        <w:t>.2</w:t>
      </w:r>
      <w:r>
        <w:rPr>
          <w:rFonts w:hint="eastAsia" w:ascii="仿宋" w:hAnsi="仿宋" w:eastAsia="仿宋" w:cs="仿宋"/>
          <w:b/>
          <w:sz w:val="24"/>
        </w:rPr>
        <w:t>本项目评审采用综合评分法，严格按照磋商文件的要求和条件进行。</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szCs w:val="20"/>
          <w:highlight w:val="none"/>
        </w:rPr>
        <w:t>34.3</w:t>
      </w:r>
      <w:r>
        <w:rPr>
          <w:rFonts w:hint="eastAsia" w:ascii="仿宋" w:hAnsi="仿宋" w:eastAsia="仿宋" w:cs="仿宋"/>
          <w:b/>
          <w:color w:val="auto"/>
          <w:sz w:val="24"/>
          <w:szCs w:val="20"/>
          <w:highlight w:val="none"/>
          <w:lang w:eastAsia="zh-CN"/>
        </w:rPr>
        <w:t>投标文件</w:t>
      </w:r>
      <w:r>
        <w:rPr>
          <w:rFonts w:hint="eastAsia" w:ascii="仿宋" w:hAnsi="仿宋" w:eastAsia="仿宋" w:cs="仿宋"/>
          <w:b/>
          <w:color w:val="auto"/>
          <w:sz w:val="24"/>
          <w:szCs w:val="20"/>
          <w:highlight w:val="none"/>
        </w:rPr>
        <w:t>初审。各包段初审分为资格性审</w:t>
      </w:r>
      <w:r>
        <w:rPr>
          <w:rFonts w:hint="eastAsia" w:ascii="仿宋" w:hAnsi="仿宋" w:eastAsia="仿宋" w:cs="仿宋"/>
          <w:b/>
          <w:color w:val="auto"/>
          <w:sz w:val="24"/>
          <w:highlight w:val="none"/>
        </w:rPr>
        <w:t>查和符合性审查。</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初审由</w:t>
      </w:r>
      <w:r>
        <w:rPr>
          <w:rFonts w:hint="eastAsia" w:ascii="仿宋" w:hAnsi="仿宋" w:eastAsia="仿宋" w:cs="仿宋"/>
          <w:b/>
          <w:color w:val="auto"/>
          <w:sz w:val="24"/>
          <w:highlight w:val="none"/>
          <w:lang w:eastAsia="zh-CN"/>
        </w:rPr>
        <w:t>评标委员会</w:t>
      </w:r>
      <w:r>
        <w:rPr>
          <w:rFonts w:hint="eastAsia" w:ascii="仿宋" w:hAnsi="仿宋" w:eastAsia="仿宋" w:cs="仿宋"/>
          <w:b/>
          <w:color w:val="auto"/>
          <w:sz w:val="24"/>
          <w:highlight w:val="none"/>
        </w:rPr>
        <w:t>根据各供应商</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进行评审，</w:t>
      </w:r>
      <w:r>
        <w:rPr>
          <w:rFonts w:hint="eastAsia" w:ascii="仿宋" w:hAnsi="仿宋" w:eastAsia="仿宋" w:cs="仿宋"/>
          <w:b/>
          <w:color w:val="auto"/>
          <w:sz w:val="24"/>
          <w:szCs w:val="20"/>
          <w:highlight w:val="none"/>
        </w:rPr>
        <w:t>初</w:t>
      </w:r>
      <w:r>
        <w:rPr>
          <w:rFonts w:hint="eastAsia" w:ascii="仿宋" w:hAnsi="仿宋" w:eastAsia="仿宋" w:cs="仿宋"/>
          <w:b/>
          <w:color w:val="auto"/>
          <w:sz w:val="24"/>
          <w:highlight w:val="none"/>
        </w:rPr>
        <w:t>审内容详见第六章“评审标准（综合评分法）。未通过初审的供应商其</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按照无效</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处理。</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34.3.1资格性检查。依据法律法规和</w:t>
      </w:r>
      <w:r>
        <w:rPr>
          <w:rFonts w:hint="eastAsia" w:ascii="仿宋" w:hAnsi="仿宋" w:eastAsia="仿宋" w:cs="仿宋"/>
          <w:b/>
          <w:color w:val="auto"/>
          <w:sz w:val="24"/>
          <w:highlight w:val="none"/>
          <w:lang w:eastAsia="zh-CN"/>
        </w:rPr>
        <w:t>招标</w:t>
      </w:r>
      <w:r>
        <w:rPr>
          <w:rFonts w:hint="eastAsia" w:ascii="仿宋" w:hAnsi="仿宋" w:eastAsia="仿宋" w:cs="仿宋"/>
          <w:b/>
          <w:color w:val="auto"/>
          <w:sz w:val="24"/>
          <w:highlight w:val="none"/>
        </w:rPr>
        <w:t>文件的规定，对</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中的资格条件等进行审查，以确定供应商是否具备</w:t>
      </w:r>
      <w:r>
        <w:rPr>
          <w:rFonts w:hint="eastAsia" w:ascii="仿宋" w:hAnsi="仿宋" w:eastAsia="仿宋" w:cs="仿宋"/>
          <w:b/>
          <w:color w:val="auto"/>
          <w:sz w:val="24"/>
          <w:highlight w:val="none"/>
          <w:lang w:eastAsia="zh-CN"/>
        </w:rPr>
        <w:t>投标</w:t>
      </w:r>
      <w:r>
        <w:rPr>
          <w:rFonts w:hint="eastAsia" w:ascii="仿宋" w:hAnsi="仿宋" w:eastAsia="仿宋" w:cs="仿宋"/>
          <w:b/>
          <w:color w:val="auto"/>
          <w:sz w:val="24"/>
          <w:highlight w:val="none"/>
        </w:rPr>
        <w:t>资格。</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34.3.2符合性检查。依据</w:t>
      </w:r>
      <w:r>
        <w:rPr>
          <w:rFonts w:hint="eastAsia" w:ascii="仿宋" w:hAnsi="仿宋" w:eastAsia="仿宋" w:cs="仿宋"/>
          <w:b/>
          <w:color w:val="auto"/>
          <w:sz w:val="24"/>
          <w:highlight w:val="none"/>
          <w:lang w:eastAsia="zh-CN"/>
        </w:rPr>
        <w:t>招标</w:t>
      </w:r>
      <w:r>
        <w:rPr>
          <w:rFonts w:hint="eastAsia" w:ascii="仿宋" w:hAnsi="仿宋" w:eastAsia="仿宋" w:cs="仿宋"/>
          <w:b/>
          <w:color w:val="auto"/>
          <w:sz w:val="24"/>
          <w:highlight w:val="none"/>
        </w:rPr>
        <w:t>文件的规定，从</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的有效性、完整性和对</w:t>
      </w:r>
      <w:r>
        <w:rPr>
          <w:rFonts w:hint="eastAsia" w:ascii="仿宋" w:hAnsi="仿宋" w:eastAsia="仿宋" w:cs="仿宋"/>
          <w:b/>
          <w:color w:val="auto"/>
          <w:sz w:val="24"/>
          <w:highlight w:val="none"/>
          <w:lang w:eastAsia="zh-CN"/>
        </w:rPr>
        <w:t>招标</w:t>
      </w:r>
      <w:r>
        <w:rPr>
          <w:rFonts w:hint="eastAsia" w:ascii="仿宋" w:hAnsi="仿宋" w:eastAsia="仿宋" w:cs="仿宋"/>
          <w:b/>
          <w:color w:val="auto"/>
          <w:sz w:val="24"/>
          <w:highlight w:val="none"/>
        </w:rPr>
        <w:t>文件的响应程度进行审查，以确定是否对</w:t>
      </w:r>
      <w:r>
        <w:rPr>
          <w:rFonts w:hint="eastAsia" w:ascii="仿宋" w:hAnsi="仿宋" w:eastAsia="仿宋" w:cs="仿宋"/>
          <w:b/>
          <w:color w:val="auto"/>
          <w:sz w:val="24"/>
          <w:highlight w:val="none"/>
          <w:lang w:eastAsia="zh-CN"/>
        </w:rPr>
        <w:t>招标</w:t>
      </w:r>
      <w:r>
        <w:rPr>
          <w:rFonts w:hint="eastAsia" w:ascii="仿宋" w:hAnsi="仿宋" w:eastAsia="仿宋" w:cs="仿宋"/>
          <w:b/>
          <w:color w:val="auto"/>
          <w:sz w:val="24"/>
          <w:highlight w:val="none"/>
        </w:rPr>
        <w:t>文件的实质性要求作出响应。</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34.</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澄清有关问题。对</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中含义不明确、同类问题表述不一致或者有明显文字和计算错误的内容，</w:t>
      </w:r>
      <w:r>
        <w:rPr>
          <w:rFonts w:hint="eastAsia" w:ascii="仿宋" w:hAnsi="仿宋" w:eastAsia="仿宋" w:cs="仿宋"/>
          <w:b/>
          <w:color w:val="auto"/>
          <w:sz w:val="24"/>
          <w:highlight w:val="none"/>
          <w:lang w:eastAsia="zh-CN"/>
        </w:rPr>
        <w:t>评标委员会</w:t>
      </w:r>
      <w:r>
        <w:rPr>
          <w:rFonts w:hint="eastAsia" w:ascii="仿宋" w:hAnsi="仿宋" w:eastAsia="仿宋" w:cs="仿宋"/>
          <w:b/>
          <w:color w:val="auto"/>
          <w:sz w:val="24"/>
          <w:highlight w:val="none"/>
        </w:rPr>
        <w:t>可以书面形式要求供应商作出必要的澄清、说明或者纠正。供应商的澄清、说明或者补正应当采用书面形式，由其授权的代表签字，并不得超出</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的范围或者改变</w:t>
      </w:r>
      <w:r>
        <w:rPr>
          <w:rFonts w:hint="eastAsia" w:ascii="仿宋" w:hAnsi="仿宋" w:eastAsia="仿宋" w:cs="仿宋"/>
          <w:b/>
          <w:color w:val="auto"/>
          <w:sz w:val="24"/>
          <w:highlight w:val="none"/>
          <w:lang w:eastAsia="zh-CN"/>
        </w:rPr>
        <w:t>投标文件</w:t>
      </w:r>
      <w:r>
        <w:rPr>
          <w:rFonts w:hint="eastAsia" w:ascii="仿宋" w:hAnsi="仿宋" w:eastAsia="仿宋" w:cs="仿宋"/>
          <w:b/>
          <w:color w:val="auto"/>
          <w:sz w:val="24"/>
          <w:highlight w:val="none"/>
        </w:rPr>
        <w:t>的实质性内容。</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34.</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比较与评价。评标委员会按</w:t>
      </w:r>
      <w:r>
        <w:rPr>
          <w:rFonts w:hint="eastAsia" w:ascii="仿宋" w:hAnsi="仿宋" w:eastAsia="仿宋" w:cs="仿宋"/>
          <w:b/>
          <w:color w:val="auto"/>
          <w:sz w:val="24"/>
          <w:highlight w:val="none"/>
          <w:lang w:eastAsia="zh-CN"/>
        </w:rPr>
        <w:t>招标</w:t>
      </w:r>
      <w:r>
        <w:rPr>
          <w:rFonts w:hint="eastAsia" w:ascii="仿宋" w:hAnsi="仿宋" w:eastAsia="仿宋" w:cs="仿宋"/>
          <w:b/>
          <w:color w:val="auto"/>
          <w:sz w:val="24"/>
          <w:highlight w:val="none"/>
        </w:rPr>
        <w:t>文件中规定的</w:t>
      </w:r>
      <w:r>
        <w:rPr>
          <w:rFonts w:hint="eastAsia" w:ascii="仿宋" w:hAnsi="仿宋" w:eastAsia="仿宋" w:cs="仿宋"/>
          <w:b/>
          <w:color w:val="auto"/>
          <w:sz w:val="24"/>
          <w:highlight w:val="none"/>
          <w:lang w:eastAsia="zh-CN"/>
        </w:rPr>
        <w:t>评标</w:t>
      </w:r>
      <w:r>
        <w:rPr>
          <w:rFonts w:hint="eastAsia" w:ascii="仿宋" w:hAnsi="仿宋" w:eastAsia="仿宋" w:cs="仿宋"/>
          <w:b/>
          <w:color w:val="auto"/>
          <w:sz w:val="24"/>
          <w:highlight w:val="none"/>
        </w:rPr>
        <w:t>方法和标准，对投标文件进行评估，综合比较与评价。</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3</w:t>
      </w:r>
      <w:r>
        <w:rPr>
          <w:rFonts w:hint="eastAsia" w:ascii="仿宋" w:hAnsi="仿宋" w:eastAsia="仿宋" w:cs="仿宋"/>
          <w:b/>
          <w:bCs/>
          <w:color w:val="auto"/>
          <w:sz w:val="24"/>
          <w:szCs w:val="20"/>
          <w:highlight w:val="none"/>
          <w:lang w:val="en-US" w:eastAsia="zh-CN"/>
        </w:rPr>
        <w:t>5、</w:t>
      </w:r>
      <w:r>
        <w:rPr>
          <w:rFonts w:hint="eastAsia" w:ascii="仿宋" w:hAnsi="仿宋" w:eastAsia="仿宋" w:cs="仿宋"/>
          <w:b/>
          <w:bCs/>
          <w:color w:val="auto"/>
          <w:sz w:val="24"/>
          <w:szCs w:val="20"/>
          <w:highlight w:val="none"/>
          <w:lang w:eastAsia="zh-CN"/>
        </w:rPr>
        <w:t>投标报价</w:t>
      </w:r>
      <w:r>
        <w:rPr>
          <w:rFonts w:hint="eastAsia" w:ascii="仿宋" w:hAnsi="仿宋" w:eastAsia="仿宋" w:cs="仿宋"/>
          <w:b/>
          <w:bCs/>
          <w:color w:val="auto"/>
          <w:sz w:val="24"/>
          <w:szCs w:val="20"/>
          <w:highlight w:val="none"/>
        </w:rPr>
        <w:t>错误的修正</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5.1</w:t>
      </w:r>
      <w:r>
        <w:rPr>
          <w:rFonts w:hint="eastAsia" w:ascii="仿宋" w:hAnsi="仿宋" w:eastAsia="仿宋" w:cs="仿宋"/>
          <w:b/>
          <w:bCs/>
          <w:color w:val="auto"/>
          <w:sz w:val="24"/>
          <w:highlight w:val="none"/>
        </w:rPr>
        <w:t>如果发现</w:t>
      </w:r>
      <w:r>
        <w:rPr>
          <w:rFonts w:hint="eastAsia" w:ascii="仿宋" w:hAnsi="仿宋" w:eastAsia="仿宋" w:cs="仿宋"/>
          <w:b/>
          <w:bCs/>
          <w:color w:val="auto"/>
          <w:sz w:val="24"/>
          <w:highlight w:val="none"/>
          <w:lang w:eastAsia="zh-CN"/>
        </w:rPr>
        <w:t>投标报价</w:t>
      </w:r>
      <w:r>
        <w:rPr>
          <w:rFonts w:hint="eastAsia" w:ascii="仿宋" w:hAnsi="仿宋" w:eastAsia="仿宋" w:cs="仿宋"/>
          <w:b/>
          <w:bCs/>
          <w:color w:val="auto"/>
          <w:sz w:val="24"/>
          <w:highlight w:val="none"/>
        </w:rPr>
        <w:t>存在计算或表达上错误，则按下列原则进行修正：</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（1）开标时，投标文件中开标一览表(报价表)内容与投标文件中明细表内容不一致的，以开标一览表(报价表)为准。</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（2）投标文件的大写金额和小写金额不一致的，以大写金额为准；</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color w:val="auto"/>
          <w:sz w:val="24"/>
          <w:szCs w:val="20"/>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2同时出现两种以上不一致的，按照前款规定的顺序修正。修正后的报价按照财政部公布第87号令 《政府采购货物和服务招标投标管理办法》第五十一条第二款的规定经供应商确认后产生约束力，供应商不确认的，其投标无效。</w:t>
      </w:r>
    </w:p>
    <w:p>
      <w:pPr>
        <w:keepNext w:val="0"/>
        <w:keepLines w:val="0"/>
        <w:pageBreakBefore w:val="0"/>
        <w:kinsoku/>
        <w:wordWrap/>
        <w:overflowPunct/>
        <w:topLinePunct w:val="0"/>
        <w:autoSpaceDE/>
        <w:autoSpaceDN/>
        <w:bidi w:val="0"/>
        <w:spacing w:line="440" w:lineRule="exact"/>
        <w:ind w:firstLine="482" w:firstLineChars="200"/>
        <w:outlineLvl w:val="1"/>
        <w:rPr>
          <w:rFonts w:hint="eastAsia" w:ascii="仿宋" w:hAnsi="仿宋" w:eastAsia="仿宋" w:cs="仿宋"/>
          <w:b/>
          <w:color w:val="auto"/>
          <w:sz w:val="24"/>
          <w:highlight w:val="none"/>
        </w:rPr>
      </w:pPr>
      <w:bookmarkStart w:id="163" w:name="_Toc9198"/>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5.3</w:t>
      </w:r>
      <w:r>
        <w:rPr>
          <w:rFonts w:hint="eastAsia" w:ascii="仿宋" w:hAnsi="仿宋" w:eastAsia="仿宋" w:cs="仿宋"/>
          <w:b/>
          <w:color w:val="auto"/>
          <w:sz w:val="24"/>
          <w:highlight w:val="none"/>
        </w:rPr>
        <w:t>评标委员会认为供应商的报价明显低于其他供应商的报价，有可能影响产品质量或者不能诚信履约的，应当要求其在评标现场合理的时间内提供书面说明，必要时提交相关证明材料；供应商不能证明其报价合理性的，评标委员会应当将其作为无效投标处理。</w:t>
      </w:r>
      <w:bookmarkEnd w:id="163"/>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0000FF"/>
          <w:sz w:val="24"/>
          <w:highlight w:val="none"/>
        </w:rPr>
      </w:pPr>
      <w:r>
        <w:rPr>
          <w:rFonts w:hint="eastAsia" w:ascii="仿宋" w:hAnsi="仿宋" w:eastAsia="仿宋" w:cs="仿宋"/>
          <w:b/>
          <w:color w:val="0000FF"/>
          <w:sz w:val="24"/>
          <w:highlight w:val="none"/>
        </w:rPr>
        <w:t>3</w:t>
      </w:r>
      <w:r>
        <w:rPr>
          <w:rFonts w:hint="eastAsia" w:ascii="仿宋" w:hAnsi="仿宋" w:eastAsia="仿宋" w:cs="仿宋"/>
          <w:b/>
          <w:color w:val="0000FF"/>
          <w:sz w:val="24"/>
          <w:highlight w:val="none"/>
          <w:lang w:val="en-US" w:eastAsia="zh-CN"/>
        </w:rPr>
        <w:t>6</w:t>
      </w:r>
      <w:r>
        <w:rPr>
          <w:rFonts w:hint="eastAsia" w:ascii="仿宋" w:hAnsi="仿宋" w:eastAsia="仿宋" w:cs="仿宋"/>
          <w:color w:val="0000FF"/>
          <w:sz w:val="24"/>
          <w:highlight w:val="none"/>
        </w:rPr>
        <w:t>、</w:t>
      </w:r>
      <w:r>
        <w:rPr>
          <w:rFonts w:hint="eastAsia" w:ascii="仿宋" w:hAnsi="仿宋" w:eastAsia="仿宋" w:cs="仿宋"/>
          <w:b/>
          <w:color w:val="0000FF"/>
          <w:sz w:val="24"/>
          <w:highlight w:val="none"/>
        </w:rPr>
        <w:t>推荐中标候选人</w:t>
      </w:r>
    </w:p>
    <w:p>
      <w:pPr>
        <w:spacing w:line="360" w:lineRule="auto"/>
        <w:ind w:firstLine="482" w:firstLineChars="200"/>
        <w:rPr>
          <w:rFonts w:hint="eastAsia" w:ascii="仿宋" w:hAnsi="仿宋" w:eastAsia="仿宋" w:cs="仿宋"/>
          <w:b/>
          <w:color w:val="0000FF"/>
          <w:sz w:val="24"/>
          <w:highlight w:val="none"/>
        </w:rPr>
      </w:pPr>
      <w:r>
        <w:rPr>
          <w:rFonts w:hint="eastAsia" w:ascii="仿宋" w:hAnsi="仿宋" w:eastAsia="仿宋" w:cs="仿宋"/>
          <w:b/>
          <w:color w:val="0000FF"/>
          <w:sz w:val="24"/>
          <w:highlight w:val="none"/>
        </w:rPr>
        <w:t>3</w:t>
      </w:r>
      <w:r>
        <w:rPr>
          <w:rFonts w:hint="eastAsia" w:ascii="仿宋" w:hAnsi="仿宋" w:eastAsia="仿宋" w:cs="仿宋"/>
          <w:b/>
          <w:color w:val="0000FF"/>
          <w:sz w:val="24"/>
          <w:highlight w:val="none"/>
          <w:lang w:val="en-US" w:eastAsia="zh-CN"/>
        </w:rPr>
        <w:t>6</w:t>
      </w:r>
      <w:r>
        <w:rPr>
          <w:rFonts w:hint="eastAsia" w:ascii="仿宋" w:hAnsi="仿宋" w:eastAsia="仿宋" w:cs="仿宋"/>
          <w:b/>
          <w:color w:val="0000FF"/>
          <w:sz w:val="24"/>
          <w:highlight w:val="none"/>
        </w:rPr>
        <w:t>.1各供应商各包段的</w:t>
      </w:r>
      <w:r>
        <w:rPr>
          <w:rFonts w:hint="eastAsia" w:ascii="仿宋" w:hAnsi="仿宋" w:eastAsia="仿宋" w:cs="仿宋"/>
          <w:b/>
          <w:color w:val="0000FF"/>
          <w:sz w:val="24"/>
          <w:highlight w:val="none"/>
          <w:lang w:val="en-US" w:eastAsia="zh-CN"/>
        </w:rPr>
        <w:t>评审得分</w:t>
      </w:r>
      <w:r>
        <w:rPr>
          <w:rFonts w:hint="eastAsia" w:ascii="仿宋" w:hAnsi="仿宋" w:eastAsia="仿宋" w:cs="仿宋"/>
          <w:b/>
          <w:color w:val="0000FF"/>
          <w:sz w:val="24"/>
          <w:highlight w:val="none"/>
        </w:rPr>
        <w:t>由</w:t>
      </w:r>
      <w:r>
        <w:rPr>
          <w:rFonts w:hint="eastAsia" w:ascii="仿宋" w:hAnsi="仿宋" w:eastAsia="仿宋" w:cs="仿宋"/>
          <w:b/>
          <w:color w:val="0000FF"/>
          <w:sz w:val="24"/>
          <w:highlight w:val="none"/>
          <w:lang w:val="en-US" w:eastAsia="zh-CN"/>
        </w:rPr>
        <w:t>高</w:t>
      </w:r>
      <w:r>
        <w:rPr>
          <w:rFonts w:hint="eastAsia" w:ascii="仿宋" w:hAnsi="仿宋" w:eastAsia="仿宋" w:cs="仿宋"/>
          <w:b/>
          <w:color w:val="0000FF"/>
          <w:sz w:val="24"/>
          <w:highlight w:val="none"/>
        </w:rPr>
        <w:t>至</w:t>
      </w:r>
      <w:r>
        <w:rPr>
          <w:rFonts w:hint="eastAsia" w:ascii="仿宋" w:hAnsi="仿宋" w:eastAsia="仿宋" w:cs="仿宋"/>
          <w:b/>
          <w:color w:val="0000FF"/>
          <w:sz w:val="24"/>
          <w:highlight w:val="none"/>
          <w:lang w:val="en-US" w:eastAsia="zh-CN"/>
        </w:rPr>
        <w:t>低</w:t>
      </w:r>
      <w:r>
        <w:rPr>
          <w:rFonts w:hint="eastAsia" w:ascii="仿宋" w:hAnsi="仿宋" w:eastAsia="仿宋" w:cs="仿宋"/>
          <w:b/>
          <w:color w:val="0000FF"/>
          <w:sz w:val="24"/>
          <w:highlight w:val="none"/>
        </w:rPr>
        <w:t>排序，排列前3名的供应商被推荐为中标候选</w:t>
      </w:r>
      <w:r>
        <w:rPr>
          <w:rFonts w:hint="eastAsia" w:ascii="仿宋" w:hAnsi="仿宋" w:eastAsia="仿宋" w:cs="仿宋"/>
          <w:b/>
          <w:color w:val="0000FF"/>
          <w:sz w:val="24"/>
          <w:highlight w:val="none"/>
          <w:lang w:val="en-US" w:eastAsia="zh-CN"/>
        </w:rPr>
        <w:t>人，评审得分相同的，按照最后报价由低到高的顺序推荐。评审得分且最后报价相同的，按照技术指标优劣顺序推荐，并编写评审报告。</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lang w:val="en-US" w:eastAsia="zh-CN"/>
        </w:rPr>
        <w:t>注：一个供应商只允许中一个包段</w:t>
      </w:r>
      <w:r>
        <w:rPr>
          <w:rFonts w:hint="eastAsia" w:ascii="仿宋" w:hAnsi="仿宋" w:eastAsia="仿宋" w:cs="仿宋"/>
          <w:b/>
          <w:color w:val="auto"/>
          <w:sz w:val="24"/>
          <w:highlight w:val="none"/>
        </w:rPr>
        <w:t>。</w:t>
      </w:r>
      <w:bookmarkStart w:id="203" w:name="_GoBack"/>
      <w:bookmarkEnd w:id="203"/>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.2 采购人根据评标委员会推荐的各包段中标候选人及有关规定确定各包段中标供应商。</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.3采购代理机构应当在评审结束后2个工作日内将评审报告送采购人确认。</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.4采购人应当在收到评标报告后5个工作日内，按照评标报告中推荐的中标候选人顺序确定中标供应商；也可以事先授权评标委员会直接确定中标供应商。</w:t>
      </w:r>
    </w:p>
    <w:p>
      <w:pPr>
        <w:keepNext w:val="0"/>
        <w:keepLines w:val="0"/>
        <w:pageBreakBefore w:val="0"/>
        <w:kinsoku/>
        <w:wordWrap/>
        <w:overflowPunct/>
        <w:topLinePunct w:val="0"/>
        <w:autoSpaceDE/>
        <w:autoSpaceDN/>
        <w:bidi w:val="0"/>
        <w:spacing w:line="440" w:lineRule="exact"/>
        <w:ind w:firstLine="482" w:firstLineChars="200"/>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3</w:t>
      </w:r>
      <w:r>
        <w:rPr>
          <w:rFonts w:hint="eastAsia" w:ascii="仿宋" w:hAnsi="仿宋" w:eastAsia="仿宋" w:cs="仿宋"/>
          <w:b/>
          <w:color w:val="auto"/>
          <w:sz w:val="24"/>
          <w:szCs w:val="20"/>
          <w:highlight w:val="none"/>
          <w:lang w:val="en-US" w:eastAsia="zh-CN"/>
        </w:rPr>
        <w:t>6</w:t>
      </w:r>
      <w:r>
        <w:rPr>
          <w:rFonts w:hint="eastAsia" w:ascii="仿宋" w:hAnsi="仿宋" w:eastAsia="仿宋" w:cs="仿宋"/>
          <w:b/>
          <w:color w:val="auto"/>
          <w:sz w:val="24"/>
          <w:szCs w:val="20"/>
          <w:highlight w:val="none"/>
        </w:rPr>
        <w:t>.5中标供应商因不可抗力或者自身原因不能履行政府采购合同的，采购人可以与排位在中标供应商之后第一位的中标候选人签订政府采购合同，以此类推。</w:t>
      </w:r>
    </w:p>
    <w:p>
      <w:pPr>
        <w:spacing w:line="360" w:lineRule="auto"/>
        <w:ind w:firstLine="482" w:firstLineChars="200"/>
        <w:outlineLvl w:val="1"/>
        <w:rPr>
          <w:rFonts w:hint="eastAsia" w:ascii="仿宋" w:hAnsi="仿宋" w:eastAsia="仿宋" w:cs="仿宋"/>
          <w:color w:val="auto"/>
          <w:sz w:val="24"/>
          <w:highlight w:val="none"/>
        </w:rPr>
      </w:pPr>
      <w:r>
        <w:rPr>
          <w:rFonts w:hint="eastAsia" w:ascii="仿宋" w:hAnsi="仿宋" w:eastAsia="仿宋" w:cs="仿宋"/>
          <w:b/>
          <w:color w:val="auto"/>
          <w:sz w:val="24"/>
          <w:szCs w:val="20"/>
          <w:highlight w:val="none"/>
        </w:rPr>
        <w:t>3</w:t>
      </w:r>
      <w:r>
        <w:rPr>
          <w:rFonts w:hint="eastAsia" w:ascii="仿宋" w:hAnsi="仿宋" w:eastAsia="仿宋" w:cs="仿宋"/>
          <w:b/>
          <w:color w:val="auto"/>
          <w:sz w:val="24"/>
          <w:szCs w:val="20"/>
          <w:highlight w:val="none"/>
          <w:lang w:val="en-US" w:eastAsia="zh-CN"/>
        </w:rPr>
        <w:t>6</w:t>
      </w:r>
      <w:r>
        <w:rPr>
          <w:rFonts w:hint="eastAsia" w:ascii="仿宋" w:hAnsi="仿宋" w:eastAsia="仿宋" w:cs="仿宋"/>
          <w:b/>
          <w:color w:val="auto"/>
          <w:sz w:val="24"/>
          <w:szCs w:val="20"/>
          <w:highlight w:val="none"/>
        </w:rPr>
        <w:t>.6在确定中标供应商前，招标采购单位不得与供应商就投标价格、投标方案等实质性内容进行谈判。</w:t>
      </w:r>
    </w:p>
    <w:p>
      <w:pPr>
        <w:spacing w:line="360" w:lineRule="auto"/>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、采购人依法接受和拒绝任一或所有供应商的权力</w:t>
      </w:r>
    </w:p>
    <w:p>
      <w:pPr>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采购人保留确定中标供应商之前的任何时候依法接受或拒绝任一或所有供应商的权力，对受影响的供应商不承担任何责任，也无义务向受影响的供应商解释采取这一行动的理由。</w:t>
      </w:r>
    </w:p>
    <w:p>
      <w:pPr>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、中标通知书</w:t>
      </w:r>
    </w:p>
    <w:p>
      <w:pPr>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.1采购人确定中标供应商后，及时通知采购代理机构，采购代理机构将按程序公告中标结果，同时向中标供应商发出中标通知书，中标通知书一经发出即发生法律效力。</w:t>
      </w:r>
    </w:p>
    <w:p>
      <w:pPr>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.2《中标通知书》将是合同的组成部分。</w:t>
      </w:r>
    </w:p>
    <w:p>
      <w:pPr>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highlight w:val="none"/>
        </w:rPr>
      </w:pPr>
      <w:bookmarkStart w:id="164" w:name="_Toc5897"/>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、纪律与保密事项</w:t>
      </w:r>
      <w:bookmarkEnd w:id="164"/>
    </w:p>
    <w:p>
      <w:pPr>
        <w:keepNext w:val="0"/>
        <w:keepLines w:val="0"/>
        <w:pageBreakBefore w:val="0"/>
        <w:kinsoku/>
        <w:wordWrap/>
        <w:overflowPunct/>
        <w:topLinePunct w:val="0"/>
        <w:autoSpaceDE/>
        <w:autoSpaceDN/>
        <w:bidi w:val="0"/>
        <w:spacing w:line="44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.1凡参与公开招标工作的有关人员均应自觉接受有关主管部门的监督，不得向他人透露可能影响公平竞争的有关公开的其他情况。</w:t>
      </w:r>
    </w:p>
    <w:p>
      <w:pPr>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.2领取本招标文件及其它相关资料者，应对文件进行保密，不得用作本次公开以外的任何用途。由采购人向供应商提供的技术资料和所有其它资料，均视为保密资料，除非得到采购人的同意，不得向第三方透露。</w:t>
      </w:r>
    </w:p>
    <w:p>
      <w:pPr>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.3供应商不得与采购人串通，不得向采购人或者评标委员会成员行贿谋取</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rPr>
        <w:t>，不得以他人名义参与公开或者以其它任何方式弄虚作假骗取参与公开；供应商不得以任何方式干扰、影响评审工作。</w:t>
      </w:r>
      <w:r>
        <w:rPr>
          <w:rFonts w:hint="eastAsia" w:ascii="仿宋" w:hAnsi="仿宋" w:eastAsia="仿宋" w:cs="仿宋"/>
          <w:b/>
          <w:bCs/>
          <w:color w:val="auto"/>
          <w:sz w:val="24"/>
          <w:highlight w:val="none"/>
        </w:rPr>
        <w:t>如果供应商或者其他利害关系人通过捏造事实、伪造证明材料等方式提出质疑，干扰政府采购活动正常进行的，属于严重不良行为，采购人、采购代理机构将提请财政部门将其列入不良行为记录名单，并依法予以处罚</w:t>
      </w:r>
      <w:r>
        <w:rPr>
          <w:rFonts w:hint="eastAsia" w:ascii="仿宋" w:hAnsi="仿宋" w:eastAsia="仿宋" w:cs="仿宋"/>
          <w:color w:val="auto"/>
          <w:sz w:val="24"/>
          <w:highlight w:val="none"/>
        </w:rPr>
        <w:t>。</w:t>
      </w:r>
    </w:p>
    <w:p>
      <w:pPr>
        <w:keepNext w:val="0"/>
        <w:keepLines w:val="0"/>
        <w:pageBreakBefore w:val="0"/>
        <w:kinsoku/>
        <w:wordWrap/>
        <w:overflowPunct/>
        <w:topLinePunct w:val="0"/>
        <w:autoSpaceDE/>
        <w:autoSpaceDN/>
        <w:bidi w:val="0"/>
        <w:spacing w:line="440" w:lineRule="exact"/>
        <w:ind w:firstLine="48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4供应商不得在公开采购过程中互相串通、结盟、损害公开的公正性和竞争性，或以任何方式影响其他供应商参与正当公开。扰乱公开市场，破坏公平竞争原则。如供应商在公开招标过程中互相串通，一经查实，将取消公开招标资格。</w:t>
      </w:r>
    </w:p>
    <w:p>
      <w:pPr>
        <w:keepNext w:val="0"/>
        <w:keepLines w:val="0"/>
        <w:pageBreakBefore w:val="0"/>
        <w:kinsoku/>
        <w:wordWrap/>
        <w:overflowPunct/>
        <w:topLinePunct w:val="0"/>
        <w:autoSpaceDE/>
        <w:autoSpaceDN/>
        <w:bidi w:val="0"/>
        <w:spacing w:line="44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.5 公开之日起直至授予中标供应商合同为止，凡属于对投标文件的审查、澄清、评价、比较有关的资料和中标候选人的推荐情况及与评审有关的其他任何情况均严格保密。</w:t>
      </w:r>
    </w:p>
    <w:p>
      <w:pPr>
        <w:keepNext w:val="0"/>
        <w:keepLines w:val="0"/>
        <w:pageBreakBefore w:val="0"/>
        <w:kinsoku/>
        <w:wordWrap/>
        <w:overflowPunct/>
        <w:topLinePunct w:val="0"/>
        <w:autoSpaceDE/>
        <w:autoSpaceDN/>
        <w:bidi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.6从公开之日起至授予合同期间，供应商试图向评标委员会、采购代理机构施加任何影响或对采购人的比较及授予合同的决定进行影响，都可能导致其投标文件被拒绝。</w:t>
      </w:r>
    </w:p>
    <w:p>
      <w:pPr>
        <w:keepNext w:val="0"/>
        <w:keepLines w:val="0"/>
        <w:pageBreakBefore w:val="0"/>
        <w:kinsoku/>
        <w:wordWrap/>
        <w:overflowPunct/>
        <w:topLinePunct w:val="0"/>
        <w:autoSpaceDE/>
        <w:autoSpaceDN/>
        <w:bidi w:val="0"/>
        <w:spacing w:line="44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.7除供应商被要求对投标文件进行澄清外，从公开之时起至授予合同期间，供应商不得就与其投标文件有关的事项主动与评标委员会、采购代理机构以及采购人联系。</w:t>
      </w:r>
    </w:p>
    <w:p>
      <w:pPr>
        <w:keepNext w:val="0"/>
        <w:keepLines w:val="0"/>
        <w:pageBreakBefore w:val="0"/>
        <w:kinsoku/>
        <w:wordWrap/>
        <w:overflowPunct/>
        <w:topLinePunct w:val="0"/>
        <w:autoSpaceDE/>
        <w:autoSpaceDN/>
        <w:bidi w:val="0"/>
        <w:spacing w:line="440" w:lineRule="exact"/>
        <w:ind w:firstLine="482"/>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39</w:t>
      </w:r>
      <w:r>
        <w:rPr>
          <w:rFonts w:hint="eastAsia" w:ascii="仿宋" w:hAnsi="仿宋" w:eastAsia="仿宋" w:cs="仿宋"/>
          <w:color w:val="auto"/>
          <w:sz w:val="24"/>
          <w:highlight w:val="none"/>
        </w:rPr>
        <w:t>.8中标供应商确定后，采购人不对未中标供应商就评审过程以及未能中标原因作出任何解释，未中标供应商不得向评标委员会或其他有关人员询问评审过程的情况和索取评审过程的资料。</w:t>
      </w:r>
    </w:p>
    <w:p>
      <w:pPr>
        <w:pStyle w:val="14"/>
        <w:spacing w:line="360" w:lineRule="auto"/>
        <w:jc w:val="center"/>
        <w:outlineLvl w:val="1"/>
        <w:rPr>
          <w:rFonts w:hint="eastAsia" w:ascii="仿宋" w:hAnsi="仿宋" w:eastAsia="仿宋" w:cs="仿宋"/>
          <w:b/>
          <w:bCs/>
          <w:color w:val="auto"/>
          <w:sz w:val="28"/>
          <w:szCs w:val="28"/>
          <w:highlight w:val="none"/>
        </w:rPr>
      </w:pPr>
    </w:p>
    <w:p>
      <w:pPr>
        <w:pStyle w:val="14"/>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六、授予合同</w:t>
      </w:r>
      <w:bookmarkEnd w:id="132"/>
      <w:bookmarkStart w:id="165" w:name="_Toc233274853"/>
      <w:bookmarkStart w:id="166" w:name="_Toc243906355"/>
      <w:bookmarkStart w:id="167" w:name="_Toc245897315"/>
      <w:bookmarkStart w:id="168" w:name="_Toc243907618"/>
    </w:p>
    <w:bookmarkEnd w:id="165"/>
    <w:bookmarkEnd w:id="166"/>
    <w:bookmarkEnd w:id="167"/>
    <w:bookmarkEnd w:id="168"/>
    <w:p>
      <w:pPr>
        <w:pStyle w:val="14"/>
        <w:spacing w:line="360" w:lineRule="auto"/>
        <w:ind w:firstLine="480" w:firstLineChars="200"/>
        <w:outlineLvl w:val="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40</w:t>
      </w:r>
      <w:r>
        <w:rPr>
          <w:rFonts w:hint="eastAsia" w:ascii="仿宋" w:hAnsi="仿宋" w:eastAsia="仿宋" w:cs="仿宋"/>
          <w:bCs/>
          <w:color w:val="auto"/>
          <w:sz w:val="24"/>
          <w:szCs w:val="24"/>
          <w:highlight w:val="none"/>
        </w:rPr>
        <w:t>、授予合同标准</w:t>
      </w:r>
    </w:p>
    <w:p>
      <w:pPr>
        <w:pStyle w:val="14"/>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40</w:t>
      </w:r>
      <w:r>
        <w:rPr>
          <w:rFonts w:hint="eastAsia" w:ascii="仿宋" w:hAnsi="仿宋" w:eastAsia="仿宋" w:cs="仿宋"/>
          <w:bCs/>
          <w:color w:val="auto"/>
          <w:sz w:val="24"/>
          <w:szCs w:val="24"/>
          <w:highlight w:val="none"/>
        </w:rPr>
        <w:t>.1本采购项目的采购合同将授予按本须知第3</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条所确定</w:t>
      </w:r>
      <w:r>
        <w:rPr>
          <w:rFonts w:hint="eastAsia" w:ascii="仿宋" w:hAnsi="仿宋" w:eastAsia="仿宋" w:cs="仿宋"/>
          <w:bCs/>
          <w:color w:val="auto"/>
          <w:sz w:val="24"/>
          <w:szCs w:val="24"/>
          <w:highlight w:val="none"/>
          <w:lang w:eastAsia="zh-CN"/>
        </w:rPr>
        <w:t>中标</w:t>
      </w:r>
      <w:r>
        <w:rPr>
          <w:rFonts w:hint="eastAsia" w:ascii="仿宋" w:hAnsi="仿宋" w:eastAsia="仿宋" w:cs="仿宋"/>
          <w:bCs/>
          <w:color w:val="auto"/>
          <w:sz w:val="24"/>
          <w:szCs w:val="24"/>
          <w:highlight w:val="none"/>
        </w:rPr>
        <w:t>供应商。</w:t>
      </w:r>
    </w:p>
    <w:p>
      <w:pPr>
        <w:pStyle w:val="14"/>
        <w:spacing w:line="360" w:lineRule="auto"/>
        <w:ind w:firstLine="480" w:firstLineChars="200"/>
        <w:outlineLvl w:val="1"/>
        <w:rPr>
          <w:rFonts w:hint="eastAsia" w:ascii="仿宋" w:hAnsi="仿宋" w:eastAsia="仿宋" w:cs="仿宋"/>
          <w:color w:val="auto"/>
          <w:sz w:val="24"/>
          <w:szCs w:val="24"/>
          <w:highlight w:val="none"/>
        </w:rPr>
      </w:pPr>
      <w:bookmarkStart w:id="169" w:name="_Toc243907620"/>
      <w:bookmarkStart w:id="170" w:name="_Toc243906357"/>
      <w:bookmarkStart w:id="171" w:name="_Toc245897317"/>
      <w:bookmarkStart w:id="172" w:name="_Toc233274855"/>
      <w:r>
        <w:rPr>
          <w:rFonts w:hint="eastAsia" w:ascii="仿宋" w:hAnsi="仿宋" w:eastAsia="仿宋" w:cs="仿宋"/>
          <w:color w:val="auto"/>
          <w:sz w:val="24"/>
          <w:szCs w:val="24"/>
          <w:highlight w:val="none"/>
          <w:lang w:val="en-US" w:eastAsia="zh-CN"/>
        </w:rPr>
        <w:t>41</w:t>
      </w:r>
      <w:r>
        <w:rPr>
          <w:rFonts w:hint="eastAsia" w:ascii="仿宋" w:hAnsi="仿宋" w:eastAsia="仿宋" w:cs="仿宋"/>
          <w:color w:val="auto"/>
          <w:sz w:val="24"/>
          <w:szCs w:val="24"/>
          <w:highlight w:val="none"/>
        </w:rPr>
        <w:t>、签订合同</w:t>
      </w:r>
      <w:bookmarkEnd w:id="169"/>
      <w:bookmarkEnd w:id="170"/>
      <w:bookmarkEnd w:id="171"/>
      <w:bookmarkEnd w:id="172"/>
    </w:p>
    <w:p>
      <w:pPr>
        <w:pStyle w:val="14"/>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73" w:name="_Toc28470"/>
      <w:bookmarkStart w:id="174" w:name="_Toc243907621"/>
      <w:bookmarkStart w:id="175" w:name="_Toc245897318"/>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.1采购人应当中标交通知书发出之日起三十日内，按照招标文件和中标供应商的投标文件订立书面合同。中标供应商不得要求订立背离本投标文件合同条款等投标文件实质性内容的其他协议。</w:t>
      </w:r>
      <w:bookmarkEnd w:id="173"/>
    </w:p>
    <w:p>
      <w:pPr>
        <w:pStyle w:val="14"/>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76" w:name="_Toc10011"/>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 中标通知书、中标供应商的投标文件及其技术规范及标准、项目需求及技术要求、本招标文件（含修改文件或补充文件）及答疑纪要等，均为签订合同的依据。</w:t>
      </w:r>
      <w:bookmarkEnd w:id="176"/>
    </w:p>
    <w:p>
      <w:pPr>
        <w:pStyle w:val="14"/>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77" w:name="_Toc31200"/>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.3采购人如不按本须知第42.1条规定与中标供应商签订合同，或者采购人、中标供应商签订背离合同实质性内容的协议，由监督管理部门责令其改正。</w:t>
      </w:r>
      <w:bookmarkEnd w:id="177"/>
    </w:p>
    <w:p>
      <w:pPr>
        <w:pStyle w:val="14"/>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78" w:name="_Toc17125"/>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.4中标供应商如不按本须知第42.1条规定与采购人签订合同，则按违约处理，采购人将有权取消中标供应商资格，给采购人造成损失，还应当予以赔偿，同时依法承担相应的法律责任。</w:t>
      </w:r>
      <w:bookmarkEnd w:id="178"/>
    </w:p>
    <w:p>
      <w:pPr>
        <w:pStyle w:val="14"/>
        <w:keepNext w:val="0"/>
        <w:keepLines w:val="0"/>
        <w:pageBreakBefore w:val="0"/>
        <w:kinsoku/>
        <w:wordWrap/>
        <w:overflowPunct/>
        <w:topLinePunct w:val="0"/>
        <w:autoSpaceDE/>
        <w:autoSpaceDN/>
        <w:bidi w:val="0"/>
        <w:spacing w:line="440" w:lineRule="exact"/>
        <w:ind w:firstLine="480" w:firstLineChars="200"/>
        <w:outlineLvl w:val="1"/>
        <w:rPr>
          <w:rFonts w:hint="eastAsia" w:ascii="仿宋" w:hAnsi="仿宋" w:eastAsia="仿宋" w:cs="仿宋"/>
          <w:color w:val="auto"/>
          <w:sz w:val="24"/>
          <w:szCs w:val="24"/>
          <w:highlight w:val="none"/>
        </w:rPr>
      </w:pPr>
      <w:bookmarkStart w:id="179" w:name="_Toc20940"/>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.5中标供应商</w:t>
      </w:r>
      <w:r>
        <w:rPr>
          <w:rFonts w:hint="eastAsia" w:ascii="仿宋" w:hAnsi="仿宋" w:eastAsia="仿宋" w:cs="仿宋"/>
          <w:color w:val="auto"/>
          <w:sz w:val="24"/>
          <w:szCs w:val="24"/>
          <w:highlight w:val="none"/>
          <w:lang w:val="en-US" w:eastAsia="zh-CN"/>
        </w:rPr>
        <w:t>拒绝与</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签订合同的</w:t>
      </w:r>
      <w:r>
        <w:rPr>
          <w:rFonts w:hint="eastAsia" w:ascii="仿宋" w:hAnsi="仿宋" w:eastAsia="仿宋" w:cs="仿宋"/>
          <w:color w:val="auto"/>
          <w:sz w:val="24"/>
          <w:szCs w:val="24"/>
          <w:highlight w:val="none"/>
        </w:rPr>
        <w:t>，采购人可</w:t>
      </w:r>
      <w:r>
        <w:rPr>
          <w:rFonts w:hint="eastAsia" w:ascii="仿宋" w:hAnsi="仿宋" w:eastAsia="仿宋" w:cs="仿宋"/>
          <w:color w:val="auto"/>
          <w:sz w:val="24"/>
          <w:szCs w:val="24"/>
          <w:highlight w:val="none"/>
          <w:lang w:val="en-US" w:eastAsia="zh-CN"/>
        </w:rPr>
        <w:t>以按照推荐的</w:t>
      </w:r>
      <w:r>
        <w:rPr>
          <w:rFonts w:hint="eastAsia" w:ascii="仿宋" w:hAnsi="仿宋" w:eastAsia="仿宋" w:cs="仿宋"/>
          <w:color w:val="auto"/>
          <w:sz w:val="24"/>
          <w:szCs w:val="24"/>
          <w:highlight w:val="none"/>
        </w:rPr>
        <w:t>中标候选人</w:t>
      </w:r>
      <w:r>
        <w:rPr>
          <w:rFonts w:hint="eastAsia" w:ascii="仿宋" w:hAnsi="仿宋" w:eastAsia="仿宋" w:cs="仿宋"/>
          <w:color w:val="auto"/>
          <w:sz w:val="24"/>
          <w:szCs w:val="24"/>
          <w:highlight w:val="none"/>
          <w:lang w:val="en-US" w:eastAsia="zh-CN"/>
        </w:rPr>
        <w:t>名单排序，确定下一候选人为中标人，也可以重新开展采购活动</w:t>
      </w:r>
      <w:r>
        <w:rPr>
          <w:rFonts w:hint="eastAsia" w:ascii="仿宋" w:hAnsi="仿宋" w:eastAsia="仿宋" w:cs="仿宋"/>
          <w:color w:val="auto"/>
          <w:sz w:val="24"/>
          <w:szCs w:val="24"/>
          <w:highlight w:val="none"/>
        </w:rPr>
        <w:t>。</w:t>
      </w:r>
      <w:bookmarkEnd w:id="179"/>
    </w:p>
    <w:p>
      <w:pPr>
        <w:spacing w:line="360" w:lineRule="auto"/>
        <w:ind w:firstLine="480" w:firstLineChars="200"/>
        <w:outlineLvl w:val="1"/>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、合同的签订准则</w:t>
      </w:r>
      <w:bookmarkEnd w:id="174"/>
      <w:bookmarkEnd w:id="175"/>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.1合同签订必须由采购人、</w:t>
      </w:r>
      <w:r>
        <w:rPr>
          <w:rFonts w:hint="eastAsia" w:ascii="仿宋" w:hAnsi="仿宋" w:eastAsia="仿宋" w:cs="仿宋"/>
          <w:bCs/>
          <w:color w:val="auto"/>
          <w:sz w:val="24"/>
          <w:highlight w:val="none"/>
          <w:lang w:eastAsia="zh-CN"/>
        </w:rPr>
        <w:t>中</w:t>
      </w:r>
      <w:r>
        <w:rPr>
          <w:rFonts w:hint="eastAsia" w:ascii="仿宋" w:hAnsi="仿宋" w:eastAsia="仿宋" w:cs="仿宋"/>
          <w:bCs/>
          <w:color w:val="auto"/>
          <w:sz w:val="24"/>
          <w:highlight w:val="none"/>
          <w:lang w:val="en-US" w:eastAsia="zh-CN"/>
        </w:rPr>
        <w:t>标</w:t>
      </w:r>
      <w:r>
        <w:rPr>
          <w:rFonts w:hint="eastAsia" w:ascii="仿宋" w:hAnsi="仿宋" w:eastAsia="仿宋" w:cs="仿宋"/>
          <w:bCs/>
          <w:color w:val="auto"/>
          <w:sz w:val="24"/>
          <w:highlight w:val="none"/>
        </w:rPr>
        <w:t>供应商双方法定代表人或其委托代理人签署并加盖法人公章后方能生效。</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.2合同转包（实质性要求）</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szCs w:val="24"/>
          <w:highlight w:val="none"/>
        </w:rPr>
        <w:t>本采购项目严禁中标供应商将任何采购合同义务转包。本项目所称转包，是指中标供应商将采购合同义务转让给第三人，并退出现有采购合同当事人双方的权利义务关系，受让人（即第三人）成为采购合同的另一方当事人的行为</w:t>
      </w:r>
      <w:r>
        <w:rPr>
          <w:rFonts w:hint="eastAsia" w:ascii="仿宋" w:hAnsi="仿宋" w:eastAsia="仿宋" w:cs="仿宋"/>
          <w:bCs/>
          <w:color w:val="auto"/>
          <w:sz w:val="24"/>
          <w:highlight w:val="none"/>
        </w:rPr>
        <w:t>。</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中标</w:t>
      </w:r>
      <w:r>
        <w:rPr>
          <w:rFonts w:hint="eastAsia" w:ascii="仿宋" w:hAnsi="仿宋" w:eastAsia="仿宋" w:cs="仿宋"/>
          <w:bCs/>
          <w:color w:val="auto"/>
          <w:sz w:val="24"/>
          <w:highlight w:val="none"/>
        </w:rPr>
        <w:t>供应商转包的，视同拒绝履行政府采购合同义务，将依法追究法律责任。</w:t>
      </w:r>
    </w:p>
    <w:p>
      <w:pPr>
        <w:spacing w:line="360" w:lineRule="auto"/>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.3补充合同</w:t>
      </w:r>
    </w:p>
    <w:p>
      <w:pPr>
        <w:spacing w:line="360" w:lineRule="auto"/>
        <w:ind w:firstLine="480" w:firstLineChars="200"/>
        <w:rPr>
          <w:rFonts w:hint="eastAsia" w:ascii="仿宋" w:hAnsi="仿宋" w:eastAsia="仿宋" w:cs="仿宋"/>
          <w:bCs/>
          <w:color w:val="auto"/>
          <w:highlight w:val="none"/>
        </w:rPr>
      </w:pPr>
      <w:r>
        <w:rPr>
          <w:rFonts w:hint="eastAsia" w:ascii="仿宋" w:hAnsi="仿宋" w:eastAsia="仿宋" w:cs="仿宋"/>
          <w:bCs/>
          <w:color w:val="auto"/>
          <w:sz w:val="24"/>
          <w:highlight w:val="none"/>
        </w:rPr>
        <w:t>采购合同履行过程中，采购人需要追加与合同标的相同的货物或者服务的，在不改变合同其他条款的前提下，可以与</w:t>
      </w:r>
      <w:r>
        <w:rPr>
          <w:rFonts w:hint="eastAsia" w:ascii="仿宋" w:hAnsi="仿宋" w:eastAsia="仿宋" w:cs="仿宋"/>
          <w:bCs/>
          <w:color w:val="auto"/>
          <w:sz w:val="24"/>
          <w:highlight w:val="none"/>
          <w:lang w:eastAsia="zh-CN"/>
        </w:rPr>
        <w:t>中标</w:t>
      </w:r>
      <w:r>
        <w:rPr>
          <w:rFonts w:hint="eastAsia" w:ascii="仿宋" w:hAnsi="仿宋" w:eastAsia="仿宋" w:cs="仿宋"/>
          <w:bCs/>
          <w:color w:val="auto"/>
          <w:sz w:val="24"/>
          <w:highlight w:val="none"/>
        </w:rPr>
        <w:t>供应商协商签订补充合同，但所有补充合同的采购金额不得超过</w:t>
      </w:r>
      <w:r>
        <w:rPr>
          <w:rFonts w:hint="eastAsia" w:ascii="仿宋" w:hAnsi="仿宋" w:eastAsia="仿宋" w:cs="仿宋"/>
          <w:b/>
          <w:bCs/>
          <w:color w:val="auto"/>
          <w:kern w:val="2"/>
          <w:sz w:val="24"/>
          <w:szCs w:val="24"/>
          <w:highlight w:val="none"/>
          <w:lang w:val="en-US" w:eastAsia="zh-CN" w:bidi="ar-SA"/>
        </w:rPr>
        <w:t>原合同采购金额的百分之十</w:t>
      </w:r>
      <w:r>
        <w:rPr>
          <w:rFonts w:hint="eastAsia" w:ascii="仿宋" w:hAnsi="仿宋" w:eastAsia="仿宋" w:cs="仿宋"/>
          <w:bCs/>
          <w:color w:val="auto"/>
          <w:sz w:val="24"/>
          <w:highlight w:val="none"/>
        </w:rPr>
        <w:t xml:space="preserve">，该补充合同应当在原政府采购合同履行过程中，不得在原政府采购合同履行结束后，且采购货物、工程和服务的名称、价格、履约方式、验收标准等必须与原政府采购合同一致。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、验收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.1本项目采购人将严格按照政府采购相关法律法规以及《克拉玛依市政府采购项目需求论证和履约验收管理办法》（克财发〔2016〕9号）的要求进行验收。</w:t>
      </w:r>
    </w:p>
    <w:p>
      <w:pPr>
        <w:pStyle w:val="14"/>
        <w:spacing w:line="360" w:lineRule="auto"/>
        <w:jc w:val="center"/>
        <w:outlineLvl w:val="1"/>
        <w:rPr>
          <w:rFonts w:hint="eastAsia" w:ascii="仿宋" w:hAnsi="仿宋" w:eastAsia="仿宋" w:cs="仿宋"/>
          <w:b/>
          <w:bCs/>
          <w:color w:val="auto"/>
          <w:sz w:val="28"/>
          <w:szCs w:val="28"/>
          <w:highlight w:val="none"/>
        </w:rPr>
      </w:pPr>
    </w:p>
    <w:p>
      <w:pPr>
        <w:pStyle w:val="14"/>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七、询问、质疑、投诉</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、询问</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、质疑</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 供应商认为招标文件、采购过程和中标结果使自己的合法权益受到损害的，可以在知道或者应知其权益受到损害之日起七个工作日内，将质疑文件原件和必要的证明材料送达采购代理机构。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.2供应商如对</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.3上述应知其权益受到损害之日是指：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文件提出质疑的，为</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 xml:space="preserve">文件公告期限届满之日起计算；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（2）对采购过程提出质疑的，自采购程序环节结束之日起计算；</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（3）对中标结果提出质疑的，自中标或者</w:t>
      </w:r>
      <w:r>
        <w:rPr>
          <w:rFonts w:hint="eastAsia" w:ascii="仿宋" w:hAnsi="仿宋" w:eastAsia="仿宋" w:cs="仿宋"/>
          <w:color w:val="auto"/>
          <w:sz w:val="24"/>
          <w:highlight w:val="none"/>
          <w:lang w:eastAsia="zh-CN"/>
        </w:rPr>
        <w:t>中标</w:t>
      </w:r>
      <w:r>
        <w:rPr>
          <w:rFonts w:hint="eastAsia" w:ascii="仿宋" w:hAnsi="仿宋" w:eastAsia="仿宋" w:cs="仿宋"/>
          <w:color w:val="auto"/>
          <w:sz w:val="24"/>
          <w:highlight w:val="none"/>
        </w:rPr>
        <w:t>结果公告期限届满之日起计算。</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.4质疑供应商在法定质疑期内应当一次性提出针对同一采购环节提出质疑。</w:t>
      </w:r>
    </w:p>
    <w:p>
      <w:pPr>
        <w:pStyle w:val="38"/>
        <w:spacing w:line="360" w:lineRule="auto"/>
        <w:ind w:left="1" w:firstLine="482" w:firstLineChars="200"/>
        <w:rPr>
          <w:rFonts w:hint="eastAsia" w:ascii="仿宋" w:hAnsi="仿宋" w:eastAsia="仿宋" w:cs="仿宋"/>
          <w:color w:val="auto"/>
          <w:kern w:val="2"/>
          <w:sz w:val="24"/>
          <w:szCs w:val="24"/>
          <w:highlight w:val="none"/>
        </w:rPr>
      </w:pPr>
      <w:r>
        <w:rPr>
          <w:rFonts w:hint="eastAsia" w:ascii="仿宋" w:hAnsi="仿宋" w:eastAsia="仿宋" w:cs="仿宋"/>
          <w:b/>
          <w:bCs/>
          <w:color w:val="auto"/>
          <w:kern w:val="2"/>
          <w:sz w:val="24"/>
          <w:szCs w:val="24"/>
          <w:highlight w:val="none"/>
        </w:rPr>
        <w:t>4</w:t>
      </w:r>
      <w:r>
        <w:rPr>
          <w:rFonts w:hint="eastAsia" w:ascii="仿宋" w:hAnsi="仿宋" w:eastAsia="仿宋" w:cs="仿宋"/>
          <w:b/>
          <w:bCs/>
          <w:color w:val="auto"/>
          <w:kern w:val="2"/>
          <w:sz w:val="24"/>
          <w:szCs w:val="24"/>
          <w:highlight w:val="none"/>
          <w:lang w:val="en-US" w:eastAsia="zh-CN"/>
        </w:rPr>
        <w:t>5</w:t>
      </w:r>
      <w:r>
        <w:rPr>
          <w:rFonts w:hint="eastAsia" w:ascii="仿宋" w:hAnsi="仿宋" w:eastAsia="仿宋" w:cs="仿宋"/>
          <w:b/>
          <w:bCs/>
          <w:color w:val="auto"/>
          <w:kern w:val="2"/>
          <w:sz w:val="24"/>
          <w:szCs w:val="24"/>
          <w:highlight w:val="none"/>
        </w:rPr>
        <w:t>.5质疑文件应包括以下主要内容，并按照“谁主张、谁举证”的原则，附上相关证明材料。否则，采购代理机构不予受理【财政部发布了《政府采购投标人质疑函范本》和《政府采购投标人投诉书范本》，两范本指投标人（供应商）提出质疑、投诉人提起投诉时，应提交的质疑函、投诉书和必要的证明材料（下载路径：中国政府采购网→下载专区）】：　　</w:t>
      </w:r>
      <w:r>
        <w:rPr>
          <w:rFonts w:hint="eastAsia" w:ascii="仿宋" w:hAnsi="仿宋" w:eastAsia="仿宋" w:cs="仿宋"/>
          <w:color w:val="auto"/>
          <w:kern w:val="2"/>
          <w:sz w:val="24"/>
          <w:szCs w:val="24"/>
          <w:highlight w:val="none"/>
        </w:rPr>
        <w:t>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（1）供应商的姓名或者名称、地址、邮编、联系人及联系电话（包括座机、手机、传真号码等）；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（2）质疑项目的名称、项目编号、包号、采购公告发布时间、递交</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 xml:space="preserve">截止时间；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（3）具体、明确的质疑事项和与质疑事项相关的请求；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（5）必要的法律依据； </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（6）提起质疑的日期；</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（8）供应商委托代理质疑的，应当提交授权委托书，并载明代理人的姓名或者名称、代理事项、 具体权限、期限和相关事项。</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.7采购人、采购代理机构在收到供应商的书面质疑后将及时组织调查核实，在七个工作日内作出答复，并以书面形式通知质疑供应商和其他有关供应商，答复的内容不涉及商业秘密。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、投诉</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.2供应商投诉的事项不得超出已质疑事项的范围，但基于质疑答复内容提出的投诉事项除外。</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、诚实信用</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napToGrid w:val="0"/>
        <w:spacing w:line="360" w:lineRule="auto"/>
        <w:jc w:val="center"/>
        <w:rPr>
          <w:rFonts w:hint="eastAsia" w:ascii="仿宋" w:hAnsi="仿宋" w:eastAsia="仿宋" w:cs="仿宋"/>
          <w:b/>
          <w:bCs/>
          <w:color w:val="auto"/>
          <w:sz w:val="28"/>
          <w:szCs w:val="28"/>
          <w:highlight w:val="none"/>
        </w:rPr>
      </w:pPr>
    </w:p>
    <w:p>
      <w:pPr>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八、义务、工作纪律</w:t>
      </w:r>
    </w:p>
    <w:p>
      <w:pPr>
        <w:tabs>
          <w:tab w:val="left" w:pos="7665"/>
        </w:tabs>
        <w:spacing w:line="360" w:lineRule="auto"/>
        <w:ind w:firstLine="482" w:firstLineChars="200"/>
        <w:rPr>
          <w:rFonts w:hint="eastAsia" w:ascii="仿宋" w:hAnsi="仿宋" w:eastAsia="仿宋" w:cs="仿宋"/>
          <w:color w:val="auto"/>
          <w:sz w:val="24"/>
          <w:highlight w:val="none"/>
        </w:rPr>
      </w:pPr>
      <w:bookmarkStart w:id="180" w:name="_Toc28505_WPSOffice_Level1"/>
      <w:r>
        <w:rPr>
          <w:rFonts w:hint="eastAsia" w:ascii="仿宋" w:hAnsi="仿宋" w:eastAsia="仿宋" w:cs="仿宋"/>
          <w:b/>
          <w:bCs/>
          <w:color w:val="auto"/>
          <w:sz w:val="24"/>
          <w:highlight w:val="none"/>
        </w:rPr>
        <w:t>4</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、采购人或者采购代理机构负责组织评标工作，并履行下列职责：</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.2宣布评标纪律；</w:t>
      </w:r>
    </w:p>
    <w:p>
      <w:pPr>
        <w:tabs>
          <w:tab w:val="left" w:pos="7665"/>
        </w:tabs>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.3公布供应商名单，告知评审专家应当回避的情形；</w:t>
      </w:r>
    </w:p>
    <w:p>
      <w:pPr>
        <w:tabs>
          <w:tab w:val="left" w:pos="7665"/>
        </w:tabs>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.4组织评标委员会推选评标组长，采购人代表不得担任组长；</w:t>
      </w:r>
    </w:p>
    <w:p>
      <w:pPr>
        <w:tabs>
          <w:tab w:val="left" w:pos="7665"/>
        </w:tabs>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.5在评标期间采取必要的通讯管理措施，保证评标活动不受外界干扰；</w:t>
      </w:r>
    </w:p>
    <w:p>
      <w:pPr>
        <w:tabs>
          <w:tab w:val="left" w:pos="7665"/>
        </w:tabs>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.6根据评标委员会的要求介绍政府采购相关政策法规、</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w:t>
      </w:r>
    </w:p>
    <w:p>
      <w:pPr>
        <w:tabs>
          <w:tab w:val="left" w:pos="7665"/>
        </w:tabs>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.7维护评标秩序，监督评标委员会依照</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.9处理与评标有关的其他事项</w:t>
      </w:r>
    </w:p>
    <w:p>
      <w:pPr>
        <w:tabs>
          <w:tab w:val="left" w:pos="7665"/>
        </w:tabs>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采购人可以在评标前说明项目背景和采购需求，说明内容不得含有歧视性、倾向性意见，不得超出</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文件所述范围。说明应当提交书面材料，并随</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文件一并存档。</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评标委员会</w:t>
      </w:r>
      <w:r>
        <w:rPr>
          <w:rFonts w:hint="eastAsia" w:ascii="仿宋" w:hAnsi="仿宋" w:eastAsia="仿宋" w:cs="仿宋"/>
          <w:bCs/>
          <w:color w:val="auto"/>
          <w:sz w:val="24"/>
          <w:highlight w:val="none"/>
          <w:lang w:eastAsia="zh-CN"/>
        </w:rPr>
        <w:t>评标</w:t>
      </w:r>
      <w:r>
        <w:rPr>
          <w:rFonts w:hint="eastAsia" w:ascii="仿宋" w:hAnsi="仿宋" w:eastAsia="仿宋" w:cs="仿宋"/>
          <w:bCs/>
          <w:color w:val="auto"/>
          <w:sz w:val="24"/>
          <w:highlight w:val="none"/>
        </w:rPr>
        <w:t>在政府采购活动中承担以下义务：</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49.1</w:t>
      </w:r>
      <w:r>
        <w:rPr>
          <w:rFonts w:hint="eastAsia" w:ascii="仿宋" w:hAnsi="仿宋" w:eastAsia="仿宋" w:cs="仿宋"/>
          <w:bCs/>
          <w:color w:val="auto"/>
          <w:sz w:val="24"/>
          <w:highlight w:val="none"/>
        </w:rPr>
        <w:t>遵守评审工作纪律；</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49.2</w:t>
      </w:r>
      <w:r>
        <w:rPr>
          <w:rFonts w:hint="eastAsia" w:ascii="仿宋" w:hAnsi="仿宋" w:eastAsia="仿宋" w:cs="仿宋"/>
          <w:bCs/>
          <w:color w:val="auto"/>
          <w:sz w:val="24"/>
          <w:highlight w:val="none"/>
        </w:rPr>
        <w:t>按照客观、公正、审慎的原则，根据</w:t>
      </w:r>
      <w:r>
        <w:rPr>
          <w:rFonts w:hint="eastAsia" w:ascii="仿宋" w:hAnsi="仿宋" w:eastAsia="仿宋" w:cs="仿宋"/>
          <w:bCs/>
          <w:color w:val="auto"/>
          <w:sz w:val="24"/>
          <w:highlight w:val="none"/>
          <w:lang w:eastAsia="zh-CN"/>
        </w:rPr>
        <w:t>招标</w:t>
      </w:r>
      <w:r>
        <w:rPr>
          <w:rFonts w:hint="eastAsia" w:ascii="仿宋" w:hAnsi="仿宋" w:eastAsia="仿宋" w:cs="仿宋"/>
          <w:bCs/>
          <w:color w:val="auto"/>
          <w:sz w:val="24"/>
          <w:highlight w:val="none"/>
        </w:rPr>
        <w:t>文件规定的评审程序、评审方法和评审标准进行独立评审；</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49.3</w:t>
      </w:r>
      <w:r>
        <w:rPr>
          <w:rFonts w:hint="eastAsia" w:ascii="仿宋" w:hAnsi="仿宋" w:eastAsia="仿宋" w:cs="仿宋"/>
          <w:bCs/>
          <w:color w:val="auto"/>
          <w:sz w:val="24"/>
          <w:highlight w:val="none"/>
        </w:rPr>
        <w:t>不得泄露评审文件、评审情况和在评审过程中获悉的商业秘密；</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49.4</w:t>
      </w:r>
      <w:r>
        <w:rPr>
          <w:rFonts w:hint="eastAsia" w:ascii="仿宋" w:hAnsi="仿宋" w:eastAsia="仿宋" w:cs="仿宋"/>
          <w:bCs/>
          <w:color w:val="auto"/>
          <w:sz w:val="24"/>
          <w:highlight w:val="none"/>
        </w:rPr>
        <w:t>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49.5</w:t>
      </w:r>
      <w:r>
        <w:rPr>
          <w:rFonts w:hint="eastAsia" w:ascii="仿宋" w:hAnsi="仿宋" w:eastAsia="仿宋" w:cs="仿宋"/>
          <w:bCs/>
          <w:color w:val="auto"/>
          <w:sz w:val="24"/>
          <w:highlight w:val="none"/>
        </w:rPr>
        <w:t>发现</w:t>
      </w:r>
      <w:r>
        <w:rPr>
          <w:rFonts w:hint="eastAsia" w:ascii="仿宋" w:hAnsi="仿宋" w:eastAsia="仿宋" w:cs="仿宋"/>
          <w:bCs/>
          <w:color w:val="auto"/>
          <w:sz w:val="24"/>
          <w:highlight w:val="none"/>
          <w:lang w:eastAsia="zh-CN"/>
        </w:rPr>
        <w:t>招标</w:t>
      </w:r>
      <w:r>
        <w:rPr>
          <w:rFonts w:hint="eastAsia" w:ascii="仿宋" w:hAnsi="仿宋" w:eastAsia="仿宋" w:cs="仿宋"/>
          <w:bCs/>
          <w:color w:val="auto"/>
          <w:sz w:val="24"/>
          <w:highlight w:val="none"/>
        </w:rPr>
        <w:t>文件内容违反国家有关强制性规定或者</w:t>
      </w:r>
      <w:r>
        <w:rPr>
          <w:rFonts w:hint="eastAsia" w:ascii="仿宋" w:hAnsi="仿宋" w:eastAsia="仿宋" w:cs="仿宋"/>
          <w:bCs/>
          <w:color w:val="auto"/>
          <w:sz w:val="24"/>
          <w:highlight w:val="none"/>
          <w:lang w:eastAsia="zh-CN"/>
        </w:rPr>
        <w:t>招标</w:t>
      </w:r>
      <w:r>
        <w:rPr>
          <w:rFonts w:hint="eastAsia" w:ascii="仿宋" w:hAnsi="仿宋" w:eastAsia="仿宋" w:cs="仿宋"/>
          <w:bCs/>
          <w:color w:val="auto"/>
          <w:sz w:val="24"/>
          <w:highlight w:val="none"/>
        </w:rPr>
        <w:t>文件存在歧义、重大缺陷导致评审工作无法进行时，停止评审并向采购人或者采购代理机构书面说明情况；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49.6</w:t>
      </w:r>
      <w:r>
        <w:rPr>
          <w:rFonts w:hint="eastAsia" w:ascii="仿宋" w:hAnsi="仿宋" w:eastAsia="仿宋" w:cs="仿宋"/>
          <w:bCs/>
          <w:color w:val="auto"/>
          <w:sz w:val="24"/>
          <w:highlight w:val="none"/>
        </w:rPr>
        <w:t>及时向财政、监察等部门举报在评审过程中受到非法干预的情况；</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49.7</w:t>
      </w:r>
      <w:r>
        <w:rPr>
          <w:rFonts w:hint="eastAsia" w:ascii="仿宋" w:hAnsi="仿宋" w:eastAsia="仿宋" w:cs="仿宋"/>
          <w:bCs/>
          <w:color w:val="auto"/>
          <w:sz w:val="24"/>
          <w:highlight w:val="none"/>
        </w:rPr>
        <w:t>配合答复处理供应商的询问、质疑和投诉等事项；</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49.8</w:t>
      </w:r>
      <w:r>
        <w:rPr>
          <w:rFonts w:hint="eastAsia" w:ascii="仿宋" w:hAnsi="仿宋" w:eastAsia="仿宋" w:cs="仿宋"/>
          <w:bCs/>
          <w:color w:val="auto"/>
          <w:sz w:val="24"/>
          <w:highlight w:val="none"/>
        </w:rPr>
        <w:t>法律、法规和规章规定的其他义务。</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50</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评标委员会</w:t>
      </w:r>
      <w:r>
        <w:rPr>
          <w:rFonts w:hint="eastAsia" w:ascii="仿宋" w:hAnsi="仿宋" w:eastAsia="仿宋" w:cs="仿宋"/>
          <w:bCs/>
          <w:color w:val="auto"/>
          <w:sz w:val="24"/>
          <w:highlight w:val="none"/>
        </w:rPr>
        <w:t>在政府采购活动中应当遵守以下工作纪律：</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50</w:t>
      </w:r>
      <w:r>
        <w:rPr>
          <w:rFonts w:hint="eastAsia" w:ascii="仿宋" w:hAnsi="仿宋" w:eastAsia="仿宋" w:cs="仿宋"/>
          <w:bCs/>
          <w:color w:val="auto"/>
          <w:sz w:val="24"/>
          <w:highlight w:val="none"/>
        </w:rPr>
        <w:t>.1不得参加与自己有《中华人民共和国政府采购法实施条例》第九条规定的利害关系的政府采购项目的评标活动。发现参加了与自己有利害关系的评审活动，须主动提出回避，退出评审；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50</w:t>
      </w:r>
      <w:r>
        <w:rPr>
          <w:rFonts w:hint="eastAsia" w:ascii="仿宋" w:hAnsi="仿宋" w:eastAsia="仿宋" w:cs="仿宋"/>
          <w:bCs/>
          <w:color w:val="auto"/>
          <w:sz w:val="24"/>
          <w:highlight w:val="none"/>
        </w:rPr>
        <w:t>.2评审前，应当将通讯工具或者相关电子设备交由采购代理机构统一保管；</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50</w:t>
      </w:r>
      <w:r>
        <w:rPr>
          <w:rFonts w:hint="eastAsia" w:ascii="仿宋" w:hAnsi="仿宋" w:eastAsia="仿宋" w:cs="仿宋"/>
          <w:bCs/>
          <w:color w:val="auto"/>
          <w:sz w:val="24"/>
          <w:highlight w:val="none"/>
        </w:rPr>
        <w:t>.3评审过程中，不得与外界联系，因发生不可预见情况，确实需要与外界联系的，应当在监督人员监督之下办理；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50</w:t>
      </w:r>
      <w:r>
        <w:rPr>
          <w:rFonts w:hint="eastAsia" w:ascii="仿宋" w:hAnsi="仿宋" w:eastAsia="仿宋" w:cs="仿宋"/>
          <w:bCs/>
          <w:color w:val="auto"/>
          <w:sz w:val="24"/>
          <w:highlight w:val="none"/>
        </w:rPr>
        <w:t>.4评审过程中，不得发表影响评审公正的倾向性、歧视性言论，不得征询或者接受采购人的倾向性意见，不得明示或暗示供应商在澄清时表达与其</w:t>
      </w:r>
      <w:r>
        <w:rPr>
          <w:rFonts w:hint="eastAsia" w:ascii="仿宋" w:hAnsi="仿宋" w:eastAsia="仿宋" w:cs="仿宋"/>
          <w:bCs/>
          <w:color w:val="auto"/>
          <w:sz w:val="24"/>
          <w:highlight w:val="none"/>
          <w:lang w:eastAsia="zh-CN"/>
        </w:rPr>
        <w:t>投标</w:t>
      </w:r>
      <w:r>
        <w:rPr>
          <w:rFonts w:hint="eastAsia" w:ascii="仿宋" w:hAnsi="仿宋" w:eastAsia="仿宋" w:cs="仿宋"/>
          <w:bCs/>
          <w:color w:val="auto"/>
          <w:sz w:val="24"/>
          <w:highlight w:val="none"/>
        </w:rPr>
        <w:t>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50</w:t>
      </w:r>
      <w:r>
        <w:rPr>
          <w:rFonts w:hint="eastAsia" w:ascii="仿宋" w:hAnsi="仿宋" w:eastAsia="仿宋" w:cs="仿宋"/>
          <w:bCs/>
          <w:color w:val="auto"/>
          <w:sz w:val="24"/>
          <w:highlight w:val="none"/>
        </w:rPr>
        <w:t>.5在评审过程中和评审结束后，不得记录、复制或带走任何评审资料，不得向外界透露评审内容；</w:t>
      </w:r>
    </w:p>
    <w:p>
      <w:pPr>
        <w:tabs>
          <w:tab w:val="left" w:pos="7665"/>
        </w:tabs>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50</w:t>
      </w:r>
      <w:r>
        <w:rPr>
          <w:rFonts w:hint="eastAsia" w:ascii="仿宋" w:hAnsi="仿宋" w:eastAsia="仿宋" w:cs="仿宋"/>
          <w:bCs/>
          <w:color w:val="auto"/>
          <w:sz w:val="24"/>
          <w:highlight w:val="none"/>
        </w:rPr>
        <w:t>.6评审现场服从采购代理机构工作人员的管理，接受现场监督人员的合法监督；</w:t>
      </w:r>
    </w:p>
    <w:p>
      <w:pPr>
        <w:tabs>
          <w:tab w:val="left" w:pos="7665"/>
        </w:tabs>
        <w:spacing w:line="360" w:lineRule="auto"/>
        <w:ind w:firstLine="480" w:firstLineChars="200"/>
        <w:rPr>
          <w:rFonts w:hint="eastAsia" w:ascii="仿宋" w:hAnsi="仿宋" w:eastAsia="仿宋" w:cs="仿宋"/>
          <w:b/>
          <w:color w:val="auto"/>
          <w:kern w:val="2"/>
          <w:sz w:val="30"/>
          <w:szCs w:val="30"/>
          <w:highlight w:val="none"/>
          <w:lang w:val="en-US" w:eastAsia="zh-CN" w:bidi="ar-SA"/>
        </w:rPr>
      </w:pPr>
      <w:r>
        <w:rPr>
          <w:rFonts w:hint="eastAsia" w:ascii="仿宋" w:hAnsi="仿宋" w:eastAsia="仿宋" w:cs="仿宋"/>
          <w:bCs/>
          <w:color w:val="auto"/>
          <w:sz w:val="24"/>
          <w:highlight w:val="none"/>
          <w:lang w:val="en-US" w:eastAsia="zh-CN"/>
        </w:rPr>
        <w:t>50</w:t>
      </w:r>
      <w:r>
        <w:rPr>
          <w:rFonts w:hint="eastAsia" w:ascii="仿宋" w:hAnsi="仿宋" w:eastAsia="仿宋" w:cs="仿宋"/>
          <w:bCs/>
          <w:color w:val="auto"/>
          <w:sz w:val="24"/>
          <w:highlight w:val="none"/>
        </w:rPr>
        <w:t>.7遵守有关廉洁自律规定，不得私下接触供应商，不得收受供应商及有关业务单位和个人的财物或好处，不得接受采购代理机构的请托。</w:t>
      </w:r>
      <w:bookmarkEnd w:id="180"/>
      <w:bookmarkStart w:id="181" w:name="_Toc14014_WPSOffice_Level1"/>
    </w:p>
    <w:p>
      <w:pPr>
        <w:pStyle w:val="12"/>
        <w:keepNext w:val="0"/>
        <w:keepLines w:val="0"/>
        <w:pageBreakBefore/>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color w:val="auto"/>
          <w:kern w:val="2"/>
          <w:sz w:val="30"/>
          <w:szCs w:val="30"/>
          <w:highlight w:val="none"/>
          <w:lang w:val="en-US" w:eastAsia="zh-CN" w:bidi="ar-SA"/>
        </w:rPr>
        <w:t>第三章、项目采购需求</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、总则</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1.1本章条款仅限于</w:t>
      </w:r>
      <w:r>
        <w:rPr>
          <w:rFonts w:hint="eastAsia" w:ascii="仿宋" w:hAnsi="仿宋" w:eastAsia="仿宋" w:cs="仿宋"/>
          <w:color w:val="0000FF"/>
          <w:sz w:val="24"/>
          <w:highlight w:val="none"/>
        </w:rPr>
        <w:t>克拉玛依市白碱滩区（克拉玛依高新技术产业开发区）金龙镇学校改善提升工程</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1.2本章条款提出的是最低限度的技术要求，并未对一切技术细节做出规定，也未引述有关规范条文，</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不得以本文件未提出要求为理由而规避国家和行业强制规范、标准的规定，</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应保证提供符合本章条款和相关标准的服务。</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1.3如果</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没有以书面形式对本章条款提出异议，</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人就可以认为</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提供的成果符合本章条款的要求。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中，应对</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文件中的服务进行详细的说明。</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1.5在签订合同之后，</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人有权提出因规范标准有变化而产生的一些补充要求。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rPr>
        <w:t>1.6本章条款使用标准如与</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所执行标准发生矛盾时，按较高标准执行。</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二</w:t>
      </w:r>
      <w:r>
        <w:rPr>
          <w:rFonts w:hint="eastAsia" w:ascii="仿宋" w:hAnsi="仿宋" w:eastAsia="仿宋" w:cs="仿宋"/>
          <w:b/>
          <w:bCs/>
          <w:color w:val="auto"/>
          <w:sz w:val="24"/>
          <w:highlight w:val="none"/>
        </w:rPr>
        <w:t>、执行的规范和标准</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本项目必须遵循国家规范和标准并应按最新版本执行，若标准、规范出现矛盾时，以最新、最高标准规范执行。</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三、采购需求及要求</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1、施工设计图纸（另行发放）</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2、工程量清单（另行发放）</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仿宋" w:hAnsi="仿宋" w:eastAsia="仿宋" w:cs="仿宋"/>
          <w:b/>
          <w:bCs/>
          <w:color w:val="auto"/>
          <w:sz w:val="24"/>
          <w:highlight w:val="none"/>
        </w:rPr>
      </w:pPr>
    </w:p>
    <w:p>
      <w:pPr>
        <w:keepNext w:val="0"/>
        <w:keepLines w:val="0"/>
        <w:pageBreakBefore/>
        <w:widowControl w:val="0"/>
        <w:numPr>
          <w:ilvl w:val="0"/>
          <w:numId w:val="9"/>
        </w:numPr>
        <w:tabs>
          <w:tab w:val="left" w:pos="7665"/>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合同协议书（主要内容）</w:t>
      </w:r>
    </w:p>
    <w:p>
      <w:pPr>
        <w:numPr>
          <w:ilvl w:val="0"/>
          <w:numId w:val="10"/>
        </w:numPr>
        <w:adjustRightInd w:val="0"/>
        <w:snapToGrid w:val="0"/>
        <w:spacing w:line="45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通用合同条款</w:t>
      </w:r>
    </w:p>
    <w:p>
      <w:pPr>
        <w:rPr>
          <w:rFonts w:hint="eastAsia" w:ascii="仿宋" w:hAnsi="仿宋" w:eastAsia="仿宋" w:cs="仿宋"/>
          <w:color w:val="auto"/>
        </w:rPr>
      </w:pPr>
    </w:p>
    <w:p>
      <w:pPr>
        <w:adjustRightInd w:val="0"/>
        <w:snapToGrid w:val="0"/>
        <w:spacing w:line="49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本工程合同通用条款采用中华人民共和国建设部和国家工商行政管理局颁发的《建设工程施工合同》（GF-2017-0201）的“合同条件”</w:t>
      </w:r>
    </w:p>
    <w:p>
      <w:pPr>
        <w:numPr>
          <w:ilvl w:val="0"/>
          <w:numId w:val="0"/>
        </w:numPr>
        <w:adjustRightInd w:val="0"/>
        <w:snapToGrid w:val="0"/>
        <w:spacing w:line="450" w:lineRule="exact"/>
        <w:jc w:val="center"/>
        <w:rPr>
          <w:rFonts w:hint="eastAsia" w:ascii="仿宋" w:hAnsi="仿宋" w:eastAsia="仿宋" w:cs="仿宋"/>
          <w:b/>
          <w:color w:val="auto"/>
          <w:sz w:val="32"/>
          <w:szCs w:val="32"/>
        </w:rPr>
      </w:pPr>
      <w:bookmarkStart w:id="182" w:name="_Toc381982267"/>
      <w:r>
        <w:rPr>
          <w:rFonts w:hint="eastAsia" w:ascii="仿宋" w:hAnsi="仿宋" w:eastAsia="仿宋" w:cs="仿宋"/>
          <w:b/>
          <w:color w:val="auto"/>
          <w:sz w:val="32"/>
          <w:szCs w:val="32"/>
        </w:rPr>
        <w:t>第四部分</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专用合同条款</w:t>
      </w:r>
      <w:bookmarkEnd w:id="182"/>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建设工程施工合同》（GF-2017-0201）专用合同条款中的条款号与通用合同条款号相同，适当需要时增加新的条款，两者应对照阅读，若出现矛盾或不一致，则以本条款为准。未补充或修改条款执行通用合同条款。在本条款中未约定的专用合同条款，由发包人、承包人在签订合同时约定。</w:t>
      </w:r>
    </w:p>
    <w:p>
      <w:pPr>
        <w:pStyle w:val="5"/>
        <w:spacing w:before="0" w:after="0"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1. 一般约定</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 词语定义</w:t>
      </w:r>
    </w:p>
    <w:p>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1.1.1合同</w:t>
      </w:r>
    </w:p>
    <w:p>
      <w:pPr>
        <w:spacing w:line="360" w:lineRule="auto"/>
        <w:ind w:left="525" w:leftChars="250"/>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1.1.1.10其他合同文件包括：</w:t>
      </w:r>
      <w:r>
        <w:rPr>
          <w:rFonts w:hint="eastAsia" w:ascii="仿宋" w:hAnsi="仿宋" w:eastAsia="仿宋" w:cs="仿宋"/>
          <w:color w:val="auto"/>
          <w:kern w:val="0"/>
          <w:sz w:val="24"/>
          <w:szCs w:val="24"/>
          <w:u w:val="single"/>
        </w:rPr>
        <w:t>招标文件，承包人按照招标文件要求向发包人提交的投标文件【除投标函及其附录、已标价工程量清单或预算书外的其他投标文件】等。</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1.1.3 工程和设备</w:t>
      </w:r>
    </w:p>
    <w:p>
      <w:pPr>
        <w:spacing w:line="360" w:lineRule="auto"/>
        <w:ind w:firstLine="480" w:firstLineChars="200"/>
        <w:jc w:val="left"/>
        <w:rPr>
          <w:rFonts w:hint="eastAsia" w:ascii="仿宋" w:hAnsi="仿宋" w:eastAsia="仿宋" w:cs="仿宋"/>
          <w:b/>
          <w:color w:val="auto"/>
          <w:kern w:val="0"/>
          <w:sz w:val="24"/>
          <w:szCs w:val="24"/>
        </w:rPr>
      </w:pPr>
      <w:r>
        <w:rPr>
          <w:rFonts w:hint="eastAsia" w:ascii="仿宋" w:hAnsi="仿宋" w:eastAsia="仿宋" w:cs="仿宋"/>
          <w:color w:val="auto"/>
          <w:kern w:val="0"/>
          <w:sz w:val="24"/>
          <w:szCs w:val="24"/>
        </w:rPr>
        <w:t>1.1.3.9 永久占地包括：</w:t>
      </w:r>
      <w:r>
        <w:rPr>
          <w:rFonts w:hint="eastAsia" w:ascii="仿宋" w:hAnsi="仿宋" w:eastAsia="仿宋" w:cs="仿宋"/>
          <w:color w:val="auto"/>
          <w:kern w:val="0"/>
          <w:sz w:val="24"/>
          <w:szCs w:val="24"/>
          <w:u w:val="single"/>
        </w:rPr>
        <w:t>与本工程规划红线范围内的土地范围一致。</w:t>
      </w:r>
    </w:p>
    <w:p>
      <w:pPr>
        <w:spacing w:line="360" w:lineRule="auto"/>
        <w:ind w:firstLine="480" w:firstLineChars="200"/>
        <w:jc w:val="left"/>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1.1.3.10 临时占地包括：</w:t>
      </w:r>
      <w:r>
        <w:rPr>
          <w:rFonts w:hint="eastAsia" w:ascii="仿宋" w:hAnsi="仿宋" w:eastAsia="仿宋" w:cs="仿宋"/>
          <w:color w:val="auto"/>
          <w:sz w:val="24"/>
          <w:szCs w:val="24"/>
          <w:u w:val="single"/>
        </w:rPr>
        <w:t>承包人在施工现场须临时占用土地时，发包人应按照克拉玛依市的相关规定办理必要的占地或占道审批手续。工程建设完工后，临时占用的地上建筑物和构筑物应予以拆除，并做好场地复原工作。所发生的费用由发包人承担。</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1.3法律</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适用于合同的其他规范性文件：</w:t>
      </w:r>
      <w:r>
        <w:rPr>
          <w:rFonts w:hint="eastAsia" w:ascii="仿宋" w:hAnsi="仿宋" w:eastAsia="仿宋" w:cs="仿宋"/>
          <w:color w:val="auto"/>
          <w:kern w:val="0"/>
          <w:sz w:val="24"/>
          <w:szCs w:val="24"/>
          <w:u w:val="single"/>
        </w:rPr>
        <w:t>除符合国家、部及行业规范性文件外，还应符合新疆维吾尔自治区和克拉玛依市有关工程建设的管理办法及相关规定</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 标准和规范</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1.4.1适用于工程的标准规范包括：</w:t>
      </w:r>
      <w:r>
        <w:rPr>
          <w:rFonts w:hint="eastAsia" w:ascii="仿宋" w:hAnsi="仿宋" w:eastAsia="仿宋" w:cs="仿宋"/>
          <w:color w:val="auto"/>
          <w:kern w:val="0"/>
          <w:sz w:val="24"/>
          <w:szCs w:val="24"/>
          <w:u w:val="single"/>
        </w:rPr>
        <w:t>执行通用合同条款本条款。执行有关工程建设的国家、部、行业及地方标准以及相应的规范、规程等，地方标准有高于或严于现行国家、部、行业标准的，承包人应熟悉并遵守</w:t>
      </w:r>
      <w:r>
        <w:rPr>
          <w:rFonts w:hint="eastAsia" w:ascii="仿宋" w:hAnsi="仿宋" w:eastAsia="仿宋" w:cs="仿宋"/>
          <w:b/>
          <w:color w:val="auto"/>
          <w:kern w:val="0"/>
          <w:sz w:val="24"/>
          <w:szCs w:val="24"/>
          <w:u w:val="single"/>
        </w:rPr>
        <w:t>。</w:t>
      </w:r>
    </w:p>
    <w:p>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 发包人提供国外标准、规范的名称：</w:t>
      </w:r>
      <w:r>
        <w:rPr>
          <w:rFonts w:hint="eastAsia" w:ascii="仿宋" w:hAnsi="仿宋" w:eastAsia="仿宋" w:cs="仿宋"/>
          <w:b/>
          <w:color w:val="auto"/>
          <w:kern w:val="0"/>
          <w:sz w:val="24"/>
          <w:szCs w:val="24"/>
          <w:u w:val="single"/>
        </w:rPr>
        <w:t>无</w:t>
      </w:r>
      <w:r>
        <w:rPr>
          <w:rFonts w:hint="eastAsia" w:ascii="仿宋" w:hAnsi="仿宋" w:eastAsia="仿宋" w:cs="仿宋"/>
          <w:color w:val="auto"/>
          <w:kern w:val="0"/>
          <w:sz w:val="24"/>
          <w:szCs w:val="24"/>
        </w:rPr>
        <w:t>；</w:t>
      </w:r>
    </w:p>
    <w:p>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发包人提供国外标准、规范的份数：</w:t>
      </w:r>
      <w:r>
        <w:rPr>
          <w:rFonts w:hint="eastAsia" w:ascii="仿宋" w:hAnsi="仿宋" w:eastAsia="仿宋" w:cs="仿宋"/>
          <w:b/>
          <w:color w:val="auto"/>
          <w:kern w:val="0"/>
          <w:sz w:val="24"/>
          <w:szCs w:val="24"/>
          <w:u w:val="single"/>
        </w:rPr>
        <w:t>无</w:t>
      </w:r>
      <w:r>
        <w:rPr>
          <w:rFonts w:hint="eastAsia" w:ascii="仿宋" w:hAnsi="仿宋" w:eastAsia="仿宋" w:cs="仿宋"/>
          <w:color w:val="auto"/>
          <w:kern w:val="0"/>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发包人提供国外标准、规范的名称：</w:t>
      </w:r>
      <w:r>
        <w:rPr>
          <w:rFonts w:hint="eastAsia" w:ascii="仿宋" w:hAnsi="仿宋" w:eastAsia="仿宋" w:cs="仿宋"/>
          <w:b/>
          <w:color w:val="auto"/>
          <w:kern w:val="0"/>
          <w:sz w:val="24"/>
          <w:szCs w:val="24"/>
          <w:u w:val="single"/>
        </w:rPr>
        <w:t>无</w:t>
      </w:r>
      <w:r>
        <w:rPr>
          <w:rFonts w:hint="eastAsia" w:ascii="仿宋" w:hAnsi="仿宋" w:eastAsia="仿宋" w:cs="仿宋"/>
          <w:color w:val="auto"/>
          <w:kern w:val="0"/>
          <w:sz w:val="24"/>
          <w:szCs w:val="24"/>
        </w:rPr>
        <w:t>。</w:t>
      </w:r>
    </w:p>
    <w:p>
      <w:pPr>
        <w:spacing w:line="360" w:lineRule="auto"/>
        <w:ind w:firstLine="480" w:firstLineChars="200"/>
        <w:rPr>
          <w:rFonts w:hint="eastAsia" w:ascii="仿宋" w:hAnsi="仿宋" w:eastAsia="仿宋" w:cs="仿宋"/>
          <w:b/>
          <w:color w:val="auto"/>
          <w:sz w:val="24"/>
          <w:szCs w:val="24"/>
          <w:u w:val="single"/>
        </w:rPr>
      </w:pPr>
      <w:r>
        <w:rPr>
          <w:rFonts w:hint="eastAsia" w:ascii="仿宋" w:hAnsi="仿宋" w:eastAsia="仿宋" w:cs="仿宋"/>
          <w:color w:val="auto"/>
          <w:sz w:val="24"/>
          <w:szCs w:val="24"/>
        </w:rPr>
        <w:t>1.4.3发包人对工程的技术标准和功能要求的特殊要求：</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 合同文件的优先顺序</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合同文件组成及优先顺序为：</w:t>
      </w:r>
      <w:r>
        <w:rPr>
          <w:rFonts w:hint="eastAsia" w:ascii="仿宋" w:hAnsi="仿宋" w:eastAsia="仿宋" w:cs="仿宋"/>
          <w:color w:val="auto"/>
          <w:kern w:val="0"/>
          <w:sz w:val="24"/>
          <w:szCs w:val="24"/>
          <w:u w:val="single"/>
        </w:rPr>
        <w:t>本合同协议书—中标通知书—投标函及其附录—专用合同条款及其附件—通用合同条款—技术标准和要求—图纸—已标价工程量清单或预算书—其他合同文件（招标文件、除投标函及其附录、已标价工程量清单或预算书外的其他投标文件等）。</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 图纸和承包人文件</w:t>
      </w:r>
      <w:r>
        <w:rPr>
          <w:rFonts w:hint="eastAsia" w:ascii="仿宋" w:hAnsi="仿宋" w:eastAsia="仿宋" w:cs="仿宋"/>
          <w:color w:val="auto"/>
          <w:sz w:val="24"/>
          <w:szCs w:val="24"/>
        </w:rPr>
        <w:tab/>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1.6.1 图纸的提供</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发包人向承包人提供图纸的期限：</w:t>
      </w:r>
      <w:r>
        <w:rPr>
          <w:rFonts w:hint="eastAsia" w:ascii="仿宋" w:hAnsi="仿宋" w:eastAsia="仿宋" w:cs="仿宋"/>
          <w:color w:val="auto"/>
          <w:sz w:val="24"/>
          <w:szCs w:val="24"/>
          <w:u w:val="single"/>
        </w:rPr>
        <w:t>执行通用合同条款本条款</w:t>
      </w:r>
      <w:r>
        <w:rPr>
          <w:rFonts w:hint="eastAsia" w:ascii="仿宋" w:hAnsi="仿宋" w:eastAsia="仿宋" w:cs="仿宋"/>
          <w:color w:val="auto"/>
          <w:sz w:val="24"/>
          <w:szCs w:val="24"/>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发包人向承包人提供图纸的数量：</w:t>
      </w:r>
      <w:r>
        <w:rPr>
          <w:rFonts w:hint="eastAsia" w:ascii="仿宋" w:hAnsi="仿宋" w:eastAsia="仿宋" w:cs="仿宋"/>
          <w:color w:val="auto"/>
          <w:kern w:val="0"/>
          <w:sz w:val="24"/>
          <w:szCs w:val="24"/>
          <w:u w:val="single"/>
        </w:rPr>
        <w:t>向承包人免费提供完整的施工设计图</w:t>
      </w:r>
      <w:r>
        <w:rPr>
          <w:rFonts w:hint="eastAsia" w:ascii="仿宋" w:hAnsi="仿宋" w:eastAsia="仿宋" w:cs="仿宋"/>
          <w:color w:val="auto"/>
          <w:kern w:val="0"/>
          <w:sz w:val="24"/>
          <w:szCs w:val="24"/>
          <w:highlight w:val="none"/>
          <w:u w:val="single"/>
        </w:rPr>
        <w:t>纸五套</w:t>
      </w:r>
      <w:r>
        <w:rPr>
          <w:rFonts w:hint="eastAsia" w:ascii="仿宋" w:hAnsi="仿宋" w:eastAsia="仿宋" w:cs="仿宋"/>
          <w:color w:val="auto"/>
          <w:kern w:val="0"/>
          <w:sz w:val="24"/>
          <w:szCs w:val="24"/>
          <w:u w:val="single"/>
        </w:rPr>
        <w:t>，由于承包人自身原因造成需要加晒图纸，承包人应提请发包人加晒，费用由承包人自理。承包人任何时候不得将发包人提供的图纸等所有资料转让给第三方，并承担保密责任，工程竣工验收合格后，其所有资料应返还发包人，且竣工交接时向使用单位移交一套图纸。</w:t>
      </w:r>
    </w:p>
    <w:p>
      <w:pPr>
        <w:spacing w:line="360" w:lineRule="auto"/>
        <w:ind w:firstLine="480" w:firstLineChars="200"/>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发包人向承包人提供图纸的内容：</w:t>
      </w:r>
      <w:r>
        <w:rPr>
          <w:rFonts w:hint="eastAsia" w:ascii="仿宋" w:hAnsi="仿宋" w:eastAsia="仿宋" w:cs="仿宋"/>
          <w:color w:val="auto"/>
          <w:kern w:val="0"/>
          <w:sz w:val="24"/>
          <w:szCs w:val="24"/>
          <w:u w:val="single"/>
        </w:rPr>
        <w:t>提供施工设计图纸的具体内容详见图纸目录清单。</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1.6.4 承包人文件</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需要由承包人提供的文件，包括：</w:t>
      </w:r>
      <w:r>
        <w:rPr>
          <w:rFonts w:hint="eastAsia" w:ascii="仿宋" w:hAnsi="仿宋" w:eastAsia="仿宋" w:cs="仿宋"/>
          <w:color w:val="auto"/>
          <w:kern w:val="0"/>
          <w:sz w:val="24"/>
          <w:szCs w:val="24"/>
          <w:u w:val="single"/>
        </w:rPr>
        <w:t>施工组织设计（包括安全施工方案）、工程进度计划、专项施工方案、本合同约定的有关文件以及在工程建设过程中所需的相关文件。承包人应根据工程项目特点及技术要求编制适应于本工程项目的各类文件，防止简单套用其他工程的相关文件，以保证工程的质量和施工安全</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承包人提供的文件的期限为：</w:t>
      </w:r>
      <w:r>
        <w:rPr>
          <w:rFonts w:hint="eastAsia" w:ascii="仿宋" w:hAnsi="仿宋" w:eastAsia="仿宋" w:cs="仿宋"/>
          <w:color w:val="auto"/>
          <w:kern w:val="0"/>
          <w:sz w:val="24"/>
          <w:szCs w:val="24"/>
          <w:u w:val="single"/>
        </w:rPr>
        <w:t>按照本合同第7条约定的时间及发包人或监理人的要求提供</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承包人提供的文件的数量为：</w:t>
      </w:r>
      <w:r>
        <w:rPr>
          <w:rFonts w:hint="eastAsia" w:ascii="仿宋" w:hAnsi="仿宋" w:eastAsia="仿宋" w:cs="仿宋"/>
          <w:color w:val="auto"/>
          <w:kern w:val="0"/>
          <w:sz w:val="24"/>
          <w:szCs w:val="24"/>
          <w:u w:val="single"/>
        </w:rPr>
        <w:t>书</w:t>
      </w:r>
      <w:r>
        <w:rPr>
          <w:rFonts w:hint="eastAsia" w:ascii="仿宋" w:hAnsi="仿宋" w:eastAsia="仿宋" w:cs="仿宋"/>
          <w:color w:val="auto"/>
          <w:kern w:val="0"/>
          <w:sz w:val="24"/>
          <w:szCs w:val="24"/>
          <w:highlight w:val="none"/>
          <w:u w:val="single"/>
        </w:rPr>
        <w:t>面文件一式伍份，电子版文件一式</w:t>
      </w:r>
      <w:r>
        <w:rPr>
          <w:rFonts w:hint="eastAsia" w:ascii="仿宋" w:hAnsi="仿宋" w:eastAsia="仿宋" w:cs="仿宋"/>
          <w:color w:val="auto"/>
          <w:kern w:val="0"/>
          <w:sz w:val="24"/>
          <w:szCs w:val="24"/>
          <w:u w:val="single"/>
        </w:rPr>
        <w:t>壹份；</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承包人提供的文件的形式为：</w:t>
      </w:r>
      <w:r>
        <w:rPr>
          <w:rFonts w:hint="eastAsia" w:ascii="仿宋" w:hAnsi="仿宋" w:eastAsia="仿宋" w:cs="仿宋"/>
          <w:color w:val="auto"/>
          <w:kern w:val="0"/>
          <w:sz w:val="24"/>
          <w:szCs w:val="24"/>
          <w:u w:val="single"/>
        </w:rPr>
        <w:t>书面文件和电子版文件</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发包人审批承包人文件的期限：</w:t>
      </w:r>
      <w:r>
        <w:rPr>
          <w:rFonts w:hint="eastAsia" w:ascii="仿宋" w:hAnsi="仿宋" w:eastAsia="仿宋" w:cs="仿宋"/>
          <w:color w:val="auto"/>
          <w:kern w:val="0"/>
          <w:sz w:val="24"/>
          <w:szCs w:val="24"/>
          <w:u w:val="single"/>
        </w:rPr>
        <w:t>收到承包人文件之日起7日内审查完毕</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1.6.5 现场图纸准备</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关于现场图纸准备的约定：</w:t>
      </w:r>
      <w:r>
        <w:rPr>
          <w:rFonts w:hint="eastAsia" w:ascii="仿宋" w:hAnsi="仿宋" w:eastAsia="仿宋" w:cs="仿宋"/>
          <w:color w:val="auto"/>
          <w:kern w:val="0"/>
          <w:sz w:val="24"/>
          <w:szCs w:val="24"/>
          <w:u w:val="single"/>
        </w:rPr>
        <w:t>承包人在施工现场另行保留一套完整的施工设计图纸及相关的设计变更文件、承包人的文件供发包人、监理人等有关人员使用。本套文件由监理人负责保管</w:t>
      </w:r>
      <w:r>
        <w:rPr>
          <w:rFonts w:hint="eastAsia" w:ascii="仿宋" w:hAnsi="仿宋" w:eastAsia="仿宋" w:cs="仿宋"/>
          <w:color w:val="auto"/>
          <w:kern w:val="0"/>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1.7 联络</w:t>
      </w:r>
    </w:p>
    <w:p>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1.7.1发包人和承包人应当在</w:t>
      </w:r>
      <w:r>
        <w:rPr>
          <w:rFonts w:hint="eastAsia" w:ascii="仿宋" w:hAnsi="仿宋" w:eastAsia="仿宋" w:cs="仿宋"/>
          <w:color w:val="auto"/>
          <w:sz w:val="24"/>
          <w:szCs w:val="24"/>
          <w:u w:val="single"/>
        </w:rPr>
        <w:t xml:space="preserve">2 </w:t>
      </w:r>
      <w:r>
        <w:rPr>
          <w:rFonts w:hint="eastAsia" w:ascii="仿宋" w:hAnsi="仿宋" w:eastAsia="仿宋" w:cs="仿宋"/>
          <w:color w:val="auto"/>
          <w:kern w:val="0"/>
          <w:sz w:val="24"/>
          <w:szCs w:val="24"/>
        </w:rPr>
        <w:t>天内将与合同有关的通知、批准、证明、证书、指示、指令、要求、请求、同意、意见、确定和决定等书面函件送达对方当事人。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1.10 交通运输</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1.10.1 出入现场的权利</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关于出入现场的权利的约定：</w:t>
      </w:r>
      <w:r>
        <w:rPr>
          <w:rFonts w:hint="eastAsia" w:ascii="仿宋" w:hAnsi="仿宋" w:eastAsia="仿宋" w:cs="仿宋"/>
          <w:color w:val="auto"/>
          <w:kern w:val="0"/>
          <w:sz w:val="24"/>
          <w:szCs w:val="24"/>
          <w:u w:val="single"/>
        </w:rPr>
        <w:t>执行通用合同条款本条款</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1.10.3 场内交通</w:t>
      </w:r>
    </w:p>
    <w:p>
      <w:pPr>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关于场外交通和场内交通的边界的约定：</w:t>
      </w:r>
      <w:r>
        <w:rPr>
          <w:rFonts w:hint="eastAsia" w:ascii="仿宋" w:hAnsi="仿宋" w:eastAsia="仿宋" w:cs="仿宋"/>
          <w:b/>
          <w:color w:val="auto"/>
          <w:kern w:val="0"/>
          <w:sz w:val="24"/>
          <w:szCs w:val="24"/>
          <w:u w:val="single"/>
        </w:rPr>
        <w:t>无</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关于发包人向承包人免费提供满足工程施工需要的场内道路和交通设施的约定：</w:t>
      </w:r>
      <w:r>
        <w:rPr>
          <w:rFonts w:hint="eastAsia" w:ascii="仿宋" w:hAnsi="仿宋" w:eastAsia="仿宋" w:cs="仿宋"/>
          <w:b/>
          <w:color w:val="auto"/>
          <w:kern w:val="0"/>
          <w:sz w:val="24"/>
          <w:szCs w:val="24"/>
          <w:u w:val="single"/>
        </w:rPr>
        <w:t>无</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1.10.4超大件和超重件的运输</w:t>
      </w:r>
    </w:p>
    <w:p>
      <w:pPr>
        <w:spacing w:line="360" w:lineRule="auto"/>
        <w:ind w:firstLine="480" w:firstLineChars="200"/>
        <w:jc w:val="left"/>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运输超大件或超重件所需的道路和桥梁临时加固改造费用和其他有关费用由</w:t>
      </w:r>
      <w:r>
        <w:rPr>
          <w:rFonts w:hint="eastAsia" w:ascii="仿宋" w:hAnsi="仿宋" w:eastAsia="仿宋" w:cs="仿宋"/>
          <w:color w:val="auto"/>
          <w:kern w:val="0"/>
          <w:sz w:val="24"/>
          <w:szCs w:val="24"/>
          <w:u w:val="single"/>
        </w:rPr>
        <w:t>承包人承担。承包人根据工程项目情况应合理预见工程所需超大件或超重件，以及相关采购、运输、仓储等所有可能增加的难度和费用，其费用由承包人自行承担</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 知识产权</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
          <w:color w:val="auto"/>
          <w:kern w:val="0"/>
          <w:sz w:val="24"/>
          <w:szCs w:val="24"/>
          <w:u w:val="single"/>
        </w:rPr>
        <w:t>发包人</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关于发包人提供的上述文件的使用限制的要求：</w:t>
      </w:r>
      <w:r>
        <w:rPr>
          <w:rFonts w:hint="eastAsia" w:ascii="仿宋" w:hAnsi="仿宋" w:eastAsia="仿宋" w:cs="仿宋"/>
          <w:color w:val="auto"/>
          <w:kern w:val="0"/>
          <w:sz w:val="24"/>
          <w:szCs w:val="24"/>
          <w:u w:val="single"/>
        </w:rPr>
        <w:t>承包人不得将发包人提供的上述文件用于与本合同无关的其他任何事项，如用于承揽其他工程、向第三方出售或用于广告宣传等，否则，发包人有权追究承包人的责任。</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1.11.2 关于承包人为实施工程所编制文件的著作权的归属：</w:t>
      </w:r>
      <w:r>
        <w:rPr>
          <w:rFonts w:hint="eastAsia" w:ascii="仿宋" w:hAnsi="仿宋" w:eastAsia="仿宋" w:cs="仿宋"/>
          <w:color w:val="auto"/>
          <w:kern w:val="0"/>
          <w:sz w:val="24"/>
          <w:szCs w:val="24"/>
          <w:u w:val="single"/>
        </w:rPr>
        <w:t>除署名权以外的著作权属于发包人</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关于承包人提供的上述文件的使用限制的要求：</w:t>
      </w:r>
      <w:r>
        <w:rPr>
          <w:rFonts w:hint="eastAsia" w:ascii="仿宋" w:hAnsi="仿宋" w:eastAsia="仿宋" w:cs="仿宋"/>
          <w:color w:val="auto"/>
          <w:kern w:val="0"/>
          <w:sz w:val="24"/>
          <w:szCs w:val="24"/>
          <w:u w:val="single"/>
        </w:rPr>
        <w:t>承包人不得以本工程提供的上述文件用于与本合同无关的其他任何事项，如用于承揽其他工程、向第三方出售或用于广告宣传等，否则，发包人有权追究承包人的责任</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1.11.4 承包人在施工过程中所采用的专利、专有技术、技术秘密的使用费的承担方式：</w:t>
      </w:r>
      <w:r>
        <w:rPr>
          <w:rFonts w:hint="eastAsia" w:ascii="仿宋" w:hAnsi="仿宋" w:eastAsia="仿宋" w:cs="仿宋"/>
          <w:color w:val="auto"/>
          <w:sz w:val="24"/>
          <w:szCs w:val="24"/>
          <w:u w:val="single"/>
        </w:rPr>
        <w:t>承包人无论使用第三方的或自有的专利、专有技术和技术秘密等，其费用均由承包人自行承担</w:t>
      </w:r>
      <w:r>
        <w:rPr>
          <w:rFonts w:hint="eastAsia" w:ascii="仿宋" w:hAnsi="仿宋" w:eastAsia="仿宋" w:cs="仿宋"/>
          <w:color w:val="auto"/>
          <w:kern w:val="0"/>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1.13工程量清单错误的修正</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出现工程量清单错误时，是否调整合同价格：</w:t>
      </w:r>
      <w:r>
        <w:rPr>
          <w:rFonts w:hint="eastAsia" w:ascii="仿宋" w:hAnsi="仿宋" w:eastAsia="仿宋" w:cs="仿宋"/>
          <w:color w:val="auto"/>
          <w:kern w:val="0"/>
          <w:sz w:val="24"/>
          <w:szCs w:val="24"/>
          <w:u w:val="single"/>
        </w:rPr>
        <w:t>调整</w:t>
      </w:r>
      <w:r>
        <w:rPr>
          <w:rFonts w:hint="eastAsia" w:ascii="仿宋" w:hAnsi="仿宋" w:eastAsia="仿宋" w:cs="仿宋"/>
          <w:color w:val="auto"/>
          <w:kern w:val="0"/>
          <w:sz w:val="24"/>
          <w:szCs w:val="24"/>
        </w:rPr>
        <w:t>。</w:t>
      </w:r>
    </w:p>
    <w:p>
      <w:pPr>
        <w:spacing w:line="360" w:lineRule="auto"/>
        <w:ind w:firstLine="480" w:firstLineChars="200"/>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允许调整合同价格的工程量偏差范围：</w:t>
      </w:r>
      <w:r>
        <w:rPr>
          <w:rFonts w:hint="eastAsia" w:ascii="仿宋" w:hAnsi="仿宋" w:eastAsia="仿宋" w:cs="仿宋"/>
          <w:color w:val="auto"/>
          <w:sz w:val="24"/>
          <w:szCs w:val="24"/>
          <w:u w:val="single"/>
        </w:rPr>
        <w:t>执行2013年《建设工程工程量清单计价规范》的规定，调整的方法执行本专用合同条款第12条的相关规定</w:t>
      </w:r>
      <w:r>
        <w:rPr>
          <w:rFonts w:hint="eastAsia" w:ascii="仿宋" w:hAnsi="仿宋" w:eastAsia="仿宋" w:cs="仿宋"/>
          <w:color w:val="auto"/>
          <w:kern w:val="0"/>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发包人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发包人对发包人代表的授权范围如下：</w:t>
      </w:r>
      <w:r>
        <w:rPr>
          <w:rFonts w:hint="eastAsia" w:ascii="仿宋" w:hAnsi="仿宋" w:eastAsia="仿宋" w:cs="仿宋"/>
          <w:color w:val="auto"/>
          <w:kern w:val="0"/>
          <w:sz w:val="24"/>
          <w:szCs w:val="24"/>
          <w:u w:val="single"/>
        </w:rPr>
        <w:t>设计变更、工程经济签证等引起工程价款洽商、索赔事项的处理、合同的变更、工期调整等</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2.4 施工现场、施工条件和基础资料的提供</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2.4.1 提供施工现场</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关于发包人移交施工现场的期限要求：</w:t>
      </w:r>
      <w:r>
        <w:rPr>
          <w:rFonts w:hint="eastAsia" w:ascii="仿宋" w:hAnsi="仿宋" w:eastAsia="仿宋" w:cs="仿宋"/>
          <w:color w:val="auto"/>
          <w:kern w:val="0"/>
          <w:sz w:val="24"/>
          <w:szCs w:val="24"/>
          <w:u w:val="single"/>
        </w:rPr>
        <w:t>应最迟于开工日期7天前</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2.4.2 提供施工条件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关于发包人应负责提供施工所需要的条件，包括：</w:t>
      </w:r>
      <w:r>
        <w:rPr>
          <w:rFonts w:hint="eastAsia" w:ascii="仿宋" w:hAnsi="仿宋" w:eastAsia="仿宋" w:cs="仿宋"/>
          <w:color w:val="auto"/>
          <w:kern w:val="0"/>
          <w:sz w:val="24"/>
          <w:szCs w:val="24"/>
          <w:u w:val="single"/>
        </w:rPr>
        <w:t>执行通用合同条款本条款。</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2.5 资金来源证明及支付担保</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发包人提供资金来源证明的期限要求：</w:t>
      </w:r>
      <w:r>
        <w:rPr>
          <w:rFonts w:hint="eastAsia" w:ascii="仿宋" w:hAnsi="仿宋" w:eastAsia="仿宋" w:cs="仿宋"/>
          <w:color w:val="auto"/>
          <w:sz w:val="24"/>
          <w:szCs w:val="24"/>
          <w:u w:val="single"/>
        </w:rPr>
        <w:t>无</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发包人是否提供支付担保：</w:t>
      </w:r>
      <w:r>
        <w:rPr>
          <w:rFonts w:hint="eastAsia" w:ascii="仿宋" w:hAnsi="仿宋" w:eastAsia="仿宋" w:cs="仿宋"/>
          <w:color w:val="auto"/>
          <w:sz w:val="24"/>
          <w:szCs w:val="24"/>
          <w:u w:val="single"/>
        </w:rPr>
        <w:t></w:t>
      </w:r>
      <w:r>
        <w:rPr>
          <w:rFonts w:hint="eastAsia" w:ascii="仿宋" w:hAnsi="仿宋" w:eastAsia="仿宋" w:cs="仿宋"/>
          <w:color w:val="auto"/>
          <w:kern w:val="0"/>
          <w:sz w:val="24"/>
          <w:szCs w:val="24"/>
          <w:u w:val="single"/>
        </w:rPr>
        <w:t>无</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发包人提供支付担保的形式：</w:t>
      </w:r>
      <w:r>
        <w:rPr>
          <w:rFonts w:hint="eastAsia" w:ascii="仿宋" w:hAnsi="仿宋" w:eastAsia="仿宋" w:cs="仿宋"/>
          <w:color w:val="auto"/>
          <w:sz w:val="24"/>
          <w:szCs w:val="24"/>
          <w:u w:val="single"/>
        </w:rPr>
        <w:t>无</w:t>
      </w:r>
      <w:r>
        <w:rPr>
          <w:rFonts w:hint="eastAsia" w:ascii="仿宋" w:hAnsi="仿宋" w:eastAsia="仿宋" w:cs="仿宋"/>
          <w:color w:val="auto"/>
          <w:sz w:val="24"/>
          <w:szCs w:val="24"/>
        </w:rPr>
        <w:t>。</w:t>
      </w:r>
    </w:p>
    <w:p>
      <w:pPr>
        <w:pStyle w:val="5"/>
        <w:spacing w:before="0" w:after="0"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3. 承包人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 承包人的一般义务</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（9）</w:t>
      </w:r>
      <w:r>
        <w:rPr>
          <w:rFonts w:hint="eastAsia" w:ascii="仿宋" w:hAnsi="仿宋" w:eastAsia="仿宋" w:cs="仿宋"/>
          <w:color w:val="auto"/>
          <w:sz w:val="24"/>
          <w:szCs w:val="24"/>
        </w:rPr>
        <w:t>承包人提交的竣工资料的内容：</w:t>
      </w:r>
      <w:r>
        <w:rPr>
          <w:rFonts w:hint="eastAsia" w:ascii="仿宋" w:hAnsi="仿宋" w:eastAsia="仿宋" w:cs="仿宋"/>
          <w:color w:val="auto"/>
          <w:sz w:val="24"/>
          <w:szCs w:val="24"/>
          <w:u w:val="single"/>
        </w:rPr>
        <w:t>按照法律法规及相关规定、克拉玛依市城建档案馆或克拉玛依区档案馆要求以及监理人、发包人要求提供工程建设过程中的各项资料</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承包人需要提交的竣工资料套数：</w:t>
      </w:r>
      <w:r>
        <w:rPr>
          <w:rFonts w:hint="eastAsia" w:ascii="仿宋" w:hAnsi="仿宋" w:eastAsia="仿宋" w:cs="仿宋"/>
          <w:color w:val="auto"/>
          <w:sz w:val="24"/>
          <w:szCs w:val="24"/>
          <w:u w:val="single"/>
        </w:rPr>
        <w:t>一式叁份书面资料（其中二套为原始件），并提供相应光盘3套</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承包人提交的竣工资料的费用承担：</w:t>
      </w:r>
      <w:r>
        <w:rPr>
          <w:rFonts w:hint="eastAsia" w:ascii="仿宋" w:hAnsi="仿宋" w:eastAsia="仿宋" w:cs="仿宋"/>
          <w:color w:val="auto"/>
          <w:sz w:val="24"/>
          <w:szCs w:val="24"/>
          <w:u w:val="single"/>
        </w:rPr>
        <w:t>承包人自行承担</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承包人提交的竣工资料移交时间：</w:t>
      </w:r>
      <w:r>
        <w:rPr>
          <w:rFonts w:hint="eastAsia" w:ascii="仿宋" w:hAnsi="仿宋" w:eastAsia="仿宋" w:cs="仿宋"/>
          <w:color w:val="auto"/>
          <w:sz w:val="24"/>
          <w:szCs w:val="24"/>
          <w:u w:val="single"/>
        </w:rPr>
        <w:t>竣工验收合格签字之日起30日内提供。</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承包人提交的竣工资料形式要求：</w:t>
      </w:r>
      <w:r>
        <w:rPr>
          <w:rFonts w:hint="eastAsia" w:ascii="仿宋" w:hAnsi="仿宋" w:eastAsia="仿宋" w:cs="仿宋"/>
          <w:color w:val="auto"/>
          <w:sz w:val="24"/>
          <w:szCs w:val="24"/>
          <w:u w:val="single"/>
        </w:rPr>
        <w:t>承包人提供的所有资料应满足工程备案要求并经克拉玛依市城建档案馆或克拉玛依区档案馆档案验收合格。如未通过克拉玛依市城建档案馆或克拉玛依区档案馆档案验收者，则发包人将停止支付承包人的工程结算款，待合格后再进行结算</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书面版按档案管理要求装订成册并符合克拉玛依市城建档案馆或克拉玛依区档案馆对档案资料归档的相关规定；必须包含竣工资料的所有全部内容并与书面版资料一致</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（10）承包人应履行的其他义务：</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①做好生活设施、料场、临时作业场地的租赁工作（在施工场地之外）。</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②协助发包人在7个日历日内做好工程开工前的施工许可证等有关手续的办理并及时提供办理手续所需的相关资料。因承包人责任（承包人未在发包人规定时间内提供资料或提供资料不符合要求等），导致施工许可证手续延迟办理的，按每延误一天向发包人支付合同价款的5‰的违约金。</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③按发包人代表要求每月20日递交各类报表，一式伍份。</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④负责协调施工场内、场外与施工有关的各种关系，办理应由承包人办理的各种证件、批件并承担由此所发生的费用。</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⑤施工防护工作：施工期间承包人须对本工程的及其不能影响到的其他专业工程和现场采取必要的措施进行加固、维护、安全防护和损毁修复，并承担由此发生的一切费用。若承包人未按要求做好防护措施的，承包人向发包人支付壹拾万元/次的违约金。</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⑥工地作业和施工方法：承包人应对工地所有作业和施工方法适当性、可靠性及安全性负责。同时根据施工现场的实际情况建立健全的质量保证体系、环境保证体系和职业健康与安全保证体系；若承包人未按要求建立保证体系的，承包人向发包人支付壹拾万元/个的违约金。</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⑦对于承包人所雇用的工人发生意外事故或伤害和赔偿，应由承包人自行承担。对于此类事故或损害和赔偿，发包人均不予承担任何责任，且发包人不承担涉及此类事故或损害与赔偿或与此有关的索赔、诉讼、损害赔偿、诉讼费、赔偿费及其它所有费用。</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⑧承包人应当加强工程款管理，做到专款专用，不得拖欠材料、设备货款、农民工和工人工资等费用。监理工程师或发包人对工程款使用情况进行监督检查时，承包人应当积极配合，不得阻扰和拒绝。如承包人发生本款所述拖欠行为，一经查实，发包人责令承包人自行组织资金迅速偿还欠款。对恶意拖欠和拒不按计划偿付时，发包人可以代扣工程款（或保证金），并将有关情况报相关主管部门调查处理必要时可解除合同并依法追究承包人的责任。</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⑨承包人应按照合同实施完成本工程，并在质量保修期内承担修补工程中的任何质量缺陷等。</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⑩依法纳税：承包人应根据政府相关规定，缴纳相关税费，如需发包人代扣代缴的，发包人有权代扣代缴。</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(11)</w:t>
      </w:r>
      <w:r>
        <w:rPr>
          <w:rFonts w:hint="eastAsia" w:ascii="仿宋" w:hAnsi="仿宋" w:eastAsia="仿宋" w:cs="仿宋"/>
          <w:color w:val="auto"/>
          <w:sz w:val="24"/>
          <w:szCs w:val="24"/>
          <w:u w:val="single"/>
        </w:rPr>
        <w:t>承包人自行负责施工进场道桥,所发生的费用认为已包干在承包人所报措施费内。</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bCs/>
          <w:color w:val="auto"/>
          <w:sz w:val="24"/>
          <w:szCs w:val="24"/>
          <w:u w:val="single"/>
        </w:rPr>
        <w:t>(12)</w:t>
      </w:r>
      <w:r>
        <w:rPr>
          <w:rFonts w:hint="eastAsia" w:ascii="仿宋" w:hAnsi="仿宋" w:eastAsia="仿宋" w:cs="仿宋"/>
          <w:color w:val="auto"/>
          <w:sz w:val="24"/>
          <w:szCs w:val="24"/>
          <w:u w:val="single"/>
        </w:rPr>
        <w:t>配合发包人做好本工程其他相关工作。</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bCs/>
          <w:color w:val="auto"/>
          <w:sz w:val="24"/>
          <w:szCs w:val="24"/>
          <w:u w:val="single"/>
        </w:rPr>
        <w:t>(13)</w:t>
      </w:r>
      <w:r>
        <w:rPr>
          <w:rFonts w:hint="eastAsia" w:ascii="仿宋" w:hAnsi="仿宋" w:eastAsia="仿宋" w:cs="仿宋"/>
          <w:color w:val="auto"/>
          <w:sz w:val="24"/>
          <w:szCs w:val="24"/>
          <w:u w:val="single"/>
        </w:rPr>
        <w:t>按发包人代表要求完成施工作业图和配套设计。承包人开工后按投标文件承诺进场的设备、机械未经监理单位或发包人许可，不得撤出现场。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 项目负责人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3.2.1 </w:t>
      </w:r>
      <w:r>
        <w:rPr>
          <w:rFonts w:hint="eastAsia" w:ascii="仿宋" w:hAnsi="仿宋" w:eastAsia="仿宋" w:cs="仿宋"/>
          <w:color w:val="auto"/>
          <w:sz w:val="24"/>
          <w:szCs w:val="24"/>
        </w:rPr>
        <w:t>项目负责人：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承包人对项目经理的授权范围如下：</w:t>
      </w:r>
      <w:r>
        <w:rPr>
          <w:rFonts w:hint="eastAsia" w:ascii="仿宋" w:hAnsi="仿宋" w:eastAsia="仿宋" w:cs="仿宋"/>
          <w:color w:val="auto"/>
          <w:sz w:val="24"/>
          <w:szCs w:val="24"/>
          <w:u w:val="single"/>
        </w:rPr>
        <w:t>按照承包人的授权范围执行</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关于</w:t>
      </w:r>
      <w:r>
        <w:rPr>
          <w:rFonts w:hint="eastAsia" w:ascii="仿宋" w:hAnsi="仿宋" w:eastAsia="仿宋" w:cs="仿宋"/>
          <w:color w:val="auto"/>
          <w:sz w:val="24"/>
          <w:szCs w:val="24"/>
        </w:rPr>
        <w:t>项目负责人</w:t>
      </w:r>
      <w:r>
        <w:rPr>
          <w:rFonts w:hint="eastAsia" w:ascii="仿宋" w:hAnsi="仿宋" w:eastAsia="仿宋" w:cs="仿宋"/>
          <w:color w:val="auto"/>
          <w:kern w:val="0"/>
          <w:sz w:val="24"/>
          <w:szCs w:val="24"/>
        </w:rPr>
        <w:t>每月在施工现场的时间要求：</w:t>
      </w:r>
      <w:r>
        <w:rPr>
          <w:rFonts w:hint="eastAsia" w:ascii="仿宋" w:hAnsi="仿宋" w:eastAsia="仿宋" w:cs="仿宋"/>
          <w:color w:val="auto"/>
          <w:sz w:val="24"/>
          <w:szCs w:val="24"/>
          <w:u w:val="single"/>
        </w:rPr>
        <w:t>承包人在项目实施过程中的项目负责人应为投标文件中所报的项目负责人，并经发包人认可。常驻施工现场每月不得少于25天。负责协调承包人在工程建设全过程的各项协调配合工作，随时解决施工过程中出现的问题。承包人项目负责人短期（指3日及以下）离开施工现场时，应事先征得发包人同意，并委派代表行其职责。承包人项目负责人离开施工现场3天以上的，必须有书面请假报告，并由施工企业法定代表人、建设单位项目负责人以及总监理工程师签字同意，并加盖单位公章。项目负责人必须出席由发包人及监理单位主持的每周例会，并书面汇报本周进度完成情况并提出下周进度计划及重要协调会</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承包人未提交劳动合同，以及没有为</w:t>
      </w:r>
      <w:r>
        <w:rPr>
          <w:rFonts w:hint="eastAsia" w:ascii="仿宋" w:hAnsi="仿宋" w:eastAsia="仿宋" w:cs="仿宋"/>
          <w:color w:val="auto"/>
          <w:sz w:val="24"/>
          <w:szCs w:val="24"/>
        </w:rPr>
        <w:t>项目负责人</w:t>
      </w:r>
      <w:r>
        <w:rPr>
          <w:rFonts w:hint="eastAsia" w:ascii="仿宋" w:hAnsi="仿宋" w:eastAsia="仿宋" w:cs="仿宋"/>
          <w:color w:val="auto"/>
          <w:kern w:val="0"/>
          <w:sz w:val="24"/>
          <w:szCs w:val="24"/>
        </w:rPr>
        <w:t>缴纳社会保险证明的违约责任：</w:t>
      </w:r>
      <w:r>
        <w:rPr>
          <w:rFonts w:hint="eastAsia" w:ascii="仿宋" w:hAnsi="仿宋" w:eastAsia="仿宋" w:cs="仿宋"/>
          <w:color w:val="auto"/>
          <w:sz w:val="24"/>
          <w:szCs w:val="24"/>
          <w:u w:val="single"/>
        </w:rPr>
        <w:t>每发生一次，向发包人支付签约合同价格5‰的违约金，并无条件予以纠正，由此造成的责任和损失由承包人自行承担</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项目负责人</w:t>
      </w:r>
      <w:r>
        <w:rPr>
          <w:rFonts w:hint="eastAsia" w:ascii="仿宋" w:hAnsi="仿宋" w:eastAsia="仿宋" w:cs="仿宋"/>
          <w:color w:val="auto"/>
          <w:kern w:val="0"/>
          <w:sz w:val="24"/>
          <w:szCs w:val="24"/>
        </w:rPr>
        <w:t>未经批准，擅自离开施工现场的违约责任：</w:t>
      </w:r>
      <w:r>
        <w:rPr>
          <w:rFonts w:hint="eastAsia" w:ascii="仿宋" w:hAnsi="仿宋" w:eastAsia="仿宋" w:cs="仿宋"/>
          <w:color w:val="auto"/>
          <w:sz w:val="24"/>
          <w:szCs w:val="24"/>
          <w:u w:val="single"/>
        </w:rPr>
        <w:t>每发生一次，向发包人支付签约合同价格5‰的违约金；并无条件予以纠正。由此造成的责任和损失由承包人自行承担。</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3.2.3 承包人擅自更换项目负责人的违约责任：</w:t>
      </w:r>
      <w:r>
        <w:rPr>
          <w:rFonts w:hint="eastAsia" w:ascii="仿宋" w:hAnsi="仿宋" w:eastAsia="仿宋" w:cs="仿宋"/>
          <w:color w:val="auto"/>
          <w:sz w:val="24"/>
          <w:szCs w:val="24"/>
          <w:u w:val="single"/>
        </w:rPr>
        <w:t>承包人不得随意擅自更换项目负责人，承包人确需更换项目负责人时，必须征得发包人同意，并应在更换前14日通知发包人和监理人。</w:t>
      </w:r>
      <w:r>
        <w:rPr>
          <w:rFonts w:hint="eastAsia" w:ascii="仿宋" w:hAnsi="仿宋" w:eastAsia="仿宋" w:cs="仿宋"/>
          <w:b/>
          <w:bCs/>
          <w:color w:val="auto"/>
          <w:sz w:val="24"/>
          <w:szCs w:val="24"/>
          <w:u w:val="single"/>
        </w:rPr>
        <w:t>项目负责人原则上不得变更，除克建发【2011】210号文件中规定的第二条第（二）、（四）条款除外。项目负责人变更，承包人应向发包人支付壹拾万元/人次的违约金；</w:t>
      </w:r>
      <w:r>
        <w:rPr>
          <w:rFonts w:hint="eastAsia" w:ascii="仿宋" w:hAnsi="仿宋" w:eastAsia="仿宋" w:cs="仿宋"/>
          <w:color w:val="auto"/>
          <w:sz w:val="24"/>
          <w:szCs w:val="24"/>
          <w:u w:val="single"/>
        </w:rPr>
        <w:t>并无条件予以纠正。由此造成的责任和损失由承包人承担。</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3.2.4 承包人无正当理由拒绝更换项目负责人的违约责任：</w:t>
      </w:r>
      <w:r>
        <w:rPr>
          <w:rFonts w:hint="eastAsia" w:ascii="仿宋" w:hAnsi="仿宋" w:eastAsia="仿宋" w:cs="仿宋"/>
          <w:color w:val="auto"/>
          <w:sz w:val="24"/>
          <w:szCs w:val="24"/>
          <w:u w:val="single"/>
        </w:rPr>
        <w:t>承包人应对其项目负责人进行有效管理，发包人要求撤换不胜任本职工作、行为不端或玩忽职守的项目负责人，承包人应无条件予以撤换。由此而产生的一切费用和责任由承包人承担。且每发生一次，向发包人支付签约合同价格5‰的违约金。并无条件予以更换。由此造成的责任和损失由承包人自行承担。</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3.2.5项目经理无条件服从发包人管理的违约责任：项目经理应无条件服从发包人的各项管理规定及各项要求，项目经理应严格按照发包人的要求执行各项工作。如项目经理未按发包人要求执行，由此而产生的一切费用和责任均由承包人承担。且每发生一次，按实际情况及造成的损失，承包人向发包人支付5000元至20000元不等的违约金。并无条件予以更换项目经理。由此造成的责任和损失由承包人自行承担。</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3.3 承包人人员</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3.3.1 承包人提交项目管理机构及施工现场管理人员安排报告的期限：</w:t>
      </w:r>
      <w:r>
        <w:rPr>
          <w:rFonts w:hint="eastAsia" w:ascii="仿宋" w:hAnsi="仿宋" w:eastAsia="仿宋" w:cs="仿宋"/>
          <w:color w:val="auto"/>
          <w:sz w:val="24"/>
          <w:szCs w:val="24"/>
          <w:u w:val="single"/>
        </w:rPr>
        <w:t>执行通用合同条款本条款。</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3.3.3 承包人无正当理由拒绝撤换主要施工管理人员的违约责任：</w:t>
      </w:r>
      <w:r>
        <w:rPr>
          <w:rFonts w:hint="eastAsia" w:ascii="仿宋" w:hAnsi="仿宋" w:eastAsia="仿宋" w:cs="仿宋"/>
          <w:color w:val="auto"/>
          <w:sz w:val="24"/>
          <w:szCs w:val="24"/>
          <w:u w:val="single"/>
        </w:rPr>
        <w:t>承包人应对其项目组织机构人员及其他人员进行有效管理，发包人要求撤换不胜任本职工作、行为不端或玩忽职守的项目组织机构人员及其他人员的，承包人应无条件予以撤换。由此而产生的一切费用和责任由承包人承担。且每发生一次，向发包人支付签约合同价格5‰的违约金。并无条件予以更换。由此造成的责任和损失由承包人自行承担。</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3.3.4 承包人主要施工管理人员离开施工现场的批准要求：</w:t>
      </w:r>
      <w:r>
        <w:rPr>
          <w:rFonts w:hint="eastAsia" w:ascii="仿宋" w:hAnsi="仿宋" w:eastAsia="仿宋" w:cs="仿宋"/>
          <w:color w:val="auto"/>
          <w:sz w:val="24"/>
          <w:szCs w:val="24"/>
          <w:u w:val="single"/>
        </w:rPr>
        <w:t>执行克建发【2011】210号文。</w:t>
      </w:r>
    </w:p>
    <w:p>
      <w:pPr>
        <w:spacing w:line="360" w:lineRule="auto"/>
        <w:ind w:firstLine="480" w:firstLineChars="200"/>
        <w:rPr>
          <w:rFonts w:hint="eastAsia" w:ascii="仿宋" w:hAnsi="仿宋" w:eastAsia="仿宋" w:cs="仿宋"/>
          <w:b/>
          <w:color w:val="auto"/>
          <w:sz w:val="24"/>
          <w:szCs w:val="24"/>
          <w:u w:val="single"/>
        </w:rPr>
      </w:pPr>
      <w:r>
        <w:rPr>
          <w:rFonts w:hint="eastAsia" w:ascii="仿宋" w:hAnsi="仿宋" w:eastAsia="仿宋" w:cs="仿宋"/>
          <w:color w:val="auto"/>
          <w:sz w:val="24"/>
          <w:szCs w:val="24"/>
        </w:rPr>
        <w:t>3.3.5承包人擅自更换主要施工管理人员的违约责任：</w:t>
      </w:r>
      <w:r>
        <w:rPr>
          <w:rFonts w:hint="eastAsia" w:ascii="仿宋" w:hAnsi="仿宋" w:eastAsia="仿宋" w:cs="仿宋"/>
          <w:color w:val="auto"/>
          <w:sz w:val="24"/>
          <w:szCs w:val="24"/>
          <w:u w:val="single"/>
        </w:rPr>
        <w:t>承包人在项目实施过程中的项目组织机构人员应为投标文件中所报的项目组织机构人员并满足</w:t>
      </w:r>
      <w:r>
        <w:rPr>
          <w:rFonts w:hint="eastAsia" w:ascii="仿宋" w:hAnsi="仿宋" w:eastAsia="仿宋" w:cs="仿宋"/>
          <w:color w:val="auto"/>
          <w:sz w:val="24"/>
          <w:szCs w:val="24"/>
          <w:u w:val="single"/>
          <w:lang w:val="zh-CN"/>
        </w:rPr>
        <w:t>本工程建设需要</w:t>
      </w:r>
      <w:r>
        <w:rPr>
          <w:rFonts w:hint="eastAsia" w:ascii="仿宋" w:hAnsi="仿宋" w:eastAsia="仿宋" w:cs="仿宋"/>
          <w:color w:val="auto"/>
          <w:sz w:val="24"/>
          <w:szCs w:val="24"/>
          <w:u w:val="single"/>
        </w:rPr>
        <w:t>。</w:t>
      </w:r>
      <w:r>
        <w:rPr>
          <w:rFonts w:hint="eastAsia" w:ascii="仿宋" w:hAnsi="仿宋" w:eastAsia="仿宋" w:cs="仿宋"/>
          <w:b/>
          <w:color w:val="auto"/>
          <w:sz w:val="24"/>
          <w:szCs w:val="24"/>
          <w:u w:val="single"/>
        </w:rPr>
        <w:t>承包人应拟派强有力的现场管理班子，提供的项目技术负责人、施工员、劳务员、质量员、安全员、材料员、机械员、资料员等人员名单，须有相应的资格证或上岗证。投标所报的主要施工管理人员必须与中标后实际施工时人员名单相一致。现场管理人员原则上不得变更</w:t>
      </w:r>
      <w:r>
        <w:rPr>
          <w:rFonts w:hint="eastAsia" w:ascii="仿宋" w:hAnsi="仿宋" w:eastAsia="仿宋" w:cs="仿宋"/>
          <w:color w:val="auto"/>
          <w:sz w:val="24"/>
          <w:szCs w:val="24"/>
          <w:u w:val="single"/>
        </w:rPr>
        <w:t>，承包人不得随意擅自更换项目组织机构人员，承包人确需更换项目组织机构人员时，必须征得发包人同意，并应在更换前14日通知发包人和监理人。</w:t>
      </w:r>
      <w:r>
        <w:rPr>
          <w:rFonts w:hint="eastAsia" w:ascii="仿宋" w:hAnsi="仿宋" w:eastAsia="仿宋" w:cs="仿宋"/>
          <w:b/>
          <w:color w:val="auto"/>
          <w:sz w:val="24"/>
          <w:szCs w:val="24"/>
          <w:u w:val="single"/>
        </w:rPr>
        <w:t>除克建发【2011】210号文件中规定的第二条第（二）、（四）条款除外。技术负责人、安全员、质检员变更，承包人应向发包人支付伍万元/人次的违约金；其他管理人员变更，承包人应向发包人支付叁万元/人次的违约金。施工现场项目管理人员变更执行克建发【2011】210号文。</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承包人主要施工管理人员擅自离开施工现场的违约责任：</w:t>
      </w:r>
      <w:r>
        <w:rPr>
          <w:rFonts w:hint="eastAsia" w:ascii="仿宋" w:hAnsi="仿宋" w:eastAsia="仿宋" w:cs="仿宋"/>
          <w:color w:val="auto"/>
          <w:sz w:val="24"/>
          <w:szCs w:val="24"/>
          <w:u w:val="single"/>
        </w:rPr>
        <w:t>每发生一次，向发包人支付签约合同价格5‰的违约金。并无条件予以纠正。由此造成的责任和损失由承包人自行承担。</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还应执行：</w:t>
      </w:r>
    </w:p>
    <w:p>
      <w:pPr>
        <w:numPr>
          <w:ilvl w:val="0"/>
          <w:numId w:val="11"/>
        </w:numPr>
        <w:spacing w:line="360" w:lineRule="auto"/>
        <w:rPr>
          <w:rFonts w:hint="eastAsia" w:ascii="仿宋" w:hAnsi="仿宋" w:eastAsia="仿宋" w:cs="仿宋"/>
          <w:b/>
          <w:color w:val="auto"/>
          <w:sz w:val="24"/>
          <w:szCs w:val="24"/>
          <w:u w:val="single"/>
        </w:rPr>
      </w:pPr>
      <w:r>
        <w:rPr>
          <w:rFonts w:hint="eastAsia" w:ascii="仿宋" w:hAnsi="仿宋" w:eastAsia="仿宋" w:cs="仿宋"/>
          <w:b/>
          <w:bCs/>
          <w:color w:val="auto"/>
          <w:kern w:val="0"/>
          <w:sz w:val="24"/>
          <w:szCs w:val="24"/>
          <w:u w:val="single"/>
        </w:rPr>
        <w:t>建筑施工工地作业人员实名制管理执行克劳社发【2012】15号文。</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②关于安全员每天在施工现场的时间要求：承包人在项目实施过程中的安全员应为投标文件中所报的安全员，并经发包人认可。每天常驻施工现场。负责协调承包人在工程建设全过程的各项协调安全工作，随时解决施工过程中出现的安全问题。承包人安全员短期（指1小时及以下）离开施工现场时，应事先征得发包人同意，并委派代表行其职责。承包人安全员离开施工现场1小时以上的，必须有书面请假报告，并由施工企业法定代表人、建设单位项目负责人以及总监理工程师签字同意，并加盖单位公章。安全员必须出席由发包人及监理单位主持的每周例会，并书面汇报本周安全情况并提出下周安全计划及重要协调会。未经允许安全员不在岗每发生一次，按实际情况及造成的损失，承包人向发包人支付5000元至20000元不等的违约金。并无条件予以更换安全员。由此造成的责任和损失由承包人自行承担。</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③承包人配置在本工程的造价人员必须根据工程建设进度随时跟踪、收集工程变更及各项经济签证资料，在合同规定的时间内编制出预算书，并与洽商、签证、变更资料一同报送监理人和发包人审核，以确认变更价款。承包人派专人负责款项申请，承包人未在规定时间内提供相应资料的，发包人有权不予确认且每发生一次向发包人支付签约合同价款1%的违约金。并无条件予以纠正，由此造成的一切责任和损失均由承包人承担。</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④承包人配备在本工程项目的专职的安全员必须满足国家相关法律法规要求。</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⑤尽管承包人已按投标文件中所列的数量派遣了施工管理各类人员，但若监理人或发包人认为这些人员仍不足以适应现场施工的需要并不能保证工程进度时，监理人有权要求承包人继续增派或雇用这类人员并书面通知承包人。承包人在接到通知后应立即执行监理人的指示，不得无故拖延。</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⑥特殊工种（电工、电梯工、起重工、电焊工、驾驶员、爆破工等）必须经过专业培训，并持有效合格证或上岗证上岗。监理人有权随时检查承包人派驻现场人员的上岗资格证明情况。如发现无证上岗人员，每发生一次，向发包人支付签约合同价格5‰的违约金。并无条件予以纠正。由此造成的责任和损失由承包人自行承担。</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⑦承包人在施工过程中，施工阶段所投入的各类机械设备数量、规格及型号以及劳动力人数应与投标文件中所列的各类机械设备数量、规格、型号以及劳动力人数一致；如在实际施工过程中，投标文件中所列机械设备不能满足施工需要、投入劳动力数量少于投标文件的，中标人应无条件予以更换或增加；由此造成的工期延误和费用的增加均由中标人自行承担。招标人将保留进一步向中标人索赔的权利</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因中标人原因导致项目进度滞后于施工组设计划安排而影响到项目总工期的，每延误一天，中标人向招标人支付签约合同价格15‰的违约金</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3.5 分包</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3.5.1 分包的一般约定</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禁止分包的工程包括：</w:t>
      </w:r>
      <w:r>
        <w:rPr>
          <w:rFonts w:hint="eastAsia" w:ascii="仿宋" w:hAnsi="仿宋" w:eastAsia="仿宋" w:cs="仿宋"/>
          <w:color w:val="auto"/>
          <w:sz w:val="24"/>
          <w:szCs w:val="24"/>
          <w:u w:val="single"/>
        </w:rPr>
        <w:t>（1）主体结构和关键性工作。承包人违反本款规定分包的，发包人和监理人向承包人发出整改通知，要求其在指定的期限内改正或解除合同。承包人应承担其违约所引起的费用增加和（或）工期延误及一切责任，并向发包人支付签约合同价格3％的违约金。</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（2）承包人不得转包或转让所承包的全部或部分工程，也不得肢解所承包的工程以分包的名义分别转包给他人。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3.5.2分包的确定</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允许分包的专业工程包括：</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其他关于分包的约定：无</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3.5.4 分包合同价款</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关于分包合同价款支付的约定：</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3.6 工程照管与成品、半成品保护</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承包人负责照管工程及工程相关的材料、工程设备的起始时间：</w:t>
      </w:r>
      <w:r>
        <w:rPr>
          <w:rFonts w:hint="eastAsia" w:ascii="仿宋" w:hAnsi="仿宋" w:eastAsia="仿宋" w:cs="仿宋"/>
          <w:color w:val="auto"/>
          <w:kern w:val="0"/>
          <w:sz w:val="24"/>
          <w:szCs w:val="24"/>
          <w:u w:val="single"/>
        </w:rPr>
        <w:t>除</w:t>
      </w:r>
      <w:r>
        <w:rPr>
          <w:rFonts w:hint="eastAsia" w:ascii="仿宋" w:hAnsi="仿宋" w:eastAsia="仿宋" w:cs="仿宋"/>
          <w:color w:val="auto"/>
          <w:sz w:val="24"/>
          <w:szCs w:val="24"/>
          <w:u w:val="single"/>
        </w:rPr>
        <w:t>执行通用合同条款本条款外，还应执行：①工程竣工验收移交前，承包人负责对工程照管、已完工程成品、半成品保护工作，承包人负责对其采取必要的措施进行维护，使其免于损毁或破坏。如出现损毁或破坏，承包人须及时进行修复并承担由此发生的一切费用。工程接收证书颁发时，尚有部分未竣工工程的，承包人还应负责该未竣工工程的照管和维护工作，直至竣工后移交给发包人为止。②如果在承包人负责照管期间，由于不可抗力以外的原因，致使其工程、货物等发生任何损失或损害，承包人应自行承担风险和费用，并修复该项损失或损害，使其符合合同约定。③承包人不按要求对工程成品进行管护，发包人有权委托其他承包人进行该项工作，费用由承包人承担。</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3.7 履约担保</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承包人是否提供履约担保：</w:t>
      </w:r>
      <w:r>
        <w:rPr>
          <w:rFonts w:hint="eastAsia" w:ascii="仿宋" w:hAnsi="仿宋" w:eastAsia="仿宋" w:cs="仿宋"/>
          <w:color w:val="auto"/>
          <w:sz w:val="24"/>
          <w:szCs w:val="24"/>
          <w:u w:val="single"/>
        </w:rPr>
        <w:t>无</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承包人提供履约担保的形式、金额及期限：</w:t>
      </w:r>
      <w:r>
        <w:rPr>
          <w:rFonts w:hint="eastAsia" w:ascii="仿宋" w:hAnsi="仿宋" w:eastAsia="仿宋" w:cs="仿宋"/>
          <w:color w:val="auto"/>
          <w:sz w:val="24"/>
          <w:szCs w:val="24"/>
          <w:u w:val="single"/>
        </w:rPr>
        <w:t>无。</w:t>
      </w:r>
    </w:p>
    <w:p>
      <w:pPr>
        <w:pStyle w:val="5"/>
        <w:spacing w:before="0" w:after="0"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4. 监理人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4.1监理人的一般规定</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关于监理人的监理内容：</w:t>
      </w:r>
      <w:r>
        <w:rPr>
          <w:rFonts w:hint="eastAsia" w:ascii="仿宋" w:hAnsi="仿宋" w:eastAsia="仿宋" w:cs="仿宋"/>
          <w:color w:val="auto"/>
          <w:sz w:val="24"/>
          <w:szCs w:val="24"/>
          <w:u w:val="single"/>
        </w:rPr>
        <w:t>监理合同约定的监理工作内容</w:t>
      </w:r>
      <w:r>
        <w:rPr>
          <w:rFonts w:hint="eastAsia" w:ascii="仿宋" w:hAnsi="仿宋" w:eastAsia="仿宋" w:cs="仿宋"/>
          <w:color w:val="auto"/>
          <w:sz w:val="24"/>
          <w:szCs w:val="24"/>
        </w:rPr>
        <w:t>。</w:t>
      </w:r>
    </w:p>
    <w:p>
      <w:pPr>
        <w:adjustRightInd w:val="0"/>
        <w:snapToGrid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关于监理人的监理权限：</w:t>
      </w:r>
      <w:r>
        <w:rPr>
          <w:rFonts w:hint="eastAsia" w:ascii="仿宋" w:hAnsi="仿宋" w:eastAsia="仿宋" w:cs="仿宋"/>
          <w:color w:val="auto"/>
          <w:sz w:val="24"/>
          <w:szCs w:val="24"/>
          <w:u w:val="single"/>
        </w:rPr>
        <w:t>①须经发包人事先批准行使的权力：涉及工程开工、竣工、工期变化、工程变更、工程范围变化、工程计量、工程费用变化等事项须发包人事先批准。发包人在合同履行期间有权根据具体情况调整监理人须经发包人批准的权力范围并及时通知承包人。②当监理人认为出现了危及生命、工程或毗邻财产等安全的紧急事件时，在不免除合同规定的承包人责任的情况下，监理人可以指示承包人实施为消除或减少这种危险所必须进行的工作，即使未经发包人的事先批准，承包人也应立即遵照执行并在事件发生后2日内形成书面材料报发包人审批。③监理人应公正地履行职责，在按合同要求由监理人发出指示、表示意见、审批文件、确定价格以及采取可能涉及发包人或承包人的义务和权利的行动时，应认真查清事实，并与双方充分协商后作出公正的决定。</w:t>
      </w:r>
    </w:p>
    <w:p>
      <w:pPr>
        <w:adjustRightInd w:val="0"/>
        <w:snapToGrid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关于监理人在施工现场的办公场所、生活场所的提供和费用承担的约定：</w:t>
      </w:r>
      <w:r>
        <w:rPr>
          <w:rFonts w:hint="eastAsia" w:ascii="仿宋" w:hAnsi="仿宋" w:eastAsia="仿宋" w:cs="仿宋"/>
          <w:color w:val="auto"/>
          <w:sz w:val="24"/>
          <w:szCs w:val="24"/>
          <w:u w:val="single"/>
        </w:rPr>
        <w:t>执行通用合同条款本条款。</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4.4 商定或确定</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在发包人和承包人不能通过协商达成一致意见时，发包人授权监理人对以下事项进行确定：</w:t>
      </w:r>
    </w:p>
    <w:p>
      <w:pPr>
        <w:spacing w:line="360" w:lineRule="auto"/>
        <w:ind w:left="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(1)替代材料价格的确认；</w:t>
      </w:r>
    </w:p>
    <w:p>
      <w:pPr>
        <w:spacing w:line="360" w:lineRule="auto"/>
        <w:ind w:left="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(2)变更引起的工期调整；</w:t>
      </w:r>
    </w:p>
    <w:p>
      <w:pPr>
        <w:spacing w:line="360" w:lineRule="auto"/>
        <w:ind w:left="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(3)变更估价（变更工作的单价确定）；</w:t>
      </w:r>
    </w:p>
    <w:p>
      <w:pPr>
        <w:spacing w:line="360" w:lineRule="auto"/>
        <w:ind w:left="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(4)计日工（变更工作的单价）；</w:t>
      </w:r>
    </w:p>
    <w:p>
      <w:pPr>
        <w:spacing w:line="360" w:lineRule="auto"/>
        <w:ind w:left="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(5)法律变化引起的调整（合同价格和工期）；</w:t>
      </w:r>
    </w:p>
    <w:p>
      <w:pPr>
        <w:spacing w:line="360" w:lineRule="auto"/>
        <w:ind w:left="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(6)因承包人违约解除合同后，承包人实际完成的工作对应的合同价款等的确定；</w:t>
      </w:r>
    </w:p>
    <w:p>
      <w:pPr>
        <w:spacing w:line="360" w:lineRule="auto"/>
        <w:ind w:left="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(7)因不可抗力解除合同后，确定发包人应支付的款项；</w:t>
      </w:r>
    </w:p>
    <w:p>
      <w:pPr>
        <w:spacing w:line="360" w:lineRule="auto"/>
        <w:ind w:left="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(8)合同当事人对是否属于不可抗力或其损失的意见不一致的。</w:t>
      </w:r>
    </w:p>
    <w:p>
      <w:pPr>
        <w:pStyle w:val="5"/>
        <w:spacing w:before="0" w:after="0"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5. 工程质量</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 质量要求</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bCs/>
          <w:color w:val="auto"/>
          <w:sz w:val="24"/>
          <w:szCs w:val="24"/>
          <w:u w:val="single"/>
        </w:rPr>
        <w:t>本工程</w:t>
      </w:r>
      <w:r>
        <w:rPr>
          <w:rFonts w:hint="eastAsia" w:ascii="仿宋" w:hAnsi="仿宋" w:eastAsia="仿宋" w:cs="仿宋"/>
          <w:color w:val="auto"/>
          <w:sz w:val="24"/>
          <w:szCs w:val="24"/>
          <w:u w:val="single"/>
        </w:rPr>
        <w:t>按国家、部委和设计要求的规范和标准，同时执行新疆维吾尔自治区、克拉玛依市建设工程竣工备案实施的具体要求。</w:t>
      </w:r>
    </w:p>
    <w:p>
      <w:pPr>
        <w:spacing w:line="360" w:lineRule="auto"/>
        <w:ind w:firstLine="480" w:firstLineChars="200"/>
        <w:jc w:val="left"/>
        <w:rPr>
          <w:rFonts w:hint="eastAsia" w:ascii="仿宋" w:hAnsi="仿宋" w:eastAsia="仿宋" w:cs="仿宋"/>
          <w:b/>
          <w:color w:val="auto"/>
          <w:sz w:val="24"/>
          <w:szCs w:val="24"/>
          <w:u w:val="single"/>
        </w:rPr>
      </w:pPr>
      <w:r>
        <w:rPr>
          <w:rFonts w:hint="eastAsia" w:ascii="仿宋" w:hAnsi="仿宋" w:eastAsia="仿宋" w:cs="仿宋"/>
          <w:color w:val="auto"/>
          <w:sz w:val="24"/>
          <w:szCs w:val="24"/>
        </w:rPr>
        <w:t>5.1.1 特殊质量标准和要求：</w:t>
      </w:r>
      <w:r>
        <w:rPr>
          <w:rFonts w:hint="eastAsia" w:ascii="仿宋" w:hAnsi="仿宋" w:eastAsia="仿宋" w:cs="仿宋"/>
          <w:b/>
          <w:color w:val="auto"/>
          <w:sz w:val="24"/>
          <w:szCs w:val="24"/>
          <w:u w:val="single"/>
        </w:rPr>
        <w:t>无。</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关于工程奖项的约定：</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5.3 隐蔽工程检查</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5.3.2承包人提前通知监理人隐蔽工程检查的期限的约定</w:t>
      </w:r>
      <w:r>
        <w:rPr>
          <w:rFonts w:hint="eastAsia" w:ascii="仿宋" w:hAnsi="仿宋" w:eastAsia="仿宋" w:cs="仿宋"/>
          <w:b/>
          <w:color w:val="auto"/>
          <w:sz w:val="24"/>
          <w:szCs w:val="24"/>
          <w:u w:val="single"/>
        </w:rPr>
        <w:t>：</w:t>
      </w:r>
      <w:r>
        <w:rPr>
          <w:rFonts w:hint="eastAsia" w:ascii="仿宋" w:hAnsi="仿宋" w:eastAsia="仿宋" w:cs="仿宋"/>
          <w:color w:val="auto"/>
          <w:sz w:val="24"/>
          <w:szCs w:val="24"/>
          <w:u w:val="single"/>
        </w:rPr>
        <w:t>除执行通用合同条款本条款外，还应执行：根据工程进度及监理工程师指令及时向监理工程师递交隐蔽工程验收通知、工程质量自检报告、竣工验收申请报告等。</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监理人不能按时进行检查时，应提前</w:t>
      </w:r>
      <w:r>
        <w:rPr>
          <w:rFonts w:hint="eastAsia" w:ascii="仿宋" w:hAnsi="仿宋" w:eastAsia="仿宋" w:cs="仿宋"/>
          <w:color w:val="auto"/>
          <w:sz w:val="24"/>
          <w:szCs w:val="24"/>
          <w:u w:val="single"/>
        </w:rPr>
        <w:t xml:space="preserve"> 24  </w:t>
      </w:r>
      <w:r>
        <w:rPr>
          <w:rFonts w:hint="eastAsia" w:ascii="仿宋" w:hAnsi="仿宋" w:eastAsia="仿宋" w:cs="仿宋"/>
          <w:color w:val="auto"/>
          <w:sz w:val="24"/>
          <w:szCs w:val="24"/>
        </w:rPr>
        <w:t>小时提交书面延期要求。</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关于延期最长不得超过：</w:t>
      </w:r>
      <w:r>
        <w:rPr>
          <w:rFonts w:hint="eastAsia" w:ascii="仿宋" w:hAnsi="仿宋" w:eastAsia="仿宋" w:cs="仿宋"/>
          <w:color w:val="auto"/>
          <w:sz w:val="24"/>
          <w:szCs w:val="24"/>
          <w:u w:val="single"/>
        </w:rPr>
        <w:t xml:space="preserve"> 48 </w:t>
      </w:r>
      <w:r>
        <w:rPr>
          <w:rFonts w:hint="eastAsia" w:ascii="仿宋" w:hAnsi="仿宋" w:eastAsia="仿宋" w:cs="仿宋"/>
          <w:color w:val="auto"/>
          <w:sz w:val="24"/>
          <w:szCs w:val="24"/>
        </w:rPr>
        <w:t>小时。</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5.4不合格工程处理</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除执行通用合同条款外，还应执行：①由于承包人使用了不合格材料和工程设备造成了工程损害，监理人可以随时发出指示，要求承包人立即采取措施进行补救，直至彻底清除工程的不合格部位以及不合格的材料或工程设备，由此增加的费用和工期延误责任由承包人承担。②若承包人无故拖延或拒绝执行监理人的指示，则发包人有权委托其它承包人执行该项指示，由此增加的费用和工期延误的责任，均由承包人承担。</w:t>
      </w:r>
    </w:p>
    <w:p>
      <w:pPr>
        <w:pStyle w:val="5"/>
        <w:spacing w:before="0" w:after="0"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 安全文明施工与环境保护</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6.1安全文明施工</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6.1.1 项目安全生产的达标目标及相应事项的约定：</w:t>
      </w:r>
      <w:r>
        <w:rPr>
          <w:rFonts w:hint="eastAsia" w:ascii="仿宋" w:hAnsi="仿宋" w:eastAsia="仿宋" w:cs="仿宋"/>
          <w:color w:val="auto"/>
          <w:sz w:val="24"/>
          <w:szCs w:val="24"/>
          <w:u w:val="single"/>
        </w:rPr>
        <w:t>承包人必须严格执行《中华人民共和国安全生产法》、《中华人民共和国建筑法》、《安全生产许可证条例》和《建筑工程安全生产管理条例》等法律、法规及新疆维吾尔自治区、克拉玛依《克拉玛依市建筑工程安全文明施工一标准化指南》等有关安全文明施工管理的相关规定，施工现场由专职持证上岗的安全员负责安全事宜。</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6.1.4 关于治安保卫的特别约定：</w:t>
      </w:r>
      <w:r>
        <w:rPr>
          <w:rFonts w:hint="eastAsia" w:ascii="仿宋" w:hAnsi="仿宋" w:eastAsia="仿宋" w:cs="仿宋"/>
          <w:color w:val="auto"/>
          <w:sz w:val="24"/>
          <w:szCs w:val="24"/>
          <w:u w:val="single"/>
        </w:rPr>
        <w:t>执行通用合同条款本条款</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关于编制施工场地治安管理计划的约定：</w:t>
      </w:r>
      <w:r>
        <w:rPr>
          <w:rFonts w:hint="eastAsia" w:ascii="仿宋" w:hAnsi="仿宋" w:eastAsia="仿宋" w:cs="仿宋"/>
          <w:color w:val="auto"/>
          <w:sz w:val="24"/>
          <w:szCs w:val="24"/>
          <w:u w:val="single"/>
        </w:rPr>
        <w:t>执行通用合同条款本条款。</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6.1.5 文明施工</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合同当事人对文明施工的要求：除执行通用合同条款外还应执行：</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①承包人应采取有效管理措施，保证施工现场特种作业人员均持有有效证件，经过安全培训合格后持证上岗。</w:t>
      </w:r>
    </w:p>
    <w:p>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②承包人必须认真组织实施施工组织设计中制定的安全防护、文明施工措施，严格执行《消防法》、《建设工程施工现场消防安全技术规范》及自治区、克拉玛依市的相关安全消防管理规定。承包人必须根据现场情况制定严格的用火、用电制度和消防设施管理制度，严禁现场吸烟和违章用水、用电以及其他可能导致火灾事故和人身伤亡事故的行为。</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③承包人在施工过程中，遵守有关环境保护的法律、法规，履行环境保护义务，并对违反法律、法规所造成的环境破坏、人身伤害和财产损失负责。承包人应按批准的施工环保措施计划有序地堆放和处理施工废弃物，避免对环境造成的破坏，保持现场清洁，不得出现不必要的障碍。各类设备和材料应妥善存放，并随时将废料、垃圾及不再需要的临时设施清运出指定地点内。当承包人未能按要求完成清理工作，发包人可指定他人完成此项工作，其费用从发包人向承包人支付的的任何款项中扣除。</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④承包人加强对噪音、粉尘、废气、废水和废油的控制，降低噪音、控制粉尘和废气浓度，做好废水和废油的治理和排放。</w:t>
      </w:r>
    </w:p>
    <w:p>
      <w:pPr>
        <w:spacing w:line="360" w:lineRule="auto"/>
        <w:ind w:firstLine="480" w:firstLineChars="200"/>
        <w:rPr>
          <w:rFonts w:hint="eastAsia" w:ascii="仿宋" w:hAnsi="仿宋" w:eastAsia="仿宋" w:cs="仿宋"/>
          <w:b/>
          <w:color w:val="auto"/>
          <w:sz w:val="24"/>
          <w:szCs w:val="24"/>
          <w:u w:val="single"/>
        </w:rPr>
      </w:pPr>
      <w:r>
        <w:rPr>
          <w:rFonts w:hint="eastAsia" w:ascii="仿宋" w:hAnsi="仿宋" w:eastAsia="仿宋" w:cs="仿宋"/>
          <w:color w:val="auto"/>
          <w:sz w:val="24"/>
          <w:szCs w:val="24"/>
          <w:u w:val="single"/>
        </w:rPr>
        <w:t>⑤因承包人任意堆放、排放废水废油或弃置施工废弃物造成妨碍公共交通、影响城镇居民生活、危及居民安全、破坏周边环境等后果，承包人承担一切责任和费用。</w:t>
      </w:r>
    </w:p>
    <w:p>
      <w:pPr>
        <w:adjustRightInd w:val="0"/>
        <w:snapToGrid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⑥施工场地周围地下管线和邻近建筑物、构筑物（含文物保护建筑）、古树名木的保护要求及费用承担：承包人被认为在送交投标文件之前，已进行了现场考察，对现场和其周围环境以及可得到的有关资料进行了查看和核查，承包人已取得可能对投标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w:t>
      </w:r>
    </w:p>
    <w:p>
      <w:pPr>
        <w:adjustRightInd w:val="0"/>
        <w:snapToGrid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⑦做好施工现场（包括进出口附近道路）的整洁卫生，搞好文明施工，工程验收一周前应作好清场工作。</w:t>
      </w:r>
    </w:p>
    <w:p>
      <w:pPr>
        <w:adjustRightInd w:val="0"/>
        <w:snapToGrid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⑧减少夜间噪声：承包人不得在夜间安排噪声很大的机械施工。若承包人违反有关安全文明施工、扬尘治理的有关规定，情节严重的发包人有权终止合同。由此造成政府相关部门处罚的亦由承包人自行承担。</w:t>
      </w:r>
    </w:p>
    <w:p>
      <w:pPr>
        <w:adjustRightInd w:val="0"/>
        <w:snapToGrid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⑨安全、文明施工不符合施工要求的，承包人承担一切责任和费用。并向发包人支付合同价款千分之一至千分之五的违约金。违约金可从发包人向承包人支付的任何款项中扣除。同时造成政府相关部门处罚的亦由承包人自行承担。</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6.1.6 关于安全文明施工费及安全防护、文明施工措施费支付比例和支付期限的约定：</w:t>
      </w:r>
      <w:r>
        <w:rPr>
          <w:rFonts w:hint="eastAsia" w:ascii="仿宋" w:hAnsi="仿宋" w:eastAsia="仿宋" w:cs="仿宋"/>
          <w:color w:val="auto"/>
          <w:sz w:val="24"/>
          <w:szCs w:val="24"/>
          <w:u w:val="single"/>
        </w:rPr>
        <w:t>执行通用合同条款本条款</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安全文明施工费：a、安全文明施工费包括的内容和使用范围，符合国家现行有关文件和计量规范的规定。b、发包人在工程开工后的28天内预付不低于安全文明施工费总额的50%，其余部分按照提前安排的原则进行分解，与进度款同期支付。c、承包人对安全文明施工费应专款专用，在财务账目中应单独列项备查，不得挪作他用，否则发包人有权要求其限期改正；逾期未改正的，造成的损失和延误的工期应由承包人承担。</w:t>
      </w:r>
    </w:p>
    <w:p>
      <w:pPr>
        <w:pStyle w:val="5"/>
        <w:spacing w:before="0" w:after="0"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7. 工期和进度</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7.1 施工组织设计</w:t>
      </w:r>
    </w:p>
    <w:p>
      <w:pPr>
        <w:autoSpaceDE w:val="0"/>
        <w:autoSpaceDN w:val="0"/>
        <w:adjustRightInd w:val="0"/>
        <w:spacing w:line="360" w:lineRule="auto"/>
        <w:ind w:firstLine="480" w:firstLineChars="200"/>
        <w:jc w:val="left"/>
        <w:rPr>
          <w:rFonts w:hint="eastAsia" w:ascii="仿宋" w:hAnsi="仿宋" w:eastAsia="仿宋" w:cs="仿宋"/>
          <w:b/>
          <w:color w:val="auto"/>
          <w:kern w:val="0"/>
          <w:sz w:val="24"/>
          <w:szCs w:val="24"/>
        </w:rPr>
      </w:pPr>
      <w:r>
        <w:rPr>
          <w:rFonts w:hint="eastAsia" w:ascii="仿宋" w:hAnsi="仿宋" w:eastAsia="仿宋" w:cs="仿宋"/>
          <w:color w:val="auto"/>
          <w:sz w:val="24"/>
          <w:szCs w:val="24"/>
        </w:rPr>
        <w:t>7.1.1 合</w:t>
      </w:r>
      <w:r>
        <w:rPr>
          <w:rFonts w:hint="eastAsia" w:ascii="仿宋" w:hAnsi="仿宋" w:eastAsia="仿宋" w:cs="仿宋"/>
          <w:color w:val="auto"/>
          <w:kern w:val="0"/>
          <w:sz w:val="24"/>
          <w:szCs w:val="24"/>
        </w:rPr>
        <w:t>同当事人约定的施工组织设计应包括的其他内容：</w:t>
      </w:r>
      <w:r>
        <w:rPr>
          <w:rFonts w:hint="eastAsia" w:ascii="仿宋" w:hAnsi="仿宋" w:eastAsia="仿宋" w:cs="仿宋"/>
          <w:color w:val="auto"/>
          <w:kern w:val="0"/>
          <w:sz w:val="24"/>
          <w:szCs w:val="24"/>
          <w:u w:val="single"/>
        </w:rPr>
        <w:t>除执行通用合同条款约定内容外，</w:t>
      </w:r>
      <w:r>
        <w:rPr>
          <w:rFonts w:hint="eastAsia" w:ascii="仿宋" w:hAnsi="仿宋" w:eastAsia="仿宋" w:cs="仿宋"/>
          <w:color w:val="auto"/>
          <w:sz w:val="24"/>
          <w:szCs w:val="24"/>
          <w:u w:val="single"/>
        </w:rPr>
        <w:t>承包人应结合本工程实际情况编制涵盖合同范围内全部工作内容的施工组织设计文件</w:t>
      </w:r>
      <w:r>
        <w:rPr>
          <w:rFonts w:hint="eastAsia" w:ascii="仿宋" w:hAnsi="仿宋" w:eastAsia="仿宋" w:cs="仿宋"/>
          <w:color w:val="auto"/>
          <w:sz w:val="24"/>
          <w:szCs w:val="24"/>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 xml:space="preserve">7.1.2 </w:t>
      </w:r>
      <w:r>
        <w:rPr>
          <w:rFonts w:hint="eastAsia" w:ascii="仿宋" w:hAnsi="仿宋" w:eastAsia="仿宋" w:cs="仿宋"/>
          <w:color w:val="auto"/>
          <w:kern w:val="0"/>
          <w:sz w:val="24"/>
          <w:szCs w:val="24"/>
        </w:rPr>
        <w:t>施工组织设计的提交和修改</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承包人提交详细施工组织设计的期限的约定：</w:t>
      </w:r>
      <w:r>
        <w:rPr>
          <w:rFonts w:hint="eastAsia" w:ascii="仿宋" w:hAnsi="仿宋" w:eastAsia="仿宋" w:cs="仿宋"/>
          <w:color w:val="auto"/>
          <w:sz w:val="24"/>
          <w:szCs w:val="24"/>
          <w:u w:val="single"/>
        </w:rPr>
        <w:t>在会审图纸和设计交底完成后7日内向监理人提交详细的施工组织设计、施工进度计划及开工申请报告。其中施工总平面图应在搭设临设前7天提供，分部分项工程施工方案应在该项目开工前7天提供。如未能按期提供，由此引起的延误由承包人负责，每延误一天，向发包人支付签约合同价格15‰违约金。当月报表，下月计划应在当月20日提交，否则工程进度款相应延期支付。上述资料应不少于一式伍份。</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发包人和监理人在收到详细的施工组织设计后确认或提出修改意见的期限：</w:t>
      </w:r>
      <w:r>
        <w:rPr>
          <w:rFonts w:hint="eastAsia" w:ascii="仿宋" w:hAnsi="仿宋" w:eastAsia="仿宋" w:cs="仿宋"/>
          <w:color w:val="auto"/>
          <w:sz w:val="24"/>
          <w:szCs w:val="24"/>
          <w:u w:val="single"/>
        </w:rPr>
        <w:t>执行通用合同条款本条款。</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7.2 施工进度计划</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承包人编制总进度计划、月进度计划表、周进度计划报发包人和监理人确认，若承包人未按照上报的总进度计划时间内完成施工，则造成的一切损失由承包人承担。</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7.2.2 施工进度计划的修订</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发包人和监理人在收到修订的施工进度计划后确认或提出修改意见的期限：</w:t>
      </w:r>
      <w:r>
        <w:rPr>
          <w:rFonts w:hint="eastAsia" w:ascii="仿宋" w:hAnsi="仿宋" w:eastAsia="仿宋" w:cs="仿宋"/>
          <w:bCs/>
          <w:color w:val="auto"/>
          <w:kern w:val="0"/>
          <w:sz w:val="24"/>
          <w:szCs w:val="24"/>
          <w:u w:val="single"/>
        </w:rPr>
        <w:t>发包人和监理人应在收到修订的施工进度计划后7天内完成审核和批准或提出修改意见</w:t>
      </w:r>
      <w:r>
        <w:rPr>
          <w:rFonts w:hint="eastAsia" w:ascii="仿宋" w:hAnsi="仿宋" w:eastAsia="仿宋" w:cs="仿宋"/>
          <w:bCs/>
          <w:color w:val="auto"/>
          <w:sz w:val="24"/>
          <w:szCs w:val="24"/>
          <w:u w:val="single"/>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除执行通用合同条款外，还应执行：</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①承包人必须按批准的进度计划组织施工，接受发包人代表和监理人对工程进度的检查监督，无论何种原因造成工程的实际进度与合同进度计划不符时，承包人应按监理人的指示在7天内提交一份修订的进度计划报送监理人审批。批准后的修订进度计划作为实际实施的合同进度计划。承包人无权就加快进度采取措施提出追加合同价格。发包人有权对已批准的施工进度计划设置工程进度关键节点，若工程进度关键节点不能按期完成，参照总体进度计划未按时完成进行处罚。</w:t>
      </w:r>
    </w:p>
    <w:p>
      <w:pPr>
        <w:kinsoku w:val="0"/>
        <w:overflowPunct w:val="0"/>
        <w:autoSpaceDE w:val="0"/>
        <w:autoSpaceDN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②承包人在施工过程中，不允许以任何理由拖延工程。无论何种原因造成施工进度计划拖后，承包人均应按监理人的指示，采取有效措施加快工程进度。承包人应在向监理人报送修订进度计划的同时，编制一份赶工措施报告报送监理人审批，加快工程进度措施应以保证工程按期完工为前提调整和修改进度计划。承包人无权因此采取此种措施而获得任何追加款项。</w:t>
      </w:r>
    </w:p>
    <w:p>
      <w:pPr>
        <w:kinsoku w:val="0"/>
        <w:overflowPunct w:val="0"/>
        <w:autoSpaceDE w:val="0"/>
        <w:autoSpaceDN w:val="0"/>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7.3 开工</w:t>
      </w:r>
    </w:p>
    <w:p>
      <w:pPr>
        <w:kinsoku w:val="0"/>
        <w:overflowPunct w:val="0"/>
        <w:autoSpaceDE w:val="0"/>
        <w:autoSpaceDN w:val="0"/>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7.3.1 开工准备</w:t>
      </w:r>
    </w:p>
    <w:p>
      <w:pPr>
        <w:kinsoku w:val="0"/>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关于承包人提交</w:t>
      </w:r>
      <w:r>
        <w:rPr>
          <w:rFonts w:hint="eastAsia" w:ascii="仿宋" w:hAnsi="仿宋" w:eastAsia="仿宋" w:cs="仿宋"/>
          <w:bCs/>
          <w:color w:val="auto"/>
          <w:kern w:val="0"/>
          <w:sz w:val="24"/>
          <w:szCs w:val="24"/>
        </w:rPr>
        <w:t>工程开工报审表的期限：</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kinsoku w:val="0"/>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关于发包人应完成的其他开工准备工作及期限：</w:t>
      </w:r>
      <w:r>
        <w:rPr>
          <w:rFonts w:hint="eastAsia" w:ascii="仿宋" w:hAnsi="仿宋" w:eastAsia="仿宋" w:cs="仿宋"/>
          <w:bCs/>
          <w:color w:val="auto"/>
          <w:sz w:val="24"/>
          <w:szCs w:val="24"/>
          <w:u w:val="single"/>
        </w:rPr>
        <w:t xml:space="preserve">开工日期前14天内。 </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关于承包人应完成的其他开工准备工作及期限：</w:t>
      </w:r>
      <w:r>
        <w:rPr>
          <w:rFonts w:hint="eastAsia" w:ascii="仿宋" w:hAnsi="仿宋" w:eastAsia="仿宋" w:cs="仿宋"/>
          <w:bCs/>
          <w:color w:val="auto"/>
          <w:sz w:val="24"/>
          <w:szCs w:val="24"/>
          <w:u w:val="single"/>
        </w:rPr>
        <w:t xml:space="preserve">开工日期前14天内。 </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7.3.2开工通知</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因发包人原因造成监理人未能在计划开工日期之日起</w:t>
      </w:r>
      <w:r>
        <w:rPr>
          <w:rFonts w:hint="eastAsia" w:ascii="仿宋" w:hAnsi="仿宋" w:eastAsia="仿宋" w:cs="仿宋"/>
          <w:bCs/>
          <w:color w:val="auto"/>
          <w:sz w:val="24"/>
          <w:szCs w:val="24"/>
          <w:u w:val="single"/>
        </w:rPr>
        <w:t xml:space="preserve"> 90 </w:t>
      </w:r>
      <w:r>
        <w:rPr>
          <w:rFonts w:hint="eastAsia" w:ascii="仿宋" w:hAnsi="仿宋" w:eastAsia="仿宋" w:cs="仿宋"/>
          <w:bCs/>
          <w:color w:val="auto"/>
          <w:sz w:val="24"/>
          <w:szCs w:val="24"/>
        </w:rPr>
        <w:t>天内发出开工通知的，承包人有权提出价格调整要求，或者解除合同。</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7.4 测量放线</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7.4.1发包人通过监理人向承包人提供测量基准点、基准线和水准点及其书面资料的期限：</w:t>
      </w:r>
      <w:r>
        <w:rPr>
          <w:rFonts w:hint="eastAsia" w:ascii="仿宋" w:hAnsi="仿宋" w:eastAsia="仿宋" w:cs="仿宋"/>
          <w:bCs/>
          <w:color w:val="auto"/>
          <w:sz w:val="24"/>
          <w:szCs w:val="24"/>
          <w:u w:val="single"/>
        </w:rPr>
        <w:t>执行通用合同条款本条款。</w:t>
      </w:r>
    </w:p>
    <w:p>
      <w:pPr>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还应执行：①承包人应根据本工程中规定的原始基准点、基准线和基准标高进行工程放线。承包人应负责对工程的所有部分正确定位，并应纠正在工程的位置、标高、尺寸或定线中的任何差错。承包人应根据国家测绘基准、测绘系统和工程测量技术规范，按上述基准点（线）以及本工程精度要求，测设施工控制网，并将施工控制网数据报送监理人审批。②承包人应负责管理好施工控制网点，若有丢失或损坏，应及时修复，其所需的管理和修复费用由承包人承担。工程竣工后应完好地移交给发包人。</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7.5 工期延误</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7.5.1 因发包人原因导致工期延误</w:t>
      </w:r>
    </w:p>
    <w:p>
      <w:pPr>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因发包人原因导致工期延误的其他情形：</w:t>
      </w:r>
      <w:r>
        <w:rPr>
          <w:rFonts w:hint="eastAsia" w:ascii="仿宋" w:hAnsi="仿宋" w:eastAsia="仿宋" w:cs="仿宋"/>
          <w:bCs/>
          <w:color w:val="auto"/>
          <w:sz w:val="24"/>
          <w:szCs w:val="24"/>
          <w:u w:val="single"/>
        </w:rPr>
        <w:t>无</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7.5.2 因承包人原因导致工期延误</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因承包人原因造成工期延误，逾期竣工违约金的计算方法为：</w:t>
      </w:r>
      <w:r>
        <w:rPr>
          <w:rFonts w:hint="eastAsia" w:ascii="仿宋" w:hAnsi="仿宋" w:eastAsia="仿宋" w:cs="仿宋"/>
          <w:b/>
          <w:bCs/>
          <w:color w:val="auto"/>
          <w:sz w:val="24"/>
          <w:szCs w:val="24"/>
          <w:u w:val="single"/>
        </w:rPr>
        <w:t>每延误一天工期，向发包人支付签约合同价格5‰的违约金。</w:t>
      </w:r>
    </w:p>
    <w:p>
      <w:pPr>
        <w:spacing w:line="360" w:lineRule="auto"/>
        <w:ind w:firstLine="482" w:firstLineChars="200"/>
        <w:jc w:val="left"/>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rPr>
        <w:t>因承包人原因造成工期延误，逾期竣工违约金的上限：</w:t>
      </w:r>
      <w:r>
        <w:rPr>
          <w:rFonts w:hint="eastAsia" w:ascii="仿宋" w:hAnsi="仿宋" w:eastAsia="仿宋" w:cs="仿宋"/>
          <w:b/>
          <w:bCs/>
          <w:color w:val="auto"/>
          <w:sz w:val="24"/>
          <w:szCs w:val="24"/>
          <w:u w:val="single"/>
        </w:rPr>
        <w:t>工程审定竣工结算价款的30%。当误期赔偿费超过限额后，发包人有权单方面解除合同。不论工期有无推迟或延误，材料价差均不予调整。</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7.6 不利物质条件</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不利物质条件的其他情形和有关约定：</w:t>
      </w:r>
      <w:r>
        <w:rPr>
          <w:rFonts w:hint="eastAsia" w:ascii="仿宋" w:hAnsi="仿宋" w:eastAsia="仿宋" w:cs="仿宋"/>
          <w:bCs/>
          <w:color w:val="auto"/>
          <w:sz w:val="24"/>
          <w:szCs w:val="24"/>
          <w:u w:val="single"/>
        </w:rPr>
        <w:t>无。</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7.7异常恶劣的气候条件</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发包人和承包人同意以下情形视为异常恶劣的气候条件：</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u w:val="single"/>
        </w:rPr>
        <w:t xml:space="preserve"> 执行国家的相关规定 。由于异常恶劣气候（按国家有关规定确定）造成的工期误延按国家有关规定执行。</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w:t>
      </w:r>
      <w:r>
        <w:rPr>
          <w:rFonts w:hint="eastAsia" w:ascii="仿宋" w:hAnsi="仿宋" w:eastAsia="仿宋" w:cs="仿宋"/>
          <w:bCs/>
          <w:color w:val="auto"/>
          <w:sz w:val="24"/>
          <w:szCs w:val="24"/>
          <w:u w:val="single"/>
        </w:rPr>
        <w:t xml:space="preserve"> 无 </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（3）</w:t>
      </w:r>
      <w:r>
        <w:rPr>
          <w:rFonts w:hint="eastAsia" w:ascii="仿宋" w:hAnsi="仿宋" w:eastAsia="仿宋" w:cs="仿宋"/>
          <w:bCs/>
          <w:color w:val="auto"/>
          <w:sz w:val="24"/>
          <w:szCs w:val="24"/>
          <w:u w:val="single"/>
        </w:rPr>
        <w:t xml:space="preserve"> 无  </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7.9提前竣工的奖励</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7.9.2提前竣工的奖励：</w:t>
      </w:r>
      <w:bookmarkStart w:id="183" w:name="_Toc351203640"/>
      <w:r>
        <w:rPr>
          <w:rFonts w:hint="eastAsia" w:ascii="仿宋" w:hAnsi="仿宋" w:eastAsia="仿宋" w:cs="仿宋"/>
          <w:bCs/>
          <w:color w:val="auto"/>
          <w:sz w:val="24"/>
          <w:szCs w:val="24"/>
          <w:u w:val="single"/>
        </w:rPr>
        <w:t>无</w:t>
      </w:r>
      <w:r>
        <w:rPr>
          <w:rFonts w:hint="eastAsia" w:ascii="仿宋" w:hAnsi="仿宋" w:eastAsia="仿宋" w:cs="仿宋"/>
          <w:bCs/>
          <w:color w:val="auto"/>
          <w:sz w:val="24"/>
          <w:szCs w:val="24"/>
        </w:rPr>
        <w:t>。</w:t>
      </w:r>
    </w:p>
    <w:bookmarkEnd w:id="183"/>
    <w:p>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 材料与设备</w:t>
      </w:r>
    </w:p>
    <w:p>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8.2承包人采购与工程设备</w:t>
      </w:r>
    </w:p>
    <w:p>
      <w:pPr>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除执行通用合同条款外，还应执行：</w:t>
      </w:r>
      <w:r>
        <w:rPr>
          <w:rFonts w:hint="eastAsia" w:ascii="仿宋" w:hAnsi="仿宋" w:eastAsia="仿宋" w:cs="仿宋"/>
          <w:bCs/>
          <w:color w:val="auto"/>
          <w:sz w:val="24"/>
          <w:szCs w:val="24"/>
          <w:u w:val="single"/>
        </w:rPr>
        <w:t>①承包人用于本工程的材料或设备，必须符合设计文件及相关标准合要求且是合格产品，否则，监理人不予验收，由此造成的损失由承包人自行承担。②对承包人负责采购的材料和设备，承包人应保证完成货物、材料或设备的货款支付，避免因货款支付纠纷给工程建设带来不利影响。如承包人未及时支付材料和设备货款影响工程进度的，发包人有权根据监理人签发的证书，直接向此供货人支付按材料、设备合同应付而承包人未支付的一切款项（扣除保留金），并加收代为支付总金额的10%管理费，且每发生一次，向发包人支付人民币壹万元/次违约金。监理人在签发给承包人下一期或当期支付证书时，应从中扣除已由发包人直接支付的款额及相应管理费。</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8.4材料与工程设备的保管与使用</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8.4.1发包人供应的材料设备的保管费用的承担：</w:t>
      </w:r>
      <w:r>
        <w:rPr>
          <w:rFonts w:hint="eastAsia" w:ascii="仿宋" w:hAnsi="仿宋" w:eastAsia="仿宋" w:cs="仿宋"/>
          <w:bCs/>
          <w:color w:val="auto"/>
          <w:sz w:val="24"/>
          <w:szCs w:val="24"/>
          <w:u w:val="single"/>
        </w:rPr>
        <w:t>施工过程中以发包人、监理单位、施工单位现场核定的实际需要的数量进行甲供材料供货，若甲供材料供货数量超出竣工结算时材料用量，超出部分由承包人自行承担并在结算价中予以扣除</w:t>
      </w:r>
      <w:r>
        <w:rPr>
          <w:rFonts w:hint="eastAsia" w:ascii="仿宋" w:hAnsi="仿宋" w:eastAsia="仿宋" w:cs="仿宋"/>
          <w:bCs/>
          <w:color w:val="auto"/>
          <w:sz w:val="24"/>
          <w:szCs w:val="24"/>
        </w:rPr>
        <w:t>。</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8.6 样品</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8.6.1</w:t>
      </w:r>
      <w:r>
        <w:rPr>
          <w:rFonts w:hint="eastAsia" w:ascii="仿宋" w:hAnsi="仿宋" w:eastAsia="仿宋" w:cs="仿宋"/>
          <w:bCs/>
          <w:color w:val="auto"/>
          <w:kern w:val="0"/>
          <w:sz w:val="24"/>
          <w:szCs w:val="24"/>
        </w:rPr>
        <w:tab/>
      </w:r>
      <w:r>
        <w:rPr>
          <w:rFonts w:hint="eastAsia" w:ascii="仿宋" w:hAnsi="仿宋" w:eastAsia="仿宋" w:cs="仿宋"/>
          <w:bCs/>
          <w:color w:val="auto"/>
          <w:kern w:val="0"/>
          <w:sz w:val="24"/>
          <w:szCs w:val="24"/>
        </w:rPr>
        <w:t>样品的报送与封存</w:t>
      </w:r>
    </w:p>
    <w:p>
      <w:pPr>
        <w:autoSpaceDE w:val="0"/>
        <w:autoSpaceDN w:val="0"/>
        <w:adjustRightInd w:val="0"/>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kern w:val="0"/>
          <w:sz w:val="24"/>
          <w:szCs w:val="24"/>
        </w:rPr>
        <w:t>需要承包人报送样品的材料或工程设备，样品的种类、名称、规格、数量要求：</w:t>
      </w:r>
      <w:r>
        <w:rPr>
          <w:rFonts w:hint="eastAsia" w:ascii="仿宋" w:hAnsi="仿宋" w:eastAsia="仿宋" w:cs="仿宋"/>
          <w:bCs/>
          <w:color w:val="auto"/>
          <w:sz w:val="24"/>
          <w:szCs w:val="24"/>
          <w:u w:val="single"/>
        </w:rPr>
        <w:t>无</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8.8 施工设备和临时设施</w:t>
      </w:r>
    </w:p>
    <w:p>
      <w:pPr>
        <w:autoSpaceDE w:val="0"/>
        <w:autoSpaceDN w:val="0"/>
        <w:adjustRightInd w:val="0"/>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8.8.1 承包人提供的施工设备和临时设施</w:t>
      </w:r>
    </w:p>
    <w:p>
      <w:pPr>
        <w:autoSpaceDE w:val="0"/>
        <w:autoSpaceDN w:val="0"/>
        <w:adjustRightInd w:val="0"/>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关于修建临时设施费用承担的约定：</w:t>
      </w:r>
      <w:r>
        <w:rPr>
          <w:rFonts w:hint="eastAsia" w:ascii="仿宋" w:hAnsi="仿宋" w:eastAsia="仿宋" w:cs="仿宋"/>
          <w:bCs/>
          <w:color w:val="auto"/>
          <w:sz w:val="24"/>
          <w:szCs w:val="24"/>
          <w:u w:val="single"/>
        </w:rPr>
        <w:t>执行通用合同条款本条款</w:t>
      </w:r>
      <w:bookmarkStart w:id="184" w:name="_Toc351203641"/>
      <w:r>
        <w:rPr>
          <w:rFonts w:hint="eastAsia" w:ascii="仿宋" w:hAnsi="仿宋" w:eastAsia="仿宋" w:cs="仿宋"/>
          <w:bCs/>
          <w:color w:val="auto"/>
          <w:sz w:val="24"/>
          <w:szCs w:val="24"/>
          <w:u w:val="single"/>
        </w:rPr>
        <w:t>。</w:t>
      </w:r>
    </w:p>
    <w:p>
      <w:pPr>
        <w:autoSpaceDE w:val="0"/>
        <w:autoSpaceDN w:val="0"/>
        <w:adjustRightInd w:val="0"/>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9. 试验与检验</w:t>
      </w:r>
      <w:bookmarkEnd w:id="184"/>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9.1试验设备与试验人员</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9.1.2 试验设备</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施工现场需要配置的试验场所：</w:t>
      </w:r>
      <w:r>
        <w:rPr>
          <w:rFonts w:hint="eastAsia" w:ascii="仿宋" w:hAnsi="仿宋" w:eastAsia="仿宋" w:cs="仿宋"/>
          <w:bCs/>
          <w:color w:val="auto"/>
          <w:sz w:val="24"/>
          <w:szCs w:val="24"/>
          <w:u w:val="single"/>
        </w:rPr>
        <w:t xml:space="preserve"> 根据本工程实际情况配置，并满足施工现场的试验需求。</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施工现场需要配备的试验设备：</w:t>
      </w:r>
      <w:r>
        <w:rPr>
          <w:rFonts w:hint="eastAsia" w:ascii="仿宋" w:hAnsi="仿宋" w:eastAsia="仿宋" w:cs="仿宋"/>
          <w:bCs/>
          <w:color w:val="auto"/>
          <w:sz w:val="24"/>
          <w:szCs w:val="24"/>
          <w:u w:val="single"/>
        </w:rPr>
        <w:t xml:space="preserve"> 根据本工程实际情况配置，并满足施工现场的试验需求。如混凝土试验所需设备，砌筑砂浆试验所需设备，回填土试验所需设备等，配置常用器具等。</w:t>
      </w:r>
      <w:r>
        <w:rPr>
          <w:rFonts w:hint="eastAsia" w:ascii="仿宋" w:hAnsi="仿宋" w:eastAsia="仿宋" w:cs="仿宋"/>
          <w:bCs/>
          <w:color w:val="auto"/>
          <w:sz w:val="24"/>
          <w:szCs w:val="24"/>
        </w:rPr>
        <w:t xml:space="preserve">  </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施工现场需要具备的其他试验条件：</w:t>
      </w:r>
      <w:r>
        <w:rPr>
          <w:rFonts w:hint="eastAsia" w:ascii="仿宋" w:hAnsi="仿宋" w:eastAsia="仿宋" w:cs="仿宋"/>
          <w:bCs/>
          <w:color w:val="auto"/>
          <w:sz w:val="24"/>
          <w:szCs w:val="24"/>
          <w:u w:val="single"/>
        </w:rPr>
        <w:t xml:space="preserve"> 根据本工程实际情况配置并满足施工现场试验需求。</w:t>
      </w:r>
    </w:p>
    <w:p>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9.3材料、工程设备和工程的试验和检验</w:t>
      </w:r>
    </w:p>
    <w:p>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除执行通用合同条款外，还应执行：</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①承包人负责采购的材料和工程设备，承包人应通知监理人共同进行检验和交货验收，验收时应同时查验材质证明和产品合格证书。承包人还应按国家规范的规定进行材料的抽样检验和工程设备的检验测试，并将检验结果提交监理人，其所需费用由承包人承担。</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②监理人应按合同规定参加交货验收，承包人应为监理人进行交货验收的监督检查提供一切方便。监理人参加交货验收不免除承包人在检验和交货验收中应负的责任。</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③ 额外检验和重新检验： 若监理人要求承包人对某项材料和工程设备进行的检查和检验超出国家规范和本合同的规定，监理人可以指示承包人增加额外检验，承包人应遵照执行。若检验结果合格，则相关费用由发包人承担，否则由承包人自行承担。</w:t>
      </w:r>
    </w:p>
    <w:p>
      <w:pPr>
        <w:spacing w:line="360" w:lineRule="auto"/>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 xml:space="preserve">   ④ </w:t>
      </w:r>
      <w:r>
        <w:rPr>
          <w:rFonts w:hint="eastAsia" w:ascii="仿宋" w:hAnsi="仿宋" w:eastAsia="仿宋" w:cs="仿宋"/>
          <w:bCs/>
          <w:color w:val="auto"/>
          <w:sz w:val="24"/>
          <w:szCs w:val="24"/>
          <w:u w:val="single"/>
        </w:rPr>
        <w:t>承包人不按合同的规定完成监理人指示的检查和检验工作，监理人可以指派自己的人员或委托其它有资质的检验机构或人员进行检查和检验，承包人不得拒绝，并应提供一切方便。由此增加的费用和工期延误责任由承包人承担。无论何种原因，若监理人对以往的检验结果有疑问时，可以指示承包人重新检验，承包人不得拒绝。</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9.4 现场工艺试验 </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现场工艺试验的有关约定：</w:t>
      </w:r>
      <w:bookmarkStart w:id="185" w:name="_Toc351203642"/>
      <w:r>
        <w:rPr>
          <w:rFonts w:hint="eastAsia" w:ascii="仿宋" w:hAnsi="仿宋" w:eastAsia="仿宋" w:cs="仿宋"/>
          <w:bCs/>
          <w:color w:val="auto"/>
          <w:sz w:val="24"/>
          <w:szCs w:val="24"/>
          <w:u w:val="single"/>
        </w:rPr>
        <w:t>执行通用合同条款本条款。</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10. 变更</w:t>
      </w:r>
      <w:bookmarkEnd w:id="185"/>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10.1变更的范围</w:t>
      </w:r>
    </w:p>
    <w:p>
      <w:pPr>
        <w:spacing w:line="360" w:lineRule="auto"/>
        <w:ind w:firstLine="6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关于变更的范围的约定：</w:t>
      </w:r>
      <w:r>
        <w:rPr>
          <w:rFonts w:hint="eastAsia" w:ascii="仿宋" w:hAnsi="仿宋" w:eastAsia="仿宋" w:cs="仿宋"/>
          <w:bCs/>
          <w:color w:val="auto"/>
          <w:sz w:val="24"/>
          <w:szCs w:val="24"/>
          <w:u w:val="single"/>
        </w:rPr>
        <w:t>经发包人、监理共同确认的通用合同条款事项内容。</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10.3变更程序</w:t>
      </w:r>
    </w:p>
    <w:p>
      <w:pPr>
        <w:spacing w:line="360" w:lineRule="auto"/>
        <w:ind w:firstLine="6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除执行通用合同条款外，还应执行：</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①变更指示只能由监理人经发包人批准后发出，否则视为无效，因无效变更导致费用增加和（或）工期延误的，由承包人自行承担。</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②所有变更必须得到发包人的认可且获得发包人的书面确认，否则所有变更视为无效。若是减少金额的变更，未经双方确认，发包人也将在结算及付款时进行扣除。</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③因承包人自身原因而引起的工程变更增加或减少费用的，承包人无权要求增加费用，减少的费用予以扣减。因承包人自身原因而引起工程变更所产生的其它责任和损失均由承包人自行承担。</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10.4 变更估价</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10.4.1 变更估价原则</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 xml:space="preserve">关于变更估价的约定: </w:t>
      </w:r>
      <w:r>
        <w:rPr>
          <w:rFonts w:hint="eastAsia" w:ascii="仿宋" w:hAnsi="仿宋" w:eastAsia="仿宋" w:cs="仿宋"/>
          <w:bCs/>
          <w:color w:val="auto"/>
          <w:sz w:val="24"/>
          <w:szCs w:val="24"/>
          <w:u w:val="single"/>
        </w:rPr>
        <w:t>执行本专用合同条款12.1条的相关规定。</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10.5承包人的合理化建议</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监理人审查承包人合理化建议的期限：</w:t>
      </w:r>
      <w:r>
        <w:rPr>
          <w:rFonts w:hint="eastAsia" w:ascii="仿宋" w:hAnsi="仿宋" w:eastAsia="仿宋" w:cs="仿宋"/>
          <w:bCs/>
          <w:color w:val="auto"/>
          <w:sz w:val="24"/>
          <w:szCs w:val="24"/>
          <w:u w:val="single"/>
        </w:rPr>
        <w:t>执行通用合同条款本条款。</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发包人审批承包人合理化建议的期限：</w:t>
      </w:r>
      <w:r>
        <w:rPr>
          <w:rFonts w:hint="eastAsia" w:ascii="仿宋" w:hAnsi="仿宋" w:eastAsia="仿宋" w:cs="仿宋"/>
          <w:bCs/>
          <w:color w:val="auto"/>
          <w:sz w:val="24"/>
          <w:szCs w:val="24"/>
          <w:u w:val="single"/>
        </w:rPr>
        <w:t>执行通用合同条款本条款。</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承包人提出的合理化建议降低了合同价格或者提高了工程经济效益的奖励的方法和金额为：</w:t>
      </w:r>
      <w:r>
        <w:rPr>
          <w:rFonts w:hint="eastAsia" w:ascii="仿宋" w:hAnsi="仿宋" w:eastAsia="仿宋" w:cs="仿宋"/>
          <w:bCs/>
          <w:color w:val="auto"/>
          <w:sz w:val="24"/>
          <w:szCs w:val="24"/>
          <w:u w:val="single"/>
        </w:rPr>
        <w:t>不奖励</w:t>
      </w:r>
      <w:r>
        <w:rPr>
          <w:rFonts w:hint="eastAsia" w:ascii="仿宋" w:hAnsi="仿宋" w:eastAsia="仿宋" w:cs="仿宋"/>
          <w:bCs/>
          <w:color w:val="auto"/>
          <w:sz w:val="24"/>
          <w:szCs w:val="24"/>
        </w:rPr>
        <w:t>。</w:t>
      </w:r>
    </w:p>
    <w:p>
      <w:pPr>
        <w:spacing w:line="360" w:lineRule="auto"/>
        <w:ind w:firstLine="480" w:firstLineChars="200"/>
        <w:rPr>
          <w:rFonts w:hint="eastAsia" w:ascii="仿宋" w:hAnsi="仿宋" w:eastAsia="仿宋" w:cs="仿宋"/>
          <w:bCs/>
          <w:color w:val="auto"/>
          <w:sz w:val="24"/>
          <w:szCs w:val="24"/>
        </w:rPr>
      </w:pPr>
      <w:bookmarkStart w:id="186" w:name="_Toc296346708"/>
      <w:bookmarkStart w:id="187" w:name="_Toc296503207"/>
      <w:bookmarkStart w:id="188" w:name="_Toc292559917"/>
      <w:bookmarkStart w:id="189" w:name="_Toc296944546"/>
      <w:bookmarkStart w:id="190" w:name="_Toc297120507"/>
      <w:bookmarkStart w:id="191" w:name="_Toc296891247"/>
      <w:bookmarkStart w:id="192" w:name="_Toc292559412"/>
      <w:bookmarkStart w:id="193" w:name="_Toc296347206"/>
      <w:bookmarkStart w:id="194" w:name="_Toc296891035"/>
      <w:bookmarkStart w:id="195" w:name="_Toc297048393"/>
      <w:r>
        <w:rPr>
          <w:rFonts w:hint="eastAsia" w:ascii="仿宋" w:hAnsi="仿宋" w:eastAsia="仿宋" w:cs="仿宋"/>
          <w:bCs/>
          <w:color w:val="auto"/>
          <w:sz w:val="24"/>
          <w:szCs w:val="24"/>
        </w:rPr>
        <w:t>10.7 暂估价</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暂估价材料和工程设备的明细详见附表《</w:t>
      </w:r>
      <w:r>
        <w:rPr>
          <w:rFonts w:hint="eastAsia" w:ascii="仿宋" w:hAnsi="仿宋" w:eastAsia="仿宋" w:cs="仿宋"/>
          <w:bCs/>
          <w:color w:val="auto"/>
          <w:sz w:val="24"/>
          <w:szCs w:val="24"/>
        </w:rPr>
        <w:t>暂估价一览表》</w:t>
      </w:r>
      <w:r>
        <w:rPr>
          <w:rFonts w:hint="eastAsia" w:ascii="仿宋" w:hAnsi="仿宋" w:eastAsia="仿宋" w:cs="仿宋"/>
          <w:bCs/>
          <w:color w:val="auto"/>
          <w:kern w:val="0"/>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10.7.1 依法必须招标的暂估价项目</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对于依法必须招标的暂估价项目的确认和批准采取第</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种方式确定。</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10.7.2 不属于依法必须招标的暂估价项目</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对于不属于依法必须招标的暂估价项目的确认和批准采取第</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种方式确定。</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sz w:val="24"/>
          <w:szCs w:val="24"/>
        </w:rPr>
        <w:t>第3种方式：</w:t>
      </w:r>
      <w:r>
        <w:rPr>
          <w:rFonts w:hint="eastAsia" w:ascii="仿宋" w:hAnsi="仿宋" w:eastAsia="仿宋" w:cs="仿宋"/>
          <w:bCs/>
          <w:color w:val="auto"/>
          <w:kern w:val="0"/>
          <w:sz w:val="24"/>
          <w:szCs w:val="24"/>
        </w:rPr>
        <w:t>承包人直接实施的暂估价项目</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承包人直接实施的暂估价项目的约定：</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10.8 暂列金额</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kern w:val="0"/>
          <w:sz w:val="24"/>
          <w:szCs w:val="24"/>
        </w:rPr>
        <w:t>合同当事人关于暂列金额使用的约定：</w:t>
      </w:r>
      <w:bookmarkStart w:id="196" w:name="_Toc351203643"/>
      <w:r>
        <w:rPr>
          <w:rFonts w:hint="eastAsia" w:ascii="仿宋" w:hAnsi="仿宋" w:eastAsia="仿宋" w:cs="仿宋"/>
          <w:bCs/>
          <w:color w:val="auto"/>
          <w:kern w:val="0"/>
          <w:sz w:val="24"/>
          <w:szCs w:val="24"/>
          <w:u w:val="single"/>
        </w:rPr>
        <w:t>工程施工过程中发生的工程变更、合同约定调整因素出现时的合同价款调整以及发生的索赔、现场签证等确认的费用，经发包人审定，执行政府投资管理办法规定的审批程序。使用其他项目费用中的暂列金额支付上述事项所发生的费用时，支付比例按工程进度款支付比例同期进行支付。在合同价格中的暂列金额由发包人掌握使用；暂列金额的余额归发包人所有。</w:t>
      </w:r>
    </w:p>
    <w:bookmarkEnd w:id="196"/>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 市场价格波动引起的调整</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kern w:val="0"/>
          <w:sz w:val="24"/>
          <w:szCs w:val="24"/>
        </w:rPr>
        <w:t>市场价格波动是否调整合同价格的约定：</w:t>
      </w:r>
      <w:r>
        <w:rPr>
          <w:rFonts w:hint="eastAsia" w:ascii="仿宋" w:hAnsi="仿宋" w:eastAsia="仿宋" w:cs="仿宋"/>
          <w:bCs/>
          <w:color w:val="auto"/>
          <w:sz w:val="24"/>
          <w:szCs w:val="24"/>
          <w:u w:val="single"/>
        </w:rPr>
        <w:t xml:space="preserve"> 不调整。</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12. 合同价格、计量与支付</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12.1 合同价格形式</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1、单价合同。</w:t>
      </w:r>
    </w:p>
    <w:p>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综合单价包含的风险范围：</w:t>
      </w:r>
      <w:r>
        <w:rPr>
          <w:rFonts w:hint="eastAsia" w:ascii="仿宋" w:hAnsi="仿宋" w:eastAsia="仿宋" w:cs="仿宋"/>
          <w:color w:val="auto"/>
          <w:sz w:val="24"/>
          <w:szCs w:val="24"/>
          <w:u w:val="single"/>
        </w:rPr>
        <w:t>承包人所填报综合单价及合价在合同实施期间除合同约定调整的内容，均不予调整。</w:t>
      </w:r>
    </w:p>
    <w:p>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rPr>
        <w:t xml:space="preserve">  /  </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风险范围以外合同价格的调整方法： </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color w:val="auto"/>
          <w:sz w:val="24"/>
          <w:szCs w:val="24"/>
          <w:u w:val="single"/>
        </w:rPr>
        <w:t>Ⅰ、合同价格调整的范围：（1）工程变更引起已标价工程量清单项目或其工程数量的变化；（2）招标工程量清单项目特征描述与实际施工要求不符；（3）因设计变更或施工条件改变或工程量清单编制错误造成工程量清单缺项；（4）实际完成工程量与招标工程量清单的工程量偏差；（5）可调价格材料的价差；（6）人工费政策性调整。</w:t>
      </w:r>
    </w:p>
    <w:p>
      <w:pPr>
        <w:spacing w:line="360" w:lineRule="auto"/>
        <w:ind w:left="-1"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本工程所涉及到的设计变更内容，在实施前须经发包人、设计单位及监理单位签字确认后方可执行。未经发包人、设计单位及监理单位签字确认的调整内容部分，不予调整合同价格。</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本工程所涉及到的工程经济签证或工程经济洽商单内容，在实施前须经发包人及监理单位签字确认后方可执行。未经发包人及监理单位确认的调整内容部分，不予调整合同价格。</w:t>
      </w:r>
    </w:p>
    <w:p>
      <w:pPr>
        <w:spacing w:line="360" w:lineRule="auto"/>
        <w:ind w:firstLine="456" w:firstLineChars="200"/>
        <w:rPr>
          <w:rFonts w:hint="eastAsia" w:ascii="仿宋" w:hAnsi="仿宋" w:eastAsia="仿宋" w:cs="仿宋"/>
          <w:color w:val="auto"/>
          <w:spacing w:val="-6"/>
          <w:sz w:val="24"/>
          <w:szCs w:val="24"/>
          <w:u w:val="single"/>
        </w:rPr>
      </w:pPr>
      <w:r>
        <w:rPr>
          <w:rFonts w:hint="eastAsia" w:ascii="仿宋" w:hAnsi="仿宋" w:eastAsia="仿宋" w:cs="仿宋"/>
          <w:color w:val="auto"/>
          <w:spacing w:val="-6"/>
          <w:sz w:val="24"/>
          <w:szCs w:val="24"/>
          <w:u w:val="single"/>
        </w:rPr>
        <w:t xml:space="preserve"> 合同价格调整事项发生后，承包人应在14天内，将调整原因、金额以书面形式向发包人提出，经发包人审核同意后作为调整合同价格的结算依据。14天内未申报书面调整合同价格金额及明细预算的，竣工结算时不予调整。</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Ⅱ、合同价款调整方法：</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（一）合同价格调整的范围（1）的调整原则：</w:t>
      </w:r>
    </w:p>
    <w:p>
      <w:pPr>
        <w:spacing w:line="360" w:lineRule="auto"/>
        <w:ind w:firstLine="454"/>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1、因工程变更引起已标价工程量清单项目或其他工程数量发生变化时，应按照下列规定调整：</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a、已标价工程量清单中有适用于变更工程项目的，应采用该项目的单价；但当工程变更导致该清单项目的工程数量发生变化，且工程量偏差超过15%时，该项目单价的调整原则：</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当工程量减少15%以上时，减少后剩余部分的工程量的综合单价予以调高；当工程量增加15%以上时，增加部分的工程量的综合单价予以调低。</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其计算公式如下：</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①当Q</w:t>
      </w:r>
      <w:r>
        <w:rPr>
          <w:rFonts w:hint="eastAsia" w:ascii="仿宋" w:hAnsi="仿宋" w:eastAsia="仿宋" w:cs="仿宋"/>
          <w:color w:val="auto"/>
          <w:sz w:val="24"/>
          <w:szCs w:val="24"/>
          <w:u w:val="single"/>
          <w:vertAlign w:val="subscript"/>
        </w:rPr>
        <w:t>1</w:t>
      </w:r>
      <w:r>
        <w:rPr>
          <w:rFonts w:hint="eastAsia" w:ascii="仿宋" w:hAnsi="仿宋" w:eastAsia="仿宋" w:cs="仿宋"/>
          <w:color w:val="auto"/>
          <w:sz w:val="24"/>
          <w:szCs w:val="24"/>
          <w:u w:val="single"/>
        </w:rPr>
        <w:t>＞1.15Q</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时，S=1.15Q</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×P</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+（Q</w:t>
      </w:r>
      <w:r>
        <w:rPr>
          <w:rFonts w:hint="eastAsia" w:ascii="仿宋" w:hAnsi="仿宋" w:eastAsia="仿宋" w:cs="仿宋"/>
          <w:color w:val="auto"/>
          <w:sz w:val="24"/>
          <w:szCs w:val="24"/>
          <w:u w:val="single"/>
          <w:vertAlign w:val="subscript"/>
        </w:rPr>
        <w:t>1</w:t>
      </w:r>
      <w:r>
        <w:rPr>
          <w:rFonts w:hint="eastAsia" w:ascii="仿宋" w:hAnsi="仿宋" w:eastAsia="仿宋" w:cs="仿宋"/>
          <w:color w:val="auto"/>
          <w:sz w:val="24"/>
          <w:szCs w:val="24"/>
          <w:u w:val="single"/>
        </w:rPr>
        <w:t>-1.15Q</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）×P</w:t>
      </w:r>
      <w:r>
        <w:rPr>
          <w:rFonts w:hint="eastAsia" w:ascii="仿宋" w:hAnsi="仿宋" w:eastAsia="仿宋" w:cs="仿宋"/>
          <w:color w:val="auto"/>
          <w:sz w:val="24"/>
          <w:szCs w:val="24"/>
          <w:u w:val="single"/>
          <w:vertAlign w:val="subscript"/>
        </w:rPr>
        <w:t>1</w:t>
      </w:r>
      <w:r>
        <w:rPr>
          <w:rFonts w:hint="eastAsia" w:ascii="仿宋" w:hAnsi="仿宋" w:eastAsia="仿宋" w:cs="仿宋"/>
          <w:color w:val="auto"/>
          <w:sz w:val="24"/>
          <w:szCs w:val="24"/>
          <w:u w:val="single"/>
        </w:rPr>
        <w:t>；</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②当Q</w:t>
      </w:r>
      <w:r>
        <w:rPr>
          <w:rFonts w:hint="eastAsia" w:ascii="仿宋" w:hAnsi="仿宋" w:eastAsia="仿宋" w:cs="仿宋"/>
          <w:color w:val="auto"/>
          <w:sz w:val="24"/>
          <w:szCs w:val="24"/>
          <w:u w:val="single"/>
          <w:vertAlign w:val="subscript"/>
        </w:rPr>
        <w:t>1</w:t>
      </w:r>
      <w:r>
        <w:rPr>
          <w:rFonts w:hint="eastAsia" w:ascii="仿宋" w:hAnsi="仿宋" w:eastAsia="仿宋" w:cs="仿宋"/>
          <w:color w:val="auto"/>
          <w:sz w:val="24"/>
          <w:szCs w:val="24"/>
          <w:u w:val="single"/>
        </w:rPr>
        <w:t>＜0.85Q</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时，S=Q</w:t>
      </w:r>
      <w:r>
        <w:rPr>
          <w:rFonts w:hint="eastAsia" w:ascii="仿宋" w:hAnsi="仿宋" w:eastAsia="仿宋" w:cs="仿宋"/>
          <w:color w:val="auto"/>
          <w:sz w:val="24"/>
          <w:szCs w:val="24"/>
          <w:u w:val="single"/>
          <w:vertAlign w:val="subscript"/>
        </w:rPr>
        <w:t>1</w:t>
      </w:r>
      <w:r>
        <w:rPr>
          <w:rFonts w:hint="eastAsia" w:ascii="仿宋" w:hAnsi="仿宋" w:eastAsia="仿宋" w:cs="仿宋"/>
          <w:color w:val="auto"/>
          <w:sz w:val="24"/>
          <w:szCs w:val="24"/>
          <w:u w:val="single"/>
        </w:rPr>
        <w:t>×P</w:t>
      </w:r>
      <w:r>
        <w:rPr>
          <w:rFonts w:hint="eastAsia" w:ascii="仿宋" w:hAnsi="仿宋" w:eastAsia="仿宋" w:cs="仿宋"/>
          <w:color w:val="auto"/>
          <w:sz w:val="24"/>
          <w:szCs w:val="24"/>
          <w:u w:val="single"/>
          <w:vertAlign w:val="subscript"/>
        </w:rPr>
        <w:t>1</w:t>
      </w:r>
      <w:r>
        <w:rPr>
          <w:rFonts w:hint="eastAsia" w:ascii="仿宋" w:hAnsi="仿宋" w:eastAsia="仿宋" w:cs="仿宋"/>
          <w:color w:val="auto"/>
          <w:sz w:val="24"/>
          <w:szCs w:val="24"/>
          <w:u w:val="single"/>
        </w:rPr>
        <w:t>；</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③当P</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＜P</w:t>
      </w:r>
      <w:r>
        <w:rPr>
          <w:rFonts w:hint="eastAsia" w:ascii="仿宋" w:hAnsi="仿宋" w:eastAsia="仿宋" w:cs="仿宋"/>
          <w:color w:val="auto"/>
          <w:sz w:val="24"/>
          <w:szCs w:val="24"/>
          <w:u w:val="single"/>
          <w:vertAlign w:val="subscript"/>
        </w:rPr>
        <w:t>2</w:t>
      </w:r>
      <w:r>
        <w:rPr>
          <w:rFonts w:hint="eastAsia" w:ascii="仿宋" w:hAnsi="仿宋" w:eastAsia="仿宋" w:cs="仿宋"/>
          <w:color w:val="auto"/>
          <w:sz w:val="24"/>
          <w:szCs w:val="24"/>
          <w:u w:val="single"/>
        </w:rPr>
        <w:t>×（1-L）×（1-15%）时，该类项目的综合单价：P</w:t>
      </w:r>
      <w:r>
        <w:rPr>
          <w:rFonts w:hint="eastAsia" w:ascii="仿宋" w:hAnsi="仿宋" w:eastAsia="仿宋" w:cs="仿宋"/>
          <w:color w:val="auto"/>
          <w:sz w:val="24"/>
          <w:szCs w:val="24"/>
          <w:u w:val="single"/>
          <w:vertAlign w:val="subscript"/>
        </w:rPr>
        <w:t>1</w:t>
      </w:r>
      <w:r>
        <w:rPr>
          <w:rFonts w:hint="eastAsia" w:ascii="仿宋" w:hAnsi="仿宋" w:eastAsia="仿宋" w:cs="仿宋"/>
          <w:color w:val="auto"/>
          <w:sz w:val="24"/>
          <w:szCs w:val="24"/>
          <w:u w:val="single"/>
        </w:rPr>
        <w:t>按照P</w:t>
      </w:r>
      <w:r>
        <w:rPr>
          <w:rFonts w:hint="eastAsia" w:ascii="仿宋" w:hAnsi="仿宋" w:eastAsia="仿宋" w:cs="仿宋"/>
          <w:color w:val="auto"/>
          <w:sz w:val="24"/>
          <w:szCs w:val="24"/>
          <w:u w:val="single"/>
          <w:vertAlign w:val="subscript"/>
        </w:rPr>
        <w:t>2</w:t>
      </w:r>
      <w:r>
        <w:rPr>
          <w:rFonts w:hint="eastAsia" w:ascii="仿宋" w:hAnsi="仿宋" w:eastAsia="仿宋" w:cs="仿宋"/>
          <w:color w:val="auto"/>
          <w:sz w:val="24"/>
          <w:szCs w:val="24"/>
          <w:u w:val="single"/>
        </w:rPr>
        <w:t>×（1-L）×（1-15%）调整；</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④当P</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＞P</w:t>
      </w:r>
      <w:r>
        <w:rPr>
          <w:rFonts w:hint="eastAsia" w:ascii="仿宋" w:hAnsi="仿宋" w:eastAsia="仿宋" w:cs="仿宋"/>
          <w:color w:val="auto"/>
          <w:sz w:val="24"/>
          <w:szCs w:val="24"/>
          <w:u w:val="single"/>
          <w:vertAlign w:val="subscript"/>
        </w:rPr>
        <w:t>2</w:t>
      </w:r>
      <w:r>
        <w:rPr>
          <w:rFonts w:hint="eastAsia" w:ascii="仿宋" w:hAnsi="仿宋" w:eastAsia="仿宋" w:cs="仿宋"/>
          <w:color w:val="auto"/>
          <w:sz w:val="24"/>
          <w:szCs w:val="24"/>
          <w:u w:val="single"/>
        </w:rPr>
        <w:t>×（1+15%）时，该类项目的综合单价：P</w:t>
      </w:r>
      <w:r>
        <w:rPr>
          <w:rFonts w:hint="eastAsia" w:ascii="仿宋" w:hAnsi="仿宋" w:eastAsia="仿宋" w:cs="仿宋"/>
          <w:color w:val="auto"/>
          <w:sz w:val="24"/>
          <w:szCs w:val="24"/>
          <w:u w:val="single"/>
          <w:vertAlign w:val="subscript"/>
        </w:rPr>
        <w:t>1</w:t>
      </w:r>
      <w:r>
        <w:rPr>
          <w:rFonts w:hint="eastAsia" w:ascii="仿宋" w:hAnsi="仿宋" w:eastAsia="仿宋" w:cs="仿宋"/>
          <w:color w:val="auto"/>
          <w:sz w:val="24"/>
          <w:szCs w:val="24"/>
          <w:u w:val="single"/>
        </w:rPr>
        <w:t>按照P</w:t>
      </w:r>
      <w:r>
        <w:rPr>
          <w:rFonts w:hint="eastAsia" w:ascii="仿宋" w:hAnsi="仿宋" w:eastAsia="仿宋" w:cs="仿宋"/>
          <w:color w:val="auto"/>
          <w:sz w:val="24"/>
          <w:szCs w:val="24"/>
          <w:u w:val="single"/>
          <w:vertAlign w:val="subscript"/>
        </w:rPr>
        <w:t>2</w:t>
      </w:r>
      <w:r>
        <w:rPr>
          <w:rFonts w:hint="eastAsia" w:ascii="仿宋" w:hAnsi="仿宋" w:eastAsia="仿宋" w:cs="仿宋"/>
          <w:color w:val="auto"/>
          <w:sz w:val="24"/>
          <w:szCs w:val="24"/>
          <w:u w:val="single"/>
        </w:rPr>
        <w:t>×（1+15%）调整；</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⑤当P</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＞P</w:t>
      </w:r>
      <w:r>
        <w:rPr>
          <w:rFonts w:hint="eastAsia" w:ascii="仿宋" w:hAnsi="仿宋" w:eastAsia="仿宋" w:cs="仿宋"/>
          <w:color w:val="auto"/>
          <w:sz w:val="24"/>
          <w:szCs w:val="24"/>
          <w:u w:val="single"/>
          <w:vertAlign w:val="subscript"/>
        </w:rPr>
        <w:t>2</w:t>
      </w:r>
      <w:r>
        <w:rPr>
          <w:rFonts w:hint="eastAsia" w:ascii="仿宋" w:hAnsi="仿宋" w:eastAsia="仿宋" w:cs="仿宋"/>
          <w:color w:val="auto"/>
          <w:sz w:val="24"/>
          <w:szCs w:val="24"/>
          <w:u w:val="single"/>
        </w:rPr>
        <w:t>×（1-L）×（1-15%）或P</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＜P</w:t>
      </w:r>
      <w:r>
        <w:rPr>
          <w:rFonts w:hint="eastAsia" w:ascii="仿宋" w:hAnsi="仿宋" w:eastAsia="仿宋" w:cs="仿宋"/>
          <w:color w:val="auto"/>
          <w:sz w:val="24"/>
          <w:szCs w:val="24"/>
          <w:u w:val="single"/>
          <w:vertAlign w:val="subscript"/>
        </w:rPr>
        <w:t>2</w:t>
      </w:r>
      <w:r>
        <w:rPr>
          <w:rFonts w:hint="eastAsia" w:ascii="仿宋" w:hAnsi="仿宋" w:eastAsia="仿宋" w:cs="仿宋"/>
          <w:color w:val="auto"/>
          <w:sz w:val="24"/>
          <w:szCs w:val="24"/>
          <w:u w:val="single"/>
        </w:rPr>
        <w:t>×（1+15%）时，可不调整综合单价。</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式中：S—调整后的某一分部分项工程费结算价；</w:t>
      </w:r>
    </w:p>
    <w:p>
      <w:pPr>
        <w:spacing w:line="360" w:lineRule="auto"/>
        <w:ind w:firstLine="1200" w:firstLineChars="5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Q</w:t>
      </w:r>
      <w:r>
        <w:rPr>
          <w:rFonts w:hint="eastAsia" w:ascii="仿宋" w:hAnsi="仿宋" w:eastAsia="仿宋" w:cs="仿宋"/>
          <w:color w:val="auto"/>
          <w:sz w:val="24"/>
          <w:szCs w:val="24"/>
          <w:u w:val="single"/>
          <w:vertAlign w:val="subscript"/>
        </w:rPr>
        <w:t>1</w:t>
      </w:r>
      <w:r>
        <w:rPr>
          <w:rFonts w:hint="eastAsia" w:ascii="仿宋" w:hAnsi="仿宋" w:eastAsia="仿宋" w:cs="仿宋"/>
          <w:color w:val="auto"/>
          <w:sz w:val="24"/>
          <w:szCs w:val="24"/>
          <w:u w:val="single"/>
        </w:rPr>
        <w:t>—最终完成的工程量；</w:t>
      </w:r>
    </w:p>
    <w:p>
      <w:pPr>
        <w:spacing w:line="360" w:lineRule="auto"/>
        <w:ind w:firstLine="1200" w:firstLineChars="5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Q</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—招标工程量清单中列出的工程量；</w:t>
      </w:r>
    </w:p>
    <w:p>
      <w:pPr>
        <w:spacing w:line="360" w:lineRule="auto"/>
        <w:ind w:firstLine="1200" w:firstLineChars="5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P</w:t>
      </w:r>
      <w:r>
        <w:rPr>
          <w:rFonts w:hint="eastAsia" w:ascii="仿宋" w:hAnsi="仿宋" w:eastAsia="仿宋" w:cs="仿宋"/>
          <w:color w:val="auto"/>
          <w:sz w:val="24"/>
          <w:szCs w:val="24"/>
          <w:u w:val="single"/>
          <w:vertAlign w:val="subscript"/>
        </w:rPr>
        <w:t>0</w:t>
      </w:r>
      <w:r>
        <w:rPr>
          <w:rFonts w:hint="eastAsia" w:ascii="仿宋" w:hAnsi="仿宋" w:eastAsia="仿宋" w:cs="仿宋"/>
          <w:color w:val="auto"/>
          <w:sz w:val="24"/>
          <w:szCs w:val="24"/>
          <w:u w:val="single"/>
        </w:rPr>
        <w:t>—承包人在工程量清单中填报的综合单价；</w:t>
      </w:r>
    </w:p>
    <w:p>
      <w:pPr>
        <w:spacing w:line="360" w:lineRule="auto"/>
        <w:ind w:firstLine="1200" w:firstLineChars="5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P</w:t>
      </w:r>
      <w:r>
        <w:rPr>
          <w:rFonts w:hint="eastAsia" w:ascii="仿宋" w:hAnsi="仿宋" w:eastAsia="仿宋" w:cs="仿宋"/>
          <w:color w:val="auto"/>
          <w:sz w:val="24"/>
          <w:szCs w:val="24"/>
          <w:u w:val="single"/>
          <w:vertAlign w:val="subscript"/>
        </w:rPr>
        <w:t>1</w:t>
      </w:r>
      <w:r>
        <w:rPr>
          <w:rFonts w:hint="eastAsia" w:ascii="仿宋" w:hAnsi="仿宋" w:eastAsia="仿宋" w:cs="仿宋"/>
          <w:color w:val="auto"/>
          <w:sz w:val="24"/>
          <w:szCs w:val="24"/>
          <w:u w:val="single"/>
        </w:rPr>
        <w:t>—按照最终完成工程量重新调整后的综合单价；</w:t>
      </w:r>
    </w:p>
    <w:p>
      <w:pPr>
        <w:spacing w:line="360" w:lineRule="auto"/>
        <w:ind w:firstLine="1200" w:firstLineChars="5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P</w:t>
      </w:r>
      <w:r>
        <w:rPr>
          <w:rFonts w:hint="eastAsia" w:ascii="仿宋" w:hAnsi="仿宋" w:eastAsia="仿宋" w:cs="仿宋"/>
          <w:color w:val="auto"/>
          <w:sz w:val="24"/>
          <w:szCs w:val="24"/>
          <w:u w:val="single"/>
          <w:vertAlign w:val="subscript"/>
        </w:rPr>
        <w:t>2</w:t>
      </w:r>
      <w:r>
        <w:rPr>
          <w:rFonts w:hint="eastAsia" w:ascii="仿宋" w:hAnsi="仿宋" w:eastAsia="仿宋" w:cs="仿宋"/>
          <w:color w:val="auto"/>
          <w:sz w:val="24"/>
          <w:szCs w:val="24"/>
          <w:u w:val="single"/>
        </w:rPr>
        <w:t>—发包人招标控制价相应项目的综合单价；</w:t>
      </w:r>
    </w:p>
    <w:p>
      <w:pPr>
        <w:spacing w:line="360" w:lineRule="auto"/>
        <w:ind w:firstLine="1200" w:firstLineChars="5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L—承包人报价浮动率=（1-中标价/招标控制价）×100%。</w:t>
      </w:r>
    </w:p>
    <w:p>
      <w:pPr>
        <w:spacing w:line="360" w:lineRule="auto"/>
        <w:ind w:firstLine="1200" w:firstLineChars="5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综合单价调整如果发生其他情况，另行解决。</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b、已标价工程量清单中没有适用于但有类似于变更工程项目的，可在合理范围内参照类似项目的单价。</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c、已标价工程量清单中没有适用也没有类似于变更工程项目的，由承包人根据变更工程资料、计量规则和计价办法，工程造价管理机构发布的信息价格和承包人报价浮动率提出变更工程项目的单价，报发包人确认后调整。</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承包人报价浮动率L =（1-中标价/招标控制价）×100%。</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d、已标价工程量清单中没有适用也没有类似于变更工程项目，且工程造价管理机构发布的信息价格缺价的，由承包人根据变更工程资料、计量规则、计价办法和通过市场调查等取得有合法依据的市场价格提出变更工程项目单价，报发包人确认后调整。</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工程变更引起施工方案改变并使措施项目发生变化时，承包人提出调整措施项目费的，应事先将拟实施的方案提交发包人确认，并应详细说明与原方案措施项目相比的变化情况。拟实施的方案经发承包双方确认后执行，并按下列规定调整措施费：</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a、安全文明措施费按照实际发生变化的措施项目按国家或省级、行业建设主管部门的规定计算；</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b、采用单价计算的措施项目费，按照实际发生变化的措施项目，依照本款（1）的调整原则确定单价；</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c、按总价（或系数）计算的措施项目费，按照实际发生变化的措施项目调整，但应考虑承包人报价浮动因素，即调整金额按实际调整金额乘以承包人报价浮动率计算【承包人报价浮动率L =（1-中标价/招标控制价）×100%】。</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d、如工程变更未引起相关措施项目发生变化，则不予调整。</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如承包人未事先将拟实施的方案提交给发包人确认，则视为工程变更不引起措施项目费的调整或承包人放弃调整措施项目费的权利。</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（二）合同价格调整的范围（2）的调整原则：</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承包人按发包人提供的设计图纸实施合同工程，在合同履行期间出现设计图纸（含设计变更）与招标工程量清单任一项目的特征描述不符，且该变化引起该项目工程造价增减变化的，按照实际施工的项目特征，依据合同价格调整的范围调整（1）的调整原则重新确定相应工程量清单项目的综合单价，并调整合同价格。</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（三）合同价格调整的范围（3）的调整原则：</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1、招标工程量清单中缺项、新增分部分项工程清单项目的，应按照合同价格调整的范围（1）的调整原则中的第1款规定确定单价，并调整合同价格。</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2、新增分部分项工程清单项目后，引起措施项目发生变化的，按合同价格调整的范围（1）的调整原则中的第2款规定，在承包人提交的实际实施方案经发包人批准后调整合同价格。</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3、工程量清单中措施项目的缺项，承包人将新增措施项目实施方案提交发包人批准后，按合同价格调整的范围（1）的调整原则调整合同价格。</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（四）合同价格调整的范围（4）的调整原则：</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1、任一招标工程量清单项目，当工程量偏差和工程变更等原因导致工程量偏差超过15%时，按合同价格调整的范围（1）的调整原则中第1款中a调整。</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当工程量出现本款1的变化，且该变化引起相关措施项目相应发生变化时，按总价（或系数）计算措施项目的，工程量增加的措施项目费调增，工程量减少的措施项目费调减。如未引起相关措施项目发生变化的，则不予调整。</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color w:val="auto"/>
          <w:sz w:val="24"/>
          <w:szCs w:val="24"/>
          <w:u w:val="single"/>
        </w:rPr>
        <w:t>（五）</w:t>
      </w:r>
      <w:r>
        <w:rPr>
          <w:rFonts w:hint="eastAsia" w:ascii="仿宋" w:hAnsi="仿宋" w:eastAsia="仿宋" w:cs="仿宋"/>
          <w:bCs/>
          <w:color w:val="auto"/>
          <w:sz w:val="24"/>
          <w:szCs w:val="24"/>
          <w:u w:val="single"/>
        </w:rPr>
        <w:t xml:space="preserve">合同价款调整的范围中（5）项调整方法： </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1、可调价格的钢材、商品混凝土价格（除税预算价格）调整方法：</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①钢材、商品混凝土价格（除税预算价格）调整：钢材、商品混凝土按《克拉玛依地区</w:t>
      </w:r>
      <w:r>
        <w:rPr>
          <w:rFonts w:hint="eastAsia" w:ascii="仿宋" w:hAnsi="仿宋" w:eastAsia="仿宋" w:cs="仿宋"/>
          <w:bCs/>
          <w:color w:val="auto"/>
          <w:sz w:val="24"/>
          <w:szCs w:val="24"/>
          <w:u w:val="single"/>
          <w:lang w:val="en-US" w:eastAsia="zh-CN"/>
        </w:rPr>
        <w:t>当</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当</w:t>
      </w:r>
      <w:r>
        <w:rPr>
          <w:rFonts w:hint="eastAsia" w:ascii="仿宋" w:hAnsi="仿宋" w:eastAsia="仿宋" w:cs="仿宋"/>
          <w:bCs/>
          <w:color w:val="auto"/>
          <w:sz w:val="24"/>
          <w:szCs w:val="24"/>
          <w:u w:val="single"/>
        </w:rPr>
        <w:t>月建设工程价格信息》中的价格（除税预算价格）进入投标报价的，在约定的风险幅度以内时不予调整，超过（或低于）约定的风险幅度时，超过（或低于）部分按发包人和现场监理签认的各月完成的工程量所需的可调价格（除税预算价格）的钢材、商品混凝土用量以当月当地造价部门发布的建设工程价格信息文件（除税预算价格）与投标报价时的价格信息（除税预算价格）乘以（1±风险幅度）进行找差。（承包人承担的风险幅度参考《克拉玛依地区</w:t>
      </w:r>
      <w:r>
        <w:rPr>
          <w:rFonts w:hint="eastAsia" w:ascii="仿宋" w:hAnsi="仿宋" w:eastAsia="仿宋" w:cs="仿宋"/>
          <w:bCs/>
          <w:color w:val="auto"/>
          <w:sz w:val="24"/>
          <w:szCs w:val="24"/>
          <w:u w:val="single"/>
          <w:lang w:val="en-US" w:eastAsia="zh-CN"/>
        </w:rPr>
        <w:t>当</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当</w:t>
      </w:r>
      <w:r>
        <w:rPr>
          <w:rFonts w:hint="eastAsia" w:ascii="仿宋" w:hAnsi="仿宋" w:eastAsia="仿宋" w:cs="仿宋"/>
          <w:bCs/>
          <w:color w:val="auto"/>
          <w:sz w:val="24"/>
          <w:szCs w:val="24"/>
          <w:u w:val="single"/>
        </w:rPr>
        <w:t>月建设工程价格信息》，风险幅度的范围为±6%）。</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②《克拉玛依地区</w:t>
      </w:r>
      <w:r>
        <w:rPr>
          <w:rFonts w:hint="eastAsia" w:ascii="仿宋" w:hAnsi="仿宋" w:eastAsia="仿宋" w:cs="仿宋"/>
          <w:bCs/>
          <w:color w:val="auto"/>
          <w:sz w:val="24"/>
          <w:szCs w:val="24"/>
          <w:u w:val="single"/>
          <w:lang w:val="en-US" w:eastAsia="zh-CN"/>
        </w:rPr>
        <w:t>当</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当</w:t>
      </w:r>
      <w:r>
        <w:rPr>
          <w:rFonts w:hint="eastAsia" w:ascii="仿宋" w:hAnsi="仿宋" w:eastAsia="仿宋" w:cs="仿宋"/>
          <w:bCs/>
          <w:color w:val="auto"/>
          <w:sz w:val="24"/>
          <w:szCs w:val="24"/>
          <w:u w:val="single"/>
        </w:rPr>
        <w:t>月建设工程价格信息》中无价格的钢材、商品混凝土价格（除税价格）调整：《克拉玛依地区</w:t>
      </w:r>
      <w:r>
        <w:rPr>
          <w:rFonts w:hint="eastAsia" w:ascii="仿宋" w:hAnsi="仿宋" w:eastAsia="仿宋" w:cs="仿宋"/>
          <w:bCs/>
          <w:color w:val="auto"/>
          <w:sz w:val="24"/>
          <w:szCs w:val="24"/>
          <w:u w:val="single"/>
          <w:lang w:val="en-US" w:eastAsia="zh-CN"/>
        </w:rPr>
        <w:t>当</w:t>
      </w:r>
      <w:r>
        <w:rPr>
          <w:rFonts w:hint="eastAsia" w:ascii="仿宋" w:hAnsi="仿宋" w:eastAsia="仿宋" w:cs="仿宋"/>
          <w:bCs/>
          <w:color w:val="auto"/>
          <w:sz w:val="24"/>
          <w:szCs w:val="24"/>
          <w:u w:val="single"/>
        </w:rPr>
        <w:t>年</w:t>
      </w:r>
      <w:r>
        <w:rPr>
          <w:rFonts w:hint="eastAsia" w:ascii="仿宋" w:hAnsi="仿宋" w:eastAsia="仿宋" w:cs="仿宋"/>
          <w:bCs/>
          <w:color w:val="auto"/>
          <w:sz w:val="24"/>
          <w:szCs w:val="24"/>
          <w:u w:val="single"/>
          <w:lang w:val="en-US" w:eastAsia="zh-CN"/>
        </w:rPr>
        <w:t>当</w:t>
      </w:r>
      <w:r>
        <w:rPr>
          <w:rFonts w:hint="eastAsia" w:ascii="仿宋" w:hAnsi="仿宋" w:eastAsia="仿宋" w:cs="仿宋"/>
          <w:bCs/>
          <w:color w:val="auto"/>
          <w:sz w:val="24"/>
          <w:szCs w:val="24"/>
          <w:u w:val="single"/>
        </w:rPr>
        <w:t>月建设工程价格信息》中无价格的钢材、商品混凝土由各投标人结合市场价自行询价（除税价格）计入投标报价，竣工结算时不予调整。</w:t>
      </w:r>
    </w:p>
    <w:p>
      <w:pPr>
        <w:pStyle w:val="12"/>
        <w:spacing w:line="360" w:lineRule="auto"/>
        <w:ind w:left="63" w:right="63"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（六）合同价款调整的范围中（6）项调整方法：施工生产期内如有后续人工费政策性调整文件，按人工费政策性调整文件规定进行调整；如未发布新的人工费政策性调整文件，则人工费不予调整。</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2、总价合同。</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总价包含的风险范围：</w:t>
      </w:r>
      <w:r>
        <w:rPr>
          <w:rFonts w:hint="eastAsia" w:ascii="仿宋" w:hAnsi="仿宋" w:eastAsia="仿宋" w:cs="仿宋"/>
          <w:color w:val="auto"/>
          <w:sz w:val="24"/>
          <w:szCs w:val="24"/>
          <w:u w:val="single"/>
        </w:rPr>
        <w:t xml:space="preserve">   /  。</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rPr>
        <w:t xml:space="preserve">   /   。</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3、其他价格方式：</w:t>
      </w:r>
      <w:r>
        <w:rPr>
          <w:rFonts w:hint="eastAsia" w:ascii="仿宋" w:hAnsi="仿宋" w:eastAsia="仿宋" w:cs="仿宋"/>
          <w:color w:val="auto"/>
          <w:sz w:val="24"/>
          <w:szCs w:val="24"/>
          <w:u w:val="single"/>
        </w:rPr>
        <w:t xml:space="preserve">    /   。</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12.2 预付款</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12.2.1 预付款的支付</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预付款支付比例或金额：</w:t>
      </w:r>
      <w:r>
        <w:rPr>
          <w:rFonts w:hint="eastAsia" w:ascii="仿宋" w:hAnsi="仿宋" w:eastAsia="仿宋" w:cs="仿宋"/>
          <w:color w:val="auto"/>
          <w:sz w:val="24"/>
          <w:szCs w:val="24"/>
          <w:u w:val="single"/>
        </w:rPr>
        <w:t>本工程</w:t>
      </w:r>
      <w:r>
        <w:rPr>
          <w:rFonts w:hint="eastAsia" w:ascii="仿宋" w:hAnsi="仿宋" w:eastAsia="仿宋" w:cs="仿宋"/>
          <w:color w:val="auto"/>
          <w:sz w:val="24"/>
          <w:szCs w:val="24"/>
          <w:highlight w:val="none"/>
          <w:u w:val="single"/>
        </w:rPr>
        <w:t>预付款为</w:t>
      </w:r>
      <w:r>
        <w:rPr>
          <w:rFonts w:hint="eastAsia" w:ascii="仿宋" w:hAnsi="仿宋" w:eastAsia="仿宋" w:cs="仿宋"/>
          <w:b/>
          <w:bCs/>
          <w:color w:val="auto"/>
          <w:sz w:val="24"/>
          <w:szCs w:val="24"/>
          <w:highlight w:val="none"/>
          <w:u w:val="single"/>
        </w:rPr>
        <w:t>合同价款的20%</w:t>
      </w:r>
      <w:r>
        <w:rPr>
          <w:rFonts w:hint="eastAsia" w:ascii="仿宋" w:hAnsi="仿宋" w:eastAsia="仿宋" w:cs="仿宋"/>
          <w:color w:val="auto"/>
          <w:sz w:val="24"/>
          <w:szCs w:val="24"/>
          <w:highlight w:val="none"/>
          <w:u w:val="single"/>
        </w:rPr>
        <w:t>（不</w:t>
      </w:r>
      <w:r>
        <w:rPr>
          <w:rFonts w:hint="eastAsia" w:ascii="仿宋" w:hAnsi="仿宋" w:eastAsia="仿宋" w:cs="仿宋"/>
          <w:color w:val="auto"/>
          <w:sz w:val="24"/>
          <w:szCs w:val="24"/>
          <w:u w:val="single"/>
        </w:rPr>
        <w:t>含暂列金额、安全文明施工费）作为备料款，预付款必须专用于本合同工程</w:t>
      </w:r>
      <w:r>
        <w:rPr>
          <w:rFonts w:hint="eastAsia" w:ascii="仿宋" w:hAnsi="仿宋" w:eastAsia="仿宋" w:cs="仿宋"/>
          <w:bCs/>
          <w:color w:val="auto"/>
          <w:sz w:val="24"/>
          <w:szCs w:val="24"/>
          <w:u w:val="single"/>
        </w:rPr>
        <w:t>。</w:t>
      </w:r>
    </w:p>
    <w:bookmarkEnd w:id="186"/>
    <w:bookmarkEnd w:id="187"/>
    <w:bookmarkEnd w:id="188"/>
    <w:bookmarkEnd w:id="189"/>
    <w:bookmarkEnd w:id="190"/>
    <w:bookmarkEnd w:id="191"/>
    <w:bookmarkEnd w:id="192"/>
    <w:bookmarkEnd w:id="193"/>
    <w:bookmarkEnd w:id="194"/>
    <w:bookmarkEnd w:id="195"/>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预付款支付期限：</w:t>
      </w:r>
      <w:r>
        <w:rPr>
          <w:rFonts w:hint="eastAsia" w:ascii="仿宋" w:hAnsi="仿宋" w:eastAsia="仿宋" w:cs="仿宋"/>
          <w:bCs/>
          <w:color w:val="auto"/>
          <w:sz w:val="24"/>
          <w:szCs w:val="24"/>
          <w:u w:val="single"/>
        </w:rPr>
        <w:t>合同签订后工程开工开工前7日内支付。</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预付款扣回的方式：</w:t>
      </w:r>
      <w:r>
        <w:rPr>
          <w:rFonts w:hint="eastAsia" w:ascii="仿宋" w:hAnsi="仿宋" w:eastAsia="仿宋" w:cs="仿宋"/>
          <w:color w:val="auto"/>
          <w:sz w:val="24"/>
          <w:szCs w:val="24"/>
          <w:u w:val="single"/>
        </w:rPr>
        <w:t>预付款的起扣时间为支付工程进度款开始起扣，扣款比例为预付款的</w:t>
      </w:r>
      <w:r>
        <w:rPr>
          <w:rFonts w:hint="eastAsia" w:ascii="仿宋" w:hAnsi="仿宋" w:eastAsia="仿宋" w:cs="仿宋"/>
          <w:b/>
          <w:color w:val="auto"/>
          <w:sz w:val="24"/>
          <w:szCs w:val="24"/>
          <w:u w:val="single"/>
        </w:rPr>
        <w:t>二分之一</w:t>
      </w:r>
      <w:r>
        <w:rPr>
          <w:rFonts w:hint="eastAsia" w:ascii="仿宋" w:hAnsi="仿宋" w:eastAsia="仿宋" w:cs="仿宋"/>
          <w:color w:val="auto"/>
          <w:sz w:val="24"/>
          <w:szCs w:val="24"/>
          <w:u w:val="single"/>
        </w:rPr>
        <w:t>。当月工程进度款不足以抵扣当月应扣预付款，在下月支付工程进度款时继续抵扣，直至在停止支付工程进度款前全部扣回。由于不可抗力或其他原因解除合同时，预付款尚未扣清的，尚未扣清的预付款余额应作为承包人的到期应付款。</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12.2.2 预付款担保</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承包人提交预付款担保的期限：</w:t>
      </w:r>
      <w:r>
        <w:rPr>
          <w:rFonts w:hint="eastAsia" w:ascii="仿宋" w:hAnsi="仿宋" w:eastAsia="仿宋" w:cs="仿宋"/>
          <w:color w:val="auto"/>
          <w:sz w:val="24"/>
          <w:szCs w:val="24"/>
          <w:u w:val="single"/>
        </w:rPr>
        <w:t xml:space="preserve">无 </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预付款担保的形式为：</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12.3 计量</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12.3.1 计量原则</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工程量计算规则：</w:t>
      </w:r>
      <w:r>
        <w:rPr>
          <w:rFonts w:hint="eastAsia" w:ascii="仿宋" w:hAnsi="仿宋" w:eastAsia="仿宋" w:cs="仿宋"/>
          <w:bCs/>
          <w:color w:val="auto"/>
          <w:sz w:val="24"/>
          <w:szCs w:val="24"/>
          <w:u w:val="single"/>
        </w:rPr>
        <w:t>《建设工程工程量清单计价规范》（GB50500-2013）、《房屋建筑与装饰工程工程量计算规范》（GB50854-2013）、《通用安装工程工程量计价规范（GB50856-2013）、《市政工程工程量计算规范）（GB50857-2013）等相关规定。</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12.3.2 计量周期</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关于计量周期的约定：</w:t>
      </w:r>
      <w:r>
        <w:rPr>
          <w:rFonts w:hint="eastAsia" w:ascii="仿宋" w:hAnsi="仿宋" w:eastAsia="仿宋" w:cs="仿宋"/>
          <w:bCs/>
          <w:color w:val="auto"/>
          <w:sz w:val="24"/>
          <w:szCs w:val="24"/>
          <w:u w:val="single"/>
        </w:rPr>
        <w:t xml:space="preserve">工程量的计量按月进行 </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12.3.3 单价合同的计量</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关于单价合同计量的约定：</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12.3.4 总价合同的计量</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关于总价合同计量的约定</w:t>
      </w:r>
      <w:r>
        <w:rPr>
          <w:rFonts w:hint="eastAsia" w:ascii="仿宋" w:hAnsi="仿宋" w:eastAsia="仿宋" w:cs="仿宋"/>
          <w:bCs/>
          <w:color w:val="auto"/>
          <w:sz w:val="24"/>
          <w:szCs w:val="24"/>
          <w:u w:val="single"/>
        </w:rPr>
        <w:t>：/</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12.3.5总价合同采用支付分解表计量支付的，是否适用第</w:t>
      </w:r>
      <w:r>
        <w:rPr>
          <w:rFonts w:hint="eastAsia" w:ascii="仿宋" w:hAnsi="仿宋" w:eastAsia="仿宋" w:cs="仿宋"/>
          <w:bCs/>
          <w:color w:val="auto"/>
          <w:kern w:val="0"/>
          <w:sz w:val="24"/>
          <w:szCs w:val="24"/>
        </w:rPr>
        <w:t xml:space="preserve">12.3.4 </w:t>
      </w:r>
      <w:r>
        <w:rPr>
          <w:rFonts w:hint="eastAsia" w:ascii="仿宋" w:hAnsi="仿宋" w:eastAsia="仿宋" w:cs="仿宋"/>
          <w:bCs/>
          <w:color w:val="auto"/>
          <w:sz w:val="24"/>
          <w:szCs w:val="24"/>
        </w:rPr>
        <w:t>项</w:t>
      </w:r>
      <w:r>
        <w:rPr>
          <w:rFonts w:hint="eastAsia" w:ascii="仿宋" w:hAnsi="仿宋" w:eastAsia="仿宋" w:cs="仿宋"/>
          <w:bCs/>
          <w:color w:val="auto"/>
          <w:kern w:val="0"/>
          <w:sz w:val="24"/>
          <w:szCs w:val="24"/>
        </w:rPr>
        <w:t>〔总价合同的计量〕</w:t>
      </w:r>
      <w:r>
        <w:rPr>
          <w:rFonts w:hint="eastAsia" w:ascii="仿宋" w:hAnsi="仿宋" w:eastAsia="仿宋" w:cs="仿宋"/>
          <w:bCs/>
          <w:color w:val="auto"/>
          <w:sz w:val="24"/>
          <w:szCs w:val="24"/>
        </w:rPr>
        <w:t>约定进行计量：</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12.3.6 其他价格形式合同的计量</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其他价格形式的计量方式和程序：</w:t>
      </w:r>
      <w:r>
        <w:rPr>
          <w:rFonts w:hint="eastAsia" w:ascii="仿宋" w:hAnsi="仿宋" w:eastAsia="仿宋" w:cs="仿宋"/>
          <w:bCs/>
          <w:color w:val="auto"/>
          <w:sz w:val="24"/>
          <w:szCs w:val="24"/>
          <w:u w:val="single"/>
        </w:rPr>
        <w:t xml:space="preserve">   /   。</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12.4 工程进度款支付</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12.4.1 付款周期</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关于付款周期的约定：</w:t>
      </w:r>
      <w:r>
        <w:rPr>
          <w:rFonts w:hint="eastAsia" w:ascii="仿宋" w:hAnsi="仿宋" w:eastAsia="仿宋" w:cs="仿宋"/>
          <w:bCs/>
          <w:color w:val="auto"/>
          <w:sz w:val="24"/>
          <w:szCs w:val="24"/>
          <w:u w:val="single"/>
        </w:rPr>
        <w:t xml:space="preserve"> 执行本专用合同条款第12.3.2条 </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12.4.2 进度付款申请单的编制</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关于进度付款申请单编制的约定：</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12.4.3 进度付款申请单的提交</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（1）单价合同进度付款申请单提交的约定：</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（2）总价合同进度付款申请单提交的约定： </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（3）其他价格形式合同进度付款申请单提交的约定：</w:t>
      </w:r>
      <w:r>
        <w:rPr>
          <w:rFonts w:hint="eastAsia" w:ascii="仿宋" w:hAnsi="仿宋" w:eastAsia="仿宋" w:cs="仿宋"/>
          <w:bCs/>
          <w:color w:val="auto"/>
          <w:sz w:val="24"/>
          <w:szCs w:val="24"/>
          <w:u w:val="single"/>
        </w:rPr>
        <w:t xml:space="preserve">   /    。</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12.4.4 进度款审核和支付</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（1）监理人审查并报送发包人的期限：</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发包人完成审批并签发进度款支付证书的期限：</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（2）发包人支付进度款的期限：</w:t>
      </w:r>
      <w:r>
        <w:rPr>
          <w:rFonts w:hint="eastAsia" w:ascii="仿宋" w:hAnsi="仿宋" w:eastAsia="仿宋" w:cs="仿宋"/>
          <w:bCs/>
          <w:color w:val="auto"/>
          <w:sz w:val="24"/>
          <w:szCs w:val="24"/>
          <w:u w:val="single"/>
        </w:rPr>
        <w:t>发包人应在进度款支付证书或临时进度款支付证书签发后14天内完成支付。</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u w:val="single"/>
        </w:rPr>
      </w:pPr>
      <w:r>
        <w:rPr>
          <w:rFonts w:hint="eastAsia" w:ascii="仿宋" w:hAnsi="仿宋" w:eastAsia="仿宋" w:cs="仿宋"/>
          <w:bCs/>
          <w:color w:val="auto"/>
          <w:sz w:val="24"/>
          <w:szCs w:val="24"/>
        </w:rPr>
        <w:t>发包人逾期支付进度款的违约金的计算方式：</w:t>
      </w:r>
      <w:r>
        <w:rPr>
          <w:rFonts w:hint="eastAsia" w:ascii="仿宋" w:hAnsi="仿宋" w:eastAsia="仿宋" w:cs="仿宋"/>
          <w:bCs/>
          <w:color w:val="auto"/>
          <w:kern w:val="0"/>
          <w:sz w:val="24"/>
          <w:szCs w:val="24"/>
          <w:u w:val="single"/>
        </w:rPr>
        <w:t>应按照中国人民银行发布的同期同类贷款基准利率支付违约金。</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还应执行：发包人在收到承包人的当月工程进度款支付申请后14日内核对完毕，并在批准当月工程进度款支付申请的14日内，</w:t>
      </w:r>
      <w:r>
        <w:rPr>
          <w:rFonts w:hint="eastAsia" w:ascii="仿宋" w:hAnsi="仿宋" w:eastAsia="仿宋" w:cs="仿宋"/>
          <w:color w:val="auto"/>
          <w:sz w:val="24"/>
          <w:szCs w:val="24"/>
          <w:highlight w:val="none"/>
          <w:u w:val="single"/>
        </w:rPr>
        <w:t>向承包人支付当月已完合格工程计量工程价款的80%，待工程通过竣工验收，达到质量等级要求，上报竣工结算资料后支付至签约合同价格的80%（不含发包人组织招标或提供的材料、设备费用及发包人确认价格的材料、设备费用（含20%预付款，不含暂列金额及安全文明施工费））时停止支付，工程竣工结算经发包方委托的审计单位审计完成且工程档案移交至城</w:t>
      </w:r>
      <w:r>
        <w:rPr>
          <w:rFonts w:hint="eastAsia" w:ascii="仿宋" w:hAnsi="仿宋" w:eastAsia="仿宋" w:cs="仿宋"/>
          <w:color w:val="auto"/>
          <w:sz w:val="24"/>
          <w:szCs w:val="24"/>
          <w:u w:val="single"/>
        </w:rPr>
        <w:t>市档案馆和发包人之后，留取结算价的3％作为工程质量保修金外，余款一次无息付清。暂列金额使用详见本专用合同条款第10.8条。安全文明施工费的支付按本专用合同条款第6.1.6条执行。</w:t>
      </w:r>
    </w:p>
    <w:p>
      <w:pPr>
        <w:spacing w:line="360" w:lineRule="auto"/>
        <w:ind w:firstLine="482" w:firstLineChars="200"/>
        <w:rPr>
          <w:rFonts w:hint="eastAsia" w:ascii="仿宋" w:hAnsi="仿宋" w:eastAsia="仿宋" w:cs="仿宋"/>
          <w:b/>
          <w:color w:val="auto"/>
          <w:sz w:val="24"/>
          <w:szCs w:val="24"/>
          <w:u w:val="single"/>
        </w:rPr>
      </w:pPr>
      <w:r>
        <w:rPr>
          <w:rFonts w:hint="eastAsia" w:ascii="仿宋" w:hAnsi="仿宋" w:eastAsia="仿宋" w:cs="仿宋"/>
          <w:b/>
          <w:color w:val="auto"/>
          <w:sz w:val="24"/>
          <w:szCs w:val="24"/>
          <w:u w:val="single"/>
        </w:rPr>
        <w:t>工程进度款的支付，因承包人自身原因造成未按合同约定时间支付，其相关责任与发包人无关。</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如签约合同价格中含本工程招标范围内招标（或发包人提供）的材料、设备及专业分包的款项，承包人必须按照发包人组织招标的材料、设备中标价（或发包人提供的价格）、专业分包招标价与各自招标文件规定的合同价格与其签订合同，签订合同时间为自接到中标通知书之日起7日内，并交发包人备案。承包人必须在发包人规定时间内办理相关手续并按合同规定支付货款，以避免因货款支付纠纷给工程建设带来不利影响，否则将向发包人支付壹拾万元违约金。</w:t>
      </w:r>
    </w:p>
    <w:p>
      <w:pPr>
        <w:spacing w:line="360" w:lineRule="auto"/>
        <w:ind w:firstLine="480" w:firstLineChars="200"/>
        <w:jc w:val="left"/>
        <w:rPr>
          <w:rFonts w:hint="eastAsia" w:ascii="仿宋" w:hAnsi="仿宋" w:eastAsia="仿宋" w:cs="仿宋"/>
          <w:bCs/>
          <w:color w:val="auto"/>
          <w:sz w:val="24"/>
          <w:szCs w:val="24"/>
        </w:rPr>
      </w:pPr>
      <w:bookmarkStart w:id="197" w:name="_Toc351203645"/>
      <w:r>
        <w:rPr>
          <w:rFonts w:hint="eastAsia" w:ascii="仿宋" w:hAnsi="仿宋" w:eastAsia="仿宋" w:cs="仿宋"/>
          <w:bCs/>
          <w:color w:val="auto"/>
          <w:sz w:val="24"/>
          <w:szCs w:val="24"/>
        </w:rPr>
        <w:t>12.4.6 支付分解表的编制</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2、总价合同支付分解表的编制与审批：</w:t>
      </w:r>
      <w:r>
        <w:rPr>
          <w:rFonts w:hint="eastAsia" w:ascii="仿宋" w:hAnsi="仿宋" w:eastAsia="仿宋" w:cs="仿宋"/>
          <w:bCs/>
          <w:color w:val="auto"/>
          <w:sz w:val="24"/>
          <w:szCs w:val="24"/>
          <w:u w:val="single"/>
        </w:rPr>
        <w:t xml:space="preserve">  无 </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3、单价合同的总价项目支付分解表的编制与审批：</w:t>
      </w:r>
      <w:r>
        <w:rPr>
          <w:rFonts w:hint="eastAsia" w:ascii="仿宋" w:hAnsi="仿宋" w:eastAsia="仿宋" w:cs="仿宋"/>
          <w:bCs/>
          <w:color w:val="auto"/>
          <w:sz w:val="24"/>
          <w:szCs w:val="24"/>
          <w:u w:val="single"/>
        </w:rPr>
        <w:t xml:space="preserve"> 执行通用合同条款本条款  </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13、验收和工程试车</w:t>
      </w:r>
      <w:bookmarkEnd w:id="197"/>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13.1 分部分项工程验收</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13.1.1监理人不能按时进行验收时，应提前</w:t>
      </w:r>
      <w:r>
        <w:rPr>
          <w:rFonts w:hint="eastAsia" w:ascii="仿宋" w:hAnsi="仿宋" w:eastAsia="仿宋" w:cs="仿宋"/>
          <w:bCs/>
          <w:color w:val="auto"/>
          <w:sz w:val="24"/>
          <w:szCs w:val="24"/>
          <w:u w:val="single"/>
        </w:rPr>
        <w:t xml:space="preserve"> 24 </w:t>
      </w:r>
      <w:r>
        <w:rPr>
          <w:rFonts w:hint="eastAsia" w:ascii="仿宋" w:hAnsi="仿宋" w:eastAsia="仿宋" w:cs="仿宋"/>
          <w:bCs/>
          <w:color w:val="auto"/>
          <w:sz w:val="24"/>
          <w:szCs w:val="24"/>
        </w:rPr>
        <w:t>小时提交书面延期要求。</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13.1.3关于延期最长不得超过：</w:t>
      </w:r>
      <w:r>
        <w:rPr>
          <w:rFonts w:hint="eastAsia" w:ascii="仿宋" w:hAnsi="仿宋" w:eastAsia="仿宋" w:cs="仿宋"/>
          <w:bCs/>
          <w:color w:val="auto"/>
          <w:sz w:val="24"/>
          <w:szCs w:val="24"/>
          <w:u w:val="single"/>
        </w:rPr>
        <w:t xml:space="preserve">48 </w:t>
      </w:r>
      <w:r>
        <w:rPr>
          <w:rFonts w:hint="eastAsia" w:ascii="仿宋" w:hAnsi="仿宋" w:eastAsia="仿宋" w:cs="仿宋"/>
          <w:bCs/>
          <w:color w:val="auto"/>
          <w:sz w:val="24"/>
          <w:szCs w:val="24"/>
        </w:rPr>
        <w:t>小时。</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13.2 竣工验收</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除执行通用合同条款外，还应执行：发包人、承包人在办理工程竣工验收申请时，应先到市建设局造价管理站办理竣工结算登记，发包人应确认承包人提交的竣工结算书和结算资料已包括：经批准的施工图纸、设计变更图纸、招标文件、招标答疑纪要、中标的投标总报价组成明细、中标通知书、施工合同、工程签证、设计变更确认文件、双方合同价格调整确认资料、批准的索赔费用明细等一切办理竣工结算核对所需资料，自此另行追加结算资料将不作为竣工结算的依据。如未办理竣工结算登记，市质量监督部门不办理竣工验收。</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13.2.2竣工验收程序</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关于竣工验收程序的约定：</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kern w:val="0"/>
          <w:sz w:val="24"/>
          <w:szCs w:val="24"/>
        </w:rPr>
        <w:t>发包人不按照本项约定组织竣工验收、颁发工程接收证书的违约金的计算方法：</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13.2.5移交、接收全部与部分工程</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承包人向发包人移交工程的期限：</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kern w:val="0"/>
          <w:sz w:val="24"/>
          <w:szCs w:val="24"/>
        </w:rPr>
        <w:t>发包人未按本合同约定接收全部或部分工程的，违约金的计算方法为：</w:t>
      </w:r>
      <w:r>
        <w:rPr>
          <w:rFonts w:hint="eastAsia" w:ascii="仿宋" w:hAnsi="仿宋" w:eastAsia="仿宋" w:cs="仿宋"/>
          <w:bCs/>
          <w:color w:val="auto"/>
          <w:sz w:val="24"/>
          <w:szCs w:val="24"/>
          <w:u w:val="single"/>
        </w:rPr>
        <w:t>除承担工程照管、成品保护、保管等与工程有关的各项费用外，每延误一天，向承包人支付签约合同价格5‰的违约金。</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承包人未按时移交工程的，违约金的计算方法为：</w:t>
      </w:r>
      <w:r>
        <w:rPr>
          <w:rFonts w:hint="eastAsia" w:ascii="仿宋" w:hAnsi="仿宋" w:eastAsia="仿宋" w:cs="仿宋"/>
          <w:bCs/>
          <w:color w:val="auto"/>
          <w:sz w:val="24"/>
          <w:szCs w:val="24"/>
          <w:u w:val="single"/>
        </w:rPr>
        <w:t>除承担工程照管、成品保护、保管等与工程有关的各项费用外，每延误一天，向发包人支付签约合同价格5‰的违约金</w:t>
      </w:r>
      <w:r>
        <w:rPr>
          <w:rFonts w:hint="eastAsia" w:ascii="仿宋" w:hAnsi="仿宋" w:eastAsia="仿宋" w:cs="仿宋"/>
          <w:bCs/>
          <w:color w:val="auto"/>
          <w:sz w:val="24"/>
          <w:szCs w:val="24"/>
        </w:rPr>
        <w:t>。</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13.3 工程试车</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13.3.1 试车程序</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kern w:val="0"/>
          <w:sz w:val="24"/>
          <w:szCs w:val="24"/>
        </w:rPr>
        <w:t>工程试车内容：</w:t>
      </w:r>
      <w:r>
        <w:rPr>
          <w:rFonts w:hint="eastAsia" w:ascii="仿宋" w:hAnsi="仿宋" w:eastAsia="仿宋" w:cs="仿宋"/>
          <w:bCs/>
          <w:color w:val="auto"/>
          <w:sz w:val="24"/>
          <w:szCs w:val="24"/>
          <w:u w:val="single"/>
        </w:rPr>
        <w:t>与本合同约定的承包范围一致。</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（1）单机无负荷试车费用由</w:t>
      </w:r>
      <w:r>
        <w:rPr>
          <w:rFonts w:hint="eastAsia" w:ascii="仿宋" w:hAnsi="仿宋" w:eastAsia="仿宋" w:cs="仿宋"/>
          <w:bCs/>
          <w:color w:val="auto"/>
          <w:sz w:val="24"/>
          <w:szCs w:val="24"/>
          <w:u w:val="single"/>
        </w:rPr>
        <w:t xml:space="preserve"> 承包人 </w:t>
      </w:r>
      <w:r>
        <w:rPr>
          <w:rFonts w:hint="eastAsia" w:ascii="仿宋" w:hAnsi="仿宋" w:eastAsia="仿宋" w:cs="仿宋"/>
          <w:bCs/>
          <w:color w:val="auto"/>
          <w:kern w:val="0"/>
          <w:sz w:val="24"/>
          <w:szCs w:val="24"/>
        </w:rPr>
        <w:t>承担；</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（2）无负荷联动试车费用由</w:t>
      </w:r>
      <w:r>
        <w:rPr>
          <w:rFonts w:hint="eastAsia" w:ascii="仿宋" w:hAnsi="仿宋" w:eastAsia="仿宋" w:cs="仿宋"/>
          <w:bCs/>
          <w:color w:val="auto"/>
          <w:sz w:val="24"/>
          <w:szCs w:val="24"/>
          <w:u w:val="single"/>
        </w:rPr>
        <w:t xml:space="preserve"> 承包人 </w:t>
      </w:r>
      <w:r>
        <w:rPr>
          <w:rFonts w:hint="eastAsia" w:ascii="仿宋" w:hAnsi="仿宋" w:eastAsia="仿宋" w:cs="仿宋"/>
          <w:bCs/>
          <w:color w:val="auto"/>
          <w:kern w:val="0"/>
          <w:sz w:val="24"/>
          <w:szCs w:val="24"/>
        </w:rPr>
        <w:t>承担。</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13.3.3 投料试车</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kern w:val="0"/>
          <w:sz w:val="24"/>
          <w:szCs w:val="24"/>
        </w:rPr>
        <w:t>关于投料试车相关事项的约定：</w:t>
      </w:r>
      <w:r>
        <w:rPr>
          <w:rFonts w:hint="eastAsia" w:ascii="仿宋" w:hAnsi="仿宋" w:eastAsia="仿宋" w:cs="仿宋"/>
          <w:bCs/>
          <w:color w:val="auto"/>
          <w:sz w:val="24"/>
          <w:szCs w:val="24"/>
          <w:u w:val="single"/>
        </w:rPr>
        <w:t xml:space="preserve">    无    </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13.6 竣工退场</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13.6.1 竣工退场</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承包人完成竣工退场的期限：</w:t>
      </w:r>
      <w:r>
        <w:rPr>
          <w:rFonts w:hint="eastAsia" w:ascii="仿宋" w:hAnsi="仿宋" w:eastAsia="仿宋" w:cs="仿宋"/>
          <w:bCs/>
          <w:color w:val="auto"/>
          <w:sz w:val="24"/>
          <w:szCs w:val="24"/>
          <w:u w:val="single"/>
        </w:rPr>
        <w:t xml:space="preserve">颁发工程接收证书之日起14日内 </w:t>
      </w:r>
      <w:r>
        <w:rPr>
          <w:rFonts w:hint="eastAsia" w:ascii="仿宋" w:hAnsi="仿宋" w:eastAsia="仿宋" w:cs="仿宋"/>
          <w:bCs/>
          <w:color w:val="auto"/>
          <w:kern w:val="0"/>
          <w:sz w:val="24"/>
          <w:szCs w:val="24"/>
        </w:rPr>
        <w:t>。</w:t>
      </w:r>
      <w:bookmarkStart w:id="198" w:name="_Toc351203646"/>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除执行通用合同条款外，还应执行：</w:t>
      </w:r>
      <w:r>
        <w:rPr>
          <w:rFonts w:hint="eastAsia" w:ascii="仿宋" w:hAnsi="仿宋" w:eastAsia="仿宋" w:cs="仿宋"/>
          <w:bCs/>
          <w:color w:val="auto"/>
          <w:kern w:val="0"/>
          <w:sz w:val="24"/>
          <w:szCs w:val="24"/>
          <w:u w:val="single"/>
        </w:rPr>
        <w:t>①承包人应当保留为完成甩尾工作和保修工作的必要人员、工程设备和设施，发包人应为承包人履行上述义务、进出和占用现场提供方便和协助。②承包人如逾期退场，则发包人直接处理承包人遗留在现场的物品。原则上，发包人应事先通知承包人自行处理，承包人在发包人规定的合理期限内仍不处理的，发包人有权出售或另行处理，包括进行拍卖、提存等。</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sz w:val="24"/>
          <w:szCs w:val="24"/>
        </w:rPr>
        <w:t>14. 竣工</w:t>
      </w:r>
      <w:bookmarkEnd w:id="198"/>
      <w:r>
        <w:rPr>
          <w:rFonts w:hint="eastAsia" w:ascii="仿宋" w:hAnsi="仿宋" w:eastAsia="仿宋" w:cs="仿宋"/>
          <w:bCs/>
          <w:color w:val="auto"/>
          <w:sz w:val="24"/>
          <w:szCs w:val="24"/>
        </w:rPr>
        <w:t>结算</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14.1 竣工结算申请</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承包人提交竣工结算申请单的期限：</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竣工结算申请单应包括的内容：</w:t>
      </w:r>
      <w:r>
        <w:rPr>
          <w:rFonts w:hint="eastAsia" w:ascii="仿宋" w:hAnsi="仿宋" w:eastAsia="仿宋" w:cs="仿宋"/>
          <w:bCs/>
          <w:color w:val="auto"/>
          <w:sz w:val="24"/>
          <w:szCs w:val="24"/>
          <w:u w:val="single"/>
        </w:rPr>
        <w:t>除执行通用合同条款本条款外，按照发包人、监理人及克拉玛依市各管理部门规定和要求提供。</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14.2 竣工结算审核</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发包人审批竣工结算申请单的期限：</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发包人完成竣工付款的期限：</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关于竣工付款证书异议部分复核的方式和程序：</w:t>
      </w:r>
      <w:r>
        <w:rPr>
          <w:rFonts w:hint="eastAsia" w:ascii="仿宋" w:hAnsi="仿宋" w:eastAsia="仿宋" w:cs="仿宋"/>
          <w:bCs/>
          <w:color w:val="auto"/>
          <w:sz w:val="24"/>
          <w:szCs w:val="24"/>
          <w:u w:val="single"/>
        </w:rPr>
        <w:t>执行通用合同条款本条款。</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14.4 最终结清</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14.4.1 最终结清申请单</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承包人提交最终结清申请单的份数：</w:t>
      </w:r>
      <w:r>
        <w:rPr>
          <w:rFonts w:hint="eastAsia" w:ascii="仿宋" w:hAnsi="仿宋" w:eastAsia="仿宋" w:cs="仿宋"/>
          <w:bCs/>
          <w:color w:val="auto"/>
          <w:sz w:val="24"/>
          <w:szCs w:val="24"/>
          <w:u w:val="single"/>
        </w:rPr>
        <w:t>一式伍份。</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kern w:val="0"/>
          <w:sz w:val="24"/>
          <w:szCs w:val="24"/>
        </w:rPr>
        <w:t>承包人提交最终结算申请单的期限：</w:t>
      </w:r>
      <w:r>
        <w:rPr>
          <w:rFonts w:hint="eastAsia" w:ascii="仿宋" w:hAnsi="仿宋" w:eastAsia="仿宋" w:cs="仿宋"/>
          <w:bCs/>
          <w:color w:val="auto"/>
          <w:sz w:val="24"/>
          <w:szCs w:val="24"/>
          <w:u w:val="single"/>
        </w:rPr>
        <w:t>承包人应在缺陷责任期终止证书颁发后7天内。</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14.4.2 最终结清证书和支付</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（1）发包人完成最终结清申请单的审批并颁发最终结清证书的期限：</w:t>
      </w:r>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（2）发包人完成支付的期限：</w:t>
      </w:r>
      <w:bookmarkStart w:id="199" w:name="_Toc351203647"/>
      <w:r>
        <w:rPr>
          <w:rFonts w:hint="eastAsia" w:ascii="仿宋" w:hAnsi="仿宋" w:eastAsia="仿宋" w:cs="仿宋"/>
          <w:bCs/>
          <w:color w:val="auto"/>
          <w:sz w:val="24"/>
          <w:szCs w:val="24"/>
          <w:u w:val="single"/>
        </w:rPr>
        <w:t>执行通用合同条款本条款</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还应执行（与通用合同条款不一致之处，以本约定为准）：</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①竣工结算与支付：承包人应在提交竣工验收报告的同时向发包人提交竣工结算报告及完整的结算资料，承包人未在约定时间内递交竣工结算书，经发包人催促后仍未提供或未明确答复的，发包人可以根据已有资料办理结算。发包人按《建设工程价款结算暂行办法》（财建〖2004〗369号文）文件规定时间进行核对，在文件规定时间内不核对竣工结算或未提出核对意见的，视为承包人递交的竣工结算书已经认可，发包人向承包人支付工程结算价款时间应执行财建〖2004〗369号文规定。发包人根据确认的竣工结算报告向承包人支付工程竣工结算价款，保留3%的质量保证（保修）金，质保期内如有返修，发生费用应在质量保证（保修）金内扣除。</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②竣工结算审定后发包人按下列方式支付：A、当承包人达到合同要求的工程质量时，发包人按竣工结算造价的97%支付给承包人，剩余部分作为工程质量保证（保修）金，依据国家和自治区的有关规定进行返还。B、因发包人原因造成工程质量不合格的，发包人应承担全部经济责任。C、因承包人原因造成工程质量不合格或返工后不合格的，承包人应承担全部经济责任，并依据相关要求进行处理。</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③承包人提供的所有竣工资料应满足工程备案要求，并经克拉玛依市城建档案馆档案验收合格，如未通过克拉玛依市城建档案馆档案验收者，则发包人将停止支付承包人的工程结算款，待档案验收合格后再支付结算款。</w:t>
      </w:r>
    </w:p>
    <w:p>
      <w:pPr>
        <w:spacing w:line="360" w:lineRule="auto"/>
        <w:ind w:firstLine="425"/>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④竣工结算完成15日内，发、承包人双方携带核定确认的竣工结算资料，按克建发〖2009〗38号《克拉玛依市建设工程竣工结算备案暂行管理办法》文件要求到克拉玛依市克拉玛依区建设局工程造价标准定额管理站备案。</w:t>
      </w:r>
    </w:p>
    <w:p>
      <w:pPr>
        <w:spacing w:line="360" w:lineRule="auto"/>
        <w:ind w:firstLine="425"/>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⑤其他相关规定执行《关于印发克拉玛依市建筑工程合同价款管理办法（施行）的通知》（克建发[2016]46号）。</w:t>
      </w:r>
    </w:p>
    <w:p>
      <w:pPr>
        <w:spacing w:line="360" w:lineRule="auto"/>
        <w:ind w:firstLine="425"/>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⑥承包人如未在规定时间内提供完整的工程竣工结算资料，经发包人催促后14天内仍未提供或没有明确答复，发包人有权根据已有资料进行审查，且每延误一天支付签约合同价格1‰的违约金。</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15. 缺陷责任期与保修</w:t>
      </w:r>
      <w:bookmarkEnd w:id="199"/>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15.2缺陷责任期</w:t>
      </w:r>
    </w:p>
    <w:p>
      <w:pPr>
        <w:spacing w:line="360" w:lineRule="auto"/>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缺陷责任期的具体期限：</w:t>
      </w:r>
      <w:r>
        <w:rPr>
          <w:rFonts w:hint="eastAsia" w:ascii="仿宋" w:hAnsi="仿宋" w:eastAsia="仿宋" w:cs="仿宋"/>
          <w:color w:val="auto"/>
          <w:sz w:val="24"/>
          <w:szCs w:val="24"/>
          <w:u w:val="single"/>
        </w:rPr>
        <w:t xml:space="preserve"> 自工程通过竣工验收之日起24个月。</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防水设施缺陷责任期的具体期限：</w:t>
      </w:r>
      <w:r>
        <w:rPr>
          <w:rFonts w:hint="eastAsia" w:ascii="仿宋" w:hAnsi="仿宋" w:eastAsia="仿宋" w:cs="仿宋"/>
          <w:color w:val="auto"/>
          <w:sz w:val="24"/>
          <w:szCs w:val="24"/>
          <w:u w:val="single"/>
        </w:rPr>
        <w:t>自工程竣工验收合格签字之日起60个月</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15.3 质量保证金</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关于是否扣留质量保证金的约定：</w:t>
      </w:r>
      <w:r>
        <w:rPr>
          <w:rFonts w:hint="eastAsia" w:ascii="仿宋" w:hAnsi="仿宋" w:eastAsia="仿宋" w:cs="仿宋"/>
          <w:color w:val="auto"/>
          <w:sz w:val="24"/>
          <w:szCs w:val="24"/>
          <w:u w:val="single"/>
        </w:rPr>
        <w:t>扣留质量保证金</w:t>
      </w:r>
      <w:r>
        <w:rPr>
          <w:rFonts w:hint="eastAsia" w:ascii="仿宋" w:hAnsi="仿宋" w:eastAsia="仿宋" w:cs="仿宋"/>
          <w:color w:val="auto"/>
          <w:sz w:val="24"/>
          <w:szCs w:val="24"/>
        </w:rPr>
        <w:t>。</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在工程项目竣工前，承包人按本专用合同条款第3.7条提供履约担保的，发包人不得同时预留工程质量保证金。</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15.3.1 承包人提供质量保证金的方式</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质量保证金采用以下第</w:t>
      </w:r>
      <w:r>
        <w:rPr>
          <w:rFonts w:hint="eastAsia" w:ascii="仿宋" w:hAnsi="仿宋" w:eastAsia="仿宋" w:cs="仿宋"/>
          <w:bCs/>
          <w:color w:val="auto"/>
          <w:sz w:val="24"/>
          <w:szCs w:val="24"/>
          <w:u w:val="single"/>
        </w:rPr>
        <w:t xml:space="preserve"> （2） </w:t>
      </w:r>
      <w:r>
        <w:rPr>
          <w:rFonts w:hint="eastAsia" w:ascii="仿宋" w:hAnsi="仿宋" w:eastAsia="仿宋" w:cs="仿宋"/>
          <w:bCs/>
          <w:color w:val="auto"/>
          <w:sz w:val="24"/>
          <w:szCs w:val="24"/>
        </w:rPr>
        <w:t>种方式：</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（1）质量保证金保函，保证金额为：</w:t>
      </w:r>
      <w:r>
        <w:rPr>
          <w:rFonts w:hint="eastAsia" w:ascii="仿宋" w:hAnsi="仿宋" w:eastAsia="仿宋" w:cs="仿宋"/>
          <w:bCs/>
          <w:color w:val="auto"/>
          <w:kern w:val="0"/>
          <w:sz w:val="24"/>
          <w:szCs w:val="24"/>
          <w:u w:val="single"/>
        </w:rPr>
        <w:t xml:space="preserve">     /     </w:t>
      </w:r>
      <w:r>
        <w:rPr>
          <w:rFonts w:hint="eastAsia" w:ascii="仿宋" w:hAnsi="仿宋" w:eastAsia="仿宋" w:cs="仿宋"/>
          <w:bCs/>
          <w:color w:val="auto"/>
          <w:kern w:val="0"/>
          <w:sz w:val="24"/>
          <w:szCs w:val="24"/>
        </w:rPr>
        <w:t xml:space="preserve">； </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（2）</w:t>
      </w:r>
      <w:r>
        <w:rPr>
          <w:rFonts w:hint="eastAsia" w:ascii="仿宋" w:hAnsi="仿宋" w:eastAsia="仿宋" w:cs="仿宋"/>
          <w:bCs/>
          <w:color w:val="auto"/>
          <w:kern w:val="0"/>
          <w:sz w:val="24"/>
          <w:szCs w:val="24"/>
          <w:u w:val="single"/>
        </w:rPr>
        <w:t>经审定的工程竣工结算价款的3%的工程款</w:t>
      </w:r>
      <w:r>
        <w:rPr>
          <w:rFonts w:hint="eastAsia" w:ascii="仿宋" w:hAnsi="仿宋" w:eastAsia="仿宋" w:cs="仿宋"/>
          <w:bCs/>
          <w:color w:val="auto"/>
          <w:kern w:val="0"/>
          <w:sz w:val="24"/>
          <w:szCs w:val="24"/>
        </w:rPr>
        <w:t>；</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（3）其他方式:</w:t>
      </w:r>
      <w:r>
        <w:rPr>
          <w:rFonts w:hint="eastAsia" w:ascii="仿宋" w:hAnsi="仿宋" w:eastAsia="仿宋" w:cs="仿宋"/>
          <w:bCs/>
          <w:color w:val="auto"/>
          <w:kern w:val="0"/>
          <w:sz w:val="24"/>
          <w:szCs w:val="24"/>
          <w:u w:val="single"/>
        </w:rPr>
        <w:t xml:space="preserve">         /       </w:t>
      </w:r>
      <w:r>
        <w:rPr>
          <w:rFonts w:hint="eastAsia" w:ascii="仿宋" w:hAnsi="仿宋" w:eastAsia="仿宋" w:cs="仿宋"/>
          <w:bCs/>
          <w:color w:val="auto"/>
          <w:kern w:val="0"/>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15.3.2 质量保证金的扣留 </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质量保证金的扣留采取以下第</w:t>
      </w:r>
      <w:r>
        <w:rPr>
          <w:rFonts w:hint="eastAsia" w:ascii="仿宋" w:hAnsi="仿宋" w:eastAsia="仿宋" w:cs="仿宋"/>
          <w:bCs/>
          <w:color w:val="auto"/>
          <w:sz w:val="24"/>
          <w:szCs w:val="24"/>
          <w:u w:val="single"/>
        </w:rPr>
        <w:t>（2）</w:t>
      </w:r>
      <w:r>
        <w:rPr>
          <w:rFonts w:hint="eastAsia" w:ascii="仿宋" w:hAnsi="仿宋" w:eastAsia="仿宋" w:cs="仿宋"/>
          <w:bCs/>
          <w:color w:val="auto"/>
          <w:sz w:val="24"/>
          <w:szCs w:val="24"/>
        </w:rPr>
        <w:t>种方式：</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（2）工程竣工结算时一次性扣留质量保证金；</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（3）其他扣留方式:</w:t>
      </w:r>
      <w:r>
        <w:rPr>
          <w:rFonts w:hint="eastAsia" w:ascii="仿宋" w:hAnsi="仿宋" w:eastAsia="仿宋" w:cs="仿宋"/>
          <w:bCs/>
          <w:color w:val="auto"/>
          <w:kern w:val="0"/>
          <w:sz w:val="24"/>
          <w:szCs w:val="24"/>
          <w:u w:val="single"/>
        </w:rPr>
        <w:t xml:space="preserve">      /    </w:t>
      </w:r>
      <w:r>
        <w:rPr>
          <w:rFonts w:hint="eastAsia" w:ascii="仿宋" w:hAnsi="仿宋" w:eastAsia="仿宋" w:cs="仿宋"/>
          <w:bCs/>
          <w:color w:val="auto"/>
          <w:kern w:val="0"/>
          <w:sz w:val="24"/>
          <w:szCs w:val="24"/>
        </w:rPr>
        <w:t>。</w:t>
      </w:r>
    </w:p>
    <w:p>
      <w:pPr>
        <w:spacing w:line="360" w:lineRule="auto"/>
        <w:ind w:firstLine="480" w:firstLineChars="200"/>
        <w:jc w:val="left"/>
        <w:rPr>
          <w:rFonts w:hint="eastAsia" w:ascii="仿宋" w:hAnsi="仿宋" w:eastAsia="仿宋" w:cs="仿宋"/>
          <w:bCs/>
          <w:color w:val="auto"/>
          <w:kern w:val="0"/>
          <w:sz w:val="24"/>
          <w:szCs w:val="24"/>
          <w:u w:val="single"/>
        </w:rPr>
      </w:pPr>
      <w:r>
        <w:rPr>
          <w:rFonts w:hint="eastAsia" w:ascii="仿宋" w:hAnsi="仿宋" w:eastAsia="仿宋" w:cs="仿宋"/>
          <w:bCs/>
          <w:color w:val="auto"/>
          <w:sz w:val="24"/>
          <w:szCs w:val="24"/>
        </w:rPr>
        <w:t>关于质量保证金的补充约定：</w:t>
      </w:r>
      <w:r>
        <w:rPr>
          <w:rFonts w:hint="eastAsia" w:ascii="仿宋" w:hAnsi="仿宋" w:eastAsia="仿宋" w:cs="仿宋"/>
          <w:bCs/>
          <w:color w:val="auto"/>
          <w:kern w:val="0"/>
          <w:sz w:val="24"/>
          <w:szCs w:val="24"/>
          <w:u w:val="single"/>
        </w:rPr>
        <w:t>执行质量保证书的相关约定。</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15.4保修</w:t>
      </w:r>
    </w:p>
    <w:p>
      <w:pPr>
        <w:spacing w:line="360" w:lineRule="auto"/>
        <w:ind w:firstLine="468" w:firstLineChars="195"/>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15.4.1 保修责任</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工程保修期为：</w:t>
      </w:r>
      <w:r>
        <w:rPr>
          <w:rFonts w:hint="eastAsia" w:ascii="仿宋" w:hAnsi="仿宋" w:eastAsia="仿宋" w:cs="仿宋"/>
          <w:bCs/>
          <w:color w:val="auto"/>
          <w:sz w:val="24"/>
          <w:szCs w:val="24"/>
          <w:u w:val="single"/>
        </w:rPr>
        <w:t>工程质量保修范围、期限和责任按照《工程质量保修书》和本合同相关条款执行。保修期自实际竣工日期起计算。施工过程中所发生的返修项目、返修部位，其质量保修期为工程缺陷责任期满之日起60个月，若在质保期内再次出现返修内容的，应终身质保。工程缺陷责任期内发生返修的项目、部位，从该返修部位验收合格之日起质保60个月，若在质保期内再次出现返修内容的，应终身质保。</w:t>
      </w:r>
    </w:p>
    <w:p>
      <w:pPr>
        <w:spacing w:line="360" w:lineRule="auto"/>
        <w:ind w:firstLine="468" w:firstLineChars="195"/>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15.4.3 修复通知</w:t>
      </w:r>
    </w:p>
    <w:p>
      <w:pPr>
        <w:spacing w:line="360" w:lineRule="auto"/>
        <w:ind w:firstLine="468" w:firstLineChars="195"/>
        <w:jc w:val="left"/>
        <w:rPr>
          <w:rFonts w:hint="eastAsia" w:ascii="仿宋" w:hAnsi="仿宋" w:eastAsia="仿宋" w:cs="仿宋"/>
          <w:bCs/>
          <w:color w:val="auto"/>
          <w:kern w:val="0"/>
          <w:sz w:val="24"/>
          <w:szCs w:val="24"/>
          <w:u w:val="single"/>
        </w:rPr>
      </w:pPr>
      <w:r>
        <w:rPr>
          <w:rFonts w:hint="eastAsia" w:ascii="仿宋" w:hAnsi="仿宋" w:eastAsia="仿宋" w:cs="仿宋"/>
          <w:bCs/>
          <w:color w:val="auto"/>
          <w:kern w:val="0"/>
          <w:sz w:val="24"/>
          <w:szCs w:val="24"/>
        </w:rPr>
        <w:t>承包人收到保修通知并到达工程现场的合理时间：</w:t>
      </w:r>
      <w:r>
        <w:rPr>
          <w:rFonts w:hint="eastAsia" w:ascii="仿宋" w:hAnsi="仿宋" w:eastAsia="仿宋" w:cs="仿宋"/>
          <w:bCs/>
          <w:color w:val="auto"/>
          <w:kern w:val="0"/>
          <w:sz w:val="24"/>
          <w:szCs w:val="24"/>
          <w:u w:val="single"/>
        </w:rPr>
        <w:t>接到发包人通知（包括书面和电话通知）之日起2小时内到达工程现场。</w:t>
      </w:r>
    </w:p>
    <w:p>
      <w:pPr>
        <w:spacing w:line="360" w:lineRule="auto"/>
        <w:ind w:firstLine="468" w:firstLineChars="195"/>
        <w:jc w:val="left"/>
        <w:rPr>
          <w:rFonts w:hint="eastAsia" w:ascii="仿宋" w:hAnsi="仿宋" w:eastAsia="仿宋" w:cs="仿宋"/>
          <w:bCs/>
          <w:color w:val="auto"/>
          <w:kern w:val="0"/>
          <w:sz w:val="24"/>
          <w:szCs w:val="24"/>
          <w:u w:val="single"/>
        </w:rPr>
      </w:pPr>
      <w:r>
        <w:rPr>
          <w:rFonts w:hint="eastAsia" w:ascii="仿宋" w:hAnsi="仿宋" w:eastAsia="仿宋" w:cs="仿宋"/>
          <w:bCs/>
          <w:color w:val="auto"/>
          <w:kern w:val="0"/>
          <w:sz w:val="24"/>
          <w:szCs w:val="24"/>
          <w:u w:val="single"/>
        </w:rPr>
        <w:t>还应执行：</w:t>
      </w:r>
    </w:p>
    <w:p>
      <w:pPr>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①保修期内，承包人应负责未移交工程和工程设备的全部日常维护和质量保修工作，对己移交发包人使用的工程和工程设备，则应由发包人负责日常维护工作，但承包人应按移交证书中所列的质量保修清单进行修复，直至经监理人检验合格为止。</w:t>
      </w:r>
    </w:p>
    <w:p>
      <w:pPr>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②发包人在保修期内使用工程和工程设备过程中，发现新的缺陷和损坏或原修复的缺陷部位或部件又遭损坏，则承包人应按监理人的指示负责修复，直至经监理人检验合格为止。监理人应会同发包人和承包人共同进行查验，若经查验确属由于承包人施工中隐存的或其它由于承包人责任造成的缺陷或损坏，应由承包人承担修复费用；若经查验确属发包人使用不当或其它由于发包人责任造成的缺陷或损坏，则应由发包人承担修复费用。</w:t>
      </w:r>
      <w:bookmarkStart w:id="200" w:name="_Toc351203648"/>
    </w:p>
    <w:bookmarkEnd w:id="200"/>
    <w:p>
      <w:pPr>
        <w:adjustRightInd w:val="0"/>
        <w:snapToGrid w:val="0"/>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16. 违约</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16.1 发包人违约</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16.1 发包人违约</w:t>
      </w:r>
    </w:p>
    <w:p>
      <w:pPr>
        <w:autoSpaceDE w:val="0"/>
        <w:autoSpaceDN w:val="0"/>
        <w:adjustRightInd w:val="0"/>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16.1.1 发包人违约的其他情形：</w:t>
      </w:r>
      <w:r>
        <w:rPr>
          <w:rFonts w:hint="eastAsia" w:ascii="仿宋" w:hAnsi="仿宋" w:eastAsia="仿宋" w:cs="仿宋"/>
          <w:bCs/>
          <w:color w:val="auto"/>
          <w:sz w:val="24"/>
          <w:szCs w:val="24"/>
          <w:u w:val="single"/>
        </w:rPr>
        <w:t xml:space="preserve">  /   </w:t>
      </w:r>
    </w:p>
    <w:p>
      <w:pPr>
        <w:spacing w:line="360" w:lineRule="auto"/>
        <w:ind w:left="1200" w:hanging="1200" w:hangingChars="5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    16.1.2 发包人违约的责任</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发包人违约责任的承担方式和计算方法：</w:t>
      </w:r>
    </w:p>
    <w:p>
      <w:pPr>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bCs/>
          <w:color w:val="auto"/>
          <w:kern w:val="0"/>
          <w:sz w:val="24"/>
          <w:szCs w:val="24"/>
        </w:rPr>
        <w:t>（1）因发包人原因未能在计划开工日期前7天内下达开工通知的违约责任：</w:t>
      </w:r>
      <w:r>
        <w:rPr>
          <w:rFonts w:hint="eastAsia" w:ascii="仿宋" w:hAnsi="仿宋" w:eastAsia="仿宋" w:cs="仿宋"/>
          <w:color w:val="auto"/>
          <w:kern w:val="0"/>
          <w:sz w:val="24"/>
          <w:szCs w:val="24"/>
          <w:u w:val="single"/>
        </w:rPr>
        <w:t>顺延工期</w:t>
      </w:r>
      <w:r>
        <w:rPr>
          <w:rFonts w:hint="eastAsia" w:ascii="仿宋" w:hAnsi="仿宋" w:eastAsia="仿宋" w:cs="仿宋"/>
          <w:color w:val="auto"/>
          <w:kern w:val="0"/>
          <w:sz w:val="24"/>
          <w:szCs w:val="24"/>
        </w:rPr>
        <w:t>。</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（2）因发包人原因未能按合同约定支付合同价格的违约责任：</w:t>
      </w:r>
      <w:r>
        <w:rPr>
          <w:rFonts w:hint="eastAsia" w:ascii="仿宋" w:hAnsi="仿宋" w:eastAsia="仿宋" w:cs="仿宋"/>
          <w:bCs/>
          <w:color w:val="auto"/>
          <w:kern w:val="0"/>
          <w:sz w:val="24"/>
          <w:szCs w:val="24"/>
          <w:u w:val="single"/>
        </w:rPr>
        <w:t>执行通用合同条款本条款</w:t>
      </w:r>
      <w:r>
        <w:rPr>
          <w:rFonts w:hint="eastAsia" w:ascii="仿宋" w:hAnsi="仿宋" w:eastAsia="仿宋" w:cs="仿宋"/>
          <w:bCs/>
          <w:color w:val="auto"/>
          <w:kern w:val="0"/>
          <w:sz w:val="24"/>
          <w:szCs w:val="24"/>
        </w:rPr>
        <w:t>。</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（3）发包人违反第10.1款〔变更的范围〕第（2）项约定，自行实施被取消的工作或转由他人实施的违约责任：</w:t>
      </w:r>
      <w:r>
        <w:rPr>
          <w:rFonts w:hint="eastAsia" w:ascii="仿宋" w:hAnsi="仿宋" w:eastAsia="仿宋" w:cs="仿宋"/>
          <w:color w:val="auto"/>
          <w:kern w:val="0"/>
          <w:sz w:val="24"/>
          <w:szCs w:val="24"/>
          <w:u w:val="single"/>
        </w:rPr>
        <w:t>由此给承包人造成的一切损失由发包人承担</w:t>
      </w:r>
      <w:r>
        <w:rPr>
          <w:rFonts w:hint="eastAsia" w:ascii="仿宋" w:hAnsi="仿宋" w:eastAsia="仿宋" w:cs="仿宋"/>
          <w:bCs/>
          <w:color w:val="auto"/>
          <w:kern w:val="0"/>
          <w:sz w:val="24"/>
          <w:szCs w:val="24"/>
        </w:rPr>
        <w:t>。</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cs="仿宋"/>
          <w:bCs/>
          <w:color w:val="auto"/>
          <w:kern w:val="0"/>
          <w:sz w:val="24"/>
          <w:szCs w:val="24"/>
          <w:u w:val="single"/>
        </w:rPr>
        <w:t>顺延工期</w:t>
      </w:r>
      <w:r>
        <w:rPr>
          <w:rFonts w:hint="eastAsia" w:ascii="仿宋" w:hAnsi="仿宋" w:eastAsia="仿宋" w:cs="仿宋"/>
          <w:bCs/>
          <w:color w:val="auto"/>
          <w:kern w:val="0"/>
          <w:sz w:val="24"/>
          <w:szCs w:val="24"/>
        </w:rPr>
        <w:t>。</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（5）因发包人违反合同约定造成暂停施工的违约责任：</w:t>
      </w:r>
      <w:r>
        <w:rPr>
          <w:rFonts w:hint="eastAsia" w:ascii="仿宋" w:hAnsi="仿宋" w:eastAsia="仿宋" w:cs="仿宋"/>
          <w:bCs/>
          <w:color w:val="auto"/>
          <w:kern w:val="0"/>
          <w:sz w:val="24"/>
          <w:szCs w:val="24"/>
          <w:u w:val="single"/>
        </w:rPr>
        <w:t>顺延工期</w:t>
      </w:r>
      <w:r>
        <w:rPr>
          <w:rFonts w:hint="eastAsia" w:ascii="仿宋" w:hAnsi="仿宋" w:eastAsia="仿宋" w:cs="仿宋"/>
          <w:bCs/>
          <w:color w:val="auto"/>
          <w:kern w:val="0"/>
          <w:sz w:val="24"/>
          <w:szCs w:val="24"/>
        </w:rPr>
        <w:t>。</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（6）发包人无正当理由没有在约定期限内发出复工指示，导致承包人无法复工的违约责任：</w:t>
      </w:r>
      <w:r>
        <w:rPr>
          <w:rFonts w:hint="eastAsia" w:ascii="仿宋" w:hAnsi="仿宋" w:eastAsia="仿宋" w:cs="仿宋"/>
          <w:bCs/>
          <w:color w:val="auto"/>
          <w:kern w:val="0"/>
          <w:sz w:val="24"/>
          <w:szCs w:val="24"/>
          <w:u w:val="single"/>
        </w:rPr>
        <w:t>由此造成工期延误的责任由发包人承担，工期相应顺延</w:t>
      </w:r>
      <w:r>
        <w:rPr>
          <w:rFonts w:hint="eastAsia" w:ascii="仿宋" w:hAnsi="仿宋" w:eastAsia="仿宋" w:cs="仿宋"/>
          <w:bCs/>
          <w:color w:val="auto"/>
          <w:kern w:val="0"/>
          <w:sz w:val="24"/>
          <w:szCs w:val="24"/>
        </w:rPr>
        <w:t>。</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（7）其他：</w:t>
      </w:r>
      <w:r>
        <w:rPr>
          <w:rFonts w:hint="eastAsia" w:ascii="仿宋" w:hAnsi="仿宋" w:eastAsia="仿宋" w:cs="仿宋"/>
          <w:bCs/>
          <w:color w:val="auto"/>
          <w:kern w:val="0"/>
          <w:sz w:val="24"/>
          <w:szCs w:val="24"/>
          <w:u w:val="single"/>
        </w:rPr>
        <w:t xml:space="preserve">  /  </w:t>
      </w:r>
      <w:r>
        <w:rPr>
          <w:rFonts w:hint="eastAsia" w:ascii="仿宋" w:hAnsi="仿宋" w:eastAsia="仿宋" w:cs="仿宋"/>
          <w:bCs/>
          <w:color w:val="auto"/>
          <w:kern w:val="0"/>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16.1.3 因发包人违约解除合同</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承包人按16.1.1项〔发包人违约的情形〕约定暂停施工满</w:t>
      </w:r>
      <w:r>
        <w:rPr>
          <w:rFonts w:hint="eastAsia" w:ascii="仿宋" w:hAnsi="仿宋" w:eastAsia="仿宋" w:cs="仿宋"/>
          <w:bCs/>
          <w:color w:val="auto"/>
          <w:kern w:val="0"/>
          <w:sz w:val="24"/>
          <w:szCs w:val="24"/>
          <w:u w:val="single"/>
        </w:rPr>
        <w:t xml:space="preserve">  28  </w:t>
      </w:r>
      <w:r>
        <w:rPr>
          <w:rFonts w:hint="eastAsia" w:ascii="仿宋" w:hAnsi="仿宋" w:eastAsia="仿宋" w:cs="仿宋"/>
          <w:bCs/>
          <w:color w:val="auto"/>
          <w:kern w:val="0"/>
          <w:sz w:val="24"/>
          <w:szCs w:val="24"/>
        </w:rPr>
        <w:t>天后发包人仍不纠正其违约行为并致使合同目的不能实现的，承包人有权解除合同。</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16.2 承包人违约</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16.2.1 承包人违约的情形</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（1）承包人违反合同约定进行转包或违法分包的；</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（2）承包人违反合同约定采购和使用不合格的材料和工程设备的；</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（3）因承包人原因导致工程质量不符合合同要求的； </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（4）承包人违反第8.9款〔材料与设备专用要求〕的约定，未经批准，私自将已按照合同约定进入施工现场的材料或设备撤离施工现场的；</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（5）承包人未能按施工进度计划及时完成合同约定的工作，造成工期延误的；</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（6）承包人在缺陷责任期及保修期内，未能在合理期限对工程缺陷进行修复，或拒绝按发包人要求进行修复的；</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（7）承包人明确表示或者以其行为表明不履行合同主要义务的；</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（8）承包人未能按照合同约定履行其他义务的。</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承包人发生除本项第（7）目约定以外的其他违约情况时，监理人可向承包人发出整改通知，要求其在指定的期限内改正。</w:t>
      </w:r>
    </w:p>
    <w:p>
      <w:pPr>
        <w:spacing w:line="360" w:lineRule="auto"/>
        <w:ind w:firstLine="480" w:firstLineChars="200"/>
        <w:jc w:val="left"/>
        <w:rPr>
          <w:rFonts w:hint="eastAsia" w:ascii="仿宋" w:hAnsi="仿宋" w:eastAsia="仿宋" w:cs="仿宋"/>
          <w:bCs/>
          <w:color w:val="auto"/>
          <w:kern w:val="0"/>
          <w:sz w:val="24"/>
          <w:szCs w:val="24"/>
          <w:u w:val="single"/>
        </w:rPr>
      </w:pPr>
      <w:r>
        <w:rPr>
          <w:rFonts w:hint="eastAsia" w:ascii="仿宋" w:hAnsi="仿宋" w:eastAsia="仿宋" w:cs="仿宋"/>
          <w:bCs/>
          <w:color w:val="auto"/>
          <w:kern w:val="0"/>
          <w:sz w:val="24"/>
          <w:szCs w:val="24"/>
        </w:rPr>
        <w:t>承包人违约的其他情形：</w:t>
      </w:r>
      <w:r>
        <w:rPr>
          <w:rFonts w:hint="eastAsia" w:ascii="仿宋" w:hAnsi="仿宋" w:eastAsia="仿宋" w:cs="仿宋"/>
          <w:bCs/>
          <w:color w:val="auto"/>
          <w:kern w:val="0"/>
          <w:sz w:val="24"/>
          <w:szCs w:val="24"/>
          <w:u w:val="single"/>
        </w:rPr>
        <w:t xml:space="preserve">   /   </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16.2.2承包人违约的责任</w:t>
      </w:r>
    </w:p>
    <w:p>
      <w:pPr>
        <w:tabs>
          <w:tab w:val="left" w:pos="700"/>
        </w:tabs>
        <w:spacing w:line="360" w:lineRule="auto"/>
        <w:ind w:firstLine="420"/>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承包人违约责任的承担方式和计算方法：</w:t>
      </w:r>
    </w:p>
    <w:p>
      <w:pPr>
        <w:tabs>
          <w:tab w:val="left" w:pos="700"/>
        </w:tabs>
        <w:spacing w:line="360" w:lineRule="auto"/>
        <w:ind w:firstLine="420"/>
        <w:rPr>
          <w:rFonts w:hint="eastAsia" w:ascii="仿宋" w:hAnsi="仿宋" w:eastAsia="仿宋" w:cs="仿宋"/>
          <w:bCs/>
          <w:color w:val="auto"/>
          <w:sz w:val="24"/>
          <w:szCs w:val="24"/>
          <w:u w:val="single"/>
        </w:rPr>
      </w:pPr>
      <w:r>
        <w:rPr>
          <w:rFonts w:hint="eastAsia" w:ascii="仿宋" w:hAnsi="仿宋" w:eastAsia="仿宋" w:cs="仿宋"/>
          <w:bCs/>
          <w:color w:val="auto"/>
          <w:kern w:val="0"/>
          <w:sz w:val="24"/>
          <w:szCs w:val="24"/>
        </w:rPr>
        <w:t>①</w:t>
      </w:r>
      <w:r>
        <w:rPr>
          <w:rFonts w:hint="eastAsia" w:ascii="仿宋" w:hAnsi="仿宋" w:eastAsia="仿宋" w:cs="仿宋"/>
          <w:bCs/>
          <w:color w:val="auto"/>
          <w:sz w:val="24"/>
          <w:szCs w:val="24"/>
          <w:u w:val="single"/>
        </w:rPr>
        <w:t>承包人有16.2.1条违约行为时，发包人可向承包人发出解除合同通知，且自承包人接到发包人通知之日起，发包人尚未退还承包人的履约保证金不再退还，并保留进一步追究承包人法律责任的权利；由此造成与任意第三方的经济纠纷全部由承包人自行负责解决。其中，造成与承包人有关的第三方阻碍本项目移交使用的，自承包人接到发包人通知之日起10 日内，承包人必须完全完成清场退出工作，每延迟一天，按日向发包人支付签约合同价格15‰的违约金。违约金的计算公式为：本签约合同价格×15‰×延迟天数。同时给发包人及相关单位工作带来不利影响或造成损失的，由承包人承担相应赔偿等法律责任。</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②工程竣工验收未达到合同约定的质量标准，承包人负责免费返修或返工重建，直至达到合同约定的质量标准为止，费用由承包人自行承担并承担由此给发包人造成的损失，工期不顺延，同时承包人向发包人支付经审定的工程竣工结算价款15%的违约金，如给发包人造成损失，由此引起的费用由承包人负责，此费用在应付工程款中扣除。施工过程中出现一般质量事故但不影响结构安全和功能的，每次向发包人支付人民币</w:t>
      </w:r>
      <w:r>
        <w:rPr>
          <w:rFonts w:hint="eastAsia" w:ascii="仿宋" w:hAnsi="仿宋" w:eastAsia="仿宋" w:cs="仿宋"/>
          <w:b/>
          <w:color w:val="auto"/>
          <w:sz w:val="24"/>
          <w:szCs w:val="24"/>
          <w:u w:val="single"/>
        </w:rPr>
        <w:t>贰万元</w:t>
      </w:r>
      <w:r>
        <w:rPr>
          <w:rFonts w:hint="eastAsia" w:ascii="仿宋" w:hAnsi="仿宋" w:eastAsia="仿宋" w:cs="仿宋"/>
          <w:bCs/>
          <w:color w:val="auto"/>
          <w:sz w:val="24"/>
          <w:szCs w:val="24"/>
          <w:u w:val="single"/>
        </w:rPr>
        <w:t>以下违约金;施工过程中出现重大质量事故但不影响结构安全和功能的，每次向发包人支付人民币</w:t>
      </w:r>
      <w:r>
        <w:rPr>
          <w:rFonts w:hint="eastAsia" w:ascii="仿宋" w:hAnsi="仿宋" w:eastAsia="仿宋" w:cs="仿宋"/>
          <w:b/>
          <w:color w:val="auto"/>
          <w:sz w:val="24"/>
          <w:szCs w:val="24"/>
          <w:u w:val="single"/>
        </w:rPr>
        <w:t>伍万元</w:t>
      </w:r>
      <w:r>
        <w:rPr>
          <w:rFonts w:hint="eastAsia" w:ascii="仿宋" w:hAnsi="仿宋" w:eastAsia="仿宋" w:cs="仿宋"/>
          <w:bCs/>
          <w:color w:val="auto"/>
          <w:sz w:val="24"/>
          <w:szCs w:val="24"/>
          <w:u w:val="single"/>
        </w:rPr>
        <w:t>以下违约金;施工过程中出现重大质量事故且影响结构安全和功能的，每次向发包人支付人民币</w:t>
      </w:r>
      <w:r>
        <w:rPr>
          <w:rFonts w:hint="eastAsia" w:ascii="仿宋" w:hAnsi="仿宋" w:eastAsia="仿宋" w:cs="仿宋"/>
          <w:b/>
          <w:color w:val="auto"/>
          <w:sz w:val="24"/>
          <w:szCs w:val="24"/>
          <w:u w:val="single"/>
        </w:rPr>
        <w:t>贰拾万</w:t>
      </w:r>
      <w:r>
        <w:rPr>
          <w:rFonts w:hint="eastAsia" w:ascii="仿宋" w:hAnsi="仿宋" w:eastAsia="仿宋" w:cs="仿宋"/>
          <w:bCs/>
          <w:color w:val="auto"/>
          <w:sz w:val="24"/>
          <w:szCs w:val="24"/>
          <w:u w:val="single"/>
        </w:rPr>
        <w:t>元以下违约金，承包人同时应承担由此带来的一切损失；外观质量差，但不影响结构安全和功能的，每处向发包人支付人民币</w:t>
      </w:r>
      <w:r>
        <w:rPr>
          <w:rFonts w:hint="eastAsia" w:ascii="仿宋" w:hAnsi="仿宋" w:eastAsia="仿宋" w:cs="仿宋"/>
          <w:b/>
          <w:color w:val="auto"/>
          <w:sz w:val="24"/>
          <w:szCs w:val="24"/>
          <w:u w:val="single"/>
        </w:rPr>
        <w:t>伍万元</w:t>
      </w:r>
      <w:r>
        <w:rPr>
          <w:rFonts w:hint="eastAsia" w:ascii="仿宋" w:hAnsi="仿宋" w:eastAsia="仿宋" w:cs="仿宋"/>
          <w:bCs/>
          <w:color w:val="auto"/>
          <w:sz w:val="24"/>
          <w:szCs w:val="24"/>
          <w:u w:val="single"/>
        </w:rPr>
        <w:t>以下违约金;对出现的质量事故必须在监理人、发包人规定的时间内完成整改，否则将按该项违约金的三倍赔偿。</w:t>
      </w:r>
    </w:p>
    <w:p>
      <w:pPr>
        <w:tabs>
          <w:tab w:val="left" w:pos="1440"/>
        </w:tabs>
        <w:spacing w:line="360" w:lineRule="auto"/>
        <w:ind w:firstLine="42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③承包人未按施工规范施工或施工质量达不到合同规定要求的，自监理人发出整改通知之日起3日内，承包人必须无条件进行整改，费用自行承担。如整改后，仍达不到规定要求的，承包人应承担人民币</w:t>
      </w:r>
      <w:r>
        <w:rPr>
          <w:rFonts w:hint="eastAsia" w:ascii="仿宋" w:hAnsi="仿宋" w:eastAsia="仿宋" w:cs="仿宋"/>
          <w:b/>
          <w:color w:val="auto"/>
          <w:sz w:val="24"/>
          <w:szCs w:val="24"/>
          <w:u w:val="single"/>
        </w:rPr>
        <w:t>贰万元</w:t>
      </w:r>
      <w:r>
        <w:rPr>
          <w:rFonts w:hint="eastAsia" w:ascii="仿宋" w:hAnsi="仿宋" w:eastAsia="仿宋" w:cs="仿宋"/>
          <w:bCs/>
          <w:color w:val="auto"/>
          <w:sz w:val="24"/>
          <w:szCs w:val="24"/>
          <w:u w:val="single"/>
        </w:rPr>
        <w:t>/次的违约金，发包人有权另行指定施工单位进行整改，其费用由承包人承担。</w:t>
      </w:r>
    </w:p>
    <w:p>
      <w:pPr>
        <w:tabs>
          <w:tab w:val="left" w:pos="1440"/>
        </w:tabs>
        <w:spacing w:line="360" w:lineRule="auto"/>
        <w:ind w:firstLine="42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④因承包人提供和使用了不合格的材料和工程设备，限期在12小时内退场，已使用的必须拆除。由此造成的工期延误由承包人承担工期延误责任，造成的损失由承包人自行承担，并向发包人支付所提供和使用不合格材料和工程设备总价10%的违约金。</w:t>
      </w:r>
    </w:p>
    <w:p>
      <w:pPr>
        <w:tabs>
          <w:tab w:val="left" w:pos="1440"/>
        </w:tabs>
        <w:spacing w:line="360" w:lineRule="auto"/>
        <w:ind w:firstLine="42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⑤因承包人原因造成的质量事故、工程事故和安全事故，造成人身和财产损害的，承包人承担全部行政、民事和刑事责任，并承担损害赔偿责任。造成人员死亡等重大安全事故的还必须向发包人支付每次人民币</w:t>
      </w:r>
      <w:r>
        <w:rPr>
          <w:rFonts w:hint="eastAsia" w:ascii="仿宋" w:hAnsi="仿宋" w:eastAsia="仿宋" w:cs="仿宋"/>
          <w:b/>
          <w:color w:val="auto"/>
          <w:sz w:val="24"/>
          <w:szCs w:val="24"/>
          <w:u w:val="single"/>
        </w:rPr>
        <w:t>贰拾万</w:t>
      </w:r>
      <w:r>
        <w:rPr>
          <w:rFonts w:hint="eastAsia" w:ascii="仿宋" w:hAnsi="仿宋" w:eastAsia="仿宋" w:cs="仿宋"/>
          <w:bCs/>
          <w:color w:val="auto"/>
          <w:sz w:val="24"/>
          <w:szCs w:val="24"/>
          <w:u w:val="single"/>
        </w:rPr>
        <w:t>元的违约金。</w:t>
      </w:r>
    </w:p>
    <w:p>
      <w:pPr>
        <w:tabs>
          <w:tab w:val="left" w:pos="1440"/>
        </w:tabs>
        <w:spacing w:line="360" w:lineRule="auto"/>
        <w:ind w:firstLine="42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⑥承包人违反本专用合同条款第6.1.5条相关规定及国家、自治区、克拉玛依市有关文明施工管理、卫生管理、噪声扬尘污染防治等规定，造成后果的，由承包人承担一切责任。一旦被政府有关职能部门处罚、负面通报和媒体负面曝光，除接受相关部门处罚外，还必须向发包人支付签订合同价格5‰的违约金。</w:t>
      </w:r>
    </w:p>
    <w:p>
      <w:pPr>
        <w:tabs>
          <w:tab w:val="left" w:pos="1440"/>
        </w:tabs>
        <w:spacing w:line="360" w:lineRule="auto"/>
        <w:ind w:firstLine="42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⑦未按发包人、监理人以及主管部门规定建立、健全安全、文明施工制度、措施等，每发现一处，承包人须向发包人支付人民币壹仟元违约金，出现一般安全事故、重大安全事故的按相关规定进行处罚。</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⑧因承包人提供产品材质或工期不能满足发包人要求的，或承包人提供的材料或设备价格差异过大的，自监理人发出整改通知之日起3日内，承包人必须无条件进行整改，费用由承包人自行承担。如整改后，仍达不到规定要求的，发包人有权另行指定分包，其费用由承包人承担。</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⑨如果发生恶意停工、恶意闹事，每发生一次，承包人向发包人支付￥10万元违约金。</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⑩承包人应严格按照投标文件中的承诺将劳务工工资、材料、机械设备款发放到位，如出现因承包人恶意拖欠和拒不按计划偿付农民工工资或未能按期足额支付农民工工资，导致民工到政府部门上访或到发包人处索要工资的情况，则每出现一次，工程保证金不予退还；若发包人代为支付民工工资，发包人将按所代付民工工资总金额的10%向承包人收取管理费。并依据国家、自治区、克拉玛依等相关法律、法规、政策文件予以严厉处罚，必要时可解除合同并依法追究承包人的责任。</w:t>
      </w:r>
    </w:p>
    <w:p>
      <w:pPr>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⑾承包人不得以材料价格、清单控制价等经济问题未确定而发生威胁发包人或停工或闹事等不良影响，每发生一次，承包人向发包人支付贰拾万元/次违约金。</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⑿承包人如发生二次（含二次）及以上未完成发包人要求的工程进度节点，发包人可另行组织施工队伍及机械设备进行赶工，由此发生的相关费用由承包人承担。承包人无条件接受发包人的另行委托，由此造成的损失和费用由承包人承担。</w:t>
      </w:r>
    </w:p>
    <w:p>
      <w:pPr>
        <w:tabs>
          <w:tab w:val="left" w:pos="700"/>
        </w:tabs>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⒀承包人如未按要求参加发包人、监理人及行业主管部门对本项目组织的专题会，在请假未经同意的条件下（须经会议最高负责人同意），按项目经理8000元/次、其他人员5000元/次作违约金在当期付款及结算中扣除；若迟到，则项目经理按3000元/人.次，其他人员1000元/人.并以现金方式向发包人支付。</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⒁承包人违约，发包人可发出整改通知要求承包人限期进行整改，如承包人在规定时间内仍不纠正违约行为的，发包人有权解除合同且向承包人发出解除合同通知。合同解除后，发包人可派员进驻施工场地，另行组织人员或委托其他承包人施工。发包人因继续完成该工程需要，有权扣留使用承包人在现场的材料、设备和临时设施。但发包人的这一行为不免除或减轻承包人应承担的违约责任，也不影响发包人根据合同约定享有的索赔权利。</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⒂承包人不得转包或转让所承包的全部或部分工程，也不得肢解所承包的工程以分包的名义分别转包给他人。承包人违反本款规定，发包人和监理人向承包人发出整改通知，要求其在指定的期限内改正或解除合同，承包人应承担其违约所引起的费用增加和（或）工期延误及一切责任，并向发包人支付签约合同价格15％的违约金。</w:t>
      </w:r>
    </w:p>
    <w:p>
      <w:pPr>
        <w:spacing w:line="360" w:lineRule="auto"/>
        <w:ind w:firstLine="540" w:firstLineChars="225"/>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⒃承包人在投标时拟投入的各类机械设备应按计划进场，不得拖延、减少或降低标准。各施工阶段所投入的各类机械设备数量、规格及型号应与投标文件中所列的各类机械设备数量、规格及型号一致。承包人开工后按投标文件承诺进场的设备、机械未经监理人或发包人许可，不得擅自撤出现场。承包人未按投标文件的承诺及监理工程师的指令进场施工机械设备，每延迟一天，承包人向发包人支付签约合同价格1％的违约金。若承包人进场的设备的数量或性能不能满足施工需要，发包人和监理人有权要求承包人更换或补充设备。否则，由此造成的工期延误和费用的增加均由承包人自行承担。</w:t>
      </w:r>
    </w:p>
    <w:p>
      <w:pPr>
        <w:tabs>
          <w:tab w:val="left" w:pos="700"/>
        </w:tabs>
        <w:spacing w:line="360" w:lineRule="auto"/>
        <w:ind w:firstLine="42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⒄在本工程建设过程中，因承包人违约而向发包人支付的违约金，发包人可在应付工程款或承包人履约担保中直接扣除违约金。</w:t>
      </w:r>
    </w:p>
    <w:p>
      <w:pPr>
        <w:tabs>
          <w:tab w:val="left" w:pos="700"/>
        </w:tabs>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18）承包人应根据工程进度及监理工程师指令及时向监理工程师递交隐蔽工程验收通知、工程质量自检报告、竣工验收申请报告等。若未按期递交以上任意一种报告的，则每延迟一天向发包人支付签约合同价格1%的违约金。</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16.2.3 因承包人违约解除合同</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kern w:val="0"/>
          <w:sz w:val="24"/>
          <w:szCs w:val="24"/>
        </w:rPr>
        <w:t>关于承包人违约解除合同的特别约定：</w:t>
      </w:r>
      <w:r>
        <w:rPr>
          <w:rFonts w:hint="eastAsia" w:ascii="仿宋" w:hAnsi="仿宋" w:eastAsia="仿宋" w:cs="仿宋"/>
          <w:bCs/>
          <w:color w:val="auto"/>
          <w:sz w:val="24"/>
          <w:szCs w:val="24"/>
          <w:u w:val="single"/>
        </w:rPr>
        <w:t>详见本专用合同条款相关条款。</w:t>
      </w:r>
    </w:p>
    <w:p>
      <w:pPr>
        <w:spacing w:line="360" w:lineRule="auto"/>
        <w:ind w:firstLine="480" w:firstLineChars="200"/>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发包人继续使用承包人在施工现场的材料、设备、临时工程、承包人文件和由承包人或以其名义编制的其他文件的费用承担方式：</w:t>
      </w:r>
      <w:r>
        <w:rPr>
          <w:rFonts w:hint="eastAsia" w:ascii="仿宋" w:hAnsi="仿宋" w:eastAsia="仿宋" w:cs="仿宋"/>
          <w:bCs/>
          <w:color w:val="auto"/>
          <w:kern w:val="0"/>
          <w:sz w:val="24"/>
          <w:szCs w:val="24"/>
          <w:u w:val="single"/>
        </w:rPr>
        <w:t>除按实际使用承包人在施工现场的材料、工程设备数量和发包人确认的价格支付承包人在施工现场的材料、工程设备费 ，其他费用发包人不予支付</w:t>
      </w:r>
      <w:r>
        <w:rPr>
          <w:rFonts w:hint="eastAsia" w:ascii="仿宋" w:hAnsi="仿宋" w:eastAsia="仿宋" w:cs="仿宋"/>
          <w:bCs/>
          <w:color w:val="auto"/>
          <w:kern w:val="0"/>
          <w:sz w:val="24"/>
          <w:szCs w:val="24"/>
        </w:rPr>
        <w:t>。</w:t>
      </w:r>
    </w:p>
    <w:p>
      <w:pPr>
        <w:adjustRightInd w:val="0"/>
        <w:snapToGrid w:val="0"/>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还应执行：发包人和承包人未能就解除合同后的清算和款项支付达成一致而形成争议的，除按第20条的约定办理的程序外，发包人有权对项目进行全面管理，承包人不得以任何借口阻扰或拖延发包人的组织安排。</w:t>
      </w:r>
    </w:p>
    <w:p>
      <w:pPr>
        <w:spacing w:line="360" w:lineRule="auto"/>
        <w:ind w:firstLine="480" w:firstLineChars="200"/>
        <w:rPr>
          <w:rFonts w:hint="eastAsia" w:ascii="仿宋" w:hAnsi="仿宋" w:eastAsia="仿宋" w:cs="仿宋"/>
          <w:bCs/>
          <w:color w:val="auto"/>
          <w:sz w:val="24"/>
          <w:szCs w:val="24"/>
        </w:rPr>
      </w:pPr>
      <w:bookmarkStart w:id="201" w:name="_Toc351203649"/>
      <w:r>
        <w:rPr>
          <w:rFonts w:hint="eastAsia" w:ascii="仿宋" w:hAnsi="仿宋" w:eastAsia="仿宋" w:cs="仿宋"/>
          <w:bCs/>
          <w:color w:val="auto"/>
          <w:sz w:val="24"/>
          <w:szCs w:val="24"/>
        </w:rPr>
        <w:t>承包人在施工过程中必须遵守发包人的相应文件规定。</w:t>
      </w:r>
    </w:p>
    <w:p>
      <w:pPr>
        <w:tabs>
          <w:tab w:val="left" w:pos="700"/>
        </w:tabs>
        <w:spacing w:line="360" w:lineRule="auto"/>
        <w:ind w:firstLine="420"/>
        <w:rPr>
          <w:rFonts w:hint="eastAsia" w:ascii="仿宋" w:hAnsi="仿宋" w:eastAsia="仿宋" w:cs="仿宋"/>
          <w:bCs/>
          <w:color w:val="auto"/>
          <w:sz w:val="24"/>
          <w:szCs w:val="24"/>
        </w:rPr>
      </w:pPr>
      <w:r>
        <w:rPr>
          <w:rFonts w:hint="eastAsia" w:ascii="仿宋" w:hAnsi="仿宋" w:eastAsia="仿宋" w:cs="仿宋"/>
          <w:bCs/>
          <w:color w:val="auto"/>
          <w:sz w:val="24"/>
          <w:szCs w:val="24"/>
        </w:rPr>
        <w:t>17. 不可抗力</w:t>
      </w:r>
      <w:bookmarkEnd w:id="201"/>
      <w:r>
        <w:rPr>
          <w:rFonts w:hint="eastAsia" w:ascii="仿宋" w:hAnsi="仿宋" w:eastAsia="仿宋" w:cs="仿宋"/>
          <w:bCs/>
          <w:color w:val="auto"/>
          <w:sz w:val="24"/>
          <w:szCs w:val="24"/>
        </w:rPr>
        <w:t xml:space="preserve"> </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17.1 不可抗力的确认</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除通用合同条款约定的不可抗力事件之外，视为不可抗力的其他情形：</w:t>
      </w:r>
      <w:r>
        <w:rPr>
          <w:rFonts w:hint="eastAsia" w:ascii="仿宋" w:hAnsi="仿宋" w:eastAsia="仿宋" w:cs="仿宋"/>
          <w:bCs/>
          <w:color w:val="auto"/>
          <w:kern w:val="0"/>
          <w:sz w:val="24"/>
          <w:szCs w:val="24"/>
          <w:u w:val="single"/>
        </w:rPr>
        <w:t xml:space="preserve"> 自然原因：洪水、暴风、暴风雪、干旱等人类无法控制的灾害事故；社会原因：罢工、政府禁止令等引起的社会突发性事件。</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17.2 因不可抗力解除合同</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合同解除后，发包人应在商定或确定发包人应支付款项后</w:t>
      </w:r>
      <w:r>
        <w:rPr>
          <w:rFonts w:hint="eastAsia" w:ascii="仿宋" w:hAnsi="仿宋" w:eastAsia="仿宋" w:cs="仿宋"/>
          <w:bCs/>
          <w:color w:val="auto"/>
          <w:sz w:val="24"/>
          <w:szCs w:val="24"/>
          <w:u w:val="single"/>
        </w:rPr>
        <w:t xml:space="preserve"> 28 </w:t>
      </w:r>
      <w:r>
        <w:rPr>
          <w:rFonts w:hint="eastAsia" w:ascii="仿宋" w:hAnsi="仿宋" w:eastAsia="仿宋" w:cs="仿宋"/>
          <w:bCs/>
          <w:color w:val="auto"/>
          <w:sz w:val="24"/>
          <w:szCs w:val="24"/>
        </w:rPr>
        <w:t>天内完成款项的支付。</w:t>
      </w:r>
      <w:bookmarkStart w:id="202" w:name="_Toc351203650"/>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18. 保险</w:t>
      </w:r>
      <w:bookmarkEnd w:id="202"/>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18.1 工程保险</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关于工程保险的特别约定：</w:t>
      </w:r>
      <w:r>
        <w:rPr>
          <w:rFonts w:hint="eastAsia" w:ascii="仿宋" w:hAnsi="仿宋" w:eastAsia="仿宋" w:cs="仿宋"/>
          <w:bCs/>
          <w:color w:val="auto"/>
          <w:sz w:val="24"/>
          <w:szCs w:val="24"/>
          <w:u w:val="single"/>
        </w:rPr>
        <w:t>承包人应以发包人和承包人的共同名义向双方同意的保险人投保建筑工程一切险，保险费用已含在承包人的投标报价中。</w:t>
      </w:r>
    </w:p>
    <w:p>
      <w:pPr>
        <w:spacing w:line="360" w:lineRule="auto"/>
        <w:ind w:firstLine="42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（1）投保内容：本工程工地范围内的建筑、安装工程及用于该工程的材料、机械、设备因自然灾害或意外事故造成的损坏或灭失。</w:t>
      </w:r>
    </w:p>
    <w:p>
      <w:pPr>
        <w:spacing w:line="360" w:lineRule="auto"/>
        <w:ind w:firstLine="42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（2）保险金额：本工程工地范围内的建筑、安装工程及用于该工程的材料、机械、设备的实际总价值。</w:t>
      </w:r>
    </w:p>
    <w:p>
      <w:pPr>
        <w:spacing w:line="360" w:lineRule="auto"/>
        <w:ind w:firstLine="42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（3）保险期限：自被保险工程在工地动工或用于保险工程的材料、机械、设备运抵工地之时起，至发包人签发完工验收证书或验收合格，或发包人实际占有或使用或接收该工程之时止（以最迟者为准）。</w:t>
      </w:r>
    </w:p>
    <w:p>
      <w:pPr>
        <w:spacing w:line="360" w:lineRule="auto"/>
        <w:ind w:firstLine="42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（4）保险受益人：按投资主体确定受益人。</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18.3 其他保险</w:t>
      </w:r>
    </w:p>
    <w:p>
      <w:pPr>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sz w:val="24"/>
          <w:szCs w:val="24"/>
        </w:rPr>
        <w:t>关于其他保险的约定：</w:t>
      </w:r>
      <w:r>
        <w:rPr>
          <w:rFonts w:hint="eastAsia" w:ascii="仿宋" w:hAnsi="仿宋" w:eastAsia="仿宋" w:cs="仿宋"/>
          <w:bCs/>
          <w:color w:val="auto"/>
          <w:kern w:val="0"/>
          <w:sz w:val="24"/>
          <w:szCs w:val="24"/>
          <w:u w:val="single"/>
        </w:rPr>
        <w:t xml:space="preserve">   /   </w:t>
      </w:r>
      <w:r>
        <w:rPr>
          <w:rFonts w:hint="eastAsia" w:ascii="仿宋" w:hAnsi="仿宋" w:eastAsia="仿宋" w:cs="仿宋"/>
          <w:bCs/>
          <w:color w:val="auto"/>
          <w:kern w:val="0"/>
          <w:sz w:val="24"/>
          <w:szCs w:val="24"/>
        </w:rPr>
        <w:t>。</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承包人是否应为其施工设备等办理财产保险：</w:t>
      </w:r>
      <w:r>
        <w:rPr>
          <w:rFonts w:hint="eastAsia" w:ascii="仿宋" w:hAnsi="仿宋" w:eastAsia="仿宋" w:cs="仿宋"/>
          <w:bCs/>
          <w:color w:val="auto"/>
          <w:sz w:val="24"/>
          <w:szCs w:val="24"/>
          <w:u w:val="single"/>
        </w:rPr>
        <w:t xml:space="preserve"> 是 。</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18.5保险凭证</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还应执行：①承包人应在开工后一个月内向发包人提交各项保险生效的证据和保险单副本。</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保险金不足以补偿损失的，由发包人和承包人协议解决。</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②保险的延期：</w:t>
      </w:r>
    </w:p>
    <w:p>
      <w:pPr>
        <w:spacing w:line="360" w:lineRule="auto"/>
        <w:ind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若因非承包人原因（除不可抗力）出现工程尚未完工但保险已过期的情况，承包人应主动续保，涉及费用由发包人及承包人双方协商支付。若承包人不主动续保，因保险过期各类损失无法得到保险赔偿，由此造成损失由承包人自行承担。</w:t>
      </w:r>
    </w:p>
    <w:p>
      <w:pPr>
        <w:spacing w:line="360" w:lineRule="auto"/>
        <w:ind w:firstLine="42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若因不可抗力原因出现工程尚未完工但保险已过期的情况，承包人应主动续保，涉及费用由发包人和承包人双方协商予以支付。若承包人不主动续保，因保险过期各类损失无法得到保险赔偿，由此造成损失由承包人自行承担。</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18.7 通知义务</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kern w:val="0"/>
          <w:sz w:val="24"/>
          <w:szCs w:val="24"/>
        </w:rPr>
        <w:t>关于变更保险合同时的通知义务的约定：</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20、争议解决</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20.3争议评审</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合同当事人是否同意将工程争议提交争议评审小组决定：</w:t>
      </w:r>
      <w:r>
        <w:rPr>
          <w:rFonts w:hint="eastAsia" w:ascii="仿宋" w:hAnsi="仿宋" w:eastAsia="仿宋" w:cs="仿宋"/>
          <w:bCs/>
          <w:color w:val="auto"/>
          <w:sz w:val="24"/>
          <w:szCs w:val="24"/>
          <w:u w:val="single"/>
        </w:rPr>
        <w:t xml:space="preserve">  同意  。</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20.3.1争议评审小组的确定</w:t>
      </w:r>
    </w:p>
    <w:p>
      <w:pPr>
        <w:spacing w:line="360" w:lineRule="auto"/>
        <w:ind w:firstLine="480" w:firstLineChars="200"/>
        <w:jc w:val="left"/>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争议评审小组成员的确定：</w:t>
      </w:r>
      <w:r>
        <w:rPr>
          <w:rFonts w:hint="eastAsia" w:ascii="仿宋" w:hAnsi="仿宋" w:eastAsia="仿宋" w:cs="仿宋"/>
          <w:bCs/>
          <w:color w:val="auto"/>
          <w:sz w:val="24"/>
          <w:szCs w:val="24"/>
          <w:u w:val="single"/>
        </w:rPr>
        <w:t>3名合同当事人各自选1名，第3名成员为首席争议评审员，由合同当事人共同确定或由合同当事人委托已选定的争议评审员共同确定</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选定争议评审员的期限：</w:t>
      </w:r>
      <w:r>
        <w:rPr>
          <w:rFonts w:hint="eastAsia" w:ascii="仿宋" w:hAnsi="仿宋" w:eastAsia="仿宋" w:cs="仿宋"/>
          <w:bCs/>
          <w:color w:val="auto"/>
          <w:sz w:val="24"/>
          <w:szCs w:val="24"/>
          <w:u w:val="single"/>
        </w:rPr>
        <w:t>争议发生后7天内</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争议评审小组成员的报酬承担方式：</w:t>
      </w:r>
      <w:r>
        <w:rPr>
          <w:rFonts w:hint="eastAsia" w:ascii="仿宋" w:hAnsi="仿宋" w:eastAsia="仿宋" w:cs="仿宋"/>
          <w:bCs/>
          <w:color w:val="auto"/>
          <w:sz w:val="24"/>
          <w:szCs w:val="24"/>
          <w:u w:val="single"/>
        </w:rPr>
        <w:t>发、承包双方各承担一半</w:t>
      </w:r>
      <w:r>
        <w:rPr>
          <w:rFonts w:hint="eastAsia" w:ascii="仿宋" w:hAnsi="仿宋" w:eastAsia="仿宋" w:cs="仿宋"/>
          <w:bCs/>
          <w:color w:val="auto"/>
          <w:sz w:val="24"/>
          <w:szCs w:val="24"/>
        </w:rPr>
        <w:t>。</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其他事项的约定：</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w:t>
      </w:r>
    </w:p>
    <w:p>
      <w:pPr>
        <w:autoSpaceDE w:val="0"/>
        <w:autoSpaceDN w:val="0"/>
        <w:adjustRightInd w:val="0"/>
        <w:spacing w:line="360" w:lineRule="auto"/>
        <w:ind w:firstLine="48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20.3.2争议评审小组的决定</w:t>
      </w:r>
    </w:p>
    <w:p>
      <w:pPr>
        <w:spacing w:line="360" w:lineRule="auto"/>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合同当事人关于本项的约定</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20.4仲裁或诉讼</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因合同及合同有关事项发生的争议，按下列第</w:t>
      </w:r>
      <w:r>
        <w:rPr>
          <w:rFonts w:hint="eastAsia" w:ascii="仿宋" w:hAnsi="仿宋" w:eastAsia="仿宋" w:cs="仿宋"/>
          <w:bCs/>
          <w:color w:val="auto"/>
          <w:sz w:val="24"/>
          <w:szCs w:val="24"/>
          <w:u w:val="single"/>
        </w:rPr>
        <w:t>（2）</w:t>
      </w:r>
      <w:r>
        <w:rPr>
          <w:rFonts w:hint="eastAsia" w:ascii="仿宋" w:hAnsi="仿宋" w:eastAsia="仿宋" w:cs="仿宋"/>
          <w:bCs/>
          <w:color w:val="auto"/>
          <w:sz w:val="24"/>
          <w:szCs w:val="24"/>
        </w:rPr>
        <w:t>种方式解决：</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仲裁委员会申请仲裁；</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人民法院起诉。</w:t>
      </w:r>
    </w:p>
    <w:p>
      <w:pPr>
        <w:spacing w:line="360" w:lineRule="auto"/>
        <w:ind w:firstLine="480" w:firstLineChars="200"/>
        <w:jc w:val="left"/>
        <w:rPr>
          <w:rFonts w:hint="eastAsia" w:ascii="仿宋" w:hAnsi="仿宋" w:eastAsia="仿宋" w:cs="仿宋"/>
          <w:color w:val="auto"/>
          <w:sz w:val="24"/>
          <w:szCs w:val="24"/>
        </w:rPr>
      </w:pPr>
    </w:p>
    <w:p>
      <w:pPr>
        <w:spacing w:line="360" w:lineRule="auto"/>
        <w:ind w:firstLine="480" w:firstLineChars="200"/>
        <w:jc w:val="left"/>
        <w:rPr>
          <w:rFonts w:hint="eastAsia" w:ascii="仿宋" w:hAnsi="仿宋" w:eastAsia="仿宋" w:cs="仿宋"/>
          <w:color w:val="auto"/>
          <w:sz w:val="24"/>
          <w:szCs w:val="24"/>
        </w:rPr>
      </w:pPr>
    </w:p>
    <w:p>
      <w:pPr>
        <w:pStyle w:val="12"/>
        <w:ind w:left="63" w:right="63"/>
        <w:rPr>
          <w:rFonts w:hint="eastAsia" w:ascii="仿宋" w:hAnsi="仿宋" w:eastAsia="仿宋" w:cs="仿宋"/>
          <w:color w:val="auto"/>
          <w:sz w:val="24"/>
          <w:szCs w:val="24"/>
        </w:rPr>
      </w:pPr>
    </w:p>
    <w:p>
      <w:pPr>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工程质量保修书</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发包人（全称）：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承包人（全称）：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发包人和承包人根据《中华人民共和国建筑法》和《建设工程质量管理条例》，经协商一致就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（工程全称）签订工程质量保修书。</w:t>
      </w:r>
    </w:p>
    <w:p>
      <w:pPr>
        <w:spacing w:line="360" w:lineRule="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一、工程质量保修范围和内容</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承包人在质量保修期内，按照有关法律规定和合同约定，承担工程质量保修责任。</w:t>
      </w:r>
    </w:p>
    <w:p>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质量保修范围包括地基基础工程、主体结构工程，屋面防水工程、有防水要求的卫生间、房间和外墙面的防渗漏工程，供热与供冷系统，电气管线、给排水管道、设备安装工程，装修工程等，以及双方约定的其他项目。具体保修的内容，双方约定如下：</w:t>
      </w:r>
      <w:r>
        <w:rPr>
          <w:rFonts w:hint="eastAsia" w:ascii="仿宋" w:hAnsi="仿宋" w:eastAsia="仿宋" w:cs="仿宋"/>
          <w:bCs/>
          <w:color w:val="auto"/>
          <w:sz w:val="24"/>
          <w:szCs w:val="24"/>
          <w:u w:val="single"/>
        </w:rPr>
        <w:t>由承包人承建的全部工程项目均在保修范围内</w:t>
      </w:r>
      <w:r>
        <w:rPr>
          <w:rFonts w:hint="eastAsia" w:ascii="仿宋" w:hAnsi="仿宋" w:eastAsia="仿宋" w:cs="仿宋"/>
          <w:color w:val="auto"/>
          <w:sz w:val="24"/>
          <w:szCs w:val="24"/>
        </w:rPr>
        <w:t>。</w:t>
      </w:r>
    </w:p>
    <w:p>
      <w:pPr>
        <w:spacing w:line="360" w:lineRule="auto"/>
        <w:outlineLvl w:val="0"/>
        <w:rPr>
          <w:rFonts w:hint="eastAsia" w:ascii="仿宋" w:hAnsi="仿宋" w:eastAsia="仿宋" w:cs="仿宋"/>
          <w:color w:val="auto"/>
          <w:sz w:val="24"/>
          <w:szCs w:val="24"/>
        </w:rPr>
      </w:pPr>
      <w:r>
        <w:rPr>
          <w:rFonts w:hint="eastAsia" w:ascii="仿宋" w:hAnsi="仿宋" w:eastAsia="仿宋" w:cs="仿宋"/>
          <w:b/>
          <w:color w:val="auto"/>
          <w:sz w:val="24"/>
          <w:szCs w:val="24"/>
        </w:rPr>
        <w:t>　　</w:t>
      </w:r>
      <w:r>
        <w:rPr>
          <w:rFonts w:hint="eastAsia" w:ascii="仿宋" w:hAnsi="仿宋" w:eastAsia="仿宋" w:cs="仿宋"/>
          <w:color w:val="auto"/>
          <w:sz w:val="24"/>
          <w:szCs w:val="24"/>
        </w:rPr>
        <w:t>二、质量保修期</w:t>
      </w:r>
    </w:p>
    <w:p>
      <w:p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根据《建设工程质量管理条例》及有关规定，工程的质量保修期如下：</w:t>
      </w:r>
    </w:p>
    <w:p>
      <w:pPr>
        <w:numPr>
          <w:ilvl w:val="0"/>
          <w:numId w:val="12"/>
        </w:num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地基基础工程、主体结构工程为设计文件规定的合理使用年限；</w:t>
      </w:r>
    </w:p>
    <w:p>
      <w:pPr>
        <w:numPr>
          <w:ilvl w:val="0"/>
          <w:numId w:val="12"/>
        </w:num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屋面防水工程、有防水要求的卫生间、房间和外墙面的防渗漏工程为</w:t>
      </w:r>
      <w:r>
        <w:rPr>
          <w:rFonts w:hint="eastAsia" w:ascii="仿宋" w:hAnsi="仿宋" w:eastAsia="仿宋" w:cs="仿宋"/>
          <w:color w:val="auto"/>
          <w:sz w:val="24"/>
          <w:szCs w:val="24"/>
          <w:u w:val="single"/>
        </w:rPr>
        <w:t xml:space="preserve"> 10</w:t>
      </w:r>
      <w:r>
        <w:rPr>
          <w:rFonts w:hint="eastAsia" w:ascii="仿宋" w:hAnsi="仿宋" w:eastAsia="仿宋" w:cs="仿宋"/>
          <w:color w:val="auto"/>
          <w:sz w:val="24"/>
          <w:szCs w:val="24"/>
        </w:rPr>
        <w:t>年；</w:t>
      </w:r>
    </w:p>
    <w:p>
      <w:pPr>
        <w:numPr>
          <w:ilvl w:val="0"/>
          <w:numId w:val="12"/>
        </w:num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装修工程为</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年；</w:t>
      </w:r>
    </w:p>
    <w:p>
      <w:pPr>
        <w:numPr>
          <w:ilvl w:val="0"/>
          <w:numId w:val="12"/>
        </w:num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电气管线、给排水管道、设备安装工程为</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年；</w:t>
      </w:r>
    </w:p>
    <w:p>
      <w:pPr>
        <w:numPr>
          <w:ilvl w:val="0"/>
          <w:numId w:val="12"/>
        </w:num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供热与供冷系统为</w:t>
      </w:r>
      <w:r>
        <w:rPr>
          <w:rFonts w:hint="eastAsia" w:ascii="仿宋" w:hAnsi="仿宋" w:eastAsia="仿宋" w:cs="仿宋"/>
          <w:color w:val="auto"/>
          <w:sz w:val="24"/>
          <w:szCs w:val="24"/>
          <w:u w:val="single"/>
        </w:rPr>
        <w:t xml:space="preserve">  5 </w:t>
      </w:r>
      <w:r>
        <w:rPr>
          <w:rFonts w:hint="eastAsia" w:ascii="仿宋" w:hAnsi="仿宋" w:eastAsia="仿宋" w:cs="仿宋"/>
          <w:color w:val="auto"/>
          <w:sz w:val="24"/>
          <w:szCs w:val="24"/>
        </w:rPr>
        <w:t>个采暖期、供冷期；</w:t>
      </w:r>
    </w:p>
    <w:p>
      <w:pPr>
        <w:numPr>
          <w:ilvl w:val="0"/>
          <w:numId w:val="12"/>
        </w:num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住宅小区内的给排水设施、道路等配套工程为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p>
    <w:p>
      <w:pPr>
        <w:numPr>
          <w:ilvl w:val="0"/>
          <w:numId w:val="12"/>
        </w:num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其他项目保修期约定如下：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p>
    <w:p>
      <w:pPr>
        <w:numPr>
          <w:ilvl w:val="0"/>
          <w:numId w:val="12"/>
        </w:numPr>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质量保修期自工程竣工验收合格签字之日起计算。</w:t>
      </w:r>
    </w:p>
    <w:p>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三、缺陷责任期</w:t>
      </w: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工程缺陷责任期为</w:t>
      </w:r>
      <w:r>
        <w:rPr>
          <w:rFonts w:hint="eastAsia" w:ascii="仿宋" w:hAnsi="仿宋" w:eastAsia="仿宋" w:cs="仿宋"/>
          <w:color w:val="auto"/>
          <w:sz w:val="24"/>
          <w:szCs w:val="24"/>
          <w:u w:val="single"/>
        </w:rPr>
        <w:t xml:space="preserve"> 24 </w:t>
      </w:r>
      <w:r>
        <w:rPr>
          <w:rFonts w:hint="eastAsia" w:ascii="仿宋" w:hAnsi="仿宋" w:eastAsia="仿宋" w:cs="仿宋"/>
          <w:color w:val="auto"/>
          <w:sz w:val="24"/>
          <w:szCs w:val="24"/>
        </w:rPr>
        <w:t>个月，防水设施缺陷责任期</w:t>
      </w:r>
      <w:r>
        <w:rPr>
          <w:rFonts w:hint="eastAsia" w:ascii="仿宋" w:hAnsi="仿宋" w:eastAsia="仿宋" w:cs="仿宋"/>
          <w:color w:val="auto"/>
          <w:sz w:val="24"/>
          <w:szCs w:val="24"/>
          <w:u w:val="single"/>
        </w:rPr>
        <w:t>60</w:t>
      </w:r>
      <w:r>
        <w:rPr>
          <w:rFonts w:hint="eastAsia" w:ascii="仿宋" w:hAnsi="仿宋" w:eastAsia="仿宋" w:cs="仿宋"/>
          <w:color w:val="auto"/>
          <w:sz w:val="24"/>
          <w:szCs w:val="24"/>
        </w:rPr>
        <w:t>个月。</w:t>
      </w: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缺陷责任期自工程竣工验收合格签字之日起计算。单位工程先于全部工程进行验收，单位工程缺陷责任期自单位工程验收合格签字之日起算。</w:t>
      </w:r>
    </w:p>
    <w:p>
      <w:pPr>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缺陷责任期终止后，发包人应退还剩余的质量保证金。</w:t>
      </w:r>
    </w:p>
    <w:p>
      <w:pPr>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四、质量保修责任</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1、属于保修范围、内容的项目，承包人应当在接到保修通知之日起7天内派人保修。承包人不在约定期限内派人保修的，发包人可以委托他人修理。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2、发生紧急抢修事故的，承包人在接到事故通知</w:t>
      </w:r>
      <w:r>
        <w:rPr>
          <w:rFonts w:hint="eastAsia" w:ascii="仿宋" w:hAnsi="仿宋" w:eastAsia="仿宋" w:cs="仿宋"/>
          <w:color w:val="auto"/>
          <w:sz w:val="24"/>
          <w:szCs w:val="24"/>
          <w:u w:val="single"/>
        </w:rPr>
        <w:t>8小时内</w:t>
      </w:r>
      <w:r>
        <w:rPr>
          <w:rFonts w:hint="eastAsia" w:ascii="仿宋" w:hAnsi="仿宋" w:eastAsia="仿宋" w:cs="仿宋"/>
          <w:color w:val="auto"/>
          <w:sz w:val="24"/>
          <w:szCs w:val="24"/>
        </w:rPr>
        <w:t>到达事故现场抢修。</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对于涉及结构安全的质量问题，应当按照《建设工程质量管理条例》的规定，立即向当地行政主管部门和有关部门报告，采取安全防范措施；并由原设计人或者具有相应资质等级有设计人提出保修方案，承包人实施保修。</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4、质量保修完成后，由发包人组织验收。</w:t>
      </w:r>
    </w:p>
    <w:p>
      <w:pPr>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五、保修费用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保修费用由造成质量缺陷的责任方承担。</w:t>
      </w:r>
    </w:p>
    <w:p>
      <w:pPr>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六、双方约定的其他工程质量保修事项：</w:t>
      </w:r>
      <w:r>
        <w:rPr>
          <w:rFonts w:hint="eastAsia" w:ascii="仿宋" w:hAnsi="仿宋" w:eastAsia="仿宋" w:cs="仿宋"/>
          <w:b/>
          <w:color w:val="auto"/>
          <w:sz w:val="24"/>
          <w:szCs w:val="24"/>
          <w:u w:val="single"/>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工程质量保修书由发包人、承包人在工程竣工验收前共同签署，作为施工合同附件，其有效期限至保修期满。</w:t>
      </w:r>
    </w:p>
    <w:p>
      <w:pPr>
        <w:pStyle w:val="12"/>
        <w:ind w:left="63" w:right="63"/>
        <w:rPr>
          <w:rFonts w:hint="eastAsia" w:ascii="仿宋" w:hAnsi="仿宋" w:eastAsia="仿宋" w:cs="仿宋"/>
          <w:color w:val="auto"/>
          <w:sz w:val="24"/>
          <w:szCs w:val="24"/>
        </w:rPr>
      </w:pPr>
    </w:p>
    <w:p>
      <w:pPr>
        <w:pStyle w:val="12"/>
        <w:ind w:left="63" w:right="63"/>
        <w:rPr>
          <w:rFonts w:hint="eastAsia" w:ascii="仿宋" w:hAnsi="仿宋" w:eastAsia="仿宋" w:cs="仿宋"/>
          <w:color w:val="auto"/>
          <w:sz w:val="24"/>
          <w:szCs w:val="24"/>
        </w:rPr>
      </w:pPr>
    </w:p>
    <w:p>
      <w:pPr>
        <w:spacing w:line="360" w:lineRule="auto"/>
        <w:ind w:firstLine="456" w:firstLineChars="190"/>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发包人(公章)：</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 xml:space="preserve">        承包人(公章)：</w:t>
      </w:r>
      <w:r>
        <w:rPr>
          <w:rFonts w:hint="eastAsia" w:ascii="仿宋" w:hAnsi="仿宋" w:eastAsia="仿宋" w:cs="仿宋"/>
          <w:color w:val="auto"/>
          <w:sz w:val="24"/>
          <w:szCs w:val="24"/>
          <w:u w:val="single"/>
        </w:rPr>
        <w:t xml:space="preserve">          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地  址：</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地  址：</w:t>
      </w:r>
      <w:r>
        <w:rPr>
          <w:rFonts w:hint="eastAsia" w:ascii="仿宋" w:hAnsi="仿宋" w:eastAsia="仿宋" w:cs="仿宋"/>
          <w:color w:val="auto"/>
          <w:sz w:val="24"/>
          <w:szCs w:val="24"/>
          <w:u w:val="single"/>
        </w:rPr>
        <w:t xml:space="preserve"> 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法定代表人(签字)：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法定代表人(签字)：</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委托代理人(签字)：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委托代理人(签字)：</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电  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  话：</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传  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  真：</w:t>
      </w:r>
      <w:r>
        <w:rPr>
          <w:rFonts w:hint="eastAsia" w:ascii="仿宋" w:hAnsi="仿宋" w:eastAsia="仿宋" w:cs="仿宋"/>
          <w:color w:val="auto"/>
          <w:sz w:val="24"/>
          <w:szCs w:val="24"/>
          <w:u w:val="single"/>
        </w:rPr>
        <w:t xml:space="preserve">  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开户银行：</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账  号：</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账  号：</w:t>
      </w:r>
      <w:r>
        <w:rPr>
          <w:rFonts w:hint="eastAsia" w:ascii="仿宋" w:hAnsi="仿宋" w:eastAsia="仿宋" w:cs="仿宋"/>
          <w:color w:val="auto"/>
          <w:sz w:val="24"/>
          <w:szCs w:val="24"/>
          <w:u w:val="single"/>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rPr>
        <w:t>　邮政编码：</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rPr>
        <w:t xml:space="preserve">   </w:t>
      </w:r>
    </w:p>
    <w:p>
      <w:pPr>
        <w:pageBreakBefore/>
        <w:tabs>
          <w:tab w:val="left" w:pos="7665"/>
        </w:tabs>
        <w:spacing w:line="360" w:lineRule="auto"/>
        <w:ind w:firstLine="301" w:firstLineChars="100"/>
        <w:jc w:val="center"/>
        <w:rPr>
          <w:rFonts w:hint="eastAsia" w:ascii="仿宋" w:hAnsi="仿宋" w:eastAsia="仿宋" w:cs="仿宋"/>
          <w:color w:val="auto"/>
          <w:sz w:val="24"/>
          <w:highlight w:val="none"/>
        </w:rPr>
      </w:pPr>
      <w:r>
        <w:rPr>
          <w:rFonts w:hint="eastAsia" w:ascii="仿宋" w:hAnsi="仿宋" w:eastAsia="仿宋" w:cs="仿宋"/>
          <w:b/>
          <w:bCs/>
          <w:color w:val="auto"/>
          <w:sz w:val="30"/>
          <w:szCs w:val="30"/>
          <w:highlight w:val="none"/>
        </w:rPr>
        <w:t>第五章、</w:t>
      </w:r>
      <w:bookmarkEnd w:id="181"/>
      <w:r>
        <w:rPr>
          <w:rFonts w:hint="eastAsia" w:ascii="仿宋" w:hAnsi="仿宋" w:eastAsia="仿宋" w:cs="仿宋"/>
          <w:b/>
          <w:bCs/>
          <w:color w:val="auto"/>
          <w:sz w:val="30"/>
          <w:szCs w:val="30"/>
          <w:highlight w:val="none"/>
          <w:lang w:eastAsia="zh-CN"/>
        </w:rPr>
        <w:t>投标文件</w:t>
      </w:r>
      <w:r>
        <w:rPr>
          <w:rFonts w:hint="eastAsia" w:ascii="仿宋" w:hAnsi="仿宋" w:eastAsia="仿宋" w:cs="仿宋"/>
          <w:b/>
          <w:bCs/>
          <w:color w:val="auto"/>
          <w:sz w:val="30"/>
          <w:szCs w:val="30"/>
          <w:highlight w:val="none"/>
        </w:rPr>
        <w:t>格式</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投标文件封面；</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响应函</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投标总价</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法定代表人资格证明书</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法定代表人授权书</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中小企业声明函</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承诺书</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项目负责人简历</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主要施工管理人员汇总表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主要施工机械设备表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项目拟分包情况表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安全文明施工费费用明细表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投标总价总说明</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建设项目投标报价汇总表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单项工程投标报价汇总表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单位工程投标报价汇总表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分部分项工程和单价措施项目清单与计价表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综合单价分析表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总价措施项目清单与计价表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其他项目清单与计价汇总表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暂列金额明细表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材料(工程设备)暂估单价及调整表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专业工程估价表及结算价表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措施项目汇总表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计日工表</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规费、税金项目计价表(建筑工程)</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规费、税金项目计价表(安装工程)</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规费、税金项目计价表(装饰装修工程)</w:t>
      </w:r>
    </w:p>
    <w:p>
      <w:pPr>
        <w:pStyle w:val="23"/>
        <w:numPr>
          <w:ilvl w:val="0"/>
          <w:numId w:val="13"/>
        </w:numPr>
        <w:spacing w:line="312" w:lineRule="auto"/>
        <w:ind w:left="0" w:leftChars="0"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rPr>
        <w:t>资格性/符合性自查表</w:t>
      </w:r>
    </w:p>
    <w:p>
      <w:pPr>
        <w:pStyle w:val="23"/>
        <w:spacing w:line="312" w:lineRule="auto"/>
        <w:ind w:left="-85" w:firstLine="562" w:firstLineChars="200"/>
        <w:jc w:val="center"/>
        <w:rPr>
          <w:rFonts w:hint="eastAsia" w:ascii="仿宋" w:hAnsi="仿宋" w:eastAsia="仿宋" w:cs="仿宋"/>
          <w:b/>
          <w:bCs/>
          <w:color w:val="auto"/>
          <w:sz w:val="28"/>
          <w:szCs w:val="28"/>
          <w:highlight w:val="none"/>
        </w:rPr>
      </w:pPr>
    </w:p>
    <w:p>
      <w:pPr>
        <w:pStyle w:val="23"/>
        <w:spacing w:line="312" w:lineRule="auto"/>
        <w:ind w:left="-85" w:firstLine="562" w:firstLineChars="200"/>
        <w:jc w:val="center"/>
        <w:rPr>
          <w:rFonts w:hint="eastAsia" w:ascii="仿宋" w:hAnsi="仿宋" w:eastAsia="仿宋" w:cs="仿宋"/>
          <w:b/>
          <w:bCs/>
          <w:color w:val="auto"/>
          <w:sz w:val="28"/>
          <w:szCs w:val="28"/>
          <w:highlight w:val="none"/>
        </w:rPr>
      </w:pPr>
    </w:p>
    <w:p>
      <w:pPr>
        <w:spacing w:line="10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pStyle w:val="4"/>
        <w:rPr>
          <w:rFonts w:hint="eastAsia"/>
          <w:color w:val="auto"/>
        </w:rPr>
      </w:pPr>
    </w:p>
    <w:p>
      <w:pPr>
        <w:keepNext w:val="0"/>
        <w:keepLines w:val="0"/>
        <w:pageBreakBefore w:val="0"/>
        <w:widowControl w:val="0"/>
        <w:kinsoku/>
        <w:wordWrap/>
        <w:overflowPunct/>
        <w:topLinePunct w:val="0"/>
        <w:autoSpaceDE/>
        <w:autoSpaceDN/>
        <w:bidi w:val="0"/>
        <w:adjustRightInd/>
        <w:snapToGrid/>
        <w:spacing w:line="1200" w:lineRule="exact"/>
        <w:ind w:right="-319" w:rightChars="-152"/>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克拉玛依市白碱滩区（克拉玛依高新技术产业开发区）金龙镇学校改善提升工程</w:t>
      </w:r>
    </w:p>
    <w:p>
      <w:pPr>
        <w:keepNext w:val="0"/>
        <w:keepLines w:val="0"/>
        <w:pageBreakBefore w:val="0"/>
        <w:widowControl w:val="0"/>
        <w:kinsoku/>
        <w:wordWrap/>
        <w:overflowPunct/>
        <w:topLinePunct w:val="0"/>
        <w:autoSpaceDE/>
        <w:autoSpaceDN/>
        <w:bidi w:val="0"/>
        <w:adjustRightInd/>
        <w:snapToGrid/>
        <w:spacing w:line="1200" w:lineRule="exact"/>
        <w:ind w:right="-319" w:rightChars="-152"/>
        <w:jc w:val="center"/>
        <w:textAlignment w:val="auto"/>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投标文件</w:t>
      </w:r>
    </w:p>
    <w:p>
      <w:pPr>
        <w:pStyle w:val="12"/>
        <w:jc w:val="center"/>
        <w:rPr>
          <w:rFonts w:hint="eastAsia" w:ascii="仿宋" w:hAnsi="仿宋" w:eastAsia="仿宋" w:cs="仿宋"/>
          <w:b/>
          <w:bCs/>
          <w:color w:val="auto"/>
          <w:sz w:val="36"/>
          <w:szCs w:val="36"/>
          <w:highlight w:val="none"/>
        </w:rPr>
      </w:pPr>
    </w:p>
    <w:p>
      <w:pPr>
        <w:snapToGrid w:val="0"/>
        <w:spacing w:line="48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eastAsia="zh-CN"/>
        </w:rPr>
        <w:t>招标</w:t>
      </w:r>
      <w:r>
        <w:rPr>
          <w:rFonts w:hint="eastAsia" w:ascii="仿宋" w:hAnsi="仿宋" w:eastAsia="仿宋" w:cs="仿宋"/>
          <w:b/>
          <w:color w:val="auto"/>
          <w:sz w:val="30"/>
          <w:szCs w:val="30"/>
          <w:highlight w:val="none"/>
        </w:rPr>
        <w:t>文件编号：QZX[ZC]202</w:t>
      </w: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val="en-US" w:eastAsia="zh-CN"/>
        </w:rPr>
        <w:t>15</w:t>
      </w:r>
      <w:r>
        <w:rPr>
          <w:rFonts w:hint="eastAsia" w:ascii="仿宋" w:hAnsi="仿宋" w:eastAsia="仿宋" w:cs="仿宋"/>
          <w:b/>
          <w:color w:val="auto"/>
          <w:sz w:val="30"/>
          <w:szCs w:val="30"/>
          <w:highlight w:val="none"/>
        </w:rPr>
        <w:t>）</w:t>
      </w:r>
    </w:p>
    <w:p>
      <w:pPr>
        <w:pStyle w:val="12"/>
        <w:ind w:firstLine="602" w:firstLineChars="200"/>
        <w:jc w:val="center"/>
        <w:rPr>
          <w:rFonts w:hint="eastAsia"/>
        </w:rPr>
      </w:pPr>
      <w:r>
        <w:rPr>
          <w:rFonts w:hint="eastAsia" w:ascii="仿宋" w:hAnsi="仿宋" w:eastAsia="仿宋" w:cs="仿宋"/>
          <w:b/>
          <w:color w:val="auto"/>
          <w:sz w:val="30"/>
          <w:szCs w:val="30"/>
          <w:highlight w:val="none"/>
          <w:lang w:eastAsia="zh-CN"/>
        </w:rPr>
        <w:t>（第1/2包段）</w:t>
      </w:r>
    </w:p>
    <w:p>
      <w:pPr>
        <w:snapToGrid w:val="0"/>
        <w:spacing w:line="374" w:lineRule="atLeast"/>
        <w:jc w:val="center"/>
        <w:rPr>
          <w:rFonts w:hint="eastAsia" w:ascii="仿宋" w:hAnsi="仿宋" w:eastAsia="仿宋" w:cs="仿宋"/>
          <w:b/>
          <w:color w:val="auto"/>
          <w:sz w:val="30"/>
          <w:highlight w:val="none"/>
        </w:rPr>
      </w:pPr>
    </w:p>
    <w:p>
      <w:pPr>
        <w:spacing w:line="360" w:lineRule="auto"/>
        <w:rPr>
          <w:rFonts w:hint="eastAsia" w:ascii="仿宋" w:hAnsi="仿宋" w:eastAsia="仿宋" w:cs="仿宋"/>
          <w:b/>
          <w:color w:val="auto"/>
          <w:highlight w:val="none"/>
        </w:rPr>
      </w:pPr>
    </w:p>
    <w:p>
      <w:pPr>
        <w:spacing w:line="360" w:lineRule="auto"/>
        <w:ind w:firstLine="602"/>
        <w:rPr>
          <w:rFonts w:hint="eastAsia" w:ascii="仿宋" w:hAnsi="仿宋" w:eastAsia="仿宋" w:cs="仿宋"/>
          <w:b/>
          <w:color w:val="auto"/>
          <w:sz w:val="30"/>
          <w:szCs w:val="30"/>
          <w:highlight w:val="none"/>
          <w:lang w:eastAsia="zh-CN"/>
        </w:rPr>
      </w:pPr>
    </w:p>
    <w:p>
      <w:pPr>
        <w:spacing w:line="360" w:lineRule="auto"/>
        <w:ind w:firstLine="602"/>
        <w:rPr>
          <w:rFonts w:hint="eastAsia" w:ascii="仿宋" w:hAnsi="仿宋" w:eastAsia="仿宋" w:cs="仿宋"/>
          <w:b/>
          <w:color w:val="auto"/>
          <w:sz w:val="30"/>
          <w:szCs w:val="30"/>
          <w:highlight w:val="none"/>
          <w:lang w:eastAsia="zh-CN"/>
        </w:rPr>
      </w:pPr>
    </w:p>
    <w:p>
      <w:pPr>
        <w:spacing w:line="360" w:lineRule="auto"/>
        <w:ind w:firstLine="602"/>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 （单位名称）盖章</w:t>
      </w:r>
    </w:p>
    <w:p>
      <w:pPr>
        <w:spacing w:line="360" w:lineRule="auto"/>
        <w:rPr>
          <w:rFonts w:hint="eastAsia" w:ascii="仿宋" w:hAnsi="仿宋" w:eastAsia="仿宋" w:cs="仿宋"/>
          <w:b/>
          <w:color w:val="auto"/>
          <w:sz w:val="30"/>
          <w:szCs w:val="30"/>
          <w:highlight w:val="none"/>
        </w:rPr>
      </w:pPr>
    </w:p>
    <w:p>
      <w:pPr>
        <w:spacing w:line="360" w:lineRule="auto"/>
        <w:ind w:firstLine="602"/>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单位地址：</w:t>
      </w:r>
    </w:p>
    <w:p>
      <w:pPr>
        <w:spacing w:line="360" w:lineRule="auto"/>
        <w:ind w:firstLine="602"/>
        <w:rPr>
          <w:rFonts w:hint="eastAsia" w:ascii="仿宋" w:hAnsi="仿宋" w:eastAsia="仿宋" w:cs="仿宋"/>
          <w:b/>
          <w:color w:val="auto"/>
          <w:sz w:val="30"/>
          <w:szCs w:val="30"/>
          <w:highlight w:val="none"/>
        </w:rPr>
      </w:pPr>
    </w:p>
    <w:p>
      <w:pPr>
        <w:pStyle w:val="14"/>
        <w:ind w:firstLine="596" w:firstLineChars="198"/>
        <w:outlineLvl w:val="0"/>
        <w:rPr>
          <w:rFonts w:hint="eastAsia" w:ascii="仿宋" w:hAnsi="仿宋" w:eastAsia="仿宋" w:cs="仿宋"/>
          <w:color w:val="auto"/>
          <w:sz w:val="24"/>
          <w:highlight w:val="none"/>
        </w:rPr>
      </w:pPr>
      <w:r>
        <w:rPr>
          <w:rFonts w:hint="eastAsia" w:ascii="仿宋" w:hAnsi="仿宋" w:eastAsia="仿宋" w:cs="仿宋"/>
          <w:b/>
          <w:color w:val="auto"/>
          <w:sz w:val="30"/>
          <w:szCs w:val="30"/>
          <w:highlight w:val="none"/>
        </w:rPr>
        <w:t>联系人：                   联系电话：</w:t>
      </w:r>
    </w:p>
    <w:p>
      <w:pPr>
        <w:spacing w:line="360" w:lineRule="auto"/>
        <w:rPr>
          <w:rFonts w:hint="eastAsia" w:ascii="仿宋" w:hAnsi="仿宋" w:eastAsia="仿宋" w:cs="仿宋"/>
          <w:b/>
          <w:color w:val="auto"/>
          <w:sz w:val="28"/>
          <w:szCs w:val="28"/>
          <w:highlight w:val="none"/>
        </w:rPr>
      </w:pPr>
    </w:p>
    <w:p>
      <w:pPr>
        <w:pStyle w:val="12"/>
        <w:rPr>
          <w:rFonts w:hint="eastAsia" w:ascii="仿宋" w:hAnsi="仿宋" w:eastAsia="仿宋" w:cs="仿宋"/>
          <w:color w:val="auto"/>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60" w:lineRule="auto"/>
        <w:jc w:val="center"/>
        <w:rPr>
          <w:rFonts w:hint="eastAsia" w:ascii="仿宋" w:hAnsi="仿宋" w:eastAsia="仿宋" w:cs="仿宋"/>
          <w:bCs/>
          <w:color w:val="auto"/>
          <w:sz w:val="24"/>
          <w:highlight w:val="none"/>
          <w:lang w:eastAsia="zh-CN"/>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 xml:space="preserve">、 </w:t>
      </w:r>
      <w:r>
        <w:rPr>
          <w:rFonts w:hint="eastAsia" w:ascii="仿宋" w:hAnsi="仿宋" w:eastAsia="仿宋" w:cs="仿宋"/>
          <w:b/>
          <w:bCs/>
          <w:color w:val="auto"/>
          <w:sz w:val="28"/>
          <w:szCs w:val="28"/>
          <w:highlight w:val="none"/>
          <w:lang w:eastAsia="zh-CN"/>
        </w:rPr>
        <w:t>投标</w:t>
      </w:r>
      <w:r>
        <w:rPr>
          <w:rFonts w:hint="eastAsia" w:ascii="仿宋" w:hAnsi="仿宋" w:eastAsia="仿宋" w:cs="仿宋"/>
          <w:b/>
          <w:bCs/>
          <w:color w:val="auto"/>
          <w:sz w:val="28"/>
          <w:szCs w:val="28"/>
          <w:highlight w:val="none"/>
        </w:rPr>
        <w:t>函</w:t>
      </w:r>
    </w:p>
    <w:p>
      <w:pPr>
        <w:pStyle w:val="16"/>
        <w:ind w:left="0" w:firstLine="480" w:firstLineChars="200"/>
        <w:rPr>
          <w:rFonts w:hint="eastAsia" w:ascii="仿宋" w:hAnsi="仿宋" w:eastAsia="仿宋" w:cs="仿宋"/>
          <w:b w:val="0"/>
          <w:bCs/>
          <w:color w:val="auto"/>
          <w:highlight w:val="none"/>
        </w:rPr>
      </w:pPr>
    </w:p>
    <w:p>
      <w:pPr>
        <w:pStyle w:val="16"/>
        <w:ind w:left="0" w:firstLine="480" w:firstLineChars="200"/>
        <w:rPr>
          <w:rFonts w:hint="eastAsia" w:ascii="仿宋" w:hAnsi="仿宋" w:eastAsia="仿宋" w:cs="仿宋"/>
          <w:b w:val="0"/>
          <w:bCs/>
          <w:color w:val="auto"/>
        </w:rPr>
      </w:pPr>
      <w:r>
        <w:rPr>
          <w:rFonts w:hint="eastAsia" w:ascii="仿宋" w:hAnsi="仿宋" w:eastAsia="仿宋" w:cs="仿宋"/>
          <w:b w:val="0"/>
          <w:bCs/>
          <w:color w:val="auto"/>
        </w:rPr>
        <w:t>我方全面研究了 “</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”项目</w:t>
      </w:r>
      <w:r>
        <w:rPr>
          <w:rFonts w:hint="eastAsia" w:ascii="仿宋" w:hAnsi="仿宋" w:eastAsia="仿宋" w:cs="仿宋"/>
          <w:b w:val="0"/>
          <w:bCs/>
          <w:color w:val="auto"/>
          <w:lang w:eastAsia="zh-CN"/>
        </w:rPr>
        <w:t>采购</w:t>
      </w:r>
      <w:r>
        <w:rPr>
          <w:rFonts w:hint="eastAsia" w:ascii="仿宋" w:hAnsi="仿宋" w:eastAsia="仿宋" w:cs="仿宋"/>
          <w:b w:val="0"/>
          <w:bCs/>
          <w:color w:val="auto"/>
        </w:rPr>
        <w:t>文件（文件编号：</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），决定参加本项目磋商。我方授权</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（姓名、职务）代表我方</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w:t>
      </w:r>
      <w:r>
        <w:rPr>
          <w:rFonts w:hint="eastAsia" w:ascii="仿宋" w:hAnsi="仿宋" w:eastAsia="仿宋" w:cs="仿宋"/>
          <w:b w:val="0"/>
          <w:bCs/>
          <w:color w:val="auto"/>
          <w:lang w:eastAsia="zh-CN"/>
        </w:rPr>
        <w:t>供应商</w:t>
      </w:r>
      <w:r>
        <w:rPr>
          <w:rFonts w:hint="eastAsia" w:ascii="仿宋" w:hAnsi="仿宋" w:eastAsia="仿宋" w:cs="仿宋"/>
          <w:b w:val="0"/>
          <w:bCs/>
          <w:color w:val="auto"/>
        </w:rPr>
        <w:t>的名称）全权处理本项目</w:t>
      </w:r>
      <w:r>
        <w:rPr>
          <w:rFonts w:hint="eastAsia" w:ascii="仿宋" w:hAnsi="仿宋" w:eastAsia="仿宋" w:cs="仿宋"/>
          <w:b w:val="0"/>
          <w:bCs/>
          <w:color w:val="auto"/>
          <w:lang w:eastAsia="zh-CN"/>
        </w:rPr>
        <w:t>评标</w:t>
      </w:r>
      <w:r>
        <w:rPr>
          <w:rFonts w:hint="eastAsia" w:ascii="仿宋" w:hAnsi="仿宋" w:eastAsia="仿宋" w:cs="仿宋"/>
          <w:b w:val="0"/>
          <w:bCs/>
          <w:color w:val="auto"/>
        </w:rPr>
        <w:t>的有关事宜并提交按采购文件所要求的加密电子版响应文件及开标后提供的纸质版响应文件。</w:t>
      </w:r>
    </w:p>
    <w:p>
      <w:pPr>
        <w:pStyle w:val="16"/>
        <w:numPr>
          <w:ilvl w:val="0"/>
          <w:numId w:val="14"/>
        </w:numPr>
        <w:ind w:left="150" w:leftChars="0" w:firstLine="480" w:firstLineChars="0"/>
        <w:rPr>
          <w:rFonts w:hint="eastAsia" w:ascii="仿宋" w:hAnsi="仿宋" w:eastAsia="仿宋" w:cs="仿宋"/>
          <w:b w:val="0"/>
          <w:bCs/>
          <w:color w:val="auto"/>
        </w:rPr>
      </w:pPr>
      <w:r>
        <w:rPr>
          <w:rFonts w:hint="eastAsia" w:ascii="仿宋" w:hAnsi="仿宋" w:eastAsia="仿宋" w:cs="仿宋"/>
          <w:b w:val="0"/>
          <w:bCs/>
          <w:color w:val="auto"/>
        </w:rPr>
        <w:t>我方自愿按照</w:t>
      </w:r>
      <w:r>
        <w:rPr>
          <w:rFonts w:hint="eastAsia" w:ascii="仿宋" w:hAnsi="仿宋" w:eastAsia="仿宋" w:cs="仿宋"/>
          <w:b w:val="0"/>
          <w:bCs/>
          <w:color w:val="auto"/>
          <w:lang w:eastAsia="zh-CN"/>
        </w:rPr>
        <w:t>采购</w:t>
      </w:r>
      <w:r>
        <w:rPr>
          <w:rFonts w:hint="eastAsia" w:ascii="仿宋" w:hAnsi="仿宋" w:eastAsia="仿宋" w:cs="仿宋"/>
          <w:b w:val="0"/>
          <w:bCs/>
          <w:color w:val="auto"/>
        </w:rPr>
        <w:t>文件规定的各项要求向采购人提供所需工作内容。</w:t>
      </w:r>
    </w:p>
    <w:p>
      <w:pPr>
        <w:pStyle w:val="16"/>
        <w:numPr>
          <w:ilvl w:val="0"/>
          <w:numId w:val="14"/>
        </w:numPr>
        <w:ind w:left="150" w:leftChars="0" w:firstLine="480" w:firstLineChars="0"/>
        <w:rPr>
          <w:rFonts w:hint="eastAsia" w:ascii="仿宋" w:hAnsi="仿宋" w:eastAsia="仿宋" w:cs="仿宋"/>
          <w:b w:val="0"/>
          <w:bCs/>
          <w:color w:val="auto"/>
        </w:rPr>
      </w:pPr>
      <w:r>
        <w:rPr>
          <w:rFonts w:hint="eastAsia" w:ascii="仿宋" w:hAnsi="仿宋" w:eastAsia="仿宋" w:cs="仿宋"/>
          <w:b w:val="0"/>
          <w:bCs/>
          <w:color w:val="auto"/>
        </w:rPr>
        <w:t>若我方</w:t>
      </w:r>
      <w:r>
        <w:rPr>
          <w:rFonts w:hint="eastAsia" w:ascii="仿宋" w:hAnsi="仿宋" w:eastAsia="仿宋" w:cs="仿宋"/>
          <w:b w:val="0"/>
          <w:bCs/>
          <w:color w:val="auto"/>
          <w:lang w:eastAsia="zh-CN"/>
        </w:rPr>
        <w:t>中标</w:t>
      </w:r>
      <w:r>
        <w:rPr>
          <w:rFonts w:hint="eastAsia" w:ascii="仿宋" w:hAnsi="仿宋" w:eastAsia="仿宋" w:cs="仿宋"/>
          <w:b w:val="0"/>
          <w:bCs/>
          <w:color w:val="auto"/>
        </w:rPr>
        <w:t>，我方将严格履行合同规定的责任和义务，保证按采购人要求及我方承诺完成所需服务及应尽义务。</w:t>
      </w:r>
    </w:p>
    <w:p>
      <w:pPr>
        <w:pStyle w:val="16"/>
        <w:ind w:left="0" w:firstLine="480" w:firstLineChars="200"/>
        <w:rPr>
          <w:rFonts w:hint="eastAsia" w:ascii="仿宋" w:hAnsi="仿宋" w:eastAsia="仿宋" w:cs="仿宋"/>
          <w:b/>
          <w:bCs w:val="0"/>
          <w:color w:val="auto"/>
        </w:rPr>
      </w:pPr>
      <w:r>
        <w:rPr>
          <w:rFonts w:hint="eastAsia" w:ascii="仿宋" w:hAnsi="仿宋" w:eastAsia="仿宋" w:cs="仿宋"/>
          <w:b w:val="0"/>
          <w:bCs/>
          <w:color w:val="auto"/>
          <w:lang w:val="en-US" w:eastAsia="zh-CN"/>
        </w:rPr>
        <w:t>3、</w:t>
      </w:r>
      <w:r>
        <w:rPr>
          <w:rFonts w:hint="eastAsia" w:ascii="仿宋" w:hAnsi="仿宋" w:eastAsia="仿宋" w:cs="仿宋"/>
          <w:b/>
          <w:bCs w:val="0"/>
          <w:color w:val="auto"/>
        </w:rPr>
        <w:t>其投标自递交响应文件截止之日起有效期为</w:t>
      </w:r>
      <w:r>
        <w:rPr>
          <w:rFonts w:hint="eastAsia" w:ascii="仿宋" w:hAnsi="仿宋" w:eastAsia="仿宋" w:cs="仿宋"/>
          <w:b/>
          <w:bCs w:val="0"/>
          <w:color w:val="auto"/>
          <w:lang w:val="en-US" w:eastAsia="zh-CN"/>
        </w:rPr>
        <w:t>60</w:t>
      </w:r>
      <w:r>
        <w:rPr>
          <w:rFonts w:hint="eastAsia" w:ascii="仿宋" w:hAnsi="仿宋" w:eastAsia="仿宋" w:cs="仿宋"/>
          <w:b/>
          <w:bCs w:val="0"/>
          <w:color w:val="auto"/>
        </w:rPr>
        <w:t xml:space="preserve"> 个日历日。如果我们的投标被接受，则至合同生效时止，本投标始终有效，我们将按服务协议、投标承诺及采购文件的规定履行合同责任和义务。</w:t>
      </w:r>
    </w:p>
    <w:p>
      <w:pPr>
        <w:pStyle w:val="16"/>
        <w:ind w:left="0" w:firstLine="482" w:firstLineChars="200"/>
        <w:rPr>
          <w:rFonts w:hint="eastAsia" w:ascii="仿宋" w:hAnsi="仿宋" w:eastAsia="仿宋" w:cs="仿宋"/>
          <w:b/>
          <w:bCs w:val="0"/>
          <w:color w:val="auto"/>
        </w:rPr>
      </w:pP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b w:val="0"/>
          <w:bCs/>
          <w:color w:val="auto"/>
        </w:rPr>
        <w:t>我方愿意提供</w:t>
      </w:r>
      <w:r>
        <w:rPr>
          <w:rFonts w:hint="eastAsia" w:ascii="仿宋" w:hAnsi="仿宋" w:eastAsia="仿宋" w:cs="仿宋"/>
          <w:b w:val="0"/>
          <w:bCs/>
          <w:color w:val="auto"/>
          <w:lang w:eastAsia="zh-CN"/>
        </w:rPr>
        <w:t>采购人</w:t>
      </w:r>
      <w:r>
        <w:rPr>
          <w:rFonts w:hint="eastAsia" w:ascii="仿宋" w:hAnsi="仿宋" w:eastAsia="仿宋" w:cs="仿宋"/>
          <w:b w:val="0"/>
          <w:bCs/>
          <w:color w:val="auto"/>
        </w:rPr>
        <w:t>可能另外要求的，与</w:t>
      </w:r>
      <w:r>
        <w:rPr>
          <w:rFonts w:hint="eastAsia" w:ascii="仿宋" w:hAnsi="仿宋" w:eastAsia="仿宋" w:cs="仿宋"/>
          <w:b w:val="0"/>
          <w:bCs/>
          <w:color w:val="auto"/>
          <w:lang w:eastAsia="zh-CN"/>
        </w:rPr>
        <w:t>采购</w:t>
      </w:r>
      <w:r>
        <w:rPr>
          <w:rFonts w:hint="eastAsia" w:ascii="仿宋" w:hAnsi="仿宋" w:eastAsia="仿宋" w:cs="仿宋"/>
          <w:b w:val="0"/>
          <w:bCs/>
          <w:color w:val="auto"/>
        </w:rPr>
        <w:t>有关的文件资料，并保证我方已提供和将要提供的文件资料是真实、准确的。</w:t>
      </w:r>
    </w:p>
    <w:p>
      <w:pPr>
        <w:pStyle w:val="16"/>
        <w:ind w:left="0"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lang w:val="en-US" w:eastAsia="zh-CN"/>
        </w:rPr>
        <w:t>5</w:t>
      </w:r>
      <w:r>
        <w:rPr>
          <w:rFonts w:hint="eastAsia" w:ascii="仿宋" w:hAnsi="仿宋" w:eastAsia="仿宋" w:cs="仿宋"/>
          <w:b w:val="0"/>
          <w:bCs/>
          <w:color w:val="auto"/>
        </w:rPr>
        <w:t>、</w:t>
      </w:r>
      <w:r>
        <w:rPr>
          <w:rFonts w:hint="eastAsia" w:ascii="仿宋" w:hAnsi="仿宋" w:eastAsia="仿宋" w:cs="仿宋"/>
          <w:b w:val="0"/>
          <w:bCs/>
          <w:color w:val="auto"/>
          <w:highlight w:val="none"/>
        </w:rPr>
        <w:t>我方完全理解</w:t>
      </w:r>
      <w:r>
        <w:rPr>
          <w:rFonts w:hint="eastAsia" w:ascii="仿宋" w:hAnsi="仿宋" w:eastAsia="仿宋" w:cs="仿宋"/>
          <w:b w:val="0"/>
          <w:bCs/>
          <w:color w:val="auto"/>
          <w:highlight w:val="none"/>
          <w:lang w:eastAsia="zh-CN"/>
        </w:rPr>
        <w:t>采购人</w:t>
      </w:r>
      <w:r>
        <w:rPr>
          <w:rFonts w:hint="eastAsia" w:ascii="仿宋" w:hAnsi="仿宋" w:eastAsia="仿宋" w:cs="仿宋"/>
          <w:b w:val="0"/>
          <w:bCs/>
          <w:color w:val="auto"/>
          <w:highlight w:val="none"/>
        </w:rPr>
        <w:t>不一定将合同授予最低报价的</w:t>
      </w:r>
      <w:r>
        <w:rPr>
          <w:rFonts w:hint="eastAsia" w:ascii="仿宋" w:hAnsi="仿宋" w:eastAsia="仿宋" w:cs="仿宋"/>
          <w:b w:val="0"/>
          <w:bCs/>
          <w:color w:val="auto"/>
          <w:highlight w:val="none"/>
          <w:lang w:eastAsia="zh-CN"/>
        </w:rPr>
        <w:t>供应商</w:t>
      </w:r>
      <w:r>
        <w:rPr>
          <w:rFonts w:hint="eastAsia" w:ascii="仿宋" w:hAnsi="仿宋" w:eastAsia="仿宋" w:cs="仿宋"/>
          <w:b w:val="0"/>
          <w:bCs/>
          <w:color w:val="auto"/>
          <w:highlight w:val="none"/>
        </w:rPr>
        <w:t>的行为。</w:t>
      </w:r>
    </w:p>
    <w:p>
      <w:pPr>
        <w:pStyle w:val="16"/>
        <w:ind w:left="852" w:firstLine="480" w:firstLineChars="200"/>
        <w:jc w:val="left"/>
        <w:rPr>
          <w:rFonts w:hint="eastAsia" w:ascii="仿宋" w:hAnsi="仿宋" w:eastAsia="仿宋" w:cs="仿宋"/>
          <w:b w:val="0"/>
          <w:bCs/>
          <w:color w:val="auto"/>
          <w:highlight w:val="none"/>
        </w:rPr>
      </w:pPr>
    </w:p>
    <w:p>
      <w:pPr>
        <w:pStyle w:val="16"/>
        <w:ind w:left="852" w:firstLine="480" w:firstLineChars="200"/>
        <w:jc w:val="left"/>
        <w:rPr>
          <w:rFonts w:hint="eastAsia" w:ascii="仿宋" w:hAnsi="仿宋" w:eastAsia="仿宋" w:cs="仿宋"/>
          <w:b w:val="0"/>
          <w:bCs/>
          <w:color w:val="auto"/>
          <w:highlight w:val="none"/>
        </w:rPr>
      </w:pPr>
    </w:p>
    <w:p>
      <w:pPr>
        <w:pStyle w:val="16"/>
        <w:ind w:left="852" w:firstLine="480" w:firstLineChars="200"/>
        <w:jc w:val="left"/>
        <w:rPr>
          <w:rFonts w:hint="eastAsia" w:ascii="仿宋" w:hAnsi="仿宋" w:eastAsia="仿宋" w:cs="仿宋"/>
          <w:b w:val="0"/>
          <w:bCs/>
          <w:color w:val="auto"/>
          <w:highlight w:val="none"/>
        </w:rPr>
      </w:pPr>
    </w:p>
    <w:p>
      <w:pPr>
        <w:pStyle w:val="16"/>
        <w:ind w:left="852" w:hanging="852"/>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供应商</w:t>
      </w:r>
      <w:r>
        <w:rPr>
          <w:rFonts w:hint="eastAsia" w:ascii="仿宋" w:hAnsi="仿宋" w:eastAsia="仿宋" w:cs="仿宋"/>
          <w:b w:val="0"/>
          <w:bCs/>
          <w:color w:val="auto"/>
          <w:highlight w:val="none"/>
        </w:rPr>
        <w:t>名称：（盖章）</w:t>
      </w:r>
    </w:p>
    <w:p>
      <w:pPr>
        <w:pStyle w:val="16"/>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供应商</w:t>
      </w:r>
      <w:r>
        <w:rPr>
          <w:rFonts w:hint="eastAsia" w:ascii="仿宋" w:hAnsi="仿宋" w:eastAsia="仿宋" w:cs="仿宋"/>
          <w:b w:val="0"/>
          <w:bCs/>
          <w:color w:val="auto"/>
          <w:highlight w:val="none"/>
        </w:rPr>
        <w:t>代表人或授权代表（签字或盖章）：</w:t>
      </w:r>
    </w:p>
    <w:p>
      <w:pPr>
        <w:pStyle w:val="16"/>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通讯地址：</w:t>
      </w:r>
    </w:p>
    <w:p>
      <w:pPr>
        <w:pStyle w:val="16"/>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邮政编码：</w:t>
      </w:r>
    </w:p>
    <w:p>
      <w:pPr>
        <w:pStyle w:val="16"/>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联系电话：</w:t>
      </w:r>
    </w:p>
    <w:p>
      <w:pPr>
        <w:pStyle w:val="16"/>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传    真：</w:t>
      </w:r>
    </w:p>
    <w:p>
      <w:pPr>
        <w:pStyle w:val="16"/>
        <w:ind w:left="0" w:firstLine="0" w:firstLineChars="0"/>
        <w:jc w:val="lef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日    期：    年  月  日</w:t>
      </w:r>
    </w:p>
    <w:p>
      <w:pPr>
        <w:pStyle w:val="16"/>
        <w:ind w:left="0" w:firstLine="0" w:firstLineChars="0"/>
        <w:jc w:val="left"/>
        <w:rPr>
          <w:rFonts w:hint="eastAsia" w:ascii="仿宋" w:hAnsi="仿宋" w:eastAsia="仿宋" w:cs="仿宋"/>
          <w:b w:val="0"/>
          <w:bCs/>
          <w:color w:val="auto"/>
          <w:highlight w:val="none"/>
        </w:rPr>
      </w:pPr>
    </w:p>
    <w:p>
      <w:pPr>
        <w:pStyle w:val="16"/>
        <w:ind w:left="0" w:firstLine="0" w:firstLineChars="0"/>
        <w:jc w:val="left"/>
        <w:rPr>
          <w:rFonts w:hint="eastAsia" w:ascii="仿宋" w:hAnsi="仿宋" w:eastAsia="仿宋" w:cs="仿宋"/>
          <w:b w:val="0"/>
          <w:bCs/>
          <w:color w:val="auto"/>
          <w:highlight w:val="none"/>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spacing w:line="360" w:lineRule="auto"/>
        <w:jc w:val="center"/>
        <w:rPr>
          <w:rFonts w:hint="eastAsia" w:ascii="仿宋" w:hAnsi="仿宋" w:eastAsia="仿宋" w:cs="仿宋"/>
          <w:bCs/>
          <w:color w:val="auto"/>
          <w:sz w:val="30"/>
          <w:szCs w:val="30"/>
          <w:lang w:eastAsia="zh-CN"/>
        </w:rPr>
      </w:pP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投标总价</w:t>
      </w:r>
      <w:r>
        <w:rPr>
          <w:rFonts w:hint="eastAsia" w:ascii="仿宋" w:hAnsi="仿宋" w:eastAsia="仿宋" w:cs="仿宋"/>
          <w:bCs/>
          <w:color w:val="auto"/>
          <w:sz w:val="30"/>
          <w:szCs w:val="30"/>
          <w:lang w:eastAsia="zh-CN"/>
        </w:rPr>
        <w:t>（分标段）</w:t>
      </w:r>
    </w:p>
    <w:p>
      <w:pPr>
        <w:spacing w:line="640" w:lineRule="exact"/>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招</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标</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人：</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 xml:space="preserve">        </w:t>
      </w:r>
    </w:p>
    <w:p>
      <w:pPr>
        <w:spacing w:line="640" w:lineRule="exact"/>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工程名称：</w:t>
      </w:r>
      <w:r>
        <w:rPr>
          <w:rFonts w:hint="eastAsia" w:ascii="仿宋" w:hAnsi="仿宋" w:eastAsia="仿宋" w:cs="仿宋"/>
          <w:bCs/>
          <w:color w:val="auto"/>
          <w:sz w:val="24"/>
          <w:szCs w:val="24"/>
          <w:u w:val="single"/>
        </w:rPr>
        <w:t xml:space="preserve">                                                 .                 </w:t>
      </w:r>
    </w:p>
    <w:p>
      <w:pPr>
        <w:spacing w:line="640" w:lineRule="exact"/>
        <w:ind w:firstLine="240" w:firstLineChars="100"/>
        <w:rPr>
          <w:rFonts w:hint="eastAsia" w:ascii="仿宋" w:hAnsi="仿宋" w:eastAsia="仿宋" w:cs="仿宋"/>
          <w:bCs/>
          <w:color w:val="auto"/>
          <w:sz w:val="24"/>
          <w:szCs w:val="24"/>
        </w:rPr>
      </w:pPr>
    </w:p>
    <w:p>
      <w:pPr>
        <w:spacing w:line="640" w:lineRule="exact"/>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投标总价：（小写）</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 xml:space="preserve">      </w:t>
      </w:r>
    </w:p>
    <w:p>
      <w:pPr>
        <w:spacing w:line="6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（大写）</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 xml:space="preserve"> </w:t>
      </w:r>
    </w:p>
    <w:p>
      <w:pPr>
        <w:spacing w:line="640" w:lineRule="exact"/>
        <w:ind w:firstLine="240" w:firstLineChars="100"/>
        <w:rPr>
          <w:rFonts w:hint="eastAsia" w:ascii="仿宋" w:hAnsi="仿宋" w:eastAsia="仿宋" w:cs="仿宋"/>
          <w:color w:val="auto"/>
          <w:sz w:val="24"/>
          <w:szCs w:val="24"/>
          <w:u w:val="single" w:color="000000"/>
        </w:rPr>
      </w:pPr>
      <w:r>
        <w:rPr>
          <w:rFonts w:hint="eastAsia" w:ascii="仿宋" w:hAnsi="仿宋" w:eastAsia="仿宋" w:cs="仿宋"/>
          <w:bCs/>
          <w:color w:val="auto"/>
          <w:sz w:val="24"/>
          <w:szCs w:val="24"/>
        </w:rPr>
        <w:t>投标总价=</w:t>
      </w:r>
      <w:r>
        <w:rPr>
          <w:rFonts w:hint="eastAsia" w:ascii="仿宋" w:hAnsi="仿宋" w:eastAsia="仿宋" w:cs="仿宋"/>
          <w:bCs/>
          <w:color w:val="auto"/>
          <w:sz w:val="24"/>
          <w:szCs w:val="24"/>
          <w:u w:val="single"/>
        </w:rPr>
        <w:t>投标报价（含暂列金额）+安全文明施工费</w:t>
      </w:r>
    </w:p>
    <w:p>
      <w:pPr>
        <w:spacing w:line="640" w:lineRule="exact"/>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投标报价：（小写）</w:t>
      </w:r>
      <w:r>
        <w:rPr>
          <w:rFonts w:hint="eastAsia" w:ascii="仿宋" w:hAnsi="仿宋" w:eastAsia="仿宋" w:cs="仿宋"/>
          <w:bCs/>
          <w:color w:val="auto"/>
          <w:sz w:val="24"/>
          <w:szCs w:val="24"/>
          <w:u w:val="single"/>
        </w:rPr>
        <w:t xml:space="preserve">                                      .                     </w:t>
      </w:r>
      <w:r>
        <w:rPr>
          <w:rFonts w:hint="eastAsia" w:ascii="仿宋" w:hAnsi="仿宋" w:eastAsia="仿宋" w:cs="仿宋"/>
          <w:bCs/>
          <w:color w:val="auto"/>
          <w:sz w:val="24"/>
          <w:szCs w:val="24"/>
        </w:rPr>
        <w:t xml:space="preserve">     </w:t>
      </w:r>
    </w:p>
    <w:p>
      <w:pPr>
        <w:spacing w:line="6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（大写）</w:t>
      </w:r>
      <w:r>
        <w:rPr>
          <w:rFonts w:hint="eastAsia" w:ascii="仿宋" w:hAnsi="仿宋" w:eastAsia="仿宋" w:cs="仿宋"/>
          <w:bCs/>
          <w:color w:val="auto"/>
          <w:sz w:val="24"/>
          <w:szCs w:val="24"/>
          <w:u w:val="single"/>
        </w:rPr>
        <w:t xml:space="preserve">                                       .                    </w:t>
      </w:r>
    </w:p>
    <w:p>
      <w:pPr>
        <w:spacing w:line="640" w:lineRule="exact"/>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投标报价中：分部分项工程费用报价+措施项目费用报价（不含安全文明施工费）+其他项目费用（含暂列金额）=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 xml:space="preserve"> 万元</w:t>
      </w:r>
    </w:p>
    <w:p>
      <w:pPr>
        <w:spacing w:line="640" w:lineRule="exact"/>
        <w:rPr>
          <w:rFonts w:hint="eastAsia" w:ascii="仿宋" w:hAnsi="仿宋" w:eastAsia="仿宋" w:cs="仿宋"/>
          <w:color w:val="auto"/>
          <w:sz w:val="24"/>
          <w:szCs w:val="24"/>
        </w:rPr>
      </w:pPr>
      <w:r>
        <w:rPr>
          <w:rFonts w:hint="eastAsia" w:ascii="仿宋" w:hAnsi="仿宋" w:eastAsia="仿宋" w:cs="仿宋"/>
          <w:bCs/>
          <w:color w:val="auto"/>
          <w:sz w:val="24"/>
          <w:szCs w:val="24"/>
        </w:rPr>
        <w:t>工期：</w:t>
      </w:r>
      <w:r>
        <w:rPr>
          <w:rFonts w:hint="eastAsia" w:ascii="仿宋" w:hAnsi="仿宋" w:eastAsia="仿宋" w:cs="仿宋"/>
          <w:color w:val="auto"/>
          <w:sz w:val="24"/>
          <w:szCs w:val="24"/>
        </w:rPr>
        <w:t>计划进场时间为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日，竣工验收合格时间为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日，计划总工期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天（日历日）。</w:t>
      </w:r>
    </w:p>
    <w:p>
      <w:pPr>
        <w:spacing w:line="6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质量承诺：</w:t>
      </w:r>
      <w:r>
        <w:rPr>
          <w:rFonts w:hint="eastAsia" w:ascii="仿宋" w:hAnsi="仿宋" w:eastAsia="仿宋" w:cs="仿宋"/>
          <w:color w:val="auto"/>
          <w:sz w:val="24"/>
          <w:szCs w:val="24"/>
          <w:u w:val="single"/>
        </w:rPr>
        <w:t xml:space="preserve">                 .</w:t>
      </w:r>
    </w:p>
    <w:p>
      <w:pPr>
        <w:spacing w:line="640" w:lineRule="exact"/>
        <w:rPr>
          <w:rFonts w:hint="eastAsia" w:ascii="仿宋" w:hAnsi="仿宋" w:eastAsia="仿宋" w:cs="仿宋"/>
          <w:color w:val="auto"/>
          <w:sz w:val="24"/>
          <w:szCs w:val="24"/>
        </w:rPr>
      </w:pPr>
      <w:r>
        <w:rPr>
          <w:rFonts w:hint="eastAsia" w:ascii="仿宋" w:hAnsi="仿宋" w:eastAsia="仿宋" w:cs="仿宋"/>
          <w:bCs/>
          <w:color w:val="auto"/>
          <w:sz w:val="24"/>
          <w:szCs w:val="24"/>
        </w:rPr>
        <w:t>项目经理：</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6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投 标 人：</w:t>
      </w:r>
      <w:r>
        <w:rPr>
          <w:rFonts w:hint="eastAsia" w:ascii="仿宋" w:hAnsi="仿宋" w:eastAsia="仿宋" w:cs="仿宋"/>
          <w:color w:val="auto"/>
          <w:sz w:val="24"/>
          <w:szCs w:val="24"/>
          <w:u w:val="single"/>
        </w:rPr>
        <w:t xml:space="preserve">                </w:t>
      </w:r>
      <w:r>
        <w:rPr>
          <w:rFonts w:hint="eastAsia" w:ascii="仿宋" w:hAnsi="仿宋" w:eastAsia="仿宋" w:cs="仿宋"/>
          <w:bCs/>
          <w:color w:val="auto"/>
          <w:sz w:val="24"/>
          <w:szCs w:val="24"/>
        </w:rPr>
        <w:t>（单位盖章）</w:t>
      </w:r>
    </w:p>
    <w:p>
      <w:pPr>
        <w:spacing w:line="6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法定代表人或其授权代理人：</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（签字或盖章）</w:t>
      </w:r>
    </w:p>
    <w:p>
      <w:pPr>
        <w:spacing w:line="6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编  制  人：</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（造价人员签字并盖专用章）</w:t>
      </w:r>
    </w:p>
    <w:p>
      <w:pPr>
        <w:spacing w:line="6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编制时间：   年   月   日</w:t>
      </w: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4"/>
          <w:szCs w:val="24"/>
          <w:highlight w:val="none"/>
          <w:lang w:val="en-US" w:eastAsia="zh-CN"/>
        </w:rPr>
        <w:t>注：供应商须按本投标总价表格式制作“最后报价表”，经磋商后由各供应商填写最后报价</w:t>
      </w:r>
      <w:r>
        <w:rPr>
          <w:rFonts w:hint="eastAsia" w:ascii="仿宋" w:hAnsi="仿宋" w:eastAsia="仿宋" w:cs="仿宋"/>
          <w:b/>
          <w:color w:val="auto"/>
          <w:sz w:val="28"/>
          <w:szCs w:val="28"/>
          <w:highlight w:val="none"/>
          <w:lang w:val="en-US" w:eastAsia="zh-CN"/>
        </w:rPr>
        <w:br w:type="page"/>
      </w:r>
    </w:p>
    <w:p>
      <w:pPr>
        <w:pStyle w:val="12"/>
        <w:rPr>
          <w:rFonts w:hint="eastAsia"/>
          <w:lang w:val="en-US" w:eastAsia="zh-CN"/>
        </w:rPr>
      </w:pPr>
    </w:p>
    <w:p>
      <w:pPr>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、法定代表人资格证明书</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pPr>
        <w:tabs>
          <w:tab w:val="left" w:pos="360"/>
          <w:tab w:val="left" w:pos="720"/>
          <w:tab w:val="left" w:pos="90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姓名：        性别：       年龄：         职务： </w:t>
      </w: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单位）的法定代表人。为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的服务，签署上述工程的相应文件、进行合同谈判、签署合同和处理与之有关的一切事务。</w:t>
      </w:r>
    </w:p>
    <w:p>
      <w:pPr>
        <w:tabs>
          <w:tab w:val="left" w:pos="360"/>
          <w:tab w:val="left" w:pos="1800"/>
        </w:tabs>
        <w:spacing w:line="360" w:lineRule="auto"/>
        <w:rPr>
          <w:rFonts w:hint="eastAsia" w:ascii="仿宋" w:hAnsi="仿宋" w:eastAsia="仿宋" w:cs="仿宋"/>
          <w:color w:val="auto"/>
          <w:sz w:val="24"/>
          <w:highlight w:val="none"/>
        </w:rPr>
      </w:pPr>
    </w:p>
    <w:p>
      <w:pPr>
        <w:tabs>
          <w:tab w:val="left" w:pos="360"/>
          <w:tab w:val="left" w:pos="180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tabs>
          <w:tab w:val="left" w:pos="360"/>
          <w:tab w:val="left" w:pos="1800"/>
        </w:tabs>
        <w:spacing w:line="360" w:lineRule="auto"/>
        <w:ind w:left="45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tabs>
          <w:tab w:val="left" w:pos="360"/>
          <w:tab w:val="left" w:pos="1800"/>
        </w:tabs>
        <w:spacing w:line="360" w:lineRule="auto"/>
        <w:ind w:left="45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tabs>
          <w:tab w:val="left" w:pos="360"/>
          <w:tab w:val="left" w:pos="1800"/>
        </w:tabs>
        <w:spacing w:line="360" w:lineRule="auto"/>
        <w:ind w:firstLine="6000" w:firstLineChars="2500"/>
        <w:rPr>
          <w:rFonts w:hint="eastAsia" w:ascii="仿宋" w:hAnsi="仿宋" w:eastAsia="仿宋" w:cs="仿宋"/>
          <w:bCs/>
          <w:color w:val="auto"/>
          <w:sz w:val="24"/>
          <w:highlight w:val="none"/>
        </w:rPr>
      </w:pPr>
    </w:p>
    <w:tbl>
      <w:tblPr>
        <w:tblStyle w:val="25"/>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1" w:hRule="atLeast"/>
          <w:jc w:val="center"/>
        </w:trPr>
        <w:tc>
          <w:tcPr>
            <w:tcW w:w="6952" w:type="dxa"/>
            <w:noWrap w:val="0"/>
            <w:vAlign w:val="top"/>
          </w:tcPr>
          <w:p>
            <w:pPr>
              <w:tabs>
                <w:tab w:val="left" w:pos="360"/>
                <w:tab w:val="left" w:pos="1800"/>
              </w:tabs>
              <w:spacing w:line="480" w:lineRule="auto"/>
              <w:jc w:val="center"/>
              <w:rPr>
                <w:rFonts w:hint="eastAsia" w:ascii="仿宋" w:hAnsi="仿宋" w:eastAsia="仿宋" w:cs="仿宋"/>
                <w:color w:val="auto"/>
                <w:sz w:val="24"/>
                <w:highlight w:val="none"/>
              </w:rPr>
            </w:pPr>
          </w:p>
          <w:p>
            <w:pPr>
              <w:tabs>
                <w:tab w:val="left" w:pos="360"/>
                <w:tab w:val="left" w:pos="1800"/>
              </w:tabs>
              <w:spacing w:line="480" w:lineRule="auto"/>
              <w:jc w:val="center"/>
              <w:rPr>
                <w:rFonts w:hint="eastAsia" w:ascii="仿宋" w:hAnsi="仿宋" w:eastAsia="仿宋" w:cs="仿宋"/>
                <w:color w:val="auto"/>
                <w:sz w:val="24"/>
                <w:highlight w:val="none"/>
              </w:rPr>
            </w:pPr>
          </w:p>
          <w:p>
            <w:pPr>
              <w:tabs>
                <w:tab w:val="left" w:pos="360"/>
                <w:tab w:val="left" w:pos="1800"/>
              </w:tabs>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法定代表人身份证复印件或扫描件（正、反两面）</w:t>
            </w:r>
          </w:p>
        </w:tc>
      </w:tr>
    </w:tbl>
    <w:p>
      <w:pPr>
        <w:tabs>
          <w:tab w:val="left" w:pos="360"/>
          <w:tab w:val="left" w:pos="1800"/>
        </w:tabs>
        <w:spacing w:line="48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注：法定代表人身份证复印件应反映出证件有效期等所载内容。</w:t>
      </w:r>
    </w:p>
    <w:p>
      <w:pPr>
        <w:tabs>
          <w:tab w:val="left" w:pos="360"/>
          <w:tab w:val="left" w:pos="1800"/>
        </w:tabs>
        <w:spacing w:line="480" w:lineRule="exact"/>
        <w:ind w:left="1980" w:firstLine="1080"/>
        <w:rPr>
          <w:rFonts w:hint="eastAsia" w:ascii="仿宋" w:hAnsi="仿宋" w:eastAsia="仿宋" w:cs="仿宋"/>
          <w:bCs/>
          <w:color w:val="auto"/>
          <w:highlight w:val="none"/>
        </w:rPr>
      </w:pPr>
    </w:p>
    <w:p>
      <w:pPr>
        <w:tabs>
          <w:tab w:val="left" w:pos="360"/>
          <w:tab w:val="left" w:pos="1800"/>
        </w:tabs>
        <w:spacing w:line="480" w:lineRule="exact"/>
        <w:jc w:val="center"/>
        <w:rPr>
          <w:rFonts w:hint="eastAsia" w:ascii="仿宋" w:hAnsi="仿宋" w:eastAsia="仿宋" w:cs="仿宋"/>
          <w:b/>
          <w:bCs/>
          <w:color w:val="auto"/>
          <w:sz w:val="24"/>
          <w:highlight w:val="none"/>
        </w:rPr>
      </w:pPr>
    </w:p>
    <w:p>
      <w:pPr>
        <w:tabs>
          <w:tab w:val="left" w:pos="360"/>
          <w:tab w:val="left" w:pos="1800"/>
        </w:tabs>
        <w:spacing w:line="480" w:lineRule="exact"/>
        <w:ind w:left="1980" w:firstLine="1080"/>
        <w:rPr>
          <w:rFonts w:hint="eastAsia" w:ascii="仿宋" w:hAnsi="仿宋" w:eastAsia="仿宋" w:cs="仿宋"/>
          <w:bCs/>
          <w:color w:val="auto"/>
          <w:highlight w:val="none"/>
        </w:rPr>
      </w:pPr>
    </w:p>
    <w:p>
      <w:pPr>
        <w:spacing w:line="360" w:lineRule="auto"/>
        <w:ind w:firstLine="573"/>
        <w:jc w:val="center"/>
        <w:rPr>
          <w:rFonts w:hint="eastAsia" w:ascii="仿宋" w:hAnsi="仿宋" w:eastAsia="仿宋" w:cs="仿宋"/>
          <w:b/>
          <w:color w:val="auto"/>
          <w:sz w:val="28"/>
          <w:szCs w:val="28"/>
          <w:highlight w:val="none"/>
        </w:rPr>
      </w:pPr>
    </w:p>
    <w:p>
      <w:pPr>
        <w:tabs>
          <w:tab w:val="left" w:pos="360"/>
          <w:tab w:val="left" w:pos="1800"/>
        </w:tabs>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、法定代表人授权委托书</w:t>
      </w:r>
    </w:p>
    <w:p>
      <w:pPr>
        <w:tabs>
          <w:tab w:val="left" w:pos="360"/>
          <w:tab w:val="left" w:pos="1800"/>
        </w:tabs>
        <w:spacing w:line="480" w:lineRule="exact"/>
        <w:ind w:left="239" w:leftChars="114" w:firstLine="240" w:firstLineChars="100"/>
        <w:rPr>
          <w:rFonts w:hint="eastAsia" w:ascii="仿宋" w:hAnsi="仿宋" w:eastAsia="仿宋" w:cs="仿宋"/>
          <w:color w:val="auto"/>
          <w:sz w:val="24"/>
          <w:highlight w:val="none"/>
        </w:rPr>
      </w:pPr>
    </w:p>
    <w:p>
      <w:pPr>
        <w:tabs>
          <w:tab w:val="left" w:pos="360"/>
          <w:tab w:val="left" w:pos="1800"/>
        </w:tabs>
        <w:spacing w:line="480" w:lineRule="exact"/>
        <w:ind w:left="239" w:leftChars="114" w:firstLine="240" w:firstLineChars="1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供应商名称）的法定代表人，现授权委托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（姓名），其身份证号为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为我供应商代理人，以本供应商的名义参加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磋商项目名称）的磋商活动。</w:t>
      </w:r>
    </w:p>
    <w:p>
      <w:pPr>
        <w:tabs>
          <w:tab w:val="left" w:pos="360"/>
          <w:tab w:val="left" w:pos="180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代理人在递交响应文件、磋商、合同谈判过程中所签署的一切文件和处理与之有关的一切事务，我均予以承认。</w:t>
      </w:r>
    </w:p>
    <w:p>
      <w:pPr>
        <w:tabs>
          <w:tab w:val="left" w:pos="360"/>
          <w:tab w:val="left" w:pos="1800"/>
        </w:tabs>
        <w:spacing w:line="4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本授权委托书期限自</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日止。</w:t>
      </w:r>
    </w:p>
    <w:p>
      <w:pPr>
        <w:tabs>
          <w:tab w:val="left" w:pos="360"/>
          <w:tab w:val="left" w:pos="180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委托代理人无转委权。特此委托。</w:t>
      </w:r>
    </w:p>
    <w:p>
      <w:pPr>
        <w:tabs>
          <w:tab w:val="left" w:pos="360"/>
          <w:tab w:val="left" w:pos="180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            性别：           年龄：</w:t>
      </w:r>
    </w:p>
    <w:p>
      <w:pPr>
        <w:tabs>
          <w:tab w:val="left" w:pos="360"/>
          <w:tab w:val="left" w:pos="1800"/>
        </w:tabs>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              部门：           职务：</w:t>
      </w:r>
    </w:p>
    <w:p>
      <w:pPr>
        <w:tabs>
          <w:tab w:val="left" w:pos="360"/>
          <w:tab w:val="left" w:pos="1800"/>
        </w:tabs>
        <w:spacing w:line="480" w:lineRule="exact"/>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tabs>
          <w:tab w:val="left" w:pos="360"/>
          <w:tab w:val="left" w:pos="1800"/>
        </w:tabs>
        <w:spacing w:line="480" w:lineRule="exact"/>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pPr>
        <w:tabs>
          <w:tab w:val="left" w:pos="360"/>
          <w:tab w:val="left" w:pos="1800"/>
        </w:tabs>
        <w:spacing w:line="480" w:lineRule="exact"/>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委托代理人：（签字或盖章）</w:t>
      </w:r>
    </w:p>
    <w:p>
      <w:pPr>
        <w:tabs>
          <w:tab w:val="left" w:pos="360"/>
          <w:tab w:val="left" w:pos="1800"/>
        </w:tabs>
        <w:spacing w:line="480" w:lineRule="exact"/>
        <w:ind w:firstLine="3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tabs>
          <w:tab w:val="left" w:pos="360"/>
          <w:tab w:val="left" w:pos="1800"/>
        </w:tabs>
        <w:spacing w:line="480" w:lineRule="exact"/>
        <w:ind w:firstLine="3600"/>
        <w:rPr>
          <w:rFonts w:hint="eastAsia" w:ascii="仿宋" w:hAnsi="仿宋" w:eastAsia="仿宋" w:cs="仿宋"/>
          <w:color w:val="auto"/>
          <w:sz w:val="24"/>
          <w:highlight w:val="none"/>
        </w:rPr>
      </w:pPr>
    </w:p>
    <w:tbl>
      <w:tblPr>
        <w:tblStyle w:val="25"/>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4" w:hRule="atLeast"/>
          <w:jc w:val="center"/>
        </w:trPr>
        <w:tc>
          <w:tcPr>
            <w:tcW w:w="6952" w:type="dxa"/>
            <w:noWrap w:val="0"/>
            <w:vAlign w:val="top"/>
          </w:tcPr>
          <w:p>
            <w:pPr>
              <w:tabs>
                <w:tab w:val="left" w:pos="360"/>
                <w:tab w:val="left" w:pos="1800"/>
              </w:tabs>
              <w:spacing w:line="480" w:lineRule="auto"/>
              <w:jc w:val="center"/>
              <w:rPr>
                <w:rFonts w:hint="eastAsia" w:ascii="仿宋" w:hAnsi="仿宋" w:eastAsia="仿宋" w:cs="仿宋"/>
                <w:color w:val="auto"/>
                <w:sz w:val="24"/>
                <w:highlight w:val="none"/>
              </w:rPr>
            </w:pPr>
          </w:p>
          <w:p>
            <w:pPr>
              <w:tabs>
                <w:tab w:val="left" w:pos="360"/>
                <w:tab w:val="left" w:pos="1800"/>
              </w:tabs>
              <w:spacing w:line="480" w:lineRule="auto"/>
              <w:jc w:val="center"/>
              <w:rPr>
                <w:rFonts w:hint="eastAsia" w:ascii="仿宋" w:hAnsi="仿宋" w:eastAsia="仿宋" w:cs="仿宋"/>
                <w:color w:val="auto"/>
                <w:sz w:val="24"/>
                <w:highlight w:val="none"/>
              </w:rPr>
            </w:pPr>
          </w:p>
          <w:p>
            <w:pPr>
              <w:tabs>
                <w:tab w:val="left" w:pos="360"/>
                <w:tab w:val="left" w:pos="1800"/>
              </w:tabs>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委托代理人身份证复印件或扫描件（正、反两面）</w:t>
            </w:r>
          </w:p>
        </w:tc>
      </w:tr>
    </w:tbl>
    <w:p>
      <w:pPr>
        <w:spacing w:line="360" w:lineRule="auto"/>
        <w:ind w:firstLine="573"/>
        <w:jc w:val="center"/>
        <w:rPr>
          <w:rFonts w:hint="eastAsia" w:ascii="仿宋" w:hAnsi="仿宋" w:eastAsia="仿宋" w:cs="仿宋"/>
          <w:b/>
          <w:color w:val="auto"/>
          <w:sz w:val="28"/>
          <w:szCs w:val="28"/>
          <w:highlight w:val="none"/>
        </w:rPr>
      </w:pPr>
      <w:r>
        <w:rPr>
          <w:rFonts w:hint="eastAsia" w:ascii="仿宋" w:hAnsi="仿宋" w:eastAsia="仿宋" w:cs="仿宋"/>
          <w:b/>
          <w:bCs/>
          <w:color w:val="auto"/>
          <w:sz w:val="24"/>
          <w:highlight w:val="none"/>
        </w:rPr>
        <w:t>注：</w:t>
      </w:r>
      <w:r>
        <w:rPr>
          <w:rFonts w:hint="eastAsia" w:ascii="仿宋" w:hAnsi="仿宋" w:eastAsia="仿宋" w:cs="仿宋"/>
          <w:b/>
          <w:bCs/>
          <w:color w:val="0000FF"/>
          <w:sz w:val="24"/>
          <w:highlight w:val="none"/>
          <w:lang w:val="en-US" w:eastAsia="zh-CN"/>
        </w:rPr>
        <w:t>委托代理人身份证</w:t>
      </w:r>
      <w:r>
        <w:rPr>
          <w:rFonts w:hint="eastAsia" w:ascii="仿宋" w:hAnsi="仿宋" w:eastAsia="仿宋" w:cs="仿宋"/>
          <w:b/>
          <w:bCs/>
          <w:color w:val="0000FF"/>
          <w:sz w:val="24"/>
          <w:highlight w:val="none"/>
        </w:rPr>
        <w:t>复印件应反映出证件有效期等所载内容</w:t>
      </w:r>
      <w:r>
        <w:rPr>
          <w:rFonts w:hint="eastAsia" w:ascii="仿宋" w:hAnsi="仿宋" w:eastAsia="仿宋" w:cs="仿宋"/>
          <w:b/>
          <w:bCs/>
          <w:color w:val="0000FF"/>
          <w:sz w:val="24"/>
          <w:highlight w:val="none"/>
          <w:lang w:val="en-US" w:eastAsia="zh-CN"/>
        </w:rPr>
        <w:t>并附社保缴纳证明</w:t>
      </w:r>
      <w:r>
        <w:rPr>
          <w:rFonts w:hint="eastAsia" w:ascii="仿宋" w:hAnsi="仿宋" w:eastAsia="仿宋" w:cs="仿宋"/>
          <w:b/>
          <w:bCs/>
          <w:color w:val="auto"/>
          <w:sz w:val="24"/>
          <w:highlight w:val="none"/>
        </w:rPr>
        <w:t>。</w:t>
      </w:r>
    </w:p>
    <w:p>
      <w:pPr>
        <w:tabs>
          <w:tab w:val="left" w:pos="360"/>
          <w:tab w:val="left" w:pos="1800"/>
        </w:tabs>
        <w:spacing w:line="480" w:lineRule="exact"/>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tabs>
          <w:tab w:val="left" w:pos="360"/>
          <w:tab w:val="left" w:pos="1800"/>
        </w:tabs>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、中小企业声明函</w:t>
      </w:r>
    </w:p>
    <w:p>
      <w:pPr>
        <w:pStyle w:val="12"/>
        <w:rPr>
          <w:rFonts w:hint="eastAsia" w:ascii="仿宋" w:hAnsi="仿宋" w:eastAsia="仿宋" w:cs="仿宋"/>
          <w:color w:val="auto"/>
          <w:highlight w:val="yellow"/>
        </w:rPr>
      </w:pPr>
    </w:p>
    <w:p>
      <w:pPr>
        <w:tabs>
          <w:tab w:val="left" w:pos="6300"/>
        </w:tabs>
        <w:snapToGrid w:val="0"/>
        <w:spacing w:line="500" w:lineRule="exact"/>
        <w:ind w:firstLine="480" w:firstLineChars="200"/>
        <w:outlineLvl w:val="0"/>
        <w:rPr>
          <w:rFonts w:hint="eastAsia" w:ascii="仿宋" w:hAnsi="仿宋" w:eastAsia="仿宋" w:cs="仿宋"/>
          <w:color w:val="auto"/>
          <w:sz w:val="24"/>
          <w:highlight w:val="yellow"/>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本公司（联合体）郑重声明，根据《政府采购促进中小企业发展管理办法》（财库 ﹝2020﹞46 号）的规定，本公司（联合体）参加</w:t>
      </w:r>
      <w:r>
        <w:rPr>
          <w:rFonts w:hint="eastAsia" w:ascii="仿宋" w:hAnsi="仿宋" w:eastAsia="仿宋" w:cs="仿宋"/>
          <w:b w:val="0"/>
          <w:bCs/>
          <w:sz w:val="24"/>
          <w:szCs w:val="24"/>
          <w:u w:val="single"/>
          <w:lang w:val="en-US" w:eastAsia="zh-CN"/>
        </w:rPr>
        <w:t xml:space="preserve"> （单位名称）</w:t>
      </w:r>
      <w:r>
        <w:rPr>
          <w:rFonts w:hint="eastAsia" w:ascii="仿宋" w:hAnsi="仿宋" w:eastAsia="仿宋" w:cs="仿宋"/>
          <w:b w:val="0"/>
          <w:bCs/>
          <w:sz w:val="24"/>
          <w:szCs w:val="24"/>
          <w:lang w:val="en-US" w:eastAsia="zh-CN"/>
        </w:rPr>
        <w:t xml:space="preserve"> 的 </w:t>
      </w:r>
      <w:r>
        <w:rPr>
          <w:rFonts w:hint="eastAsia" w:ascii="仿宋" w:hAnsi="仿宋" w:eastAsia="仿宋" w:cs="仿宋"/>
          <w:b w:val="0"/>
          <w:bCs/>
          <w:sz w:val="24"/>
          <w:szCs w:val="24"/>
          <w:u w:val="single"/>
          <w:lang w:val="en-US" w:eastAsia="zh-CN"/>
        </w:rPr>
        <w:t>（项目名称）</w:t>
      </w:r>
      <w:r>
        <w:rPr>
          <w:rFonts w:hint="eastAsia" w:ascii="仿宋" w:hAnsi="仿宋" w:eastAsia="仿宋" w:cs="仿宋"/>
          <w:b w:val="0"/>
          <w:bCs/>
          <w:sz w:val="24"/>
          <w:szCs w:val="24"/>
          <w:lang w:val="en-US" w:eastAsia="zh-CN"/>
        </w:rPr>
        <w:t xml:space="preserve"> 采购活动，提供的货物全部由符合政策要求的中小企业制造。相关企业（含联合体中的中小企业、签订分包意向协议的中小企业）的具体情况如下： </w:t>
      </w:r>
    </w:p>
    <w:p>
      <w:pPr>
        <w:pageBreakBefore w:val="0"/>
        <w:tabs>
          <w:tab w:val="left" w:pos="360"/>
          <w:tab w:val="left" w:pos="18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sz w:val="24"/>
          <w:szCs w:val="24"/>
          <w:u w:val="single"/>
          <w:lang w:val="en-US" w:eastAsia="zh-CN"/>
        </w:rPr>
        <w:t>（标的名称）</w:t>
      </w:r>
      <w:r>
        <w:rPr>
          <w:rFonts w:hint="eastAsia" w:ascii="仿宋" w:hAnsi="仿宋" w:eastAsia="仿宋" w:cs="仿宋"/>
          <w:b w:val="0"/>
          <w:bCs/>
          <w:sz w:val="24"/>
          <w:szCs w:val="24"/>
          <w:lang w:val="en-US" w:eastAsia="zh-CN"/>
        </w:rPr>
        <w:t xml:space="preserve"> ，属于</w:t>
      </w:r>
      <w:r>
        <w:rPr>
          <w:rFonts w:hint="eastAsia" w:ascii="仿宋" w:hAnsi="仿宋" w:eastAsia="仿宋" w:cs="仿宋"/>
          <w:b w:val="0"/>
          <w:bCs/>
          <w:sz w:val="24"/>
          <w:szCs w:val="24"/>
          <w:u w:val="single"/>
          <w:lang w:val="en-US" w:eastAsia="zh-CN"/>
        </w:rPr>
        <w:t>租赁和商务服务业（采购文件中明确的所属行业）</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val="0"/>
          <w:color w:val="auto"/>
          <w:sz w:val="24"/>
          <w:szCs w:val="24"/>
          <w:highlight w:val="none"/>
        </w:rPr>
        <w:t>制造商为</w:t>
      </w:r>
      <w:r>
        <w:rPr>
          <w:rFonts w:hint="eastAsia" w:ascii="仿宋" w:hAnsi="仿宋" w:eastAsia="仿宋" w:cs="仿宋"/>
          <w:b w:val="0"/>
          <w:bCs w:val="0"/>
          <w:color w:val="auto"/>
          <w:sz w:val="24"/>
          <w:szCs w:val="24"/>
          <w:highlight w:val="none"/>
          <w:u w:val="single"/>
        </w:rPr>
        <w:t>（企业名称）</w:t>
      </w:r>
      <w:r>
        <w:rPr>
          <w:rFonts w:hint="eastAsia" w:ascii="仿宋" w:hAnsi="仿宋" w:eastAsia="仿宋" w:cs="仿宋"/>
          <w:b w:val="0"/>
          <w:bCs w:val="0"/>
          <w:color w:val="auto"/>
          <w:sz w:val="24"/>
          <w:szCs w:val="24"/>
          <w:highlight w:val="none"/>
        </w:rPr>
        <w:t xml:space="preserve"> ，从业人员</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人，营业收入为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万元，资产总额为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万元 ，属于</w:t>
      </w:r>
      <w:r>
        <w:rPr>
          <w:rFonts w:hint="eastAsia" w:ascii="仿宋" w:hAnsi="仿宋" w:eastAsia="仿宋" w:cs="仿宋"/>
          <w:b w:val="0"/>
          <w:bCs w:val="0"/>
          <w:color w:val="auto"/>
          <w:sz w:val="24"/>
          <w:szCs w:val="24"/>
          <w:highlight w:val="none"/>
          <w:u w:val="single"/>
        </w:rPr>
        <w:t xml:space="preserve"> （中型企业、小型企业、微型企业）</w:t>
      </w:r>
      <w:r>
        <w:rPr>
          <w:rFonts w:hint="eastAsia" w:ascii="仿宋" w:hAnsi="仿宋" w:eastAsia="仿宋" w:cs="仿宋"/>
          <w:b w:val="0"/>
          <w:bCs w:val="0"/>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以上企业，不属于大企业的分支机构，不存在控股股东为大企业的情形，也不存在 与大企业的负责人为同一人的情形。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本企业对上述声明内容的真实性负责。如有虚假，将依法承担相应责任。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日 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tabs>
          <w:tab w:val="left" w:pos="6300"/>
        </w:tabs>
        <w:snapToGrid w:val="0"/>
        <w:spacing w:line="500" w:lineRule="exact"/>
        <w:rPr>
          <w:rFonts w:hint="eastAsia" w:ascii="仿宋" w:hAnsi="仿宋" w:eastAsia="仿宋" w:cs="仿宋"/>
          <w:b/>
          <w:color w:val="auto"/>
          <w:sz w:val="28"/>
          <w:szCs w:val="28"/>
          <w:highlight w:val="none"/>
        </w:rPr>
      </w:pPr>
      <w:r>
        <w:rPr>
          <w:rFonts w:hint="eastAsia" w:ascii="仿宋" w:hAnsi="仿宋" w:eastAsia="仿宋" w:cs="仿宋"/>
          <w:b w:val="0"/>
          <w:bCs/>
          <w:sz w:val="24"/>
          <w:szCs w:val="24"/>
          <w:lang w:val="en-US" w:eastAsia="zh-CN"/>
        </w:rPr>
        <w:t>注：从业人员、营业收入、资产总额填报上一年度数据，无上一年度数据的新成立企业 可不填报。</w:t>
      </w:r>
    </w:p>
    <w:p>
      <w:pPr>
        <w:rPr>
          <w:rFonts w:hint="eastAsia" w:ascii="仿宋" w:hAnsi="仿宋" w:eastAsia="仿宋" w:cs="仿宋"/>
          <w:b/>
          <w:color w:val="auto"/>
          <w:sz w:val="28"/>
          <w:szCs w:val="28"/>
          <w:highlight w:val="none"/>
          <w:lang w:val="en-US" w:eastAsia="zh-CN"/>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spacing w:line="400" w:lineRule="exact"/>
        <w:jc w:val="center"/>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7、供应商承诺书</w:t>
      </w:r>
    </w:p>
    <w:p>
      <w:pPr>
        <w:spacing w:line="560" w:lineRule="exact"/>
        <w:ind w:firstLine="646"/>
        <w:rPr>
          <w:rFonts w:hint="eastAsia" w:ascii="仿宋" w:hAnsi="仿宋" w:eastAsia="仿宋" w:cs="仿宋"/>
          <w:color w:val="auto"/>
          <w:sz w:val="24"/>
          <w:szCs w:val="24"/>
        </w:rPr>
      </w:pPr>
    </w:p>
    <w:p>
      <w:pPr>
        <w:spacing w:line="560" w:lineRule="exact"/>
        <w:ind w:firstLine="646"/>
        <w:rPr>
          <w:rFonts w:hint="eastAsia" w:ascii="仿宋" w:hAnsi="仿宋" w:eastAsia="仿宋" w:cs="仿宋"/>
          <w:color w:val="auto"/>
          <w:sz w:val="24"/>
          <w:szCs w:val="24"/>
        </w:rPr>
      </w:pPr>
      <w:r>
        <w:rPr>
          <w:rFonts w:hint="eastAsia" w:ascii="仿宋" w:hAnsi="仿宋" w:eastAsia="仿宋" w:cs="仿宋"/>
          <w:color w:val="auto"/>
          <w:sz w:val="24"/>
          <w:szCs w:val="24"/>
        </w:rPr>
        <w:t>我单位作为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现作出如下承诺:</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1.我单位遵循公开、公平、公正、诚实守信的原则，依法依规参与本项目竞标。</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2.不在招投标活动中使用伪造、变造的许可证件，提供虚假的财务状况、业绩、项目负责人或主要技术人员简历、劳动关系证明、信用状况等，通过弄虚作假行为，骗取中标。</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3.不与招标人、招标代理机构相互串通投标，损害国家利益、社会利益或他人的合法权益。</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4.不向招标人、招标代理机构或评标委员会成员提供财物或者其他好处，以谋取中标。</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5.不以他人名义投标，挂靠、借用资质投标，骗取中标。</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6.不以暴力手段胁迫其他潜在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放弃投标，或者胁迫中标人放弃中标，强揽工程；</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7.不在投标中哄抬价格或恶意压价。</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8.不出现故意捏造事实、伪造证明材料，恶意举报投诉中标人或其他潜在投标人，不进行缺乏事实根据或法律依据的投诉，干扰招标投标正常秩序； </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9.遵守国家、自治区及本市安全、质量有关法律法规和规范性文件中关于项目人员的相关规定。</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10.若中标，绝不出现将中标项目违法转让给他人，或者将中标项目肢解后分别转让给他人或违法分包给他人。加强对分包和劳务分包管理，对所分包工程的安全、质量和进度承担责任，不拖欠农民工工资，按时将分包合同报行政部门备案。</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11.按照招标文件规定及合同约定，执行合同的工期。</w:t>
      </w:r>
    </w:p>
    <w:p>
      <w:pPr>
        <w:spacing w:line="560" w:lineRule="exact"/>
        <w:ind w:firstLine="645"/>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r>
        <w:rPr>
          <w:rFonts w:hint="eastAsia" w:ascii="仿宋" w:hAnsi="仿宋" w:eastAsia="仿宋" w:cs="仿宋"/>
          <w:b/>
          <w:bCs/>
          <w:color w:val="auto"/>
          <w:sz w:val="24"/>
          <w:szCs w:val="24"/>
          <w:lang w:val="en-US" w:eastAsia="zh-CN"/>
        </w:rPr>
        <w:t>承诺工期需按时完成，使用劳务人员年龄不得超过50周岁，施工结束后30日内完成决算工作。</w:t>
      </w:r>
    </w:p>
    <w:p>
      <w:pPr>
        <w:spacing w:line="560" w:lineRule="exact"/>
        <w:ind w:firstLine="645"/>
        <w:jc w:val="left"/>
        <w:rPr>
          <w:rFonts w:hint="eastAsia" w:ascii="仿宋" w:hAnsi="仿宋" w:eastAsia="仿宋" w:cs="仿宋"/>
          <w:color w:val="auto"/>
          <w:sz w:val="24"/>
          <w:szCs w:val="24"/>
        </w:rPr>
      </w:pPr>
      <w:r>
        <w:rPr>
          <w:rFonts w:hint="eastAsia" w:ascii="仿宋" w:hAnsi="仿宋" w:eastAsia="仿宋" w:cs="仿宋"/>
          <w:color w:val="auto"/>
          <w:sz w:val="24"/>
          <w:szCs w:val="24"/>
        </w:rPr>
        <w:t>如出现上述违法违规行为，自愿接受相应行政处罚和失信惩戒。</w:t>
      </w:r>
    </w:p>
    <w:p>
      <w:pPr>
        <w:spacing w:line="520" w:lineRule="exact"/>
        <w:ind w:right="1280" w:firstLine="645"/>
        <w:jc w:val="center"/>
        <w:rPr>
          <w:rFonts w:hint="eastAsia" w:ascii="仿宋" w:hAnsi="仿宋" w:eastAsia="仿宋" w:cs="仿宋"/>
          <w:color w:val="auto"/>
          <w:sz w:val="24"/>
          <w:szCs w:val="24"/>
        </w:rPr>
      </w:pPr>
      <w:r>
        <w:rPr>
          <w:rFonts w:hint="eastAsia" w:ascii="仿宋" w:hAnsi="仿宋" w:eastAsia="仿宋" w:cs="仿宋"/>
          <w:color w:val="auto"/>
          <w:sz w:val="24"/>
          <w:szCs w:val="24"/>
        </w:rPr>
        <w:t>承诺人：</w:t>
      </w:r>
    </w:p>
    <w:p>
      <w:pPr>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4"/>
          <w:szCs w:val="24"/>
        </w:rPr>
        <w:t xml:space="preserve">                                 年   月    日</w:t>
      </w:r>
      <w:r>
        <w:rPr>
          <w:rFonts w:hint="eastAsia" w:ascii="仿宋" w:hAnsi="仿宋" w:eastAsia="仿宋" w:cs="仿宋"/>
          <w:bCs/>
          <w:color w:val="auto"/>
          <w:sz w:val="28"/>
          <w:szCs w:val="28"/>
          <w:lang w:val="en-US" w:eastAsia="zh-CN"/>
        </w:rPr>
        <w:br w:type="page"/>
      </w:r>
    </w:p>
    <w:p>
      <w:pPr>
        <w:pStyle w:val="12"/>
        <w:jc w:val="center"/>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8、项目负责人简历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215"/>
        <w:gridCol w:w="446"/>
        <w:gridCol w:w="922"/>
        <w:gridCol w:w="731"/>
        <w:gridCol w:w="1105"/>
        <w:gridCol w:w="1470"/>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noWrap w:val="0"/>
            <w:vAlign w:val="top"/>
          </w:tcPr>
          <w:p>
            <w:pPr>
              <w:spacing w:line="420" w:lineRule="exact"/>
              <w:ind w:right="71" w:rightChars="34"/>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661" w:type="dxa"/>
            <w:gridSpan w:val="2"/>
            <w:noWrap w:val="0"/>
            <w:vAlign w:val="top"/>
          </w:tcPr>
          <w:p>
            <w:pPr>
              <w:spacing w:line="420" w:lineRule="exact"/>
              <w:jc w:val="center"/>
              <w:rPr>
                <w:rFonts w:hint="eastAsia" w:ascii="仿宋" w:hAnsi="仿宋" w:eastAsia="仿宋" w:cs="仿宋"/>
                <w:color w:val="auto"/>
                <w:sz w:val="24"/>
                <w:szCs w:val="24"/>
              </w:rPr>
            </w:pPr>
          </w:p>
        </w:tc>
        <w:tc>
          <w:tcPr>
            <w:tcW w:w="922" w:type="dxa"/>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性别</w:t>
            </w:r>
          </w:p>
        </w:tc>
        <w:tc>
          <w:tcPr>
            <w:tcW w:w="1836" w:type="dxa"/>
            <w:gridSpan w:val="2"/>
            <w:noWrap w:val="0"/>
            <w:vAlign w:val="top"/>
          </w:tcPr>
          <w:p>
            <w:pPr>
              <w:spacing w:line="420" w:lineRule="exact"/>
              <w:jc w:val="center"/>
              <w:rPr>
                <w:rFonts w:hint="eastAsia" w:ascii="仿宋" w:hAnsi="仿宋" w:eastAsia="仿宋" w:cs="仿宋"/>
                <w:color w:val="auto"/>
                <w:sz w:val="24"/>
                <w:szCs w:val="24"/>
              </w:rPr>
            </w:pPr>
          </w:p>
        </w:tc>
        <w:tc>
          <w:tcPr>
            <w:tcW w:w="1470" w:type="dxa"/>
            <w:noWrap w:val="0"/>
            <w:vAlign w:val="top"/>
          </w:tcPr>
          <w:p>
            <w:pPr>
              <w:spacing w:line="420" w:lineRule="exact"/>
              <w:ind w:right="441" w:rightChars="210"/>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2202" w:type="dxa"/>
            <w:noWrap w:val="0"/>
            <w:vAlign w:val="top"/>
          </w:tcPr>
          <w:p>
            <w:pPr>
              <w:spacing w:line="42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职务</w:t>
            </w:r>
          </w:p>
        </w:tc>
        <w:tc>
          <w:tcPr>
            <w:tcW w:w="1661" w:type="dxa"/>
            <w:gridSpan w:val="2"/>
            <w:noWrap w:val="0"/>
            <w:vAlign w:val="top"/>
          </w:tcPr>
          <w:p>
            <w:pPr>
              <w:spacing w:line="420" w:lineRule="exact"/>
              <w:jc w:val="center"/>
              <w:rPr>
                <w:rFonts w:hint="eastAsia" w:ascii="仿宋" w:hAnsi="仿宋" w:eastAsia="仿宋" w:cs="仿宋"/>
                <w:color w:val="auto"/>
                <w:sz w:val="24"/>
                <w:szCs w:val="24"/>
              </w:rPr>
            </w:pPr>
          </w:p>
        </w:tc>
        <w:tc>
          <w:tcPr>
            <w:tcW w:w="922" w:type="dxa"/>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1836" w:type="dxa"/>
            <w:gridSpan w:val="2"/>
            <w:noWrap w:val="0"/>
            <w:vAlign w:val="top"/>
          </w:tcPr>
          <w:p>
            <w:pPr>
              <w:spacing w:line="420" w:lineRule="exact"/>
              <w:jc w:val="center"/>
              <w:rPr>
                <w:rFonts w:hint="eastAsia" w:ascii="仿宋" w:hAnsi="仿宋" w:eastAsia="仿宋" w:cs="仿宋"/>
                <w:color w:val="auto"/>
                <w:sz w:val="24"/>
                <w:szCs w:val="24"/>
              </w:rPr>
            </w:pPr>
          </w:p>
        </w:tc>
        <w:tc>
          <w:tcPr>
            <w:tcW w:w="1470" w:type="dxa"/>
            <w:noWrap w:val="0"/>
            <w:vAlign w:val="top"/>
          </w:tcPr>
          <w:p>
            <w:pPr>
              <w:spacing w:line="420" w:lineRule="exact"/>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2202" w:type="dxa"/>
            <w:noWrap w:val="0"/>
            <w:vAlign w:val="top"/>
          </w:tcPr>
          <w:p>
            <w:pPr>
              <w:spacing w:line="42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604" w:type="dxa"/>
            <w:gridSpan w:val="2"/>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参加工作时间</w:t>
            </w:r>
          </w:p>
        </w:tc>
        <w:tc>
          <w:tcPr>
            <w:tcW w:w="1368" w:type="dxa"/>
            <w:gridSpan w:val="2"/>
            <w:noWrap w:val="0"/>
            <w:vAlign w:val="top"/>
          </w:tcPr>
          <w:p>
            <w:pPr>
              <w:spacing w:line="420" w:lineRule="exact"/>
              <w:jc w:val="center"/>
              <w:rPr>
                <w:rFonts w:hint="eastAsia" w:ascii="仿宋" w:hAnsi="仿宋" w:eastAsia="仿宋" w:cs="仿宋"/>
                <w:color w:val="auto"/>
                <w:sz w:val="24"/>
                <w:szCs w:val="24"/>
              </w:rPr>
            </w:pPr>
          </w:p>
        </w:tc>
        <w:tc>
          <w:tcPr>
            <w:tcW w:w="3306" w:type="dxa"/>
            <w:gridSpan w:val="3"/>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从事项目负责人年限</w:t>
            </w:r>
          </w:p>
        </w:tc>
        <w:tc>
          <w:tcPr>
            <w:tcW w:w="2202" w:type="dxa"/>
            <w:noWrap w:val="0"/>
            <w:vAlign w:val="top"/>
          </w:tcPr>
          <w:p>
            <w:pPr>
              <w:spacing w:line="42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604" w:type="dxa"/>
            <w:gridSpan w:val="2"/>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建造师资质情况</w:t>
            </w:r>
          </w:p>
        </w:tc>
        <w:tc>
          <w:tcPr>
            <w:tcW w:w="6876" w:type="dxa"/>
            <w:gridSpan w:val="6"/>
            <w:noWrap w:val="0"/>
            <w:vAlign w:val="top"/>
          </w:tcPr>
          <w:p>
            <w:pPr>
              <w:spacing w:line="420" w:lineRule="exact"/>
              <w:rPr>
                <w:rFonts w:hint="eastAsia" w:ascii="仿宋" w:hAnsi="仿宋" w:eastAsia="仿宋" w:cs="仿宋"/>
                <w:color w:val="auto"/>
                <w:sz w:val="24"/>
                <w:szCs w:val="24"/>
              </w:rPr>
            </w:pPr>
            <w:r>
              <w:rPr>
                <w:rFonts w:hint="eastAsia" w:ascii="仿宋" w:hAnsi="仿宋" w:eastAsia="仿宋" w:cs="仿宋"/>
                <w:color w:val="auto"/>
                <w:sz w:val="24"/>
                <w:szCs w:val="24"/>
              </w:rPr>
              <w:t>专业：等级:           注册证书号：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480" w:type="dxa"/>
            <w:gridSpan w:val="8"/>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该项目经负责人近三年已完工的类似项目情况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年～年</w:t>
            </w:r>
          </w:p>
        </w:tc>
        <w:tc>
          <w:tcPr>
            <w:tcW w:w="1661" w:type="dxa"/>
            <w:gridSpan w:val="2"/>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653" w:type="dxa"/>
            <w:gridSpan w:val="2"/>
            <w:noWrap w:val="0"/>
            <w:vAlign w:val="top"/>
          </w:tcPr>
          <w:p>
            <w:pPr>
              <w:spacing w:line="420" w:lineRule="exact"/>
              <w:ind w:right="-107" w:rightChars="-51"/>
              <w:jc w:val="center"/>
              <w:rPr>
                <w:rFonts w:hint="eastAsia" w:ascii="仿宋" w:hAnsi="仿宋" w:eastAsia="仿宋" w:cs="仿宋"/>
                <w:color w:val="auto"/>
                <w:sz w:val="24"/>
                <w:szCs w:val="24"/>
              </w:rPr>
            </w:pPr>
            <w:r>
              <w:rPr>
                <w:rFonts w:hint="eastAsia" w:ascii="仿宋" w:hAnsi="仿宋" w:eastAsia="仿宋" w:cs="仿宋"/>
                <w:color w:val="auto"/>
                <w:sz w:val="24"/>
                <w:szCs w:val="24"/>
              </w:rPr>
              <w:t>建设规模</w:t>
            </w:r>
          </w:p>
        </w:tc>
        <w:tc>
          <w:tcPr>
            <w:tcW w:w="2575" w:type="dxa"/>
            <w:gridSpan w:val="2"/>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担任何职</w:t>
            </w:r>
          </w:p>
        </w:tc>
        <w:tc>
          <w:tcPr>
            <w:tcW w:w="2202" w:type="dxa"/>
            <w:noWrap w:val="0"/>
            <w:vAlign w:val="top"/>
          </w:tcPr>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质量或奖项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noWrap w:val="0"/>
            <w:vAlign w:val="top"/>
          </w:tcPr>
          <w:p>
            <w:pPr>
              <w:spacing w:line="420" w:lineRule="exact"/>
              <w:jc w:val="center"/>
              <w:rPr>
                <w:rFonts w:hint="eastAsia" w:ascii="仿宋" w:hAnsi="仿宋" w:eastAsia="仿宋" w:cs="仿宋"/>
                <w:color w:val="auto"/>
                <w:sz w:val="24"/>
                <w:szCs w:val="24"/>
              </w:rPr>
            </w:pPr>
          </w:p>
        </w:tc>
        <w:tc>
          <w:tcPr>
            <w:tcW w:w="1661" w:type="dxa"/>
            <w:gridSpan w:val="2"/>
            <w:noWrap w:val="0"/>
            <w:vAlign w:val="top"/>
          </w:tcPr>
          <w:p>
            <w:pPr>
              <w:spacing w:line="420" w:lineRule="exact"/>
              <w:jc w:val="center"/>
              <w:rPr>
                <w:rFonts w:hint="eastAsia" w:ascii="仿宋" w:hAnsi="仿宋" w:eastAsia="仿宋" w:cs="仿宋"/>
                <w:color w:val="auto"/>
                <w:sz w:val="24"/>
                <w:szCs w:val="24"/>
              </w:rPr>
            </w:pPr>
          </w:p>
        </w:tc>
        <w:tc>
          <w:tcPr>
            <w:tcW w:w="1653" w:type="dxa"/>
            <w:gridSpan w:val="2"/>
            <w:noWrap w:val="0"/>
            <w:vAlign w:val="top"/>
          </w:tcPr>
          <w:p>
            <w:pPr>
              <w:spacing w:line="420" w:lineRule="exact"/>
              <w:jc w:val="center"/>
              <w:rPr>
                <w:rFonts w:hint="eastAsia" w:ascii="仿宋" w:hAnsi="仿宋" w:eastAsia="仿宋" w:cs="仿宋"/>
                <w:color w:val="auto"/>
                <w:sz w:val="24"/>
                <w:szCs w:val="24"/>
              </w:rPr>
            </w:pPr>
          </w:p>
        </w:tc>
        <w:tc>
          <w:tcPr>
            <w:tcW w:w="2575" w:type="dxa"/>
            <w:gridSpan w:val="2"/>
            <w:noWrap w:val="0"/>
            <w:vAlign w:val="top"/>
          </w:tcPr>
          <w:p>
            <w:pPr>
              <w:spacing w:line="420" w:lineRule="exact"/>
              <w:jc w:val="center"/>
              <w:rPr>
                <w:rFonts w:hint="eastAsia" w:ascii="仿宋" w:hAnsi="仿宋" w:eastAsia="仿宋" w:cs="仿宋"/>
                <w:color w:val="auto"/>
                <w:sz w:val="24"/>
                <w:szCs w:val="24"/>
              </w:rPr>
            </w:pPr>
          </w:p>
        </w:tc>
        <w:tc>
          <w:tcPr>
            <w:tcW w:w="2202" w:type="dxa"/>
            <w:noWrap w:val="0"/>
            <w:vAlign w:val="top"/>
          </w:tcPr>
          <w:p>
            <w:pPr>
              <w:spacing w:line="42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noWrap w:val="0"/>
            <w:vAlign w:val="top"/>
          </w:tcPr>
          <w:p>
            <w:pPr>
              <w:spacing w:line="420" w:lineRule="exact"/>
              <w:jc w:val="center"/>
              <w:rPr>
                <w:rFonts w:hint="eastAsia" w:ascii="仿宋" w:hAnsi="仿宋" w:eastAsia="仿宋" w:cs="仿宋"/>
                <w:color w:val="auto"/>
                <w:sz w:val="24"/>
                <w:szCs w:val="24"/>
              </w:rPr>
            </w:pPr>
          </w:p>
        </w:tc>
        <w:tc>
          <w:tcPr>
            <w:tcW w:w="1661" w:type="dxa"/>
            <w:gridSpan w:val="2"/>
            <w:noWrap w:val="0"/>
            <w:vAlign w:val="top"/>
          </w:tcPr>
          <w:p>
            <w:pPr>
              <w:spacing w:line="420" w:lineRule="exact"/>
              <w:jc w:val="center"/>
              <w:rPr>
                <w:rFonts w:hint="eastAsia" w:ascii="仿宋" w:hAnsi="仿宋" w:eastAsia="仿宋" w:cs="仿宋"/>
                <w:color w:val="auto"/>
                <w:sz w:val="24"/>
                <w:szCs w:val="24"/>
              </w:rPr>
            </w:pPr>
          </w:p>
        </w:tc>
        <w:tc>
          <w:tcPr>
            <w:tcW w:w="1653" w:type="dxa"/>
            <w:gridSpan w:val="2"/>
            <w:noWrap w:val="0"/>
            <w:vAlign w:val="top"/>
          </w:tcPr>
          <w:p>
            <w:pPr>
              <w:spacing w:line="420" w:lineRule="exact"/>
              <w:jc w:val="center"/>
              <w:rPr>
                <w:rFonts w:hint="eastAsia" w:ascii="仿宋" w:hAnsi="仿宋" w:eastAsia="仿宋" w:cs="仿宋"/>
                <w:color w:val="auto"/>
                <w:sz w:val="24"/>
                <w:szCs w:val="24"/>
              </w:rPr>
            </w:pPr>
          </w:p>
        </w:tc>
        <w:tc>
          <w:tcPr>
            <w:tcW w:w="2575" w:type="dxa"/>
            <w:gridSpan w:val="2"/>
            <w:noWrap w:val="0"/>
            <w:vAlign w:val="top"/>
          </w:tcPr>
          <w:p>
            <w:pPr>
              <w:spacing w:line="420" w:lineRule="exact"/>
              <w:jc w:val="center"/>
              <w:rPr>
                <w:rFonts w:hint="eastAsia" w:ascii="仿宋" w:hAnsi="仿宋" w:eastAsia="仿宋" w:cs="仿宋"/>
                <w:color w:val="auto"/>
                <w:sz w:val="24"/>
                <w:szCs w:val="24"/>
              </w:rPr>
            </w:pPr>
          </w:p>
        </w:tc>
        <w:tc>
          <w:tcPr>
            <w:tcW w:w="2202" w:type="dxa"/>
            <w:noWrap w:val="0"/>
            <w:vAlign w:val="top"/>
          </w:tcPr>
          <w:p>
            <w:pPr>
              <w:spacing w:line="42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noWrap w:val="0"/>
            <w:vAlign w:val="top"/>
          </w:tcPr>
          <w:p>
            <w:pPr>
              <w:spacing w:line="420" w:lineRule="exact"/>
              <w:jc w:val="center"/>
              <w:rPr>
                <w:rFonts w:hint="eastAsia" w:ascii="仿宋" w:hAnsi="仿宋" w:eastAsia="仿宋" w:cs="仿宋"/>
                <w:color w:val="auto"/>
                <w:sz w:val="24"/>
                <w:szCs w:val="24"/>
              </w:rPr>
            </w:pPr>
          </w:p>
        </w:tc>
        <w:tc>
          <w:tcPr>
            <w:tcW w:w="1661" w:type="dxa"/>
            <w:gridSpan w:val="2"/>
            <w:noWrap w:val="0"/>
            <w:vAlign w:val="top"/>
          </w:tcPr>
          <w:p>
            <w:pPr>
              <w:spacing w:line="420" w:lineRule="exact"/>
              <w:jc w:val="center"/>
              <w:rPr>
                <w:rFonts w:hint="eastAsia" w:ascii="仿宋" w:hAnsi="仿宋" w:eastAsia="仿宋" w:cs="仿宋"/>
                <w:color w:val="auto"/>
                <w:sz w:val="24"/>
                <w:szCs w:val="24"/>
              </w:rPr>
            </w:pPr>
          </w:p>
        </w:tc>
        <w:tc>
          <w:tcPr>
            <w:tcW w:w="1653" w:type="dxa"/>
            <w:gridSpan w:val="2"/>
            <w:noWrap w:val="0"/>
            <w:vAlign w:val="top"/>
          </w:tcPr>
          <w:p>
            <w:pPr>
              <w:spacing w:line="420" w:lineRule="exact"/>
              <w:jc w:val="center"/>
              <w:rPr>
                <w:rFonts w:hint="eastAsia" w:ascii="仿宋" w:hAnsi="仿宋" w:eastAsia="仿宋" w:cs="仿宋"/>
                <w:color w:val="auto"/>
                <w:sz w:val="24"/>
                <w:szCs w:val="24"/>
              </w:rPr>
            </w:pPr>
          </w:p>
        </w:tc>
        <w:tc>
          <w:tcPr>
            <w:tcW w:w="2575" w:type="dxa"/>
            <w:gridSpan w:val="2"/>
            <w:noWrap w:val="0"/>
            <w:vAlign w:val="top"/>
          </w:tcPr>
          <w:p>
            <w:pPr>
              <w:spacing w:line="420" w:lineRule="exact"/>
              <w:jc w:val="center"/>
              <w:rPr>
                <w:rFonts w:hint="eastAsia" w:ascii="仿宋" w:hAnsi="仿宋" w:eastAsia="仿宋" w:cs="仿宋"/>
                <w:color w:val="auto"/>
                <w:sz w:val="24"/>
                <w:szCs w:val="24"/>
              </w:rPr>
            </w:pPr>
          </w:p>
        </w:tc>
        <w:tc>
          <w:tcPr>
            <w:tcW w:w="2202" w:type="dxa"/>
            <w:noWrap w:val="0"/>
            <w:vAlign w:val="top"/>
          </w:tcPr>
          <w:p>
            <w:pPr>
              <w:spacing w:line="42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noWrap w:val="0"/>
            <w:vAlign w:val="top"/>
          </w:tcPr>
          <w:p>
            <w:pPr>
              <w:spacing w:line="420" w:lineRule="exact"/>
              <w:jc w:val="center"/>
              <w:rPr>
                <w:rFonts w:hint="eastAsia" w:ascii="仿宋" w:hAnsi="仿宋" w:eastAsia="仿宋" w:cs="仿宋"/>
                <w:color w:val="auto"/>
                <w:sz w:val="24"/>
                <w:szCs w:val="24"/>
              </w:rPr>
            </w:pPr>
          </w:p>
        </w:tc>
        <w:tc>
          <w:tcPr>
            <w:tcW w:w="1661" w:type="dxa"/>
            <w:gridSpan w:val="2"/>
            <w:noWrap w:val="0"/>
            <w:vAlign w:val="top"/>
          </w:tcPr>
          <w:p>
            <w:pPr>
              <w:spacing w:line="420" w:lineRule="exact"/>
              <w:jc w:val="center"/>
              <w:rPr>
                <w:rFonts w:hint="eastAsia" w:ascii="仿宋" w:hAnsi="仿宋" w:eastAsia="仿宋" w:cs="仿宋"/>
                <w:color w:val="auto"/>
                <w:sz w:val="24"/>
                <w:szCs w:val="24"/>
              </w:rPr>
            </w:pPr>
          </w:p>
        </w:tc>
        <w:tc>
          <w:tcPr>
            <w:tcW w:w="1653" w:type="dxa"/>
            <w:gridSpan w:val="2"/>
            <w:noWrap w:val="0"/>
            <w:vAlign w:val="top"/>
          </w:tcPr>
          <w:p>
            <w:pPr>
              <w:spacing w:line="420" w:lineRule="exact"/>
              <w:jc w:val="center"/>
              <w:rPr>
                <w:rFonts w:hint="eastAsia" w:ascii="仿宋" w:hAnsi="仿宋" w:eastAsia="仿宋" w:cs="仿宋"/>
                <w:color w:val="auto"/>
                <w:sz w:val="24"/>
                <w:szCs w:val="24"/>
              </w:rPr>
            </w:pPr>
          </w:p>
        </w:tc>
        <w:tc>
          <w:tcPr>
            <w:tcW w:w="2575" w:type="dxa"/>
            <w:gridSpan w:val="2"/>
            <w:noWrap w:val="0"/>
            <w:vAlign w:val="top"/>
          </w:tcPr>
          <w:p>
            <w:pPr>
              <w:spacing w:line="420" w:lineRule="exact"/>
              <w:jc w:val="center"/>
              <w:rPr>
                <w:rFonts w:hint="eastAsia" w:ascii="仿宋" w:hAnsi="仿宋" w:eastAsia="仿宋" w:cs="仿宋"/>
                <w:color w:val="auto"/>
                <w:sz w:val="24"/>
                <w:szCs w:val="24"/>
              </w:rPr>
            </w:pPr>
          </w:p>
        </w:tc>
        <w:tc>
          <w:tcPr>
            <w:tcW w:w="2202" w:type="dxa"/>
            <w:noWrap w:val="0"/>
            <w:vAlign w:val="top"/>
          </w:tcPr>
          <w:p>
            <w:pPr>
              <w:spacing w:line="42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noWrap w:val="0"/>
            <w:vAlign w:val="top"/>
          </w:tcPr>
          <w:p>
            <w:pPr>
              <w:spacing w:line="420" w:lineRule="exact"/>
              <w:jc w:val="center"/>
              <w:rPr>
                <w:rFonts w:hint="eastAsia" w:ascii="仿宋" w:hAnsi="仿宋" w:eastAsia="仿宋" w:cs="仿宋"/>
                <w:color w:val="auto"/>
                <w:sz w:val="24"/>
                <w:szCs w:val="24"/>
              </w:rPr>
            </w:pPr>
          </w:p>
        </w:tc>
        <w:tc>
          <w:tcPr>
            <w:tcW w:w="1661" w:type="dxa"/>
            <w:gridSpan w:val="2"/>
            <w:noWrap w:val="0"/>
            <w:vAlign w:val="top"/>
          </w:tcPr>
          <w:p>
            <w:pPr>
              <w:spacing w:line="420" w:lineRule="exact"/>
              <w:jc w:val="center"/>
              <w:rPr>
                <w:rFonts w:hint="eastAsia" w:ascii="仿宋" w:hAnsi="仿宋" w:eastAsia="仿宋" w:cs="仿宋"/>
                <w:color w:val="auto"/>
                <w:sz w:val="24"/>
                <w:szCs w:val="24"/>
              </w:rPr>
            </w:pPr>
          </w:p>
        </w:tc>
        <w:tc>
          <w:tcPr>
            <w:tcW w:w="1653" w:type="dxa"/>
            <w:gridSpan w:val="2"/>
            <w:noWrap w:val="0"/>
            <w:vAlign w:val="top"/>
          </w:tcPr>
          <w:p>
            <w:pPr>
              <w:spacing w:line="420" w:lineRule="exact"/>
              <w:jc w:val="center"/>
              <w:rPr>
                <w:rFonts w:hint="eastAsia" w:ascii="仿宋" w:hAnsi="仿宋" w:eastAsia="仿宋" w:cs="仿宋"/>
                <w:color w:val="auto"/>
                <w:sz w:val="24"/>
                <w:szCs w:val="24"/>
              </w:rPr>
            </w:pPr>
          </w:p>
        </w:tc>
        <w:tc>
          <w:tcPr>
            <w:tcW w:w="2575" w:type="dxa"/>
            <w:gridSpan w:val="2"/>
            <w:noWrap w:val="0"/>
            <w:vAlign w:val="top"/>
          </w:tcPr>
          <w:p>
            <w:pPr>
              <w:spacing w:line="420" w:lineRule="exact"/>
              <w:jc w:val="center"/>
              <w:rPr>
                <w:rFonts w:hint="eastAsia" w:ascii="仿宋" w:hAnsi="仿宋" w:eastAsia="仿宋" w:cs="仿宋"/>
                <w:color w:val="auto"/>
                <w:sz w:val="24"/>
                <w:szCs w:val="24"/>
              </w:rPr>
            </w:pPr>
          </w:p>
        </w:tc>
        <w:tc>
          <w:tcPr>
            <w:tcW w:w="2202" w:type="dxa"/>
            <w:noWrap w:val="0"/>
            <w:vAlign w:val="top"/>
          </w:tcPr>
          <w:p>
            <w:pPr>
              <w:spacing w:line="42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noWrap w:val="0"/>
            <w:vAlign w:val="top"/>
          </w:tcPr>
          <w:p>
            <w:pPr>
              <w:spacing w:line="420" w:lineRule="exact"/>
              <w:jc w:val="center"/>
              <w:rPr>
                <w:rFonts w:hint="eastAsia" w:ascii="仿宋" w:hAnsi="仿宋" w:eastAsia="仿宋" w:cs="仿宋"/>
                <w:bCs/>
                <w:color w:val="auto"/>
                <w:sz w:val="24"/>
                <w:szCs w:val="24"/>
              </w:rPr>
            </w:pPr>
          </w:p>
        </w:tc>
        <w:tc>
          <w:tcPr>
            <w:tcW w:w="1661" w:type="dxa"/>
            <w:gridSpan w:val="2"/>
            <w:noWrap w:val="0"/>
            <w:vAlign w:val="top"/>
          </w:tcPr>
          <w:p>
            <w:pPr>
              <w:spacing w:line="420" w:lineRule="exact"/>
              <w:jc w:val="center"/>
              <w:rPr>
                <w:rFonts w:hint="eastAsia" w:ascii="仿宋" w:hAnsi="仿宋" w:eastAsia="仿宋" w:cs="仿宋"/>
                <w:bCs/>
                <w:color w:val="auto"/>
                <w:sz w:val="24"/>
                <w:szCs w:val="24"/>
              </w:rPr>
            </w:pPr>
          </w:p>
        </w:tc>
        <w:tc>
          <w:tcPr>
            <w:tcW w:w="1653" w:type="dxa"/>
            <w:gridSpan w:val="2"/>
            <w:noWrap w:val="0"/>
            <w:vAlign w:val="top"/>
          </w:tcPr>
          <w:p>
            <w:pPr>
              <w:spacing w:line="420" w:lineRule="exact"/>
              <w:jc w:val="center"/>
              <w:rPr>
                <w:rFonts w:hint="eastAsia" w:ascii="仿宋" w:hAnsi="仿宋" w:eastAsia="仿宋" w:cs="仿宋"/>
                <w:bCs/>
                <w:color w:val="auto"/>
                <w:sz w:val="24"/>
                <w:szCs w:val="24"/>
              </w:rPr>
            </w:pPr>
          </w:p>
        </w:tc>
        <w:tc>
          <w:tcPr>
            <w:tcW w:w="2575" w:type="dxa"/>
            <w:gridSpan w:val="2"/>
            <w:noWrap w:val="0"/>
            <w:vAlign w:val="top"/>
          </w:tcPr>
          <w:p>
            <w:pPr>
              <w:spacing w:line="420" w:lineRule="exact"/>
              <w:jc w:val="center"/>
              <w:rPr>
                <w:rFonts w:hint="eastAsia" w:ascii="仿宋" w:hAnsi="仿宋" w:eastAsia="仿宋" w:cs="仿宋"/>
                <w:bCs/>
                <w:color w:val="auto"/>
                <w:sz w:val="24"/>
                <w:szCs w:val="24"/>
              </w:rPr>
            </w:pPr>
          </w:p>
        </w:tc>
        <w:tc>
          <w:tcPr>
            <w:tcW w:w="2202" w:type="dxa"/>
            <w:noWrap w:val="0"/>
            <w:vAlign w:val="top"/>
          </w:tcPr>
          <w:p>
            <w:pPr>
              <w:spacing w:line="42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noWrap w:val="0"/>
            <w:vAlign w:val="top"/>
          </w:tcPr>
          <w:p>
            <w:pPr>
              <w:spacing w:line="420" w:lineRule="exact"/>
              <w:jc w:val="center"/>
              <w:rPr>
                <w:rFonts w:hint="eastAsia" w:ascii="仿宋" w:hAnsi="仿宋" w:eastAsia="仿宋" w:cs="仿宋"/>
                <w:bCs/>
                <w:color w:val="auto"/>
                <w:sz w:val="24"/>
                <w:szCs w:val="24"/>
              </w:rPr>
            </w:pPr>
          </w:p>
        </w:tc>
        <w:tc>
          <w:tcPr>
            <w:tcW w:w="1661" w:type="dxa"/>
            <w:gridSpan w:val="2"/>
            <w:noWrap w:val="0"/>
            <w:vAlign w:val="top"/>
          </w:tcPr>
          <w:p>
            <w:pPr>
              <w:spacing w:line="420" w:lineRule="exact"/>
              <w:jc w:val="center"/>
              <w:rPr>
                <w:rFonts w:hint="eastAsia" w:ascii="仿宋" w:hAnsi="仿宋" w:eastAsia="仿宋" w:cs="仿宋"/>
                <w:bCs/>
                <w:color w:val="auto"/>
                <w:sz w:val="24"/>
                <w:szCs w:val="24"/>
              </w:rPr>
            </w:pPr>
          </w:p>
        </w:tc>
        <w:tc>
          <w:tcPr>
            <w:tcW w:w="1653" w:type="dxa"/>
            <w:gridSpan w:val="2"/>
            <w:noWrap w:val="0"/>
            <w:vAlign w:val="top"/>
          </w:tcPr>
          <w:p>
            <w:pPr>
              <w:spacing w:line="420" w:lineRule="exact"/>
              <w:jc w:val="center"/>
              <w:rPr>
                <w:rFonts w:hint="eastAsia" w:ascii="仿宋" w:hAnsi="仿宋" w:eastAsia="仿宋" w:cs="仿宋"/>
                <w:bCs/>
                <w:color w:val="auto"/>
                <w:sz w:val="24"/>
                <w:szCs w:val="24"/>
              </w:rPr>
            </w:pPr>
          </w:p>
        </w:tc>
        <w:tc>
          <w:tcPr>
            <w:tcW w:w="2575" w:type="dxa"/>
            <w:gridSpan w:val="2"/>
            <w:noWrap w:val="0"/>
            <w:vAlign w:val="top"/>
          </w:tcPr>
          <w:p>
            <w:pPr>
              <w:spacing w:line="420" w:lineRule="exact"/>
              <w:jc w:val="center"/>
              <w:rPr>
                <w:rFonts w:hint="eastAsia" w:ascii="仿宋" w:hAnsi="仿宋" w:eastAsia="仿宋" w:cs="仿宋"/>
                <w:bCs/>
                <w:color w:val="auto"/>
                <w:sz w:val="24"/>
                <w:szCs w:val="24"/>
              </w:rPr>
            </w:pPr>
          </w:p>
        </w:tc>
        <w:tc>
          <w:tcPr>
            <w:tcW w:w="2202" w:type="dxa"/>
            <w:noWrap w:val="0"/>
            <w:vAlign w:val="top"/>
          </w:tcPr>
          <w:p>
            <w:pPr>
              <w:spacing w:line="42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noWrap w:val="0"/>
            <w:vAlign w:val="top"/>
          </w:tcPr>
          <w:p>
            <w:pPr>
              <w:spacing w:line="420" w:lineRule="exact"/>
              <w:jc w:val="center"/>
              <w:rPr>
                <w:rFonts w:hint="eastAsia" w:ascii="仿宋" w:hAnsi="仿宋" w:eastAsia="仿宋" w:cs="仿宋"/>
                <w:bCs/>
                <w:color w:val="auto"/>
                <w:sz w:val="24"/>
                <w:szCs w:val="24"/>
              </w:rPr>
            </w:pPr>
          </w:p>
        </w:tc>
        <w:tc>
          <w:tcPr>
            <w:tcW w:w="1661" w:type="dxa"/>
            <w:gridSpan w:val="2"/>
            <w:noWrap w:val="0"/>
            <w:vAlign w:val="top"/>
          </w:tcPr>
          <w:p>
            <w:pPr>
              <w:spacing w:line="420" w:lineRule="exact"/>
              <w:jc w:val="center"/>
              <w:rPr>
                <w:rFonts w:hint="eastAsia" w:ascii="仿宋" w:hAnsi="仿宋" w:eastAsia="仿宋" w:cs="仿宋"/>
                <w:bCs/>
                <w:color w:val="auto"/>
                <w:sz w:val="24"/>
                <w:szCs w:val="24"/>
              </w:rPr>
            </w:pPr>
          </w:p>
        </w:tc>
        <w:tc>
          <w:tcPr>
            <w:tcW w:w="1653" w:type="dxa"/>
            <w:gridSpan w:val="2"/>
            <w:noWrap w:val="0"/>
            <w:vAlign w:val="top"/>
          </w:tcPr>
          <w:p>
            <w:pPr>
              <w:spacing w:line="420" w:lineRule="exact"/>
              <w:jc w:val="center"/>
              <w:rPr>
                <w:rFonts w:hint="eastAsia" w:ascii="仿宋" w:hAnsi="仿宋" w:eastAsia="仿宋" w:cs="仿宋"/>
                <w:bCs/>
                <w:color w:val="auto"/>
                <w:sz w:val="24"/>
                <w:szCs w:val="24"/>
              </w:rPr>
            </w:pPr>
          </w:p>
        </w:tc>
        <w:tc>
          <w:tcPr>
            <w:tcW w:w="2575" w:type="dxa"/>
            <w:gridSpan w:val="2"/>
            <w:noWrap w:val="0"/>
            <w:vAlign w:val="top"/>
          </w:tcPr>
          <w:p>
            <w:pPr>
              <w:spacing w:line="420" w:lineRule="exact"/>
              <w:jc w:val="center"/>
              <w:rPr>
                <w:rFonts w:hint="eastAsia" w:ascii="仿宋" w:hAnsi="仿宋" w:eastAsia="仿宋" w:cs="仿宋"/>
                <w:bCs/>
                <w:color w:val="auto"/>
                <w:sz w:val="24"/>
                <w:szCs w:val="24"/>
              </w:rPr>
            </w:pPr>
          </w:p>
        </w:tc>
        <w:tc>
          <w:tcPr>
            <w:tcW w:w="2202" w:type="dxa"/>
            <w:noWrap w:val="0"/>
            <w:vAlign w:val="top"/>
          </w:tcPr>
          <w:p>
            <w:pPr>
              <w:spacing w:line="42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noWrap w:val="0"/>
            <w:vAlign w:val="top"/>
          </w:tcPr>
          <w:p>
            <w:pPr>
              <w:spacing w:line="420" w:lineRule="exact"/>
              <w:jc w:val="center"/>
              <w:rPr>
                <w:rFonts w:hint="eastAsia" w:ascii="仿宋" w:hAnsi="仿宋" w:eastAsia="仿宋" w:cs="仿宋"/>
                <w:bCs/>
                <w:color w:val="auto"/>
                <w:sz w:val="24"/>
                <w:szCs w:val="24"/>
              </w:rPr>
            </w:pPr>
          </w:p>
        </w:tc>
        <w:tc>
          <w:tcPr>
            <w:tcW w:w="1661" w:type="dxa"/>
            <w:gridSpan w:val="2"/>
            <w:noWrap w:val="0"/>
            <w:vAlign w:val="top"/>
          </w:tcPr>
          <w:p>
            <w:pPr>
              <w:spacing w:line="420" w:lineRule="exact"/>
              <w:jc w:val="center"/>
              <w:rPr>
                <w:rFonts w:hint="eastAsia" w:ascii="仿宋" w:hAnsi="仿宋" w:eastAsia="仿宋" w:cs="仿宋"/>
                <w:bCs/>
                <w:color w:val="auto"/>
                <w:sz w:val="24"/>
                <w:szCs w:val="24"/>
              </w:rPr>
            </w:pPr>
          </w:p>
        </w:tc>
        <w:tc>
          <w:tcPr>
            <w:tcW w:w="1653" w:type="dxa"/>
            <w:gridSpan w:val="2"/>
            <w:noWrap w:val="0"/>
            <w:vAlign w:val="top"/>
          </w:tcPr>
          <w:p>
            <w:pPr>
              <w:spacing w:line="420" w:lineRule="exact"/>
              <w:jc w:val="center"/>
              <w:rPr>
                <w:rFonts w:hint="eastAsia" w:ascii="仿宋" w:hAnsi="仿宋" w:eastAsia="仿宋" w:cs="仿宋"/>
                <w:bCs/>
                <w:color w:val="auto"/>
                <w:sz w:val="24"/>
                <w:szCs w:val="24"/>
              </w:rPr>
            </w:pPr>
          </w:p>
        </w:tc>
        <w:tc>
          <w:tcPr>
            <w:tcW w:w="2575" w:type="dxa"/>
            <w:gridSpan w:val="2"/>
            <w:noWrap w:val="0"/>
            <w:vAlign w:val="top"/>
          </w:tcPr>
          <w:p>
            <w:pPr>
              <w:spacing w:line="420" w:lineRule="exact"/>
              <w:jc w:val="center"/>
              <w:rPr>
                <w:rFonts w:hint="eastAsia" w:ascii="仿宋" w:hAnsi="仿宋" w:eastAsia="仿宋" w:cs="仿宋"/>
                <w:bCs/>
                <w:color w:val="auto"/>
                <w:sz w:val="24"/>
                <w:szCs w:val="24"/>
              </w:rPr>
            </w:pPr>
          </w:p>
        </w:tc>
        <w:tc>
          <w:tcPr>
            <w:tcW w:w="2202" w:type="dxa"/>
            <w:noWrap w:val="0"/>
            <w:vAlign w:val="top"/>
          </w:tcPr>
          <w:p>
            <w:pPr>
              <w:spacing w:line="42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noWrap w:val="0"/>
            <w:vAlign w:val="top"/>
          </w:tcPr>
          <w:p>
            <w:pPr>
              <w:spacing w:line="420" w:lineRule="exact"/>
              <w:jc w:val="center"/>
              <w:rPr>
                <w:rFonts w:hint="eastAsia" w:ascii="仿宋" w:hAnsi="仿宋" w:eastAsia="仿宋" w:cs="仿宋"/>
                <w:bCs/>
                <w:color w:val="auto"/>
                <w:sz w:val="24"/>
                <w:szCs w:val="24"/>
              </w:rPr>
            </w:pPr>
          </w:p>
        </w:tc>
        <w:tc>
          <w:tcPr>
            <w:tcW w:w="1661" w:type="dxa"/>
            <w:gridSpan w:val="2"/>
            <w:noWrap w:val="0"/>
            <w:vAlign w:val="top"/>
          </w:tcPr>
          <w:p>
            <w:pPr>
              <w:spacing w:line="420" w:lineRule="exact"/>
              <w:jc w:val="center"/>
              <w:rPr>
                <w:rFonts w:hint="eastAsia" w:ascii="仿宋" w:hAnsi="仿宋" w:eastAsia="仿宋" w:cs="仿宋"/>
                <w:bCs/>
                <w:color w:val="auto"/>
                <w:sz w:val="24"/>
                <w:szCs w:val="24"/>
              </w:rPr>
            </w:pPr>
          </w:p>
        </w:tc>
        <w:tc>
          <w:tcPr>
            <w:tcW w:w="1653" w:type="dxa"/>
            <w:gridSpan w:val="2"/>
            <w:noWrap w:val="0"/>
            <w:vAlign w:val="top"/>
          </w:tcPr>
          <w:p>
            <w:pPr>
              <w:spacing w:line="420" w:lineRule="exact"/>
              <w:jc w:val="center"/>
              <w:rPr>
                <w:rFonts w:hint="eastAsia" w:ascii="仿宋" w:hAnsi="仿宋" w:eastAsia="仿宋" w:cs="仿宋"/>
                <w:bCs/>
                <w:color w:val="auto"/>
                <w:sz w:val="24"/>
                <w:szCs w:val="24"/>
              </w:rPr>
            </w:pPr>
          </w:p>
        </w:tc>
        <w:tc>
          <w:tcPr>
            <w:tcW w:w="2575" w:type="dxa"/>
            <w:gridSpan w:val="2"/>
            <w:noWrap w:val="0"/>
            <w:vAlign w:val="top"/>
          </w:tcPr>
          <w:p>
            <w:pPr>
              <w:spacing w:line="420" w:lineRule="exact"/>
              <w:jc w:val="center"/>
              <w:rPr>
                <w:rFonts w:hint="eastAsia" w:ascii="仿宋" w:hAnsi="仿宋" w:eastAsia="仿宋" w:cs="仿宋"/>
                <w:bCs/>
                <w:color w:val="auto"/>
                <w:sz w:val="24"/>
                <w:szCs w:val="24"/>
              </w:rPr>
            </w:pPr>
          </w:p>
        </w:tc>
        <w:tc>
          <w:tcPr>
            <w:tcW w:w="2202" w:type="dxa"/>
            <w:noWrap w:val="0"/>
            <w:vAlign w:val="top"/>
          </w:tcPr>
          <w:p>
            <w:pPr>
              <w:spacing w:line="420" w:lineRule="exact"/>
              <w:jc w:val="center"/>
              <w:rPr>
                <w:rFonts w:hint="eastAsia" w:ascii="仿宋" w:hAnsi="仿宋" w:eastAsia="仿宋" w:cs="仿宋"/>
                <w:bCs/>
                <w:color w:val="auto"/>
                <w:sz w:val="24"/>
                <w:szCs w:val="24"/>
              </w:rPr>
            </w:pPr>
          </w:p>
        </w:tc>
      </w:tr>
    </w:tbl>
    <w:p>
      <w:pPr>
        <w:keepNext/>
        <w:spacing w:line="420" w:lineRule="exact"/>
        <w:jc w:val="center"/>
        <w:rPr>
          <w:rFonts w:hint="eastAsia" w:ascii="仿宋" w:hAnsi="仿宋" w:eastAsia="仿宋" w:cs="仿宋"/>
          <w:bCs/>
          <w:color w:val="auto"/>
          <w:sz w:val="30"/>
          <w:szCs w:val="30"/>
        </w:rPr>
      </w:pPr>
    </w:p>
    <w:p>
      <w:pPr>
        <w:spacing w:line="400" w:lineRule="exact"/>
        <w:ind w:left="630" w:hanging="630" w:hangingChars="300"/>
        <w:rPr>
          <w:rFonts w:hint="eastAsia" w:ascii="仿宋" w:hAnsi="仿宋" w:eastAsia="仿宋" w:cs="仿宋"/>
          <w:color w:val="auto"/>
          <w:szCs w:val="21"/>
        </w:rPr>
      </w:pPr>
      <w:r>
        <w:rPr>
          <w:rFonts w:hint="eastAsia" w:ascii="仿宋" w:hAnsi="仿宋" w:eastAsia="仿宋" w:cs="仿宋"/>
          <w:color w:val="auto"/>
          <w:szCs w:val="21"/>
        </w:rPr>
        <w:t>说明：项目负责人应提供建造师注册证书复印件、安全考核合格证书（A类或B类）复印件均附于本表后，作为本表附件。</w:t>
      </w:r>
    </w:p>
    <w:p>
      <w:pPr>
        <w:tabs>
          <w:tab w:val="left" w:pos="1875"/>
        </w:tabs>
        <w:rPr>
          <w:rFonts w:hint="eastAsia" w:ascii="仿宋" w:hAnsi="仿宋" w:eastAsia="仿宋" w:cs="仿宋"/>
          <w:color w:val="auto"/>
          <w:szCs w:val="21"/>
        </w:rPr>
      </w:pPr>
    </w:p>
    <w:p>
      <w:pPr>
        <w:tabs>
          <w:tab w:val="left" w:pos="1875"/>
        </w:tabs>
        <w:rPr>
          <w:rFonts w:hint="eastAsia" w:ascii="仿宋" w:hAnsi="仿宋" w:eastAsia="仿宋" w:cs="仿宋"/>
          <w:color w:val="auto"/>
          <w:szCs w:val="21"/>
        </w:rPr>
      </w:pPr>
    </w:p>
    <w:p>
      <w:pPr>
        <w:tabs>
          <w:tab w:val="left" w:pos="1875"/>
        </w:tabs>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：（盖章）</w:t>
      </w:r>
    </w:p>
    <w:p>
      <w:pPr>
        <w:pStyle w:val="20"/>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法定代表人或授权代理人：（签字或盖章）</w:t>
      </w:r>
    </w:p>
    <w:p>
      <w:pPr>
        <w:pStyle w:val="20"/>
        <w:spacing w:line="480" w:lineRule="auto"/>
        <w:rPr>
          <w:rFonts w:hint="eastAsia" w:ascii="仿宋" w:hAnsi="仿宋" w:eastAsia="仿宋" w:cs="仿宋"/>
          <w:bCs/>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rPr>
          <w:rFonts w:hint="eastAsia" w:ascii="仿宋" w:hAnsi="仿宋" w:eastAsia="仿宋" w:cs="仿宋"/>
          <w:b/>
          <w:color w:val="auto"/>
          <w:sz w:val="28"/>
          <w:szCs w:val="28"/>
          <w:highlight w:val="none"/>
          <w:lang w:val="en-US" w:eastAsia="zh-CN"/>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keepNext/>
        <w:spacing w:line="420" w:lineRule="exact"/>
        <w:jc w:val="center"/>
        <w:rPr>
          <w:rFonts w:hint="eastAsia" w:ascii="仿宋" w:hAnsi="仿宋" w:eastAsia="仿宋" w:cs="仿宋"/>
          <w:bCs/>
          <w:color w:val="auto"/>
          <w:sz w:val="28"/>
          <w:szCs w:val="28"/>
        </w:rPr>
      </w:pPr>
      <w:r>
        <w:rPr>
          <w:rFonts w:hint="eastAsia" w:ascii="仿宋" w:hAnsi="仿宋" w:eastAsia="仿宋" w:cs="仿宋"/>
          <w:b/>
          <w:color w:val="auto"/>
          <w:sz w:val="28"/>
          <w:szCs w:val="28"/>
          <w:highlight w:val="none"/>
          <w:lang w:val="en-US" w:eastAsia="zh-CN"/>
        </w:rPr>
        <w:t>9</w:t>
      </w:r>
      <w:r>
        <w:rPr>
          <w:rFonts w:hint="eastAsia" w:ascii="仿宋" w:hAnsi="仿宋" w:eastAsia="仿宋" w:cs="仿宋"/>
          <w:b/>
          <w:color w:val="auto"/>
          <w:sz w:val="28"/>
          <w:szCs w:val="28"/>
          <w:highlight w:val="none"/>
        </w:rPr>
        <w:t>、</w:t>
      </w:r>
      <w:r>
        <w:rPr>
          <w:rFonts w:hint="eastAsia" w:ascii="仿宋" w:hAnsi="仿宋" w:eastAsia="仿宋" w:cs="仿宋"/>
          <w:b/>
          <w:bCs w:val="0"/>
          <w:color w:val="auto"/>
          <w:kern w:val="2"/>
          <w:sz w:val="28"/>
          <w:szCs w:val="28"/>
          <w:lang w:val="en-US" w:eastAsia="zh-CN" w:bidi="ar-SA"/>
        </w:rPr>
        <w:t>主要施工管理人员汇总表</w:t>
      </w:r>
    </w:p>
    <w:tbl>
      <w:tblPr>
        <w:tblStyle w:val="25"/>
        <w:tblpPr w:leftFromText="180" w:rightFromText="180" w:vertAnchor="text" w:horzAnchor="margin" w:tblpXSpec="center" w:tblpY="20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865"/>
        <w:gridCol w:w="874"/>
        <w:gridCol w:w="873"/>
        <w:gridCol w:w="4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242" w:type="dxa"/>
            <w:noWrap w:val="0"/>
            <w:vAlign w:val="top"/>
          </w:tcPr>
          <w:p>
            <w:pPr>
              <w:spacing w:line="420" w:lineRule="exact"/>
              <w:jc w:val="center"/>
              <w:rPr>
                <w:rFonts w:hint="eastAsia" w:ascii="仿宋" w:hAnsi="仿宋" w:eastAsia="仿宋" w:cs="仿宋"/>
                <w:color w:val="auto"/>
              </w:rPr>
            </w:pPr>
            <w:r>
              <w:rPr>
                <w:rFonts w:hint="eastAsia" w:ascii="仿宋" w:hAnsi="仿宋" w:eastAsia="仿宋" w:cs="仿宋"/>
                <w:color w:val="auto"/>
              </w:rPr>
              <w:t>人员</w:t>
            </w:r>
          </w:p>
        </w:tc>
        <w:tc>
          <w:tcPr>
            <w:tcW w:w="865" w:type="dxa"/>
            <w:noWrap w:val="0"/>
            <w:vAlign w:val="top"/>
          </w:tcPr>
          <w:p>
            <w:pPr>
              <w:spacing w:line="420" w:lineRule="exact"/>
              <w:jc w:val="center"/>
              <w:rPr>
                <w:rFonts w:hint="eastAsia" w:ascii="仿宋" w:hAnsi="仿宋" w:eastAsia="仿宋" w:cs="仿宋"/>
                <w:color w:val="auto"/>
              </w:rPr>
            </w:pPr>
            <w:r>
              <w:rPr>
                <w:rFonts w:hint="eastAsia" w:ascii="仿宋" w:hAnsi="仿宋" w:eastAsia="仿宋" w:cs="仿宋"/>
                <w:color w:val="auto"/>
              </w:rPr>
              <w:t>姓名</w:t>
            </w:r>
          </w:p>
        </w:tc>
        <w:tc>
          <w:tcPr>
            <w:tcW w:w="874" w:type="dxa"/>
            <w:noWrap w:val="0"/>
            <w:vAlign w:val="top"/>
          </w:tcPr>
          <w:p>
            <w:pPr>
              <w:spacing w:line="420" w:lineRule="exact"/>
              <w:jc w:val="center"/>
              <w:rPr>
                <w:rFonts w:hint="eastAsia" w:ascii="仿宋" w:hAnsi="仿宋" w:eastAsia="仿宋" w:cs="仿宋"/>
                <w:color w:val="auto"/>
              </w:rPr>
            </w:pPr>
            <w:r>
              <w:rPr>
                <w:rFonts w:hint="eastAsia" w:ascii="仿宋" w:hAnsi="仿宋" w:eastAsia="仿宋" w:cs="仿宋"/>
                <w:color w:val="auto"/>
              </w:rPr>
              <w:t>职务</w:t>
            </w:r>
          </w:p>
        </w:tc>
        <w:tc>
          <w:tcPr>
            <w:tcW w:w="873" w:type="dxa"/>
            <w:noWrap w:val="0"/>
            <w:vAlign w:val="top"/>
          </w:tcPr>
          <w:p>
            <w:pPr>
              <w:spacing w:line="420" w:lineRule="exact"/>
              <w:jc w:val="center"/>
              <w:rPr>
                <w:rFonts w:hint="eastAsia" w:ascii="仿宋" w:hAnsi="仿宋" w:eastAsia="仿宋" w:cs="仿宋"/>
                <w:color w:val="auto"/>
              </w:rPr>
            </w:pPr>
            <w:r>
              <w:rPr>
                <w:rFonts w:hint="eastAsia" w:ascii="仿宋" w:hAnsi="仿宋" w:eastAsia="仿宋" w:cs="仿宋"/>
                <w:color w:val="auto"/>
              </w:rPr>
              <w:t>职称</w:t>
            </w:r>
          </w:p>
        </w:tc>
        <w:tc>
          <w:tcPr>
            <w:tcW w:w="4726" w:type="dxa"/>
            <w:noWrap w:val="0"/>
            <w:vAlign w:val="top"/>
          </w:tcPr>
          <w:p>
            <w:pPr>
              <w:spacing w:line="420" w:lineRule="exact"/>
              <w:jc w:val="center"/>
              <w:rPr>
                <w:rFonts w:hint="eastAsia" w:ascii="仿宋" w:hAnsi="仿宋" w:eastAsia="仿宋" w:cs="仿宋"/>
                <w:color w:val="auto"/>
              </w:rPr>
            </w:pPr>
            <w:r>
              <w:rPr>
                <w:rFonts w:hint="eastAsia" w:ascii="仿宋" w:hAnsi="仿宋" w:eastAsia="仿宋" w:cs="仿宋"/>
                <w:color w:val="auto"/>
              </w:rPr>
              <w:t>主要工作业绩、经验及承担过的项目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242" w:type="dxa"/>
            <w:noWrap w:val="0"/>
            <w:vAlign w:val="center"/>
          </w:tcPr>
          <w:p>
            <w:pPr>
              <w:spacing w:line="420" w:lineRule="exact"/>
              <w:rPr>
                <w:rFonts w:hint="eastAsia" w:ascii="仿宋" w:hAnsi="仿宋" w:eastAsia="仿宋" w:cs="仿宋"/>
                <w:color w:val="auto"/>
              </w:rPr>
            </w:pPr>
            <w:r>
              <w:rPr>
                <w:rFonts w:hint="eastAsia" w:ascii="仿宋" w:hAnsi="仿宋" w:eastAsia="仿宋" w:cs="仿宋"/>
                <w:color w:val="auto"/>
              </w:rPr>
              <w:t>1、项目负责人</w:t>
            </w:r>
          </w:p>
        </w:tc>
        <w:tc>
          <w:tcPr>
            <w:tcW w:w="865" w:type="dxa"/>
            <w:noWrap w:val="0"/>
            <w:vAlign w:val="top"/>
          </w:tcPr>
          <w:p>
            <w:pPr>
              <w:spacing w:line="420" w:lineRule="exact"/>
              <w:jc w:val="center"/>
              <w:rPr>
                <w:rFonts w:hint="eastAsia" w:ascii="仿宋" w:hAnsi="仿宋" w:eastAsia="仿宋" w:cs="仿宋"/>
                <w:color w:val="auto"/>
              </w:rPr>
            </w:pPr>
          </w:p>
        </w:tc>
        <w:tc>
          <w:tcPr>
            <w:tcW w:w="874" w:type="dxa"/>
            <w:noWrap w:val="0"/>
            <w:vAlign w:val="top"/>
          </w:tcPr>
          <w:p>
            <w:pPr>
              <w:spacing w:line="420" w:lineRule="exact"/>
              <w:jc w:val="center"/>
              <w:rPr>
                <w:rFonts w:hint="eastAsia" w:ascii="仿宋" w:hAnsi="仿宋" w:eastAsia="仿宋" w:cs="仿宋"/>
                <w:color w:val="auto"/>
              </w:rPr>
            </w:pPr>
          </w:p>
        </w:tc>
        <w:tc>
          <w:tcPr>
            <w:tcW w:w="873" w:type="dxa"/>
            <w:noWrap w:val="0"/>
            <w:vAlign w:val="top"/>
          </w:tcPr>
          <w:p>
            <w:pPr>
              <w:spacing w:line="420" w:lineRule="exact"/>
              <w:jc w:val="center"/>
              <w:rPr>
                <w:rFonts w:hint="eastAsia" w:ascii="仿宋" w:hAnsi="仿宋" w:eastAsia="仿宋" w:cs="仿宋"/>
                <w:color w:val="auto"/>
              </w:rPr>
            </w:pPr>
          </w:p>
        </w:tc>
        <w:tc>
          <w:tcPr>
            <w:tcW w:w="4726" w:type="dxa"/>
            <w:noWrap w:val="0"/>
            <w:vAlign w:val="top"/>
          </w:tcPr>
          <w:p>
            <w:pPr>
              <w:spacing w:line="420" w:lineRule="exact"/>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242" w:type="dxa"/>
            <w:noWrap w:val="0"/>
            <w:vAlign w:val="center"/>
          </w:tcPr>
          <w:p>
            <w:pPr>
              <w:spacing w:line="420" w:lineRule="exact"/>
              <w:rPr>
                <w:rFonts w:hint="eastAsia" w:ascii="仿宋" w:hAnsi="仿宋" w:eastAsia="仿宋" w:cs="仿宋"/>
                <w:color w:val="auto"/>
              </w:rPr>
            </w:pPr>
            <w:r>
              <w:rPr>
                <w:rFonts w:hint="eastAsia" w:ascii="仿宋" w:hAnsi="仿宋" w:eastAsia="仿宋" w:cs="仿宋"/>
                <w:color w:val="auto"/>
              </w:rPr>
              <w:t>2、项目技术负责人</w:t>
            </w:r>
          </w:p>
        </w:tc>
        <w:tc>
          <w:tcPr>
            <w:tcW w:w="865" w:type="dxa"/>
            <w:noWrap w:val="0"/>
            <w:vAlign w:val="top"/>
          </w:tcPr>
          <w:p>
            <w:pPr>
              <w:spacing w:line="420" w:lineRule="exact"/>
              <w:jc w:val="center"/>
              <w:rPr>
                <w:rFonts w:hint="eastAsia" w:ascii="仿宋" w:hAnsi="仿宋" w:eastAsia="仿宋" w:cs="仿宋"/>
                <w:color w:val="auto"/>
              </w:rPr>
            </w:pPr>
          </w:p>
        </w:tc>
        <w:tc>
          <w:tcPr>
            <w:tcW w:w="874" w:type="dxa"/>
            <w:noWrap w:val="0"/>
            <w:vAlign w:val="top"/>
          </w:tcPr>
          <w:p>
            <w:pPr>
              <w:spacing w:line="420" w:lineRule="exact"/>
              <w:jc w:val="center"/>
              <w:rPr>
                <w:rFonts w:hint="eastAsia" w:ascii="仿宋" w:hAnsi="仿宋" w:eastAsia="仿宋" w:cs="仿宋"/>
                <w:color w:val="auto"/>
              </w:rPr>
            </w:pPr>
          </w:p>
        </w:tc>
        <w:tc>
          <w:tcPr>
            <w:tcW w:w="873" w:type="dxa"/>
            <w:noWrap w:val="0"/>
            <w:vAlign w:val="top"/>
          </w:tcPr>
          <w:p>
            <w:pPr>
              <w:spacing w:line="420" w:lineRule="exact"/>
              <w:jc w:val="center"/>
              <w:rPr>
                <w:rFonts w:hint="eastAsia" w:ascii="仿宋" w:hAnsi="仿宋" w:eastAsia="仿宋" w:cs="仿宋"/>
                <w:color w:val="auto"/>
              </w:rPr>
            </w:pPr>
          </w:p>
        </w:tc>
        <w:tc>
          <w:tcPr>
            <w:tcW w:w="4726" w:type="dxa"/>
            <w:noWrap w:val="0"/>
            <w:vAlign w:val="top"/>
          </w:tcPr>
          <w:p>
            <w:pPr>
              <w:spacing w:line="420" w:lineRule="exact"/>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242" w:type="dxa"/>
            <w:noWrap w:val="0"/>
            <w:vAlign w:val="center"/>
          </w:tcPr>
          <w:p>
            <w:pPr>
              <w:spacing w:line="420" w:lineRule="exact"/>
              <w:rPr>
                <w:rFonts w:hint="eastAsia" w:ascii="仿宋" w:hAnsi="仿宋" w:eastAsia="仿宋" w:cs="仿宋"/>
                <w:color w:val="auto"/>
              </w:rPr>
            </w:pPr>
            <w:r>
              <w:rPr>
                <w:rFonts w:hint="eastAsia" w:ascii="仿宋" w:hAnsi="仿宋" w:eastAsia="仿宋" w:cs="仿宋"/>
                <w:color w:val="auto"/>
              </w:rPr>
              <w:t>3、施工员</w:t>
            </w:r>
          </w:p>
        </w:tc>
        <w:tc>
          <w:tcPr>
            <w:tcW w:w="865" w:type="dxa"/>
            <w:noWrap w:val="0"/>
            <w:vAlign w:val="top"/>
          </w:tcPr>
          <w:p>
            <w:pPr>
              <w:spacing w:line="420" w:lineRule="exact"/>
              <w:jc w:val="center"/>
              <w:rPr>
                <w:rFonts w:hint="eastAsia" w:ascii="仿宋" w:hAnsi="仿宋" w:eastAsia="仿宋" w:cs="仿宋"/>
                <w:color w:val="auto"/>
              </w:rPr>
            </w:pPr>
          </w:p>
        </w:tc>
        <w:tc>
          <w:tcPr>
            <w:tcW w:w="874" w:type="dxa"/>
            <w:noWrap w:val="0"/>
            <w:vAlign w:val="top"/>
          </w:tcPr>
          <w:p>
            <w:pPr>
              <w:spacing w:line="420" w:lineRule="exact"/>
              <w:jc w:val="center"/>
              <w:rPr>
                <w:rFonts w:hint="eastAsia" w:ascii="仿宋" w:hAnsi="仿宋" w:eastAsia="仿宋" w:cs="仿宋"/>
                <w:color w:val="auto"/>
              </w:rPr>
            </w:pPr>
          </w:p>
        </w:tc>
        <w:tc>
          <w:tcPr>
            <w:tcW w:w="873" w:type="dxa"/>
            <w:noWrap w:val="0"/>
            <w:vAlign w:val="top"/>
          </w:tcPr>
          <w:p>
            <w:pPr>
              <w:spacing w:line="420" w:lineRule="exact"/>
              <w:jc w:val="center"/>
              <w:rPr>
                <w:rFonts w:hint="eastAsia" w:ascii="仿宋" w:hAnsi="仿宋" w:eastAsia="仿宋" w:cs="仿宋"/>
                <w:color w:val="auto"/>
              </w:rPr>
            </w:pPr>
          </w:p>
        </w:tc>
        <w:tc>
          <w:tcPr>
            <w:tcW w:w="4726" w:type="dxa"/>
            <w:noWrap w:val="0"/>
            <w:vAlign w:val="top"/>
          </w:tcPr>
          <w:p>
            <w:pPr>
              <w:spacing w:line="420" w:lineRule="exact"/>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242" w:type="dxa"/>
            <w:noWrap w:val="0"/>
            <w:vAlign w:val="center"/>
          </w:tcPr>
          <w:p>
            <w:pPr>
              <w:spacing w:line="420" w:lineRule="exact"/>
              <w:rPr>
                <w:rFonts w:hint="eastAsia" w:ascii="仿宋" w:hAnsi="仿宋" w:eastAsia="仿宋" w:cs="仿宋"/>
                <w:color w:val="auto"/>
              </w:rPr>
            </w:pPr>
            <w:r>
              <w:rPr>
                <w:rFonts w:hint="eastAsia" w:ascii="仿宋" w:hAnsi="仿宋" w:eastAsia="仿宋" w:cs="仿宋"/>
                <w:color w:val="auto"/>
              </w:rPr>
              <w:t>4、劳务员</w:t>
            </w:r>
          </w:p>
        </w:tc>
        <w:tc>
          <w:tcPr>
            <w:tcW w:w="865" w:type="dxa"/>
            <w:noWrap w:val="0"/>
            <w:vAlign w:val="top"/>
          </w:tcPr>
          <w:p>
            <w:pPr>
              <w:spacing w:line="420" w:lineRule="exact"/>
              <w:jc w:val="center"/>
              <w:rPr>
                <w:rFonts w:hint="eastAsia" w:ascii="仿宋" w:hAnsi="仿宋" w:eastAsia="仿宋" w:cs="仿宋"/>
                <w:color w:val="auto"/>
              </w:rPr>
            </w:pPr>
          </w:p>
        </w:tc>
        <w:tc>
          <w:tcPr>
            <w:tcW w:w="874" w:type="dxa"/>
            <w:noWrap w:val="0"/>
            <w:vAlign w:val="top"/>
          </w:tcPr>
          <w:p>
            <w:pPr>
              <w:spacing w:line="420" w:lineRule="exact"/>
              <w:jc w:val="center"/>
              <w:rPr>
                <w:rFonts w:hint="eastAsia" w:ascii="仿宋" w:hAnsi="仿宋" w:eastAsia="仿宋" w:cs="仿宋"/>
                <w:color w:val="auto"/>
              </w:rPr>
            </w:pPr>
          </w:p>
        </w:tc>
        <w:tc>
          <w:tcPr>
            <w:tcW w:w="873" w:type="dxa"/>
            <w:noWrap w:val="0"/>
            <w:vAlign w:val="top"/>
          </w:tcPr>
          <w:p>
            <w:pPr>
              <w:spacing w:line="420" w:lineRule="exact"/>
              <w:jc w:val="center"/>
              <w:rPr>
                <w:rFonts w:hint="eastAsia" w:ascii="仿宋" w:hAnsi="仿宋" w:eastAsia="仿宋" w:cs="仿宋"/>
                <w:color w:val="auto"/>
              </w:rPr>
            </w:pPr>
          </w:p>
        </w:tc>
        <w:tc>
          <w:tcPr>
            <w:tcW w:w="4726" w:type="dxa"/>
            <w:noWrap w:val="0"/>
            <w:vAlign w:val="top"/>
          </w:tcPr>
          <w:p>
            <w:pPr>
              <w:spacing w:line="420" w:lineRule="exact"/>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242" w:type="dxa"/>
            <w:noWrap w:val="0"/>
            <w:vAlign w:val="center"/>
          </w:tcPr>
          <w:p>
            <w:pPr>
              <w:spacing w:line="420" w:lineRule="exact"/>
              <w:rPr>
                <w:rFonts w:hint="eastAsia" w:ascii="仿宋" w:hAnsi="仿宋" w:eastAsia="仿宋" w:cs="仿宋"/>
                <w:color w:val="auto"/>
              </w:rPr>
            </w:pPr>
            <w:r>
              <w:rPr>
                <w:rFonts w:hint="eastAsia" w:ascii="仿宋" w:hAnsi="仿宋" w:eastAsia="仿宋" w:cs="仿宋"/>
                <w:color w:val="auto"/>
              </w:rPr>
              <w:t>5、质检员</w:t>
            </w:r>
          </w:p>
        </w:tc>
        <w:tc>
          <w:tcPr>
            <w:tcW w:w="865" w:type="dxa"/>
            <w:noWrap w:val="0"/>
            <w:vAlign w:val="top"/>
          </w:tcPr>
          <w:p>
            <w:pPr>
              <w:spacing w:line="420" w:lineRule="exact"/>
              <w:jc w:val="center"/>
              <w:rPr>
                <w:rFonts w:hint="eastAsia" w:ascii="仿宋" w:hAnsi="仿宋" w:eastAsia="仿宋" w:cs="仿宋"/>
                <w:color w:val="auto"/>
              </w:rPr>
            </w:pPr>
          </w:p>
        </w:tc>
        <w:tc>
          <w:tcPr>
            <w:tcW w:w="874" w:type="dxa"/>
            <w:noWrap w:val="0"/>
            <w:vAlign w:val="top"/>
          </w:tcPr>
          <w:p>
            <w:pPr>
              <w:spacing w:line="420" w:lineRule="exact"/>
              <w:jc w:val="center"/>
              <w:rPr>
                <w:rFonts w:hint="eastAsia" w:ascii="仿宋" w:hAnsi="仿宋" w:eastAsia="仿宋" w:cs="仿宋"/>
                <w:color w:val="auto"/>
              </w:rPr>
            </w:pPr>
          </w:p>
        </w:tc>
        <w:tc>
          <w:tcPr>
            <w:tcW w:w="873" w:type="dxa"/>
            <w:noWrap w:val="0"/>
            <w:vAlign w:val="top"/>
          </w:tcPr>
          <w:p>
            <w:pPr>
              <w:spacing w:line="420" w:lineRule="exact"/>
              <w:jc w:val="center"/>
              <w:rPr>
                <w:rFonts w:hint="eastAsia" w:ascii="仿宋" w:hAnsi="仿宋" w:eastAsia="仿宋" w:cs="仿宋"/>
                <w:color w:val="auto"/>
              </w:rPr>
            </w:pPr>
          </w:p>
        </w:tc>
        <w:tc>
          <w:tcPr>
            <w:tcW w:w="4726" w:type="dxa"/>
            <w:noWrap w:val="0"/>
            <w:vAlign w:val="top"/>
          </w:tcPr>
          <w:p>
            <w:pPr>
              <w:spacing w:line="420" w:lineRule="exact"/>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42" w:type="dxa"/>
            <w:noWrap w:val="0"/>
            <w:vAlign w:val="center"/>
          </w:tcPr>
          <w:p>
            <w:pPr>
              <w:spacing w:line="420" w:lineRule="exact"/>
              <w:rPr>
                <w:rFonts w:hint="eastAsia" w:ascii="仿宋" w:hAnsi="仿宋" w:eastAsia="仿宋" w:cs="仿宋"/>
                <w:color w:val="auto"/>
              </w:rPr>
            </w:pPr>
            <w:r>
              <w:rPr>
                <w:rFonts w:hint="eastAsia" w:ascii="仿宋" w:hAnsi="仿宋" w:eastAsia="仿宋" w:cs="仿宋"/>
                <w:color w:val="auto"/>
              </w:rPr>
              <w:t>6、安全员</w:t>
            </w:r>
          </w:p>
        </w:tc>
        <w:tc>
          <w:tcPr>
            <w:tcW w:w="865" w:type="dxa"/>
            <w:noWrap w:val="0"/>
            <w:vAlign w:val="top"/>
          </w:tcPr>
          <w:p>
            <w:pPr>
              <w:spacing w:line="420" w:lineRule="exact"/>
              <w:jc w:val="center"/>
              <w:rPr>
                <w:rFonts w:hint="eastAsia" w:ascii="仿宋" w:hAnsi="仿宋" w:eastAsia="仿宋" w:cs="仿宋"/>
                <w:color w:val="auto"/>
              </w:rPr>
            </w:pPr>
          </w:p>
        </w:tc>
        <w:tc>
          <w:tcPr>
            <w:tcW w:w="874" w:type="dxa"/>
            <w:noWrap w:val="0"/>
            <w:vAlign w:val="top"/>
          </w:tcPr>
          <w:p>
            <w:pPr>
              <w:spacing w:line="420" w:lineRule="exact"/>
              <w:jc w:val="center"/>
              <w:rPr>
                <w:rFonts w:hint="eastAsia" w:ascii="仿宋" w:hAnsi="仿宋" w:eastAsia="仿宋" w:cs="仿宋"/>
                <w:color w:val="auto"/>
              </w:rPr>
            </w:pPr>
          </w:p>
        </w:tc>
        <w:tc>
          <w:tcPr>
            <w:tcW w:w="873" w:type="dxa"/>
            <w:noWrap w:val="0"/>
            <w:vAlign w:val="top"/>
          </w:tcPr>
          <w:p>
            <w:pPr>
              <w:spacing w:line="420" w:lineRule="exact"/>
              <w:jc w:val="center"/>
              <w:rPr>
                <w:rFonts w:hint="eastAsia" w:ascii="仿宋" w:hAnsi="仿宋" w:eastAsia="仿宋" w:cs="仿宋"/>
                <w:color w:val="auto"/>
              </w:rPr>
            </w:pPr>
          </w:p>
        </w:tc>
        <w:tc>
          <w:tcPr>
            <w:tcW w:w="4726" w:type="dxa"/>
            <w:noWrap w:val="0"/>
            <w:vAlign w:val="top"/>
          </w:tcPr>
          <w:p>
            <w:pPr>
              <w:spacing w:line="420" w:lineRule="exact"/>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242" w:type="dxa"/>
            <w:noWrap w:val="0"/>
            <w:vAlign w:val="center"/>
          </w:tcPr>
          <w:p>
            <w:pPr>
              <w:spacing w:line="420" w:lineRule="exact"/>
              <w:rPr>
                <w:rFonts w:hint="eastAsia" w:ascii="仿宋" w:hAnsi="仿宋" w:eastAsia="仿宋" w:cs="仿宋"/>
                <w:color w:val="auto"/>
              </w:rPr>
            </w:pPr>
            <w:r>
              <w:rPr>
                <w:rFonts w:hint="eastAsia" w:ascii="仿宋" w:hAnsi="仿宋" w:eastAsia="仿宋" w:cs="仿宋"/>
                <w:color w:val="auto"/>
              </w:rPr>
              <w:t>7、材料员</w:t>
            </w:r>
          </w:p>
        </w:tc>
        <w:tc>
          <w:tcPr>
            <w:tcW w:w="865" w:type="dxa"/>
            <w:noWrap w:val="0"/>
            <w:vAlign w:val="top"/>
          </w:tcPr>
          <w:p>
            <w:pPr>
              <w:spacing w:line="420" w:lineRule="exact"/>
              <w:jc w:val="center"/>
              <w:rPr>
                <w:rFonts w:hint="eastAsia" w:ascii="仿宋" w:hAnsi="仿宋" w:eastAsia="仿宋" w:cs="仿宋"/>
                <w:color w:val="auto"/>
              </w:rPr>
            </w:pPr>
          </w:p>
        </w:tc>
        <w:tc>
          <w:tcPr>
            <w:tcW w:w="874" w:type="dxa"/>
            <w:noWrap w:val="0"/>
            <w:vAlign w:val="top"/>
          </w:tcPr>
          <w:p>
            <w:pPr>
              <w:spacing w:line="420" w:lineRule="exact"/>
              <w:jc w:val="center"/>
              <w:rPr>
                <w:rFonts w:hint="eastAsia" w:ascii="仿宋" w:hAnsi="仿宋" w:eastAsia="仿宋" w:cs="仿宋"/>
                <w:color w:val="auto"/>
              </w:rPr>
            </w:pPr>
          </w:p>
        </w:tc>
        <w:tc>
          <w:tcPr>
            <w:tcW w:w="873" w:type="dxa"/>
            <w:noWrap w:val="0"/>
            <w:vAlign w:val="top"/>
          </w:tcPr>
          <w:p>
            <w:pPr>
              <w:spacing w:line="420" w:lineRule="exact"/>
              <w:jc w:val="center"/>
              <w:rPr>
                <w:rFonts w:hint="eastAsia" w:ascii="仿宋" w:hAnsi="仿宋" w:eastAsia="仿宋" w:cs="仿宋"/>
                <w:color w:val="auto"/>
              </w:rPr>
            </w:pPr>
          </w:p>
        </w:tc>
        <w:tc>
          <w:tcPr>
            <w:tcW w:w="4726" w:type="dxa"/>
            <w:noWrap w:val="0"/>
            <w:vAlign w:val="top"/>
          </w:tcPr>
          <w:p>
            <w:pPr>
              <w:spacing w:line="420" w:lineRule="exact"/>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42" w:type="dxa"/>
            <w:noWrap w:val="0"/>
            <w:vAlign w:val="center"/>
          </w:tcPr>
          <w:p>
            <w:pPr>
              <w:spacing w:line="420" w:lineRule="exact"/>
              <w:rPr>
                <w:rFonts w:hint="eastAsia" w:ascii="仿宋" w:hAnsi="仿宋" w:eastAsia="仿宋" w:cs="仿宋"/>
                <w:color w:val="auto"/>
              </w:rPr>
            </w:pPr>
            <w:r>
              <w:rPr>
                <w:rFonts w:hint="eastAsia" w:ascii="仿宋" w:hAnsi="仿宋" w:eastAsia="仿宋" w:cs="仿宋"/>
                <w:color w:val="auto"/>
              </w:rPr>
              <w:t>8、资料员</w:t>
            </w:r>
          </w:p>
        </w:tc>
        <w:tc>
          <w:tcPr>
            <w:tcW w:w="865" w:type="dxa"/>
            <w:noWrap w:val="0"/>
            <w:vAlign w:val="top"/>
          </w:tcPr>
          <w:p>
            <w:pPr>
              <w:spacing w:line="420" w:lineRule="exact"/>
              <w:jc w:val="center"/>
              <w:rPr>
                <w:rFonts w:hint="eastAsia" w:ascii="仿宋" w:hAnsi="仿宋" w:eastAsia="仿宋" w:cs="仿宋"/>
                <w:color w:val="auto"/>
              </w:rPr>
            </w:pPr>
          </w:p>
        </w:tc>
        <w:tc>
          <w:tcPr>
            <w:tcW w:w="874" w:type="dxa"/>
            <w:noWrap w:val="0"/>
            <w:vAlign w:val="top"/>
          </w:tcPr>
          <w:p>
            <w:pPr>
              <w:spacing w:line="420" w:lineRule="exact"/>
              <w:jc w:val="center"/>
              <w:rPr>
                <w:rFonts w:hint="eastAsia" w:ascii="仿宋" w:hAnsi="仿宋" w:eastAsia="仿宋" w:cs="仿宋"/>
                <w:color w:val="auto"/>
              </w:rPr>
            </w:pPr>
          </w:p>
        </w:tc>
        <w:tc>
          <w:tcPr>
            <w:tcW w:w="873" w:type="dxa"/>
            <w:noWrap w:val="0"/>
            <w:vAlign w:val="top"/>
          </w:tcPr>
          <w:p>
            <w:pPr>
              <w:spacing w:line="420" w:lineRule="exact"/>
              <w:jc w:val="center"/>
              <w:rPr>
                <w:rFonts w:hint="eastAsia" w:ascii="仿宋" w:hAnsi="仿宋" w:eastAsia="仿宋" w:cs="仿宋"/>
                <w:color w:val="auto"/>
              </w:rPr>
            </w:pPr>
          </w:p>
        </w:tc>
        <w:tc>
          <w:tcPr>
            <w:tcW w:w="4726" w:type="dxa"/>
            <w:noWrap w:val="0"/>
            <w:vAlign w:val="top"/>
          </w:tcPr>
          <w:p>
            <w:pPr>
              <w:spacing w:line="420" w:lineRule="exact"/>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242" w:type="dxa"/>
            <w:noWrap w:val="0"/>
            <w:vAlign w:val="center"/>
          </w:tcPr>
          <w:p>
            <w:pPr>
              <w:spacing w:line="420" w:lineRule="exact"/>
              <w:rPr>
                <w:rFonts w:hint="eastAsia" w:ascii="仿宋" w:hAnsi="仿宋" w:eastAsia="仿宋" w:cs="仿宋"/>
                <w:color w:val="auto"/>
              </w:rPr>
            </w:pPr>
            <w:r>
              <w:rPr>
                <w:rFonts w:hint="eastAsia" w:ascii="仿宋" w:hAnsi="仿宋" w:eastAsia="仿宋" w:cs="仿宋"/>
                <w:color w:val="auto"/>
              </w:rPr>
              <w:t>9、机械员</w:t>
            </w:r>
          </w:p>
        </w:tc>
        <w:tc>
          <w:tcPr>
            <w:tcW w:w="865" w:type="dxa"/>
            <w:noWrap w:val="0"/>
            <w:vAlign w:val="top"/>
          </w:tcPr>
          <w:p>
            <w:pPr>
              <w:spacing w:line="420" w:lineRule="exact"/>
              <w:jc w:val="center"/>
              <w:rPr>
                <w:rFonts w:hint="eastAsia" w:ascii="仿宋" w:hAnsi="仿宋" w:eastAsia="仿宋" w:cs="仿宋"/>
                <w:color w:val="auto"/>
              </w:rPr>
            </w:pPr>
          </w:p>
        </w:tc>
        <w:tc>
          <w:tcPr>
            <w:tcW w:w="874" w:type="dxa"/>
            <w:noWrap w:val="0"/>
            <w:vAlign w:val="top"/>
          </w:tcPr>
          <w:p>
            <w:pPr>
              <w:spacing w:line="420" w:lineRule="exact"/>
              <w:jc w:val="center"/>
              <w:rPr>
                <w:rFonts w:hint="eastAsia" w:ascii="仿宋" w:hAnsi="仿宋" w:eastAsia="仿宋" w:cs="仿宋"/>
                <w:color w:val="auto"/>
              </w:rPr>
            </w:pPr>
          </w:p>
        </w:tc>
        <w:tc>
          <w:tcPr>
            <w:tcW w:w="873" w:type="dxa"/>
            <w:noWrap w:val="0"/>
            <w:vAlign w:val="top"/>
          </w:tcPr>
          <w:p>
            <w:pPr>
              <w:spacing w:line="420" w:lineRule="exact"/>
              <w:jc w:val="center"/>
              <w:rPr>
                <w:rFonts w:hint="eastAsia" w:ascii="仿宋" w:hAnsi="仿宋" w:eastAsia="仿宋" w:cs="仿宋"/>
                <w:color w:val="auto"/>
              </w:rPr>
            </w:pPr>
          </w:p>
        </w:tc>
        <w:tc>
          <w:tcPr>
            <w:tcW w:w="4726" w:type="dxa"/>
            <w:noWrap w:val="0"/>
            <w:vAlign w:val="top"/>
          </w:tcPr>
          <w:p>
            <w:pPr>
              <w:spacing w:line="420" w:lineRule="exact"/>
              <w:jc w:val="center"/>
              <w:rPr>
                <w:rFonts w:hint="eastAsia" w:ascii="仿宋" w:hAnsi="仿宋" w:eastAsia="仿宋" w:cs="仿宋"/>
                <w:color w:val="auto"/>
              </w:rPr>
            </w:pPr>
          </w:p>
        </w:tc>
      </w:tr>
    </w:tbl>
    <w:p>
      <w:pPr>
        <w:spacing w:line="420" w:lineRule="exact"/>
        <w:rPr>
          <w:rFonts w:hint="eastAsia" w:ascii="仿宋" w:hAnsi="仿宋" w:eastAsia="仿宋" w:cs="仿宋"/>
          <w:color w:val="auto"/>
        </w:rPr>
      </w:pPr>
    </w:p>
    <w:p>
      <w:pPr>
        <w:spacing w:line="400" w:lineRule="exact"/>
        <w:ind w:left="945" w:hanging="945" w:hangingChars="450"/>
        <w:rPr>
          <w:rFonts w:hint="eastAsia" w:ascii="仿宋" w:hAnsi="仿宋" w:eastAsia="仿宋" w:cs="仿宋"/>
          <w:color w:val="auto"/>
          <w:szCs w:val="21"/>
        </w:rPr>
      </w:pPr>
      <w:r>
        <w:rPr>
          <w:rFonts w:hint="eastAsia" w:ascii="仿宋" w:hAnsi="仿宋" w:eastAsia="仿宋" w:cs="仿宋"/>
          <w:color w:val="auto"/>
          <w:szCs w:val="21"/>
        </w:rPr>
        <w:t>说明：1、须提供上述管理人员上岗证书复印件；技术负责人需提供职称证书复印件，安全员需提供安全考核合格证书复印件，资料员提供资料员岗位证书复印件。</w:t>
      </w:r>
    </w:p>
    <w:p>
      <w:pPr>
        <w:spacing w:line="400" w:lineRule="exact"/>
        <w:ind w:left="945" w:hanging="945" w:hangingChars="450"/>
        <w:rPr>
          <w:rFonts w:hint="eastAsia" w:ascii="仿宋" w:hAnsi="仿宋" w:eastAsia="仿宋" w:cs="仿宋"/>
          <w:color w:val="auto"/>
          <w:szCs w:val="21"/>
        </w:rPr>
      </w:pPr>
      <w:r>
        <w:rPr>
          <w:rFonts w:hint="eastAsia" w:ascii="仿宋" w:hAnsi="仿宋" w:eastAsia="仿宋" w:cs="仿宋"/>
          <w:color w:val="auto"/>
          <w:szCs w:val="21"/>
        </w:rPr>
        <w:t xml:space="preserve">      2、未做说明的人员资料由</w:t>
      </w:r>
      <w:r>
        <w:rPr>
          <w:rFonts w:hint="eastAsia" w:ascii="仿宋" w:hAnsi="仿宋" w:eastAsia="仿宋" w:cs="仿宋"/>
          <w:color w:val="auto"/>
          <w:szCs w:val="21"/>
          <w:lang w:eastAsia="zh-CN"/>
        </w:rPr>
        <w:t>供应商</w:t>
      </w:r>
      <w:r>
        <w:rPr>
          <w:rFonts w:hint="eastAsia" w:ascii="仿宋" w:hAnsi="仿宋" w:eastAsia="仿宋" w:cs="仿宋"/>
          <w:color w:val="auto"/>
          <w:szCs w:val="21"/>
        </w:rPr>
        <w:t>自行考虑提供，所有复印件附于本表后，作为本表的附件（要求复印清晰）。</w:t>
      </w:r>
    </w:p>
    <w:p>
      <w:pPr>
        <w:spacing w:line="400" w:lineRule="exact"/>
        <w:ind w:left="945" w:hanging="945" w:hangingChars="450"/>
        <w:rPr>
          <w:rFonts w:hint="eastAsia" w:ascii="仿宋" w:hAnsi="仿宋" w:eastAsia="仿宋" w:cs="仿宋"/>
          <w:color w:val="auto"/>
          <w:szCs w:val="21"/>
        </w:rPr>
      </w:pPr>
      <w:r>
        <w:rPr>
          <w:rFonts w:hint="eastAsia" w:ascii="仿宋" w:hAnsi="仿宋" w:eastAsia="仿宋" w:cs="仿宋"/>
          <w:color w:val="auto"/>
          <w:szCs w:val="21"/>
        </w:rPr>
        <w:t xml:space="preserve">      3、专职安全人员</w:t>
      </w:r>
      <w:r>
        <w:rPr>
          <w:rFonts w:hint="eastAsia" w:ascii="仿宋" w:hAnsi="仿宋" w:eastAsia="仿宋" w:cs="仿宋"/>
          <w:color w:val="auto"/>
          <w:szCs w:val="21"/>
          <w:highlight w:val="none"/>
        </w:rPr>
        <w:t>配置按照新建建【2008】15号的</w:t>
      </w:r>
      <w:r>
        <w:rPr>
          <w:rFonts w:hint="eastAsia" w:ascii="仿宋" w:hAnsi="仿宋" w:eastAsia="仿宋" w:cs="仿宋"/>
          <w:color w:val="auto"/>
          <w:szCs w:val="21"/>
        </w:rPr>
        <w:t>相关规定，本工程须配备安全员不少于1人。</w:t>
      </w:r>
    </w:p>
    <w:p>
      <w:pPr>
        <w:spacing w:line="400" w:lineRule="exact"/>
        <w:ind w:left="945" w:hanging="945" w:hangingChars="450"/>
        <w:rPr>
          <w:rFonts w:hint="eastAsia" w:ascii="仿宋" w:hAnsi="仿宋" w:eastAsia="仿宋" w:cs="仿宋"/>
          <w:color w:val="auto"/>
          <w:szCs w:val="21"/>
        </w:rPr>
      </w:pPr>
    </w:p>
    <w:p>
      <w:pPr>
        <w:spacing w:line="400" w:lineRule="exact"/>
        <w:ind w:left="945" w:hanging="945" w:hangingChars="450"/>
        <w:rPr>
          <w:rFonts w:hint="eastAsia" w:ascii="仿宋" w:hAnsi="仿宋" w:eastAsia="仿宋" w:cs="仿宋"/>
          <w:color w:val="auto"/>
          <w:szCs w:val="21"/>
        </w:rPr>
      </w:pP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：（盖章）</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法定代表人或授权代理人：（签字或盖章）</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spacing w:line="400" w:lineRule="exact"/>
        <w:rPr>
          <w:rFonts w:hint="eastAsia" w:ascii="仿宋" w:hAnsi="仿宋" w:eastAsia="仿宋" w:cs="仿宋"/>
          <w:bCs/>
          <w:color w:val="auto"/>
          <w:sz w:val="30"/>
          <w:szCs w:val="30"/>
        </w:rPr>
      </w:pPr>
    </w:p>
    <w:p>
      <w:pPr>
        <w:pStyle w:val="12"/>
        <w:rPr>
          <w:rFonts w:hint="eastAsia" w:ascii="仿宋" w:hAnsi="仿宋" w:eastAsia="仿宋" w:cs="仿宋"/>
          <w:bCs/>
          <w:color w:val="auto"/>
          <w:sz w:val="30"/>
          <w:szCs w:val="30"/>
        </w:rPr>
      </w:pPr>
    </w:p>
    <w:p>
      <w:pPr>
        <w:pStyle w:val="14"/>
        <w:spacing w:line="360" w:lineRule="auto"/>
        <w:ind w:right="86"/>
        <w:jc w:val="center"/>
        <w:outlineLvl w:val="0"/>
        <w:rPr>
          <w:rFonts w:hint="eastAsia" w:ascii="仿宋" w:hAnsi="仿宋" w:eastAsia="仿宋" w:cs="仿宋"/>
          <w:color w:val="auto"/>
          <w:sz w:val="24"/>
          <w:szCs w:val="24"/>
          <w:highlight w:val="none"/>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numPr>
          <w:ilvl w:val="0"/>
          <w:numId w:val="0"/>
        </w:numPr>
        <w:spacing w:line="400" w:lineRule="exact"/>
        <w:jc w:val="center"/>
        <w:rPr>
          <w:rFonts w:hint="eastAsia" w:ascii="仿宋" w:hAnsi="仿宋" w:eastAsia="仿宋" w:cs="仿宋"/>
          <w:bCs/>
          <w:color w:val="auto"/>
          <w:sz w:val="28"/>
          <w:szCs w:val="28"/>
        </w:rPr>
      </w:pPr>
      <w:r>
        <w:rPr>
          <w:rFonts w:hint="eastAsia" w:ascii="仿宋" w:hAnsi="仿宋" w:eastAsia="仿宋" w:cs="仿宋"/>
          <w:b/>
          <w:color w:val="auto"/>
          <w:sz w:val="28"/>
          <w:szCs w:val="28"/>
          <w:highlight w:val="none"/>
          <w:lang w:val="en-US" w:eastAsia="zh-CN"/>
        </w:rPr>
        <w:t>10、</w:t>
      </w:r>
      <w:r>
        <w:rPr>
          <w:rFonts w:hint="eastAsia" w:ascii="仿宋" w:hAnsi="仿宋" w:eastAsia="仿宋" w:cs="仿宋"/>
          <w:b/>
          <w:bCs w:val="0"/>
          <w:color w:val="auto"/>
          <w:kern w:val="2"/>
          <w:sz w:val="28"/>
          <w:szCs w:val="28"/>
          <w:lang w:val="en-US" w:eastAsia="zh-CN" w:bidi="ar-SA"/>
        </w:rPr>
        <w:t>主要施工机械设备表</w:t>
      </w:r>
    </w:p>
    <w:p>
      <w:pPr>
        <w:spacing w:line="400" w:lineRule="exact"/>
        <w:rPr>
          <w:rFonts w:hint="eastAsia" w:ascii="仿宋" w:hAnsi="仿宋" w:eastAsia="仿宋" w:cs="仿宋"/>
          <w:bCs/>
          <w:color w:val="auto"/>
          <w:sz w:val="28"/>
          <w:szCs w:val="28"/>
        </w:rPr>
      </w:pPr>
    </w:p>
    <w:tbl>
      <w:tblPr>
        <w:tblStyle w:val="25"/>
        <w:tblW w:w="0" w:type="auto"/>
        <w:tblInd w:w="101" w:type="dxa"/>
        <w:tblLayout w:type="fixed"/>
        <w:tblCellMar>
          <w:top w:w="0" w:type="dxa"/>
          <w:left w:w="0" w:type="dxa"/>
          <w:bottom w:w="0" w:type="dxa"/>
          <w:right w:w="0" w:type="dxa"/>
        </w:tblCellMar>
      </w:tblPr>
      <w:tblGrid>
        <w:gridCol w:w="461"/>
        <w:gridCol w:w="807"/>
        <w:gridCol w:w="812"/>
        <w:gridCol w:w="811"/>
        <w:gridCol w:w="811"/>
        <w:gridCol w:w="694"/>
        <w:gridCol w:w="695"/>
        <w:gridCol w:w="694"/>
        <w:gridCol w:w="698"/>
        <w:gridCol w:w="562"/>
        <w:gridCol w:w="1050"/>
        <w:gridCol w:w="885"/>
        <w:gridCol w:w="880"/>
      </w:tblGrid>
      <w:tr>
        <w:tblPrEx>
          <w:tblCellMar>
            <w:top w:w="0" w:type="dxa"/>
            <w:left w:w="0" w:type="dxa"/>
            <w:bottom w:w="0" w:type="dxa"/>
            <w:right w:w="0" w:type="dxa"/>
          </w:tblCellMar>
        </w:tblPrEx>
        <w:trPr>
          <w:trHeight w:val="475" w:hRule="exact"/>
        </w:trPr>
        <w:tc>
          <w:tcPr>
            <w:tcW w:w="461" w:type="dxa"/>
            <w:vMerge w:val="restart"/>
            <w:tcBorders>
              <w:top w:val="single" w:color="000000" w:sz="4" w:space="0"/>
              <w:left w:val="single" w:color="000000" w:sz="4" w:space="0"/>
              <w:right w:val="single" w:color="000000" w:sz="4" w:space="0"/>
            </w:tcBorders>
            <w:noWrap w:val="0"/>
            <w:vAlign w:val="center"/>
          </w:tcPr>
          <w:p>
            <w:pPr>
              <w:ind w:left="109" w:right="35"/>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807" w:type="dxa"/>
            <w:vMerge w:val="restart"/>
            <w:tcBorders>
              <w:top w:val="single" w:color="000000" w:sz="4" w:space="0"/>
              <w:left w:val="single" w:color="000000" w:sz="4" w:space="0"/>
              <w:right w:val="single" w:color="000000" w:sz="4" w:space="0"/>
            </w:tcBorders>
            <w:noWrap w:val="0"/>
            <w:vAlign w:val="center"/>
          </w:tcPr>
          <w:p>
            <w:pPr>
              <w:ind w:left="164" w:right="91"/>
              <w:jc w:val="center"/>
              <w:rPr>
                <w:rFonts w:hint="eastAsia" w:ascii="仿宋" w:hAnsi="仿宋" w:eastAsia="仿宋" w:cs="仿宋"/>
                <w:color w:val="auto"/>
                <w:sz w:val="24"/>
                <w:szCs w:val="24"/>
              </w:rPr>
            </w:pPr>
            <w:r>
              <w:rPr>
                <w:rFonts w:hint="eastAsia" w:ascii="仿宋" w:hAnsi="仿宋" w:eastAsia="仿宋" w:cs="仿宋"/>
                <w:color w:val="auto"/>
                <w:sz w:val="24"/>
                <w:szCs w:val="24"/>
              </w:rPr>
              <w:t>设备名称</w:t>
            </w:r>
          </w:p>
        </w:tc>
        <w:tc>
          <w:tcPr>
            <w:tcW w:w="812" w:type="dxa"/>
            <w:vMerge w:val="restart"/>
            <w:tcBorders>
              <w:top w:val="single" w:color="000000" w:sz="4" w:space="0"/>
              <w:left w:val="single" w:color="000000" w:sz="4" w:space="0"/>
              <w:right w:val="single" w:color="000000" w:sz="4" w:space="0"/>
            </w:tcBorders>
            <w:noWrap w:val="0"/>
            <w:vAlign w:val="center"/>
          </w:tcPr>
          <w:p>
            <w:pPr>
              <w:ind w:left="166" w:right="93"/>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811" w:type="dxa"/>
            <w:vMerge w:val="restart"/>
            <w:tcBorders>
              <w:top w:val="single" w:color="000000" w:sz="4" w:space="0"/>
              <w:left w:val="single" w:color="000000" w:sz="4" w:space="0"/>
              <w:right w:val="single" w:color="000000" w:sz="4" w:space="0"/>
            </w:tcBorders>
            <w:noWrap w:val="0"/>
            <w:vAlign w:val="center"/>
          </w:tcPr>
          <w:p>
            <w:pPr>
              <w:ind w:left="166" w:right="-20"/>
              <w:jc w:val="center"/>
              <w:rPr>
                <w:rFonts w:hint="eastAsia" w:ascii="仿宋" w:hAnsi="仿宋" w:eastAsia="仿宋" w:cs="仿宋"/>
                <w:color w:val="auto"/>
                <w:sz w:val="24"/>
                <w:szCs w:val="24"/>
              </w:rPr>
            </w:pPr>
            <w:r>
              <w:rPr>
                <w:rFonts w:hint="eastAsia" w:ascii="仿宋" w:hAnsi="仿宋" w:eastAsia="仿宋" w:cs="仿宋"/>
                <w:color w:val="auto"/>
                <w:sz w:val="24"/>
                <w:szCs w:val="24"/>
              </w:rPr>
              <w:t>产地</w:t>
            </w:r>
          </w:p>
        </w:tc>
        <w:tc>
          <w:tcPr>
            <w:tcW w:w="811" w:type="dxa"/>
            <w:vMerge w:val="restart"/>
            <w:tcBorders>
              <w:top w:val="single" w:color="000000" w:sz="4" w:space="0"/>
              <w:left w:val="single" w:color="000000" w:sz="4" w:space="0"/>
              <w:right w:val="single" w:color="000000" w:sz="4" w:space="0"/>
            </w:tcBorders>
            <w:noWrap w:val="0"/>
            <w:vAlign w:val="center"/>
          </w:tcPr>
          <w:p>
            <w:pPr>
              <w:ind w:left="166" w:right="93"/>
              <w:jc w:val="center"/>
              <w:rPr>
                <w:rFonts w:hint="eastAsia" w:ascii="仿宋" w:hAnsi="仿宋" w:eastAsia="仿宋" w:cs="仿宋"/>
                <w:color w:val="auto"/>
                <w:sz w:val="24"/>
                <w:szCs w:val="24"/>
              </w:rPr>
            </w:pPr>
            <w:r>
              <w:rPr>
                <w:rFonts w:hint="eastAsia" w:ascii="仿宋" w:hAnsi="仿宋" w:eastAsia="仿宋" w:cs="仿宋"/>
                <w:color w:val="auto"/>
                <w:sz w:val="24"/>
                <w:szCs w:val="24"/>
              </w:rPr>
              <w:t>出厂时间</w:t>
            </w:r>
          </w:p>
        </w:tc>
        <w:tc>
          <w:tcPr>
            <w:tcW w:w="3343" w:type="dxa"/>
            <w:gridSpan w:val="5"/>
            <w:tcBorders>
              <w:top w:val="single" w:color="000000" w:sz="4" w:space="0"/>
              <w:left w:val="single" w:color="000000" w:sz="4" w:space="0"/>
              <w:bottom w:val="single" w:color="000000" w:sz="4" w:space="0"/>
              <w:right w:val="single" w:color="000000" w:sz="4" w:space="0"/>
            </w:tcBorders>
            <w:noWrap w:val="0"/>
            <w:vAlign w:val="center"/>
          </w:tcPr>
          <w:p>
            <w:pPr>
              <w:spacing w:before="22"/>
              <w:ind w:right="-20"/>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数量（台/套）</w:t>
            </w:r>
          </w:p>
        </w:tc>
        <w:tc>
          <w:tcPr>
            <w:tcW w:w="1050" w:type="dxa"/>
            <w:vMerge w:val="restart"/>
            <w:tcBorders>
              <w:top w:val="single" w:color="000000" w:sz="4" w:space="0"/>
              <w:left w:val="single" w:color="000000" w:sz="4" w:space="0"/>
              <w:right w:val="single" w:color="000000" w:sz="4" w:space="0"/>
            </w:tcBorders>
            <w:noWrap w:val="0"/>
            <w:vAlign w:val="center"/>
          </w:tcPr>
          <w:p>
            <w:pPr>
              <w:ind w:right="34"/>
              <w:jc w:val="center"/>
              <w:rPr>
                <w:rFonts w:hint="eastAsia" w:ascii="仿宋" w:hAnsi="仿宋" w:eastAsia="仿宋" w:cs="仿宋"/>
                <w:color w:val="auto"/>
                <w:sz w:val="24"/>
                <w:szCs w:val="24"/>
              </w:rPr>
            </w:pPr>
            <w:r>
              <w:rPr>
                <w:rFonts w:hint="eastAsia" w:ascii="仿宋" w:hAnsi="仿宋" w:eastAsia="仿宋" w:cs="仿宋"/>
                <w:color w:val="auto"/>
                <w:sz w:val="24"/>
                <w:szCs w:val="24"/>
              </w:rPr>
              <w:t>进口/国产</w:t>
            </w:r>
          </w:p>
        </w:tc>
        <w:tc>
          <w:tcPr>
            <w:tcW w:w="885" w:type="dxa"/>
            <w:vMerge w:val="restart"/>
            <w:tcBorders>
              <w:top w:val="single" w:color="000000" w:sz="4" w:space="0"/>
              <w:left w:val="single" w:color="000000" w:sz="4" w:space="0"/>
              <w:right w:val="single" w:color="000000" w:sz="4" w:space="0"/>
            </w:tcBorders>
            <w:noWrap w:val="0"/>
            <w:vAlign w:val="center"/>
          </w:tcPr>
          <w:p>
            <w:pPr>
              <w:ind w:right="-20"/>
              <w:jc w:val="center"/>
              <w:rPr>
                <w:rFonts w:hint="eastAsia" w:ascii="仿宋" w:hAnsi="仿宋" w:eastAsia="仿宋" w:cs="仿宋"/>
                <w:color w:val="auto"/>
                <w:sz w:val="24"/>
                <w:szCs w:val="24"/>
              </w:rPr>
            </w:pPr>
            <w:r>
              <w:rPr>
                <w:rFonts w:hint="eastAsia" w:ascii="仿宋" w:hAnsi="仿宋" w:eastAsia="仿宋" w:cs="仿宋"/>
                <w:color w:val="auto"/>
                <w:sz w:val="24"/>
                <w:szCs w:val="24"/>
              </w:rPr>
              <w:t>现状</w:t>
            </w:r>
          </w:p>
        </w:tc>
        <w:tc>
          <w:tcPr>
            <w:tcW w:w="880" w:type="dxa"/>
            <w:vMerge w:val="restart"/>
            <w:tcBorders>
              <w:top w:val="single" w:color="000000" w:sz="4" w:space="0"/>
              <w:left w:val="single" w:color="000000" w:sz="4" w:space="0"/>
              <w:right w:val="single" w:color="000000" w:sz="4" w:space="0"/>
            </w:tcBorders>
            <w:noWrap w:val="0"/>
            <w:vAlign w:val="center"/>
          </w:tcPr>
          <w:p>
            <w:pPr>
              <w:ind w:right="-2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CellMar>
            <w:top w:w="0" w:type="dxa"/>
            <w:left w:w="0" w:type="dxa"/>
            <w:bottom w:w="0" w:type="dxa"/>
            <w:right w:w="0" w:type="dxa"/>
          </w:tblCellMar>
        </w:tblPrEx>
        <w:trPr>
          <w:trHeight w:val="535" w:hRule="exact"/>
        </w:trPr>
        <w:tc>
          <w:tcPr>
            <w:tcW w:w="461" w:type="dxa"/>
            <w:vMerge w:val="continue"/>
            <w:tcBorders>
              <w:left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07" w:type="dxa"/>
            <w:vMerge w:val="continue"/>
            <w:tcBorders>
              <w:left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2" w:type="dxa"/>
            <w:vMerge w:val="continue"/>
            <w:tcBorders>
              <w:left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vMerge w:val="continue"/>
            <w:tcBorders>
              <w:left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vMerge w:val="continue"/>
            <w:tcBorders>
              <w:left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81" w:type="dxa"/>
            <w:gridSpan w:val="4"/>
            <w:tcBorders>
              <w:top w:val="single" w:color="000000" w:sz="4" w:space="0"/>
              <w:left w:val="single" w:color="000000" w:sz="4" w:space="0"/>
              <w:bottom w:val="single" w:color="000000" w:sz="4" w:space="0"/>
              <w:right w:val="single" w:color="000000" w:sz="4" w:space="0"/>
            </w:tcBorders>
            <w:noWrap w:val="0"/>
            <w:vAlign w:val="center"/>
          </w:tcPr>
          <w:p>
            <w:pPr>
              <w:spacing w:before="54"/>
              <w:ind w:left="1122" w:right="1102"/>
              <w:jc w:val="center"/>
              <w:rPr>
                <w:rFonts w:hint="eastAsia" w:ascii="仿宋" w:hAnsi="仿宋" w:eastAsia="仿宋" w:cs="仿宋"/>
                <w:color w:val="auto"/>
                <w:sz w:val="24"/>
                <w:szCs w:val="24"/>
              </w:rPr>
            </w:pPr>
            <w:r>
              <w:rPr>
                <w:rFonts w:hint="eastAsia" w:ascii="仿宋" w:hAnsi="仿宋" w:eastAsia="仿宋" w:cs="仿宋"/>
                <w:color w:val="auto"/>
                <w:sz w:val="24"/>
                <w:szCs w:val="24"/>
              </w:rPr>
              <w:t>其中</w:t>
            </w:r>
          </w:p>
        </w:tc>
        <w:tc>
          <w:tcPr>
            <w:tcW w:w="562" w:type="dxa"/>
            <w:vMerge w:val="restart"/>
            <w:tcBorders>
              <w:top w:val="single" w:color="000000" w:sz="4" w:space="0"/>
              <w:left w:val="single" w:color="000000" w:sz="4" w:space="0"/>
              <w:right w:val="single" w:color="000000" w:sz="4" w:space="0"/>
            </w:tcBorders>
            <w:noWrap w:val="0"/>
            <w:vAlign w:val="center"/>
          </w:tcPr>
          <w:p>
            <w:pPr>
              <w:ind w:left="160" w:right="80"/>
              <w:jc w:val="center"/>
              <w:rPr>
                <w:rFonts w:hint="eastAsia" w:ascii="仿宋" w:hAnsi="仿宋" w:eastAsia="仿宋" w:cs="仿宋"/>
                <w:color w:val="auto"/>
                <w:sz w:val="24"/>
                <w:szCs w:val="24"/>
              </w:rPr>
            </w:pPr>
            <w:r>
              <w:rPr>
                <w:rFonts w:hint="eastAsia" w:ascii="仿宋" w:hAnsi="仿宋" w:eastAsia="仿宋" w:cs="仿宋"/>
                <w:color w:val="auto"/>
                <w:sz w:val="24"/>
                <w:szCs w:val="24"/>
              </w:rPr>
              <w:t>小计</w:t>
            </w:r>
          </w:p>
        </w:tc>
        <w:tc>
          <w:tcPr>
            <w:tcW w:w="1050" w:type="dxa"/>
            <w:vMerge w:val="continue"/>
            <w:tcBorders>
              <w:left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5" w:type="dxa"/>
            <w:vMerge w:val="continue"/>
            <w:tcBorders>
              <w:left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0" w:type="dxa"/>
            <w:vMerge w:val="continue"/>
            <w:tcBorders>
              <w:left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662" w:hRule="exact"/>
        </w:trPr>
        <w:tc>
          <w:tcPr>
            <w:tcW w:w="461"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07"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2"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 w:val="24"/>
                <w:szCs w:val="24"/>
              </w:rPr>
            </w:pPr>
            <w:r>
              <w:rPr>
                <w:rFonts w:hint="eastAsia" w:ascii="仿宋" w:hAnsi="仿宋" w:eastAsia="仿宋" w:cs="仿宋"/>
                <w:color w:val="auto"/>
                <w:sz w:val="24"/>
                <w:szCs w:val="24"/>
              </w:rPr>
              <w:t>自有</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 w:val="24"/>
                <w:szCs w:val="24"/>
              </w:rPr>
            </w:pPr>
            <w:r>
              <w:rPr>
                <w:rFonts w:hint="eastAsia" w:ascii="仿宋" w:hAnsi="仿宋" w:eastAsia="仿宋" w:cs="仿宋"/>
                <w:color w:val="auto"/>
                <w:sz w:val="24"/>
                <w:szCs w:val="24"/>
              </w:rPr>
              <w:t>租赁</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 w:val="24"/>
                <w:szCs w:val="24"/>
              </w:rPr>
            </w:pPr>
            <w:r>
              <w:rPr>
                <w:rFonts w:hint="eastAsia" w:ascii="仿宋" w:hAnsi="仿宋" w:eastAsia="仿宋" w:cs="仿宋"/>
                <w:color w:val="auto"/>
                <w:sz w:val="24"/>
                <w:szCs w:val="24"/>
              </w:rPr>
              <w:t>新购</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before="26"/>
              <w:ind w:left="109" w:right="36"/>
              <w:jc w:val="center"/>
              <w:rPr>
                <w:rFonts w:hint="eastAsia" w:ascii="仿宋" w:hAnsi="仿宋" w:eastAsia="仿宋" w:cs="仿宋"/>
                <w:color w:val="auto"/>
                <w:sz w:val="24"/>
                <w:szCs w:val="24"/>
              </w:rPr>
            </w:pPr>
            <w:r>
              <w:rPr>
                <w:rFonts w:hint="eastAsia" w:ascii="仿宋" w:hAnsi="仿宋" w:eastAsia="仿宋" w:cs="仿宋"/>
                <w:color w:val="auto"/>
                <w:sz w:val="24"/>
                <w:szCs w:val="24"/>
              </w:rPr>
              <w:t>特别制造</w:t>
            </w:r>
          </w:p>
        </w:tc>
        <w:tc>
          <w:tcPr>
            <w:tcW w:w="56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p>
        </w:tc>
        <w:tc>
          <w:tcPr>
            <w:tcW w:w="1050"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5"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0"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698" w:hRule="exact"/>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698" w:hRule="exact"/>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694" w:hRule="exact"/>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674" w:hRule="exact"/>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674" w:hRule="exact"/>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580" w:hRule="exact"/>
        </w:trPr>
        <w:tc>
          <w:tcPr>
            <w:tcW w:w="46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07"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1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56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0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bl>
    <w:p>
      <w:pPr>
        <w:spacing w:line="400" w:lineRule="exact"/>
        <w:jc w:val="center"/>
        <w:rPr>
          <w:rFonts w:hint="eastAsia" w:ascii="仿宋" w:hAnsi="仿宋" w:eastAsia="仿宋" w:cs="仿宋"/>
          <w:bCs/>
          <w:color w:val="auto"/>
          <w:sz w:val="30"/>
          <w:szCs w:val="30"/>
        </w:rPr>
      </w:pPr>
    </w:p>
    <w:p>
      <w:pPr>
        <w:spacing w:line="420" w:lineRule="exact"/>
        <w:rPr>
          <w:rFonts w:hint="eastAsia" w:ascii="仿宋" w:hAnsi="仿宋" w:eastAsia="仿宋" w:cs="仿宋"/>
          <w:color w:val="auto"/>
          <w:sz w:val="21"/>
          <w:szCs w:val="21"/>
        </w:rPr>
      </w:pPr>
      <w:r>
        <w:rPr>
          <w:rFonts w:hint="eastAsia" w:ascii="仿宋" w:hAnsi="仿宋" w:eastAsia="仿宋" w:cs="仿宋"/>
          <w:color w:val="auto"/>
          <w:sz w:val="21"/>
          <w:szCs w:val="21"/>
        </w:rPr>
        <w:t>注：1. 施工机械设备按本工程施工需要的顺序填写；</w:t>
      </w:r>
    </w:p>
    <w:p>
      <w:pPr>
        <w:spacing w:line="420" w:lineRule="exact"/>
        <w:rPr>
          <w:rFonts w:hint="eastAsia" w:ascii="仿宋" w:hAnsi="仿宋" w:eastAsia="仿宋" w:cs="仿宋"/>
          <w:color w:val="auto"/>
          <w:sz w:val="21"/>
          <w:szCs w:val="21"/>
        </w:rPr>
      </w:pPr>
      <w:r>
        <w:rPr>
          <w:rFonts w:hint="eastAsia" w:ascii="仿宋" w:hAnsi="仿宋" w:eastAsia="仿宋" w:cs="仿宋"/>
          <w:color w:val="auto"/>
          <w:sz w:val="21"/>
          <w:szCs w:val="21"/>
        </w:rPr>
        <w:t xml:space="preserve">    2. 填写拟派于本工程的具体设备；</w:t>
      </w:r>
    </w:p>
    <w:p>
      <w:pPr>
        <w:spacing w:line="420" w:lineRule="exact"/>
        <w:rPr>
          <w:rFonts w:hint="eastAsia" w:ascii="仿宋" w:hAnsi="仿宋" w:eastAsia="仿宋" w:cs="仿宋"/>
          <w:color w:val="auto"/>
          <w:sz w:val="21"/>
          <w:szCs w:val="21"/>
        </w:rPr>
      </w:pPr>
      <w:r>
        <w:rPr>
          <w:rFonts w:hint="eastAsia" w:ascii="仿宋" w:hAnsi="仿宋" w:eastAsia="仿宋" w:cs="仿宋"/>
          <w:color w:val="auto"/>
          <w:sz w:val="21"/>
          <w:szCs w:val="21"/>
        </w:rPr>
        <w:t xml:space="preserve">    3. 注明机械设备出厂日期、目前存放地点、承担工作等内容。</w:t>
      </w:r>
    </w:p>
    <w:p>
      <w:pPr>
        <w:spacing w:line="420" w:lineRule="exact"/>
        <w:rPr>
          <w:rFonts w:hint="eastAsia" w:ascii="仿宋" w:hAnsi="仿宋" w:eastAsia="仿宋" w:cs="仿宋"/>
          <w:color w:val="auto"/>
          <w:sz w:val="21"/>
          <w:szCs w:val="21"/>
        </w:rPr>
      </w:pP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：（盖章）</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法定代表人或授权代理人：（签字或盖章）</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spacing w:before="6" w:line="460" w:lineRule="atLeast"/>
        <w:ind w:left="1054" w:right="-20"/>
        <w:jc w:val="left"/>
        <w:rPr>
          <w:rFonts w:hint="eastAsia" w:ascii="仿宋" w:hAnsi="仿宋" w:eastAsia="仿宋" w:cs="仿宋"/>
          <w:color w:val="auto"/>
          <w:sz w:val="24"/>
          <w:szCs w:val="24"/>
        </w:rPr>
      </w:pPr>
    </w:p>
    <w:p>
      <w:pPr>
        <w:tabs>
          <w:tab w:val="left" w:pos="3105"/>
        </w:tabs>
        <w:spacing w:line="300" w:lineRule="exact"/>
        <w:rPr>
          <w:rFonts w:hint="eastAsia" w:ascii="仿宋" w:hAnsi="仿宋" w:eastAsia="仿宋" w:cs="仿宋"/>
          <w:color w:val="auto"/>
          <w:sz w:val="24"/>
        </w:rPr>
      </w:pPr>
    </w:p>
    <w:p>
      <w:pPr>
        <w:pStyle w:val="14"/>
        <w:spacing w:line="360" w:lineRule="auto"/>
        <w:ind w:right="86"/>
        <w:jc w:val="center"/>
        <w:outlineLvl w:val="0"/>
        <w:rPr>
          <w:rFonts w:hint="eastAsia" w:ascii="仿宋" w:hAnsi="仿宋" w:eastAsia="仿宋" w:cs="仿宋"/>
          <w:b/>
          <w:color w:val="auto"/>
          <w:sz w:val="24"/>
          <w:szCs w:val="24"/>
          <w:highlight w:val="none"/>
        </w:rPr>
      </w:pPr>
    </w:p>
    <w:p>
      <w:pPr>
        <w:pStyle w:val="14"/>
        <w:spacing w:line="360" w:lineRule="auto"/>
        <w:ind w:right="86"/>
        <w:jc w:val="center"/>
        <w:outlineLvl w:val="0"/>
        <w:rPr>
          <w:rFonts w:hint="eastAsia" w:ascii="仿宋" w:hAnsi="仿宋" w:eastAsia="仿宋" w:cs="仿宋"/>
          <w:b/>
          <w:color w:val="auto"/>
          <w:sz w:val="24"/>
          <w:szCs w:val="24"/>
          <w:highlight w:val="none"/>
        </w:rPr>
      </w:pPr>
    </w:p>
    <w:p>
      <w:pPr>
        <w:pStyle w:val="14"/>
        <w:spacing w:line="360" w:lineRule="auto"/>
        <w:ind w:right="86"/>
        <w:jc w:val="center"/>
        <w:outlineLvl w:val="0"/>
        <w:rPr>
          <w:rFonts w:hint="eastAsia" w:ascii="仿宋" w:hAnsi="仿宋" w:eastAsia="仿宋" w:cs="仿宋"/>
          <w:b/>
          <w:color w:val="auto"/>
          <w:sz w:val="24"/>
          <w:szCs w:val="24"/>
          <w:highlight w:val="none"/>
        </w:rPr>
      </w:pPr>
    </w:p>
    <w:p>
      <w:pPr>
        <w:pStyle w:val="14"/>
        <w:spacing w:line="360" w:lineRule="auto"/>
        <w:ind w:right="86"/>
        <w:jc w:val="center"/>
        <w:outlineLvl w:val="0"/>
        <w:rPr>
          <w:rFonts w:hint="eastAsia" w:ascii="仿宋" w:hAnsi="仿宋" w:eastAsia="仿宋" w:cs="仿宋"/>
          <w:b/>
          <w:color w:val="auto"/>
          <w:sz w:val="24"/>
          <w:szCs w:val="24"/>
          <w:highlight w:val="none"/>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pPr>
        <w:spacing w:line="400" w:lineRule="exact"/>
        <w:jc w:val="center"/>
        <w:rPr>
          <w:rFonts w:hint="eastAsia" w:ascii="仿宋" w:hAnsi="仿宋" w:eastAsia="仿宋" w:cs="仿宋"/>
          <w:bCs/>
          <w:color w:val="auto"/>
          <w:sz w:val="28"/>
          <w:szCs w:val="28"/>
        </w:rPr>
      </w:pPr>
      <w:r>
        <w:rPr>
          <w:rFonts w:hint="eastAsia" w:ascii="仿宋" w:hAnsi="仿宋" w:eastAsia="仿宋" w:cs="仿宋"/>
          <w:b/>
          <w:color w:val="auto"/>
          <w:sz w:val="28"/>
          <w:szCs w:val="28"/>
          <w:highlight w:val="none"/>
          <w:lang w:val="en-US" w:eastAsia="zh-CN"/>
        </w:rPr>
        <w:t>11、项目拟分包情况表</w:t>
      </w:r>
    </w:p>
    <w:p>
      <w:pPr>
        <w:tabs>
          <w:tab w:val="left" w:pos="3105"/>
        </w:tabs>
        <w:spacing w:line="300" w:lineRule="exact"/>
        <w:rPr>
          <w:rFonts w:hint="eastAsia" w:ascii="仿宋" w:hAnsi="仿宋" w:eastAsia="仿宋" w:cs="仿宋"/>
          <w:color w:val="auto"/>
          <w:sz w:val="24"/>
        </w:rPr>
      </w:pPr>
    </w:p>
    <w:tbl>
      <w:tblPr>
        <w:tblStyle w:val="25"/>
        <w:tblpPr w:leftFromText="180" w:rightFromText="180" w:vertAnchor="text" w:horzAnchor="margin" w:tblpXSpec="center" w:tblpY="-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709"/>
        <w:gridCol w:w="1621"/>
        <w:gridCol w:w="2079"/>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1304" w:type="dxa"/>
            <w:noWrap w:val="0"/>
            <w:vAlign w:val="center"/>
          </w:tcPr>
          <w:p>
            <w:pPr>
              <w:spacing w:line="440" w:lineRule="exact"/>
              <w:jc w:val="center"/>
              <w:rPr>
                <w:rFonts w:hint="eastAsia" w:ascii="仿宋" w:hAnsi="仿宋" w:eastAsia="仿宋" w:cs="仿宋"/>
                <w:color w:val="auto"/>
                <w:szCs w:val="21"/>
              </w:rPr>
            </w:pPr>
            <w:r>
              <w:rPr>
                <w:rFonts w:hint="eastAsia" w:ascii="仿宋" w:hAnsi="仿宋" w:eastAsia="仿宋" w:cs="仿宋"/>
                <w:color w:val="auto"/>
                <w:szCs w:val="21"/>
              </w:rPr>
              <w:t>分包项目</w:t>
            </w:r>
          </w:p>
        </w:tc>
        <w:tc>
          <w:tcPr>
            <w:tcW w:w="1709" w:type="dxa"/>
            <w:noWrap w:val="0"/>
            <w:vAlign w:val="center"/>
          </w:tcPr>
          <w:p>
            <w:pPr>
              <w:spacing w:line="440" w:lineRule="exact"/>
              <w:jc w:val="center"/>
              <w:rPr>
                <w:rFonts w:hint="eastAsia" w:ascii="仿宋" w:hAnsi="仿宋" w:eastAsia="仿宋" w:cs="仿宋"/>
                <w:color w:val="auto"/>
                <w:szCs w:val="21"/>
              </w:rPr>
            </w:pPr>
            <w:r>
              <w:rPr>
                <w:rFonts w:hint="eastAsia" w:ascii="仿宋" w:hAnsi="仿宋" w:eastAsia="仿宋" w:cs="仿宋"/>
                <w:color w:val="auto"/>
                <w:szCs w:val="21"/>
              </w:rPr>
              <w:t>主要内容</w:t>
            </w:r>
          </w:p>
        </w:tc>
        <w:tc>
          <w:tcPr>
            <w:tcW w:w="1621" w:type="dxa"/>
            <w:noWrap w:val="0"/>
            <w:vAlign w:val="center"/>
          </w:tcPr>
          <w:p>
            <w:pPr>
              <w:spacing w:line="440" w:lineRule="exact"/>
              <w:jc w:val="center"/>
              <w:rPr>
                <w:rFonts w:hint="eastAsia" w:ascii="仿宋" w:hAnsi="仿宋" w:eastAsia="仿宋" w:cs="仿宋"/>
                <w:color w:val="auto"/>
                <w:szCs w:val="21"/>
              </w:rPr>
            </w:pPr>
            <w:r>
              <w:rPr>
                <w:rFonts w:hint="eastAsia" w:ascii="仿宋" w:hAnsi="仿宋" w:eastAsia="仿宋" w:cs="仿宋"/>
                <w:color w:val="auto"/>
                <w:szCs w:val="21"/>
              </w:rPr>
              <w:t>估算价格</w:t>
            </w:r>
          </w:p>
        </w:tc>
        <w:tc>
          <w:tcPr>
            <w:tcW w:w="2079" w:type="dxa"/>
            <w:noWrap w:val="0"/>
            <w:vAlign w:val="center"/>
          </w:tcPr>
          <w:p>
            <w:pPr>
              <w:spacing w:line="440" w:lineRule="exact"/>
              <w:jc w:val="center"/>
              <w:rPr>
                <w:rFonts w:hint="eastAsia" w:ascii="仿宋" w:hAnsi="仿宋" w:eastAsia="仿宋" w:cs="仿宋"/>
                <w:color w:val="auto"/>
                <w:szCs w:val="21"/>
              </w:rPr>
            </w:pPr>
            <w:r>
              <w:rPr>
                <w:rFonts w:hint="eastAsia" w:ascii="仿宋" w:hAnsi="仿宋" w:eastAsia="仿宋" w:cs="仿宋"/>
                <w:color w:val="auto"/>
                <w:szCs w:val="21"/>
              </w:rPr>
              <w:t>分包单位名称、地址</w:t>
            </w:r>
          </w:p>
        </w:tc>
        <w:tc>
          <w:tcPr>
            <w:tcW w:w="2827" w:type="dxa"/>
            <w:noWrap w:val="0"/>
            <w:vAlign w:val="center"/>
          </w:tcPr>
          <w:p>
            <w:pPr>
              <w:spacing w:line="440" w:lineRule="exact"/>
              <w:jc w:val="center"/>
              <w:rPr>
                <w:rFonts w:hint="eastAsia" w:ascii="仿宋" w:hAnsi="仿宋" w:eastAsia="仿宋" w:cs="仿宋"/>
                <w:color w:val="auto"/>
                <w:szCs w:val="21"/>
              </w:rPr>
            </w:pPr>
            <w:r>
              <w:rPr>
                <w:rFonts w:hint="eastAsia" w:ascii="仿宋" w:hAnsi="仿宋" w:eastAsia="仿宋" w:cs="仿宋"/>
                <w:color w:val="auto"/>
                <w:szCs w:val="21"/>
              </w:rPr>
              <w:t>做过的类似工程情况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5" w:hRule="atLeast"/>
          <w:jc w:val="center"/>
        </w:trPr>
        <w:tc>
          <w:tcPr>
            <w:tcW w:w="1304" w:type="dxa"/>
            <w:noWrap w:val="0"/>
            <w:vAlign w:val="center"/>
          </w:tcPr>
          <w:p>
            <w:pPr>
              <w:spacing w:line="440" w:lineRule="exact"/>
              <w:jc w:val="center"/>
              <w:rPr>
                <w:rFonts w:hint="eastAsia" w:ascii="仿宋" w:hAnsi="仿宋" w:eastAsia="仿宋" w:cs="仿宋"/>
                <w:color w:val="auto"/>
                <w:szCs w:val="21"/>
              </w:rPr>
            </w:pPr>
          </w:p>
        </w:tc>
        <w:tc>
          <w:tcPr>
            <w:tcW w:w="1709" w:type="dxa"/>
            <w:noWrap w:val="0"/>
            <w:vAlign w:val="center"/>
          </w:tcPr>
          <w:p>
            <w:pPr>
              <w:spacing w:line="440" w:lineRule="exact"/>
              <w:jc w:val="center"/>
              <w:rPr>
                <w:rFonts w:hint="eastAsia" w:ascii="仿宋" w:hAnsi="仿宋" w:eastAsia="仿宋" w:cs="仿宋"/>
                <w:color w:val="auto"/>
                <w:szCs w:val="21"/>
              </w:rPr>
            </w:pPr>
          </w:p>
        </w:tc>
        <w:tc>
          <w:tcPr>
            <w:tcW w:w="1621" w:type="dxa"/>
            <w:noWrap w:val="0"/>
            <w:vAlign w:val="center"/>
          </w:tcPr>
          <w:p>
            <w:pPr>
              <w:spacing w:line="440" w:lineRule="exact"/>
              <w:jc w:val="center"/>
              <w:rPr>
                <w:rFonts w:hint="eastAsia" w:ascii="仿宋" w:hAnsi="仿宋" w:eastAsia="仿宋" w:cs="仿宋"/>
                <w:color w:val="auto"/>
                <w:szCs w:val="21"/>
              </w:rPr>
            </w:pPr>
          </w:p>
        </w:tc>
        <w:tc>
          <w:tcPr>
            <w:tcW w:w="2079" w:type="dxa"/>
            <w:noWrap w:val="0"/>
            <w:vAlign w:val="center"/>
          </w:tcPr>
          <w:p>
            <w:pPr>
              <w:spacing w:line="440" w:lineRule="exact"/>
              <w:jc w:val="center"/>
              <w:rPr>
                <w:rFonts w:hint="eastAsia" w:ascii="仿宋" w:hAnsi="仿宋" w:eastAsia="仿宋" w:cs="仿宋"/>
                <w:color w:val="auto"/>
                <w:szCs w:val="21"/>
              </w:rPr>
            </w:pPr>
          </w:p>
        </w:tc>
        <w:tc>
          <w:tcPr>
            <w:tcW w:w="2827" w:type="dxa"/>
            <w:noWrap w:val="0"/>
            <w:vAlign w:val="center"/>
          </w:tcPr>
          <w:p>
            <w:pPr>
              <w:spacing w:line="440" w:lineRule="exact"/>
              <w:jc w:val="center"/>
              <w:rPr>
                <w:rFonts w:hint="eastAsia" w:ascii="仿宋" w:hAnsi="仿宋" w:eastAsia="仿宋" w:cs="仿宋"/>
                <w:color w:val="auto"/>
                <w:szCs w:val="21"/>
              </w:rPr>
            </w:pPr>
          </w:p>
        </w:tc>
      </w:tr>
    </w:tbl>
    <w:p>
      <w:pPr>
        <w:spacing w:line="420" w:lineRule="exac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：（盖章）</w:t>
      </w:r>
    </w:p>
    <w:p>
      <w:pPr>
        <w:spacing w:line="420" w:lineRule="exact"/>
        <w:ind w:firstLine="600" w:firstLineChars="250"/>
        <w:rPr>
          <w:rFonts w:hint="eastAsia" w:ascii="仿宋" w:hAnsi="仿宋" w:eastAsia="仿宋" w:cs="仿宋"/>
          <w:color w:val="auto"/>
          <w:sz w:val="24"/>
          <w:szCs w:val="24"/>
        </w:rPr>
      </w:pPr>
    </w:p>
    <w:p>
      <w:pPr>
        <w:spacing w:line="42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法定代表人或授权代理人：（签字或盖章）</w:t>
      </w:r>
    </w:p>
    <w:p>
      <w:pPr>
        <w:spacing w:line="420" w:lineRule="exact"/>
        <w:ind w:firstLine="600" w:firstLineChars="250"/>
        <w:rPr>
          <w:rFonts w:hint="eastAsia" w:ascii="仿宋" w:hAnsi="仿宋" w:eastAsia="仿宋" w:cs="仿宋"/>
          <w:color w:val="auto"/>
          <w:sz w:val="24"/>
          <w:szCs w:val="24"/>
        </w:rPr>
      </w:pPr>
    </w:p>
    <w:p>
      <w:pPr>
        <w:spacing w:line="420" w:lineRule="exact"/>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jc w:val="cente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tabs>
          <w:tab w:val="left" w:pos="4220"/>
        </w:tabs>
        <w:spacing w:before="40" w:line="460" w:lineRule="atLeast"/>
        <w:ind w:right="-20"/>
        <w:jc w:val="center"/>
        <w:rPr>
          <w:rFonts w:hint="eastAsia" w:ascii="仿宋" w:hAnsi="仿宋" w:eastAsia="仿宋" w:cs="仿宋"/>
          <w:color w:val="auto"/>
          <w:sz w:val="28"/>
          <w:szCs w:val="28"/>
        </w:rPr>
      </w:pPr>
      <w:r>
        <w:rPr>
          <w:rFonts w:hint="eastAsia" w:ascii="仿宋" w:hAnsi="仿宋" w:eastAsia="仿宋" w:cs="仿宋"/>
          <w:b/>
          <w:bCs/>
          <w:color w:val="auto"/>
          <w:sz w:val="30"/>
          <w:szCs w:val="30"/>
          <w:lang w:val="en-US" w:eastAsia="zh-CN"/>
        </w:rPr>
        <w:t>12、</w:t>
      </w:r>
      <w:r>
        <w:rPr>
          <w:rFonts w:hint="eastAsia" w:ascii="仿宋" w:hAnsi="仿宋" w:eastAsia="仿宋" w:cs="仿宋"/>
          <w:b/>
          <w:bCs/>
          <w:color w:val="auto"/>
          <w:sz w:val="30"/>
          <w:szCs w:val="30"/>
        </w:rPr>
        <w:t>安全文明施工费费用明细表</w:t>
      </w:r>
    </w:p>
    <w:p>
      <w:pPr>
        <w:spacing w:line="460" w:lineRule="atLeast"/>
        <w:ind w:right="65"/>
        <w:jc w:val="right"/>
        <w:rPr>
          <w:rFonts w:hint="eastAsia" w:ascii="仿宋" w:hAnsi="仿宋" w:eastAsia="仿宋" w:cs="仿宋"/>
          <w:color w:val="auto"/>
          <w:sz w:val="24"/>
        </w:rPr>
      </w:pPr>
      <w:r>
        <w:rPr>
          <w:rFonts w:hint="eastAsia" w:ascii="仿宋" w:hAnsi="仿宋" w:eastAsia="仿宋" w:cs="仿宋"/>
          <w:color w:val="auto"/>
          <w:sz w:val="24"/>
        </w:rPr>
        <w:t>金额单位：万元</w:t>
      </w:r>
    </w:p>
    <w:tbl>
      <w:tblPr>
        <w:tblStyle w:val="25"/>
        <w:tblpPr w:leftFromText="180" w:rightFromText="180" w:vertAnchor="text" w:horzAnchor="page" w:tblpX="1172" w:tblpY="5"/>
        <w:tblOverlap w:val="never"/>
        <w:tblW w:w="9777" w:type="dxa"/>
        <w:tblInd w:w="-5" w:type="dxa"/>
        <w:tblLayout w:type="fixed"/>
        <w:tblCellMar>
          <w:top w:w="0" w:type="dxa"/>
          <w:left w:w="0" w:type="dxa"/>
          <w:bottom w:w="0" w:type="dxa"/>
          <w:right w:w="0" w:type="dxa"/>
        </w:tblCellMar>
      </w:tblPr>
      <w:tblGrid>
        <w:gridCol w:w="1292"/>
        <w:gridCol w:w="375"/>
        <w:gridCol w:w="705"/>
        <w:gridCol w:w="2223"/>
        <w:gridCol w:w="226"/>
        <w:gridCol w:w="1256"/>
        <w:gridCol w:w="1102"/>
        <w:gridCol w:w="89"/>
        <w:gridCol w:w="1203"/>
        <w:gridCol w:w="1306"/>
      </w:tblGrid>
      <w:tr>
        <w:tblPrEx>
          <w:tblCellMar>
            <w:top w:w="0" w:type="dxa"/>
            <w:left w:w="0" w:type="dxa"/>
            <w:bottom w:w="0" w:type="dxa"/>
            <w:right w:w="0" w:type="dxa"/>
          </w:tblCellMar>
        </w:tblPrEx>
        <w:trPr>
          <w:trHeight w:val="1086" w:hRule="exact"/>
        </w:trPr>
        <w:tc>
          <w:tcPr>
            <w:tcW w:w="1292" w:type="dxa"/>
            <w:tcBorders>
              <w:top w:val="single" w:color="000000" w:sz="4" w:space="0"/>
              <w:left w:val="single" w:color="000000" w:sz="4" w:space="0"/>
              <w:bottom w:val="single" w:color="000000" w:sz="4" w:space="0"/>
              <w:right w:val="single" w:color="000000" w:sz="4" w:space="0"/>
            </w:tcBorders>
            <w:noWrap w:val="0"/>
            <w:vAlign w:val="top"/>
          </w:tcPr>
          <w:p>
            <w:pPr>
              <w:spacing w:before="7"/>
              <w:jc w:val="center"/>
              <w:rPr>
                <w:rFonts w:hint="eastAsia" w:ascii="仿宋" w:hAnsi="仿宋" w:eastAsia="仿宋" w:cs="仿宋"/>
                <w:color w:val="auto"/>
                <w:sz w:val="24"/>
              </w:rPr>
            </w:pPr>
          </w:p>
          <w:p>
            <w:pPr>
              <w:ind w:left="163" w:right="-20"/>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8485" w:type="dxa"/>
            <w:gridSpan w:val="9"/>
            <w:tcBorders>
              <w:top w:val="single" w:color="000000" w:sz="4" w:space="0"/>
              <w:left w:val="single" w:color="000000" w:sz="4" w:space="0"/>
              <w:bottom w:val="single" w:color="000000" w:sz="4" w:space="0"/>
              <w:right w:val="single" w:color="000000" w:sz="4" w:space="0"/>
            </w:tcBorders>
            <w:noWrap w:val="0"/>
            <w:vAlign w:val="center"/>
          </w:tcPr>
          <w:p>
            <w:pPr>
              <w:spacing w:before="7"/>
              <w:jc w:val="center"/>
              <w:rPr>
                <w:rFonts w:hint="eastAsia" w:ascii="仿宋" w:hAnsi="仿宋" w:eastAsia="仿宋" w:cs="仿宋"/>
                <w:color w:val="auto"/>
                <w:sz w:val="24"/>
              </w:rPr>
            </w:pPr>
          </w:p>
          <w:p>
            <w:pPr>
              <w:ind w:right="3937"/>
              <w:jc w:val="center"/>
              <w:rPr>
                <w:rFonts w:hint="eastAsia" w:ascii="仿宋" w:hAnsi="仿宋" w:eastAsia="仿宋" w:cs="仿宋"/>
                <w:color w:val="auto"/>
                <w:sz w:val="24"/>
              </w:rPr>
            </w:pPr>
            <w:r>
              <w:rPr>
                <w:rFonts w:hint="eastAsia" w:ascii="仿宋" w:hAnsi="仿宋" w:eastAsia="仿宋" w:cs="仿宋"/>
                <w:bCs/>
                <w:color w:val="auto"/>
                <w:sz w:val="24"/>
              </w:rPr>
              <w:t xml:space="preserve">                             计价内容</w:t>
            </w:r>
          </w:p>
        </w:tc>
      </w:tr>
      <w:tr>
        <w:tblPrEx>
          <w:tblCellMar>
            <w:top w:w="0" w:type="dxa"/>
            <w:left w:w="0" w:type="dxa"/>
            <w:bottom w:w="0" w:type="dxa"/>
            <w:right w:w="0" w:type="dxa"/>
          </w:tblCellMar>
        </w:tblPrEx>
        <w:trPr>
          <w:trHeight w:val="1050" w:hRule="exact"/>
        </w:trPr>
        <w:tc>
          <w:tcPr>
            <w:tcW w:w="1292" w:type="dxa"/>
            <w:tcBorders>
              <w:top w:val="single" w:color="000000" w:sz="4" w:space="0"/>
              <w:left w:val="single" w:color="000000" w:sz="4" w:space="0"/>
              <w:bottom w:val="single" w:color="000000" w:sz="4" w:space="0"/>
              <w:right w:val="single" w:color="000000" w:sz="4" w:space="0"/>
            </w:tcBorders>
            <w:noWrap w:val="0"/>
            <w:vAlign w:val="top"/>
          </w:tcPr>
          <w:p>
            <w:pPr>
              <w:spacing w:before="2"/>
              <w:jc w:val="center"/>
              <w:rPr>
                <w:rFonts w:hint="eastAsia" w:ascii="仿宋" w:hAnsi="仿宋" w:eastAsia="仿宋" w:cs="仿宋"/>
                <w:color w:val="auto"/>
                <w:sz w:val="24"/>
              </w:rPr>
            </w:pPr>
          </w:p>
          <w:p>
            <w:pPr>
              <w:ind w:left="245" w:right="225"/>
              <w:jc w:val="center"/>
              <w:rPr>
                <w:rFonts w:hint="eastAsia" w:ascii="仿宋" w:hAnsi="仿宋" w:eastAsia="仿宋" w:cs="仿宋"/>
                <w:color w:val="auto"/>
                <w:sz w:val="24"/>
              </w:rPr>
            </w:pPr>
            <w:r>
              <w:rPr>
                <w:rFonts w:hint="eastAsia" w:ascii="仿宋" w:hAnsi="仿宋" w:eastAsia="仿宋" w:cs="仿宋"/>
                <w:color w:val="auto"/>
                <w:sz w:val="24"/>
              </w:rPr>
              <w:t>一</w:t>
            </w:r>
          </w:p>
        </w:tc>
        <w:tc>
          <w:tcPr>
            <w:tcW w:w="8485" w:type="dxa"/>
            <w:gridSpan w:val="9"/>
            <w:tcBorders>
              <w:top w:val="single" w:color="000000" w:sz="4" w:space="0"/>
              <w:left w:val="single" w:color="000000" w:sz="4" w:space="0"/>
              <w:bottom w:val="single" w:color="000000" w:sz="4" w:space="0"/>
              <w:right w:val="single" w:color="000000" w:sz="4" w:space="0"/>
            </w:tcBorders>
            <w:noWrap w:val="0"/>
            <w:vAlign w:val="top"/>
          </w:tcPr>
          <w:p>
            <w:pPr>
              <w:spacing w:before="8"/>
              <w:ind w:left="1475" w:leftChars="0" w:right="82" w:hanging="1320" w:firstLineChars="0"/>
              <w:jc w:val="both"/>
              <w:rPr>
                <w:rFonts w:hint="eastAsia" w:ascii="仿宋" w:hAnsi="仿宋" w:eastAsia="仿宋" w:cs="仿宋"/>
                <w:color w:val="auto"/>
                <w:sz w:val="24"/>
              </w:rPr>
            </w:pPr>
            <w:r>
              <w:rPr>
                <w:rFonts w:hint="eastAsia" w:ascii="仿宋" w:hAnsi="仿宋" w:eastAsia="仿宋"/>
                <w:color w:val="000000"/>
                <w:sz w:val="24"/>
              </w:rPr>
              <w:t>临时设施费、环境保护费、文明施工费、安全施工费、扬尘防治增加费（不进入投标报价，进入投标总价）</w:t>
            </w:r>
          </w:p>
        </w:tc>
      </w:tr>
      <w:tr>
        <w:tblPrEx>
          <w:tblCellMar>
            <w:top w:w="0" w:type="dxa"/>
            <w:left w:w="0" w:type="dxa"/>
            <w:bottom w:w="0" w:type="dxa"/>
            <w:right w:w="0" w:type="dxa"/>
          </w:tblCellMar>
        </w:tblPrEx>
        <w:trPr>
          <w:trHeight w:val="540" w:hRule="exact"/>
        </w:trPr>
        <w:tc>
          <w:tcPr>
            <w:tcW w:w="2372" w:type="dxa"/>
            <w:gridSpan w:val="3"/>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 w:val="24"/>
              </w:rPr>
            </w:pPr>
            <w:r>
              <w:rPr>
                <w:rFonts w:hint="eastAsia" w:ascii="仿宋" w:hAnsi="仿宋" w:eastAsia="仿宋" w:cs="仿宋"/>
                <w:color w:val="auto"/>
                <w:sz w:val="24"/>
              </w:rPr>
              <w:t>计取基数</w:t>
            </w:r>
          </w:p>
        </w:tc>
        <w:tc>
          <w:tcPr>
            <w:tcW w:w="2449"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921"/>
              <w:jc w:val="center"/>
              <w:rPr>
                <w:rFonts w:hint="eastAsia" w:ascii="仿宋" w:hAnsi="仿宋" w:eastAsia="仿宋" w:cs="仿宋"/>
                <w:color w:val="auto"/>
                <w:sz w:val="24"/>
              </w:rPr>
            </w:pPr>
            <w:r>
              <w:rPr>
                <w:rFonts w:hint="eastAsia" w:ascii="仿宋" w:hAnsi="仿宋" w:eastAsia="仿宋" w:cs="仿宋"/>
                <w:color w:val="auto"/>
                <w:sz w:val="24"/>
              </w:rPr>
              <w:t>费率</w:t>
            </w:r>
          </w:p>
        </w:tc>
        <w:tc>
          <w:tcPr>
            <w:tcW w:w="2447" w:type="dxa"/>
            <w:gridSpan w:val="3"/>
            <w:tcBorders>
              <w:top w:val="single" w:color="000000" w:sz="4" w:space="0"/>
              <w:left w:val="single" w:color="000000" w:sz="4" w:space="0"/>
              <w:bottom w:val="single" w:color="000000" w:sz="4" w:space="0"/>
              <w:right w:val="single" w:color="000000" w:sz="4" w:space="0"/>
            </w:tcBorders>
            <w:noWrap w:val="0"/>
            <w:vAlign w:val="center"/>
          </w:tcPr>
          <w:p>
            <w:pPr>
              <w:ind w:right="920"/>
              <w:jc w:val="center"/>
              <w:rPr>
                <w:rFonts w:hint="eastAsia" w:ascii="仿宋" w:hAnsi="仿宋" w:eastAsia="仿宋" w:cs="仿宋"/>
                <w:color w:val="auto"/>
                <w:sz w:val="24"/>
              </w:rPr>
            </w:pPr>
            <w:r>
              <w:rPr>
                <w:rFonts w:hint="eastAsia" w:ascii="仿宋" w:hAnsi="仿宋" w:eastAsia="仿宋" w:cs="仿宋"/>
                <w:color w:val="auto"/>
                <w:sz w:val="24"/>
              </w:rPr>
              <w:t>金额</w:t>
            </w:r>
          </w:p>
        </w:tc>
        <w:tc>
          <w:tcPr>
            <w:tcW w:w="2509"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951"/>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CellMar>
            <w:top w:w="0" w:type="dxa"/>
            <w:left w:w="0" w:type="dxa"/>
            <w:bottom w:w="0" w:type="dxa"/>
            <w:right w:w="0" w:type="dxa"/>
          </w:tblCellMar>
        </w:tblPrEx>
        <w:trPr>
          <w:trHeight w:val="710" w:hRule="exact"/>
        </w:trPr>
        <w:tc>
          <w:tcPr>
            <w:tcW w:w="2372"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449"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447"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509"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r>
      <w:tr>
        <w:tblPrEx>
          <w:tblCellMar>
            <w:top w:w="0" w:type="dxa"/>
            <w:left w:w="0" w:type="dxa"/>
            <w:bottom w:w="0" w:type="dxa"/>
            <w:right w:w="0" w:type="dxa"/>
          </w:tblCellMar>
        </w:tblPrEx>
        <w:trPr>
          <w:trHeight w:val="710" w:hRule="exact"/>
        </w:trPr>
        <w:tc>
          <w:tcPr>
            <w:tcW w:w="2372"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449"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447"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509"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r>
      <w:tr>
        <w:tblPrEx>
          <w:tblCellMar>
            <w:top w:w="0" w:type="dxa"/>
            <w:left w:w="0" w:type="dxa"/>
            <w:bottom w:w="0" w:type="dxa"/>
            <w:right w:w="0" w:type="dxa"/>
          </w:tblCellMar>
        </w:tblPrEx>
        <w:trPr>
          <w:trHeight w:val="710" w:hRule="exact"/>
        </w:trPr>
        <w:tc>
          <w:tcPr>
            <w:tcW w:w="2372"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449"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447"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509"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r>
      <w:tr>
        <w:tblPrEx>
          <w:tblCellMar>
            <w:top w:w="0" w:type="dxa"/>
            <w:left w:w="0" w:type="dxa"/>
            <w:bottom w:w="0" w:type="dxa"/>
            <w:right w:w="0" w:type="dxa"/>
          </w:tblCellMar>
        </w:tblPrEx>
        <w:trPr>
          <w:trHeight w:val="710" w:hRule="exact"/>
        </w:trPr>
        <w:tc>
          <w:tcPr>
            <w:tcW w:w="2372"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449"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447" w:type="dxa"/>
            <w:gridSpan w:val="3"/>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c>
          <w:tcPr>
            <w:tcW w:w="2509" w:type="dxa"/>
            <w:gridSpan w:val="2"/>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r>
      <w:tr>
        <w:tblPrEx>
          <w:tblCellMar>
            <w:top w:w="0" w:type="dxa"/>
            <w:left w:w="0" w:type="dxa"/>
            <w:bottom w:w="0" w:type="dxa"/>
            <w:right w:w="0" w:type="dxa"/>
          </w:tblCellMar>
        </w:tblPrEx>
        <w:trPr>
          <w:trHeight w:val="701" w:hRule="exact"/>
        </w:trPr>
        <w:tc>
          <w:tcPr>
            <w:tcW w:w="4821" w:type="dxa"/>
            <w:gridSpan w:val="5"/>
            <w:tcBorders>
              <w:top w:val="single" w:color="000000" w:sz="4" w:space="0"/>
              <w:left w:val="single" w:color="000000" w:sz="4" w:space="0"/>
              <w:bottom w:val="single" w:color="000000" w:sz="4" w:space="0"/>
              <w:right w:val="single" w:color="000000" w:sz="4" w:space="0"/>
            </w:tcBorders>
            <w:noWrap w:val="0"/>
            <w:vAlign w:val="top"/>
          </w:tcPr>
          <w:p>
            <w:pPr>
              <w:spacing w:before="7"/>
              <w:jc w:val="center"/>
              <w:rPr>
                <w:rFonts w:hint="eastAsia" w:ascii="仿宋" w:hAnsi="仿宋" w:eastAsia="仿宋" w:cs="仿宋"/>
                <w:color w:val="auto"/>
                <w:sz w:val="24"/>
              </w:rPr>
            </w:pPr>
          </w:p>
          <w:p>
            <w:pPr>
              <w:tabs>
                <w:tab w:val="left" w:pos="2480"/>
              </w:tabs>
              <w:ind w:left="2008" w:right="1987"/>
              <w:jc w:val="center"/>
              <w:rPr>
                <w:rFonts w:hint="eastAsia" w:ascii="仿宋" w:hAnsi="仿宋" w:eastAsia="仿宋" w:cs="仿宋"/>
                <w:color w:val="auto"/>
                <w:sz w:val="24"/>
              </w:rPr>
            </w:pPr>
            <w:r>
              <w:rPr>
                <w:rFonts w:hint="eastAsia" w:ascii="仿宋" w:hAnsi="仿宋" w:eastAsia="仿宋" w:cs="仿宋"/>
                <w:color w:val="auto"/>
                <w:sz w:val="24"/>
              </w:rPr>
              <w:t>小</w:t>
            </w:r>
            <w:r>
              <w:rPr>
                <w:rFonts w:hint="eastAsia" w:ascii="仿宋" w:hAnsi="仿宋" w:eastAsia="仿宋" w:cs="仿宋"/>
                <w:color w:val="auto"/>
                <w:sz w:val="24"/>
              </w:rPr>
              <w:tab/>
            </w:r>
            <w:r>
              <w:rPr>
                <w:rFonts w:hint="eastAsia" w:ascii="仿宋" w:hAnsi="仿宋" w:eastAsia="仿宋" w:cs="仿宋"/>
                <w:color w:val="auto"/>
                <w:sz w:val="24"/>
              </w:rPr>
              <w:t>计</w:t>
            </w:r>
          </w:p>
        </w:tc>
        <w:tc>
          <w:tcPr>
            <w:tcW w:w="4956" w:type="dxa"/>
            <w:gridSpan w:val="5"/>
            <w:tcBorders>
              <w:top w:val="single" w:color="000000" w:sz="4" w:space="0"/>
              <w:left w:val="single" w:color="000000" w:sz="4" w:space="0"/>
              <w:bottom w:val="single" w:color="000000" w:sz="4" w:space="0"/>
              <w:right w:val="single" w:color="000000" w:sz="4" w:space="0"/>
            </w:tcBorders>
            <w:noWrap w:val="0"/>
            <w:vAlign w:val="top"/>
          </w:tcPr>
          <w:p>
            <w:pPr>
              <w:spacing w:before="7"/>
              <w:jc w:val="center"/>
              <w:rPr>
                <w:rFonts w:hint="eastAsia" w:ascii="仿宋" w:hAnsi="仿宋" w:eastAsia="仿宋" w:cs="仿宋"/>
                <w:color w:val="auto"/>
                <w:sz w:val="24"/>
              </w:rPr>
            </w:pPr>
          </w:p>
          <w:p>
            <w:pPr>
              <w:ind w:left="2195" w:right="2175"/>
              <w:jc w:val="center"/>
              <w:rPr>
                <w:rFonts w:hint="eastAsia" w:ascii="仿宋" w:hAnsi="仿宋" w:eastAsia="仿宋" w:cs="仿宋"/>
                <w:color w:val="auto"/>
                <w:sz w:val="24"/>
              </w:rPr>
            </w:pPr>
            <w:r>
              <w:rPr>
                <w:rFonts w:hint="eastAsia" w:ascii="仿宋" w:hAnsi="仿宋" w:eastAsia="仿宋" w:cs="仿宋"/>
                <w:color w:val="auto"/>
                <w:sz w:val="24"/>
              </w:rPr>
              <w:t>万元</w:t>
            </w:r>
          </w:p>
        </w:tc>
      </w:tr>
      <w:tr>
        <w:tblPrEx>
          <w:tblCellMar>
            <w:top w:w="0" w:type="dxa"/>
            <w:left w:w="0" w:type="dxa"/>
            <w:bottom w:w="0" w:type="dxa"/>
            <w:right w:w="0" w:type="dxa"/>
          </w:tblCellMar>
        </w:tblPrEx>
        <w:trPr>
          <w:trHeight w:val="943" w:hRule="exact"/>
        </w:trPr>
        <w:tc>
          <w:tcPr>
            <w:tcW w:w="1667"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8"/>
              <w:jc w:val="center"/>
              <w:rPr>
                <w:rFonts w:hint="eastAsia" w:ascii="仿宋" w:hAnsi="仿宋" w:eastAsia="仿宋" w:cs="仿宋"/>
                <w:color w:val="auto"/>
                <w:sz w:val="24"/>
              </w:rPr>
            </w:pPr>
          </w:p>
          <w:p>
            <w:pPr>
              <w:ind w:left="1117" w:right="1096"/>
              <w:jc w:val="center"/>
              <w:rPr>
                <w:rFonts w:hint="eastAsia" w:ascii="仿宋" w:hAnsi="仿宋" w:eastAsia="仿宋" w:cs="仿宋"/>
                <w:color w:val="auto"/>
                <w:sz w:val="24"/>
              </w:rPr>
            </w:pPr>
            <w:r>
              <w:rPr>
                <w:rFonts w:hint="eastAsia" w:ascii="仿宋" w:hAnsi="仿宋" w:eastAsia="仿宋" w:cs="仿宋"/>
                <w:color w:val="auto"/>
                <w:sz w:val="24"/>
              </w:rPr>
              <w:t>二</w:t>
            </w:r>
          </w:p>
        </w:tc>
        <w:tc>
          <w:tcPr>
            <w:tcW w:w="8110" w:type="dxa"/>
            <w:gridSpan w:val="8"/>
            <w:tcBorders>
              <w:top w:val="single" w:color="000000" w:sz="4" w:space="0"/>
              <w:left w:val="single" w:color="000000" w:sz="4" w:space="0"/>
              <w:bottom w:val="single" w:color="000000" w:sz="4" w:space="0"/>
              <w:right w:val="single" w:color="000000" w:sz="4" w:space="0"/>
            </w:tcBorders>
            <w:noWrap w:val="0"/>
            <w:vAlign w:val="top"/>
          </w:tcPr>
          <w:p>
            <w:pPr>
              <w:spacing w:before="8"/>
              <w:jc w:val="center"/>
              <w:rPr>
                <w:rFonts w:hint="eastAsia" w:ascii="仿宋" w:hAnsi="仿宋" w:eastAsia="仿宋" w:cs="仿宋"/>
                <w:color w:val="auto"/>
                <w:sz w:val="24"/>
              </w:rPr>
            </w:pPr>
          </w:p>
          <w:p>
            <w:pPr>
              <w:ind w:left="484" w:right="-20"/>
              <w:jc w:val="center"/>
              <w:rPr>
                <w:rFonts w:hint="eastAsia" w:ascii="仿宋" w:hAnsi="仿宋" w:eastAsia="仿宋" w:cs="仿宋"/>
                <w:color w:val="auto"/>
                <w:sz w:val="24"/>
              </w:rPr>
            </w:pPr>
            <w:r>
              <w:rPr>
                <w:rFonts w:hint="eastAsia" w:ascii="仿宋" w:hAnsi="仿宋" w:eastAsia="仿宋"/>
                <w:color w:val="000000"/>
                <w:sz w:val="24"/>
              </w:rPr>
              <w:t>彩钢板围护、智慧工地配置费用（不进入投标报价，进入投标总价）</w:t>
            </w:r>
          </w:p>
        </w:tc>
      </w:tr>
      <w:tr>
        <w:tblPrEx>
          <w:tblCellMar>
            <w:top w:w="0" w:type="dxa"/>
            <w:left w:w="0" w:type="dxa"/>
            <w:bottom w:w="0" w:type="dxa"/>
            <w:right w:w="0" w:type="dxa"/>
          </w:tblCellMar>
        </w:tblPrEx>
        <w:trPr>
          <w:trHeight w:val="711" w:hRule="exact"/>
        </w:trPr>
        <w:tc>
          <w:tcPr>
            <w:tcW w:w="4595" w:type="dxa"/>
            <w:gridSpan w:val="4"/>
            <w:tcBorders>
              <w:top w:val="single" w:color="000000" w:sz="4" w:space="0"/>
              <w:left w:val="single" w:color="000000" w:sz="4" w:space="0"/>
              <w:bottom w:val="single" w:color="000000" w:sz="4" w:space="0"/>
              <w:right w:val="single" w:color="000000" w:sz="4" w:space="0"/>
            </w:tcBorders>
            <w:noWrap w:val="0"/>
            <w:vAlign w:val="top"/>
          </w:tcPr>
          <w:p>
            <w:pPr>
              <w:spacing w:before="2"/>
              <w:jc w:val="center"/>
              <w:rPr>
                <w:rFonts w:hint="eastAsia" w:ascii="仿宋" w:hAnsi="仿宋" w:eastAsia="仿宋" w:cs="仿宋"/>
                <w:color w:val="auto"/>
                <w:sz w:val="24"/>
              </w:rPr>
            </w:pPr>
          </w:p>
          <w:p>
            <w:pPr>
              <w:ind w:left="1774" w:right="1755"/>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482"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2"/>
              <w:jc w:val="center"/>
              <w:rPr>
                <w:rFonts w:hint="eastAsia" w:ascii="仿宋" w:hAnsi="仿宋" w:eastAsia="仿宋" w:cs="仿宋"/>
                <w:color w:val="auto"/>
                <w:sz w:val="24"/>
              </w:rPr>
            </w:pPr>
          </w:p>
          <w:p>
            <w:pPr>
              <w:ind w:left="136" w:right="-20"/>
              <w:jc w:val="center"/>
              <w:rPr>
                <w:rFonts w:hint="eastAsia" w:ascii="仿宋" w:hAnsi="仿宋" w:eastAsia="仿宋" w:cs="仿宋"/>
                <w:color w:val="auto"/>
                <w:sz w:val="24"/>
              </w:rPr>
            </w:pPr>
            <w:r>
              <w:rPr>
                <w:rFonts w:hint="eastAsia" w:ascii="仿宋" w:hAnsi="仿宋" w:eastAsia="仿宋" w:cs="仿宋"/>
                <w:color w:val="auto"/>
                <w:sz w:val="24"/>
              </w:rPr>
              <w:t>暂定工程量</w:t>
            </w:r>
          </w:p>
        </w:tc>
        <w:tc>
          <w:tcPr>
            <w:tcW w:w="1102" w:type="dxa"/>
            <w:tcBorders>
              <w:top w:val="single" w:color="000000" w:sz="4" w:space="0"/>
              <w:left w:val="single" w:color="000000" w:sz="4" w:space="0"/>
              <w:bottom w:val="single" w:color="000000" w:sz="4" w:space="0"/>
              <w:right w:val="single" w:color="000000" w:sz="4" w:space="0"/>
            </w:tcBorders>
            <w:noWrap w:val="0"/>
            <w:vAlign w:val="top"/>
          </w:tcPr>
          <w:p>
            <w:pPr>
              <w:spacing w:before="2"/>
              <w:jc w:val="center"/>
              <w:rPr>
                <w:rFonts w:hint="eastAsia" w:ascii="仿宋" w:hAnsi="仿宋" w:eastAsia="仿宋" w:cs="仿宋"/>
                <w:color w:val="auto"/>
                <w:sz w:val="24"/>
              </w:rPr>
            </w:pPr>
          </w:p>
          <w:p>
            <w:pPr>
              <w:ind w:left="306" w:right="-20"/>
              <w:jc w:val="center"/>
              <w:rPr>
                <w:rFonts w:hint="eastAsia" w:ascii="仿宋" w:hAnsi="仿宋" w:eastAsia="仿宋" w:cs="仿宋"/>
                <w:color w:val="auto"/>
                <w:sz w:val="24"/>
              </w:rPr>
            </w:pPr>
            <w:r>
              <w:rPr>
                <w:rFonts w:hint="eastAsia" w:ascii="仿宋" w:hAnsi="仿宋" w:eastAsia="仿宋" w:cs="仿宋"/>
                <w:color w:val="auto"/>
                <w:sz w:val="24"/>
              </w:rPr>
              <w:t>单价</w:t>
            </w:r>
          </w:p>
        </w:tc>
        <w:tc>
          <w:tcPr>
            <w:tcW w:w="1292" w:type="dxa"/>
            <w:gridSpan w:val="2"/>
            <w:tcBorders>
              <w:top w:val="single" w:color="000000" w:sz="4" w:space="0"/>
              <w:left w:val="single" w:color="000000" w:sz="4" w:space="0"/>
              <w:bottom w:val="single" w:color="000000" w:sz="4" w:space="0"/>
              <w:right w:val="single" w:color="000000" w:sz="4" w:space="0"/>
            </w:tcBorders>
            <w:noWrap w:val="0"/>
            <w:vAlign w:val="top"/>
          </w:tcPr>
          <w:p>
            <w:pPr>
              <w:spacing w:before="2"/>
              <w:jc w:val="center"/>
              <w:rPr>
                <w:rFonts w:hint="eastAsia" w:ascii="仿宋" w:hAnsi="仿宋" w:eastAsia="仿宋" w:cs="仿宋"/>
                <w:color w:val="auto"/>
                <w:sz w:val="24"/>
              </w:rPr>
            </w:pPr>
          </w:p>
          <w:p>
            <w:pPr>
              <w:ind w:left="401" w:right="-20"/>
              <w:jc w:val="center"/>
              <w:rPr>
                <w:rFonts w:hint="eastAsia" w:ascii="仿宋" w:hAnsi="仿宋" w:eastAsia="仿宋" w:cs="仿宋"/>
                <w:color w:val="auto"/>
                <w:sz w:val="24"/>
              </w:rPr>
            </w:pPr>
            <w:r>
              <w:rPr>
                <w:rFonts w:hint="eastAsia" w:ascii="仿宋" w:hAnsi="仿宋" w:eastAsia="仿宋" w:cs="仿宋"/>
                <w:color w:val="auto"/>
                <w:sz w:val="24"/>
              </w:rPr>
              <w:t>合价</w:t>
            </w:r>
          </w:p>
        </w:tc>
        <w:tc>
          <w:tcPr>
            <w:tcW w:w="1306" w:type="dxa"/>
            <w:tcBorders>
              <w:top w:val="single" w:color="000000" w:sz="4" w:space="0"/>
              <w:left w:val="single" w:color="000000" w:sz="4" w:space="0"/>
              <w:bottom w:val="single" w:color="000000" w:sz="4" w:space="0"/>
              <w:right w:val="single" w:color="000000" w:sz="4" w:space="0"/>
            </w:tcBorders>
            <w:noWrap w:val="0"/>
            <w:vAlign w:val="top"/>
          </w:tcPr>
          <w:p>
            <w:pPr>
              <w:spacing w:before="2"/>
              <w:jc w:val="center"/>
              <w:rPr>
                <w:rFonts w:hint="eastAsia" w:ascii="仿宋" w:hAnsi="仿宋" w:eastAsia="仿宋" w:cs="仿宋"/>
                <w:color w:val="auto"/>
                <w:sz w:val="24"/>
              </w:rPr>
            </w:pPr>
          </w:p>
          <w:p>
            <w:pPr>
              <w:ind w:left="408" w:right="-20"/>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CellMar>
            <w:top w:w="0" w:type="dxa"/>
            <w:left w:w="0" w:type="dxa"/>
            <w:bottom w:w="0" w:type="dxa"/>
            <w:right w:w="0" w:type="dxa"/>
          </w:tblCellMar>
        </w:tblPrEx>
        <w:trPr>
          <w:trHeight w:val="711" w:hRule="exact"/>
        </w:trPr>
        <w:tc>
          <w:tcPr>
            <w:tcW w:w="4595"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360"/>
                <w:tab w:val="left" w:pos="1800"/>
              </w:tabs>
              <w:jc w:val="center"/>
              <w:rPr>
                <w:rFonts w:hint="default" w:ascii="仿宋" w:hAnsi="仿宋" w:eastAsia="仿宋" w:cs="仿宋"/>
                <w:color w:val="auto"/>
                <w:kern w:val="2"/>
                <w:sz w:val="24"/>
                <w:highlight w:val="none"/>
                <w:lang w:val="en-US" w:eastAsia="zh-CN" w:bidi="ar-SA"/>
              </w:rPr>
            </w:pPr>
            <w:r>
              <w:rPr>
                <w:rFonts w:hint="eastAsia" w:ascii="仿宋" w:hAnsi="仿宋" w:eastAsia="仿宋"/>
                <w:color w:val="000000"/>
                <w:sz w:val="24"/>
              </w:rPr>
              <w:t>彩钢板围护费用</w:t>
            </w:r>
          </w:p>
        </w:tc>
        <w:tc>
          <w:tcPr>
            <w:tcW w:w="1482" w:type="dxa"/>
            <w:gridSpan w:val="2"/>
            <w:tcBorders>
              <w:top w:val="single" w:color="000000" w:sz="4" w:space="0"/>
              <w:left w:val="single" w:color="000000" w:sz="4" w:space="0"/>
              <w:bottom w:val="single" w:color="000000" w:sz="4" w:space="0"/>
              <w:right w:val="single" w:color="000000" w:sz="4" w:space="0"/>
            </w:tcBorders>
            <w:noWrap w:val="0"/>
            <w:vAlign w:val="center"/>
          </w:tcPr>
          <w:p>
            <w:pPr>
              <w:ind w:left="12" w:leftChars="0" w:right="-20" w:rightChars="0" w:hanging="12" w:hangingChars="5"/>
              <w:jc w:val="center"/>
              <w:rPr>
                <w:rFonts w:hint="default" w:ascii="仿宋" w:hAnsi="仿宋" w:eastAsia="仿宋" w:cs="仿宋"/>
                <w:color w:val="auto"/>
                <w:kern w:val="2"/>
                <w:sz w:val="24"/>
                <w:highlight w:val="none"/>
                <w:lang w:val="en-US" w:eastAsia="zh-CN" w:bidi="ar-SA"/>
              </w:rPr>
            </w:pP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ind w:left="1092" w:right="-20"/>
              <w:jc w:val="center"/>
              <w:rPr>
                <w:rFonts w:hint="eastAsia" w:ascii="仿宋" w:hAnsi="仿宋" w:eastAsia="仿宋" w:cs="仿宋"/>
                <w:color w:val="auto"/>
                <w:sz w:val="24"/>
              </w:rPr>
            </w:pPr>
          </w:p>
        </w:tc>
        <w:tc>
          <w:tcPr>
            <w:tcW w:w="12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130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r>
      <w:tr>
        <w:tblPrEx>
          <w:tblCellMar>
            <w:top w:w="0" w:type="dxa"/>
            <w:left w:w="0" w:type="dxa"/>
            <w:bottom w:w="0" w:type="dxa"/>
            <w:right w:w="0" w:type="dxa"/>
          </w:tblCellMar>
        </w:tblPrEx>
        <w:trPr>
          <w:trHeight w:val="711" w:hRule="exact"/>
        </w:trPr>
        <w:tc>
          <w:tcPr>
            <w:tcW w:w="4595"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360"/>
                <w:tab w:val="left" w:pos="1800"/>
              </w:tabs>
              <w:jc w:val="center"/>
              <w:rPr>
                <w:rFonts w:hint="eastAsia" w:ascii="仿宋" w:hAnsi="仿宋" w:eastAsia="仿宋" w:cs="仿宋"/>
                <w:color w:val="auto"/>
                <w:sz w:val="24"/>
              </w:rPr>
            </w:pPr>
            <w:r>
              <w:rPr>
                <w:rFonts w:hint="eastAsia" w:ascii="仿宋" w:hAnsi="仿宋" w:eastAsia="仿宋"/>
                <w:color w:val="000000"/>
                <w:sz w:val="24"/>
                <w:highlight w:val="none"/>
              </w:rPr>
              <w:t>智慧工地配置费</w:t>
            </w:r>
            <w:r>
              <w:rPr>
                <w:rFonts w:hint="eastAsia" w:ascii="仿宋" w:hAnsi="仿宋" w:eastAsia="仿宋"/>
                <w:color w:val="000000"/>
                <w:sz w:val="24"/>
              </w:rPr>
              <w:t>用</w:t>
            </w:r>
          </w:p>
        </w:tc>
        <w:tc>
          <w:tcPr>
            <w:tcW w:w="1482"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 w:val="24"/>
              </w:rPr>
            </w:pP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12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130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r>
      <w:tr>
        <w:tblPrEx>
          <w:tblCellMar>
            <w:top w:w="0" w:type="dxa"/>
            <w:left w:w="0" w:type="dxa"/>
            <w:bottom w:w="0" w:type="dxa"/>
            <w:right w:w="0" w:type="dxa"/>
          </w:tblCellMar>
        </w:tblPrEx>
        <w:trPr>
          <w:trHeight w:val="711" w:hRule="exact"/>
        </w:trPr>
        <w:tc>
          <w:tcPr>
            <w:tcW w:w="4595" w:type="dxa"/>
            <w:gridSpan w:val="4"/>
            <w:tcBorders>
              <w:top w:val="single" w:color="000000" w:sz="4" w:space="0"/>
              <w:left w:val="single" w:color="000000" w:sz="4" w:space="0"/>
              <w:bottom w:val="single" w:color="000000" w:sz="4" w:space="0"/>
              <w:right w:val="single" w:color="000000" w:sz="4" w:space="0"/>
            </w:tcBorders>
            <w:noWrap w:val="0"/>
            <w:vAlign w:val="center"/>
          </w:tcPr>
          <w:p>
            <w:pPr>
              <w:ind w:left="1092" w:right="-20"/>
              <w:rPr>
                <w:rFonts w:hint="eastAsia" w:ascii="仿宋" w:hAnsi="仿宋" w:eastAsia="仿宋" w:cs="仿宋"/>
                <w:color w:val="auto"/>
                <w:sz w:val="24"/>
              </w:rPr>
            </w:pPr>
          </w:p>
        </w:tc>
        <w:tc>
          <w:tcPr>
            <w:tcW w:w="1482"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 w:val="24"/>
              </w:rPr>
            </w:pP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12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rPr>
            </w:pPr>
          </w:p>
        </w:tc>
        <w:tc>
          <w:tcPr>
            <w:tcW w:w="130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color w:val="auto"/>
                <w:sz w:val="24"/>
              </w:rPr>
            </w:pPr>
          </w:p>
        </w:tc>
      </w:tr>
      <w:tr>
        <w:tblPrEx>
          <w:tblCellMar>
            <w:top w:w="0" w:type="dxa"/>
            <w:left w:w="0" w:type="dxa"/>
            <w:bottom w:w="0" w:type="dxa"/>
            <w:right w:w="0" w:type="dxa"/>
          </w:tblCellMar>
        </w:tblPrEx>
        <w:trPr>
          <w:trHeight w:val="861" w:hRule="exact"/>
        </w:trPr>
        <w:tc>
          <w:tcPr>
            <w:tcW w:w="4595" w:type="dxa"/>
            <w:gridSpan w:val="4"/>
            <w:tcBorders>
              <w:top w:val="single" w:color="000000" w:sz="4" w:space="0"/>
              <w:left w:val="single" w:color="000000" w:sz="4" w:space="0"/>
              <w:bottom w:val="single" w:color="auto" w:sz="4" w:space="0"/>
              <w:right w:val="single" w:color="000000" w:sz="4" w:space="0"/>
            </w:tcBorders>
            <w:noWrap w:val="0"/>
            <w:vAlign w:val="top"/>
          </w:tcPr>
          <w:p>
            <w:pPr>
              <w:jc w:val="center"/>
              <w:rPr>
                <w:rFonts w:hint="eastAsia" w:ascii="仿宋" w:hAnsi="仿宋" w:eastAsia="仿宋" w:cs="仿宋"/>
                <w:color w:val="auto"/>
                <w:sz w:val="24"/>
              </w:rPr>
            </w:pPr>
          </w:p>
          <w:p>
            <w:pPr>
              <w:tabs>
                <w:tab w:val="left" w:pos="2360"/>
              </w:tabs>
              <w:ind w:left="1894" w:right="1875"/>
              <w:jc w:val="center"/>
              <w:rPr>
                <w:rFonts w:hint="eastAsia" w:ascii="仿宋" w:hAnsi="仿宋" w:eastAsia="仿宋" w:cs="仿宋"/>
                <w:color w:val="auto"/>
                <w:sz w:val="24"/>
              </w:rPr>
            </w:pPr>
            <w:r>
              <w:rPr>
                <w:rFonts w:hint="eastAsia" w:ascii="仿宋" w:hAnsi="仿宋" w:eastAsia="仿宋" w:cs="仿宋"/>
                <w:color w:val="auto"/>
                <w:sz w:val="24"/>
              </w:rPr>
              <w:t>小</w:t>
            </w:r>
            <w:r>
              <w:rPr>
                <w:rFonts w:hint="eastAsia" w:ascii="仿宋" w:hAnsi="仿宋" w:eastAsia="仿宋" w:cs="仿宋"/>
                <w:color w:val="auto"/>
                <w:sz w:val="24"/>
              </w:rPr>
              <w:tab/>
            </w:r>
            <w:r>
              <w:rPr>
                <w:rFonts w:hint="eastAsia" w:ascii="仿宋" w:hAnsi="仿宋" w:eastAsia="仿宋" w:cs="仿宋"/>
                <w:color w:val="auto"/>
                <w:sz w:val="24"/>
              </w:rPr>
              <w:t>计</w:t>
            </w:r>
          </w:p>
        </w:tc>
        <w:tc>
          <w:tcPr>
            <w:tcW w:w="5182" w:type="dxa"/>
            <w:gridSpan w:val="6"/>
            <w:tcBorders>
              <w:top w:val="single" w:color="000000" w:sz="4" w:space="0"/>
              <w:left w:val="single" w:color="000000" w:sz="4" w:space="0"/>
              <w:bottom w:val="single" w:color="auto" w:sz="4" w:space="0"/>
              <w:right w:val="single" w:color="000000" w:sz="4" w:space="0"/>
            </w:tcBorders>
            <w:noWrap w:val="0"/>
            <w:vAlign w:val="top"/>
          </w:tcPr>
          <w:p>
            <w:pPr>
              <w:jc w:val="center"/>
              <w:rPr>
                <w:rFonts w:hint="eastAsia" w:ascii="仿宋" w:hAnsi="仿宋" w:eastAsia="仿宋" w:cs="仿宋"/>
                <w:color w:val="auto"/>
                <w:sz w:val="24"/>
              </w:rPr>
            </w:pPr>
          </w:p>
          <w:p>
            <w:pPr>
              <w:ind w:left="2306" w:right="2286"/>
              <w:jc w:val="center"/>
              <w:rPr>
                <w:rFonts w:hint="eastAsia" w:ascii="仿宋" w:hAnsi="仿宋" w:eastAsia="仿宋" w:cs="仿宋"/>
                <w:color w:val="auto"/>
                <w:sz w:val="24"/>
              </w:rPr>
            </w:pPr>
            <w:r>
              <w:rPr>
                <w:rFonts w:hint="eastAsia" w:ascii="仿宋" w:hAnsi="仿宋" w:eastAsia="仿宋" w:cs="仿宋"/>
                <w:color w:val="auto"/>
                <w:sz w:val="24"/>
              </w:rPr>
              <w:t>万元</w:t>
            </w:r>
          </w:p>
        </w:tc>
      </w:tr>
      <w:tr>
        <w:tblPrEx>
          <w:tblCellMar>
            <w:top w:w="0" w:type="dxa"/>
            <w:left w:w="0" w:type="dxa"/>
            <w:bottom w:w="0" w:type="dxa"/>
            <w:right w:w="0" w:type="dxa"/>
          </w:tblCellMar>
        </w:tblPrEx>
        <w:trPr>
          <w:trHeight w:val="954" w:hRule="exact"/>
        </w:trPr>
        <w:tc>
          <w:tcPr>
            <w:tcW w:w="1667" w:type="dxa"/>
            <w:gridSpan w:val="2"/>
            <w:tcBorders>
              <w:top w:val="single" w:color="auto" w:sz="4" w:space="0"/>
              <w:left w:val="single" w:color="000000" w:sz="4" w:space="0"/>
              <w:bottom w:val="single" w:color="auto" w:sz="4" w:space="0"/>
              <w:right w:val="single" w:color="auto" w:sz="4" w:space="0"/>
            </w:tcBorders>
            <w:noWrap w:val="0"/>
            <w:vAlign w:val="center"/>
          </w:tcPr>
          <w:p>
            <w:pPr>
              <w:ind w:right="-58"/>
              <w:jc w:val="center"/>
              <w:rPr>
                <w:rFonts w:hint="eastAsia" w:ascii="仿宋" w:hAnsi="仿宋" w:eastAsia="仿宋" w:cs="仿宋"/>
                <w:color w:val="auto"/>
                <w:sz w:val="24"/>
              </w:rPr>
            </w:pPr>
            <w:r>
              <w:rPr>
                <w:rFonts w:hint="eastAsia" w:ascii="仿宋" w:hAnsi="仿宋" w:eastAsia="仿宋" w:cs="仿宋"/>
                <w:color w:val="auto"/>
                <w:sz w:val="24"/>
              </w:rPr>
              <w:t>三</w:t>
            </w:r>
          </w:p>
        </w:tc>
        <w:tc>
          <w:tcPr>
            <w:tcW w:w="2928" w:type="dxa"/>
            <w:gridSpan w:val="2"/>
            <w:tcBorders>
              <w:top w:val="single" w:color="auto" w:sz="4" w:space="0"/>
              <w:left w:val="single" w:color="auto" w:sz="4" w:space="0"/>
              <w:bottom w:val="single" w:color="auto" w:sz="4" w:space="0"/>
              <w:right w:val="single" w:color="000000" w:sz="4" w:space="0"/>
            </w:tcBorders>
            <w:noWrap w:val="0"/>
            <w:vAlign w:val="center"/>
          </w:tcPr>
          <w:p>
            <w:pPr>
              <w:ind w:right="13"/>
              <w:jc w:val="center"/>
              <w:rPr>
                <w:rFonts w:hint="eastAsia" w:ascii="仿宋" w:hAnsi="仿宋" w:eastAsia="仿宋" w:cs="仿宋"/>
                <w:color w:val="auto"/>
                <w:sz w:val="24"/>
              </w:rPr>
            </w:pPr>
            <w:r>
              <w:rPr>
                <w:rFonts w:hint="eastAsia" w:ascii="仿宋" w:hAnsi="仿宋" w:eastAsia="仿宋" w:cs="仿宋"/>
                <w:color w:val="auto"/>
                <w:sz w:val="24"/>
              </w:rPr>
              <w:t>合计（一+二）</w:t>
            </w:r>
          </w:p>
        </w:tc>
        <w:tc>
          <w:tcPr>
            <w:tcW w:w="5182" w:type="dxa"/>
            <w:gridSpan w:val="6"/>
            <w:tcBorders>
              <w:top w:val="single" w:color="auto" w:sz="4" w:space="0"/>
              <w:left w:val="single" w:color="000000" w:sz="4" w:space="0"/>
              <w:bottom w:val="single" w:color="auto" w:sz="4" w:space="0"/>
              <w:right w:val="single" w:color="000000" w:sz="4" w:space="0"/>
            </w:tcBorders>
            <w:noWrap w:val="0"/>
            <w:vAlign w:val="center"/>
          </w:tcPr>
          <w:p>
            <w:pPr>
              <w:tabs>
                <w:tab w:val="left" w:pos="2780"/>
                <w:tab w:val="left" w:pos="7320"/>
              </w:tabs>
              <w:spacing w:line="460" w:lineRule="atLeast"/>
              <w:ind w:right="-20"/>
              <w:jc w:val="center"/>
              <w:rPr>
                <w:rFonts w:hint="eastAsia" w:ascii="仿宋" w:hAnsi="仿宋" w:eastAsia="仿宋" w:cs="仿宋"/>
                <w:color w:val="auto"/>
                <w:sz w:val="24"/>
              </w:rPr>
            </w:pPr>
            <w:r>
              <w:rPr>
                <w:rFonts w:hint="eastAsia" w:ascii="仿宋" w:hAnsi="仿宋" w:eastAsia="仿宋" w:cs="仿宋"/>
                <w:color w:val="auto"/>
                <w:position w:val="-2"/>
                <w:sz w:val="24"/>
              </w:rPr>
              <w:t xml:space="preserve"> 万元</w:t>
            </w:r>
          </w:p>
          <w:p>
            <w:pPr>
              <w:ind w:left="2306" w:right="2286"/>
              <w:jc w:val="center"/>
              <w:rPr>
                <w:rFonts w:hint="eastAsia" w:ascii="仿宋" w:hAnsi="仿宋" w:eastAsia="仿宋" w:cs="仿宋"/>
                <w:color w:val="auto"/>
                <w:sz w:val="24"/>
              </w:rPr>
            </w:pPr>
          </w:p>
        </w:tc>
      </w:tr>
    </w:tbl>
    <w:p>
      <w:pPr>
        <w:tabs>
          <w:tab w:val="left" w:pos="2780"/>
          <w:tab w:val="left" w:pos="7320"/>
        </w:tabs>
        <w:spacing w:line="460" w:lineRule="atLeast"/>
        <w:ind w:right="-20"/>
        <w:jc w:val="center"/>
        <w:rPr>
          <w:rFonts w:hint="eastAsia" w:ascii="仿宋" w:hAnsi="仿宋" w:eastAsia="仿宋" w:cs="仿宋"/>
          <w:bCs/>
          <w:color w:val="auto"/>
          <w:sz w:val="30"/>
          <w:szCs w:val="30"/>
        </w:rPr>
      </w:pPr>
    </w:p>
    <w:p>
      <w:pPr>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br w:type="page"/>
      </w:r>
    </w:p>
    <w:p>
      <w:pPr>
        <w:tabs>
          <w:tab w:val="left" w:pos="2780"/>
          <w:tab w:val="left" w:pos="7320"/>
        </w:tabs>
        <w:spacing w:line="460" w:lineRule="atLeast"/>
        <w:ind w:right="-20"/>
        <w:jc w:val="center"/>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13、</w:t>
      </w:r>
      <w:r>
        <w:rPr>
          <w:rFonts w:hint="eastAsia" w:ascii="仿宋" w:hAnsi="仿宋" w:eastAsia="仿宋" w:cs="仿宋"/>
          <w:bCs/>
          <w:color w:val="auto"/>
          <w:sz w:val="30"/>
          <w:szCs w:val="30"/>
        </w:rPr>
        <w:t>投标总价总说明</w:t>
      </w:r>
    </w:p>
    <w:p>
      <w:pPr>
        <w:tabs>
          <w:tab w:val="left" w:pos="7720"/>
          <w:tab w:val="left" w:pos="8200"/>
          <w:tab w:val="left" w:pos="8800"/>
          <w:tab w:val="left" w:pos="9280"/>
        </w:tabs>
        <w:spacing w:line="460" w:lineRule="atLeast"/>
        <w:ind w:left="17" w:right="-120" w:hanging="16" w:hangingChars="7"/>
        <w:rPr>
          <w:rFonts w:hint="eastAsia" w:ascii="仿宋" w:hAnsi="仿宋" w:eastAsia="仿宋" w:cs="仿宋"/>
          <w:color w:val="auto"/>
          <w:sz w:val="24"/>
          <w:szCs w:val="24"/>
        </w:rPr>
      </w:pPr>
      <w:r>
        <w:rPr>
          <w:rFonts w:hint="eastAsia" w:ascii="仿宋" w:hAnsi="仿宋" w:eastAsia="仿宋" w:cs="仿宋"/>
          <w:color w:val="auto"/>
          <w:sz w:val="24"/>
          <w:szCs w:val="24"/>
        </w:rPr>
        <w:t>工程名称：                                                       第 页  共 页</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3" w:hRule="atLeast"/>
          <w:jc w:val="center"/>
        </w:trPr>
        <w:tc>
          <w:tcPr>
            <w:tcW w:w="9452" w:type="dxa"/>
            <w:noWrap w:val="0"/>
            <w:vAlign w:val="top"/>
          </w:tcPr>
          <w:p>
            <w:pPr>
              <w:spacing w:line="600" w:lineRule="exact"/>
              <w:rPr>
                <w:rFonts w:hint="eastAsia" w:ascii="仿宋" w:hAnsi="仿宋" w:eastAsia="仿宋" w:cs="仿宋"/>
                <w:bCs/>
                <w:color w:val="auto"/>
                <w:szCs w:val="30"/>
              </w:rPr>
            </w:pPr>
            <w:r>
              <w:rPr>
                <w:rFonts w:hint="eastAsia" w:ascii="仿宋" w:hAnsi="仿宋" w:eastAsia="仿宋" w:cs="仿宋"/>
                <w:bCs/>
                <w:color w:val="auto"/>
                <w:szCs w:val="30"/>
              </w:rPr>
              <w:t>工程概况</w:t>
            </w:r>
          </w:p>
          <w:p>
            <w:pPr>
              <w:spacing w:line="600" w:lineRule="exact"/>
              <w:rPr>
                <w:rFonts w:hint="eastAsia" w:ascii="仿宋" w:hAnsi="仿宋" w:eastAsia="仿宋" w:cs="仿宋"/>
                <w:bCs/>
                <w:color w:val="auto"/>
                <w:szCs w:val="30"/>
              </w:rPr>
            </w:pPr>
            <w:r>
              <w:rPr>
                <w:rFonts w:hint="eastAsia" w:ascii="仿宋" w:hAnsi="仿宋" w:eastAsia="仿宋" w:cs="仿宋"/>
                <w:bCs/>
                <w:color w:val="auto"/>
                <w:szCs w:val="30"/>
              </w:rPr>
              <w:t>投标报价包括范围</w:t>
            </w:r>
          </w:p>
          <w:p>
            <w:pPr>
              <w:spacing w:line="600" w:lineRule="exact"/>
              <w:rPr>
                <w:rFonts w:hint="eastAsia" w:ascii="仿宋" w:hAnsi="仿宋" w:eastAsia="仿宋" w:cs="仿宋"/>
                <w:bCs/>
                <w:color w:val="auto"/>
                <w:szCs w:val="30"/>
              </w:rPr>
            </w:pPr>
            <w:r>
              <w:rPr>
                <w:rFonts w:hint="eastAsia" w:ascii="仿宋" w:hAnsi="仿宋" w:eastAsia="仿宋" w:cs="仿宋"/>
                <w:bCs/>
                <w:color w:val="auto"/>
                <w:szCs w:val="30"/>
              </w:rPr>
              <w:t>投标报价编制依据</w:t>
            </w:r>
          </w:p>
          <w:p>
            <w:pPr>
              <w:spacing w:line="600" w:lineRule="exact"/>
              <w:rPr>
                <w:rFonts w:hint="eastAsia" w:ascii="仿宋" w:hAnsi="仿宋" w:eastAsia="仿宋" w:cs="仿宋"/>
                <w:bCs/>
                <w:color w:val="auto"/>
                <w:sz w:val="30"/>
                <w:szCs w:val="30"/>
              </w:rPr>
            </w:pPr>
            <w:r>
              <w:rPr>
                <w:rFonts w:hint="eastAsia" w:ascii="仿宋" w:hAnsi="仿宋" w:eastAsia="仿宋" w:cs="仿宋"/>
                <w:bCs/>
                <w:color w:val="auto"/>
                <w:szCs w:val="30"/>
              </w:rPr>
              <w:t>其他需要说明的内容</w:t>
            </w:r>
          </w:p>
        </w:tc>
      </w:tr>
    </w:tbl>
    <w:p>
      <w:pPr>
        <w:numPr>
          <w:ilvl w:val="0"/>
          <w:numId w:val="0"/>
        </w:numPr>
        <w:spacing w:line="360" w:lineRule="auto"/>
        <w:jc w:val="both"/>
        <w:rPr>
          <w:rFonts w:hint="eastAsia" w:ascii="仿宋" w:hAnsi="仿宋" w:eastAsia="仿宋" w:cs="仿宋"/>
          <w:bCs/>
          <w:color w:val="auto"/>
          <w:sz w:val="28"/>
          <w:szCs w:val="28"/>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numPr>
          <w:ilvl w:val="0"/>
          <w:numId w:val="0"/>
        </w:numPr>
        <w:spacing w:line="360"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14、</w:t>
      </w:r>
      <w:r>
        <w:rPr>
          <w:rFonts w:hint="eastAsia" w:ascii="仿宋" w:hAnsi="仿宋" w:eastAsia="仿宋" w:cs="仿宋"/>
          <w:bCs/>
          <w:color w:val="auto"/>
          <w:sz w:val="28"/>
          <w:szCs w:val="28"/>
        </w:rPr>
        <w:t>建设项目投标报价汇总表</w:t>
      </w:r>
    </w:p>
    <w:p>
      <w:pPr>
        <w:spacing w:line="360" w:lineRule="auto"/>
        <w:rPr>
          <w:rFonts w:hint="eastAsia" w:ascii="仿宋" w:hAnsi="仿宋" w:eastAsia="仿宋" w:cs="仿宋"/>
          <w:bCs/>
          <w:color w:val="auto"/>
          <w:sz w:val="30"/>
          <w:szCs w:val="30"/>
        </w:rPr>
      </w:pPr>
      <w:r>
        <w:rPr>
          <w:rFonts w:hint="eastAsia" w:ascii="仿宋" w:hAnsi="仿宋" w:eastAsia="仿宋" w:cs="仿宋"/>
          <w:color w:val="auto"/>
          <w:sz w:val="24"/>
          <w:szCs w:val="24"/>
        </w:rPr>
        <w:t>工程名称：                                                   第 页  共 页</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328"/>
        <w:gridCol w:w="1202"/>
        <w:gridCol w:w="1280"/>
        <w:gridCol w:w="240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40" w:type="dxa"/>
            <w:vMerge w:val="restart"/>
            <w:noWrap w:val="0"/>
            <w:vAlign w:val="top"/>
          </w:tcPr>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t>序号</w:t>
            </w:r>
          </w:p>
        </w:tc>
        <w:tc>
          <w:tcPr>
            <w:tcW w:w="2328"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单项工程名称</w:t>
            </w:r>
          </w:p>
        </w:tc>
        <w:tc>
          <w:tcPr>
            <w:tcW w:w="1202"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金额（元）</w:t>
            </w:r>
          </w:p>
        </w:tc>
        <w:tc>
          <w:tcPr>
            <w:tcW w:w="4840" w:type="dxa"/>
            <w:gridSpan w:val="3"/>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040" w:type="dxa"/>
            <w:vMerge w:val="continue"/>
            <w:noWrap w:val="0"/>
            <w:vAlign w:val="top"/>
          </w:tcPr>
          <w:p>
            <w:pPr>
              <w:spacing w:line="360" w:lineRule="auto"/>
              <w:jc w:val="center"/>
              <w:rPr>
                <w:rFonts w:hint="eastAsia" w:ascii="仿宋" w:hAnsi="仿宋" w:eastAsia="仿宋" w:cs="仿宋"/>
                <w:color w:val="auto"/>
              </w:rPr>
            </w:pPr>
          </w:p>
        </w:tc>
        <w:tc>
          <w:tcPr>
            <w:tcW w:w="2328" w:type="dxa"/>
            <w:vMerge w:val="continue"/>
            <w:noWrap w:val="0"/>
            <w:vAlign w:val="top"/>
          </w:tcPr>
          <w:p>
            <w:pPr>
              <w:spacing w:line="360" w:lineRule="auto"/>
              <w:jc w:val="center"/>
              <w:rPr>
                <w:rFonts w:hint="eastAsia" w:ascii="仿宋" w:hAnsi="仿宋" w:eastAsia="仿宋" w:cs="仿宋"/>
                <w:color w:val="auto"/>
              </w:rPr>
            </w:pPr>
          </w:p>
        </w:tc>
        <w:tc>
          <w:tcPr>
            <w:tcW w:w="1202" w:type="dxa"/>
            <w:vMerge w:val="continue"/>
            <w:noWrap w:val="0"/>
            <w:vAlign w:val="top"/>
          </w:tcPr>
          <w:p>
            <w:pPr>
              <w:spacing w:line="360" w:lineRule="auto"/>
              <w:jc w:val="center"/>
              <w:rPr>
                <w:rFonts w:hint="eastAsia" w:ascii="仿宋" w:hAnsi="仿宋" w:eastAsia="仿宋" w:cs="仿宋"/>
                <w:color w:val="auto"/>
              </w:rPr>
            </w:pPr>
          </w:p>
        </w:tc>
        <w:tc>
          <w:tcPr>
            <w:tcW w:w="1280"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暂估价（元）</w:t>
            </w:r>
          </w:p>
        </w:tc>
        <w:tc>
          <w:tcPr>
            <w:tcW w:w="2405"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安全文明施工费（元）</w:t>
            </w:r>
          </w:p>
        </w:tc>
        <w:tc>
          <w:tcPr>
            <w:tcW w:w="1155"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规费（元）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0" w:hRule="atLeast"/>
          <w:jc w:val="center"/>
        </w:trPr>
        <w:tc>
          <w:tcPr>
            <w:tcW w:w="1040" w:type="dxa"/>
            <w:noWrap w:val="0"/>
            <w:vAlign w:val="top"/>
          </w:tcPr>
          <w:p>
            <w:pPr>
              <w:spacing w:line="360" w:lineRule="auto"/>
              <w:rPr>
                <w:rFonts w:hint="eastAsia" w:ascii="仿宋" w:hAnsi="仿宋" w:eastAsia="仿宋" w:cs="仿宋"/>
                <w:color w:val="auto"/>
                <w:sz w:val="24"/>
              </w:rPr>
            </w:pPr>
          </w:p>
        </w:tc>
        <w:tc>
          <w:tcPr>
            <w:tcW w:w="2328" w:type="dxa"/>
            <w:noWrap w:val="0"/>
            <w:vAlign w:val="top"/>
          </w:tcPr>
          <w:p>
            <w:pPr>
              <w:spacing w:line="360" w:lineRule="auto"/>
              <w:rPr>
                <w:rFonts w:hint="eastAsia" w:ascii="仿宋" w:hAnsi="仿宋" w:eastAsia="仿宋" w:cs="仿宋"/>
                <w:color w:val="auto"/>
                <w:sz w:val="24"/>
              </w:rPr>
            </w:pPr>
          </w:p>
        </w:tc>
        <w:tc>
          <w:tcPr>
            <w:tcW w:w="1202" w:type="dxa"/>
            <w:noWrap w:val="0"/>
            <w:vAlign w:val="top"/>
          </w:tcPr>
          <w:p>
            <w:pPr>
              <w:spacing w:line="360" w:lineRule="auto"/>
              <w:rPr>
                <w:rFonts w:hint="eastAsia" w:ascii="仿宋" w:hAnsi="仿宋" w:eastAsia="仿宋" w:cs="仿宋"/>
                <w:color w:val="auto"/>
                <w:sz w:val="24"/>
              </w:rPr>
            </w:pPr>
          </w:p>
        </w:tc>
        <w:tc>
          <w:tcPr>
            <w:tcW w:w="1280" w:type="dxa"/>
            <w:noWrap w:val="0"/>
            <w:vAlign w:val="top"/>
          </w:tcPr>
          <w:p>
            <w:pPr>
              <w:spacing w:line="360" w:lineRule="auto"/>
              <w:rPr>
                <w:rFonts w:hint="eastAsia" w:ascii="仿宋" w:hAnsi="仿宋" w:eastAsia="仿宋" w:cs="仿宋"/>
                <w:color w:val="auto"/>
                <w:sz w:val="24"/>
              </w:rPr>
            </w:pPr>
          </w:p>
        </w:tc>
        <w:tc>
          <w:tcPr>
            <w:tcW w:w="2405" w:type="dxa"/>
            <w:noWrap w:val="0"/>
            <w:vAlign w:val="top"/>
          </w:tcPr>
          <w:p>
            <w:pPr>
              <w:spacing w:line="360" w:lineRule="auto"/>
              <w:rPr>
                <w:rFonts w:hint="eastAsia" w:ascii="仿宋" w:hAnsi="仿宋" w:eastAsia="仿宋" w:cs="仿宋"/>
                <w:color w:val="auto"/>
                <w:sz w:val="24"/>
              </w:rPr>
            </w:pPr>
          </w:p>
        </w:tc>
        <w:tc>
          <w:tcPr>
            <w:tcW w:w="1155" w:type="dxa"/>
            <w:noWrap w:val="0"/>
            <w:vAlign w:val="top"/>
          </w:tcPr>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368" w:type="dxa"/>
            <w:gridSpan w:val="2"/>
            <w:noWrap w:val="0"/>
            <w:vAlign w:val="top"/>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合计</w:t>
            </w:r>
          </w:p>
        </w:tc>
        <w:tc>
          <w:tcPr>
            <w:tcW w:w="1202" w:type="dxa"/>
            <w:noWrap w:val="0"/>
            <w:vAlign w:val="top"/>
          </w:tcPr>
          <w:p>
            <w:pPr>
              <w:spacing w:line="360" w:lineRule="auto"/>
              <w:rPr>
                <w:rFonts w:hint="eastAsia" w:ascii="仿宋" w:hAnsi="仿宋" w:eastAsia="仿宋" w:cs="仿宋"/>
                <w:color w:val="auto"/>
                <w:sz w:val="24"/>
              </w:rPr>
            </w:pPr>
          </w:p>
        </w:tc>
        <w:tc>
          <w:tcPr>
            <w:tcW w:w="1280" w:type="dxa"/>
            <w:noWrap w:val="0"/>
            <w:vAlign w:val="top"/>
          </w:tcPr>
          <w:p>
            <w:pPr>
              <w:spacing w:line="360" w:lineRule="auto"/>
              <w:rPr>
                <w:rFonts w:hint="eastAsia" w:ascii="仿宋" w:hAnsi="仿宋" w:eastAsia="仿宋" w:cs="仿宋"/>
                <w:color w:val="auto"/>
                <w:sz w:val="24"/>
              </w:rPr>
            </w:pPr>
          </w:p>
        </w:tc>
        <w:tc>
          <w:tcPr>
            <w:tcW w:w="2405" w:type="dxa"/>
            <w:noWrap w:val="0"/>
            <w:vAlign w:val="top"/>
          </w:tcPr>
          <w:p>
            <w:pPr>
              <w:spacing w:line="360" w:lineRule="auto"/>
              <w:rPr>
                <w:rFonts w:hint="eastAsia" w:ascii="仿宋" w:hAnsi="仿宋" w:eastAsia="仿宋" w:cs="仿宋"/>
                <w:color w:val="auto"/>
                <w:sz w:val="24"/>
              </w:rPr>
            </w:pPr>
          </w:p>
        </w:tc>
        <w:tc>
          <w:tcPr>
            <w:tcW w:w="1155" w:type="dxa"/>
            <w:noWrap w:val="0"/>
            <w:vAlign w:val="top"/>
          </w:tcPr>
          <w:p>
            <w:pPr>
              <w:spacing w:line="360" w:lineRule="auto"/>
              <w:rPr>
                <w:rFonts w:hint="eastAsia" w:ascii="仿宋" w:hAnsi="仿宋" w:eastAsia="仿宋" w:cs="仿宋"/>
                <w:color w:val="auto"/>
                <w:sz w:val="24"/>
              </w:rPr>
            </w:pPr>
          </w:p>
        </w:tc>
      </w:tr>
    </w:tbl>
    <w:p>
      <w:pPr>
        <w:spacing w:line="360" w:lineRule="auto"/>
        <w:rPr>
          <w:rFonts w:hint="eastAsia" w:ascii="仿宋" w:hAnsi="仿宋" w:eastAsia="仿宋" w:cs="仿宋"/>
          <w:color w:val="auto"/>
          <w:sz w:val="24"/>
        </w:rPr>
      </w:pPr>
      <w:r>
        <w:rPr>
          <w:rFonts w:hint="eastAsia" w:ascii="仿宋" w:hAnsi="仿宋" w:eastAsia="仿宋" w:cs="仿宋"/>
          <w:color w:val="auto"/>
          <w:sz w:val="24"/>
        </w:rPr>
        <w:t>注：本表使用于工程项目投标报价的汇总。</w:t>
      </w:r>
    </w:p>
    <w:p>
      <w:pPr>
        <w:spacing w:line="360" w:lineRule="auto"/>
        <w:rPr>
          <w:rFonts w:hint="eastAsia" w:ascii="仿宋" w:hAnsi="仿宋" w:eastAsia="仿宋" w:cs="仿宋"/>
          <w:color w:val="auto"/>
          <w:sz w:val="24"/>
        </w:rPr>
      </w:pPr>
    </w:p>
    <w:p>
      <w:pPr>
        <w:pStyle w:val="12"/>
        <w:rPr>
          <w:rFonts w:hint="eastAsia" w:ascii="仿宋" w:hAnsi="仿宋" w:eastAsia="仿宋" w:cs="仿宋"/>
          <w:color w:val="auto"/>
        </w:rPr>
      </w:pPr>
    </w:p>
    <w:p>
      <w:pPr>
        <w:pStyle w:val="12"/>
        <w:rPr>
          <w:rFonts w:hint="eastAsia" w:ascii="仿宋" w:hAnsi="仿宋" w:eastAsia="仿宋" w:cs="仿宋"/>
          <w:color w:val="auto"/>
        </w:rPr>
      </w:pPr>
    </w:p>
    <w:p>
      <w:pPr>
        <w:pStyle w:val="12"/>
        <w:rPr>
          <w:rFonts w:hint="eastAsia" w:ascii="仿宋" w:hAnsi="仿宋" w:eastAsia="仿宋" w:cs="仿宋"/>
          <w:color w:val="auto"/>
        </w:rPr>
      </w:pPr>
    </w:p>
    <w:p>
      <w:pPr>
        <w:numPr>
          <w:ilvl w:val="0"/>
          <w:numId w:val="0"/>
        </w:numPr>
        <w:spacing w:line="360"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r>
        <w:rPr>
          <w:rFonts w:hint="eastAsia" w:ascii="仿宋" w:hAnsi="仿宋" w:eastAsia="仿宋" w:cs="仿宋"/>
          <w:bCs/>
          <w:color w:val="auto"/>
          <w:sz w:val="32"/>
          <w:szCs w:val="32"/>
          <w:lang w:val="en-US" w:eastAsia="zh-CN"/>
        </w:rPr>
        <w:t>15、</w:t>
      </w:r>
      <w:r>
        <w:rPr>
          <w:rFonts w:hint="eastAsia" w:ascii="仿宋" w:hAnsi="仿宋" w:eastAsia="仿宋" w:cs="仿宋"/>
          <w:bCs/>
          <w:color w:val="auto"/>
          <w:sz w:val="32"/>
          <w:szCs w:val="32"/>
        </w:rPr>
        <w:t>单项工程投标报价汇总表</w:t>
      </w:r>
    </w:p>
    <w:p>
      <w:pPr>
        <w:spacing w:line="360" w:lineRule="auto"/>
        <w:rPr>
          <w:rFonts w:hint="eastAsia" w:ascii="仿宋" w:hAnsi="仿宋" w:eastAsia="仿宋" w:cs="仿宋"/>
          <w:bCs/>
          <w:color w:val="auto"/>
          <w:sz w:val="30"/>
          <w:szCs w:val="30"/>
        </w:rPr>
      </w:pPr>
      <w:r>
        <w:rPr>
          <w:rFonts w:hint="eastAsia" w:ascii="仿宋" w:hAnsi="仿宋" w:eastAsia="仿宋" w:cs="仿宋"/>
          <w:color w:val="auto"/>
          <w:sz w:val="24"/>
          <w:szCs w:val="24"/>
        </w:rPr>
        <w:t>工程名称：                                                第 页  共 页</w:t>
      </w:r>
    </w:p>
    <w:tbl>
      <w:tblPr>
        <w:tblStyle w:val="25"/>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308"/>
        <w:gridCol w:w="1194"/>
        <w:gridCol w:w="1272"/>
        <w:gridCol w:w="2321"/>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690"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序号</w:t>
            </w:r>
          </w:p>
        </w:tc>
        <w:tc>
          <w:tcPr>
            <w:tcW w:w="2308"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单位工程名称</w:t>
            </w:r>
          </w:p>
        </w:tc>
        <w:tc>
          <w:tcPr>
            <w:tcW w:w="1194"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金额（元）</w:t>
            </w:r>
          </w:p>
        </w:tc>
        <w:tc>
          <w:tcPr>
            <w:tcW w:w="4808" w:type="dxa"/>
            <w:gridSpan w:val="3"/>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90" w:type="dxa"/>
            <w:vMerge w:val="continue"/>
            <w:noWrap w:val="0"/>
            <w:vAlign w:val="top"/>
          </w:tcPr>
          <w:p>
            <w:pPr>
              <w:spacing w:line="360" w:lineRule="auto"/>
              <w:jc w:val="center"/>
              <w:rPr>
                <w:rFonts w:hint="eastAsia" w:ascii="仿宋" w:hAnsi="仿宋" w:eastAsia="仿宋" w:cs="仿宋"/>
                <w:color w:val="auto"/>
              </w:rPr>
            </w:pPr>
          </w:p>
        </w:tc>
        <w:tc>
          <w:tcPr>
            <w:tcW w:w="2308" w:type="dxa"/>
            <w:vMerge w:val="continue"/>
            <w:noWrap w:val="0"/>
            <w:vAlign w:val="top"/>
          </w:tcPr>
          <w:p>
            <w:pPr>
              <w:spacing w:line="360" w:lineRule="auto"/>
              <w:jc w:val="center"/>
              <w:rPr>
                <w:rFonts w:hint="eastAsia" w:ascii="仿宋" w:hAnsi="仿宋" w:eastAsia="仿宋" w:cs="仿宋"/>
                <w:color w:val="auto"/>
              </w:rPr>
            </w:pPr>
          </w:p>
        </w:tc>
        <w:tc>
          <w:tcPr>
            <w:tcW w:w="1194" w:type="dxa"/>
            <w:vMerge w:val="continue"/>
            <w:noWrap w:val="0"/>
            <w:vAlign w:val="top"/>
          </w:tcPr>
          <w:p>
            <w:pPr>
              <w:spacing w:line="360" w:lineRule="auto"/>
              <w:jc w:val="center"/>
              <w:rPr>
                <w:rFonts w:hint="eastAsia" w:ascii="仿宋" w:hAnsi="仿宋" w:eastAsia="仿宋" w:cs="仿宋"/>
                <w:color w:val="auto"/>
              </w:rPr>
            </w:pPr>
          </w:p>
        </w:tc>
        <w:tc>
          <w:tcPr>
            <w:tcW w:w="1272"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暂估价（元）</w:t>
            </w:r>
          </w:p>
        </w:tc>
        <w:tc>
          <w:tcPr>
            <w:tcW w:w="2321"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安全文明施工费（元）</w:t>
            </w:r>
          </w:p>
        </w:tc>
        <w:tc>
          <w:tcPr>
            <w:tcW w:w="1215"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规费（元）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7" w:hRule="atLeast"/>
        </w:trPr>
        <w:tc>
          <w:tcPr>
            <w:tcW w:w="690" w:type="dxa"/>
            <w:noWrap w:val="0"/>
            <w:vAlign w:val="top"/>
          </w:tcPr>
          <w:p>
            <w:pPr>
              <w:spacing w:line="360" w:lineRule="auto"/>
              <w:rPr>
                <w:rFonts w:hint="eastAsia" w:ascii="仿宋" w:hAnsi="仿宋" w:eastAsia="仿宋" w:cs="仿宋"/>
                <w:color w:val="auto"/>
                <w:sz w:val="24"/>
              </w:rPr>
            </w:pPr>
          </w:p>
        </w:tc>
        <w:tc>
          <w:tcPr>
            <w:tcW w:w="2308" w:type="dxa"/>
            <w:noWrap w:val="0"/>
            <w:vAlign w:val="top"/>
          </w:tcPr>
          <w:p>
            <w:pPr>
              <w:spacing w:line="360" w:lineRule="auto"/>
              <w:rPr>
                <w:rFonts w:hint="eastAsia" w:ascii="仿宋" w:hAnsi="仿宋" w:eastAsia="仿宋" w:cs="仿宋"/>
                <w:color w:val="auto"/>
                <w:sz w:val="24"/>
              </w:rPr>
            </w:pPr>
          </w:p>
        </w:tc>
        <w:tc>
          <w:tcPr>
            <w:tcW w:w="1194" w:type="dxa"/>
            <w:noWrap w:val="0"/>
            <w:vAlign w:val="top"/>
          </w:tcPr>
          <w:p>
            <w:pPr>
              <w:spacing w:line="360" w:lineRule="auto"/>
              <w:rPr>
                <w:rFonts w:hint="eastAsia" w:ascii="仿宋" w:hAnsi="仿宋" w:eastAsia="仿宋" w:cs="仿宋"/>
                <w:color w:val="auto"/>
                <w:sz w:val="24"/>
              </w:rPr>
            </w:pPr>
          </w:p>
        </w:tc>
        <w:tc>
          <w:tcPr>
            <w:tcW w:w="1272" w:type="dxa"/>
            <w:noWrap w:val="0"/>
            <w:vAlign w:val="top"/>
          </w:tcPr>
          <w:p>
            <w:pPr>
              <w:spacing w:line="360" w:lineRule="auto"/>
              <w:rPr>
                <w:rFonts w:hint="eastAsia" w:ascii="仿宋" w:hAnsi="仿宋" w:eastAsia="仿宋" w:cs="仿宋"/>
                <w:color w:val="auto"/>
                <w:sz w:val="24"/>
              </w:rPr>
            </w:pPr>
          </w:p>
        </w:tc>
        <w:tc>
          <w:tcPr>
            <w:tcW w:w="2321" w:type="dxa"/>
            <w:noWrap w:val="0"/>
            <w:vAlign w:val="top"/>
          </w:tcPr>
          <w:p>
            <w:pPr>
              <w:spacing w:line="360" w:lineRule="auto"/>
              <w:rPr>
                <w:rFonts w:hint="eastAsia" w:ascii="仿宋" w:hAnsi="仿宋" w:eastAsia="仿宋" w:cs="仿宋"/>
                <w:color w:val="auto"/>
                <w:sz w:val="24"/>
              </w:rPr>
            </w:pPr>
          </w:p>
        </w:tc>
        <w:tc>
          <w:tcPr>
            <w:tcW w:w="1215" w:type="dxa"/>
            <w:noWrap w:val="0"/>
            <w:vAlign w:val="top"/>
          </w:tcPr>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98" w:type="dxa"/>
            <w:gridSpan w:val="2"/>
            <w:noWrap w:val="0"/>
            <w:vAlign w:val="top"/>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合计</w:t>
            </w:r>
          </w:p>
        </w:tc>
        <w:tc>
          <w:tcPr>
            <w:tcW w:w="1194" w:type="dxa"/>
            <w:noWrap w:val="0"/>
            <w:vAlign w:val="top"/>
          </w:tcPr>
          <w:p>
            <w:pPr>
              <w:spacing w:line="360" w:lineRule="auto"/>
              <w:rPr>
                <w:rFonts w:hint="eastAsia" w:ascii="仿宋" w:hAnsi="仿宋" w:eastAsia="仿宋" w:cs="仿宋"/>
                <w:color w:val="auto"/>
                <w:sz w:val="24"/>
              </w:rPr>
            </w:pPr>
          </w:p>
        </w:tc>
        <w:tc>
          <w:tcPr>
            <w:tcW w:w="1272" w:type="dxa"/>
            <w:noWrap w:val="0"/>
            <w:vAlign w:val="top"/>
          </w:tcPr>
          <w:p>
            <w:pPr>
              <w:spacing w:line="360" w:lineRule="auto"/>
              <w:rPr>
                <w:rFonts w:hint="eastAsia" w:ascii="仿宋" w:hAnsi="仿宋" w:eastAsia="仿宋" w:cs="仿宋"/>
                <w:color w:val="auto"/>
                <w:sz w:val="24"/>
              </w:rPr>
            </w:pPr>
          </w:p>
        </w:tc>
        <w:tc>
          <w:tcPr>
            <w:tcW w:w="2321" w:type="dxa"/>
            <w:noWrap w:val="0"/>
            <w:vAlign w:val="top"/>
          </w:tcPr>
          <w:p>
            <w:pPr>
              <w:spacing w:line="360" w:lineRule="auto"/>
              <w:rPr>
                <w:rFonts w:hint="eastAsia" w:ascii="仿宋" w:hAnsi="仿宋" w:eastAsia="仿宋" w:cs="仿宋"/>
                <w:color w:val="auto"/>
                <w:sz w:val="24"/>
              </w:rPr>
            </w:pPr>
          </w:p>
        </w:tc>
        <w:tc>
          <w:tcPr>
            <w:tcW w:w="1215" w:type="dxa"/>
            <w:noWrap w:val="0"/>
            <w:vAlign w:val="top"/>
          </w:tcPr>
          <w:p>
            <w:pPr>
              <w:spacing w:line="360" w:lineRule="auto"/>
              <w:rPr>
                <w:rFonts w:hint="eastAsia" w:ascii="仿宋" w:hAnsi="仿宋" w:eastAsia="仿宋" w:cs="仿宋"/>
                <w:color w:val="auto"/>
                <w:sz w:val="24"/>
              </w:rPr>
            </w:pPr>
          </w:p>
        </w:tc>
      </w:tr>
    </w:tbl>
    <w:p>
      <w:pPr>
        <w:spacing w:before="16" w:line="460" w:lineRule="atLeast"/>
        <w:ind w:left="114" w:right="-20"/>
        <w:jc w:val="left"/>
        <w:rPr>
          <w:rFonts w:hint="eastAsia" w:ascii="仿宋" w:hAnsi="仿宋" w:eastAsia="仿宋" w:cs="仿宋"/>
          <w:color w:val="auto"/>
          <w:sz w:val="24"/>
        </w:rPr>
      </w:pPr>
      <w:r>
        <w:rPr>
          <w:rFonts w:hint="eastAsia" w:ascii="仿宋" w:hAnsi="仿宋" w:eastAsia="仿宋" w:cs="仿宋"/>
          <w:color w:val="auto"/>
          <w:sz w:val="24"/>
        </w:rPr>
        <w:t>注：本表适用于单项工程投标报价的汇总，暂估价包括分部分项工程中的暂估价和专业工程暂估价。</w:t>
      </w:r>
    </w:p>
    <w:p>
      <w:pPr>
        <w:spacing w:before="16" w:line="460" w:lineRule="atLeast"/>
        <w:ind w:left="114" w:right="-20"/>
        <w:jc w:val="left"/>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pStyle w:val="12"/>
        <w:rPr>
          <w:rFonts w:hint="eastAsia" w:ascii="仿宋" w:hAnsi="仿宋" w:eastAsia="仿宋" w:cs="仿宋"/>
          <w:color w:val="auto"/>
          <w:sz w:val="24"/>
        </w:rPr>
      </w:pPr>
    </w:p>
    <w:p>
      <w:pPr>
        <w:pStyle w:val="12"/>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br w:type="page"/>
      </w:r>
    </w:p>
    <w:p>
      <w:pPr>
        <w:spacing w:line="360" w:lineRule="auto"/>
        <w:jc w:val="center"/>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16、</w:t>
      </w:r>
      <w:r>
        <w:rPr>
          <w:rFonts w:hint="eastAsia" w:ascii="仿宋" w:hAnsi="仿宋" w:eastAsia="仿宋" w:cs="仿宋"/>
          <w:bCs/>
          <w:color w:val="auto"/>
          <w:sz w:val="30"/>
          <w:szCs w:val="30"/>
        </w:rPr>
        <w:t>单位工程投标报价汇总表</w:t>
      </w:r>
    </w:p>
    <w:p>
      <w:pPr>
        <w:spacing w:line="360" w:lineRule="auto"/>
        <w:jc w:val="left"/>
        <w:rPr>
          <w:rFonts w:hint="eastAsia" w:ascii="仿宋" w:hAnsi="仿宋" w:eastAsia="仿宋" w:cs="仿宋"/>
          <w:bCs/>
          <w:color w:val="auto"/>
          <w:sz w:val="30"/>
          <w:szCs w:val="30"/>
        </w:rPr>
      </w:pPr>
      <w:r>
        <w:rPr>
          <w:rFonts w:hint="eastAsia" w:ascii="仿宋" w:hAnsi="仿宋" w:eastAsia="仿宋" w:cs="仿宋"/>
          <w:color w:val="auto"/>
          <w:sz w:val="24"/>
          <w:szCs w:val="24"/>
        </w:rPr>
        <w:t>工程名称：                                                  第 页  共 页</w:t>
      </w:r>
    </w:p>
    <w:tbl>
      <w:tblPr>
        <w:tblStyle w:val="25"/>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34"/>
        <w:gridCol w:w="2020"/>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序号</w:t>
            </w:r>
          </w:p>
        </w:tc>
        <w:tc>
          <w:tcPr>
            <w:tcW w:w="3034"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汇总内容</w:t>
            </w:r>
          </w:p>
        </w:tc>
        <w:tc>
          <w:tcPr>
            <w:tcW w:w="2020"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金额（元）</w:t>
            </w:r>
          </w:p>
        </w:tc>
        <w:tc>
          <w:tcPr>
            <w:tcW w:w="3035"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其中：暂估价（元）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1</w:t>
            </w:r>
          </w:p>
        </w:tc>
        <w:tc>
          <w:tcPr>
            <w:tcW w:w="3034"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分部分项工程</w:t>
            </w: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1.1</w:t>
            </w:r>
          </w:p>
        </w:tc>
        <w:tc>
          <w:tcPr>
            <w:tcW w:w="3034" w:type="dxa"/>
            <w:noWrap w:val="0"/>
            <w:vAlign w:val="top"/>
          </w:tcPr>
          <w:p>
            <w:pPr>
              <w:spacing w:line="360" w:lineRule="auto"/>
              <w:rPr>
                <w:rFonts w:hint="eastAsia" w:ascii="仿宋" w:hAnsi="仿宋" w:eastAsia="仿宋" w:cs="仿宋"/>
                <w:color w:val="auto"/>
              </w:rPr>
            </w:pP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1.2</w:t>
            </w:r>
          </w:p>
        </w:tc>
        <w:tc>
          <w:tcPr>
            <w:tcW w:w="3034" w:type="dxa"/>
            <w:noWrap w:val="0"/>
            <w:vAlign w:val="top"/>
          </w:tcPr>
          <w:p>
            <w:pPr>
              <w:spacing w:line="360" w:lineRule="auto"/>
              <w:rPr>
                <w:rFonts w:hint="eastAsia" w:ascii="仿宋" w:hAnsi="仿宋" w:eastAsia="仿宋" w:cs="仿宋"/>
                <w:color w:val="auto"/>
              </w:rPr>
            </w:pP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1.3</w:t>
            </w:r>
          </w:p>
        </w:tc>
        <w:tc>
          <w:tcPr>
            <w:tcW w:w="3034" w:type="dxa"/>
            <w:noWrap w:val="0"/>
            <w:vAlign w:val="top"/>
          </w:tcPr>
          <w:p>
            <w:pPr>
              <w:spacing w:line="360" w:lineRule="auto"/>
              <w:rPr>
                <w:rFonts w:hint="eastAsia" w:ascii="仿宋" w:hAnsi="仿宋" w:eastAsia="仿宋" w:cs="仿宋"/>
                <w:color w:val="auto"/>
              </w:rPr>
            </w:pP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1.4</w:t>
            </w:r>
          </w:p>
        </w:tc>
        <w:tc>
          <w:tcPr>
            <w:tcW w:w="3034" w:type="dxa"/>
            <w:noWrap w:val="0"/>
            <w:vAlign w:val="top"/>
          </w:tcPr>
          <w:p>
            <w:pPr>
              <w:spacing w:line="360" w:lineRule="auto"/>
              <w:rPr>
                <w:rFonts w:hint="eastAsia" w:ascii="仿宋" w:hAnsi="仿宋" w:eastAsia="仿宋" w:cs="仿宋"/>
                <w:color w:val="auto"/>
              </w:rPr>
            </w:pP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1.5</w:t>
            </w:r>
          </w:p>
        </w:tc>
        <w:tc>
          <w:tcPr>
            <w:tcW w:w="3034" w:type="dxa"/>
            <w:noWrap w:val="0"/>
            <w:vAlign w:val="top"/>
          </w:tcPr>
          <w:p>
            <w:pPr>
              <w:spacing w:line="360" w:lineRule="auto"/>
              <w:rPr>
                <w:rFonts w:hint="eastAsia" w:ascii="仿宋" w:hAnsi="仿宋" w:eastAsia="仿宋" w:cs="仿宋"/>
                <w:color w:val="auto"/>
              </w:rPr>
            </w:pP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p>
        </w:tc>
        <w:tc>
          <w:tcPr>
            <w:tcW w:w="3034" w:type="dxa"/>
            <w:noWrap w:val="0"/>
            <w:vAlign w:val="top"/>
          </w:tcPr>
          <w:p>
            <w:pPr>
              <w:spacing w:line="360" w:lineRule="auto"/>
              <w:rPr>
                <w:rFonts w:hint="eastAsia" w:ascii="仿宋" w:hAnsi="仿宋" w:eastAsia="仿宋" w:cs="仿宋"/>
                <w:color w:val="auto"/>
              </w:rPr>
            </w:pP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p>
        </w:tc>
        <w:tc>
          <w:tcPr>
            <w:tcW w:w="3034" w:type="dxa"/>
            <w:noWrap w:val="0"/>
            <w:vAlign w:val="top"/>
          </w:tcPr>
          <w:p>
            <w:pPr>
              <w:spacing w:line="360" w:lineRule="auto"/>
              <w:rPr>
                <w:rFonts w:hint="eastAsia" w:ascii="仿宋" w:hAnsi="仿宋" w:eastAsia="仿宋" w:cs="仿宋"/>
                <w:color w:val="auto"/>
              </w:rPr>
            </w:pP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p>
        </w:tc>
        <w:tc>
          <w:tcPr>
            <w:tcW w:w="3034" w:type="dxa"/>
            <w:noWrap w:val="0"/>
            <w:vAlign w:val="top"/>
          </w:tcPr>
          <w:p>
            <w:pPr>
              <w:spacing w:line="360" w:lineRule="auto"/>
              <w:rPr>
                <w:rFonts w:hint="eastAsia" w:ascii="仿宋" w:hAnsi="仿宋" w:eastAsia="仿宋" w:cs="仿宋"/>
                <w:color w:val="auto"/>
              </w:rPr>
            </w:pP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2</w:t>
            </w:r>
          </w:p>
        </w:tc>
        <w:tc>
          <w:tcPr>
            <w:tcW w:w="3034"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措施项目</w:t>
            </w: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2.1</w:t>
            </w:r>
          </w:p>
        </w:tc>
        <w:tc>
          <w:tcPr>
            <w:tcW w:w="3034"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其中：安全文明施工费</w:t>
            </w: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3</w:t>
            </w:r>
          </w:p>
        </w:tc>
        <w:tc>
          <w:tcPr>
            <w:tcW w:w="3034"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其他项目</w:t>
            </w: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3.1</w:t>
            </w:r>
          </w:p>
        </w:tc>
        <w:tc>
          <w:tcPr>
            <w:tcW w:w="3034" w:type="dxa"/>
            <w:noWrap w:val="0"/>
            <w:vAlign w:val="top"/>
          </w:tcPr>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其中：暂列金额</w:t>
            </w:r>
          </w:p>
        </w:tc>
        <w:tc>
          <w:tcPr>
            <w:tcW w:w="2020" w:type="dxa"/>
            <w:noWrap w:val="0"/>
            <w:vAlign w:val="top"/>
          </w:tcPr>
          <w:p>
            <w:pPr>
              <w:spacing w:line="360" w:lineRule="auto"/>
              <w:jc w:val="center"/>
              <w:rPr>
                <w:rFonts w:hint="default" w:ascii="仿宋" w:hAnsi="仿宋" w:eastAsia="仿宋" w:cs="仿宋"/>
                <w:color w:val="auto"/>
                <w:highlight w:val="none"/>
                <w:lang w:val="en-US"/>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3.2</w:t>
            </w:r>
          </w:p>
        </w:tc>
        <w:tc>
          <w:tcPr>
            <w:tcW w:w="3034"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其中：专业工程暂估价</w:t>
            </w: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3.3</w:t>
            </w:r>
          </w:p>
        </w:tc>
        <w:tc>
          <w:tcPr>
            <w:tcW w:w="3034"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其中：计日工</w:t>
            </w: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3.4</w:t>
            </w:r>
          </w:p>
        </w:tc>
        <w:tc>
          <w:tcPr>
            <w:tcW w:w="3034"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其中：总承包服务费</w:t>
            </w: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4</w:t>
            </w:r>
          </w:p>
        </w:tc>
        <w:tc>
          <w:tcPr>
            <w:tcW w:w="3034"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规费</w:t>
            </w: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11"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5</w:t>
            </w:r>
          </w:p>
        </w:tc>
        <w:tc>
          <w:tcPr>
            <w:tcW w:w="3034" w:type="dxa"/>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税金</w:t>
            </w: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045" w:type="dxa"/>
            <w:gridSpan w:val="2"/>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合计：1+2+3+4+5</w:t>
            </w:r>
          </w:p>
        </w:tc>
        <w:tc>
          <w:tcPr>
            <w:tcW w:w="2020" w:type="dxa"/>
            <w:noWrap w:val="0"/>
            <w:vAlign w:val="top"/>
          </w:tcPr>
          <w:p>
            <w:pPr>
              <w:spacing w:line="360" w:lineRule="auto"/>
              <w:rPr>
                <w:rFonts w:hint="eastAsia" w:ascii="仿宋" w:hAnsi="仿宋" w:eastAsia="仿宋" w:cs="仿宋"/>
                <w:color w:val="auto"/>
              </w:rPr>
            </w:pPr>
          </w:p>
        </w:tc>
        <w:tc>
          <w:tcPr>
            <w:tcW w:w="3035" w:type="dxa"/>
            <w:noWrap w:val="0"/>
            <w:vAlign w:val="top"/>
          </w:tcPr>
          <w:p>
            <w:pPr>
              <w:spacing w:line="360" w:lineRule="auto"/>
              <w:rPr>
                <w:rFonts w:hint="eastAsia" w:ascii="仿宋" w:hAnsi="仿宋" w:eastAsia="仿宋" w:cs="仿宋"/>
                <w:color w:val="auto"/>
              </w:rPr>
            </w:pPr>
          </w:p>
        </w:tc>
      </w:tr>
    </w:tbl>
    <w:p>
      <w:pPr>
        <w:spacing w:line="360" w:lineRule="auto"/>
        <w:rPr>
          <w:rFonts w:hint="eastAsia" w:ascii="仿宋" w:hAnsi="仿宋" w:eastAsia="仿宋" w:cs="仿宋"/>
          <w:color w:val="auto"/>
          <w:sz w:val="24"/>
        </w:rPr>
      </w:pPr>
      <w:r>
        <w:rPr>
          <w:rFonts w:hint="eastAsia" w:ascii="仿宋" w:hAnsi="仿宋" w:eastAsia="仿宋" w:cs="仿宋"/>
          <w:color w:val="auto"/>
          <w:sz w:val="24"/>
        </w:rPr>
        <w:t>注：本表适用于单位工程投标报价汇总。如无单位工程划分，单项工程也使用本表汇总。</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pStyle w:val="12"/>
        <w:rPr>
          <w:rFonts w:hint="eastAsia" w:ascii="仿宋" w:hAnsi="仿宋" w:eastAsia="仿宋" w:cs="仿宋"/>
          <w:color w:val="auto"/>
          <w:sz w:val="24"/>
        </w:rPr>
      </w:pPr>
    </w:p>
    <w:p>
      <w:pPr>
        <w:pStyle w:val="12"/>
        <w:rPr>
          <w:rFonts w:hint="eastAsia" w:ascii="仿宋" w:hAnsi="仿宋" w:eastAsia="仿宋" w:cs="仿宋"/>
          <w:color w:val="auto"/>
          <w:sz w:val="24"/>
        </w:rPr>
      </w:pPr>
    </w:p>
    <w:p>
      <w:pPr>
        <w:spacing w:before="2" w:line="460" w:lineRule="atLeast"/>
        <w:jc w:val="center"/>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br w:type="page"/>
      </w:r>
      <w:r>
        <w:rPr>
          <w:rFonts w:hint="eastAsia" w:ascii="仿宋" w:hAnsi="仿宋" w:eastAsia="仿宋" w:cs="仿宋"/>
          <w:bCs/>
          <w:color w:val="auto"/>
          <w:sz w:val="30"/>
          <w:szCs w:val="30"/>
          <w:lang w:val="en-US" w:eastAsia="zh-CN"/>
        </w:rPr>
        <w:t>17、</w:t>
      </w:r>
      <w:r>
        <w:rPr>
          <w:rFonts w:hint="eastAsia" w:ascii="仿宋" w:hAnsi="仿宋" w:eastAsia="仿宋" w:cs="仿宋"/>
          <w:bCs/>
          <w:color w:val="auto"/>
          <w:sz w:val="30"/>
          <w:szCs w:val="30"/>
        </w:rPr>
        <w:t>分部分项工程和单价措施项目清单与计价表</w:t>
      </w:r>
    </w:p>
    <w:p>
      <w:pPr>
        <w:spacing w:before="2" w:line="460" w:lineRule="atLeast"/>
        <w:jc w:val="left"/>
        <w:rPr>
          <w:rFonts w:hint="eastAsia" w:ascii="仿宋" w:hAnsi="仿宋" w:eastAsia="仿宋" w:cs="仿宋"/>
          <w:bCs/>
          <w:color w:val="auto"/>
          <w:sz w:val="30"/>
          <w:szCs w:val="30"/>
        </w:rPr>
      </w:pPr>
      <w:r>
        <w:rPr>
          <w:rFonts w:hint="eastAsia" w:ascii="仿宋" w:hAnsi="仿宋" w:eastAsia="仿宋" w:cs="仿宋"/>
          <w:color w:val="auto"/>
          <w:sz w:val="24"/>
          <w:szCs w:val="24"/>
        </w:rPr>
        <w:t>工程名称：                                                    第 页  共 页</w:t>
      </w:r>
    </w:p>
    <w:tbl>
      <w:tblPr>
        <w:tblStyle w:val="25"/>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30"/>
        <w:gridCol w:w="1125"/>
        <w:gridCol w:w="1595"/>
        <w:gridCol w:w="1060"/>
        <w:gridCol w:w="870"/>
        <w:gridCol w:w="1110"/>
        <w:gridCol w:w="64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35"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序号</w:t>
            </w:r>
          </w:p>
        </w:tc>
        <w:tc>
          <w:tcPr>
            <w:tcW w:w="1230"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项目编号</w:t>
            </w:r>
          </w:p>
        </w:tc>
        <w:tc>
          <w:tcPr>
            <w:tcW w:w="1125"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项目名称</w:t>
            </w:r>
          </w:p>
        </w:tc>
        <w:tc>
          <w:tcPr>
            <w:tcW w:w="1595"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项目特征描述</w:t>
            </w:r>
          </w:p>
        </w:tc>
        <w:tc>
          <w:tcPr>
            <w:tcW w:w="1060"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计量单位</w:t>
            </w:r>
          </w:p>
        </w:tc>
        <w:tc>
          <w:tcPr>
            <w:tcW w:w="870" w:type="dxa"/>
            <w:vMerge w:val="restart"/>
            <w:noWrap w:val="0"/>
            <w:vAlign w:val="top"/>
          </w:tcPr>
          <w:p>
            <w:pPr>
              <w:spacing w:line="360" w:lineRule="auto"/>
              <w:jc w:val="center"/>
              <w:rPr>
                <w:rFonts w:hint="eastAsia" w:ascii="仿宋" w:hAnsi="仿宋" w:eastAsia="仿宋" w:cs="仿宋"/>
                <w:color w:val="auto"/>
              </w:rPr>
            </w:pPr>
          </w:p>
          <w:p>
            <w:pPr>
              <w:spacing w:line="360" w:lineRule="auto"/>
              <w:jc w:val="center"/>
              <w:rPr>
                <w:rFonts w:hint="eastAsia" w:ascii="仿宋" w:hAnsi="仿宋" w:eastAsia="仿宋" w:cs="仿宋"/>
                <w:color w:val="auto"/>
              </w:rPr>
            </w:pPr>
            <w:r>
              <w:rPr>
                <w:rFonts w:hint="eastAsia" w:ascii="仿宋" w:hAnsi="仿宋" w:eastAsia="仿宋" w:cs="仿宋"/>
                <w:color w:val="auto"/>
              </w:rPr>
              <w:t>工程量</w:t>
            </w:r>
          </w:p>
        </w:tc>
        <w:tc>
          <w:tcPr>
            <w:tcW w:w="2845" w:type="dxa"/>
            <w:gridSpan w:val="3"/>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735" w:type="dxa"/>
            <w:vMerge w:val="continue"/>
            <w:noWrap w:val="0"/>
            <w:vAlign w:val="top"/>
          </w:tcPr>
          <w:p>
            <w:pPr>
              <w:spacing w:line="360" w:lineRule="auto"/>
              <w:jc w:val="center"/>
              <w:rPr>
                <w:rFonts w:hint="eastAsia" w:ascii="仿宋" w:hAnsi="仿宋" w:eastAsia="仿宋" w:cs="仿宋"/>
                <w:color w:val="auto"/>
              </w:rPr>
            </w:pPr>
          </w:p>
        </w:tc>
        <w:tc>
          <w:tcPr>
            <w:tcW w:w="1230" w:type="dxa"/>
            <w:vMerge w:val="continue"/>
            <w:noWrap w:val="0"/>
            <w:vAlign w:val="top"/>
          </w:tcPr>
          <w:p>
            <w:pPr>
              <w:spacing w:line="360" w:lineRule="auto"/>
              <w:jc w:val="center"/>
              <w:rPr>
                <w:rFonts w:hint="eastAsia" w:ascii="仿宋" w:hAnsi="仿宋" w:eastAsia="仿宋" w:cs="仿宋"/>
                <w:color w:val="auto"/>
              </w:rPr>
            </w:pPr>
          </w:p>
        </w:tc>
        <w:tc>
          <w:tcPr>
            <w:tcW w:w="1125" w:type="dxa"/>
            <w:vMerge w:val="continue"/>
            <w:noWrap w:val="0"/>
            <w:vAlign w:val="top"/>
          </w:tcPr>
          <w:p>
            <w:pPr>
              <w:spacing w:line="360" w:lineRule="auto"/>
              <w:jc w:val="center"/>
              <w:rPr>
                <w:rFonts w:hint="eastAsia" w:ascii="仿宋" w:hAnsi="仿宋" w:eastAsia="仿宋" w:cs="仿宋"/>
                <w:color w:val="auto"/>
              </w:rPr>
            </w:pPr>
          </w:p>
        </w:tc>
        <w:tc>
          <w:tcPr>
            <w:tcW w:w="1595" w:type="dxa"/>
            <w:vMerge w:val="continue"/>
            <w:noWrap w:val="0"/>
            <w:vAlign w:val="top"/>
          </w:tcPr>
          <w:p>
            <w:pPr>
              <w:spacing w:line="360" w:lineRule="auto"/>
              <w:jc w:val="center"/>
              <w:rPr>
                <w:rFonts w:hint="eastAsia" w:ascii="仿宋" w:hAnsi="仿宋" w:eastAsia="仿宋" w:cs="仿宋"/>
                <w:color w:val="auto"/>
              </w:rPr>
            </w:pPr>
          </w:p>
        </w:tc>
        <w:tc>
          <w:tcPr>
            <w:tcW w:w="1060" w:type="dxa"/>
            <w:vMerge w:val="continue"/>
            <w:noWrap w:val="0"/>
            <w:vAlign w:val="top"/>
          </w:tcPr>
          <w:p>
            <w:pPr>
              <w:spacing w:line="360" w:lineRule="auto"/>
              <w:jc w:val="center"/>
              <w:rPr>
                <w:rFonts w:hint="eastAsia" w:ascii="仿宋" w:hAnsi="仿宋" w:eastAsia="仿宋" w:cs="仿宋"/>
                <w:color w:val="auto"/>
              </w:rPr>
            </w:pPr>
          </w:p>
        </w:tc>
        <w:tc>
          <w:tcPr>
            <w:tcW w:w="870" w:type="dxa"/>
            <w:vMerge w:val="continue"/>
            <w:noWrap w:val="0"/>
            <w:vAlign w:val="top"/>
          </w:tcPr>
          <w:p>
            <w:pPr>
              <w:spacing w:line="360" w:lineRule="auto"/>
              <w:jc w:val="center"/>
              <w:rPr>
                <w:rFonts w:hint="eastAsia" w:ascii="仿宋" w:hAnsi="仿宋" w:eastAsia="仿宋" w:cs="仿宋"/>
                <w:color w:val="auto"/>
              </w:rPr>
            </w:pPr>
          </w:p>
        </w:tc>
        <w:tc>
          <w:tcPr>
            <w:tcW w:w="1110"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综合单价</w:t>
            </w:r>
          </w:p>
        </w:tc>
        <w:tc>
          <w:tcPr>
            <w:tcW w:w="645"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合价</w:t>
            </w:r>
          </w:p>
        </w:tc>
        <w:tc>
          <w:tcPr>
            <w:tcW w:w="1090" w:type="dxa"/>
            <w:noWrap w:val="0"/>
            <w:vAlign w:val="top"/>
          </w:tcPr>
          <w:p>
            <w:pPr>
              <w:spacing w:line="360" w:lineRule="auto"/>
              <w:jc w:val="center"/>
              <w:rPr>
                <w:rFonts w:hint="eastAsia" w:ascii="仿宋" w:hAnsi="仿宋" w:eastAsia="仿宋" w:cs="仿宋"/>
                <w:color w:val="auto"/>
              </w:rPr>
            </w:pPr>
            <w:r>
              <w:rPr>
                <w:rFonts w:hint="eastAsia" w:ascii="仿宋" w:hAnsi="仿宋" w:eastAsia="仿宋" w:cs="仿宋"/>
                <w:color w:val="auto"/>
              </w:rPr>
              <w:t>其中：</w:t>
            </w:r>
          </w:p>
          <w:p>
            <w:pPr>
              <w:spacing w:line="360" w:lineRule="auto"/>
              <w:jc w:val="center"/>
              <w:rPr>
                <w:rFonts w:hint="eastAsia" w:ascii="仿宋" w:hAnsi="仿宋" w:eastAsia="仿宋" w:cs="仿宋"/>
                <w:color w:val="auto"/>
              </w:rPr>
            </w:pPr>
            <w:r>
              <w:rPr>
                <w:rFonts w:hint="eastAsia" w:ascii="仿宋" w:hAnsi="仿宋" w:eastAsia="仿宋" w:cs="仿宋"/>
                <w:color w:val="auto"/>
              </w:rPr>
              <w:t>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5" w:hRule="atLeast"/>
        </w:trPr>
        <w:tc>
          <w:tcPr>
            <w:tcW w:w="735" w:type="dxa"/>
            <w:noWrap w:val="0"/>
            <w:vAlign w:val="top"/>
          </w:tcPr>
          <w:p>
            <w:pPr>
              <w:spacing w:line="360" w:lineRule="auto"/>
              <w:rPr>
                <w:rFonts w:hint="eastAsia" w:ascii="仿宋" w:hAnsi="仿宋" w:eastAsia="仿宋" w:cs="仿宋"/>
                <w:color w:val="auto"/>
                <w:sz w:val="24"/>
              </w:rPr>
            </w:pPr>
          </w:p>
        </w:tc>
        <w:tc>
          <w:tcPr>
            <w:tcW w:w="1230" w:type="dxa"/>
            <w:noWrap w:val="0"/>
            <w:vAlign w:val="top"/>
          </w:tcPr>
          <w:p>
            <w:pPr>
              <w:spacing w:line="360" w:lineRule="auto"/>
              <w:rPr>
                <w:rFonts w:hint="eastAsia" w:ascii="仿宋" w:hAnsi="仿宋" w:eastAsia="仿宋" w:cs="仿宋"/>
                <w:color w:val="auto"/>
                <w:sz w:val="24"/>
              </w:rPr>
            </w:pPr>
          </w:p>
        </w:tc>
        <w:tc>
          <w:tcPr>
            <w:tcW w:w="1125" w:type="dxa"/>
            <w:noWrap w:val="0"/>
            <w:vAlign w:val="top"/>
          </w:tcPr>
          <w:p>
            <w:pPr>
              <w:spacing w:line="360" w:lineRule="auto"/>
              <w:rPr>
                <w:rFonts w:hint="eastAsia" w:ascii="仿宋" w:hAnsi="仿宋" w:eastAsia="仿宋" w:cs="仿宋"/>
                <w:color w:val="auto"/>
                <w:sz w:val="24"/>
              </w:rPr>
            </w:pPr>
          </w:p>
        </w:tc>
        <w:tc>
          <w:tcPr>
            <w:tcW w:w="1595" w:type="dxa"/>
            <w:noWrap w:val="0"/>
            <w:vAlign w:val="top"/>
          </w:tcPr>
          <w:p>
            <w:pPr>
              <w:spacing w:line="360" w:lineRule="auto"/>
              <w:rPr>
                <w:rFonts w:hint="eastAsia" w:ascii="仿宋" w:hAnsi="仿宋" w:eastAsia="仿宋" w:cs="仿宋"/>
                <w:color w:val="auto"/>
                <w:sz w:val="24"/>
              </w:rPr>
            </w:pPr>
          </w:p>
        </w:tc>
        <w:tc>
          <w:tcPr>
            <w:tcW w:w="1060" w:type="dxa"/>
            <w:noWrap w:val="0"/>
            <w:vAlign w:val="top"/>
          </w:tcPr>
          <w:p>
            <w:pPr>
              <w:spacing w:line="360" w:lineRule="auto"/>
              <w:rPr>
                <w:rFonts w:hint="eastAsia" w:ascii="仿宋" w:hAnsi="仿宋" w:eastAsia="仿宋" w:cs="仿宋"/>
                <w:color w:val="auto"/>
                <w:sz w:val="24"/>
              </w:rPr>
            </w:pPr>
          </w:p>
        </w:tc>
        <w:tc>
          <w:tcPr>
            <w:tcW w:w="870" w:type="dxa"/>
            <w:noWrap w:val="0"/>
            <w:vAlign w:val="top"/>
          </w:tcPr>
          <w:p>
            <w:pPr>
              <w:spacing w:line="360" w:lineRule="auto"/>
              <w:rPr>
                <w:rFonts w:hint="eastAsia" w:ascii="仿宋" w:hAnsi="仿宋" w:eastAsia="仿宋" w:cs="仿宋"/>
                <w:color w:val="auto"/>
                <w:sz w:val="24"/>
              </w:rPr>
            </w:pPr>
          </w:p>
        </w:tc>
        <w:tc>
          <w:tcPr>
            <w:tcW w:w="1110" w:type="dxa"/>
            <w:noWrap w:val="0"/>
            <w:vAlign w:val="top"/>
          </w:tcPr>
          <w:p>
            <w:pPr>
              <w:spacing w:line="360" w:lineRule="auto"/>
              <w:rPr>
                <w:rFonts w:hint="eastAsia" w:ascii="仿宋" w:hAnsi="仿宋" w:eastAsia="仿宋" w:cs="仿宋"/>
                <w:color w:val="auto"/>
                <w:sz w:val="24"/>
              </w:rPr>
            </w:pPr>
          </w:p>
        </w:tc>
        <w:tc>
          <w:tcPr>
            <w:tcW w:w="645" w:type="dxa"/>
            <w:noWrap w:val="0"/>
            <w:vAlign w:val="top"/>
          </w:tcPr>
          <w:p>
            <w:pPr>
              <w:spacing w:line="360" w:lineRule="auto"/>
              <w:rPr>
                <w:rFonts w:hint="eastAsia" w:ascii="仿宋" w:hAnsi="仿宋" w:eastAsia="仿宋" w:cs="仿宋"/>
                <w:color w:val="auto"/>
                <w:sz w:val="24"/>
              </w:rPr>
            </w:pPr>
          </w:p>
        </w:tc>
        <w:tc>
          <w:tcPr>
            <w:tcW w:w="1090" w:type="dxa"/>
            <w:noWrap w:val="0"/>
            <w:vAlign w:val="top"/>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15" w:type="dxa"/>
            <w:gridSpan w:val="6"/>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本页小计</w:t>
            </w:r>
          </w:p>
        </w:tc>
        <w:tc>
          <w:tcPr>
            <w:tcW w:w="1110" w:type="dxa"/>
            <w:noWrap w:val="0"/>
            <w:vAlign w:val="top"/>
          </w:tcPr>
          <w:p>
            <w:pPr>
              <w:spacing w:line="360" w:lineRule="auto"/>
              <w:rPr>
                <w:rFonts w:hint="eastAsia" w:ascii="仿宋" w:hAnsi="仿宋" w:eastAsia="仿宋" w:cs="仿宋"/>
                <w:color w:val="auto"/>
                <w:sz w:val="24"/>
              </w:rPr>
            </w:pPr>
          </w:p>
        </w:tc>
        <w:tc>
          <w:tcPr>
            <w:tcW w:w="645" w:type="dxa"/>
            <w:noWrap w:val="0"/>
            <w:vAlign w:val="top"/>
          </w:tcPr>
          <w:p>
            <w:pPr>
              <w:spacing w:line="360" w:lineRule="auto"/>
              <w:rPr>
                <w:rFonts w:hint="eastAsia" w:ascii="仿宋" w:hAnsi="仿宋" w:eastAsia="仿宋" w:cs="仿宋"/>
                <w:color w:val="auto"/>
                <w:sz w:val="24"/>
              </w:rPr>
            </w:pPr>
          </w:p>
        </w:tc>
        <w:tc>
          <w:tcPr>
            <w:tcW w:w="1090" w:type="dxa"/>
            <w:noWrap w:val="0"/>
            <w:vAlign w:val="top"/>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615" w:type="dxa"/>
            <w:gridSpan w:val="6"/>
            <w:noWrap w:val="0"/>
            <w:vAlign w:val="top"/>
          </w:tcPr>
          <w:p>
            <w:pPr>
              <w:spacing w:line="360" w:lineRule="auto"/>
              <w:rPr>
                <w:rFonts w:hint="eastAsia" w:ascii="仿宋" w:hAnsi="仿宋" w:eastAsia="仿宋" w:cs="仿宋"/>
                <w:color w:val="auto"/>
              </w:rPr>
            </w:pPr>
            <w:r>
              <w:rPr>
                <w:rFonts w:hint="eastAsia" w:ascii="仿宋" w:hAnsi="仿宋" w:eastAsia="仿宋" w:cs="仿宋"/>
                <w:color w:val="auto"/>
              </w:rPr>
              <w:t>合价</w:t>
            </w:r>
          </w:p>
        </w:tc>
        <w:tc>
          <w:tcPr>
            <w:tcW w:w="1110" w:type="dxa"/>
            <w:noWrap w:val="0"/>
            <w:vAlign w:val="top"/>
          </w:tcPr>
          <w:p>
            <w:pPr>
              <w:spacing w:line="360" w:lineRule="auto"/>
              <w:rPr>
                <w:rFonts w:hint="eastAsia" w:ascii="仿宋" w:hAnsi="仿宋" w:eastAsia="仿宋" w:cs="仿宋"/>
                <w:color w:val="auto"/>
                <w:sz w:val="24"/>
              </w:rPr>
            </w:pPr>
          </w:p>
        </w:tc>
        <w:tc>
          <w:tcPr>
            <w:tcW w:w="645" w:type="dxa"/>
            <w:noWrap w:val="0"/>
            <w:vAlign w:val="top"/>
          </w:tcPr>
          <w:p>
            <w:pPr>
              <w:spacing w:line="360" w:lineRule="auto"/>
              <w:rPr>
                <w:rFonts w:hint="eastAsia" w:ascii="仿宋" w:hAnsi="仿宋" w:eastAsia="仿宋" w:cs="仿宋"/>
                <w:color w:val="auto"/>
                <w:sz w:val="24"/>
              </w:rPr>
            </w:pPr>
          </w:p>
        </w:tc>
        <w:tc>
          <w:tcPr>
            <w:tcW w:w="1090" w:type="dxa"/>
            <w:noWrap w:val="0"/>
            <w:vAlign w:val="top"/>
          </w:tcPr>
          <w:p>
            <w:pPr>
              <w:spacing w:line="360" w:lineRule="auto"/>
              <w:rPr>
                <w:rFonts w:hint="eastAsia" w:ascii="仿宋" w:hAnsi="仿宋" w:eastAsia="仿宋" w:cs="仿宋"/>
                <w:color w:val="auto"/>
                <w:sz w:val="24"/>
              </w:rPr>
            </w:pPr>
          </w:p>
        </w:tc>
      </w:tr>
    </w:tbl>
    <w:p>
      <w:pPr>
        <w:spacing w:line="360" w:lineRule="auto"/>
        <w:jc w:val="left"/>
        <w:rPr>
          <w:rFonts w:hint="eastAsia" w:ascii="仿宋" w:hAnsi="仿宋" w:eastAsia="仿宋" w:cs="仿宋"/>
          <w:color w:val="auto"/>
        </w:rPr>
      </w:pPr>
      <w:r>
        <w:rPr>
          <w:rFonts w:hint="eastAsia" w:ascii="仿宋" w:hAnsi="仿宋" w:eastAsia="仿宋" w:cs="仿宋"/>
          <w:color w:val="auto"/>
        </w:rPr>
        <w:t>注：为计取规费等的使用，可在表中增设其中：“定额人工费”。</w:t>
      </w:r>
    </w:p>
    <w:p>
      <w:pPr>
        <w:spacing w:line="360" w:lineRule="auto"/>
        <w:jc w:val="left"/>
        <w:rPr>
          <w:rFonts w:hint="eastAsia" w:ascii="仿宋" w:hAnsi="仿宋" w:eastAsia="仿宋" w:cs="仿宋"/>
          <w:color w:val="auto"/>
        </w:rPr>
      </w:pPr>
    </w:p>
    <w:p>
      <w:pPr>
        <w:spacing w:line="360" w:lineRule="auto"/>
        <w:jc w:val="left"/>
        <w:rPr>
          <w:rFonts w:hint="eastAsia" w:ascii="仿宋" w:hAnsi="仿宋" w:eastAsia="仿宋" w:cs="仿宋"/>
          <w:color w:val="auto"/>
        </w:rPr>
      </w:pPr>
    </w:p>
    <w:p>
      <w:pPr>
        <w:pStyle w:val="12"/>
        <w:rPr>
          <w:rFonts w:hint="eastAsia" w:ascii="仿宋" w:hAnsi="仿宋" w:eastAsia="仿宋" w:cs="仿宋"/>
          <w:color w:val="auto"/>
        </w:rPr>
      </w:pPr>
    </w:p>
    <w:p>
      <w:pPr>
        <w:numPr>
          <w:ilvl w:val="0"/>
          <w:numId w:val="0"/>
        </w:numPr>
        <w:tabs>
          <w:tab w:val="left" w:pos="4100"/>
        </w:tabs>
        <w:spacing w:line="460" w:lineRule="atLeast"/>
        <w:ind w:right="-20" w:righ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r>
        <w:rPr>
          <w:rFonts w:hint="eastAsia" w:ascii="仿宋" w:hAnsi="仿宋" w:eastAsia="仿宋" w:cs="仿宋"/>
          <w:bCs/>
          <w:color w:val="auto"/>
          <w:sz w:val="30"/>
          <w:szCs w:val="30"/>
          <w:lang w:val="en-US" w:eastAsia="zh-CN"/>
        </w:rPr>
        <w:t>18、</w:t>
      </w:r>
      <w:r>
        <w:rPr>
          <w:rFonts w:hint="eastAsia" w:ascii="仿宋" w:hAnsi="仿宋" w:eastAsia="仿宋" w:cs="仿宋"/>
          <w:bCs/>
          <w:color w:val="auto"/>
          <w:sz w:val="30"/>
          <w:szCs w:val="30"/>
        </w:rPr>
        <w:t>综合单价分析表（可以横向编制）</w:t>
      </w:r>
    </w:p>
    <w:p>
      <w:pPr>
        <w:spacing w:before="2" w:line="460" w:lineRule="atLeast"/>
        <w:jc w:val="left"/>
        <w:rPr>
          <w:rFonts w:hint="eastAsia" w:ascii="仿宋" w:hAnsi="仿宋" w:eastAsia="仿宋" w:cs="仿宋"/>
          <w:bCs/>
          <w:color w:val="auto"/>
          <w:sz w:val="30"/>
          <w:szCs w:val="30"/>
        </w:rPr>
      </w:pPr>
      <w:r>
        <w:rPr>
          <w:rFonts w:hint="eastAsia" w:ascii="仿宋" w:hAnsi="仿宋" w:eastAsia="仿宋" w:cs="仿宋"/>
          <w:color w:val="auto"/>
          <w:sz w:val="24"/>
          <w:szCs w:val="24"/>
        </w:rPr>
        <w:t>工程名称：                                                       第 页  共 页</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05"/>
        <w:gridCol w:w="642"/>
        <w:gridCol w:w="91"/>
        <w:gridCol w:w="569"/>
        <w:gridCol w:w="380"/>
        <w:gridCol w:w="396"/>
        <w:gridCol w:w="46"/>
        <w:gridCol w:w="336"/>
        <w:gridCol w:w="91"/>
        <w:gridCol w:w="305"/>
        <w:gridCol w:w="380"/>
        <w:gridCol w:w="148"/>
        <w:gridCol w:w="568"/>
        <w:gridCol w:w="184"/>
        <w:gridCol w:w="568"/>
        <w:gridCol w:w="208"/>
        <w:gridCol w:w="166"/>
        <w:gridCol w:w="201"/>
        <w:gridCol w:w="8"/>
        <w:gridCol w:w="647"/>
        <w:gridCol w:w="179"/>
        <w:gridCol w:w="105"/>
        <w:gridCol w:w="659"/>
        <w:gridCol w:w="137"/>
        <w:gridCol w:w="317"/>
        <w:gridCol w:w="365"/>
        <w:gridCol w:w="133"/>
        <w:gridCol w:w="205"/>
        <w:gridCol w:w="27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51" w:type="dxa"/>
            <w:gridSpan w:val="4"/>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项目编号</w:t>
            </w:r>
          </w:p>
        </w:tc>
        <w:tc>
          <w:tcPr>
            <w:tcW w:w="1391" w:type="dxa"/>
            <w:gridSpan w:val="4"/>
            <w:noWrap w:val="0"/>
            <w:vAlign w:val="top"/>
          </w:tcPr>
          <w:p>
            <w:pPr>
              <w:spacing w:line="360" w:lineRule="auto"/>
              <w:rPr>
                <w:rFonts w:hint="eastAsia" w:ascii="仿宋" w:hAnsi="仿宋" w:eastAsia="仿宋" w:cs="仿宋"/>
                <w:bCs/>
                <w:color w:val="auto"/>
                <w:szCs w:val="30"/>
              </w:rPr>
            </w:pPr>
          </w:p>
        </w:tc>
        <w:tc>
          <w:tcPr>
            <w:tcW w:w="1260" w:type="dxa"/>
            <w:gridSpan w:val="5"/>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项目名称</w:t>
            </w:r>
          </w:p>
        </w:tc>
        <w:tc>
          <w:tcPr>
            <w:tcW w:w="1320" w:type="dxa"/>
            <w:gridSpan w:val="3"/>
            <w:noWrap w:val="0"/>
            <w:vAlign w:val="top"/>
          </w:tcPr>
          <w:p>
            <w:pPr>
              <w:spacing w:line="360" w:lineRule="auto"/>
              <w:rPr>
                <w:rFonts w:hint="eastAsia" w:ascii="仿宋" w:hAnsi="仿宋" w:eastAsia="仿宋" w:cs="仿宋"/>
                <w:bCs/>
                <w:color w:val="auto"/>
                <w:szCs w:val="30"/>
              </w:rPr>
            </w:pPr>
          </w:p>
        </w:tc>
        <w:tc>
          <w:tcPr>
            <w:tcW w:w="1230" w:type="dxa"/>
            <w:gridSpan w:val="5"/>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计量单位</w:t>
            </w:r>
          </w:p>
        </w:tc>
        <w:tc>
          <w:tcPr>
            <w:tcW w:w="1080" w:type="dxa"/>
            <w:gridSpan w:val="4"/>
            <w:noWrap w:val="0"/>
            <w:vAlign w:val="top"/>
          </w:tcPr>
          <w:p>
            <w:pPr>
              <w:spacing w:line="360" w:lineRule="auto"/>
              <w:rPr>
                <w:rFonts w:hint="eastAsia" w:ascii="仿宋" w:hAnsi="仿宋" w:eastAsia="仿宋" w:cs="仿宋"/>
                <w:bCs/>
                <w:color w:val="auto"/>
                <w:szCs w:val="30"/>
              </w:rPr>
            </w:pPr>
          </w:p>
        </w:tc>
        <w:tc>
          <w:tcPr>
            <w:tcW w:w="1020" w:type="dxa"/>
            <w:gridSpan w:val="4"/>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工程量</w:t>
            </w:r>
          </w:p>
        </w:tc>
        <w:tc>
          <w:tcPr>
            <w:tcW w:w="1188" w:type="dxa"/>
            <w:gridSpan w:val="2"/>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40" w:type="dxa"/>
            <w:gridSpan w:val="31"/>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清单综合单价组成明细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718" w:type="dxa"/>
            <w:gridSpan w:val="2"/>
            <w:vMerge w:val="restart"/>
            <w:noWrap w:val="0"/>
            <w:vAlign w:val="top"/>
          </w:tcPr>
          <w:p>
            <w:pPr>
              <w:spacing w:line="360" w:lineRule="auto"/>
              <w:jc w:val="center"/>
              <w:rPr>
                <w:rFonts w:hint="eastAsia" w:ascii="仿宋" w:hAnsi="仿宋" w:eastAsia="仿宋" w:cs="仿宋"/>
                <w:bCs/>
                <w:color w:val="auto"/>
                <w:szCs w:val="30"/>
              </w:rPr>
            </w:pPr>
          </w:p>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定额编号</w:t>
            </w:r>
          </w:p>
        </w:tc>
        <w:tc>
          <w:tcPr>
            <w:tcW w:w="642" w:type="dxa"/>
            <w:vMerge w:val="restart"/>
            <w:noWrap w:val="0"/>
            <w:vAlign w:val="top"/>
          </w:tcPr>
          <w:p>
            <w:pPr>
              <w:spacing w:line="360" w:lineRule="auto"/>
              <w:jc w:val="center"/>
              <w:rPr>
                <w:rFonts w:hint="eastAsia" w:ascii="仿宋" w:hAnsi="仿宋" w:eastAsia="仿宋" w:cs="仿宋"/>
                <w:bCs/>
                <w:color w:val="auto"/>
                <w:szCs w:val="30"/>
              </w:rPr>
            </w:pPr>
          </w:p>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定额名称</w:t>
            </w:r>
          </w:p>
        </w:tc>
        <w:tc>
          <w:tcPr>
            <w:tcW w:w="660" w:type="dxa"/>
            <w:gridSpan w:val="2"/>
            <w:vMerge w:val="restart"/>
            <w:noWrap w:val="0"/>
            <w:vAlign w:val="top"/>
          </w:tcPr>
          <w:p>
            <w:pPr>
              <w:spacing w:line="360" w:lineRule="auto"/>
              <w:jc w:val="center"/>
              <w:rPr>
                <w:rFonts w:hint="eastAsia" w:ascii="仿宋" w:hAnsi="仿宋" w:eastAsia="仿宋" w:cs="仿宋"/>
                <w:bCs/>
                <w:color w:val="auto"/>
                <w:szCs w:val="30"/>
              </w:rPr>
            </w:pPr>
          </w:p>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定额单位</w:t>
            </w:r>
          </w:p>
        </w:tc>
        <w:tc>
          <w:tcPr>
            <w:tcW w:w="380" w:type="dxa"/>
            <w:vMerge w:val="restart"/>
            <w:noWrap w:val="0"/>
            <w:vAlign w:val="top"/>
          </w:tcPr>
          <w:p>
            <w:pPr>
              <w:spacing w:line="360" w:lineRule="auto"/>
              <w:rPr>
                <w:rFonts w:hint="eastAsia" w:ascii="仿宋" w:hAnsi="仿宋" w:eastAsia="仿宋" w:cs="仿宋"/>
                <w:bCs/>
                <w:color w:val="auto"/>
                <w:szCs w:val="30"/>
              </w:rPr>
            </w:pPr>
          </w:p>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数</w:t>
            </w:r>
          </w:p>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量</w:t>
            </w:r>
          </w:p>
        </w:tc>
        <w:tc>
          <w:tcPr>
            <w:tcW w:w="5195" w:type="dxa"/>
            <w:gridSpan w:val="18"/>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单价</w:t>
            </w:r>
          </w:p>
        </w:tc>
        <w:tc>
          <w:tcPr>
            <w:tcW w:w="2345" w:type="dxa"/>
            <w:gridSpan w:val="7"/>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8" w:type="dxa"/>
            <w:gridSpan w:val="2"/>
            <w:vMerge w:val="continue"/>
            <w:noWrap w:val="0"/>
            <w:vAlign w:val="top"/>
          </w:tcPr>
          <w:p>
            <w:pPr>
              <w:spacing w:line="360" w:lineRule="auto"/>
              <w:rPr>
                <w:rFonts w:hint="eastAsia" w:ascii="仿宋" w:hAnsi="仿宋" w:eastAsia="仿宋" w:cs="仿宋"/>
                <w:bCs/>
                <w:color w:val="auto"/>
                <w:szCs w:val="30"/>
              </w:rPr>
            </w:pPr>
          </w:p>
        </w:tc>
        <w:tc>
          <w:tcPr>
            <w:tcW w:w="642" w:type="dxa"/>
            <w:vMerge w:val="continue"/>
            <w:noWrap w:val="0"/>
            <w:vAlign w:val="top"/>
          </w:tcPr>
          <w:p>
            <w:pPr>
              <w:spacing w:line="360" w:lineRule="auto"/>
              <w:rPr>
                <w:rFonts w:hint="eastAsia" w:ascii="仿宋" w:hAnsi="仿宋" w:eastAsia="仿宋" w:cs="仿宋"/>
                <w:bCs/>
                <w:color w:val="auto"/>
                <w:szCs w:val="30"/>
              </w:rPr>
            </w:pPr>
          </w:p>
        </w:tc>
        <w:tc>
          <w:tcPr>
            <w:tcW w:w="660" w:type="dxa"/>
            <w:gridSpan w:val="2"/>
            <w:vMerge w:val="continue"/>
            <w:noWrap w:val="0"/>
            <w:vAlign w:val="top"/>
          </w:tcPr>
          <w:p>
            <w:pPr>
              <w:spacing w:line="360" w:lineRule="auto"/>
              <w:rPr>
                <w:rFonts w:hint="eastAsia" w:ascii="仿宋" w:hAnsi="仿宋" w:eastAsia="仿宋" w:cs="仿宋"/>
                <w:bCs/>
                <w:color w:val="auto"/>
                <w:szCs w:val="30"/>
              </w:rPr>
            </w:pPr>
          </w:p>
        </w:tc>
        <w:tc>
          <w:tcPr>
            <w:tcW w:w="380" w:type="dxa"/>
            <w:vMerge w:val="continue"/>
            <w:noWrap w:val="0"/>
            <w:vAlign w:val="top"/>
          </w:tcPr>
          <w:p>
            <w:pPr>
              <w:spacing w:line="360" w:lineRule="auto"/>
              <w:rPr>
                <w:rFonts w:hint="eastAsia" w:ascii="仿宋" w:hAnsi="仿宋" w:eastAsia="仿宋" w:cs="仿宋"/>
                <w:bCs/>
                <w:color w:val="auto"/>
                <w:szCs w:val="30"/>
              </w:rPr>
            </w:pPr>
          </w:p>
        </w:tc>
        <w:tc>
          <w:tcPr>
            <w:tcW w:w="396" w:type="dxa"/>
            <w:vMerge w:val="restart"/>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人工费</w:t>
            </w:r>
          </w:p>
        </w:tc>
        <w:tc>
          <w:tcPr>
            <w:tcW w:w="382" w:type="dxa"/>
            <w:gridSpan w:val="2"/>
            <w:vMerge w:val="restart"/>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材料费</w:t>
            </w:r>
          </w:p>
        </w:tc>
        <w:tc>
          <w:tcPr>
            <w:tcW w:w="396" w:type="dxa"/>
            <w:gridSpan w:val="2"/>
            <w:vMerge w:val="restart"/>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机械费</w:t>
            </w:r>
          </w:p>
        </w:tc>
        <w:tc>
          <w:tcPr>
            <w:tcW w:w="380" w:type="dxa"/>
            <w:vMerge w:val="restart"/>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管理费</w:t>
            </w:r>
          </w:p>
        </w:tc>
        <w:tc>
          <w:tcPr>
            <w:tcW w:w="1676" w:type="dxa"/>
            <w:gridSpan w:val="5"/>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管理费分析</w:t>
            </w:r>
          </w:p>
        </w:tc>
        <w:tc>
          <w:tcPr>
            <w:tcW w:w="367" w:type="dxa"/>
            <w:gridSpan w:val="2"/>
            <w:vMerge w:val="restart"/>
            <w:noWrap w:val="0"/>
            <w:vAlign w:val="top"/>
          </w:tcPr>
          <w:p>
            <w:pPr>
              <w:spacing w:line="360" w:lineRule="auto"/>
              <w:rPr>
                <w:rFonts w:hint="eastAsia" w:ascii="仿宋" w:hAnsi="仿宋" w:eastAsia="仿宋" w:cs="仿宋"/>
                <w:bCs/>
                <w:color w:val="auto"/>
                <w:szCs w:val="30"/>
              </w:rPr>
            </w:pPr>
          </w:p>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利润</w:t>
            </w:r>
          </w:p>
        </w:tc>
        <w:tc>
          <w:tcPr>
            <w:tcW w:w="1598" w:type="dxa"/>
            <w:gridSpan w:val="5"/>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利润分析</w:t>
            </w:r>
          </w:p>
        </w:tc>
        <w:tc>
          <w:tcPr>
            <w:tcW w:w="454" w:type="dxa"/>
            <w:gridSpan w:val="2"/>
            <w:vMerge w:val="restart"/>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人工费</w:t>
            </w:r>
          </w:p>
        </w:tc>
        <w:tc>
          <w:tcPr>
            <w:tcW w:w="498" w:type="dxa"/>
            <w:gridSpan w:val="2"/>
            <w:vMerge w:val="restart"/>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材料费</w:t>
            </w:r>
          </w:p>
        </w:tc>
        <w:tc>
          <w:tcPr>
            <w:tcW w:w="484" w:type="dxa"/>
            <w:gridSpan w:val="2"/>
            <w:vMerge w:val="restart"/>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机械费</w:t>
            </w:r>
          </w:p>
        </w:tc>
        <w:tc>
          <w:tcPr>
            <w:tcW w:w="909" w:type="dxa"/>
            <w:vMerge w:val="restart"/>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管理费和利润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18" w:type="dxa"/>
            <w:gridSpan w:val="2"/>
            <w:vMerge w:val="continue"/>
            <w:noWrap w:val="0"/>
            <w:vAlign w:val="top"/>
          </w:tcPr>
          <w:p>
            <w:pPr>
              <w:spacing w:line="360" w:lineRule="auto"/>
              <w:rPr>
                <w:rFonts w:hint="eastAsia" w:ascii="仿宋" w:hAnsi="仿宋" w:eastAsia="仿宋" w:cs="仿宋"/>
                <w:bCs/>
                <w:color w:val="auto"/>
                <w:szCs w:val="30"/>
              </w:rPr>
            </w:pPr>
          </w:p>
        </w:tc>
        <w:tc>
          <w:tcPr>
            <w:tcW w:w="642" w:type="dxa"/>
            <w:vMerge w:val="continue"/>
            <w:noWrap w:val="0"/>
            <w:vAlign w:val="top"/>
          </w:tcPr>
          <w:p>
            <w:pPr>
              <w:spacing w:line="360" w:lineRule="auto"/>
              <w:rPr>
                <w:rFonts w:hint="eastAsia" w:ascii="仿宋" w:hAnsi="仿宋" w:eastAsia="仿宋" w:cs="仿宋"/>
                <w:bCs/>
                <w:color w:val="auto"/>
                <w:szCs w:val="30"/>
              </w:rPr>
            </w:pPr>
          </w:p>
        </w:tc>
        <w:tc>
          <w:tcPr>
            <w:tcW w:w="660" w:type="dxa"/>
            <w:gridSpan w:val="2"/>
            <w:vMerge w:val="continue"/>
            <w:noWrap w:val="0"/>
            <w:vAlign w:val="top"/>
          </w:tcPr>
          <w:p>
            <w:pPr>
              <w:spacing w:line="360" w:lineRule="auto"/>
              <w:rPr>
                <w:rFonts w:hint="eastAsia" w:ascii="仿宋" w:hAnsi="仿宋" w:eastAsia="仿宋" w:cs="仿宋"/>
                <w:bCs/>
                <w:color w:val="auto"/>
                <w:szCs w:val="30"/>
              </w:rPr>
            </w:pPr>
          </w:p>
        </w:tc>
        <w:tc>
          <w:tcPr>
            <w:tcW w:w="380" w:type="dxa"/>
            <w:vMerge w:val="continue"/>
            <w:noWrap w:val="0"/>
            <w:vAlign w:val="top"/>
          </w:tcPr>
          <w:p>
            <w:pPr>
              <w:spacing w:line="360" w:lineRule="auto"/>
              <w:rPr>
                <w:rFonts w:hint="eastAsia" w:ascii="仿宋" w:hAnsi="仿宋" w:eastAsia="仿宋" w:cs="仿宋"/>
                <w:bCs/>
                <w:color w:val="auto"/>
                <w:szCs w:val="30"/>
              </w:rPr>
            </w:pPr>
          </w:p>
        </w:tc>
        <w:tc>
          <w:tcPr>
            <w:tcW w:w="396" w:type="dxa"/>
            <w:vMerge w:val="continue"/>
            <w:noWrap w:val="0"/>
            <w:vAlign w:val="top"/>
          </w:tcPr>
          <w:p>
            <w:pPr>
              <w:spacing w:line="360" w:lineRule="auto"/>
              <w:rPr>
                <w:rFonts w:hint="eastAsia" w:ascii="仿宋" w:hAnsi="仿宋" w:eastAsia="仿宋" w:cs="仿宋"/>
                <w:bCs/>
                <w:color w:val="auto"/>
                <w:szCs w:val="30"/>
              </w:rPr>
            </w:pPr>
          </w:p>
        </w:tc>
        <w:tc>
          <w:tcPr>
            <w:tcW w:w="382" w:type="dxa"/>
            <w:gridSpan w:val="2"/>
            <w:vMerge w:val="continue"/>
            <w:noWrap w:val="0"/>
            <w:vAlign w:val="top"/>
          </w:tcPr>
          <w:p>
            <w:pPr>
              <w:spacing w:line="360" w:lineRule="auto"/>
              <w:rPr>
                <w:rFonts w:hint="eastAsia" w:ascii="仿宋" w:hAnsi="仿宋" w:eastAsia="仿宋" w:cs="仿宋"/>
                <w:bCs/>
                <w:color w:val="auto"/>
                <w:szCs w:val="30"/>
              </w:rPr>
            </w:pPr>
          </w:p>
        </w:tc>
        <w:tc>
          <w:tcPr>
            <w:tcW w:w="396" w:type="dxa"/>
            <w:gridSpan w:val="2"/>
            <w:vMerge w:val="continue"/>
            <w:noWrap w:val="0"/>
            <w:vAlign w:val="top"/>
          </w:tcPr>
          <w:p>
            <w:pPr>
              <w:spacing w:line="360" w:lineRule="auto"/>
              <w:rPr>
                <w:rFonts w:hint="eastAsia" w:ascii="仿宋" w:hAnsi="仿宋" w:eastAsia="仿宋" w:cs="仿宋"/>
                <w:bCs/>
                <w:color w:val="auto"/>
                <w:szCs w:val="30"/>
              </w:rPr>
            </w:pPr>
          </w:p>
        </w:tc>
        <w:tc>
          <w:tcPr>
            <w:tcW w:w="380" w:type="dxa"/>
            <w:vMerge w:val="continue"/>
            <w:noWrap w:val="0"/>
            <w:vAlign w:val="top"/>
          </w:tcPr>
          <w:p>
            <w:pPr>
              <w:spacing w:line="360" w:lineRule="auto"/>
              <w:rPr>
                <w:rFonts w:hint="eastAsia" w:ascii="仿宋" w:hAnsi="仿宋" w:eastAsia="仿宋" w:cs="仿宋"/>
                <w:bCs/>
                <w:color w:val="auto"/>
                <w:szCs w:val="30"/>
              </w:rPr>
            </w:pPr>
          </w:p>
        </w:tc>
        <w:tc>
          <w:tcPr>
            <w:tcW w:w="900" w:type="dxa"/>
            <w:gridSpan w:val="3"/>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管理费计算基数</w:t>
            </w:r>
          </w:p>
        </w:tc>
        <w:tc>
          <w:tcPr>
            <w:tcW w:w="776" w:type="dxa"/>
            <w:gridSpan w:val="2"/>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管理费费率（%）</w:t>
            </w:r>
          </w:p>
        </w:tc>
        <w:tc>
          <w:tcPr>
            <w:tcW w:w="367" w:type="dxa"/>
            <w:gridSpan w:val="2"/>
            <w:vMerge w:val="continue"/>
            <w:noWrap w:val="0"/>
            <w:vAlign w:val="top"/>
          </w:tcPr>
          <w:p>
            <w:pPr>
              <w:spacing w:line="360" w:lineRule="auto"/>
              <w:rPr>
                <w:rFonts w:hint="eastAsia" w:ascii="仿宋" w:hAnsi="仿宋" w:eastAsia="仿宋" w:cs="仿宋"/>
                <w:bCs/>
                <w:color w:val="auto"/>
                <w:szCs w:val="30"/>
              </w:rPr>
            </w:pPr>
          </w:p>
        </w:tc>
        <w:tc>
          <w:tcPr>
            <w:tcW w:w="834" w:type="dxa"/>
            <w:gridSpan w:val="3"/>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利润计算基数</w:t>
            </w:r>
          </w:p>
        </w:tc>
        <w:tc>
          <w:tcPr>
            <w:tcW w:w="764" w:type="dxa"/>
            <w:gridSpan w:val="2"/>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利润费率（%）</w:t>
            </w:r>
          </w:p>
        </w:tc>
        <w:tc>
          <w:tcPr>
            <w:tcW w:w="454" w:type="dxa"/>
            <w:gridSpan w:val="2"/>
            <w:vMerge w:val="continue"/>
            <w:noWrap w:val="0"/>
            <w:vAlign w:val="top"/>
          </w:tcPr>
          <w:p>
            <w:pPr>
              <w:spacing w:line="360" w:lineRule="auto"/>
              <w:rPr>
                <w:rFonts w:hint="eastAsia" w:ascii="仿宋" w:hAnsi="仿宋" w:eastAsia="仿宋" w:cs="仿宋"/>
                <w:bCs/>
                <w:color w:val="auto"/>
                <w:szCs w:val="30"/>
              </w:rPr>
            </w:pPr>
          </w:p>
        </w:tc>
        <w:tc>
          <w:tcPr>
            <w:tcW w:w="498" w:type="dxa"/>
            <w:gridSpan w:val="2"/>
            <w:vMerge w:val="continue"/>
            <w:noWrap w:val="0"/>
            <w:vAlign w:val="top"/>
          </w:tcPr>
          <w:p>
            <w:pPr>
              <w:spacing w:line="360" w:lineRule="auto"/>
              <w:rPr>
                <w:rFonts w:hint="eastAsia" w:ascii="仿宋" w:hAnsi="仿宋" w:eastAsia="仿宋" w:cs="仿宋"/>
                <w:bCs/>
                <w:color w:val="auto"/>
                <w:szCs w:val="30"/>
              </w:rPr>
            </w:pPr>
          </w:p>
        </w:tc>
        <w:tc>
          <w:tcPr>
            <w:tcW w:w="484" w:type="dxa"/>
            <w:gridSpan w:val="2"/>
            <w:vMerge w:val="continue"/>
            <w:noWrap w:val="0"/>
            <w:vAlign w:val="top"/>
          </w:tcPr>
          <w:p>
            <w:pPr>
              <w:spacing w:line="360" w:lineRule="auto"/>
              <w:rPr>
                <w:rFonts w:hint="eastAsia" w:ascii="仿宋" w:hAnsi="仿宋" w:eastAsia="仿宋" w:cs="仿宋"/>
                <w:bCs/>
                <w:color w:val="auto"/>
                <w:szCs w:val="30"/>
              </w:rPr>
            </w:pPr>
          </w:p>
        </w:tc>
        <w:tc>
          <w:tcPr>
            <w:tcW w:w="909" w:type="dxa"/>
            <w:vMerge w:val="continue"/>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8" w:type="dxa"/>
            <w:gridSpan w:val="2"/>
            <w:noWrap w:val="0"/>
            <w:vAlign w:val="top"/>
          </w:tcPr>
          <w:p>
            <w:pPr>
              <w:spacing w:line="360" w:lineRule="auto"/>
              <w:rPr>
                <w:rFonts w:hint="eastAsia" w:ascii="仿宋" w:hAnsi="仿宋" w:eastAsia="仿宋" w:cs="仿宋"/>
                <w:bCs/>
                <w:color w:val="auto"/>
                <w:szCs w:val="30"/>
              </w:rPr>
            </w:pPr>
          </w:p>
        </w:tc>
        <w:tc>
          <w:tcPr>
            <w:tcW w:w="642" w:type="dxa"/>
            <w:noWrap w:val="0"/>
            <w:vAlign w:val="top"/>
          </w:tcPr>
          <w:p>
            <w:pPr>
              <w:spacing w:line="360" w:lineRule="auto"/>
              <w:rPr>
                <w:rFonts w:hint="eastAsia" w:ascii="仿宋" w:hAnsi="仿宋" w:eastAsia="仿宋" w:cs="仿宋"/>
                <w:bCs/>
                <w:color w:val="auto"/>
                <w:szCs w:val="30"/>
              </w:rPr>
            </w:pPr>
          </w:p>
        </w:tc>
        <w:tc>
          <w:tcPr>
            <w:tcW w:w="660" w:type="dxa"/>
            <w:gridSpan w:val="2"/>
            <w:noWrap w:val="0"/>
            <w:vAlign w:val="top"/>
          </w:tcPr>
          <w:p>
            <w:pPr>
              <w:spacing w:line="360" w:lineRule="auto"/>
              <w:rPr>
                <w:rFonts w:hint="eastAsia" w:ascii="仿宋" w:hAnsi="仿宋" w:eastAsia="仿宋" w:cs="仿宋"/>
                <w:bCs/>
                <w:color w:val="auto"/>
                <w:szCs w:val="30"/>
              </w:rPr>
            </w:pPr>
          </w:p>
        </w:tc>
        <w:tc>
          <w:tcPr>
            <w:tcW w:w="380" w:type="dxa"/>
            <w:noWrap w:val="0"/>
            <w:vAlign w:val="top"/>
          </w:tcPr>
          <w:p>
            <w:pPr>
              <w:spacing w:line="360" w:lineRule="auto"/>
              <w:rPr>
                <w:rFonts w:hint="eastAsia" w:ascii="仿宋" w:hAnsi="仿宋" w:eastAsia="仿宋" w:cs="仿宋"/>
                <w:bCs/>
                <w:color w:val="auto"/>
                <w:szCs w:val="30"/>
              </w:rPr>
            </w:pPr>
          </w:p>
        </w:tc>
        <w:tc>
          <w:tcPr>
            <w:tcW w:w="396" w:type="dxa"/>
            <w:noWrap w:val="0"/>
            <w:vAlign w:val="top"/>
          </w:tcPr>
          <w:p>
            <w:pPr>
              <w:spacing w:line="360" w:lineRule="auto"/>
              <w:rPr>
                <w:rFonts w:hint="eastAsia" w:ascii="仿宋" w:hAnsi="仿宋" w:eastAsia="仿宋" w:cs="仿宋"/>
                <w:bCs/>
                <w:color w:val="auto"/>
                <w:szCs w:val="30"/>
              </w:rPr>
            </w:pPr>
          </w:p>
        </w:tc>
        <w:tc>
          <w:tcPr>
            <w:tcW w:w="382" w:type="dxa"/>
            <w:gridSpan w:val="2"/>
            <w:noWrap w:val="0"/>
            <w:vAlign w:val="top"/>
          </w:tcPr>
          <w:p>
            <w:pPr>
              <w:spacing w:line="360" w:lineRule="auto"/>
              <w:rPr>
                <w:rFonts w:hint="eastAsia" w:ascii="仿宋" w:hAnsi="仿宋" w:eastAsia="仿宋" w:cs="仿宋"/>
                <w:bCs/>
                <w:color w:val="auto"/>
                <w:szCs w:val="30"/>
              </w:rPr>
            </w:pPr>
          </w:p>
        </w:tc>
        <w:tc>
          <w:tcPr>
            <w:tcW w:w="396" w:type="dxa"/>
            <w:gridSpan w:val="2"/>
            <w:noWrap w:val="0"/>
            <w:vAlign w:val="top"/>
          </w:tcPr>
          <w:p>
            <w:pPr>
              <w:spacing w:line="360" w:lineRule="auto"/>
              <w:rPr>
                <w:rFonts w:hint="eastAsia" w:ascii="仿宋" w:hAnsi="仿宋" w:eastAsia="仿宋" w:cs="仿宋"/>
                <w:bCs/>
                <w:color w:val="auto"/>
                <w:szCs w:val="30"/>
              </w:rPr>
            </w:pPr>
          </w:p>
        </w:tc>
        <w:tc>
          <w:tcPr>
            <w:tcW w:w="380" w:type="dxa"/>
            <w:noWrap w:val="0"/>
            <w:vAlign w:val="top"/>
          </w:tcPr>
          <w:p>
            <w:pPr>
              <w:spacing w:line="360" w:lineRule="auto"/>
              <w:rPr>
                <w:rFonts w:hint="eastAsia" w:ascii="仿宋" w:hAnsi="仿宋" w:eastAsia="仿宋" w:cs="仿宋"/>
                <w:bCs/>
                <w:color w:val="auto"/>
                <w:szCs w:val="30"/>
              </w:rPr>
            </w:pPr>
          </w:p>
        </w:tc>
        <w:tc>
          <w:tcPr>
            <w:tcW w:w="900" w:type="dxa"/>
            <w:gridSpan w:val="3"/>
            <w:noWrap w:val="0"/>
            <w:vAlign w:val="top"/>
          </w:tcPr>
          <w:p>
            <w:pPr>
              <w:spacing w:line="360" w:lineRule="auto"/>
              <w:rPr>
                <w:rFonts w:hint="eastAsia" w:ascii="仿宋" w:hAnsi="仿宋" w:eastAsia="仿宋" w:cs="仿宋"/>
                <w:bCs/>
                <w:color w:val="auto"/>
                <w:szCs w:val="30"/>
              </w:rPr>
            </w:pPr>
          </w:p>
        </w:tc>
        <w:tc>
          <w:tcPr>
            <w:tcW w:w="776" w:type="dxa"/>
            <w:gridSpan w:val="2"/>
            <w:noWrap w:val="0"/>
            <w:vAlign w:val="top"/>
          </w:tcPr>
          <w:p>
            <w:pPr>
              <w:spacing w:line="360" w:lineRule="auto"/>
              <w:rPr>
                <w:rFonts w:hint="eastAsia" w:ascii="仿宋" w:hAnsi="仿宋" w:eastAsia="仿宋" w:cs="仿宋"/>
                <w:bCs/>
                <w:color w:val="auto"/>
                <w:szCs w:val="30"/>
              </w:rPr>
            </w:pPr>
          </w:p>
        </w:tc>
        <w:tc>
          <w:tcPr>
            <w:tcW w:w="375" w:type="dxa"/>
            <w:gridSpan w:val="3"/>
            <w:noWrap w:val="0"/>
            <w:vAlign w:val="top"/>
          </w:tcPr>
          <w:p>
            <w:pPr>
              <w:spacing w:line="360" w:lineRule="auto"/>
              <w:rPr>
                <w:rFonts w:hint="eastAsia" w:ascii="仿宋" w:hAnsi="仿宋" w:eastAsia="仿宋" w:cs="仿宋"/>
                <w:bCs/>
                <w:color w:val="auto"/>
                <w:szCs w:val="30"/>
              </w:rPr>
            </w:pPr>
          </w:p>
        </w:tc>
        <w:tc>
          <w:tcPr>
            <w:tcW w:w="826" w:type="dxa"/>
            <w:gridSpan w:val="2"/>
            <w:noWrap w:val="0"/>
            <w:vAlign w:val="top"/>
          </w:tcPr>
          <w:p>
            <w:pPr>
              <w:spacing w:line="360" w:lineRule="auto"/>
              <w:rPr>
                <w:rFonts w:hint="eastAsia" w:ascii="仿宋" w:hAnsi="仿宋" w:eastAsia="仿宋" w:cs="仿宋"/>
                <w:bCs/>
                <w:color w:val="auto"/>
                <w:szCs w:val="30"/>
              </w:rPr>
            </w:pPr>
          </w:p>
        </w:tc>
        <w:tc>
          <w:tcPr>
            <w:tcW w:w="764" w:type="dxa"/>
            <w:gridSpan w:val="2"/>
            <w:noWrap w:val="0"/>
            <w:vAlign w:val="top"/>
          </w:tcPr>
          <w:p>
            <w:pPr>
              <w:spacing w:line="360" w:lineRule="auto"/>
              <w:rPr>
                <w:rFonts w:hint="eastAsia" w:ascii="仿宋" w:hAnsi="仿宋" w:eastAsia="仿宋" w:cs="仿宋"/>
                <w:bCs/>
                <w:color w:val="auto"/>
                <w:szCs w:val="30"/>
              </w:rPr>
            </w:pPr>
          </w:p>
        </w:tc>
        <w:tc>
          <w:tcPr>
            <w:tcW w:w="454" w:type="dxa"/>
            <w:gridSpan w:val="2"/>
            <w:noWrap w:val="0"/>
            <w:vAlign w:val="top"/>
          </w:tcPr>
          <w:p>
            <w:pPr>
              <w:spacing w:line="360" w:lineRule="auto"/>
              <w:rPr>
                <w:rFonts w:hint="eastAsia" w:ascii="仿宋" w:hAnsi="仿宋" w:eastAsia="仿宋" w:cs="仿宋"/>
                <w:bCs/>
                <w:color w:val="auto"/>
                <w:szCs w:val="30"/>
              </w:rPr>
            </w:pPr>
          </w:p>
        </w:tc>
        <w:tc>
          <w:tcPr>
            <w:tcW w:w="498" w:type="dxa"/>
            <w:gridSpan w:val="2"/>
            <w:noWrap w:val="0"/>
            <w:vAlign w:val="top"/>
          </w:tcPr>
          <w:p>
            <w:pPr>
              <w:spacing w:line="360" w:lineRule="auto"/>
              <w:rPr>
                <w:rFonts w:hint="eastAsia" w:ascii="仿宋" w:hAnsi="仿宋" w:eastAsia="仿宋" w:cs="仿宋"/>
                <w:bCs/>
                <w:color w:val="auto"/>
                <w:szCs w:val="30"/>
              </w:rPr>
            </w:pPr>
          </w:p>
        </w:tc>
        <w:tc>
          <w:tcPr>
            <w:tcW w:w="484" w:type="dxa"/>
            <w:gridSpan w:val="2"/>
            <w:noWrap w:val="0"/>
            <w:vAlign w:val="top"/>
          </w:tcPr>
          <w:p>
            <w:pPr>
              <w:spacing w:line="360" w:lineRule="auto"/>
              <w:rPr>
                <w:rFonts w:hint="eastAsia" w:ascii="仿宋" w:hAnsi="仿宋" w:eastAsia="仿宋" w:cs="仿宋"/>
                <w:bCs/>
                <w:color w:val="auto"/>
                <w:szCs w:val="30"/>
              </w:rPr>
            </w:pPr>
          </w:p>
        </w:tc>
        <w:tc>
          <w:tcPr>
            <w:tcW w:w="909" w:type="dxa"/>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8" w:type="dxa"/>
            <w:gridSpan w:val="2"/>
            <w:noWrap w:val="0"/>
            <w:vAlign w:val="top"/>
          </w:tcPr>
          <w:p>
            <w:pPr>
              <w:spacing w:line="360" w:lineRule="auto"/>
              <w:rPr>
                <w:rFonts w:hint="eastAsia" w:ascii="仿宋" w:hAnsi="仿宋" w:eastAsia="仿宋" w:cs="仿宋"/>
                <w:bCs/>
                <w:color w:val="auto"/>
                <w:szCs w:val="30"/>
              </w:rPr>
            </w:pPr>
          </w:p>
        </w:tc>
        <w:tc>
          <w:tcPr>
            <w:tcW w:w="642" w:type="dxa"/>
            <w:noWrap w:val="0"/>
            <w:vAlign w:val="top"/>
          </w:tcPr>
          <w:p>
            <w:pPr>
              <w:spacing w:line="360" w:lineRule="auto"/>
              <w:rPr>
                <w:rFonts w:hint="eastAsia" w:ascii="仿宋" w:hAnsi="仿宋" w:eastAsia="仿宋" w:cs="仿宋"/>
                <w:bCs/>
                <w:color w:val="auto"/>
                <w:szCs w:val="30"/>
              </w:rPr>
            </w:pPr>
          </w:p>
        </w:tc>
        <w:tc>
          <w:tcPr>
            <w:tcW w:w="660" w:type="dxa"/>
            <w:gridSpan w:val="2"/>
            <w:noWrap w:val="0"/>
            <w:vAlign w:val="top"/>
          </w:tcPr>
          <w:p>
            <w:pPr>
              <w:spacing w:line="360" w:lineRule="auto"/>
              <w:rPr>
                <w:rFonts w:hint="eastAsia" w:ascii="仿宋" w:hAnsi="仿宋" w:eastAsia="仿宋" w:cs="仿宋"/>
                <w:bCs/>
                <w:color w:val="auto"/>
                <w:szCs w:val="30"/>
              </w:rPr>
            </w:pPr>
          </w:p>
        </w:tc>
        <w:tc>
          <w:tcPr>
            <w:tcW w:w="380" w:type="dxa"/>
            <w:noWrap w:val="0"/>
            <w:vAlign w:val="top"/>
          </w:tcPr>
          <w:p>
            <w:pPr>
              <w:spacing w:line="360" w:lineRule="auto"/>
              <w:rPr>
                <w:rFonts w:hint="eastAsia" w:ascii="仿宋" w:hAnsi="仿宋" w:eastAsia="仿宋" w:cs="仿宋"/>
                <w:bCs/>
                <w:color w:val="auto"/>
                <w:szCs w:val="30"/>
              </w:rPr>
            </w:pPr>
          </w:p>
        </w:tc>
        <w:tc>
          <w:tcPr>
            <w:tcW w:w="396" w:type="dxa"/>
            <w:noWrap w:val="0"/>
            <w:vAlign w:val="top"/>
          </w:tcPr>
          <w:p>
            <w:pPr>
              <w:spacing w:line="360" w:lineRule="auto"/>
              <w:rPr>
                <w:rFonts w:hint="eastAsia" w:ascii="仿宋" w:hAnsi="仿宋" w:eastAsia="仿宋" w:cs="仿宋"/>
                <w:bCs/>
                <w:color w:val="auto"/>
                <w:szCs w:val="30"/>
              </w:rPr>
            </w:pPr>
          </w:p>
        </w:tc>
        <w:tc>
          <w:tcPr>
            <w:tcW w:w="382" w:type="dxa"/>
            <w:gridSpan w:val="2"/>
            <w:noWrap w:val="0"/>
            <w:vAlign w:val="top"/>
          </w:tcPr>
          <w:p>
            <w:pPr>
              <w:spacing w:line="360" w:lineRule="auto"/>
              <w:rPr>
                <w:rFonts w:hint="eastAsia" w:ascii="仿宋" w:hAnsi="仿宋" w:eastAsia="仿宋" w:cs="仿宋"/>
                <w:bCs/>
                <w:color w:val="auto"/>
                <w:szCs w:val="30"/>
              </w:rPr>
            </w:pPr>
          </w:p>
        </w:tc>
        <w:tc>
          <w:tcPr>
            <w:tcW w:w="396" w:type="dxa"/>
            <w:gridSpan w:val="2"/>
            <w:noWrap w:val="0"/>
            <w:vAlign w:val="top"/>
          </w:tcPr>
          <w:p>
            <w:pPr>
              <w:spacing w:line="360" w:lineRule="auto"/>
              <w:rPr>
                <w:rFonts w:hint="eastAsia" w:ascii="仿宋" w:hAnsi="仿宋" w:eastAsia="仿宋" w:cs="仿宋"/>
                <w:bCs/>
                <w:color w:val="auto"/>
                <w:szCs w:val="30"/>
              </w:rPr>
            </w:pPr>
          </w:p>
        </w:tc>
        <w:tc>
          <w:tcPr>
            <w:tcW w:w="380" w:type="dxa"/>
            <w:noWrap w:val="0"/>
            <w:vAlign w:val="top"/>
          </w:tcPr>
          <w:p>
            <w:pPr>
              <w:spacing w:line="360" w:lineRule="auto"/>
              <w:rPr>
                <w:rFonts w:hint="eastAsia" w:ascii="仿宋" w:hAnsi="仿宋" w:eastAsia="仿宋" w:cs="仿宋"/>
                <w:bCs/>
                <w:color w:val="auto"/>
                <w:szCs w:val="30"/>
              </w:rPr>
            </w:pPr>
          </w:p>
        </w:tc>
        <w:tc>
          <w:tcPr>
            <w:tcW w:w="900" w:type="dxa"/>
            <w:gridSpan w:val="3"/>
            <w:noWrap w:val="0"/>
            <w:vAlign w:val="top"/>
          </w:tcPr>
          <w:p>
            <w:pPr>
              <w:spacing w:line="360" w:lineRule="auto"/>
              <w:rPr>
                <w:rFonts w:hint="eastAsia" w:ascii="仿宋" w:hAnsi="仿宋" w:eastAsia="仿宋" w:cs="仿宋"/>
                <w:bCs/>
                <w:color w:val="auto"/>
                <w:szCs w:val="30"/>
              </w:rPr>
            </w:pPr>
          </w:p>
        </w:tc>
        <w:tc>
          <w:tcPr>
            <w:tcW w:w="776" w:type="dxa"/>
            <w:gridSpan w:val="2"/>
            <w:noWrap w:val="0"/>
            <w:vAlign w:val="top"/>
          </w:tcPr>
          <w:p>
            <w:pPr>
              <w:spacing w:line="360" w:lineRule="auto"/>
              <w:rPr>
                <w:rFonts w:hint="eastAsia" w:ascii="仿宋" w:hAnsi="仿宋" w:eastAsia="仿宋" w:cs="仿宋"/>
                <w:bCs/>
                <w:color w:val="auto"/>
                <w:szCs w:val="30"/>
              </w:rPr>
            </w:pPr>
          </w:p>
        </w:tc>
        <w:tc>
          <w:tcPr>
            <w:tcW w:w="375" w:type="dxa"/>
            <w:gridSpan w:val="3"/>
            <w:noWrap w:val="0"/>
            <w:vAlign w:val="top"/>
          </w:tcPr>
          <w:p>
            <w:pPr>
              <w:spacing w:line="360" w:lineRule="auto"/>
              <w:rPr>
                <w:rFonts w:hint="eastAsia" w:ascii="仿宋" w:hAnsi="仿宋" w:eastAsia="仿宋" w:cs="仿宋"/>
                <w:bCs/>
                <w:color w:val="auto"/>
                <w:szCs w:val="30"/>
              </w:rPr>
            </w:pPr>
          </w:p>
        </w:tc>
        <w:tc>
          <w:tcPr>
            <w:tcW w:w="826" w:type="dxa"/>
            <w:gridSpan w:val="2"/>
            <w:noWrap w:val="0"/>
            <w:vAlign w:val="top"/>
          </w:tcPr>
          <w:p>
            <w:pPr>
              <w:spacing w:line="360" w:lineRule="auto"/>
              <w:rPr>
                <w:rFonts w:hint="eastAsia" w:ascii="仿宋" w:hAnsi="仿宋" w:eastAsia="仿宋" w:cs="仿宋"/>
                <w:bCs/>
                <w:color w:val="auto"/>
                <w:szCs w:val="30"/>
              </w:rPr>
            </w:pPr>
          </w:p>
        </w:tc>
        <w:tc>
          <w:tcPr>
            <w:tcW w:w="764" w:type="dxa"/>
            <w:gridSpan w:val="2"/>
            <w:noWrap w:val="0"/>
            <w:vAlign w:val="top"/>
          </w:tcPr>
          <w:p>
            <w:pPr>
              <w:spacing w:line="360" w:lineRule="auto"/>
              <w:rPr>
                <w:rFonts w:hint="eastAsia" w:ascii="仿宋" w:hAnsi="仿宋" w:eastAsia="仿宋" w:cs="仿宋"/>
                <w:bCs/>
                <w:color w:val="auto"/>
                <w:szCs w:val="30"/>
              </w:rPr>
            </w:pPr>
          </w:p>
        </w:tc>
        <w:tc>
          <w:tcPr>
            <w:tcW w:w="454" w:type="dxa"/>
            <w:gridSpan w:val="2"/>
            <w:noWrap w:val="0"/>
            <w:vAlign w:val="top"/>
          </w:tcPr>
          <w:p>
            <w:pPr>
              <w:spacing w:line="360" w:lineRule="auto"/>
              <w:rPr>
                <w:rFonts w:hint="eastAsia" w:ascii="仿宋" w:hAnsi="仿宋" w:eastAsia="仿宋" w:cs="仿宋"/>
                <w:bCs/>
                <w:color w:val="auto"/>
                <w:szCs w:val="30"/>
              </w:rPr>
            </w:pPr>
          </w:p>
        </w:tc>
        <w:tc>
          <w:tcPr>
            <w:tcW w:w="498" w:type="dxa"/>
            <w:gridSpan w:val="2"/>
            <w:noWrap w:val="0"/>
            <w:vAlign w:val="top"/>
          </w:tcPr>
          <w:p>
            <w:pPr>
              <w:spacing w:line="360" w:lineRule="auto"/>
              <w:rPr>
                <w:rFonts w:hint="eastAsia" w:ascii="仿宋" w:hAnsi="仿宋" w:eastAsia="仿宋" w:cs="仿宋"/>
                <w:bCs/>
                <w:color w:val="auto"/>
                <w:szCs w:val="30"/>
              </w:rPr>
            </w:pPr>
          </w:p>
        </w:tc>
        <w:tc>
          <w:tcPr>
            <w:tcW w:w="484" w:type="dxa"/>
            <w:gridSpan w:val="2"/>
            <w:noWrap w:val="0"/>
            <w:vAlign w:val="top"/>
          </w:tcPr>
          <w:p>
            <w:pPr>
              <w:spacing w:line="360" w:lineRule="auto"/>
              <w:rPr>
                <w:rFonts w:hint="eastAsia" w:ascii="仿宋" w:hAnsi="仿宋" w:eastAsia="仿宋" w:cs="仿宋"/>
                <w:bCs/>
                <w:color w:val="auto"/>
                <w:szCs w:val="30"/>
              </w:rPr>
            </w:pPr>
          </w:p>
        </w:tc>
        <w:tc>
          <w:tcPr>
            <w:tcW w:w="909" w:type="dxa"/>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18" w:type="dxa"/>
            <w:gridSpan w:val="2"/>
            <w:noWrap w:val="0"/>
            <w:vAlign w:val="top"/>
          </w:tcPr>
          <w:p>
            <w:pPr>
              <w:spacing w:line="360" w:lineRule="auto"/>
              <w:rPr>
                <w:rFonts w:hint="eastAsia" w:ascii="仿宋" w:hAnsi="仿宋" w:eastAsia="仿宋" w:cs="仿宋"/>
                <w:bCs/>
                <w:color w:val="auto"/>
                <w:szCs w:val="30"/>
              </w:rPr>
            </w:pPr>
          </w:p>
        </w:tc>
        <w:tc>
          <w:tcPr>
            <w:tcW w:w="642" w:type="dxa"/>
            <w:noWrap w:val="0"/>
            <w:vAlign w:val="top"/>
          </w:tcPr>
          <w:p>
            <w:pPr>
              <w:spacing w:line="360" w:lineRule="auto"/>
              <w:rPr>
                <w:rFonts w:hint="eastAsia" w:ascii="仿宋" w:hAnsi="仿宋" w:eastAsia="仿宋" w:cs="仿宋"/>
                <w:bCs/>
                <w:color w:val="auto"/>
                <w:szCs w:val="30"/>
              </w:rPr>
            </w:pPr>
          </w:p>
        </w:tc>
        <w:tc>
          <w:tcPr>
            <w:tcW w:w="660" w:type="dxa"/>
            <w:gridSpan w:val="2"/>
            <w:noWrap w:val="0"/>
            <w:vAlign w:val="top"/>
          </w:tcPr>
          <w:p>
            <w:pPr>
              <w:spacing w:line="360" w:lineRule="auto"/>
              <w:rPr>
                <w:rFonts w:hint="eastAsia" w:ascii="仿宋" w:hAnsi="仿宋" w:eastAsia="仿宋" w:cs="仿宋"/>
                <w:bCs/>
                <w:color w:val="auto"/>
                <w:szCs w:val="30"/>
              </w:rPr>
            </w:pPr>
          </w:p>
        </w:tc>
        <w:tc>
          <w:tcPr>
            <w:tcW w:w="380" w:type="dxa"/>
            <w:noWrap w:val="0"/>
            <w:vAlign w:val="top"/>
          </w:tcPr>
          <w:p>
            <w:pPr>
              <w:spacing w:line="360" w:lineRule="auto"/>
              <w:rPr>
                <w:rFonts w:hint="eastAsia" w:ascii="仿宋" w:hAnsi="仿宋" w:eastAsia="仿宋" w:cs="仿宋"/>
                <w:bCs/>
                <w:color w:val="auto"/>
                <w:szCs w:val="30"/>
              </w:rPr>
            </w:pPr>
          </w:p>
        </w:tc>
        <w:tc>
          <w:tcPr>
            <w:tcW w:w="396" w:type="dxa"/>
            <w:noWrap w:val="0"/>
            <w:vAlign w:val="top"/>
          </w:tcPr>
          <w:p>
            <w:pPr>
              <w:spacing w:line="360" w:lineRule="auto"/>
              <w:rPr>
                <w:rFonts w:hint="eastAsia" w:ascii="仿宋" w:hAnsi="仿宋" w:eastAsia="仿宋" w:cs="仿宋"/>
                <w:bCs/>
                <w:color w:val="auto"/>
                <w:szCs w:val="30"/>
              </w:rPr>
            </w:pPr>
          </w:p>
        </w:tc>
        <w:tc>
          <w:tcPr>
            <w:tcW w:w="382" w:type="dxa"/>
            <w:gridSpan w:val="2"/>
            <w:noWrap w:val="0"/>
            <w:vAlign w:val="top"/>
          </w:tcPr>
          <w:p>
            <w:pPr>
              <w:spacing w:line="360" w:lineRule="auto"/>
              <w:rPr>
                <w:rFonts w:hint="eastAsia" w:ascii="仿宋" w:hAnsi="仿宋" w:eastAsia="仿宋" w:cs="仿宋"/>
                <w:bCs/>
                <w:color w:val="auto"/>
                <w:szCs w:val="30"/>
              </w:rPr>
            </w:pPr>
          </w:p>
        </w:tc>
        <w:tc>
          <w:tcPr>
            <w:tcW w:w="396" w:type="dxa"/>
            <w:gridSpan w:val="2"/>
            <w:noWrap w:val="0"/>
            <w:vAlign w:val="top"/>
          </w:tcPr>
          <w:p>
            <w:pPr>
              <w:spacing w:line="360" w:lineRule="auto"/>
              <w:rPr>
                <w:rFonts w:hint="eastAsia" w:ascii="仿宋" w:hAnsi="仿宋" w:eastAsia="仿宋" w:cs="仿宋"/>
                <w:bCs/>
                <w:color w:val="auto"/>
                <w:szCs w:val="30"/>
              </w:rPr>
            </w:pPr>
          </w:p>
        </w:tc>
        <w:tc>
          <w:tcPr>
            <w:tcW w:w="380" w:type="dxa"/>
            <w:noWrap w:val="0"/>
            <w:vAlign w:val="top"/>
          </w:tcPr>
          <w:p>
            <w:pPr>
              <w:spacing w:line="360" w:lineRule="auto"/>
              <w:rPr>
                <w:rFonts w:hint="eastAsia" w:ascii="仿宋" w:hAnsi="仿宋" w:eastAsia="仿宋" w:cs="仿宋"/>
                <w:bCs/>
                <w:color w:val="auto"/>
                <w:szCs w:val="30"/>
              </w:rPr>
            </w:pPr>
          </w:p>
        </w:tc>
        <w:tc>
          <w:tcPr>
            <w:tcW w:w="900" w:type="dxa"/>
            <w:gridSpan w:val="3"/>
            <w:noWrap w:val="0"/>
            <w:vAlign w:val="top"/>
          </w:tcPr>
          <w:p>
            <w:pPr>
              <w:spacing w:line="360" w:lineRule="auto"/>
              <w:rPr>
                <w:rFonts w:hint="eastAsia" w:ascii="仿宋" w:hAnsi="仿宋" w:eastAsia="仿宋" w:cs="仿宋"/>
                <w:bCs/>
                <w:color w:val="auto"/>
                <w:szCs w:val="30"/>
              </w:rPr>
            </w:pPr>
          </w:p>
        </w:tc>
        <w:tc>
          <w:tcPr>
            <w:tcW w:w="776" w:type="dxa"/>
            <w:gridSpan w:val="2"/>
            <w:noWrap w:val="0"/>
            <w:vAlign w:val="top"/>
          </w:tcPr>
          <w:p>
            <w:pPr>
              <w:spacing w:line="360" w:lineRule="auto"/>
              <w:rPr>
                <w:rFonts w:hint="eastAsia" w:ascii="仿宋" w:hAnsi="仿宋" w:eastAsia="仿宋" w:cs="仿宋"/>
                <w:bCs/>
                <w:color w:val="auto"/>
                <w:szCs w:val="30"/>
              </w:rPr>
            </w:pPr>
          </w:p>
        </w:tc>
        <w:tc>
          <w:tcPr>
            <w:tcW w:w="375" w:type="dxa"/>
            <w:gridSpan w:val="3"/>
            <w:noWrap w:val="0"/>
            <w:vAlign w:val="top"/>
          </w:tcPr>
          <w:p>
            <w:pPr>
              <w:spacing w:line="360" w:lineRule="auto"/>
              <w:rPr>
                <w:rFonts w:hint="eastAsia" w:ascii="仿宋" w:hAnsi="仿宋" w:eastAsia="仿宋" w:cs="仿宋"/>
                <w:bCs/>
                <w:color w:val="auto"/>
                <w:szCs w:val="30"/>
              </w:rPr>
            </w:pPr>
          </w:p>
        </w:tc>
        <w:tc>
          <w:tcPr>
            <w:tcW w:w="826" w:type="dxa"/>
            <w:gridSpan w:val="2"/>
            <w:noWrap w:val="0"/>
            <w:vAlign w:val="top"/>
          </w:tcPr>
          <w:p>
            <w:pPr>
              <w:spacing w:line="360" w:lineRule="auto"/>
              <w:rPr>
                <w:rFonts w:hint="eastAsia" w:ascii="仿宋" w:hAnsi="仿宋" w:eastAsia="仿宋" w:cs="仿宋"/>
                <w:bCs/>
                <w:color w:val="auto"/>
                <w:szCs w:val="30"/>
              </w:rPr>
            </w:pPr>
          </w:p>
        </w:tc>
        <w:tc>
          <w:tcPr>
            <w:tcW w:w="764" w:type="dxa"/>
            <w:gridSpan w:val="2"/>
            <w:noWrap w:val="0"/>
            <w:vAlign w:val="top"/>
          </w:tcPr>
          <w:p>
            <w:pPr>
              <w:spacing w:line="360" w:lineRule="auto"/>
              <w:rPr>
                <w:rFonts w:hint="eastAsia" w:ascii="仿宋" w:hAnsi="仿宋" w:eastAsia="仿宋" w:cs="仿宋"/>
                <w:bCs/>
                <w:color w:val="auto"/>
                <w:szCs w:val="30"/>
              </w:rPr>
            </w:pPr>
          </w:p>
        </w:tc>
        <w:tc>
          <w:tcPr>
            <w:tcW w:w="454" w:type="dxa"/>
            <w:gridSpan w:val="2"/>
            <w:noWrap w:val="0"/>
            <w:vAlign w:val="top"/>
          </w:tcPr>
          <w:p>
            <w:pPr>
              <w:spacing w:line="360" w:lineRule="auto"/>
              <w:rPr>
                <w:rFonts w:hint="eastAsia" w:ascii="仿宋" w:hAnsi="仿宋" w:eastAsia="仿宋" w:cs="仿宋"/>
                <w:bCs/>
                <w:color w:val="auto"/>
                <w:szCs w:val="30"/>
              </w:rPr>
            </w:pPr>
          </w:p>
        </w:tc>
        <w:tc>
          <w:tcPr>
            <w:tcW w:w="498" w:type="dxa"/>
            <w:gridSpan w:val="2"/>
            <w:noWrap w:val="0"/>
            <w:vAlign w:val="top"/>
          </w:tcPr>
          <w:p>
            <w:pPr>
              <w:spacing w:line="360" w:lineRule="auto"/>
              <w:rPr>
                <w:rFonts w:hint="eastAsia" w:ascii="仿宋" w:hAnsi="仿宋" w:eastAsia="仿宋" w:cs="仿宋"/>
                <w:bCs/>
                <w:color w:val="auto"/>
                <w:szCs w:val="30"/>
              </w:rPr>
            </w:pPr>
          </w:p>
        </w:tc>
        <w:tc>
          <w:tcPr>
            <w:tcW w:w="484" w:type="dxa"/>
            <w:gridSpan w:val="2"/>
            <w:noWrap w:val="0"/>
            <w:vAlign w:val="top"/>
          </w:tcPr>
          <w:p>
            <w:pPr>
              <w:spacing w:line="360" w:lineRule="auto"/>
              <w:rPr>
                <w:rFonts w:hint="eastAsia" w:ascii="仿宋" w:hAnsi="仿宋" w:eastAsia="仿宋" w:cs="仿宋"/>
                <w:bCs/>
                <w:color w:val="auto"/>
                <w:szCs w:val="30"/>
              </w:rPr>
            </w:pPr>
          </w:p>
        </w:tc>
        <w:tc>
          <w:tcPr>
            <w:tcW w:w="909" w:type="dxa"/>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60" w:type="dxa"/>
            <w:gridSpan w:val="3"/>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人工单价</w:t>
            </w:r>
          </w:p>
        </w:tc>
        <w:tc>
          <w:tcPr>
            <w:tcW w:w="6235" w:type="dxa"/>
            <w:gridSpan w:val="21"/>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小计</w:t>
            </w:r>
          </w:p>
        </w:tc>
        <w:tc>
          <w:tcPr>
            <w:tcW w:w="454" w:type="dxa"/>
            <w:gridSpan w:val="2"/>
            <w:noWrap w:val="0"/>
            <w:vAlign w:val="top"/>
          </w:tcPr>
          <w:p>
            <w:pPr>
              <w:spacing w:line="360" w:lineRule="auto"/>
              <w:jc w:val="center"/>
              <w:rPr>
                <w:rFonts w:hint="eastAsia" w:ascii="仿宋" w:hAnsi="仿宋" w:eastAsia="仿宋" w:cs="仿宋"/>
                <w:bCs/>
                <w:color w:val="auto"/>
                <w:szCs w:val="30"/>
              </w:rPr>
            </w:pPr>
          </w:p>
        </w:tc>
        <w:tc>
          <w:tcPr>
            <w:tcW w:w="498" w:type="dxa"/>
            <w:gridSpan w:val="2"/>
            <w:noWrap w:val="0"/>
            <w:vAlign w:val="top"/>
          </w:tcPr>
          <w:p>
            <w:pPr>
              <w:spacing w:line="360" w:lineRule="auto"/>
              <w:jc w:val="center"/>
              <w:rPr>
                <w:rFonts w:hint="eastAsia" w:ascii="仿宋" w:hAnsi="仿宋" w:eastAsia="仿宋" w:cs="仿宋"/>
                <w:bCs/>
                <w:color w:val="auto"/>
                <w:szCs w:val="30"/>
              </w:rPr>
            </w:pPr>
          </w:p>
        </w:tc>
        <w:tc>
          <w:tcPr>
            <w:tcW w:w="484" w:type="dxa"/>
            <w:gridSpan w:val="2"/>
            <w:noWrap w:val="0"/>
            <w:vAlign w:val="top"/>
          </w:tcPr>
          <w:p>
            <w:pPr>
              <w:spacing w:line="360" w:lineRule="auto"/>
              <w:rPr>
                <w:rFonts w:hint="eastAsia" w:ascii="仿宋" w:hAnsi="仿宋" w:eastAsia="仿宋" w:cs="仿宋"/>
                <w:bCs/>
                <w:color w:val="auto"/>
                <w:szCs w:val="30"/>
              </w:rPr>
            </w:pPr>
          </w:p>
        </w:tc>
        <w:tc>
          <w:tcPr>
            <w:tcW w:w="909" w:type="dxa"/>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60" w:type="dxa"/>
            <w:gridSpan w:val="3"/>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元/工日</w:t>
            </w:r>
          </w:p>
        </w:tc>
        <w:tc>
          <w:tcPr>
            <w:tcW w:w="6235" w:type="dxa"/>
            <w:gridSpan w:val="21"/>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未计价材料费</w:t>
            </w:r>
          </w:p>
        </w:tc>
        <w:tc>
          <w:tcPr>
            <w:tcW w:w="2345" w:type="dxa"/>
            <w:gridSpan w:val="7"/>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595" w:type="dxa"/>
            <w:gridSpan w:val="24"/>
            <w:noWrap w:val="0"/>
            <w:vAlign w:val="center"/>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清单项目综合单价</w:t>
            </w:r>
          </w:p>
        </w:tc>
        <w:tc>
          <w:tcPr>
            <w:tcW w:w="2345" w:type="dxa"/>
            <w:gridSpan w:val="7"/>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513" w:type="dxa"/>
            <w:vMerge w:val="restart"/>
            <w:noWrap w:val="0"/>
            <w:vAlign w:val="top"/>
          </w:tcPr>
          <w:p>
            <w:pPr>
              <w:spacing w:line="360" w:lineRule="auto"/>
              <w:jc w:val="center"/>
              <w:rPr>
                <w:rFonts w:hint="eastAsia" w:ascii="仿宋" w:hAnsi="仿宋" w:eastAsia="仿宋" w:cs="仿宋"/>
                <w:bCs/>
                <w:color w:val="auto"/>
                <w:szCs w:val="30"/>
              </w:rPr>
            </w:pPr>
          </w:p>
          <w:p>
            <w:pPr>
              <w:spacing w:line="360" w:lineRule="auto"/>
              <w:rPr>
                <w:rFonts w:hint="eastAsia" w:ascii="仿宋" w:hAnsi="仿宋" w:eastAsia="仿宋" w:cs="仿宋"/>
                <w:bCs/>
                <w:color w:val="auto"/>
                <w:szCs w:val="30"/>
              </w:rPr>
            </w:pPr>
          </w:p>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材料明细表</w:t>
            </w:r>
          </w:p>
        </w:tc>
        <w:tc>
          <w:tcPr>
            <w:tcW w:w="2756" w:type="dxa"/>
            <w:gridSpan w:val="9"/>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主要材料名称、规格、型号</w:t>
            </w:r>
          </w:p>
        </w:tc>
        <w:tc>
          <w:tcPr>
            <w:tcW w:w="685" w:type="dxa"/>
            <w:gridSpan w:val="2"/>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单位</w:t>
            </w:r>
          </w:p>
        </w:tc>
        <w:tc>
          <w:tcPr>
            <w:tcW w:w="716" w:type="dxa"/>
            <w:gridSpan w:val="2"/>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数量</w:t>
            </w:r>
          </w:p>
        </w:tc>
        <w:tc>
          <w:tcPr>
            <w:tcW w:w="1126" w:type="dxa"/>
            <w:gridSpan w:val="4"/>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单价（元）</w:t>
            </w:r>
          </w:p>
        </w:tc>
        <w:tc>
          <w:tcPr>
            <w:tcW w:w="1140" w:type="dxa"/>
            <w:gridSpan w:val="5"/>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合价（元）</w:t>
            </w:r>
          </w:p>
        </w:tc>
        <w:tc>
          <w:tcPr>
            <w:tcW w:w="1478" w:type="dxa"/>
            <w:gridSpan w:val="4"/>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暂估单价（元）</w:t>
            </w:r>
          </w:p>
        </w:tc>
        <w:tc>
          <w:tcPr>
            <w:tcW w:w="1526" w:type="dxa"/>
            <w:gridSpan w:val="4"/>
            <w:noWrap w:val="0"/>
            <w:vAlign w:val="top"/>
          </w:tcPr>
          <w:p>
            <w:pPr>
              <w:spacing w:line="360" w:lineRule="auto"/>
              <w:jc w:val="center"/>
              <w:rPr>
                <w:rFonts w:hint="eastAsia" w:ascii="仿宋" w:hAnsi="仿宋" w:eastAsia="仿宋" w:cs="仿宋"/>
                <w:bCs/>
                <w:color w:val="auto"/>
                <w:szCs w:val="30"/>
              </w:rPr>
            </w:pPr>
            <w:r>
              <w:rPr>
                <w:rFonts w:hint="eastAsia" w:ascii="仿宋" w:hAnsi="仿宋" w:eastAsia="仿宋" w:cs="仿宋"/>
                <w:bCs/>
                <w:color w:val="auto"/>
                <w:szCs w:val="30"/>
              </w:rPr>
              <w:t>暂估合价（元）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13" w:type="dxa"/>
            <w:vMerge w:val="continue"/>
            <w:noWrap w:val="0"/>
            <w:vAlign w:val="top"/>
          </w:tcPr>
          <w:p>
            <w:pPr>
              <w:spacing w:line="360" w:lineRule="auto"/>
              <w:rPr>
                <w:rFonts w:hint="eastAsia" w:ascii="仿宋" w:hAnsi="仿宋" w:eastAsia="仿宋" w:cs="仿宋"/>
                <w:bCs/>
                <w:color w:val="auto"/>
                <w:szCs w:val="30"/>
              </w:rPr>
            </w:pPr>
          </w:p>
        </w:tc>
        <w:tc>
          <w:tcPr>
            <w:tcW w:w="2756" w:type="dxa"/>
            <w:gridSpan w:val="9"/>
            <w:noWrap w:val="0"/>
            <w:vAlign w:val="top"/>
          </w:tcPr>
          <w:p>
            <w:pPr>
              <w:spacing w:line="360" w:lineRule="auto"/>
              <w:rPr>
                <w:rFonts w:hint="eastAsia" w:ascii="仿宋" w:hAnsi="仿宋" w:eastAsia="仿宋" w:cs="仿宋"/>
                <w:bCs/>
                <w:color w:val="auto"/>
                <w:szCs w:val="30"/>
              </w:rPr>
            </w:pPr>
          </w:p>
        </w:tc>
        <w:tc>
          <w:tcPr>
            <w:tcW w:w="685" w:type="dxa"/>
            <w:gridSpan w:val="2"/>
            <w:noWrap w:val="0"/>
            <w:vAlign w:val="top"/>
          </w:tcPr>
          <w:p>
            <w:pPr>
              <w:spacing w:line="360" w:lineRule="auto"/>
              <w:rPr>
                <w:rFonts w:hint="eastAsia" w:ascii="仿宋" w:hAnsi="仿宋" w:eastAsia="仿宋" w:cs="仿宋"/>
                <w:bCs/>
                <w:color w:val="auto"/>
                <w:szCs w:val="30"/>
              </w:rPr>
            </w:pPr>
          </w:p>
        </w:tc>
        <w:tc>
          <w:tcPr>
            <w:tcW w:w="716" w:type="dxa"/>
            <w:gridSpan w:val="2"/>
            <w:noWrap w:val="0"/>
            <w:vAlign w:val="top"/>
          </w:tcPr>
          <w:p>
            <w:pPr>
              <w:spacing w:line="360" w:lineRule="auto"/>
              <w:rPr>
                <w:rFonts w:hint="eastAsia" w:ascii="仿宋" w:hAnsi="仿宋" w:eastAsia="仿宋" w:cs="仿宋"/>
                <w:bCs/>
                <w:color w:val="auto"/>
                <w:szCs w:val="30"/>
              </w:rPr>
            </w:pPr>
          </w:p>
        </w:tc>
        <w:tc>
          <w:tcPr>
            <w:tcW w:w="1126" w:type="dxa"/>
            <w:gridSpan w:val="4"/>
            <w:noWrap w:val="0"/>
            <w:vAlign w:val="top"/>
          </w:tcPr>
          <w:p>
            <w:pPr>
              <w:spacing w:line="360" w:lineRule="auto"/>
              <w:rPr>
                <w:rFonts w:hint="eastAsia" w:ascii="仿宋" w:hAnsi="仿宋" w:eastAsia="仿宋" w:cs="仿宋"/>
                <w:bCs/>
                <w:color w:val="auto"/>
                <w:szCs w:val="30"/>
              </w:rPr>
            </w:pPr>
          </w:p>
        </w:tc>
        <w:tc>
          <w:tcPr>
            <w:tcW w:w="1140" w:type="dxa"/>
            <w:gridSpan w:val="5"/>
            <w:noWrap w:val="0"/>
            <w:vAlign w:val="top"/>
          </w:tcPr>
          <w:p>
            <w:pPr>
              <w:spacing w:line="360" w:lineRule="auto"/>
              <w:rPr>
                <w:rFonts w:hint="eastAsia" w:ascii="仿宋" w:hAnsi="仿宋" w:eastAsia="仿宋" w:cs="仿宋"/>
                <w:bCs/>
                <w:color w:val="auto"/>
                <w:szCs w:val="30"/>
              </w:rPr>
            </w:pPr>
          </w:p>
        </w:tc>
        <w:tc>
          <w:tcPr>
            <w:tcW w:w="1478" w:type="dxa"/>
            <w:gridSpan w:val="4"/>
            <w:noWrap w:val="0"/>
            <w:vAlign w:val="top"/>
          </w:tcPr>
          <w:p>
            <w:pPr>
              <w:spacing w:line="360" w:lineRule="auto"/>
              <w:rPr>
                <w:rFonts w:hint="eastAsia" w:ascii="仿宋" w:hAnsi="仿宋" w:eastAsia="仿宋" w:cs="仿宋"/>
                <w:bCs/>
                <w:color w:val="auto"/>
                <w:szCs w:val="30"/>
              </w:rPr>
            </w:pPr>
          </w:p>
        </w:tc>
        <w:tc>
          <w:tcPr>
            <w:tcW w:w="1526" w:type="dxa"/>
            <w:gridSpan w:val="4"/>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513" w:type="dxa"/>
            <w:vMerge w:val="continue"/>
            <w:noWrap w:val="0"/>
            <w:vAlign w:val="top"/>
          </w:tcPr>
          <w:p>
            <w:pPr>
              <w:spacing w:line="360" w:lineRule="auto"/>
              <w:rPr>
                <w:rFonts w:hint="eastAsia" w:ascii="仿宋" w:hAnsi="仿宋" w:eastAsia="仿宋" w:cs="仿宋"/>
                <w:bCs/>
                <w:color w:val="auto"/>
                <w:szCs w:val="30"/>
              </w:rPr>
            </w:pPr>
          </w:p>
        </w:tc>
        <w:tc>
          <w:tcPr>
            <w:tcW w:w="2756" w:type="dxa"/>
            <w:gridSpan w:val="9"/>
            <w:noWrap w:val="0"/>
            <w:vAlign w:val="top"/>
          </w:tcPr>
          <w:p>
            <w:pPr>
              <w:spacing w:line="360" w:lineRule="auto"/>
              <w:rPr>
                <w:rFonts w:hint="eastAsia" w:ascii="仿宋" w:hAnsi="仿宋" w:eastAsia="仿宋" w:cs="仿宋"/>
                <w:bCs/>
                <w:color w:val="auto"/>
                <w:szCs w:val="30"/>
              </w:rPr>
            </w:pPr>
          </w:p>
        </w:tc>
        <w:tc>
          <w:tcPr>
            <w:tcW w:w="685" w:type="dxa"/>
            <w:gridSpan w:val="2"/>
            <w:noWrap w:val="0"/>
            <w:vAlign w:val="top"/>
          </w:tcPr>
          <w:p>
            <w:pPr>
              <w:spacing w:line="360" w:lineRule="auto"/>
              <w:rPr>
                <w:rFonts w:hint="eastAsia" w:ascii="仿宋" w:hAnsi="仿宋" w:eastAsia="仿宋" w:cs="仿宋"/>
                <w:bCs/>
                <w:color w:val="auto"/>
                <w:szCs w:val="30"/>
              </w:rPr>
            </w:pPr>
          </w:p>
        </w:tc>
        <w:tc>
          <w:tcPr>
            <w:tcW w:w="716" w:type="dxa"/>
            <w:gridSpan w:val="2"/>
            <w:noWrap w:val="0"/>
            <w:vAlign w:val="top"/>
          </w:tcPr>
          <w:p>
            <w:pPr>
              <w:spacing w:line="360" w:lineRule="auto"/>
              <w:rPr>
                <w:rFonts w:hint="eastAsia" w:ascii="仿宋" w:hAnsi="仿宋" w:eastAsia="仿宋" w:cs="仿宋"/>
                <w:bCs/>
                <w:color w:val="auto"/>
                <w:szCs w:val="30"/>
              </w:rPr>
            </w:pPr>
          </w:p>
        </w:tc>
        <w:tc>
          <w:tcPr>
            <w:tcW w:w="1126" w:type="dxa"/>
            <w:gridSpan w:val="4"/>
            <w:noWrap w:val="0"/>
            <w:vAlign w:val="top"/>
          </w:tcPr>
          <w:p>
            <w:pPr>
              <w:spacing w:line="360" w:lineRule="auto"/>
              <w:rPr>
                <w:rFonts w:hint="eastAsia" w:ascii="仿宋" w:hAnsi="仿宋" w:eastAsia="仿宋" w:cs="仿宋"/>
                <w:bCs/>
                <w:color w:val="auto"/>
                <w:szCs w:val="30"/>
              </w:rPr>
            </w:pPr>
          </w:p>
        </w:tc>
        <w:tc>
          <w:tcPr>
            <w:tcW w:w="1140" w:type="dxa"/>
            <w:gridSpan w:val="5"/>
            <w:noWrap w:val="0"/>
            <w:vAlign w:val="top"/>
          </w:tcPr>
          <w:p>
            <w:pPr>
              <w:spacing w:line="360" w:lineRule="auto"/>
              <w:rPr>
                <w:rFonts w:hint="eastAsia" w:ascii="仿宋" w:hAnsi="仿宋" w:eastAsia="仿宋" w:cs="仿宋"/>
                <w:bCs/>
                <w:color w:val="auto"/>
                <w:szCs w:val="30"/>
              </w:rPr>
            </w:pPr>
          </w:p>
        </w:tc>
        <w:tc>
          <w:tcPr>
            <w:tcW w:w="1478" w:type="dxa"/>
            <w:gridSpan w:val="4"/>
            <w:noWrap w:val="0"/>
            <w:vAlign w:val="top"/>
          </w:tcPr>
          <w:p>
            <w:pPr>
              <w:spacing w:line="360" w:lineRule="auto"/>
              <w:rPr>
                <w:rFonts w:hint="eastAsia" w:ascii="仿宋" w:hAnsi="仿宋" w:eastAsia="仿宋" w:cs="仿宋"/>
                <w:bCs/>
                <w:color w:val="auto"/>
                <w:szCs w:val="30"/>
              </w:rPr>
            </w:pPr>
          </w:p>
        </w:tc>
        <w:tc>
          <w:tcPr>
            <w:tcW w:w="1526" w:type="dxa"/>
            <w:gridSpan w:val="4"/>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513" w:type="dxa"/>
            <w:vMerge w:val="continue"/>
            <w:noWrap w:val="0"/>
            <w:vAlign w:val="top"/>
          </w:tcPr>
          <w:p>
            <w:pPr>
              <w:spacing w:line="360" w:lineRule="auto"/>
              <w:rPr>
                <w:rFonts w:hint="eastAsia" w:ascii="仿宋" w:hAnsi="仿宋" w:eastAsia="仿宋" w:cs="仿宋"/>
                <w:bCs/>
                <w:color w:val="auto"/>
                <w:szCs w:val="30"/>
              </w:rPr>
            </w:pPr>
          </w:p>
        </w:tc>
        <w:tc>
          <w:tcPr>
            <w:tcW w:w="2756" w:type="dxa"/>
            <w:gridSpan w:val="9"/>
            <w:noWrap w:val="0"/>
            <w:vAlign w:val="top"/>
          </w:tcPr>
          <w:p>
            <w:pPr>
              <w:spacing w:line="360" w:lineRule="auto"/>
              <w:rPr>
                <w:rFonts w:hint="eastAsia" w:ascii="仿宋" w:hAnsi="仿宋" w:eastAsia="仿宋" w:cs="仿宋"/>
                <w:bCs/>
                <w:color w:val="auto"/>
                <w:szCs w:val="30"/>
              </w:rPr>
            </w:pPr>
          </w:p>
        </w:tc>
        <w:tc>
          <w:tcPr>
            <w:tcW w:w="685" w:type="dxa"/>
            <w:gridSpan w:val="2"/>
            <w:noWrap w:val="0"/>
            <w:vAlign w:val="top"/>
          </w:tcPr>
          <w:p>
            <w:pPr>
              <w:spacing w:line="360" w:lineRule="auto"/>
              <w:rPr>
                <w:rFonts w:hint="eastAsia" w:ascii="仿宋" w:hAnsi="仿宋" w:eastAsia="仿宋" w:cs="仿宋"/>
                <w:bCs/>
                <w:color w:val="auto"/>
                <w:szCs w:val="30"/>
              </w:rPr>
            </w:pPr>
          </w:p>
        </w:tc>
        <w:tc>
          <w:tcPr>
            <w:tcW w:w="716" w:type="dxa"/>
            <w:gridSpan w:val="2"/>
            <w:noWrap w:val="0"/>
            <w:vAlign w:val="top"/>
          </w:tcPr>
          <w:p>
            <w:pPr>
              <w:spacing w:line="360" w:lineRule="auto"/>
              <w:rPr>
                <w:rFonts w:hint="eastAsia" w:ascii="仿宋" w:hAnsi="仿宋" w:eastAsia="仿宋" w:cs="仿宋"/>
                <w:bCs/>
                <w:color w:val="auto"/>
                <w:szCs w:val="30"/>
              </w:rPr>
            </w:pPr>
          </w:p>
        </w:tc>
        <w:tc>
          <w:tcPr>
            <w:tcW w:w="1126" w:type="dxa"/>
            <w:gridSpan w:val="4"/>
            <w:noWrap w:val="0"/>
            <w:vAlign w:val="top"/>
          </w:tcPr>
          <w:p>
            <w:pPr>
              <w:spacing w:line="360" w:lineRule="auto"/>
              <w:rPr>
                <w:rFonts w:hint="eastAsia" w:ascii="仿宋" w:hAnsi="仿宋" w:eastAsia="仿宋" w:cs="仿宋"/>
                <w:bCs/>
                <w:color w:val="auto"/>
                <w:szCs w:val="30"/>
              </w:rPr>
            </w:pPr>
          </w:p>
        </w:tc>
        <w:tc>
          <w:tcPr>
            <w:tcW w:w="1140" w:type="dxa"/>
            <w:gridSpan w:val="5"/>
            <w:noWrap w:val="0"/>
            <w:vAlign w:val="top"/>
          </w:tcPr>
          <w:p>
            <w:pPr>
              <w:spacing w:line="360" w:lineRule="auto"/>
              <w:rPr>
                <w:rFonts w:hint="eastAsia" w:ascii="仿宋" w:hAnsi="仿宋" w:eastAsia="仿宋" w:cs="仿宋"/>
                <w:bCs/>
                <w:color w:val="auto"/>
                <w:szCs w:val="30"/>
              </w:rPr>
            </w:pPr>
          </w:p>
        </w:tc>
        <w:tc>
          <w:tcPr>
            <w:tcW w:w="1478" w:type="dxa"/>
            <w:gridSpan w:val="4"/>
            <w:noWrap w:val="0"/>
            <w:vAlign w:val="top"/>
          </w:tcPr>
          <w:p>
            <w:pPr>
              <w:spacing w:line="360" w:lineRule="auto"/>
              <w:rPr>
                <w:rFonts w:hint="eastAsia" w:ascii="仿宋" w:hAnsi="仿宋" w:eastAsia="仿宋" w:cs="仿宋"/>
                <w:bCs/>
                <w:color w:val="auto"/>
                <w:szCs w:val="30"/>
              </w:rPr>
            </w:pPr>
          </w:p>
        </w:tc>
        <w:tc>
          <w:tcPr>
            <w:tcW w:w="1526" w:type="dxa"/>
            <w:gridSpan w:val="4"/>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513" w:type="dxa"/>
            <w:vMerge w:val="continue"/>
            <w:noWrap w:val="0"/>
            <w:vAlign w:val="top"/>
          </w:tcPr>
          <w:p>
            <w:pPr>
              <w:spacing w:line="360" w:lineRule="auto"/>
              <w:rPr>
                <w:rFonts w:hint="eastAsia" w:ascii="仿宋" w:hAnsi="仿宋" w:eastAsia="仿宋" w:cs="仿宋"/>
                <w:bCs/>
                <w:color w:val="auto"/>
                <w:szCs w:val="30"/>
              </w:rPr>
            </w:pPr>
          </w:p>
        </w:tc>
        <w:tc>
          <w:tcPr>
            <w:tcW w:w="2756" w:type="dxa"/>
            <w:gridSpan w:val="9"/>
            <w:noWrap w:val="0"/>
            <w:vAlign w:val="top"/>
          </w:tcPr>
          <w:p>
            <w:pPr>
              <w:spacing w:line="360" w:lineRule="auto"/>
              <w:rPr>
                <w:rFonts w:hint="eastAsia" w:ascii="仿宋" w:hAnsi="仿宋" w:eastAsia="仿宋" w:cs="仿宋"/>
                <w:bCs/>
                <w:color w:val="auto"/>
                <w:szCs w:val="30"/>
              </w:rPr>
            </w:pPr>
          </w:p>
        </w:tc>
        <w:tc>
          <w:tcPr>
            <w:tcW w:w="685" w:type="dxa"/>
            <w:gridSpan w:val="2"/>
            <w:noWrap w:val="0"/>
            <w:vAlign w:val="top"/>
          </w:tcPr>
          <w:p>
            <w:pPr>
              <w:spacing w:line="360" w:lineRule="auto"/>
              <w:rPr>
                <w:rFonts w:hint="eastAsia" w:ascii="仿宋" w:hAnsi="仿宋" w:eastAsia="仿宋" w:cs="仿宋"/>
                <w:bCs/>
                <w:color w:val="auto"/>
                <w:szCs w:val="30"/>
              </w:rPr>
            </w:pPr>
          </w:p>
        </w:tc>
        <w:tc>
          <w:tcPr>
            <w:tcW w:w="716" w:type="dxa"/>
            <w:gridSpan w:val="2"/>
            <w:noWrap w:val="0"/>
            <w:vAlign w:val="top"/>
          </w:tcPr>
          <w:p>
            <w:pPr>
              <w:spacing w:line="360" w:lineRule="auto"/>
              <w:rPr>
                <w:rFonts w:hint="eastAsia" w:ascii="仿宋" w:hAnsi="仿宋" w:eastAsia="仿宋" w:cs="仿宋"/>
                <w:bCs/>
                <w:color w:val="auto"/>
                <w:szCs w:val="30"/>
              </w:rPr>
            </w:pPr>
          </w:p>
        </w:tc>
        <w:tc>
          <w:tcPr>
            <w:tcW w:w="1126" w:type="dxa"/>
            <w:gridSpan w:val="4"/>
            <w:noWrap w:val="0"/>
            <w:vAlign w:val="top"/>
          </w:tcPr>
          <w:p>
            <w:pPr>
              <w:spacing w:line="360" w:lineRule="auto"/>
              <w:rPr>
                <w:rFonts w:hint="eastAsia" w:ascii="仿宋" w:hAnsi="仿宋" w:eastAsia="仿宋" w:cs="仿宋"/>
                <w:bCs/>
                <w:color w:val="auto"/>
                <w:szCs w:val="30"/>
              </w:rPr>
            </w:pPr>
          </w:p>
        </w:tc>
        <w:tc>
          <w:tcPr>
            <w:tcW w:w="1140" w:type="dxa"/>
            <w:gridSpan w:val="5"/>
            <w:noWrap w:val="0"/>
            <w:vAlign w:val="top"/>
          </w:tcPr>
          <w:p>
            <w:pPr>
              <w:spacing w:line="360" w:lineRule="auto"/>
              <w:rPr>
                <w:rFonts w:hint="eastAsia" w:ascii="仿宋" w:hAnsi="仿宋" w:eastAsia="仿宋" w:cs="仿宋"/>
                <w:bCs/>
                <w:color w:val="auto"/>
                <w:szCs w:val="30"/>
              </w:rPr>
            </w:pPr>
          </w:p>
        </w:tc>
        <w:tc>
          <w:tcPr>
            <w:tcW w:w="1478" w:type="dxa"/>
            <w:gridSpan w:val="4"/>
            <w:noWrap w:val="0"/>
            <w:vAlign w:val="top"/>
          </w:tcPr>
          <w:p>
            <w:pPr>
              <w:spacing w:line="360" w:lineRule="auto"/>
              <w:rPr>
                <w:rFonts w:hint="eastAsia" w:ascii="仿宋" w:hAnsi="仿宋" w:eastAsia="仿宋" w:cs="仿宋"/>
                <w:bCs/>
                <w:color w:val="auto"/>
                <w:szCs w:val="30"/>
              </w:rPr>
            </w:pPr>
          </w:p>
        </w:tc>
        <w:tc>
          <w:tcPr>
            <w:tcW w:w="1526" w:type="dxa"/>
            <w:gridSpan w:val="4"/>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13" w:type="dxa"/>
            <w:vMerge w:val="continue"/>
            <w:noWrap w:val="0"/>
            <w:vAlign w:val="top"/>
          </w:tcPr>
          <w:p>
            <w:pPr>
              <w:spacing w:line="360" w:lineRule="auto"/>
              <w:rPr>
                <w:rFonts w:hint="eastAsia" w:ascii="仿宋" w:hAnsi="仿宋" w:eastAsia="仿宋" w:cs="仿宋"/>
                <w:bCs/>
                <w:color w:val="auto"/>
                <w:szCs w:val="30"/>
              </w:rPr>
            </w:pPr>
          </w:p>
        </w:tc>
        <w:tc>
          <w:tcPr>
            <w:tcW w:w="2756" w:type="dxa"/>
            <w:gridSpan w:val="9"/>
            <w:noWrap w:val="0"/>
            <w:vAlign w:val="top"/>
          </w:tcPr>
          <w:p>
            <w:pPr>
              <w:spacing w:line="360" w:lineRule="auto"/>
              <w:rPr>
                <w:rFonts w:hint="eastAsia" w:ascii="仿宋" w:hAnsi="仿宋" w:eastAsia="仿宋" w:cs="仿宋"/>
                <w:bCs/>
                <w:color w:val="auto"/>
                <w:szCs w:val="30"/>
              </w:rPr>
            </w:pPr>
          </w:p>
        </w:tc>
        <w:tc>
          <w:tcPr>
            <w:tcW w:w="685" w:type="dxa"/>
            <w:gridSpan w:val="2"/>
            <w:noWrap w:val="0"/>
            <w:vAlign w:val="top"/>
          </w:tcPr>
          <w:p>
            <w:pPr>
              <w:spacing w:line="360" w:lineRule="auto"/>
              <w:rPr>
                <w:rFonts w:hint="eastAsia" w:ascii="仿宋" w:hAnsi="仿宋" w:eastAsia="仿宋" w:cs="仿宋"/>
                <w:bCs/>
                <w:color w:val="auto"/>
                <w:szCs w:val="30"/>
              </w:rPr>
            </w:pPr>
          </w:p>
        </w:tc>
        <w:tc>
          <w:tcPr>
            <w:tcW w:w="716" w:type="dxa"/>
            <w:gridSpan w:val="2"/>
            <w:noWrap w:val="0"/>
            <w:vAlign w:val="top"/>
          </w:tcPr>
          <w:p>
            <w:pPr>
              <w:spacing w:line="360" w:lineRule="auto"/>
              <w:rPr>
                <w:rFonts w:hint="eastAsia" w:ascii="仿宋" w:hAnsi="仿宋" w:eastAsia="仿宋" w:cs="仿宋"/>
                <w:bCs/>
                <w:color w:val="auto"/>
                <w:szCs w:val="30"/>
              </w:rPr>
            </w:pPr>
          </w:p>
        </w:tc>
        <w:tc>
          <w:tcPr>
            <w:tcW w:w="1126" w:type="dxa"/>
            <w:gridSpan w:val="4"/>
            <w:noWrap w:val="0"/>
            <w:vAlign w:val="top"/>
          </w:tcPr>
          <w:p>
            <w:pPr>
              <w:spacing w:line="360" w:lineRule="auto"/>
              <w:rPr>
                <w:rFonts w:hint="eastAsia" w:ascii="仿宋" w:hAnsi="仿宋" w:eastAsia="仿宋" w:cs="仿宋"/>
                <w:bCs/>
                <w:color w:val="auto"/>
                <w:szCs w:val="30"/>
              </w:rPr>
            </w:pPr>
          </w:p>
        </w:tc>
        <w:tc>
          <w:tcPr>
            <w:tcW w:w="1140" w:type="dxa"/>
            <w:gridSpan w:val="5"/>
            <w:noWrap w:val="0"/>
            <w:vAlign w:val="top"/>
          </w:tcPr>
          <w:p>
            <w:pPr>
              <w:spacing w:line="360" w:lineRule="auto"/>
              <w:rPr>
                <w:rFonts w:hint="eastAsia" w:ascii="仿宋" w:hAnsi="仿宋" w:eastAsia="仿宋" w:cs="仿宋"/>
                <w:bCs/>
                <w:color w:val="auto"/>
                <w:szCs w:val="30"/>
              </w:rPr>
            </w:pPr>
          </w:p>
        </w:tc>
        <w:tc>
          <w:tcPr>
            <w:tcW w:w="1478" w:type="dxa"/>
            <w:gridSpan w:val="4"/>
            <w:noWrap w:val="0"/>
            <w:vAlign w:val="top"/>
          </w:tcPr>
          <w:p>
            <w:pPr>
              <w:spacing w:line="360" w:lineRule="auto"/>
              <w:rPr>
                <w:rFonts w:hint="eastAsia" w:ascii="仿宋" w:hAnsi="仿宋" w:eastAsia="仿宋" w:cs="仿宋"/>
                <w:bCs/>
                <w:color w:val="auto"/>
                <w:szCs w:val="30"/>
              </w:rPr>
            </w:pPr>
          </w:p>
        </w:tc>
        <w:tc>
          <w:tcPr>
            <w:tcW w:w="1526" w:type="dxa"/>
            <w:gridSpan w:val="4"/>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13" w:type="dxa"/>
            <w:vMerge w:val="continue"/>
            <w:noWrap w:val="0"/>
            <w:vAlign w:val="top"/>
          </w:tcPr>
          <w:p>
            <w:pPr>
              <w:spacing w:line="360" w:lineRule="auto"/>
              <w:rPr>
                <w:rFonts w:hint="eastAsia" w:ascii="仿宋" w:hAnsi="仿宋" w:eastAsia="仿宋" w:cs="仿宋"/>
                <w:bCs/>
                <w:color w:val="auto"/>
                <w:szCs w:val="30"/>
              </w:rPr>
            </w:pPr>
          </w:p>
        </w:tc>
        <w:tc>
          <w:tcPr>
            <w:tcW w:w="4157" w:type="dxa"/>
            <w:gridSpan w:val="13"/>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其他材料费</w:t>
            </w:r>
          </w:p>
        </w:tc>
        <w:tc>
          <w:tcPr>
            <w:tcW w:w="1126" w:type="dxa"/>
            <w:gridSpan w:val="4"/>
            <w:noWrap w:val="0"/>
            <w:vAlign w:val="top"/>
          </w:tcPr>
          <w:p>
            <w:pPr>
              <w:spacing w:line="360" w:lineRule="auto"/>
              <w:rPr>
                <w:rFonts w:hint="eastAsia" w:ascii="仿宋" w:hAnsi="仿宋" w:eastAsia="仿宋" w:cs="仿宋"/>
                <w:bCs/>
                <w:color w:val="auto"/>
                <w:szCs w:val="30"/>
              </w:rPr>
            </w:pPr>
          </w:p>
        </w:tc>
        <w:tc>
          <w:tcPr>
            <w:tcW w:w="1140" w:type="dxa"/>
            <w:gridSpan w:val="5"/>
            <w:noWrap w:val="0"/>
            <w:vAlign w:val="top"/>
          </w:tcPr>
          <w:p>
            <w:pPr>
              <w:spacing w:line="360" w:lineRule="auto"/>
              <w:rPr>
                <w:rFonts w:hint="eastAsia" w:ascii="仿宋" w:hAnsi="仿宋" w:eastAsia="仿宋" w:cs="仿宋"/>
                <w:bCs/>
                <w:color w:val="auto"/>
                <w:szCs w:val="30"/>
              </w:rPr>
            </w:pPr>
          </w:p>
        </w:tc>
        <w:tc>
          <w:tcPr>
            <w:tcW w:w="1478" w:type="dxa"/>
            <w:gridSpan w:val="4"/>
            <w:noWrap w:val="0"/>
            <w:vAlign w:val="top"/>
          </w:tcPr>
          <w:p>
            <w:pPr>
              <w:spacing w:line="360" w:lineRule="auto"/>
              <w:rPr>
                <w:rFonts w:hint="eastAsia" w:ascii="仿宋" w:hAnsi="仿宋" w:eastAsia="仿宋" w:cs="仿宋"/>
                <w:bCs/>
                <w:color w:val="auto"/>
                <w:szCs w:val="30"/>
              </w:rPr>
            </w:pPr>
          </w:p>
        </w:tc>
        <w:tc>
          <w:tcPr>
            <w:tcW w:w="1526" w:type="dxa"/>
            <w:gridSpan w:val="4"/>
            <w:noWrap w:val="0"/>
            <w:vAlign w:val="top"/>
          </w:tcPr>
          <w:p>
            <w:pPr>
              <w:spacing w:line="360" w:lineRule="auto"/>
              <w:rPr>
                <w:rFonts w:hint="eastAsia" w:ascii="仿宋" w:hAnsi="仿宋" w:eastAsia="仿宋" w:cs="仿宋"/>
                <w:bCs/>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513" w:type="dxa"/>
            <w:vMerge w:val="continue"/>
            <w:noWrap w:val="0"/>
            <w:vAlign w:val="top"/>
          </w:tcPr>
          <w:p>
            <w:pPr>
              <w:spacing w:line="360" w:lineRule="auto"/>
              <w:rPr>
                <w:rFonts w:hint="eastAsia" w:ascii="仿宋" w:hAnsi="仿宋" w:eastAsia="仿宋" w:cs="仿宋"/>
                <w:bCs/>
                <w:color w:val="auto"/>
                <w:szCs w:val="30"/>
              </w:rPr>
            </w:pPr>
          </w:p>
        </w:tc>
        <w:tc>
          <w:tcPr>
            <w:tcW w:w="4157" w:type="dxa"/>
            <w:gridSpan w:val="13"/>
            <w:noWrap w:val="0"/>
            <w:vAlign w:val="top"/>
          </w:tcPr>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材料费小计</w:t>
            </w:r>
          </w:p>
        </w:tc>
        <w:tc>
          <w:tcPr>
            <w:tcW w:w="1126" w:type="dxa"/>
            <w:gridSpan w:val="4"/>
            <w:noWrap w:val="0"/>
            <w:vAlign w:val="top"/>
          </w:tcPr>
          <w:p>
            <w:pPr>
              <w:spacing w:line="360" w:lineRule="auto"/>
              <w:rPr>
                <w:rFonts w:hint="eastAsia" w:ascii="仿宋" w:hAnsi="仿宋" w:eastAsia="仿宋" w:cs="仿宋"/>
                <w:bCs/>
                <w:color w:val="auto"/>
                <w:szCs w:val="30"/>
              </w:rPr>
            </w:pPr>
          </w:p>
        </w:tc>
        <w:tc>
          <w:tcPr>
            <w:tcW w:w="1140" w:type="dxa"/>
            <w:gridSpan w:val="5"/>
            <w:noWrap w:val="0"/>
            <w:vAlign w:val="top"/>
          </w:tcPr>
          <w:p>
            <w:pPr>
              <w:spacing w:line="360" w:lineRule="auto"/>
              <w:rPr>
                <w:rFonts w:hint="eastAsia" w:ascii="仿宋" w:hAnsi="仿宋" w:eastAsia="仿宋" w:cs="仿宋"/>
                <w:bCs/>
                <w:color w:val="auto"/>
                <w:szCs w:val="30"/>
              </w:rPr>
            </w:pPr>
          </w:p>
        </w:tc>
        <w:tc>
          <w:tcPr>
            <w:tcW w:w="1478" w:type="dxa"/>
            <w:gridSpan w:val="4"/>
            <w:noWrap w:val="0"/>
            <w:vAlign w:val="top"/>
          </w:tcPr>
          <w:p>
            <w:pPr>
              <w:spacing w:line="360" w:lineRule="auto"/>
              <w:rPr>
                <w:rFonts w:hint="eastAsia" w:ascii="仿宋" w:hAnsi="仿宋" w:eastAsia="仿宋" w:cs="仿宋"/>
                <w:bCs/>
                <w:color w:val="auto"/>
                <w:szCs w:val="30"/>
              </w:rPr>
            </w:pPr>
          </w:p>
        </w:tc>
        <w:tc>
          <w:tcPr>
            <w:tcW w:w="1526" w:type="dxa"/>
            <w:gridSpan w:val="4"/>
            <w:noWrap w:val="0"/>
            <w:vAlign w:val="top"/>
          </w:tcPr>
          <w:p>
            <w:pPr>
              <w:spacing w:line="360" w:lineRule="auto"/>
              <w:rPr>
                <w:rFonts w:hint="eastAsia" w:ascii="仿宋" w:hAnsi="仿宋" w:eastAsia="仿宋" w:cs="仿宋"/>
                <w:bCs/>
                <w:color w:val="auto"/>
                <w:szCs w:val="30"/>
              </w:rPr>
            </w:pPr>
          </w:p>
        </w:tc>
      </w:tr>
    </w:tbl>
    <w:p>
      <w:p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注:1、如不使用省级或行业建设主管部门发布的计价依据，可不填写定额项目、编号等。</w:t>
      </w:r>
    </w:p>
    <w:p>
      <w:pPr>
        <w:numPr>
          <w:ilvl w:val="0"/>
          <w:numId w:val="15"/>
        </w:numPr>
        <w:spacing w:line="360" w:lineRule="auto"/>
        <w:rPr>
          <w:rFonts w:hint="eastAsia" w:ascii="仿宋" w:hAnsi="仿宋" w:eastAsia="仿宋" w:cs="仿宋"/>
          <w:bCs/>
          <w:color w:val="auto"/>
          <w:szCs w:val="30"/>
        </w:rPr>
      </w:pPr>
      <w:r>
        <w:rPr>
          <w:rFonts w:hint="eastAsia" w:ascii="仿宋" w:hAnsi="仿宋" w:eastAsia="仿宋" w:cs="仿宋"/>
          <w:bCs/>
          <w:color w:val="auto"/>
          <w:szCs w:val="30"/>
        </w:rPr>
        <w:t>招标文件提供了暂估单价的材料，按暂估单价填入表内“暂估单价”栏及“暂估合价”栏。</w:t>
      </w:r>
    </w:p>
    <w:p>
      <w:pPr>
        <w:spacing w:line="360" w:lineRule="auto"/>
        <w:rPr>
          <w:rFonts w:hint="eastAsia" w:ascii="仿宋" w:hAnsi="仿宋" w:eastAsia="仿宋" w:cs="仿宋"/>
          <w:bCs/>
          <w:color w:val="auto"/>
          <w:szCs w:val="30"/>
        </w:rPr>
        <w:sectPr>
          <w:headerReference r:id="rId7" w:type="first"/>
          <w:headerReference r:id="rId5" w:type="default"/>
          <w:footerReference r:id="rId8" w:type="default"/>
          <w:headerReference r:id="rId6" w:type="even"/>
          <w:footerReference r:id="rId9" w:type="even"/>
          <w:pgSz w:w="11906" w:h="16838"/>
          <w:pgMar w:top="850" w:right="1077" w:bottom="850" w:left="1077" w:header="851" w:footer="624" w:gutter="227"/>
          <w:pgNumType w:fmt="numberInDash"/>
          <w:cols w:space="720" w:num="1"/>
          <w:docGrid w:type="lines" w:linePitch="315" w:charSpace="0"/>
        </w:sectPr>
      </w:pPr>
    </w:p>
    <w:p>
      <w:pPr>
        <w:tabs>
          <w:tab w:val="left" w:pos="4100"/>
        </w:tabs>
        <w:spacing w:line="460" w:lineRule="atLeast"/>
        <w:ind w:right="-20"/>
        <w:jc w:val="center"/>
        <w:rPr>
          <w:rFonts w:hint="eastAsia" w:ascii="仿宋" w:hAnsi="仿宋" w:eastAsia="仿宋" w:cs="仿宋"/>
          <w:bCs/>
          <w:color w:val="auto"/>
          <w:sz w:val="30"/>
          <w:szCs w:val="30"/>
        </w:rPr>
      </w:pPr>
      <w:r>
        <w:rPr>
          <w:rFonts w:hint="eastAsia" w:ascii="仿宋" w:hAnsi="仿宋" w:eastAsia="仿宋" w:cs="仿宋"/>
          <w:bCs/>
          <w:color w:val="auto"/>
          <w:sz w:val="30"/>
          <w:szCs w:val="30"/>
          <w:lang w:val="en-US" w:eastAsia="zh-CN"/>
        </w:rPr>
        <w:t>19、</w:t>
      </w:r>
      <w:r>
        <w:rPr>
          <w:rFonts w:hint="eastAsia" w:ascii="仿宋" w:hAnsi="仿宋" w:eastAsia="仿宋" w:cs="仿宋"/>
          <w:bCs/>
          <w:color w:val="auto"/>
          <w:sz w:val="30"/>
          <w:szCs w:val="30"/>
        </w:rPr>
        <w:t>总价措施项目清单与计价表</w:t>
      </w:r>
    </w:p>
    <w:p>
      <w:pPr>
        <w:tabs>
          <w:tab w:val="left" w:pos="7980"/>
          <w:tab w:val="left" w:pos="8620"/>
          <w:tab w:val="left" w:pos="9460"/>
        </w:tabs>
        <w:ind w:right="522"/>
        <w:jc w:val="left"/>
        <w:rPr>
          <w:rFonts w:hint="eastAsia" w:ascii="仿宋" w:hAnsi="仿宋" w:eastAsia="仿宋" w:cs="仿宋"/>
          <w:color w:val="auto"/>
          <w:sz w:val="24"/>
          <w:szCs w:val="24"/>
        </w:rPr>
      </w:pPr>
      <w:r>
        <w:rPr>
          <w:rFonts w:hint="eastAsia" w:ascii="仿宋" w:hAnsi="仿宋" w:eastAsia="仿宋" w:cs="仿宋"/>
          <w:color w:val="auto"/>
          <w:sz w:val="24"/>
          <w:szCs w:val="24"/>
        </w:rPr>
        <w:t>工程名称：                                                     第 页  共 页</w:t>
      </w:r>
    </w:p>
    <w:tbl>
      <w:tblPr>
        <w:tblStyle w:val="25"/>
        <w:tblpPr w:leftFromText="180" w:rightFromText="180" w:vertAnchor="text" w:horzAnchor="page" w:tblpXSpec="center" w:tblpY="277"/>
        <w:tblOverlap w:val="never"/>
        <w:tblW w:w="0" w:type="auto"/>
        <w:jc w:val="center"/>
        <w:tblLayout w:type="fixed"/>
        <w:tblCellMar>
          <w:top w:w="0" w:type="dxa"/>
          <w:left w:w="0" w:type="dxa"/>
          <w:bottom w:w="0" w:type="dxa"/>
          <w:right w:w="0" w:type="dxa"/>
        </w:tblCellMar>
      </w:tblPr>
      <w:tblGrid>
        <w:gridCol w:w="554"/>
        <w:gridCol w:w="1200"/>
        <w:gridCol w:w="1200"/>
        <w:gridCol w:w="1200"/>
        <w:gridCol w:w="1200"/>
        <w:gridCol w:w="1200"/>
        <w:gridCol w:w="1200"/>
        <w:gridCol w:w="1203"/>
        <w:gridCol w:w="843"/>
      </w:tblGrid>
      <w:tr>
        <w:tblPrEx>
          <w:tblCellMar>
            <w:top w:w="0" w:type="dxa"/>
            <w:left w:w="0" w:type="dxa"/>
            <w:bottom w:w="0" w:type="dxa"/>
            <w:right w:w="0" w:type="dxa"/>
          </w:tblCellMar>
        </w:tblPrEx>
        <w:trPr>
          <w:trHeight w:val="797" w:hRule="exac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pPr>
              <w:ind w:right="4"/>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Cs w:val="21"/>
              </w:rPr>
            </w:pPr>
            <w:r>
              <w:rPr>
                <w:rFonts w:hint="eastAsia" w:ascii="仿宋" w:hAnsi="仿宋" w:eastAsia="仿宋" w:cs="仿宋"/>
                <w:color w:val="auto"/>
                <w:szCs w:val="21"/>
              </w:rPr>
              <w:t>项目编码</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Cs w:val="21"/>
              </w:rPr>
            </w:pPr>
            <w:r>
              <w:rPr>
                <w:rFonts w:hint="eastAsia" w:ascii="仿宋" w:hAnsi="仿宋" w:eastAsia="仿宋" w:cs="仿宋"/>
                <w:color w:val="auto"/>
                <w:szCs w:val="21"/>
              </w:rPr>
              <w:t>计算基础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Cs w:val="21"/>
              </w:rPr>
            </w:pPr>
            <w:r>
              <w:rPr>
                <w:rFonts w:hint="eastAsia" w:ascii="仿宋" w:hAnsi="仿宋" w:eastAsia="仿宋" w:cs="仿宋"/>
                <w:color w:val="auto"/>
                <w:szCs w:val="21"/>
              </w:rPr>
              <w:t>费率（%）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ind w:right="77"/>
              <w:jc w:val="center"/>
              <w:rPr>
                <w:rFonts w:hint="eastAsia" w:ascii="仿宋" w:hAnsi="仿宋" w:eastAsia="仿宋" w:cs="仿宋"/>
                <w:color w:val="auto"/>
                <w:szCs w:val="21"/>
              </w:rPr>
            </w:pPr>
            <w:r>
              <w:rPr>
                <w:rFonts w:hint="eastAsia" w:ascii="仿宋" w:hAnsi="仿宋" w:eastAsia="仿宋" w:cs="仿宋"/>
                <w:color w:val="auto"/>
                <w:szCs w:val="21"/>
              </w:rPr>
              <w:t>金额（元</w:t>
            </w:r>
            <w:r>
              <w:rPr>
                <w:rFonts w:hint="eastAsia" w:ascii="仿宋" w:hAnsi="仿宋" w:eastAsia="仿宋" w:cs="仿宋"/>
                <w:color w:val="auto"/>
                <w:position w:val="-2"/>
                <w:szCs w:val="21"/>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ind w:right="74"/>
              <w:jc w:val="center"/>
              <w:rPr>
                <w:rFonts w:hint="eastAsia" w:ascii="仿宋" w:hAnsi="仿宋" w:eastAsia="仿宋" w:cs="仿宋"/>
                <w:color w:val="auto"/>
                <w:szCs w:val="21"/>
              </w:rPr>
            </w:pPr>
            <w:r>
              <w:rPr>
                <w:rFonts w:hint="eastAsia" w:ascii="仿宋" w:hAnsi="仿宋" w:eastAsia="仿宋" w:cs="仿宋"/>
                <w:color w:val="auto"/>
                <w:szCs w:val="21"/>
              </w:rPr>
              <w:t>调整费率（</w:t>
            </w:r>
            <w:r>
              <w:rPr>
                <w:rFonts w:hint="eastAsia" w:ascii="仿宋" w:hAnsi="仿宋" w:eastAsia="仿宋" w:cs="仿宋"/>
                <w:color w:val="auto"/>
                <w:position w:val="-2"/>
                <w:szCs w:val="21"/>
              </w:rPr>
              <w:t>%）</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ind w:right="74"/>
              <w:jc w:val="center"/>
              <w:rPr>
                <w:rFonts w:hint="eastAsia" w:ascii="仿宋" w:hAnsi="仿宋" w:eastAsia="仿宋" w:cs="仿宋"/>
                <w:color w:val="auto"/>
                <w:szCs w:val="21"/>
              </w:rPr>
            </w:pPr>
            <w:r>
              <w:rPr>
                <w:rFonts w:hint="eastAsia" w:ascii="仿宋" w:hAnsi="仿宋" w:eastAsia="仿宋" w:cs="仿宋"/>
                <w:color w:val="auto"/>
                <w:szCs w:val="21"/>
              </w:rPr>
              <w:t>调整后金额</w:t>
            </w:r>
            <w:r>
              <w:rPr>
                <w:rFonts w:hint="eastAsia" w:ascii="仿宋" w:hAnsi="仿宋" w:eastAsia="仿宋" w:cs="仿宋"/>
                <w:color w:val="auto"/>
                <w:position w:val="-2"/>
                <w:szCs w:val="21"/>
              </w:rPr>
              <w:t>（元）</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83"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000000" w:sz="4" w:space="0"/>
              <w:bottom w:val="single" w:color="000000" w:sz="4" w:space="0"/>
              <w:right w:val="single" w:color="auto"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auto" w:sz="4" w:space="0"/>
              <w:bottom w:val="single" w:color="000000" w:sz="4" w:space="0"/>
              <w:right w:val="single" w:color="auto"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auto"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592" w:hRule="atLeast"/>
          <w:jc w:val="center"/>
        </w:trPr>
        <w:tc>
          <w:tcPr>
            <w:tcW w:w="5354"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rPr>
            </w:pPr>
            <w:r>
              <w:rPr>
                <w:rFonts w:hint="eastAsia" w:ascii="仿宋" w:hAnsi="仿宋" w:eastAsia="仿宋" w:cs="仿宋"/>
                <w:color w:val="auto"/>
                <w:sz w:val="24"/>
                <w:szCs w:val="24"/>
              </w:rPr>
              <w:t>合计</w:t>
            </w:r>
          </w:p>
        </w:tc>
        <w:tc>
          <w:tcPr>
            <w:tcW w:w="1200" w:type="dxa"/>
            <w:tcBorders>
              <w:top w:val="single" w:color="000000" w:sz="4" w:space="0"/>
              <w:left w:val="single" w:color="000000" w:sz="4" w:space="0"/>
              <w:bottom w:val="single" w:color="000000" w:sz="4" w:space="0"/>
              <w:right w:val="single" w:color="auto" w:sz="4" w:space="0"/>
            </w:tcBorders>
            <w:noWrap w:val="0"/>
            <w:vAlign w:val="top"/>
          </w:tcPr>
          <w:p>
            <w:pPr>
              <w:rPr>
                <w:rFonts w:hint="eastAsia" w:ascii="仿宋" w:hAnsi="仿宋" w:eastAsia="仿宋" w:cs="仿宋"/>
                <w:color w:val="auto"/>
              </w:rPr>
            </w:pPr>
          </w:p>
        </w:tc>
        <w:tc>
          <w:tcPr>
            <w:tcW w:w="1200" w:type="dxa"/>
            <w:tcBorders>
              <w:top w:val="single" w:color="000000" w:sz="4" w:space="0"/>
              <w:left w:val="single" w:color="auto" w:sz="4" w:space="0"/>
              <w:bottom w:val="single" w:color="000000" w:sz="4" w:space="0"/>
              <w:right w:val="single" w:color="auto" w:sz="4" w:space="0"/>
            </w:tcBorders>
            <w:noWrap w:val="0"/>
            <w:vAlign w:val="top"/>
          </w:tcPr>
          <w:p>
            <w:pPr>
              <w:rPr>
                <w:rFonts w:hint="eastAsia" w:ascii="仿宋" w:hAnsi="仿宋" w:eastAsia="仿宋" w:cs="仿宋"/>
                <w:color w:val="auto"/>
              </w:rPr>
            </w:pPr>
          </w:p>
        </w:tc>
        <w:tc>
          <w:tcPr>
            <w:tcW w:w="1203" w:type="dxa"/>
            <w:tcBorders>
              <w:top w:val="single" w:color="000000" w:sz="4" w:space="0"/>
              <w:left w:val="single" w:color="auto"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843"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bl>
    <w:p>
      <w:pPr>
        <w:tabs>
          <w:tab w:val="left" w:pos="7980"/>
          <w:tab w:val="left" w:pos="8620"/>
          <w:tab w:val="left" w:pos="9460"/>
        </w:tabs>
        <w:ind w:right="65"/>
        <w:jc w:val="left"/>
        <w:rPr>
          <w:rFonts w:hint="eastAsia" w:ascii="仿宋" w:hAnsi="仿宋" w:eastAsia="仿宋" w:cs="仿宋"/>
          <w:color w:val="auto"/>
          <w:sz w:val="24"/>
          <w:szCs w:val="24"/>
        </w:rPr>
      </w:pPr>
    </w:p>
    <w:p>
      <w:pPr>
        <w:tabs>
          <w:tab w:val="left" w:pos="7980"/>
          <w:tab w:val="left" w:pos="8620"/>
          <w:tab w:val="left" w:pos="9460"/>
        </w:tabs>
        <w:ind w:right="65"/>
        <w:jc w:val="left"/>
        <w:rPr>
          <w:rFonts w:hint="eastAsia" w:ascii="仿宋" w:hAnsi="仿宋" w:eastAsia="仿宋" w:cs="仿宋"/>
          <w:color w:val="auto"/>
          <w:sz w:val="24"/>
          <w:szCs w:val="24"/>
        </w:rPr>
      </w:pPr>
      <w:r>
        <w:rPr>
          <w:rFonts w:hint="eastAsia" w:ascii="仿宋" w:hAnsi="仿宋" w:eastAsia="仿宋" w:cs="仿宋"/>
          <w:color w:val="auto"/>
          <w:sz w:val="24"/>
          <w:szCs w:val="24"/>
        </w:rPr>
        <w:t>注：1.“计算基础”中安全文明施工费可为“定额基价”、“定额人工费”或“定额人工费+定额机械费”，其他项目可为“定额人工费”或“定额人工费+定额机械费”。</w:t>
      </w:r>
    </w:p>
    <w:p>
      <w:pPr>
        <w:ind w:right="65"/>
        <w:jc w:val="left"/>
        <w:rPr>
          <w:rFonts w:hint="eastAsia" w:ascii="仿宋" w:hAnsi="仿宋" w:eastAsia="仿宋" w:cs="仿宋"/>
          <w:color w:val="auto"/>
          <w:sz w:val="24"/>
          <w:szCs w:val="24"/>
        </w:rPr>
        <w:sectPr>
          <w:pgSz w:w="11906" w:h="16838"/>
          <w:pgMar w:top="850" w:right="1077" w:bottom="850" w:left="1077" w:header="851" w:footer="992" w:gutter="227"/>
          <w:pgNumType w:fmt="numberInDash"/>
          <w:cols w:space="720" w:num="1"/>
          <w:docGrid w:type="lines" w:linePitch="315" w:charSpace="0"/>
        </w:sectPr>
      </w:pPr>
      <w:r>
        <w:rPr>
          <w:rFonts w:hint="eastAsia" w:ascii="仿宋" w:hAnsi="仿宋" w:eastAsia="仿宋" w:cs="仿宋"/>
          <w:color w:val="auto"/>
          <w:sz w:val="24"/>
          <w:szCs w:val="24"/>
        </w:rPr>
        <w:t xml:space="preserve">   2.按施工方案计算的措施费，若无“计算基础”和“费率”的数值，也可只填“金额”数值，但应在备注栏说明施工方案出处或计算方法。</w:t>
      </w:r>
    </w:p>
    <w:p>
      <w:pPr>
        <w:autoSpaceDE w:val="0"/>
        <w:autoSpaceDN w:val="0"/>
        <w:adjustRightInd w:val="0"/>
        <w:jc w:val="center"/>
        <w:rPr>
          <w:rFonts w:hint="eastAsia" w:ascii="仿宋" w:hAnsi="仿宋" w:eastAsia="仿宋" w:cs="仿宋"/>
          <w:color w:val="auto"/>
          <w:sz w:val="28"/>
          <w:szCs w:val="28"/>
        </w:rPr>
      </w:pP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其他项目清单与计价汇总表</w:t>
      </w:r>
    </w:p>
    <w:p>
      <w:pPr>
        <w:autoSpaceDE w:val="0"/>
        <w:autoSpaceDN w:val="0"/>
        <w:adjustRightInd w:val="0"/>
        <w:ind w:left="-178" w:leftChars="-85" w:firstLine="600" w:firstLineChars="250"/>
        <w:jc w:val="left"/>
        <w:rPr>
          <w:rFonts w:hint="eastAsia" w:ascii="仿宋" w:hAnsi="仿宋" w:eastAsia="仿宋" w:cs="仿宋"/>
          <w:color w:val="auto"/>
          <w:sz w:val="24"/>
          <w:lang w:val="zh-CN"/>
        </w:rPr>
      </w:pPr>
      <w:r>
        <w:rPr>
          <w:rFonts w:hint="eastAsia" w:ascii="仿宋" w:hAnsi="仿宋" w:eastAsia="仿宋" w:cs="仿宋"/>
          <w:color w:val="auto"/>
          <w:sz w:val="24"/>
          <w:szCs w:val="24"/>
        </w:rPr>
        <w:t>工程名称：                                                   第 页  共 页</w:t>
      </w:r>
    </w:p>
    <w:tbl>
      <w:tblPr>
        <w:tblStyle w:val="25"/>
        <w:tblW w:w="0" w:type="auto"/>
        <w:jc w:val="center"/>
        <w:tblLayout w:type="fixed"/>
        <w:tblCellMar>
          <w:top w:w="0" w:type="dxa"/>
          <w:left w:w="10" w:type="dxa"/>
          <w:bottom w:w="0" w:type="dxa"/>
          <w:right w:w="10" w:type="dxa"/>
        </w:tblCellMar>
      </w:tblPr>
      <w:tblGrid>
        <w:gridCol w:w="954"/>
        <w:gridCol w:w="3379"/>
        <w:gridCol w:w="1656"/>
        <w:gridCol w:w="1658"/>
        <w:gridCol w:w="1513"/>
      </w:tblGrid>
      <w:tr>
        <w:tblPrEx>
          <w:tblCellMar>
            <w:top w:w="0" w:type="dxa"/>
            <w:left w:w="10" w:type="dxa"/>
            <w:bottom w:w="0" w:type="dxa"/>
            <w:right w:w="10" w:type="dxa"/>
          </w:tblCellMar>
        </w:tblPrEx>
        <w:trPr>
          <w:trHeight w:val="840"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lang w:val="zh-CN"/>
              </w:rPr>
              <w:t>序号</w:t>
            </w: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lang w:val="zh-CN"/>
              </w:rPr>
              <w:t>项目名称</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 w:hAnsi="仿宋" w:eastAsia="仿宋" w:cs="仿宋"/>
                <w:color w:val="auto"/>
                <w:lang w:val="zh-CN"/>
              </w:rPr>
            </w:pPr>
            <w:r>
              <w:rPr>
                <w:rFonts w:hint="eastAsia" w:ascii="仿宋" w:hAnsi="仿宋" w:eastAsia="仿宋" w:cs="仿宋"/>
                <w:color w:val="auto"/>
                <w:lang w:val="zh-CN"/>
              </w:rPr>
              <w:t>计量单位</w:t>
            </w: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 w:hAnsi="仿宋" w:eastAsia="仿宋" w:cs="仿宋"/>
                <w:color w:val="auto"/>
                <w:lang w:val="zh-CN"/>
              </w:rPr>
            </w:pPr>
            <w:r>
              <w:rPr>
                <w:rFonts w:hint="eastAsia" w:ascii="仿宋" w:hAnsi="仿宋" w:eastAsia="仿宋" w:cs="仿宋"/>
                <w:color w:val="auto"/>
                <w:lang w:val="zh-CN"/>
              </w:rPr>
              <w:t>金额（元）</w:t>
            </w: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 w:hAnsi="仿宋" w:eastAsia="仿宋" w:cs="仿宋"/>
                <w:color w:val="auto"/>
                <w:lang w:val="zh-CN"/>
              </w:rPr>
            </w:pPr>
            <w:r>
              <w:rPr>
                <w:rFonts w:hint="eastAsia" w:ascii="仿宋" w:hAnsi="仿宋" w:eastAsia="仿宋" w:cs="仿宋"/>
                <w:color w:val="auto"/>
                <w:lang w:val="zh-CN"/>
              </w:rPr>
              <w:t>备注</w:t>
            </w:r>
          </w:p>
        </w:tc>
      </w:tr>
      <w:tr>
        <w:tblPrEx>
          <w:tblCellMar>
            <w:top w:w="0" w:type="dxa"/>
            <w:left w:w="10" w:type="dxa"/>
            <w:bottom w:w="0" w:type="dxa"/>
            <w:right w:w="10" w:type="dxa"/>
          </w:tblCellMar>
        </w:tblPrEx>
        <w:trPr>
          <w:trHeight w:val="771"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1</w:t>
            </w: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暂列金额</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highlight w:val="none"/>
              </w:rPr>
            </w:pPr>
            <w:r>
              <w:rPr>
                <w:rFonts w:hint="eastAsia" w:ascii="仿宋" w:hAnsi="仿宋" w:eastAsia="仿宋" w:cs="仿宋"/>
                <w:color w:val="auto"/>
                <w:highlight w:val="none"/>
              </w:rPr>
              <w:t>项</w:t>
            </w: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仿宋" w:hAnsi="仿宋" w:eastAsia="仿宋" w:cs="仿宋"/>
                <w:color w:val="auto"/>
                <w:highlight w:val="none"/>
                <w:lang w:val="en-US" w:eastAsia="zh-CN"/>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875"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2</w:t>
            </w: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 w:hAnsi="仿宋" w:eastAsia="仿宋" w:cs="仿宋"/>
                <w:color w:val="auto"/>
              </w:rPr>
            </w:pPr>
            <w:r>
              <w:rPr>
                <w:rFonts w:hint="eastAsia" w:ascii="仿宋" w:hAnsi="仿宋" w:eastAsia="仿宋" w:cs="仿宋"/>
                <w:color w:val="auto"/>
              </w:rPr>
              <w:t>暂估价</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823"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2.1</w:t>
            </w: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 w:hAnsi="仿宋" w:eastAsia="仿宋" w:cs="仿宋"/>
                <w:color w:val="auto"/>
              </w:rPr>
            </w:pPr>
            <w:r>
              <w:rPr>
                <w:rFonts w:hint="eastAsia" w:ascii="仿宋" w:hAnsi="仿宋" w:eastAsia="仿宋" w:cs="仿宋"/>
                <w:color w:val="auto"/>
              </w:rPr>
              <w:t>材料暂估价</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788"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2.2</w:t>
            </w: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 w:hAnsi="仿宋" w:eastAsia="仿宋" w:cs="仿宋"/>
                <w:color w:val="auto"/>
              </w:rPr>
            </w:pPr>
            <w:r>
              <w:rPr>
                <w:rFonts w:hint="eastAsia" w:ascii="仿宋" w:hAnsi="仿宋" w:eastAsia="仿宋" w:cs="仿宋"/>
                <w:color w:val="auto"/>
              </w:rPr>
              <w:t>专业工程暂估价</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771"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3</w:t>
            </w: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 w:hAnsi="仿宋" w:eastAsia="仿宋" w:cs="仿宋"/>
                <w:color w:val="auto"/>
              </w:rPr>
            </w:pPr>
            <w:r>
              <w:rPr>
                <w:rFonts w:hint="eastAsia" w:ascii="仿宋" w:hAnsi="仿宋" w:eastAsia="仿宋" w:cs="仿宋"/>
                <w:color w:val="auto"/>
              </w:rPr>
              <w:t>计日工</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771"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4</w:t>
            </w: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仿宋" w:hAnsi="仿宋" w:eastAsia="仿宋" w:cs="仿宋"/>
                <w:color w:val="auto"/>
              </w:rPr>
            </w:pPr>
            <w:r>
              <w:rPr>
                <w:rFonts w:hint="eastAsia" w:ascii="仿宋" w:hAnsi="仿宋" w:eastAsia="仿宋" w:cs="仿宋"/>
                <w:color w:val="auto"/>
              </w:rPr>
              <w:t>总承包服务费</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771"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rPr>
              <w:t>5</w:t>
            </w: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索赔与现场签证</w:t>
            </w: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720"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771"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771"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771"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755" w:hRule="atLeast"/>
          <w:jc w:val="center"/>
        </w:trPr>
        <w:tc>
          <w:tcPr>
            <w:tcW w:w="95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33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r>
      <w:tr>
        <w:tblPrEx>
          <w:tblCellMar>
            <w:top w:w="0" w:type="dxa"/>
            <w:left w:w="10" w:type="dxa"/>
            <w:bottom w:w="0" w:type="dxa"/>
            <w:right w:w="10" w:type="dxa"/>
          </w:tblCellMar>
        </w:tblPrEx>
        <w:trPr>
          <w:trHeight w:val="895" w:hRule="atLeast"/>
          <w:jc w:val="center"/>
        </w:trPr>
        <w:tc>
          <w:tcPr>
            <w:tcW w:w="598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r>
              <w:rPr>
                <w:rFonts w:hint="eastAsia" w:ascii="仿宋" w:hAnsi="仿宋" w:eastAsia="仿宋" w:cs="仿宋"/>
                <w:b/>
                <w:bCs/>
                <w:color w:val="auto"/>
                <w:lang w:val="zh-CN"/>
              </w:rPr>
              <w:t>合计</w:t>
            </w:r>
          </w:p>
        </w:tc>
        <w:tc>
          <w:tcPr>
            <w:tcW w:w="16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15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bl>
    <w:p>
      <w:pPr>
        <w:spacing w:before="157" w:beforeLines="50"/>
        <w:rPr>
          <w:rFonts w:hint="eastAsia" w:ascii="仿宋" w:hAnsi="仿宋" w:eastAsia="仿宋" w:cs="仿宋"/>
          <w:color w:val="auto"/>
        </w:rPr>
      </w:pPr>
      <w:r>
        <w:rPr>
          <w:rFonts w:hint="eastAsia" w:ascii="仿宋" w:hAnsi="仿宋" w:eastAsia="仿宋" w:cs="仿宋"/>
          <w:color w:val="auto"/>
        </w:rPr>
        <w:t xml:space="preserve">  注：材料（工程设备）暂估单价进入清单项目综合单价，此处不汇总。</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numPr>
          <w:ilvl w:val="0"/>
          <w:numId w:val="0"/>
        </w:numPr>
        <w:spacing w:before="157" w:beforeLines="50" w:after="157" w:afterLines="50" w:line="240" w:lineRule="auto"/>
        <w:jc w:val="center"/>
        <w:rPr>
          <w:rFonts w:hint="eastAsia" w:ascii="仿宋" w:hAnsi="仿宋" w:eastAsia="仿宋" w:cs="仿宋"/>
          <w:bCs/>
          <w:color w:val="auto"/>
          <w:sz w:val="28"/>
          <w:szCs w:val="28"/>
        </w:rPr>
      </w:pPr>
      <w:r>
        <w:rPr>
          <w:rFonts w:hint="eastAsia" w:ascii="仿宋" w:hAnsi="仿宋" w:eastAsia="仿宋" w:cs="仿宋"/>
          <w:bCs/>
          <w:color w:val="auto"/>
          <w:sz w:val="30"/>
          <w:szCs w:val="30"/>
          <w:lang w:val="en-US" w:eastAsia="zh-CN"/>
        </w:rPr>
        <w:t>21、</w:t>
      </w:r>
      <w:r>
        <w:rPr>
          <w:rFonts w:hint="eastAsia" w:ascii="仿宋" w:hAnsi="仿宋" w:eastAsia="仿宋" w:cs="仿宋"/>
          <w:bCs/>
          <w:color w:val="auto"/>
          <w:sz w:val="30"/>
          <w:szCs w:val="30"/>
        </w:rPr>
        <w:t>暂列金额明细表</w:t>
      </w:r>
    </w:p>
    <w:p>
      <w:pPr>
        <w:spacing w:before="157" w:beforeLines="50" w:after="157" w:afterLines="50"/>
        <w:rPr>
          <w:rFonts w:hint="eastAsia" w:ascii="仿宋" w:hAnsi="仿宋" w:eastAsia="仿宋" w:cs="仿宋"/>
          <w:bCs/>
          <w:color w:val="auto"/>
          <w:sz w:val="30"/>
          <w:szCs w:val="28"/>
        </w:rPr>
      </w:pPr>
      <w:r>
        <w:rPr>
          <w:rFonts w:hint="eastAsia" w:ascii="仿宋" w:hAnsi="仿宋" w:eastAsia="仿宋" w:cs="仿宋"/>
          <w:color w:val="auto"/>
          <w:sz w:val="24"/>
          <w:szCs w:val="24"/>
        </w:rPr>
        <w:t>工程名称：                                                      第 页  共 页</w:t>
      </w:r>
    </w:p>
    <w:tbl>
      <w:tblPr>
        <w:tblStyle w:val="25"/>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3470"/>
        <w:gridCol w:w="1346"/>
        <w:gridCol w:w="2075"/>
        <w:gridCol w:w="112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04" w:type="dxa"/>
            <w:tcBorders>
              <w:top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序号</w:t>
            </w:r>
          </w:p>
        </w:tc>
        <w:tc>
          <w:tcPr>
            <w:tcW w:w="3470" w:type="dxa"/>
            <w:tcBorders>
              <w:top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项目名称</w:t>
            </w:r>
          </w:p>
        </w:tc>
        <w:tc>
          <w:tcPr>
            <w:tcW w:w="1346" w:type="dxa"/>
            <w:tcBorders>
              <w:top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计量单位</w:t>
            </w:r>
          </w:p>
        </w:tc>
        <w:tc>
          <w:tcPr>
            <w:tcW w:w="2075" w:type="dxa"/>
            <w:tcBorders>
              <w:top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暂列金额(元)</w:t>
            </w:r>
          </w:p>
        </w:tc>
        <w:tc>
          <w:tcPr>
            <w:tcW w:w="1125" w:type="dxa"/>
            <w:tcBorders>
              <w:top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04" w:type="dxa"/>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lang w:val="zh-CN"/>
              </w:rPr>
              <w:t>1</w:t>
            </w:r>
          </w:p>
        </w:tc>
        <w:tc>
          <w:tcPr>
            <w:tcW w:w="3470" w:type="dxa"/>
            <w:noWrap w:val="0"/>
            <w:vAlign w:val="center"/>
          </w:tcPr>
          <w:p>
            <w:pPr>
              <w:jc w:val="left"/>
              <w:rPr>
                <w:rFonts w:hint="eastAsia" w:ascii="仿宋" w:hAnsi="仿宋" w:eastAsia="仿宋" w:cs="仿宋"/>
                <w:color w:val="auto"/>
                <w:highlight w:val="none"/>
              </w:rPr>
            </w:pPr>
            <w:r>
              <w:rPr>
                <w:rFonts w:hint="eastAsia" w:ascii="仿宋" w:hAnsi="仿宋" w:eastAsia="仿宋" w:cs="仿宋"/>
                <w:color w:val="auto"/>
                <w:highlight w:val="none"/>
              </w:rPr>
              <w:t>工程实施过程中发生工程变更、合同约定调整因素出现时的合同价款调整以及发生的索赔、现场签订等确认费用</w:t>
            </w:r>
          </w:p>
        </w:tc>
        <w:tc>
          <w:tcPr>
            <w:tcW w:w="1346" w:type="dxa"/>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项</w:t>
            </w:r>
          </w:p>
        </w:tc>
        <w:tc>
          <w:tcPr>
            <w:tcW w:w="2075" w:type="dxa"/>
            <w:noWrap w:val="0"/>
            <w:vAlign w:val="center"/>
          </w:tcPr>
          <w:p>
            <w:pPr>
              <w:jc w:val="center"/>
              <w:rPr>
                <w:rFonts w:hint="default" w:ascii="仿宋" w:hAnsi="仿宋" w:eastAsia="仿宋" w:cs="仿宋"/>
                <w:color w:val="auto"/>
                <w:highlight w:val="none"/>
                <w:lang w:val="en-US" w:eastAsia="zh-CN"/>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04" w:type="dxa"/>
            <w:tcBorders>
              <w:bottom w:val="single" w:color="auto" w:sz="6" w:space="0"/>
            </w:tcBorders>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lang w:val="zh-CN"/>
              </w:rPr>
              <w:t>2</w:t>
            </w:r>
          </w:p>
        </w:tc>
        <w:tc>
          <w:tcPr>
            <w:tcW w:w="3470" w:type="dxa"/>
            <w:noWrap w:val="0"/>
            <w:vAlign w:val="center"/>
          </w:tcPr>
          <w:p>
            <w:pPr>
              <w:rPr>
                <w:rFonts w:hint="default" w:ascii="仿宋" w:hAnsi="仿宋" w:eastAsia="仿宋" w:cs="仿宋"/>
                <w:color w:val="auto"/>
                <w:lang w:val="en-US" w:eastAsia="zh-CN"/>
              </w:rPr>
            </w:pPr>
            <w:r>
              <w:rPr>
                <w:rFonts w:hint="eastAsia" w:ascii="仿宋" w:hAnsi="仿宋" w:eastAsia="仿宋" w:cs="仿宋"/>
                <w:color w:val="auto"/>
                <w:lang w:val="en-US" w:eastAsia="zh-CN"/>
              </w:rPr>
              <w:t>施工现场防疫物资、防疫人工费用签证费用</w:t>
            </w:r>
          </w:p>
        </w:tc>
        <w:tc>
          <w:tcPr>
            <w:tcW w:w="1346" w:type="dxa"/>
            <w:noWrap w:val="0"/>
            <w:vAlign w:val="center"/>
          </w:tcPr>
          <w:p>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项</w:t>
            </w:r>
          </w:p>
        </w:tc>
        <w:tc>
          <w:tcPr>
            <w:tcW w:w="2075" w:type="dxa"/>
            <w:noWrap w:val="0"/>
            <w:vAlign w:val="center"/>
          </w:tcPr>
          <w:p>
            <w:pPr>
              <w:jc w:val="center"/>
              <w:rPr>
                <w:rFonts w:hint="default" w:ascii="仿宋" w:hAnsi="仿宋" w:eastAsia="仿宋" w:cs="仿宋"/>
                <w:color w:val="auto"/>
                <w:lang w:val="en-US" w:eastAsia="zh-CN"/>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04" w:type="dxa"/>
            <w:tcBorders>
              <w:top w:val="single" w:color="auto" w:sz="6" w:space="0"/>
            </w:tcBorders>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lang w:val="zh-CN"/>
              </w:rPr>
              <w:t>3</w:t>
            </w: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04" w:type="dxa"/>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lang w:val="zh-CN"/>
              </w:rPr>
              <w:t>4</w:t>
            </w: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604" w:type="dxa"/>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lang w:val="zh-CN"/>
              </w:rPr>
              <w:t>5</w:t>
            </w: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04" w:type="dxa"/>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lang w:val="zh-CN"/>
              </w:rPr>
              <w:t>6</w:t>
            </w: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04" w:type="dxa"/>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lang w:val="zh-CN"/>
              </w:rPr>
              <w:t>7</w:t>
            </w: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04" w:type="dxa"/>
            <w:noWrap w:val="0"/>
            <w:vAlign w:val="center"/>
          </w:tcPr>
          <w:p>
            <w:pPr>
              <w:autoSpaceDE w:val="0"/>
              <w:autoSpaceDN w:val="0"/>
              <w:adjustRightInd w:val="0"/>
              <w:jc w:val="center"/>
              <w:rPr>
                <w:rFonts w:hint="eastAsia" w:ascii="仿宋" w:hAnsi="仿宋" w:eastAsia="仿宋" w:cs="仿宋"/>
                <w:color w:val="auto"/>
              </w:rPr>
            </w:pPr>
            <w:r>
              <w:rPr>
                <w:rFonts w:hint="eastAsia" w:ascii="仿宋" w:hAnsi="仿宋" w:eastAsia="仿宋" w:cs="仿宋"/>
                <w:color w:val="auto"/>
                <w:lang w:val="zh-CN"/>
              </w:rPr>
              <w:t>…</w:t>
            </w: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04" w:type="dxa"/>
            <w:noWrap w:val="0"/>
            <w:vAlign w:val="center"/>
          </w:tcPr>
          <w:p>
            <w:pPr>
              <w:jc w:val="center"/>
              <w:rPr>
                <w:rFonts w:hint="eastAsia" w:ascii="仿宋" w:hAnsi="仿宋" w:eastAsia="仿宋" w:cs="仿宋"/>
                <w:color w:val="auto"/>
              </w:rPr>
            </w:pP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04" w:type="dxa"/>
            <w:noWrap w:val="0"/>
            <w:vAlign w:val="center"/>
          </w:tcPr>
          <w:p>
            <w:pPr>
              <w:jc w:val="center"/>
              <w:rPr>
                <w:rFonts w:hint="eastAsia" w:ascii="仿宋" w:hAnsi="仿宋" w:eastAsia="仿宋" w:cs="仿宋"/>
                <w:color w:val="auto"/>
              </w:rPr>
            </w:pP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04" w:type="dxa"/>
            <w:noWrap w:val="0"/>
            <w:vAlign w:val="center"/>
          </w:tcPr>
          <w:p>
            <w:pPr>
              <w:jc w:val="center"/>
              <w:rPr>
                <w:rFonts w:hint="eastAsia" w:ascii="仿宋" w:hAnsi="仿宋" w:eastAsia="仿宋" w:cs="仿宋"/>
                <w:color w:val="auto"/>
              </w:rPr>
            </w:pP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04" w:type="dxa"/>
            <w:noWrap w:val="0"/>
            <w:vAlign w:val="center"/>
          </w:tcPr>
          <w:p>
            <w:pPr>
              <w:jc w:val="center"/>
              <w:rPr>
                <w:rFonts w:hint="eastAsia" w:ascii="仿宋" w:hAnsi="仿宋" w:eastAsia="仿宋" w:cs="仿宋"/>
                <w:color w:val="auto"/>
              </w:rPr>
            </w:pP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04" w:type="dxa"/>
            <w:noWrap w:val="0"/>
            <w:vAlign w:val="center"/>
          </w:tcPr>
          <w:p>
            <w:pPr>
              <w:jc w:val="center"/>
              <w:rPr>
                <w:rFonts w:hint="eastAsia" w:ascii="仿宋" w:hAnsi="仿宋" w:eastAsia="仿宋" w:cs="仿宋"/>
                <w:color w:val="auto"/>
              </w:rPr>
            </w:pPr>
          </w:p>
        </w:tc>
        <w:tc>
          <w:tcPr>
            <w:tcW w:w="3470" w:type="dxa"/>
            <w:noWrap w:val="0"/>
            <w:vAlign w:val="center"/>
          </w:tcPr>
          <w:p>
            <w:pPr>
              <w:rPr>
                <w:rFonts w:hint="eastAsia" w:ascii="仿宋" w:hAnsi="仿宋" w:eastAsia="仿宋" w:cs="仿宋"/>
                <w:color w:val="auto"/>
              </w:rPr>
            </w:pPr>
          </w:p>
        </w:tc>
        <w:tc>
          <w:tcPr>
            <w:tcW w:w="1346" w:type="dxa"/>
            <w:noWrap w:val="0"/>
            <w:vAlign w:val="center"/>
          </w:tcPr>
          <w:p>
            <w:pPr>
              <w:jc w:val="center"/>
              <w:rPr>
                <w:rFonts w:hint="eastAsia" w:ascii="仿宋" w:hAnsi="仿宋" w:eastAsia="仿宋" w:cs="仿宋"/>
                <w:color w:val="auto"/>
              </w:rPr>
            </w:pPr>
          </w:p>
        </w:tc>
        <w:tc>
          <w:tcPr>
            <w:tcW w:w="2075" w:type="dxa"/>
            <w:noWrap w:val="0"/>
            <w:vAlign w:val="center"/>
          </w:tcPr>
          <w:p>
            <w:pPr>
              <w:jc w:val="center"/>
              <w:rPr>
                <w:rFonts w:hint="eastAsia" w:ascii="仿宋" w:hAnsi="仿宋" w:eastAsia="仿宋" w:cs="仿宋"/>
                <w:color w:val="auto"/>
              </w:rPr>
            </w:pPr>
          </w:p>
        </w:tc>
        <w:tc>
          <w:tcPr>
            <w:tcW w:w="1125" w:type="dxa"/>
            <w:noWrap w:val="0"/>
            <w:vAlign w:val="center"/>
          </w:tcPr>
          <w:p>
            <w:pPr>
              <w:jc w:val="center"/>
              <w:rPr>
                <w:rFonts w:hint="eastAsia" w:ascii="仿宋" w:hAnsi="仿宋" w:eastAsia="仿宋" w:cs="仿宋"/>
                <w:color w:va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420" w:type="dxa"/>
            <w:gridSpan w:val="3"/>
            <w:tcBorders>
              <w:bottom w:val="single" w:color="auto" w:sz="6" w:space="0"/>
            </w:tcBorders>
            <w:noWrap w:val="0"/>
            <w:vAlign w:val="center"/>
          </w:tcPr>
          <w:p>
            <w:pPr>
              <w:jc w:val="center"/>
              <w:rPr>
                <w:rFonts w:hint="eastAsia" w:ascii="仿宋" w:hAnsi="仿宋" w:eastAsia="仿宋" w:cs="仿宋"/>
                <w:color w:val="auto"/>
              </w:rPr>
            </w:pPr>
            <w:r>
              <w:rPr>
                <w:rFonts w:hint="eastAsia" w:ascii="仿宋" w:hAnsi="仿宋" w:eastAsia="仿宋" w:cs="仿宋"/>
                <w:color w:val="auto"/>
              </w:rPr>
              <w:t>合计</w:t>
            </w:r>
          </w:p>
        </w:tc>
        <w:tc>
          <w:tcPr>
            <w:tcW w:w="2075" w:type="dxa"/>
            <w:tcBorders>
              <w:bottom w:val="single" w:color="auto" w:sz="6" w:space="0"/>
            </w:tcBorders>
            <w:noWrap w:val="0"/>
            <w:vAlign w:val="center"/>
          </w:tcPr>
          <w:p>
            <w:pPr>
              <w:jc w:val="center"/>
              <w:rPr>
                <w:rFonts w:hint="eastAsia" w:ascii="仿宋" w:hAnsi="仿宋" w:eastAsia="仿宋" w:cs="仿宋"/>
                <w:color w:val="auto"/>
              </w:rPr>
            </w:pPr>
          </w:p>
        </w:tc>
        <w:tc>
          <w:tcPr>
            <w:tcW w:w="1125" w:type="dxa"/>
            <w:tcBorders>
              <w:bottom w:val="single" w:color="auto" w:sz="6" w:space="0"/>
            </w:tcBorders>
            <w:noWrap w:val="0"/>
            <w:vAlign w:val="center"/>
          </w:tcPr>
          <w:p>
            <w:pPr>
              <w:jc w:val="center"/>
              <w:rPr>
                <w:rFonts w:hint="eastAsia" w:ascii="仿宋" w:hAnsi="仿宋" w:eastAsia="仿宋" w:cs="仿宋"/>
                <w:color w:val="auto"/>
              </w:rPr>
            </w:pPr>
          </w:p>
        </w:tc>
      </w:tr>
    </w:tbl>
    <w:p>
      <w:pPr>
        <w:spacing w:before="157" w:beforeLines="50"/>
        <w:ind w:firstLine="315" w:firstLineChars="150"/>
        <w:rPr>
          <w:rFonts w:hint="eastAsia" w:ascii="仿宋" w:hAnsi="仿宋" w:eastAsia="仿宋" w:cs="仿宋"/>
          <w:bCs/>
          <w:color w:val="auto"/>
          <w:sz w:val="30"/>
          <w:szCs w:val="28"/>
        </w:rPr>
      </w:pPr>
      <w:r>
        <w:rPr>
          <w:rFonts w:hint="eastAsia" w:ascii="仿宋" w:hAnsi="仿宋" w:eastAsia="仿宋" w:cs="仿宋"/>
          <w:color w:val="auto"/>
        </w:rPr>
        <w:t>注：此表由招标人填写，如不能详列，也可只列暂定金额总额，</w:t>
      </w:r>
      <w:r>
        <w:rPr>
          <w:rFonts w:hint="eastAsia" w:ascii="仿宋" w:hAnsi="仿宋" w:eastAsia="仿宋" w:cs="仿宋"/>
          <w:color w:val="auto"/>
          <w:lang w:eastAsia="zh-CN"/>
        </w:rPr>
        <w:t>供应商</w:t>
      </w:r>
      <w:r>
        <w:rPr>
          <w:rFonts w:hint="eastAsia" w:ascii="仿宋" w:hAnsi="仿宋" w:eastAsia="仿宋" w:cs="仿宋"/>
          <w:color w:val="auto"/>
        </w:rPr>
        <w:t>应将上述暂列金额计入投标报价中。</w:t>
      </w:r>
    </w:p>
    <w:p>
      <w:pPr>
        <w:rPr>
          <w:rFonts w:hint="eastAsia" w:ascii="仿宋" w:hAnsi="仿宋" w:eastAsia="仿宋" w:cs="仿宋"/>
          <w:b/>
          <w:color w:val="auto"/>
          <w:sz w:val="28"/>
          <w:szCs w:val="28"/>
          <w:highlight w:val="none"/>
        </w:rPr>
      </w:pPr>
      <w:r>
        <w:rPr>
          <w:rFonts w:hint="eastAsia" w:ascii="仿宋" w:hAnsi="仿宋" w:eastAsia="仿宋" w:cs="仿宋"/>
          <w:bCs/>
          <w:color w:val="auto"/>
          <w:sz w:val="30"/>
          <w:szCs w:val="28"/>
        </w:rPr>
        <w:br w:type="page"/>
      </w:r>
    </w:p>
    <w:p>
      <w:pPr>
        <w:spacing w:before="157" w:beforeLines="50" w:after="157" w:afterLines="50"/>
        <w:jc w:val="center"/>
        <w:rPr>
          <w:rFonts w:hint="eastAsia" w:ascii="仿宋" w:hAnsi="仿宋" w:eastAsia="仿宋" w:cs="仿宋"/>
          <w:color w:val="auto"/>
          <w:position w:val="-2"/>
          <w:sz w:val="24"/>
          <w:szCs w:val="24"/>
        </w:rPr>
      </w:pPr>
      <w:r>
        <w:rPr>
          <w:rFonts w:hint="eastAsia" w:ascii="仿宋" w:hAnsi="仿宋" w:eastAsia="仿宋" w:cs="仿宋"/>
          <w:bCs/>
          <w:color w:val="auto"/>
          <w:sz w:val="30"/>
          <w:szCs w:val="30"/>
          <w:lang w:val="en-US" w:eastAsia="zh-CN"/>
        </w:rPr>
        <w:t>22、</w:t>
      </w:r>
      <w:r>
        <w:rPr>
          <w:rFonts w:hint="eastAsia" w:ascii="仿宋" w:hAnsi="仿宋" w:eastAsia="仿宋" w:cs="仿宋"/>
          <w:bCs/>
          <w:color w:val="auto"/>
          <w:sz w:val="30"/>
          <w:szCs w:val="30"/>
        </w:rPr>
        <w:t>材料（工程设备）暂估单价及调整表</w:t>
      </w:r>
    </w:p>
    <w:p>
      <w:pPr>
        <w:tabs>
          <w:tab w:val="left" w:pos="7160"/>
          <w:tab w:val="left" w:pos="7640"/>
          <w:tab w:val="left" w:pos="8240"/>
          <w:tab w:val="left" w:pos="8720"/>
        </w:tabs>
        <w:spacing w:line="460" w:lineRule="atLeast"/>
        <w:ind w:left="214" w:right="-20"/>
        <w:jc w:val="left"/>
        <w:rPr>
          <w:rFonts w:hint="eastAsia" w:ascii="仿宋" w:hAnsi="仿宋" w:eastAsia="仿宋" w:cs="仿宋"/>
          <w:color w:val="auto"/>
          <w:sz w:val="24"/>
          <w:szCs w:val="24"/>
        </w:rPr>
      </w:pPr>
      <w:r>
        <w:rPr>
          <w:rFonts w:hint="eastAsia" w:ascii="仿宋" w:hAnsi="仿宋" w:eastAsia="仿宋" w:cs="仿宋"/>
          <w:color w:val="auto"/>
          <w:sz w:val="24"/>
          <w:szCs w:val="24"/>
        </w:rPr>
        <w:t>工程名称：</w:t>
      </w:r>
      <w:r>
        <w:rPr>
          <w:rFonts w:hint="eastAsia" w:ascii="仿宋" w:hAnsi="仿宋" w:eastAsia="仿宋" w:cs="仿宋"/>
          <w:color w:val="auto"/>
          <w:sz w:val="24"/>
          <w:szCs w:val="24"/>
        </w:rPr>
        <w:tab/>
      </w:r>
      <w:r>
        <w:rPr>
          <w:rFonts w:hint="eastAsia" w:ascii="仿宋" w:hAnsi="仿宋" w:eastAsia="仿宋" w:cs="仿宋"/>
          <w:color w:val="auto"/>
          <w:sz w:val="24"/>
          <w:szCs w:val="24"/>
        </w:rPr>
        <w:t>第</w:t>
      </w:r>
      <w:r>
        <w:rPr>
          <w:rFonts w:hint="eastAsia" w:ascii="仿宋" w:hAnsi="仿宋" w:eastAsia="仿宋" w:cs="仿宋"/>
          <w:color w:val="auto"/>
          <w:sz w:val="24"/>
          <w:szCs w:val="24"/>
        </w:rPr>
        <w:tab/>
      </w:r>
      <w:r>
        <w:rPr>
          <w:rFonts w:hint="eastAsia" w:ascii="仿宋" w:hAnsi="仿宋" w:eastAsia="仿宋" w:cs="仿宋"/>
          <w:color w:val="auto"/>
          <w:sz w:val="24"/>
          <w:szCs w:val="24"/>
        </w:rPr>
        <w:t>页</w:t>
      </w:r>
      <w:r>
        <w:rPr>
          <w:rFonts w:hint="eastAsia" w:ascii="仿宋" w:hAnsi="仿宋" w:eastAsia="仿宋" w:cs="仿宋"/>
          <w:color w:val="auto"/>
          <w:sz w:val="24"/>
          <w:szCs w:val="24"/>
        </w:rPr>
        <w:tab/>
      </w:r>
      <w:r>
        <w:rPr>
          <w:rFonts w:hint="eastAsia" w:ascii="仿宋" w:hAnsi="仿宋" w:eastAsia="仿宋" w:cs="仿宋"/>
          <w:color w:val="auto"/>
          <w:sz w:val="24"/>
          <w:szCs w:val="24"/>
        </w:rPr>
        <w:t>共</w:t>
      </w:r>
      <w:r>
        <w:rPr>
          <w:rFonts w:hint="eastAsia" w:ascii="仿宋" w:hAnsi="仿宋" w:eastAsia="仿宋" w:cs="仿宋"/>
          <w:color w:val="auto"/>
          <w:sz w:val="24"/>
          <w:szCs w:val="24"/>
        </w:rPr>
        <w:tab/>
      </w:r>
      <w:r>
        <w:rPr>
          <w:rFonts w:hint="eastAsia" w:ascii="仿宋" w:hAnsi="仿宋" w:eastAsia="仿宋" w:cs="仿宋"/>
          <w:color w:val="auto"/>
          <w:sz w:val="24"/>
          <w:szCs w:val="24"/>
        </w:rPr>
        <w:t>页</w:t>
      </w:r>
    </w:p>
    <w:tbl>
      <w:tblPr>
        <w:tblStyle w:val="25"/>
        <w:tblW w:w="0" w:type="auto"/>
        <w:tblInd w:w="104" w:type="dxa"/>
        <w:tblLayout w:type="fixed"/>
        <w:tblCellMar>
          <w:top w:w="0" w:type="dxa"/>
          <w:left w:w="0" w:type="dxa"/>
          <w:bottom w:w="0" w:type="dxa"/>
          <w:right w:w="0" w:type="dxa"/>
        </w:tblCellMar>
      </w:tblPr>
      <w:tblGrid>
        <w:gridCol w:w="716"/>
        <w:gridCol w:w="1861"/>
        <w:gridCol w:w="751"/>
        <w:gridCol w:w="810"/>
        <w:gridCol w:w="690"/>
        <w:gridCol w:w="675"/>
        <w:gridCol w:w="675"/>
        <w:gridCol w:w="794"/>
        <w:gridCol w:w="571"/>
        <w:gridCol w:w="735"/>
        <w:gridCol w:w="600"/>
        <w:gridCol w:w="780"/>
      </w:tblGrid>
      <w:tr>
        <w:tblPrEx>
          <w:tblCellMar>
            <w:top w:w="0" w:type="dxa"/>
            <w:left w:w="0" w:type="dxa"/>
            <w:bottom w:w="0" w:type="dxa"/>
            <w:right w:w="0" w:type="dxa"/>
          </w:tblCellMar>
        </w:tblPrEx>
        <w:trPr>
          <w:trHeight w:val="670" w:hRule="exact"/>
        </w:trPr>
        <w:tc>
          <w:tcPr>
            <w:tcW w:w="716" w:type="dxa"/>
            <w:vMerge w:val="restart"/>
            <w:tcBorders>
              <w:top w:val="single" w:color="000000" w:sz="4" w:space="0"/>
              <w:left w:val="single" w:color="000000" w:sz="4" w:space="0"/>
              <w:right w:val="single" w:color="000000" w:sz="4" w:space="0"/>
            </w:tcBorders>
            <w:noWrap w:val="0"/>
            <w:vAlign w:val="top"/>
          </w:tcPr>
          <w:p>
            <w:pPr>
              <w:jc w:val="left"/>
              <w:rPr>
                <w:rFonts w:hint="eastAsia" w:ascii="仿宋" w:hAnsi="仿宋" w:eastAsia="仿宋" w:cs="仿宋"/>
                <w:color w:val="auto"/>
                <w:szCs w:val="21"/>
              </w:rPr>
            </w:pPr>
          </w:p>
          <w:p>
            <w:pPr>
              <w:jc w:val="left"/>
              <w:rPr>
                <w:rFonts w:hint="eastAsia" w:ascii="仿宋" w:hAnsi="仿宋" w:eastAsia="仿宋" w:cs="仿宋"/>
                <w:color w:val="auto"/>
                <w:szCs w:val="21"/>
              </w:rPr>
            </w:pPr>
          </w:p>
          <w:p>
            <w:pPr>
              <w:ind w:left="113" w:right="-20"/>
              <w:jc w:val="left"/>
              <w:rPr>
                <w:rFonts w:hint="eastAsia" w:ascii="仿宋" w:hAnsi="仿宋" w:eastAsia="仿宋" w:cs="仿宋"/>
                <w:color w:val="auto"/>
                <w:szCs w:val="21"/>
              </w:rPr>
            </w:pPr>
            <w:r>
              <w:rPr>
                <w:rFonts w:hint="eastAsia" w:ascii="仿宋" w:hAnsi="仿宋" w:eastAsia="仿宋" w:cs="仿宋"/>
                <w:color w:val="auto"/>
                <w:szCs w:val="21"/>
              </w:rPr>
              <w:t>序号</w:t>
            </w:r>
          </w:p>
        </w:tc>
        <w:tc>
          <w:tcPr>
            <w:tcW w:w="1861" w:type="dxa"/>
            <w:vMerge w:val="restart"/>
            <w:tcBorders>
              <w:top w:val="single" w:color="000000" w:sz="4" w:space="0"/>
              <w:left w:val="single" w:color="000000" w:sz="4" w:space="0"/>
              <w:right w:val="single" w:color="000000" w:sz="4" w:space="0"/>
            </w:tcBorders>
            <w:noWrap w:val="0"/>
            <w:vAlign w:val="top"/>
          </w:tcPr>
          <w:p>
            <w:pPr>
              <w:jc w:val="left"/>
              <w:rPr>
                <w:rFonts w:hint="eastAsia" w:ascii="仿宋" w:hAnsi="仿宋" w:eastAsia="仿宋" w:cs="仿宋"/>
                <w:color w:val="auto"/>
                <w:szCs w:val="21"/>
              </w:rPr>
            </w:pPr>
          </w:p>
          <w:p>
            <w:pPr>
              <w:ind w:left="205" w:right="132"/>
              <w:jc w:val="left"/>
              <w:rPr>
                <w:rFonts w:hint="eastAsia" w:ascii="仿宋" w:hAnsi="仿宋" w:eastAsia="仿宋" w:cs="仿宋"/>
                <w:color w:val="auto"/>
                <w:szCs w:val="21"/>
              </w:rPr>
            </w:pPr>
            <w:r>
              <w:rPr>
                <w:rFonts w:hint="eastAsia" w:ascii="仿宋" w:hAnsi="仿宋" w:eastAsia="仿宋" w:cs="仿宋"/>
                <w:color w:val="auto"/>
                <w:szCs w:val="21"/>
              </w:rPr>
              <w:t>材料（工程设备）名称、规格、型号</w:t>
            </w:r>
          </w:p>
        </w:tc>
        <w:tc>
          <w:tcPr>
            <w:tcW w:w="751" w:type="dxa"/>
            <w:vMerge w:val="restart"/>
            <w:tcBorders>
              <w:top w:val="single" w:color="000000" w:sz="4" w:space="0"/>
              <w:left w:val="single" w:color="000000" w:sz="4" w:space="0"/>
              <w:right w:val="single" w:color="000000" w:sz="4" w:space="0"/>
            </w:tcBorders>
            <w:noWrap w:val="0"/>
            <w:vAlign w:val="top"/>
          </w:tcPr>
          <w:p>
            <w:pPr>
              <w:jc w:val="left"/>
              <w:rPr>
                <w:rFonts w:hint="eastAsia" w:ascii="仿宋" w:hAnsi="仿宋" w:eastAsia="仿宋" w:cs="仿宋"/>
                <w:color w:val="auto"/>
                <w:szCs w:val="21"/>
              </w:rPr>
            </w:pPr>
          </w:p>
          <w:p>
            <w:pPr>
              <w:ind w:left="115" w:right="42"/>
              <w:jc w:val="left"/>
              <w:rPr>
                <w:rFonts w:hint="eastAsia" w:ascii="仿宋" w:hAnsi="仿宋" w:eastAsia="仿宋" w:cs="仿宋"/>
                <w:color w:val="auto"/>
                <w:szCs w:val="21"/>
              </w:rPr>
            </w:pPr>
            <w:r>
              <w:rPr>
                <w:rFonts w:hint="eastAsia" w:ascii="仿宋" w:hAnsi="仿宋" w:eastAsia="仿宋" w:cs="仿宋"/>
                <w:color w:val="auto"/>
                <w:szCs w:val="21"/>
              </w:rPr>
              <w:t>计量单位</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80"/>
              <w:jc w:val="center"/>
              <w:rPr>
                <w:rFonts w:hint="eastAsia" w:ascii="仿宋" w:hAnsi="仿宋" w:eastAsia="仿宋" w:cs="仿宋"/>
                <w:color w:val="auto"/>
                <w:szCs w:val="21"/>
              </w:rPr>
            </w:pPr>
            <w:r>
              <w:rPr>
                <w:rFonts w:hint="eastAsia" w:ascii="仿宋" w:hAnsi="仿宋" w:eastAsia="仿宋" w:cs="仿宋"/>
                <w:color w:val="auto"/>
                <w:position w:val="-2"/>
                <w:szCs w:val="21"/>
              </w:rPr>
              <w:t>单价（元</w:t>
            </w:r>
            <w:r>
              <w:rPr>
                <w:rFonts w:hint="eastAsia" w:ascii="仿宋" w:hAnsi="仿宋" w:eastAsia="仿宋" w:cs="仿宋"/>
                <w:color w:val="auto"/>
                <w:position w:val="-1"/>
                <w:szCs w:val="21"/>
              </w:rPr>
              <w:t>）</w:t>
            </w:r>
          </w:p>
        </w:tc>
        <w:tc>
          <w:tcPr>
            <w:tcW w:w="1365"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132"/>
              <w:jc w:val="center"/>
              <w:rPr>
                <w:rFonts w:hint="eastAsia" w:ascii="仿宋" w:hAnsi="仿宋" w:eastAsia="仿宋" w:cs="仿宋"/>
                <w:color w:val="auto"/>
                <w:szCs w:val="21"/>
              </w:rPr>
            </w:pPr>
            <w:r>
              <w:rPr>
                <w:rFonts w:hint="eastAsia" w:ascii="仿宋" w:hAnsi="仿宋" w:eastAsia="仿宋" w:cs="仿宋"/>
                <w:color w:val="auto"/>
                <w:position w:val="-2"/>
                <w:szCs w:val="21"/>
              </w:rPr>
              <w:t>合价（元</w:t>
            </w:r>
            <w:r>
              <w:rPr>
                <w:rFonts w:hint="eastAsia" w:ascii="仿宋" w:hAnsi="仿宋" w:eastAsia="仿宋" w:cs="仿宋"/>
                <w:color w:val="auto"/>
                <w:position w:val="-1"/>
                <w:szCs w:val="21"/>
              </w:rPr>
              <w:t>）</w:t>
            </w:r>
          </w:p>
        </w:tc>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pPr>
              <w:ind w:right="-140"/>
              <w:jc w:val="center"/>
              <w:rPr>
                <w:rFonts w:hint="eastAsia" w:ascii="仿宋" w:hAnsi="仿宋" w:eastAsia="仿宋" w:cs="仿宋"/>
                <w:color w:val="auto"/>
                <w:szCs w:val="21"/>
              </w:rPr>
            </w:pPr>
            <w:r>
              <w:rPr>
                <w:rFonts w:hint="eastAsia" w:ascii="仿宋" w:hAnsi="仿宋" w:eastAsia="仿宋" w:cs="仿宋"/>
                <w:color w:val="auto"/>
                <w:szCs w:val="21"/>
              </w:rPr>
              <w:t>差额±（元）</w:t>
            </w:r>
          </w:p>
        </w:tc>
        <w:tc>
          <w:tcPr>
            <w:tcW w:w="780" w:type="dxa"/>
            <w:vMerge w:val="restart"/>
            <w:tcBorders>
              <w:top w:val="single" w:color="000000" w:sz="4" w:space="0"/>
              <w:left w:val="single" w:color="000000" w:sz="4" w:space="0"/>
              <w:right w:val="single" w:color="000000" w:sz="4" w:space="0"/>
            </w:tcBorders>
            <w:noWrap w:val="0"/>
            <w:vAlign w:val="top"/>
          </w:tcPr>
          <w:p>
            <w:pPr>
              <w:jc w:val="left"/>
              <w:rPr>
                <w:rFonts w:hint="eastAsia" w:ascii="仿宋" w:hAnsi="仿宋" w:eastAsia="仿宋" w:cs="仿宋"/>
                <w:color w:val="auto"/>
                <w:szCs w:val="21"/>
              </w:rPr>
            </w:pPr>
          </w:p>
          <w:p>
            <w:pPr>
              <w:jc w:val="left"/>
              <w:rPr>
                <w:rFonts w:hint="eastAsia" w:ascii="仿宋" w:hAnsi="仿宋" w:eastAsia="仿宋" w:cs="仿宋"/>
                <w:color w:val="auto"/>
                <w:szCs w:val="21"/>
              </w:rPr>
            </w:pPr>
          </w:p>
          <w:p>
            <w:pPr>
              <w:ind w:left="234" w:right="-20"/>
              <w:jc w:val="left"/>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0" w:type="dxa"/>
            <w:bottom w:w="0" w:type="dxa"/>
            <w:right w:w="0" w:type="dxa"/>
          </w:tblCellMar>
        </w:tblPrEx>
        <w:trPr>
          <w:trHeight w:val="885" w:hRule="exact"/>
        </w:trPr>
        <w:tc>
          <w:tcPr>
            <w:tcW w:w="716"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861"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751"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ind w:left="213" w:right="139"/>
              <w:jc w:val="left"/>
              <w:rPr>
                <w:rFonts w:hint="eastAsia" w:ascii="仿宋" w:hAnsi="仿宋" w:eastAsia="仿宋" w:cs="仿宋"/>
                <w:color w:val="auto"/>
                <w:szCs w:val="21"/>
              </w:rPr>
            </w:pPr>
            <w:r>
              <w:rPr>
                <w:rFonts w:hint="eastAsia" w:ascii="仿宋" w:hAnsi="仿宋" w:eastAsia="仿宋" w:cs="仿宋"/>
                <w:color w:val="auto"/>
                <w:szCs w:val="21"/>
              </w:rPr>
              <w:t>暂估</w:t>
            </w:r>
          </w:p>
        </w:tc>
        <w:tc>
          <w:tcPr>
            <w:tcW w:w="690" w:type="dxa"/>
            <w:tcBorders>
              <w:top w:val="single" w:color="000000" w:sz="4" w:space="0"/>
              <w:left w:val="single" w:color="000000" w:sz="4" w:space="0"/>
              <w:bottom w:val="single" w:color="000000" w:sz="4" w:space="0"/>
              <w:right w:val="single" w:color="000000" w:sz="4" w:space="0"/>
            </w:tcBorders>
            <w:noWrap w:val="0"/>
            <w:vAlign w:val="top"/>
          </w:tcPr>
          <w:p>
            <w:pPr>
              <w:ind w:left="213" w:right="139"/>
              <w:jc w:val="left"/>
              <w:rPr>
                <w:rFonts w:hint="eastAsia" w:ascii="仿宋" w:hAnsi="仿宋" w:eastAsia="仿宋" w:cs="仿宋"/>
                <w:color w:val="auto"/>
                <w:szCs w:val="21"/>
              </w:rPr>
            </w:pPr>
            <w:r>
              <w:rPr>
                <w:rFonts w:hint="eastAsia" w:ascii="仿宋" w:hAnsi="仿宋" w:eastAsia="仿宋" w:cs="仿宋"/>
                <w:color w:val="auto"/>
                <w:szCs w:val="21"/>
              </w:rPr>
              <w:t>确认</w:t>
            </w:r>
          </w:p>
        </w:tc>
        <w:tc>
          <w:tcPr>
            <w:tcW w:w="675" w:type="dxa"/>
            <w:tcBorders>
              <w:top w:val="single" w:color="000000" w:sz="4" w:space="0"/>
              <w:left w:val="single" w:color="000000" w:sz="4" w:space="0"/>
              <w:bottom w:val="single" w:color="000000" w:sz="4" w:space="0"/>
              <w:right w:val="single" w:color="000000" w:sz="4" w:space="0"/>
            </w:tcBorders>
            <w:noWrap w:val="0"/>
            <w:vAlign w:val="top"/>
          </w:tcPr>
          <w:p>
            <w:pPr>
              <w:ind w:left="213" w:right="139"/>
              <w:jc w:val="left"/>
              <w:rPr>
                <w:rFonts w:hint="eastAsia" w:ascii="仿宋" w:hAnsi="仿宋" w:eastAsia="仿宋" w:cs="仿宋"/>
                <w:color w:val="auto"/>
                <w:szCs w:val="21"/>
              </w:rPr>
            </w:pPr>
            <w:r>
              <w:rPr>
                <w:rFonts w:hint="eastAsia" w:ascii="仿宋" w:hAnsi="仿宋" w:eastAsia="仿宋" w:cs="仿宋"/>
                <w:color w:val="auto"/>
                <w:szCs w:val="21"/>
              </w:rPr>
              <w:t>暂估</w:t>
            </w:r>
          </w:p>
        </w:tc>
        <w:tc>
          <w:tcPr>
            <w:tcW w:w="675" w:type="dxa"/>
            <w:tcBorders>
              <w:top w:val="single" w:color="000000" w:sz="4" w:space="0"/>
              <w:left w:val="single" w:color="000000" w:sz="4" w:space="0"/>
              <w:bottom w:val="single" w:color="000000" w:sz="4" w:space="0"/>
              <w:right w:val="single" w:color="000000" w:sz="4" w:space="0"/>
            </w:tcBorders>
            <w:noWrap w:val="0"/>
            <w:vAlign w:val="top"/>
          </w:tcPr>
          <w:p>
            <w:pPr>
              <w:ind w:left="213" w:right="139"/>
              <w:jc w:val="left"/>
              <w:rPr>
                <w:rFonts w:hint="eastAsia" w:ascii="仿宋" w:hAnsi="仿宋" w:eastAsia="仿宋" w:cs="仿宋"/>
                <w:color w:val="auto"/>
                <w:szCs w:val="21"/>
              </w:rPr>
            </w:pPr>
            <w:r>
              <w:rPr>
                <w:rFonts w:hint="eastAsia" w:ascii="仿宋" w:hAnsi="仿宋" w:eastAsia="仿宋" w:cs="仿宋"/>
                <w:color w:val="auto"/>
                <w:szCs w:val="21"/>
              </w:rPr>
              <w:t>确认</w:t>
            </w:r>
          </w:p>
        </w:tc>
        <w:tc>
          <w:tcPr>
            <w:tcW w:w="794" w:type="dxa"/>
            <w:tcBorders>
              <w:top w:val="single" w:color="000000" w:sz="4" w:space="0"/>
              <w:left w:val="single" w:color="000000" w:sz="4" w:space="0"/>
              <w:bottom w:val="single" w:color="000000" w:sz="4" w:space="0"/>
              <w:right w:val="single" w:color="000000" w:sz="4" w:space="0"/>
            </w:tcBorders>
            <w:noWrap w:val="0"/>
            <w:vAlign w:val="top"/>
          </w:tcPr>
          <w:p>
            <w:pPr>
              <w:ind w:left="213" w:right="139"/>
              <w:jc w:val="left"/>
              <w:rPr>
                <w:rFonts w:hint="eastAsia" w:ascii="仿宋" w:hAnsi="仿宋" w:eastAsia="仿宋" w:cs="仿宋"/>
                <w:color w:val="auto"/>
                <w:szCs w:val="21"/>
              </w:rPr>
            </w:pPr>
            <w:r>
              <w:rPr>
                <w:rFonts w:hint="eastAsia" w:ascii="仿宋" w:hAnsi="仿宋" w:eastAsia="仿宋" w:cs="仿宋"/>
                <w:color w:val="auto"/>
                <w:szCs w:val="21"/>
              </w:rPr>
              <w:t>暂估</w:t>
            </w:r>
          </w:p>
        </w:tc>
        <w:tc>
          <w:tcPr>
            <w:tcW w:w="571" w:type="dxa"/>
            <w:tcBorders>
              <w:top w:val="single" w:color="000000" w:sz="4" w:space="0"/>
              <w:left w:val="single" w:color="000000" w:sz="4" w:space="0"/>
              <w:bottom w:val="single" w:color="000000" w:sz="4" w:space="0"/>
              <w:right w:val="single" w:color="000000" w:sz="4" w:space="0"/>
            </w:tcBorders>
            <w:noWrap w:val="0"/>
            <w:vAlign w:val="top"/>
          </w:tcPr>
          <w:p>
            <w:pPr>
              <w:ind w:left="213" w:right="139"/>
              <w:jc w:val="left"/>
              <w:rPr>
                <w:rFonts w:hint="eastAsia" w:ascii="仿宋" w:hAnsi="仿宋" w:eastAsia="仿宋" w:cs="仿宋"/>
                <w:color w:val="auto"/>
                <w:szCs w:val="21"/>
              </w:rPr>
            </w:pPr>
            <w:r>
              <w:rPr>
                <w:rFonts w:hint="eastAsia" w:ascii="仿宋" w:hAnsi="仿宋" w:eastAsia="仿宋" w:cs="仿宋"/>
                <w:color w:val="auto"/>
                <w:szCs w:val="21"/>
              </w:rPr>
              <w:t>确认</w:t>
            </w:r>
          </w:p>
        </w:tc>
        <w:tc>
          <w:tcPr>
            <w:tcW w:w="735" w:type="dxa"/>
            <w:tcBorders>
              <w:top w:val="single" w:color="000000" w:sz="4" w:space="0"/>
              <w:left w:val="single" w:color="000000" w:sz="4" w:space="0"/>
              <w:bottom w:val="single" w:color="000000" w:sz="4" w:space="0"/>
              <w:right w:val="single" w:color="000000" w:sz="4" w:space="0"/>
            </w:tcBorders>
            <w:noWrap w:val="0"/>
            <w:vAlign w:val="top"/>
          </w:tcPr>
          <w:p>
            <w:pPr>
              <w:ind w:left="213" w:right="139"/>
              <w:jc w:val="left"/>
              <w:rPr>
                <w:rFonts w:hint="eastAsia" w:ascii="仿宋" w:hAnsi="仿宋" w:eastAsia="仿宋" w:cs="仿宋"/>
                <w:color w:val="auto"/>
                <w:szCs w:val="21"/>
              </w:rPr>
            </w:pPr>
            <w:r>
              <w:rPr>
                <w:rFonts w:hint="eastAsia" w:ascii="仿宋" w:hAnsi="仿宋" w:eastAsia="仿宋" w:cs="仿宋"/>
                <w:color w:val="auto"/>
                <w:szCs w:val="21"/>
              </w:rPr>
              <w:t>单价</w:t>
            </w: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ind w:left="213" w:right="139"/>
              <w:jc w:val="left"/>
              <w:rPr>
                <w:rFonts w:hint="eastAsia" w:ascii="仿宋" w:hAnsi="仿宋" w:eastAsia="仿宋" w:cs="仿宋"/>
                <w:color w:val="auto"/>
                <w:szCs w:val="21"/>
              </w:rPr>
            </w:pPr>
            <w:r>
              <w:rPr>
                <w:rFonts w:hint="eastAsia" w:ascii="仿宋" w:hAnsi="仿宋" w:eastAsia="仿宋" w:cs="仿宋"/>
                <w:color w:val="auto"/>
                <w:szCs w:val="21"/>
              </w:rPr>
              <w:t>合价</w:t>
            </w:r>
          </w:p>
        </w:tc>
        <w:tc>
          <w:tcPr>
            <w:tcW w:w="780" w:type="dxa"/>
            <w:vMerge w:val="continue"/>
            <w:tcBorders>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670" w:hRule="exac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18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rPr>
            </w:pPr>
          </w:p>
        </w:tc>
      </w:tr>
      <w:tr>
        <w:tblPrEx>
          <w:tblCellMar>
            <w:top w:w="0" w:type="dxa"/>
            <w:left w:w="0" w:type="dxa"/>
            <w:bottom w:w="0" w:type="dxa"/>
            <w:right w:w="0" w:type="dxa"/>
          </w:tblCellMar>
        </w:tblPrEx>
        <w:trPr>
          <w:trHeight w:val="560" w:hRule="exact"/>
        </w:trPr>
        <w:tc>
          <w:tcPr>
            <w:tcW w:w="3328"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left" w:pos="1960"/>
              </w:tabs>
              <w:ind w:left="1485" w:right="1465"/>
              <w:jc w:val="center"/>
              <w:rPr>
                <w:rFonts w:hint="eastAsia" w:ascii="仿宋" w:hAnsi="仿宋" w:eastAsia="仿宋" w:cs="仿宋"/>
                <w:color w:val="auto"/>
                <w:szCs w:val="21"/>
              </w:rPr>
            </w:pPr>
            <w:r>
              <w:rPr>
                <w:rFonts w:hint="eastAsia" w:ascii="仿宋" w:hAnsi="仿宋" w:eastAsia="仿宋" w:cs="仿宋"/>
                <w:color w:val="auto"/>
                <w:position w:val="-3"/>
                <w:szCs w:val="21"/>
              </w:rPr>
              <w:t>合</w:t>
            </w:r>
            <w:r>
              <w:rPr>
                <w:rFonts w:hint="eastAsia" w:ascii="仿宋" w:hAnsi="仿宋" w:eastAsia="仿宋" w:cs="仿宋"/>
                <w:color w:val="auto"/>
                <w:position w:val="-3"/>
                <w:szCs w:val="21"/>
              </w:rPr>
              <w:tab/>
            </w:r>
            <w:r>
              <w:rPr>
                <w:rFonts w:hint="eastAsia" w:ascii="仿宋" w:hAnsi="仿宋" w:eastAsia="仿宋" w:cs="仿宋"/>
                <w:color w:val="auto"/>
                <w:position w:val="-3"/>
                <w:szCs w:val="21"/>
              </w:rPr>
              <w:t>计</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560" w:hRule="exact"/>
        </w:trPr>
        <w:tc>
          <w:tcPr>
            <w:tcW w:w="3328"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left" w:pos="1960"/>
              </w:tabs>
              <w:ind w:left="1485" w:right="1465"/>
              <w:jc w:val="center"/>
              <w:rPr>
                <w:rFonts w:hint="eastAsia" w:ascii="仿宋" w:hAnsi="仿宋" w:eastAsia="仿宋" w:cs="仿宋"/>
                <w:color w:val="auto"/>
                <w:position w:val="-3"/>
                <w:szCs w:val="21"/>
              </w:rPr>
            </w:pP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560" w:hRule="exact"/>
        </w:trPr>
        <w:tc>
          <w:tcPr>
            <w:tcW w:w="3328"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left" w:pos="1960"/>
              </w:tabs>
              <w:ind w:left="1485" w:right="1465"/>
              <w:jc w:val="center"/>
              <w:rPr>
                <w:rFonts w:hint="eastAsia" w:ascii="仿宋" w:hAnsi="仿宋" w:eastAsia="仿宋" w:cs="仿宋"/>
                <w:color w:val="auto"/>
                <w:position w:val="-3"/>
                <w:szCs w:val="21"/>
              </w:rPr>
            </w:pP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r>
      <w:tr>
        <w:tblPrEx>
          <w:tblCellMar>
            <w:top w:w="0" w:type="dxa"/>
            <w:left w:w="0" w:type="dxa"/>
            <w:bottom w:w="0" w:type="dxa"/>
            <w:right w:w="0" w:type="dxa"/>
          </w:tblCellMar>
        </w:tblPrEx>
        <w:trPr>
          <w:trHeight w:val="560" w:hRule="exact"/>
        </w:trPr>
        <w:tc>
          <w:tcPr>
            <w:tcW w:w="3328"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left" w:pos="1960"/>
              </w:tabs>
              <w:ind w:left="1485" w:right="1465"/>
              <w:jc w:val="center"/>
              <w:rPr>
                <w:rFonts w:hint="eastAsia" w:ascii="仿宋" w:hAnsi="仿宋" w:eastAsia="仿宋" w:cs="仿宋"/>
                <w:color w:val="auto"/>
                <w:position w:val="-3"/>
                <w:szCs w:val="21"/>
              </w:rPr>
            </w:pP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Cs w:val="21"/>
              </w:rPr>
            </w:pPr>
          </w:p>
        </w:tc>
      </w:tr>
    </w:tbl>
    <w:p>
      <w:pPr>
        <w:spacing w:line="460" w:lineRule="atLeast"/>
        <w:ind w:left="218" w:right="65"/>
        <w:jc w:val="center"/>
        <w:rPr>
          <w:rFonts w:hint="eastAsia" w:ascii="仿宋" w:hAnsi="仿宋" w:eastAsia="仿宋" w:cs="仿宋"/>
          <w:bCs/>
          <w:color w:val="auto"/>
          <w:sz w:val="30"/>
          <w:szCs w:val="28"/>
        </w:rPr>
      </w:pPr>
      <w:r>
        <w:rPr>
          <w:rFonts w:hint="eastAsia" w:ascii="仿宋" w:hAnsi="仿宋" w:eastAsia="仿宋" w:cs="仿宋"/>
          <w:color w:val="auto"/>
          <w:position w:val="-2"/>
          <w:sz w:val="24"/>
          <w:szCs w:val="24"/>
        </w:rPr>
        <w:t>注：此表由招标人填写“暂估单价”，并在备注栏说明暂估价的材料、工程设备拟用在哪些清</w:t>
      </w:r>
      <w:r>
        <w:rPr>
          <w:rFonts w:hint="eastAsia" w:ascii="仿宋" w:hAnsi="仿宋" w:eastAsia="仿宋" w:cs="仿宋"/>
          <w:color w:val="auto"/>
          <w:sz w:val="24"/>
          <w:szCs w:val="24"/>
        </w:rPr>
        <w:t>单项目上，</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应将上述材料、工程设备暂估单价计入工程量清单综合单价报价中。</w:t>
      </w: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before="157" w:beforeLines="50" w:after="157" w:afterLines="50"/>
        <w:jc w:val="center"/>
        <w:rPr>
          <w:rFonts w:hint="eastAsia" w:ascii="仿宋" w:hAnsi="仿宋" w:eastAsia="仿宋" w:cs="仿宋"/>
          <w:bCs/>
          <w:color w:val="auto"/>
          <w:sz w:val="30"/>
          <w:szCs w:val="28"/>
        </w:rPr>
      </w:pPr>
      <w:r>
        <w:rPr>
          <w:rFonts w:hint="eastAsia" w:ascii="仿宋" w:hAnsi="仿宋" w:eastAsia="仿宋" w:cs="仿宋"/>
          <w:bCs/>
          <w:color w:val="auto"/>
          <w:sz w:val="30"/>
          <w:szCs w:val="30"/>
          <w:lang w:val="en-US" w:eastAsia="zh-CN"/>
        </w:rPr>
        <w:t>23、</w:t>
      </w:r>
      <w:r>
        <w:rPr>
          <w:rFonts w:hint="eastAsia" w:ascii="仿宋" w:hAnsi="仿宋" w:eastAsia="仿宋" w:cs="仿宋"/>
          <w:bCs/>
          <w:color w:val="auto"/>
          <w:sz w:val="30"/>
          <w:szCs w:val="30"/>
        </w:rPr>
        <w:t>专业工程暂估价及结算价表</w:t>
      </w:r>
    </w:p>
    <w:p>
      <w:pPr>
        <w:tabs>
          <w:tab w:val="left" w:pos="7815"/>
          <w:tab w:val="left" w:pos="8175"/>
          <w:tab w:val="left" w:pos="8900"/>
        </w:tabs>
        <w:spacing w:line="460" w:lineRule="atLeast"/>
        <w:ind w:left="218" w:right="-20" w:hanging="218" w:hangingChars="91"/>
        <w:jc w:val="left"/>
        <w:rPr>
          <w:rFonts w:hint="eastAsia" w:ascii="仿宋" w:hAnsi="仿宋" w:eastAsia="仿宋" w:cs="仿宋"/>
          <w:color w:val="auto"/>
          <w:sz w:val="24"/>
          <w:szCs w:val="24"/>
        </w:rPr>
      </w:pPr>
      <w:r>
        <w:rPr>
          <w:rFonts w:hint="eastAsia" w:ascii="仿宋" w:hAnsi="仿宋" w:eastAsia="仿宋" w:cs="仿宋"/>
          <w:color w:val="auto"/>
          <w:sz w:val="24"/>
          <w:szCs w:val="24"/>
        </w:rPr>
        <w:t>工程名称：</w:t>
      </w:r>
      <w:r>
        <w:rPr>
          <w:rFonts w:hint="eastAsia" w:ascii="仿宋" w:hAnsi="仿宋" w:eastAsia="仿宋" w:cs="仿宋"/>
          <w:color w:val="auto"/>
          <w:sz w:val="24"/>
          <w:szCs w:val="24"/>
        </w:rPr>
        <w:tab/>
      </w:r>
      <w:r>
        <w:rPr>
          <w:rFonts w:hint="eastAsia" w:ascii="仿宋" w:hAnsi="仿宋" w:eastAsia="仿宋" w:cs="仿宋"/>
          <w:color w:val="auto"/>
          <w:sz w:val="24"/>
          <w:szCs w:val="24"/>
        </w:rPr>
        <w:t>第</w:t>
      </w:r>
      <w:r>
        <w:rPr>
          <w:rFonts w:hint="eastAsia" w:ascii="仿宋" w:hAnsi="仿宋" w:eastAsia="仿宋" w:cs="仿宋"/>
          <w:color w:val="auto"/>
          <w:sz w:val="24"/>
          <w:szCs w:val="24"/>
        </w:rPr>
        <w:tab/>
      </w:r>
      <w:r>
        <w:rPr>
          <w:rFonts w:hint="eastAsia" w:ascii="仿宋" w:hAnsi="仿宋" w:eastAsia="仿宋" w:cs="仿宋"/>
          <w:color w:val="auto"/>
          <w:sz w:val="24"/>
          <w:szCs w:val="24"/>
        </w:rPr>
        <w:t>页</w:t>
      </w:r>
      <w:r>
        <w:rPr>
          <w:rFonts w:hint="eastAsia" w:ascii="仿宋" w:hAnsi="仿宋" w:eastAsia="仿宋" w:cs="仿宋"/>
          <w:color w:val="auto"/>
          <w:sz w:val="24"/>
          <w:szCs w:val="24"/>
        </w:rPr>
        <w:tab/>
      </w:r>
      <w:r>
        <w:rPr>
          <w:rFonts w:hint="eastAsia" w:ascii="仿宋" w:hAnsi="仿宋" w:eastAsia="仿宋" w:cs="仿宋"/>
          <w:color w:val="auto"/>
          <w:sz w:val="24"/>
          <w:szCs w:val="24"/>
        </w:rPr>
        <w:t>共</w:t>
      </w:r>
      <w:r>
        <w:rPr>
          <w:rFonts w:hint="eastAsia" w:ascii="仿宋" w:hAnsi="仿宋" w:eastAsia="仿宋" w:cs="仿宋"/>
          <w:color w:val="auto"/>
          <w:sz w:val="24"/>
          <w:szCs w:val="24"/>
        </w:rPr>
        <w:tab/>
      </w:r>
      <w:r>
        <w:rPr>
          <w:rFonts w:hint="eastAsia" w:ascii="仿宋" w:hAnsi="仿宋" w:eastAsia="仿宋" w:cs="仿宋"/>
          <w:color w:val="auto"/>
          <w:sz w:val="24"/>
          <w:szCs w:val="24"/>
        </w:rPr>
        <w:t>页</w:t>
      </w:r>
    </w:p>
    <w:tbl>
      <w:tblPr>
        <w:tblStyle w:val="25"/>
        <w:tblW w:w="0" w:type="auto"/>
        <w:jc w:val="center"/>
        <w:tblLayout w:type="fixed"/>
        <w:tblCellMar>
          <w:top w:w="0" w:type="dxa"/>
          <w:left w:w="0" w:type="dxa"/>
          <w:bottom w:w="0" w:type="dxa"/>
          <w:right w:w="0" w:type="dxa"/>
        </w:tblCellMar>
      </w:tblPr>
      <w:tblGrid>
        <w:gridCol w:w="510"/>
        <w:gridCol w:w="2880"/>
        <w:gridCol w:w="1545"/>
        <w:gridCol w:w="1230"/>
        <w:gridCol w:w="1155"/>
        <w:gridCol w:w="1185"/>
        <w:gridCol w:w="930"/>
      </w:tblGrid>
      <w:tr>
        <w:tblPrEx>
          <w:tblCellMar>
            <w:top w:w="0" w:type="dxa"/>
            <w:left w:w="0" w:type="dxa"/>
            <w:bottom w:w="0" w:type="dxa"/>
            <w:right w:w="0" w:type="dxa"/>
          </w:tblCellMar>
        </w:tblPrEx>
        <w:trPr>
          <w:trHeight w:val="1113"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ind w:right="-20"/>
              <w:rPr>
                <w:rFonts w:hint="eastAsia" w:ascii="仿宋" w:hAnsi="仿宋" w:eastAsia="仿宋" w:cs="仿宋"/>
                <w:color w:val="auto"/>
                <w:szCs w:val="21"/>
              </w:rPr>
            </w:pPr>
            <w:r>
              <w:rPr>
                <w:rFonts w:hint="eastAsia" w:ascii="仿宋" w:hAnsi="仿宋" w:eastAsia="仿宋" w:cs="仿宋"/>
                <w:color w:val="auto"/>
                <w:szCs w:val="21"/>
              </w:rPr>
              <w:t>序号</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ind w:left="7" w:right="97" w:hanging="7"/>
              <w:jc w:val="center"/>
              <w:rPr>
                <w:rFonts w:hint="eastAsia" w:ascii="仿宋" w:hAnsi="仿宋" w:eastAsia="仿宋" w:cs="仿宋"/>
                <w:color w:val="auto"/>
                <w:szCs w:val="21"/>
              </w:rPr>
            </w:pPr>
            <w:r>
              <w:rPr>
                <w:rFonts w:hint="eastAsia" w:ascii="仿宋" w:hAnsi="仿宋" w:eastAsia="仿宋" w:cs="仿宋"/>
                <w:color w:val="auto"/>
                <w:szCs w:val="21"/>
              </w:rPr>
              <w:t>工程名称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Cs w:val="21"/>
              </w:rPr>
            </w:pPr>
            <w:r>
              <w:rPr>
                <w:rFonts w:hint="eastAsia" w:ascii="仿宋" w:hAnsi="仿宋" w:eastAsia="仿宋" w:cs="仿宋"/>
                <w:color w:val="auto"/>
                <w:szCs w:val="21"/>
              </w:rPr>
              <w:t>工程内容</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spacing w:before="16"/>
              <w:ind w:left="172" w:right="152"/>
              <w:jc w:val="center"/>
              <w:rPr>
                <w:rFonts w:hint="eastAsia" w:ascii="仿宋" w:hAnsi="仿宋" w:eastAsia="仿宋" w:cs="仿宋"/>
                <w:color w:val="auto"/>
                <w:szCs w:val="21"/>
              </w:rPr>
            </w:pPr>
            <w:r>
              <w:rPr>
                <w:rFonts w:hint="eastAsia" w:ascii="仿宋" w:hAnsi="仿宋" w:eastAsia="仿宋" w:cs="仿宋"/>
                <w:color w:val="auto"/>
                <w:szCs w:val="21"/>
              </w:rPr>
              <w:t>暂估金额（元）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ind w:right="152"/>
              <w:jc w:val="center"/>
              <w:rPr>
                <w:rFonts w:hint="eastAsia" w:ascii="仿宋" w:hAnsi="仿宋" w:eastAsia="仿宋" w:cs="仿宋"/>
                <w:color w:val="auto"/>
                <w:szCs w:val="21"/>
              </w:rPr>
            </w:pPr>
            <w:r>
              <w:rPr>
                <w:rFonts w:hint="eastAsia" w:ascii="仿宋" w:hAnsi="仿宋" w:eastAsia="仿宋" w:cs="仿宋"/>
                <w:color w:val="auto"/>
                <w:szCs w:val="21"/>
              </w:rPr>
              <w:t>结算金额（元</w:t>
            </w:r>
            <w:r>
              <w:rPr>
                <w:rFonts w:hint="eastAsia" w:ascii="仿宋" w:hAnsi="仿宋" w:eastAsia="仿宋" w:cs="仿宋"/>
                <w:color w:val="auto"/>
                <w:position w:val="-1"/>
                <w:szCs w:val="21"/>
              </w:rPr>
              <w:t>）</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ind w:right="-20"/>
              <w:rPr>
                <w:rFonts w:hint="eastAsia" w:ascii="仿宋" w:hAnsi="仿宋" w:eastAsia="仿宋" w:cs="仿宋"/>
                <w:color w:val="auto"/>
                <w:szCs w:val="21"/>
              </w:rPr>
            </w:pPr>
            <w:r>
              <w:rPr>
                <w:rFonts w:hint="eastAsia" w:ascii="仿宋" w:hAnsi="仿宋" w:eastAsia="仿宋" w:cs="仿宋"/>
                <w:color w:val="auto"/>
                <w:szCs w:val="21"/>
              </w:rPr>
              <w:t>差额±</w:t>
            </w:r>
            <w:r>
              <w:rPr>
                <w:rFonts w:hint="eastAsia" w:ascii="仿宋" w:hAnsi="仿宋" w:eastAsia="仿宋" w:cs="仿宋"/>
                <w:color w:val="auto"/>
                <w:position w:val="-2"/>
                <w:szCs w:val="21"/>
              </w:rPr>
              <w:t>（元）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ind w:right="1662"/>
              <w:rPr>
                <w:rFonts w:hint="eastAsia" w:ascii="仿宋" w:hAnsi="仿宋" w:eastAsia="仿宋" w:cs="仿宋"/>
                <w:color w:val="auto"/>
                <w:szCs w:val="21"/>
              </w:rPr>
            </w:pPr>
            <w:r>
              <w:rPr>
                <w:rFonts w:hint="eastAsia" w:ascii="仿宋" w:hAnsi="仿宋" w:eastAsia="仿宋" w:cs="仿宋"/>
                <w:color w:val="auto"/>
                <w:szCs w:val="21"/>
              </w:rPr>
              <w:t xml:space="preserve">         无</w:t>
            </w: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690" w:hRule="exact"/>
          <w:jc w:val="center"/>
        </w:trPr>
        <w:tc>
          <w:tcPr>
            <w:tcW w:w="51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288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5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r>
        <w:tblPrEx>
          <w:tblCellMar>
            <w:top w:w="0" w:type="dxa"/>
            <w:left w:w="0" w:type="dxa"/>
            <w:bottom w:w="0" w:type="dxa"/>
            <w:right w:w="0" w:type="dxa"/>
          </w:tblCellMar>
        </w:tblPrEx>
        <w:trPr>
          <w:trHeight w:val="1190" w:hRule="exact"/>
          <w:jc w:val="center"/>
        </w:trPr>
        <w:tc>
          <w:tcPr>
            <w:tcW w:w="4935"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p>
            <w:pPr>
              <w:jc w:val="center"/>
              <w:rPr>
                <w:rFonts w:hint="eastAsia" w:ascii="仿宋" w:hAnsi="仿宋" w:eastAsia="仿宋" w:cs="仿宋"/>
                <w:color w:val="auto"/>
                <w:szCs w:val="21"/>
              </w:rPr>
            </w:pPr>
            <w:r>
              <w:rPr>
                <w:rFonts w:hint="eastAsia" w:ascii="仿宋" w:hAnsi="仿宋" w:eastAsia="仿宋" w:cs="仿宋"/>
                <w:color w:val="auto"/>
              </w:rPr>
              <w:t>合</w:t>
            </w:r>
            <w:r>
              <w:rPr>
                <w:rFonts w:hint="eastAsia" w:ascii="仿宋" w:hAnsi="仿宋" w:eastAsia="仿宋" w:cs="仿宋"/>
                <w:color w:val="auto"/>
              </w:rPr>
              <w:tab/>
            </w:r>
            <w:r>
              <w:rPr>
                <w:rFonts w:hint="eastAsia" w:ascii="仿宋" w:hAnsi="仿宋" w:eastAsia="仿宋" w:cs="仿宋"/>
                <w:color w:val="auto"/>
              </w:rPr>
              <w:t>计</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5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Cs w:val="21"/>
              </w:rPr>
            </w:pPr>
          </w:p>
        </w:tc>
      </w:tr>
    </w:tbl>
    <w:p>
      <w:pPr>
        <w:spacing w:before="157" w:beforeLines="50"/>
        <w:rPr>
          <w:rFonts w:hint="eastAsia" w:ascii="仿宋" w:hAnsi="仿宋" w:eastAsia="仿宋" w:cs="仿宋"/>
          <w:color w:val="auto"/>
        </w:rPr>
      </w:pPr>
      <w:r>
        <w:rPr>
          <w:rFonts w:hint="eastAsia" w:ascii="仿宋" w:hAnsi="仿宋" w:eastAsia="仿宋" w:cs="仿宋"/>
          <w:color w:val="auto"/>
          <w:sz w:val="24"/>
          <w:szCs w:val="24"/>
        </w:rPr>
        <w:t>注：1．此表“暂估金额”由招标人填写，</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应将“暂估金额”计入投标总价中。结算时按合同约定结算金额填写。</w:t>
      </w:r>
    </w:p>
    <w:p>
      <w:pPr>
        <w:rPr>
          <w:rFonts w:hint="eastAsia"/>
        </w:rPr>
      </w:pPr>
    </w:p>
    <w:p>
      <w:pPr>
        <w:rPr>
          <w:rFonts w:hint="eastAsia"/>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tabs>
          <w:tab w:val="left" w:pos="4100"/>
        </w:tabs>
        <w:spacing w:line="460" w:lineRule="atLeast"/>
        <w:ind w:left="3155" w:right="-20"/>
        <w:jc w:val="left"/>
        <w:rPr>
          <w:rFonts w:hint="eastAsia" w:ascii="仿宋" w:hAnsi="仿宋" w:eastAsia="仿宋" w:cs="仿宋"/>
          <w:color w:val="auto"/>
          <w:sz w:val="30"/>
          <w:szCs w:val="30"/>
        </w:rPr>
      </w:pPr>
      <w:r>
        <w:rPr>
          <w:rFonts w:hint="eastAsia" w:ascii="仿宋" w:hAnsi="仿宋" w:eastAsia="仿宋" w:cs="仿宋"/>
          <w:bCs/>
          <w:color w:val="auto"/>
          <w:sz w:val="30"/>
          <w:szCs w:val="30"/>
          <w:lang w:val="en-US" w:eastAsia="zh-CN"/>
        </w:rPr>
        <w:t>24、</w:t>
      </w:r>
      <w:r>
        <w:rPr>
          <w:rFonts w:hint="eastAsia" w:ascii="仿宋" w:hAnsi="仿宋" w:eastAsia="仿宋" w:cs="仿宋"/>
          <w:bCs/>
          <w:color w:val="auto"/>
          <w:sz w:val="30"/>
          <w:szCs w:val="30"/>
        </w:rPr>
        <w:t>措施项目汇总表</w:t>
      </w:r>
    </w:p>
    <w:p>
      <w:pPr>
        <w:tabs>
          <w:tab w:val="left" w:pos="8440"/>
          <w:tab w:val="left" w:pos="8860"/>
          <w:tab w:val="left" w:pos="9280"/>
          <w:tab w:val="left" w:pos="9700"/>
        </w:tabs>
        <w:spacing w:line="460" w:lineRule="atLeast"/>
        <w:ind w:left="17" w:right="285" w:hanging="16" w:hangingChars="7"/>
        <w:jc w:val="left"/>
        <w:rPr>
          <w:rFonts w:hint="eastAsia" w:ascii="仿宋" w:hAnsi="仿宋" w:eastAsia="仿宋" w:cs="仿宋"/>
          <w:color w:val="auto"/>
          <w:sz w:val="24"/>
          <w:szCs w:val="24"/>
        </w:rPr>
      </w:pPr>
      <w:r>
        <w:rPr>
          <w:rFonts w:hint="eastAsia" w:ascii="仿宋" w:hAnsi="仿宋" w:eastAsia="仿宋" w:cs="仿宋"/>
          <w:color w:val="auto"/>
          <w:position w:val="-1"/>
          <w:sz w:val="24"/>
          <w:szCs w:val="24"/>
        </w:rPr>
        <w:t xml:space="preserve"> 工程名称：                                                      第 页  共 页</w:t>
      </w:r>
    </w:p>
    <w:tbl>
      <w:tblPr>
        <w:tblStyle w:val="25"/>
        <w:tblW w:w="0" w:type="auto"/>
        <w:tblInd w:w="106" w:type="dxa"/>
        <w:tblLayout w:type="fixed"/>
        <w:tblCellMar>
          <w:top w:w="0" w:type="dxa"/>
          <w:left w:w="0" w:type="dxa"/>
          <w:bottom w:w="0" w:type="dxa"/>
          <w:right w:w="0" w:type="dxa"/>
        </w:tblCellMar>
      </w:tblPr>
      <w:tblGrid>
        <w:gridCol w:w="1119"/>
        <w:gridCol w:w="3690"/>
        <w:gridCol w:w="2759"/>
        <w:gridCol w:w="1849"/>
      </w:tblGrid>
      <w:tr>
        <w:tblPrEx>
          <w:tblCellMar>
            <w:top w:w="0" w:type="dxa"/>
            <w:left w:w="0" w:type="dxa"/>
            <w:bottom w:w="0" w:type="dxa"/>
            <w:right w:w="0" w:type="dxa"/>
          </w:tblCellMar>
        </w:tblPrEx>
        <w:trPr>
          <w:trHeight w:val="1362" w:hRule="exact"/>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ind w:right="-2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690" w:type="dxa"/>
            <w:tcBorders>
              <w:top w:val="single" w:color="000000" w:sz="4" w:space="0"/>
              <w:left w:val="single" w:color="000000" w:sz="4" w:space="0"/>
              <w:bottom w:val="single" w:color="000000" w:sz="4" w:space="0"/>
              <w:right w:val="single" w:color="000000" w:sz="4" w:space="0"/>
            </w:tcBorders>
            <w:noWrap w:val="0"/>
            <w:vAlign w:val="center"/>
          </w:tcPr>
          <w:p>
            <w:pPr>
              <w:ind w:right="-6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2759" w:type="dxa"/>
            <w:tcBorders>
              <w:top w:val="single" w:color="000000" w:sz="4" w:space="0"/>
              <w:left w:val="single" w:color="000000" w:sz="4" w:space="0"/>
              <w:bottom w:val="single" w:color="000000" w:sz="4" w:space="0"/>
              <w:right w:val="single" w:color="000000" w:sz="4" w:space="0"/>
            </w:tcBorders>
            <w:noWrap w:val="0"/>
            <w:vAlign w:val="center"/>
          </w:tcPr>
          <w:p>
            <w:pPr>
              <w:ind w:right="-110"/>
              <w:jc w:val="center"/>
              <w:rPr>
                <w:rFonts w:hint="eastAsia" w:ascii="仿宋" w:hAnsi="仿宋" w:eastAsia="仿宋" w:cs="仿宋"/>
                <w:color w:val="auto"/>
                <w:sz w:val="24"/>
                <w:szCs w:val="24"/>
              </w:rPr>
            </w:pPr>
            <w:r>
              <w:rPr>
                <w:rFonts w:hint="eastAsia" w:ascii="仿宋" w:hAnsi="仿宋" w:eastAsia="仿宋" w:cs="仿宋"/>
                <w:color w:val="auto"/>
                <w:sz w:val="24"/>
                <w:szCs w:val="24"/>
              </w:rPr>
              <w:t>金额（元）</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CellMar>
            <w:top w:w="0" w:type="dxa"/>
            <w:left w:w="0" w:type="dxa"/>
            <w:bottom w:w="0" w:type="dxa"/>
            <w:right w:w="0" w:type="dxa"/>
          </w:tblCellMar>
        </w:tblPrEx>
        <w:trPr>
          <w:trHeight w:val="724" w:hRule="exact"/>
        </w:trPr>
        <w:tc>
          <w:tcPr>
            <w:tcW w:w="1119" w:type="dxa"/>
            <w:tcBorders>
              <w:top w:val="single" w:color="000000" w:sz="4" w:space="0"/>
              <w:left w:val="single" w:color="000000" w:sz="4" w:space="0"/>
              <w:bottom w:val="single" w:color="000000" w:sz="4" w:space="0"/>
              <w:right w:val="single" w:color="000000" w:sz="4" w:space="0"/>
            </w:tcBorders>
            <w:noWrap w:val="0"/>
            <w:vAlign w:val="top"/>
          </w:tcPr>
          <w:p>
            <w:pPr>
              <w:spacing w:before="7"/>
              <w:jc w:val="left"/>
              <w:rPr>
                <w:rFonts w:hint="eastAsia" w:ascii="仿宋" w:hAnsi="仿宋" w:eastAsia="仿宋" w:cs="仿宋"/>
                <w:color w:val="auto"/>
                <w:sz w:val="24"/>
                <w:szCs w:val="24"/>
              </w:rPr>
            </w:pPr>
          </w:p>
          <w:p>
            <w:pPr>
              <w:ind w:left="442" w:right="422"/>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724" w:hRule="exact"/>
        </w:trPr>
        <w:tc>
          <w:tcPr>
            <w:tcW w:w="1119" w:type="dxa"/>
            <w:tcBorders>
              <w:top w:val="single" w:color="000000" w:sz="4" w:space="0"/>
              <w:left w:val="single" w:color="000000" w:sz="4" w:space="0"/>
              <w:bottom w:val="single" w:color="000000" w:sz="4" w:space="0"/>
              <w:right w:val="single" w:color="000000" w:sz="4" w:space="0"/>
            </w:tcBorders>
            <w:noWrap w:val="0"/>
            <w:vAlign w:val="top"/>
          </w:tcPr>
          <w:p>
            <w:pPr>
              <w:spacing w:before="7"/>
              <w:jc w:val="left"/>
              <w:rPr>
                <w:rFonts w:hint="eastAsia" w:ascii="仿宋" w:hAnsi="仿宋" w:eastAsia="仿宋" w:cs="仿宋"/>
                <w:color w:val="auto"/>
                <w:sz w:val="24"/>
                <w:szCs w:val="24"/>
              </w:rPr>
            </w:pPr>
          </w:p>
          <w:p>
            <w:pPr>
              <w:ind w:left="442" w:right="422"/>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724" w:hRule="exact"/>
        </w:trPr>
        <w:tc>
          <w:tcPr>
            <w:tcW w:w="1119" w:type="dxa"/>
            <w:tcBorders>
              <w:top w:val="single" w:color="000000" w:sz="4" w:space="0"/>
              <w:left w:val="single" w:color="000000" w:sz="4" w:space="0"/>
              <w:bottom w:val="single" w:color="000000" w:sz="4" w:space="0"/>
              <w:right w:val="single" w:color="000000" w:sz="4" w:space="0"/>
            </w:tcBorders>
            <w:noWrap w:val="0"/>
            <w:vAlign w:val="top"/>
          </w:tcPr>
          <w:p>
            <w:pPr>
              <w:spacing w:before="7"/>
              <w:jc w:val="left"/>
              <w:rPr>
                <w:rFonts w:hint="eastAsia" w:ascii="仿宋" w:hAnsi="仿宋" w:eastAsia="仿宋" w:cs="仿宋"/>
                <w:color w:val="auto"/>
                <w:sz w:val="24"/>
                <w:szCs w:val="24"/>
              </w:rPr>
            </w:pPr>
          </w:p>
          <w:p>
            <w:pPr>
              <w:ind w:left="442" w:right="422"/>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rPr>
          <w:trHeight w:val="724" w:hRule="exact"/>
        </w:trPr>
        <w:tc>
          <w:tcPr>
            <w:tcW w:w="1119" w:type="dxa"/>
            <w:tcBorders>
              <w:top w:val="single" w:color="000000" w:sz="4" w:space="0"/>
              <w:left w:val="single" w:color="000000" w:sz="4" w:space="0"/>
              <w:bottom w:val="single" w:color="000000" w:sz="4" w:space="0"/>
              <w:right w:val="single" w:color="000000" w:sz="4" w:space="0"/>
            </w:tcBorders>
            <w:noWrap w:val="0"/>
            <w:vAlign w:val="top"/>
          </w:tcPr>
          <w:p>
            <w:pPr>
              <w:spacing w:before="7"/>
              <w:jc w:val="left"/>
              <w:rPr>
                <w:rFonts w:hint="eastAsia" w:ascii="仿宋" w:hAnsi="仿宋" w:eastAsia="仿宋" w:cs="仿宋"/>
                <w:color w:val="auto"/>
                <w:sz w:val="24"/>
                <w:szCs w:val="24"/>
              </w:rPr>
            </w:pPr>
          </w:p>
          <w:p>
            <w:pPr>
              <w:ind w:left="442" w:right="422"/>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724" w:hRule="exact"/>
        </w:trPr>
        <w:tc>
          <w:tcPr>
            <w:tcW w:w="1119" w:type="dxa"/>
            <w:tcBorders>
              <w:top w:val="single" w:color="000000" w:sz="4" w:space="0"/>
              <w:left w:val="single" w:color="000000" w:sz="4" w:space="0"/>
              <w:bottom w:val="single" w:color="000000" w:sz="4" w:space="0"/>
              <w:right w:val="single" w:color="000000" w:sz="4" w:space="0"/>
            </w:tcBorders>
            <w:noWrap w:val="0"/>
            <w:vAlign w:val="top"/>
          </w:tcPr>
          <w:p>
            <w:pPr>
              <w:spacing w:before="7"/>
              <w:jc w:val="left"/>
              <w:rPr>
                <w:rFonts w:hint="eastAsia" w:ascii="仿宋" w:hAnsi="仿宋" w:eastAsia="仿宋" w:cs="仿宋"/>
                <w:color w:val="auto"/>
                <w:sz w:val="24"/>
                <w:szCs w:val="24"/>
              </w:rPr>
            </w:pPr>
          </w:p>
          <w:p>
            <w:pPr>
              <w:ind w:left="442" w:right="422"/>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724" w:hRule="exact"/>
        </w:trPr>
        <w:tc>
          <w:tcPr>
            <w:tcW w:w="1119" w:type="dxa"/>
            <w:tcBorders>
              <w:top w:val="single" w:color="000000" w:sz="4" w:space="0"/>
              <w:left w:val="single" w:color="000000" w:sz="4" w:space="0"/>
              <w:bottom w:val="single" w:color="000000" w:sz="4" w:space="0"/>
              <w:right w:val="single" w:color="000000" w:sz="4" w:space="0"/>
            </w:tcBorders>
            <w:noWrap w:val="0"/>
            <w:vAlign w:val="top"/>
          </w:tcPr>
          <w:p>
            <w:pPr>
              <w:spacing w:before="7"/>
              <w:jc w:val="left"/>
              <w:rPr>
                <w:rFonts w:hint="eastAsia" w:ascii="仿宋" w:hAnsi="仿宋" w:eastAsia="仿宋" w:cs="仿宋"/>
                <w:color w:val="auto"/>
                <w:sz w:val="24"/>
                <w:szCs w:val="24"/>
              </w:rPr>
            </w:pPr>
          </w:p>
          <w:p>
            <w:pPr>
              <w:ind w:left="442" w:right="422"/>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724" w:hRule="exact"/>
        </w:trPr>
        <w:tc>
          <w:tcPr>
            <w:tcW w:w="1119" w:type="dxa"/>
            <w:tcBorders>
              <w:top w:val="single" w:color="000000" w:sz="4" w:space="0"/>
              <w:left w:val="single" w:color="000000" w:sz="4" w:space="0"/>
              <w:bottom w:val="single" w:color="000000" w:sz="4" w:space="0"/>
              <w:right w:val="single" w:color="000000" w:sz="4" w:space="0"/>
            </w:tcBorders>
            <w:noWrap w:val="0"/>
            <w:vAlign w:val="top"/>
          </w:tcPr>
          <w:p>
            <w:pPr>
              <w:spacing w:before="7"/>
              <w:jc w:val="left"/>
              <w:rPr>
                <w:rFonts w:hint="eastAsia" w:ascii="仿宋" w:hAnsi="仿宋" w:eastAsia="仿宋" w:cs="仿宋"/>
                <w:color w:val="auto"/>
                <w:sz w:val="24"/>
                <w:szCs w:val="24"/>
              </w:rPr>
            </w:pPr>
          </w:p>
          <w:p>
            <w:pPr>
              <w:ind w:left="442" w:right="422"/>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724" w:hRule="exact"/>
        </w:trPr>
        <w:tc>
          <w:tcPr>
            <w:tcW w:w="1119" w:type="dxa"/>
            <w:tcBorders>
              <w:top w:val="single" w:color="000000" w:sz="4" w:space="0"/>
              <w:left w:val="single" w:color="000000" w:sz="4" w:space="0"/>
              <w:bottom w:val="single" w:color="000000" w:sz="4" w:space="0"/>
              <w:right w:val="single" w:color="000000" w:sz="4" w:space="0"/>
            </w:tcBorders>
            <w:noWrap w:val="0"/>
            <w:vAlign w:val="top"/>
          </w:tcPr>
          <w:p>
            <w:pPr>
              <w:spacing w:before="7"/>
              <w:jc w:val="left"/>
              <w:rPr>
                <w:rFonts w:hint="eastAsia" w:ascii="仿宋" w:hAnsi="仿宋" w:eastAsia="仿宋" w:cs="仿宋"/>
                <w:color w:val="auto"/>
                <w:sz w:val="24"/>
                <w:szCs w:val="24"/>
              </w:rPr>
            </w:pPr>
          </w:p>
          <w:p>
            <w:pPr>
              <w:ind w:left="442" w:right="422"/>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rPr>
          <w:trHeight w:val="724" w:hRule="exact"/>
        </w:trPr>
        <w:tc>
          <w:tcPr>
            <w:tcW w:w="1119" w:type="dxa"/>
            <w:tcBorders>
              <w:top w:val="single" w:color="000000" w:sz="4" w:space="0"/>
              <w:left w:val="single" w:color="000000" w:sz="4" w:space="0"/>
              <w:bottom w:val="single" w:color="000000" w:sz="4" w:space="0"/>
              <w:right w:val="single" w:color="000000" w:sz="4" w:space="0"/>
            </w:tcBorders>
            <w:noWrap w:val="0"/>
            <w:vAlign w:val="top"/>
          </w:tcPr>
          <w:p>
            <w:pPr>
              <w:spacing w:before="7"/>
              <w:jc w:val="left"/>
              <w:rPr>
                <w:rFonts w:hint="eastAsia" w:ascii="仿宋" w:hAnsi="仿宋" w:eastAsia="仿宋" w:cs="仿宋"/>
                <w:color w:val="auto"/>
                <w:sz w:val="24"/>
                <w:szCs w:val="24"/>
              </w:rPr>
            </w:pPr>
          </w:p>
          <w:p>
            <w:pPr>
              <w:ind w:left="442" w:right="422"/>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724" w:hRule="exact"/>
        </w:trPr>
        <w:tc>
          <w:tcPr>
            <w:tcW w:w="1119" w:type="dxa"/>
            <w:tcBorders>
              <w:top w:val="single" w:color="000000" w:sz="4" w:space="0"/>
              <w:left w:val="single" w:color="000000" w:sz="4" w:space="0"/>
              <w:bottom w:val="single" w:color="000000" w:sz="4" w:space="0"/>
              <w:right w:val="single" w:color="000000" w:sz="4" w:space="0"/>
            </w:tcBorders>
            <w:noWrap w:val="0"/>
            <w:vAlign w:val="top"/>
          </w:tcPr>
          <w:p>
            <w:pPr>
              <w:spacing w:before="7"/>
              <w:jc w:val="left"/>
              <w:rPr>
                <w:rFonts w:hint="eastAsia" w:ascii="仿宋" w:hAnsi="仿宋" w:eastAsia="仿宋" w:cs="仿宋"/>
                <w:color w:val="auto"/>
                <w:sz w:val="24"/>
                <w:szCs w:val="24"/>
              </w:rPr>
            </w:pPr>
          </w:p>
          <w:p>
            <w:pPr>
              <w:ind w:left="390" w:right="37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369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1343" w:hRule="exact"/>
        </w:trPr>
        <w:tc>
          <w:tcPr>
            <w:tcW w:w="4809"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rPr>
            </w:pP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275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c>
          <w:tcPr>
            <w:tcW w:w="184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sz w:val="24"/>
                <w:szCs w:val="24"/>
              </w:rPr>
            </w:pPr>
          </w:p>
        </w:tc>
      </w:tr>
      <w:tr>
        <w:tblPrEx>
          <w:tblCellMar>
            <w:top w:w="0" w:type="dxa"/>
            <w:left w:w="0" w:type="dxa"/>
            <w:bottom w:w="0" w:type="dxa"/>
            <w:right w:w="0" w:type="dxa"/>
          </w:tblCellMar>
        </w:tblPrEx>
        <w:trPr>
          <w:trHeight w:val="1216" w:hRule="exact"/>
        </w:trPr>
        <w:tc>
          <w:tcPr>
            <w:tcW w:w="9417" w:type="dxa"/>
            <w:gridSpan w:val="4"/>
            <w:tcBorders>
              <w:top w:val="single" w:color="000000" w:sz="4" w:space="0"/>
              <w:left w:val="single" w:color="000000" w:sz="4" w:space="0"/>
              <w:bottom w:val="single" w:color="000000" w:sz="4" w:space="0"/>
              <w:right w:val="single" w:color="000000" w:sz="4" w:space="0"/>
            </w:tcBorders>
            <w:noWrap w:val="0"/>
            <w:vAlign w:val="top"/>
          </w:tcPr>
          <w:p>
            <w:pPr>
              <w:spacing w:before="16"/>
              <w:ind w:left="103" w:right="-20"/>
              <w:jc w:val="left"/>
              <w:rPr>
                <w:rFonts w:hint="eastAsia" w:ascii="仿宋" w:hAnsi="仿宋" w:eastAsia="仿宋" w:cs="仿宋"/>
                <w:color w:val="auto"/>
                <w:sz w:val="24"/>
                <w:szCs w:val="24"/>
              </w:rPr>
            </w:pPr>
            <w:r>
              <w:rPr>
                <w:rFonts w:hint="eastAsia" w:ascii="仿宋" w:hAnsi="仿宋" w:eastAsia="仿宋" w:cs="仿宋"/>
                <w:color w:val="auto"/>
                <w:sz w:val="24"/>
                <w:szCs w:val="24"/>
              </w:rPr>
              <w:t>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根据附表</w:t>
            </w: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《分部分项工程和单价措施项目清单与计价表》、附表1</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《总价措施项目清单与计价表》中的内容将各项措施项目汇总在本表中。</w:t>
            </w:r>
          </w:p>
        </w:tc>
      </w:tr>
    </w:tbl>
    <w:p>
      <w:pPr>
        <w:autoSpaceDE w:val="0"/>
        <w:autoSpaceDN w:val="0"/>
        <w:adjustRightInd w:val="0"/>
        <w:jc w:val="center"/>
        <w:rPr>
          <w:rFonts w:hint="eastAsia" w:ascii="仿宋" w:hAnsi="仿宋" w:eastAsia="仿宋" w:cs="仿宋"/>
          <w:color w:val="auto"/>
          <w:sz w:val="13"/>
          <w:szCs w:val="30"/>
        </w:rPr>
      </w:pPr>
    </w:p>
    <w:p>
      <w:pPr>
        <w:autoSpaceDE w:val="0"/>
        <w:autoSpaceDN w:val="0"/>
        <w:adjustRightInd w:val="0"/>
        <w:jc w:val="center"/>
        <w:rPr>
          <w:rFonts w:hint="eastAsia" w:ascii="仿宋" w:hAnsi="仿宋" w:eastAsia="仿宋" w:cs="仿宋"/>
          <w:color w:val="auto"/>
          <w:sz w:val="30"/>
          <w:szCs w:val="30"/>
        </w:rPr>
      </w:pPr>
    </w:p>
    <w:p>
      <w:pPr>
        <w:tabs>
          <w:tab w:val="left" w:pos="3616"/>
        </w:tabs>
        <w:spacing w:before="157" w:beforeLines="50" w:after="157" w:afterLines="50"/>
        <w:jc w:val="center"/>
        <w:rPr>
          <w:rFonts w:hint="eastAsia" w:ascii="仿宋" w:hAnsi="仿宋" w:eastAsia="仿宋" w:cs="仿宋"/>
          <w:bCs/>
          <w:color w:val="auto"/>
          <w:sz w:val="30"/>
          <w:szCs w:val="28"/>
        </w:rPr>
      </w:pPr>
      <w:r>
        <w:rPr>
          <w:rFonts w:hint="eastAsia" w:ascii="仿宋" w:hAnsi="仿宋" w:eastAsia="仿宋" w:cs="仿宋"/>
          <w:b/>
          <w:color w:val="auto"/>
          <w:sz w:val="28"/>
          <w:szCs w:val="28"/>
          <w:highlight w:val="none"/>
        </w:rPr>
        <w:br w:type="page"/>
      </w:r>
      <w:r>
        <w:rPr>
          <w:rFonts w:hint="eastAsia" w:ascii="仿宋" w:hAnsi="仿宋" w:eastAsia="仿宋" w:cs="仿宋"/>
          <w:bCs/>
          <w:color w:val="auto"/>
          <w:sz w:val="30"/>
          <w:szCs w:val="30"/>
          <w:lang w:val="en-US" w:eastAsia="zh-CN"/>
        </w:rPr>
        <w:t>25、</w:t>
      </w:r>
      <w:r>
        <w:rPr>
          <w:rFonts w:hint="eastAsia" w:ascii="仿宋" w:hAnsi="仿宋" w:eastAsia="仿宋" w:cs="仿宋"/>
          <w:bCs/>
          <w:color w:val="auto"/>
          <w:sz w:val="30"/>
          <w:szCs w:val="30"/>
        </w:rPr>
        <w:t>计日工表</w:t>
      </w:r>
    </w:p>
    <w:p>
      <w:pPr>
        <w:tabs>
          <w:tab w:val="left" w:pos="7455"/>
          <w:tab w:val="left" w:pos="7820"/>
          <w:tab w:val="left" w:pos="8420"/>
          <w:tab w:val="left" w:pos="8775"/>
        </w:tabs>
        <w:spacing w:line="460" w:lineRule="atLeast"/>
        <w:ind w:left="12" w:right="-20" w:hanging="12" w:hangingChars="5"/>
        <w:jc w:val="left"/>
        <w:rPr>
          <w:rFonts w:hint="eastAsia" w:ascii="仿宋" w:hAnsi="仿宋" w:eastAsia="仿宋" w:cs="仿宋"/>
          <w:color w:val="auto"/>
          <w:sz w:val="24"/>
          <w:szCs w:val="24"/>
        </w:rPr>
      </w:pPr>
      <w:r>
        <w:rPr>
          <w:rFonts w:hint="eastAsia" w:ascii="仿宋" w:hAnsi="仿宋" w:eastAsia="仿宋" w:cs="仿宋"/>
          <w:color w:val="auto"/>
          <w:sz w:val="24"/>
          <w:szCs w:val="24"/>
        </w:rPr>
        <w:t>工程名称：</w:t>
      </w:r>
      <w:r>
        <w:rPr>
          <w:rFonts w:hint="eastAsia" w:ascii="仿宋" w:hAnsi="仿宋" w:eastAsia="仿宋" w:cs="仿宋"/>
          <w:color w:val="auto"/>
          <w:sz w:val="24"/>
          <w:szCs w:val="24"/>
        </w:rPr>
        <w:tab/>
      </w:r>
      <w:r>
        <w:rPr>
          <w:rFonts w:hint="eastAsia" w:ascii="仿宋" w:hAnsi="仿宋" w:eastAsia="仿宋" w:cs="仿宋"/>
          <w:color w:val="auto"/>
          <w:sz w:val="24"/>
          <w:szCs w:val="24"/>
        </w:rPr>
        <w:t>第</w:t>
      </w:r>
      <w:r>
        <w:rPr>
          <w:rFonts w:hint="eastAsia" w:ascii="仿宋" w:hAnsi="仿宋" w:eastAsia="仿宋" w:cs="仿宋"/>
          <w:color w:val="auto"/>
          <w:sz w:val="24"/>
          <w:szCs w:val="24"/>
        </w:rPr>
        <w:tab/>
      </w:r>
      <w:r>
        <w:rPr>
          <w:rFonts w:hint="eastAsia" w:ascii="仿宋" w:hAnsi="仿宋" w:eastAsia="仿宋" w:cs="仿宋"/>
          <w:color w:val="auto"/>
          <w:sz w:val="24"/>
          <w:szCs w:val="24"/>
        </w:rPr>
        <w:t>页</w:t>
      </w:r>
      <w:r>
        <w:rPr>
          <w:rFonts w:hint="eastAsia" w:ascii="仿宋" w:hAnsi="仿宋" w:eastAsia="仿宋" w:cs="仿宋"/>
          <w:color w:val="auto"/>
          <w:sz w:val="24"/>
          <w:szCs w:val="24"/>
        </w:rPr>
        <w:tab/>
      </w:r>
      <w:r>
        <w:rPr>
          <w:rFonts w:hint="eastAsia" w:ascii="仿宋" w:hAnsi="仿宋" w:eastAsia="仿宋" w:cs="仿宋"/>
          <w:color w:val="auto"/>
          <w:sz w:val="24"/>
          <w:szCs w:val="24"/>
        </w:rPr>
        <w:t>共</w:t>
      </w:r>
      <w:r>
        <w:rPr>
          <w:rFonts w:hint="eastAsia" w:ascii="仿宋" w:hAnsi="仿宋" w:eastAsia="仿宋" w:cs="仿宋"/>
          <w:color w:val="auto"/>
          <w:sz w:val="24"/>
          <w:szCs w:val="24"/>
        </w:rPr>
        <w:tab/>
      </w:r>
      <w:r>
        <w:rPr>
          <w:rFonts w:hint="eastAsia" w:ascii="仿宋" w:hAnsi="仿宋" w:eastAsia="仿宋" w:cs="仿宋"/>
          <w:color w:val="auto"/>
          <w:sz w:val="24"/>
          <w:szCs w:val="24"/>
        </w:rPr>
        <w:t>页</w:t>
      </w:r>
    </w:p>
    <w:tbl>
      <w:tblPr>
        <w:tblStyle w:val="25"/>
        <w:tblW w:w="0" w:type="auto"/>
        <w:jc w:val="center"/>
        <w:tblLayout w:type="fixed"/>
        <w:tblCellMar>
          <w:top w:w="0" w:type="dxa"/>
          <w:left w:w="10" w:type="dxa"/>
          <w:bottom w:w="0" w:type="dxa"/>
          <w:right w:w="10" w:type="dxa"/>
        </w:tblCellMar>
      </w:tblPr>
      <w:tblGrid>
        <w:gridCol w:w="846"/>
        <w:gridCol w:w="2337"/>
        <w:gridCol w:w="1592"/>
        <w:gridCol w:w="1593"/>
        <w:gridCol w:w="1593"/>
        <w:gridCol w:w="761"/>
        <w:gridCol w:w="832"/>
      </w:tblGrid>
      <w:tr>
        <w:tblPrEx>
          <w:tblCellMar>
            <w:top w:w="0" w:type="dxa"/>
            <w:left w:w="10" w:type="dxa"/>
            <w:bottom w:w="0" w:type="dxa"/>
            <w:right w:w="10" w:type="dxa"/>
          </w:tblCellMar>
        </w:tblPrEx>
        <w:trPr>
          <w:trHeight w:val="328" w:hRule="atLeast"/>
          <w:jc w:val="center"/>
        </w:trPr>
        <w:tc>
          <w:tcPr>
            <w:tcW w:w="846" w:type="dxa"/>
            <w:vMerge w:val="restart"/>
            <w:tcBorders>
              <w:top w:val="single" w:color="auto" w:sz="6" w:space="0"/>
              <w:left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r>
              <w:rPr>
                <w:rFonts w:hint="eastAsia" w:ascii="仿宋" w:hAnsi="仿宋" w:eastAsia="仿宋" w:cs="仿宋"/>
                <w:color w:val="auto"/>
                <w:lang w:val="zh-CN"/>
              </w:rPr>
              <w:t>编号</w:t>
            </w:r>
          </w:p>
        </w:tc>
        <w:tc>
          <w:tcPr>
            <w:tcW w:w="2337" w:type="dxa"/>
            <w:vMerge w:val="restart"/>
            <w:tcBorders>
              <w:top w:val="single" w:color="auto" w:sz="6" w:space="0"/>
              <w:left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r>
              <w:rPr>
                <w:rFonts w:hint="eastAsia" w:ascii="仿宋" w:hAnsi="仿宋" w:eastAsia="仿宋" w:cs="仿宋"/>
                <w:color w:val="auto"/>
                <w:lang w:val="zh-CN"/>
              </w:rPr>
              <w:t>项目名称</w:t>
            </w:r>
          </w:p>
        </w:tc>
        <w:tc>
          <w:tcPr>
            <w:tcW w:w="1592" w:type="dxa"/>
            <w:vMerge w:val="restart"/>
            <w:tcBorders>
              <w:top w:val="single" w:color="auto" w:sz="6" w:space="0"/>
              <w:left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r>
              <w:rPr>
                <w:rFonts w:hint="eastAsia" w:ascii="仿宋" w:hAnsi="仿宋" w:eastAsia="仿宋" w:cs="仿宋"/>
                <w:color w:val="auto"/>
                <w:lang w:val="zh-CN"/>
              </w:rPr>
              <w:t>单位</w:t>
            </w:r>
          </w:p>
        </w:tc>
        <w:tc>
          <w:tcPr>
            <w:tcW w:w="1593" w:type="dxa"/>
            <w:vMerge w:val="restart"/>
            <w:tcBorders>
              <w:top w:val="single" w:color="auto" w:sz="6" w:space="0"/>
              <w:left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r>
              <w:rPr>
                <w:rFonts w:hint="eastAsia" w:ascii="仿宋" w:hAnsi="仿宋" w:eastAsia="仿宋" w:cs="仿宋"/>
                <w:color w:val="auto"/>
                <w:lang w:val="zh-CN"/>
              </w:rPr>
              <w:t>暂定数量</w:t>
            </w:r>
          </w:p>
        </w:tc>
        <w:tc>
          <w:tcPr>
            <w:tcW w:w="1593" w:type="dxa"/>
            <w:vMerge w:val="restart"/>
            <w:tcBorders>
              <w:top w:val="single" w:color="auto" w:sz="6" w:space="0"/>
              <w:left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r>
              <w:rPr>
                <w:rFonts w:hint="eastAsia" w:ascii="仿宋" w:hAnsi="仿宋" w:eastAsia="仿宋" w:cs="仿宋"/>
                <w:color w:val="auto"/>
                <w:lang w:val="zh-CN"/>
              </w:rPr>
              <w:t>综合单价（元）</w:t>
            </w:r>
          </w:p>
        </w:tc>
        <w:tc>
          <w:tcPr>
            <w:tcW w:w="1593" w:type="dxa"/>
            <w:gridSpan w:val="2"/>
            <w:tcBorders>
              <w:top w:val="single" w:color="auto" w:sz="6" w:space="0"/>
              <w:left w:val="single" w:color="auto" w:sz="6" w:space="0"/>
              <w:bottom w:val="single" w:color="auto" w:sz="4"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r>
              <w:rPr>
                <w:rFonts w:hint="eastAsia" w:ascii="仿宋" w:hAnsi="仿宋" w:eastAsia="仿宋" w:cs="仿宋"/>
                <w:color w:val="auto"/>
                <w:lang w:val="zh-CN"/>
              </w:rPr>
              <w:t>合价</w:t>
            </w:r>
          </w:p>
        </w:tc>
      </w:tr>
      <w:tr>
        <w:tblPrEx>
          <w:tblCellMar>
            <w:top w:w="0" w:type="dxa"/>
            <w:left w:w="10" w:type="dxa"/>
            <w:bottom w:w="0" w:type="dxa"/>
            <w:right w:w="10" w:type="dxa"/>
          </w:tblCellMar>
        </w:tblPrEx>
        <w:trPr>
          <w:trHeight w:val="295" w:hRule="atLeast"/>
          <w:jc w:val="center"/>
        </w:trPr>
        <w:tc>
          <w:tcPr>
            <w:tcW w:w="846" w:type="dxa"/>
            <w:vMerge w:val="continue"/>
            <w:tcBorders>
              <w:left w:val="single" w:color="auto" w:sz="6" w:space="0"/>
              <w:bottom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p>
        </w:tc>
        <w:tc>
          <w:tcPr>
            <w:tcW w:w="2337" w:type="dxa"/>
            <w:vMerge w:val="continue"/>
            <w:tcBorders>
              <w:left w:val="single" w:color="auto" w:sz="6" w:space="0"/>
              <w:bottom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p>
        </w:tc>
        <w:tc>
          <w:tcPr>
            <w:tcW w:w="1592" w:type="dxa"/>
            <w:vMerge w:val="continue"/>
            <w:tcBorders>
              <w:left w:val="single" w:color="auto" w:sz="6" w:space="0"/>
              <w:bottom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p>
        </w:tc>
        <w:tc>
          <w:tcPr>
            <w:tcW w:w="1593" w:type="dxa"/>
            <w:vMerge w:val="continue"/>
            <w:tcBorders>
              <w:left w:val="single" w:color="auto" w:sz="6" w:space="0"/>
              <w:bottom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p>
        </w:tc>
        <w:tc>
          <w:tcPr>
            <w:tcW w:w="1593" w:type="dxa"/>
            <w:vMerge w:val="continue"/>
            <w:tcBorders>
              <w:left w:val="single" w:color="auto" w:sz="6" w:space="0"/>
              <w:bottom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p>
        </w:tc>
        <w:tc>
          <w:tcPr>
            <w:tcW w:w="761" w:type="dxa"/>
            <w:tcBorders>
              <w:top w:val="single" w:color="auto" w:sz="4" w:space="0"/>
              <w:left w:val="single" w:color="auto" w:sz="6" w:space="0"/>
              <w:bottom w:val="single" w:color="auto" w:sz="6" w:space="0"/>
              <w:right w:val="single" w:color="auto" w:sz="4" w:space="0"/>
            </w:tcBorders>
            <w:noWrap w:val="0"/>
            <w:vAlign w:val="center"/>
          </w:tcPr>
          <w:p>
            <w:pPr>
              <w:spacing w:before="157" w:beforeLines="50"/>
              <w:jc w:val="center"/>
              <w:rPr>
                <w:rFonts w:hint="eastAsia" w:ascii="仿宋" w:hAnsi="仿宋" w:eastAsia="仿宋" w:cs="仿宋"/>
                <w:color w:val="auto"/>
                <w:lang w:val="zh-CN"/>
              </w:rPr>
            </w:pPr>
            <w:r>
              <w:rPr>
                <w:rFonts w:hint="eastAsia" w:ascii="仿宋" w:hAnsi="仿宋" w:eastAsia="仿宋" w:cs="仿宋"/>
                <w:color w:val="auto"/>
                <w:lang w:val="zh-CN"/>
              </w:rPr>
              <w:t>暂定</w:t>
            </w:r>
          </w:p>
        </w:tc>
        <w:tc>
          <w:tcPr>
            <w:tcW w:w="832" w:type="dxa"/>
            <w:tcBorders>
              <w:top w:val="single" w:color="auto" w:sz="4" w:space="0"/>
              <w:left w:val="single" w:color="auto" w:sz="4" w:space="0"/>
              <w:bottom w:val="single" w:color="auto" w:sz="6" w:space="0"/>
              <w:right w:val="single" w:color="auto" w:sz="6" w:space="0"/>
            </w:tcBorders>
            <w:noWrap w:val="0"/>
            <w:vAlign w:val="center"/>
          </w:tcPr>
          <w:p>
            <w:pPr>
              <w:spacing w:before="157" w:beforeLines="50"/>
              <w:jc w:val="center"/>
              <w:rPr>
                <w:rFonts w:hint="eastAsia" w:ascii="仿宋" w:hAnsi="仿宋" w:eastAsia="仿宋" w:cs="仿宋"/>
                <w:color w:val="auto"/>
                <w:lang w:val="zh-CN"/>
              </w:rPr>
            </w:pPr>
            <w:r>
              <w:rPr>
                <w:rFonts w:hint="eastAsia" w:ascii="仿宋" w:hAnsi="仿宋" w:eastAsia="仿宋" w:cs="仿宋"/>
                <w:color w:val="auto"/>
                <w:lang w:val="zh-CN"/>
              </w:rPr>
              <w:t>实际</w:t>
            </w: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一</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290"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　工　小　计</w:t>
            </w: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二</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材料</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1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材　料　小　计</w:t>
            </w: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三</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施工机械</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rPr>
              <w:t>1</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rPr>
              <w:t>2</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rPr>
              <w:t>3</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rPr>
              <w:t>4</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9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施工机械小计</w:t>
            </w: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9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四、企业管理费和利润</w:t>
            </w: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649"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总计</w:t>
            </w:r>
          </w:p>
        </w:tc>
        <w:tc>
          <w:tcPr>
            <w:tcW w:w="76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83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bl>
    <w:p>
      <w:pPr>
        <w:spacing w:line="300" w:lineRule="exact"/>
        <w:rPr>
          <w:rFonts w:hint="eastAsia" w:ascii="仿宋" w:hAnsi="仿宋" w:eastAsia="仿宋" w:cs="仿宋"/>
          <w:color w:val="auto"/>
          <w:szCs w:val="21"/>
        </w:rPr>
      </w:pPr>
      <w:r>
        <w:rPr>
          <w:rFonts w:hint="eastAsia" w:ascii="仿宋" w:hAnsi="仿宋" w:eastAsia="仿宋" w:cs="仿宋"/>
          <w:color w:val="auto"/>
        </w:rPr>
        <w:t>注：</w:t>
      </w:r>
      <w:r>
        <w:rPr>
          <w:rFonts w:hint="eastAsia" w:ascii="仿宋" w:hAnsi="仿宋" w:eastAsia="仿宋" w:cs="仿宋"/>
          <w:color w:val="auto"/>
          <w:szCs w:val="21"/>
        </w:rPr>
        <w:t>此表项目名称、暂定数量由</w:t>
      </w:r>
      <w:r>
        <w:rPr>
          <w:rFonts w:hint="eastAsia" w:ascii="仿宋" w:hAnsi="仿宋" w:eastAsia="仿宋" w:cs="仿宋"/>
          <w:color w:val="auto"/>
          <w:szCs w:val="21"/>
          <w:lang w:eastAsia="zh-CN"/>
        </w:rPr>
        <w:t>采购</w:t>
      </w:r>
      <w:r>
        <w:rPr>
          <w:rFonts w:hint="eastAsia" w:ascii="仿宋" w:hAnsi="仿宋" w:eastAsia="仿宋" w:cs="仿宋"/>
          <w:color w:val="auto"/>
          <w:szCs w:val="21"/>
        </w:rPr>
        <w:t>人填写，编制招标控制价时，单价由</w:t>
      </w:r>
      <w:r>
        <w:rPr>
          <w:rFonts w:hint="eastAsia" w:ascii="仿宋" w:hAnsi="仿宋" w:eastAsia="仿宋" w:cs="仿宋"/>
          <w:color w:val="auto"/>
          <w:szCs w:val="21"/>
          <w:lang w:eastAsia="zh-CN"/>
        </w:rPr>
        <w:t>采购</w:t>
      </w:r>
      <w:r>
        <w:rPr>
          <w:rFonts w:hint="eastAsia" w:ascii="仿宋" w:hAnsi="仿宋" w:eastAsia="仿宋" w:cs="仿宋"/>
          <w:color w:val="auto"/>
          <w:szCs w:val="21"/>
        </w:rPr>
        <w:t>人按有关计价规定确定；投标时，单价由</w:t>
      </w:r>
      <w:r>
        <w:rPr>
          <w:rFonts w:hint="eastAsia" w:ascii="仿宋" w:hAnsi="仿宋" w:eastAsia="仿宋" w:cs="仿宋"/>
          <w:color w:val="auto"/>
          <w:szCs w:val="21"/>
          <w:lang w:eastAsia="zh-CN"/>
        </w:rPr>
        <w:t>供应商</w:t>
      </w:r>
      <w:r>
        <w:rPr>
          <w:rFonts w:hint="eastAsia" w:ascii="仿宋" w:hAnsi="仿宋" w:eastAsia="仿宋" w:cs="仿宋"/>
          <w:color w:val="auto"/>
          <w:szCs w:val="21"/>
        </w:rPr>
        <w:t>自主报价，按暂定数量计算合计计入投标总价中。结算时，按发承包双方确认的实际数量计算合价。</w:t>
      </w:r>
    </w:p>
    <w:p>
      <w:pPr>
        <w:tabs>
          <w:tab w:val="left" w:pos="2880"/>
          <w:tab w:val="left" w:pos="2955"/>
        </w:tabs>
        <w:spacing w:before="157" w:beforeLines="50" w:after="157" w:afterLines="50"/>
        <w:jc w:val="center"/>
        <w:rPr>
          <w:rFonts w:hint="eastAsia" w:ascii="仿宋" w:hAnsi="仿宋" w:eastAsia="仿宋" w:cs="仿宋"/>
          <w:bCs/>
          <w:color w:val="auto"/>
          <w:sz w:val="28"/>
          <w:szCs w:val="28"/>
        </w:rPr>
      </w:pPr>
      <w:r>
        <w:rPr>
          <w:rFonts w:hint="eastAsia" w:ascii="仿宋" w:hAnsi="仿宋" w:eastAsia="仿宋" w:cs="仿宋"/>
          <w:bCs/>
          <w:color w:val="auto"/>
          <w:sz w:val="30"/>
          <w:szCs w:val="28"/>
          <w:lang w:val="en-US" w:eastAsia="zh-CN"/>
        </w:rPr>
        <w:t>26、</w:t>
      </w:r>
      <w:r>
        <w:rPr>
          <w:rFonts w:hint="eastAsia" w:ascii="仿宋" w:hAnsi="仿宋" w:eastAsia="仿宋" w:cs="仿宋"/>
          <w:bCs/>
          <w:color w:val="auto"/>
          <w:sz w:val="30"/>
          <w:szCs w:val="28"/>
        </w:rPr>
        <w:t>规费、税金项目计价表（</w:t>
      </w:r>
      <w:r>
        <w:rPr>
          <w:rFonts w:hint="eastAsia" w:ascii="仿宋" w:hAnsi="仿宋" w:eastAsia="仿宋" w:cs="仿宋"/>
          <w:bCs/>
          <w:color w:val="auto"/>
          <w:sz w:val="30"/>
          <w:szCs w:val="28"/>
          <w:lang w:val="en-US" w:eastAsia="zh-CN"/>
        </w:rPr>
        <w:t>建筑</w:t>
      </w:r>
      <w:r>
        <w:rPr>
          <w:rFonts w:hint="eastAsia" w:ascii="仿宋" w:hAnsi="仿宋" w:eastAsia="仿宋" w:cs="仿宋"/>
          <w:bCs/>
          <w:color w:val="auto"/>
          <w:sz w:val="30"/>
          <w:szCs w:val="28"/>
        </w:rPr>
        <w:t>工程）</w:t>
      </w:r>
    </w:p>
    <w:p>
      <w:pPr>
        <w:spacing w:before="157" w:beforeLines="50" w:after="157" w:afterLines="50"/>
        <w:rPr>
          <w:rFonts w:hint="eastAsia" w:ascii="仿宋" w:hAnsi="仿宋" w:eastAsia="仿宋" w:cs="仿宋"/>
          <w:color w:val="auto"/>
          <w:sz w:val="24"/>
        </w:rPr>
      </w:pPr>
      <w:r>
        <w:rPr>
          <w:rFonts w:hint="eastAsia" w:ascii="仿宋" w:hAnsi="仿宋" w:eastAsia="仿宋" w:cs="仿宋"/>
          <w:color w:val="auto"/>
          <w:sz w:val="24"/>
        </w:rPr>
        <w:t>工程名称：</w:t>
      </w:r>
      <w:r>
        <w:rPr>
          <w:rFonts w:hint="eastAsia" w:ascii="仿宋" w:hAnsi="仿宋" w:eastAsia="仿宋" w:cs="仿宋"/>
          <w:color w:val="auto"/>
          <w:sz w:val="24"/>
        </w:rPr>
        <w:tab/>
      </w:r>
      <w:r>
        <w:rPr>
          <w:rFonts w:hint="eastAsia" w:ascii="仿宋" w:hAnsi="仿宋" w:eastAsia="仿宋" w:cs="仿宋"/>
          <w:color w:val="auto"/>
          <w:sz w:val="24"/>
        </w:rPr>
        <w:t xml:space="preserve">                                                   第</w:t>
      </w:r>
      <w:r>
        <w:rPr>
          <w:rFonts w:hint="eastAsia" w:ascii="仿宋" w:hAnsi="仿宋" w:eastAsia="仿宋" w:cs="仿宋"/>
          <w:color w:val="auto"/>
          <w:sz w:val="24"/>
        </w:rPr>
        <w:tab/>
      </w:r>
      <w:r>
        <w:rPr>
          <w:rFonts w:hint="eastAsia" w:ascii="仿宋" w:hAnsi="仿宋" w:eastAsia="仿宋" w:cs="仿宋"/>
          <w:color w:val="auto"/>
          <w:sz w:val="24"/>
        </w:rPr>
        <w:t>页</w:t>
      </w:r>
      <w:r>
        <w:rPr>
          <w:rFonts w:hint="eastAsia" w:ascii="仿宋" w:hAnsi="仿宋" w:eastAsia="仿宋" w:cs="仿宋"/>
          <w:color w:val="auto"/>
          <w:sz w:val="24"/>
        </w:rPr>
        <w:tab/>
      </w:r>
      <w:r>
        <w:rPr>
          <w:rFonts w:hint="eastAsia" w:ascii="仿宋" w:hAnsi="仿宋" w:eastAsia="仿宋" w:cs="仿宋"/>
          <w:color w:val="auto"/>
          <w:sz w:val="24"/>
        </w:rPr>
        <w:t xml:space="preserve"> 共</w:t>
      </w:r>
      <w:r>
        <w:rPr>
          <w:rFonts w:hint="eastAsia" w:ascii="仿宋" w:hAnsi="仿宋" w:eastAsia="仿宋" w:cs="仿宋"/>
          <w:color w:val="auto"/>
          <w:sz w:val="24"/>
        </w:rPr>
        <w:tab/>
      </w:r>
      <w:r>
        <w:rPr>
          <w:rFonts w:hint="eastAsia" w:ascii="仿宋" w:hAnsi="仿宋" w:eastAsia="仿宋" w:cs="仿宋"/>
          <w:color w:val="auto"/>
          <w:sz w:val="24"/>
        </w:rPr>
        <w:t>页</w:t>
      </w:r>
    </w:p>
    <w:tbl>
      <w:tblPr>
        <w:tblStyle w:val="25"/>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211"/>
        <w:gridCol w:w="3568"/>
        <w:gridCol w:w="1280"/>
        <w:gridCol w:w="1363"/>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noWrap w:val="0"/>
            <w:vAlign w:val="center"/>
          </w:tcPr>
          <w:p>
            <w:pPr>
              <w:spacing w:line="2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2211" w:type="dxa"/>
            <w:noWrap w:val="0"/>
            <w:vAlign w:val="center"/>
          </w:tcPr>
          <w:p>
            <w:pPr>
              <w:spacing w:line="2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项目名称</w:t>
            </w:r>
          </w:p>
        </w:tc>
        <w:tc>
          <w:tcPr>
            <w:tcW w:w="3568" w:type="dxa"/>
            <w:noWrap w:val="0"/>
            <w:vAlign w:val="center"/>
          </w:tcPr>
          <w:p>
            <w:pPr>
              <w:spacing w:line="2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计算基础</w:t>
            </w:r>
          </w:p>
        </w:tc>
        <w:tc>
          <w:tcPr>
            <w:tcW w:w="1280" w:type="dxa"/>
            <w:noWrap w:val="0"/>
            <w:vAlign w:val="center"/>
          </w:tcPr>
          <w:p>
            <w:pPr>
              <w:spacing w:line="2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计算基数</w:t>
            </w:r>
          </w:p>
        </w:tc>
        <w:tc>
          <w:tcPr>
            <w:tcW w:w="1363" w:type="dxa"/>
            <w:noWrap w:val="0"/>
            <w:vAlign w:val="center"/>
          </w:tcPr>
          <w:p>
            <w:pPr>
              <w:spacing w:line="2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计算费率</w:t>
            </w:r>
          </w:p>
          <w:p>
            <w:pPr>
              <w:spacing w:line="2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w:t>
            </w:r>
          </w:p>
        </w:tc>
        <w:tc>
          <w:tcPr>
            <w:tcW w:w="1211" w:type="dxa"/>
            <w:noWrap w:val="0"/>
            <w:vAlign w:val="center"/>
          </w:tcPr>
          <w:p>
            <w:pPr>
              <w:spacing w:line="2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金额</w:t>
            </w:r>
          </w:p>
          <w:p>
            <w:pPr>
              <w:spacing w:line="26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1</w:t>
            </w:r>
          </w:p>
        </w:tc>
        <w:tc>
          <w:tcPr>
            <w:tcW w:w="2211" w:type="dxa"/>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规费</w:t>
            </w:r>
          </w:p>
        </w:tc>
        <w:tc>
          <w:tcPr>
            <w:tcW w:w="3568" w:type="dxa"/>
            <w:tcBorders>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280" w:type="dxa"/>
            <w:tcBorders>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363" w:type="dxa"/>
            <w:tcBorders>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211" w:type="dxa"/>
            <w:noWrap w:val="0"/>
            <w:vAlign w:val="top"/>
          </w:tcPr>
          <w:p>
            <w:pPr>
              <w:spacing w:line="26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1.1</w:t>
            </w:r>
          </w:p>
        </w:tc>
        <w:tc>
          <w:tcPr>
            <w:tcW w:w="2211" w:type="dxa"/>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社会保险费</w:t>
            </w:r>
          </w:p>
        </w:tc>
        <w:tc>
          <w:tcPr>
            <w:tcW w:w="3568" w:type="dxa"/>
            <w:tcBorders>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280" w:type="dxa"/>
            <w:tcBorders>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363" w:type="dxa"/>
            <w:tcBorders>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211" w:type="dxa"/>
            <w:noWrap w:val="0"/>
            <w:vAlign w:val="top"/>
          </w:tcPr>
          <w:p>
            <w:pPr>
              <w:spacing w:line="26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noWrap w:val="0"/>
            <w:vAlign w:val="center"/>
          </w:tcPr>
          <w:p>
            <w:pPr>
              <w:jc w:val="center"/>
              <w:rPr>
                <w:rFonts w:hint="eastAsia" w:ascii="仿宋" w:hAnsi="仿宋" w:eastAsia="仿宋" w:cs="仿宋"/>
                <w:color w:val="auto"/>
              </w:rPr>
            </w:pPr>
            <w:r>
              <w:rPr>
                <w:rFonts w:hint="eastAsia" w:ascii="仿宋" w:hAnsi="仿宋" w:eastAsia="仿宋" w:cs="仿宋"/>
                <w:bCs/>
                <w:color w:val="auto"/>
              </w:rPr>
              <w:t>（1）</w:t>
            </w:r>
          </w:p>
        </w:tc>
        <w:tc>
          <w:tcPr>
            <w:tcW w:w="2211" w:type="dxa"/>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养老保险费</w:t>
            </w:r>
          </w:p>
        </w:tc>
        <w:tc>
          <w:tcPr>
            <w:tcW w:w="3568"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color w:val="auto"/>
                <w:kern w:val="0"/>
              </w:rPr>
              <w:t>分部分项工程费中（人工费+机械费）合计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措施费中（人工费+机械费）合计-人工、机械的价差</w:t>
            </w:r>
          </w:p>
        </w:tc>
        <w:tc>
          <w:tcPr>
            <w:tcW w:w="1280" w:type="dxa"/>
            <w:noWrap w:val="0"/>
            <w:vAlign w:val="center"/>
          </w:tcPr>
          <w:p>
            <w:pPr>
              <w:spacing w:line="260" w:lineRule="exact"/>
              <w:jc w:val="center"/>
              <w:rPr>
                <w:rFonts w:hint="eastAsia" w:ascii="仿宋" w:hAnsi="仿宋" w:eastAsia="仿宋" w:cs="仿宋"/>
                <w:bCs/>
                <w:color w:val="auto"/>
              </w:rPr>
            </w:pPr>
          </w:p>
        </w:tc>
        <w:tc>
          <w:tcPr>
            <w:tcW w:w="1363"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8.85</w:t>
            </w:r>
          </w:p>
        </w:tc>
        <w:tc>
          <w:tcPr>
            <w:tcW w:w="1211" w:type="dxa"/>
            <w:noWrap w:val="0"/>
            <w:vAlign w:val="top"/>
          </w:tcPr>
          <w:p>
            <w:pPr>
              <w:spacing w:line="26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noWrap w:val="0"/>
            <w:vAlign w:val="center"/>
          </w:tcPr>
          <w:p>
            <w:pPr>
              <w:jc w:val="center"/>
              <w:rPr>
                <w:rFonts w:hint="eastAsia" w:ascii="仿宋" w:hAnsi="仿宋" w:eastAsia="仿宋" w:cs="仿宋"/>
                <w:color w:val="auto"/>
              </w:rPr>
            </w:pPr>
            <w:r>
              <w:rPr>
                <w:rFonts w:hint="eastAsia" w:ascii="仿宋" w:hAnsi="仿宋" w:eastAsia="仿宋" w:cs="仿宋"/>
                <w:bCs/>
                <w:color w:val="auto"/>
              </w:rPr>
              <w:t>（2）</w:t>
            </w:r>
          </w:p>
        </w:tc>
        <w:tc>
          <w:tcPr>
            <w:tcW w:w="2211" w:type="dxa"/>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失业保险费</w:t>
            </w:r>
          </w:p>
        </w:tc>
        <w:tc>
          <w:tcPr>
            <w:tcW w:w="3568"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color w:val="auto"/>
                <w:kern w:val="0"/>
              </w:rPr>
              <w:t>分部分项工程费中（人工费+机械费）合计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措施费中（人工费+机械费）合计-人工、机械的价差</w:t>
            </w:r>
          </w:p>
        </w:tc>
        <w:tc>
          <w:tcPr>
            <w:tcW w:w="1280" w:type="dxa"/>
            <w:noWrap w:val="0"/>
            <w:vAlign w:val="center"/>
          </w:tcPr>
          <w:p>
            <w:pPr>
              <w:spacing w:line="260" w:lineRule="exact"/>
              <w:jc w:val="center"/>
              <w:rPr>
                <w:rFonts w:hint="eastAsia" w:ascii="仿宋" w:hAnsi="仿宋" w:eastAsia="仿宋" w:cs="仿宋"/>
                <w:bCs/>
                <w:color w:val="auto"/>
              </w:rPr>
            </w:pPr>
          </w:p>
        </w:tc>
        <w:tc>
          <w:tcPr>
            <w:tcW w:w="1363"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0.79</w:t>
            </w:r>
          </w:p>
        </w:tc>
        <w:tc>
          <w:tcPr>
            <w:tcW w:w="1211" w:type="dxa"/>
            <w:noWrap w:val="0"/>
            <w:vAlign w:val="top"/>
          </w:tcPr>
          <w:p>
            <w:pPr>
              <w:spacing w:line="26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noWrap w:val="0"/>
            <w:vAlign w:val="center"/>
          </w:tcPr>
          <w:p>
            <w:pPr>
              <w:jc w:val="center"/>
              <w:rPr>
                <w:rFonts w:hint="eastAsia" w:ascii="仿宋" w:hAnsi="仿宋" w:eastAsia="仿宋" w:cs="仿宋"/>
                <w:color w:val="auto"/>
              </w:rPr>
            </w:pPr>
            <w:r>
              <w:rPr>
                <w:rFonts w:hint="eastAsia" w:ascii="仿宋" w:hAnsi="仿宋" w:eastAsia="仿宋" w:cs="仿宋"/>
                <w:bCs/>
                <w:color w:val="auto"/>
              </w:rPr>
              <w:t>（3）</w:t>
            </w:r>
          </w:p>
        </w:tc>
        <w:tc>
          <w:tcPr>
            <w:tcW w:w="2211" w:type="dxa"/>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医疗保险费</w:t>
            </w:r>
          </w:p>
        </w:tc>
        <w:tc>
          <w:tcPr>
            <w:tcW w:w="3568"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color w:val="auto"/>
                <w:kern w:val="0"/>
              </w:rPr>
              <w:t>分部分项工程费中（人工费+机械费）合计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措施费中（人工费+机械费）合计-人工、机械的价差</w:t>
            </w:r>
          </w:p>
        </w:tc>
        <w:tc>
          <w:tcPr>
            <w:tcW w:w="1280" w:type="dxa"/>
            <w:noWrap w:val="0"/>
            <w:vAlign w:val="center"/>
          </w:tcPr>
          <w:p>
            <w:pPr>
              <w:spacing w:line="260" w:lineRule="exact"/>
              <w:jc w:val="center"/>
              <w:rPr>
                <w:rFonts w:hint="eastAsia" w:ascii="仿宋" w:hAnsi="仿宋" w:eastAsia="仿宋" w:cs="仿宋"/>
                <w:bCs/>
                <w:color w:val="auto"/>
              </w:rPr>
            </w:pPr>
          </w:p>
        </w:tc>
        <w:tc>
          <w:tcPr>
            <w:tcW w:w="1363"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2.51</w:t>
            </w:r>
          </w:p>
        </w:tc>
        <w:tc>
          <w:tcPr>
            <w:tcW w:w="1211" w:type="dxa"/>
            <w:noWrap w:val="0"/>
            <w:vAlign w:val="center"/>
          </w:tcPr>
          <w:p>
            <w:pPr>
              <w:spacing w:line="26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noWrap w:val="0"/>
            <w:vAlign w:val="center"/>
          </w:tcPr>
          <w:p>
            <w:pPr>
              <w:jc w:val="center"/>
              <w:rPr>
                <w:rFonts w:hint="eastAsia" w:ascii="仿宋" w:hAnsi="仿宋" w:eastAsia="仿宋" w:cs="仿宋"/>
                <w:color w:val="auto"/>
              </w:rPr>
            </w:pPr>
            <w:r>
              <w:rPr>
                <w:rFonts w:hint="eastAsia" w:ascii="仿宋" w:hAnsi="仿宋" w:eastAsia="仿宋" w:cs="仿宋"/>
                <w:bCs/>
                <w:color w:val="auto"/>
              </w:rPr>
              <w:t>（4）</w:t>
            </w:r>
          </w:p>
        </w:tc>
        <w:tc>
          <w:tcPr>
            <w:tcW w:w="2211" w:type="dxa"/>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生育保险费</w:t>
            </w:r>
          </w:p>
        </w:tc>
        <w:tc>
          <w:tcPr>
            <w:tcW w:w="3568" w:type="dxa"/>
            <w:noWrap w:val="0"/>
            <w:vAlign w:val="center"/>
          </w:tcPr>
          <w:p>
            <w:pPr>
              <w:spacing w:line="260" w:lineRule="exact"/>
              <w:jc w:val="center"/>
              <w:rPr>
                <w:rFonts w:hint="eastAsia" w:ascii="仿宋" w:hAnsi="仿宋" w:eastAsia="仿宋" w:cs="仿宋"/>
                <w:color w:val="auto"/>
                <w:kern w:val="0"/>
              </w:rPr>
            </w:pPr>
            <w:r>
              <w:rPr>
                <w:rFonts w:hint="eastAsia" w:ascii="仿宋" w:hAnsi="仿宋" w:eastAsia="仿宋" w:cs="仿宋"/>
                <w:color w:val="auto"/>
                <w:kern w:val="0"/>
              </w:rPr>
              <w:t>分部分项工程费中（人工费+机械费）合计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措施费中（人工费+机械费）合计-人工、机械的价差</w:t>
            </w:r>
          </w:p>
        </w:tc>
        <w:tc>
          <w:tcPr>
            <w:tcW w:w="1280" w:type="dxa"/>
            <w:noWrap w:val="0"/>
            <w:vAlign w:val="center"/>
          </w:tcPr>
          <w:p>
            <w:pPr>
              <w:spacing w:line="260" w:lineRule="exact"/>
              <w:jc w:val="center"/>
              <w:rPr>
                <w:rFonts w:hint="eastAsia" w:ascii="仿宋" w:hAnsi="仿宋" w:eastAsia="仿宋" w:cs="仿宋"/>
                <w:color w:val="auto"/>
                <w:kern w:val="0"/>
              </w:rPr>
            </w:pPr>
          </w:p>
        </w:tc>
        <w:tc>
          <w:tcPr>
            <w:tcW w:w="1363"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0.31</w:t>
            </w:r>
          </w:p>
        </w:tc>
        <w:tc>
          <w:tcPr>
            <w:tcW w:w="1211" w:type="dxa"/>
            <w:noWrap w:val="0"/>
            <w:vAlign w:val="center"/>
          </w:tcPr>
          <w:p>
            <w:pPr>
              <w:spacing w:line="26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tcBorders>
              <w:bottom w:val="single" w:color="auto" w:sz="4" w:space="0"/>
            </w:tcBorders>
            <w:noWrap w:val="0"/>
            <w:vAlign w:val="center"/>
          </w:tcPr>
          <w:p>
            <w:pPr>
              <w:jc w:val="center"/>
              <w:rPr>
                <w:rFonts w:hint="eastAsia" w:ascii="仿宋" w:hAnsi="仿宋" w:eastAsia="仿宋" w:cs="仿宋"/>
                <w:color w:val="auto"/>
              </w:rPr>
            </w:pPr>
            <w:r>
              <w:rPr>
                <w:rFonts w:hint="eastAsia" w:ascii="仿宋" w:hAnsi="仿宋" w:eastAsia="仿宋" w:cs="仿宋"/>
                <w:bCs/>
                <w:color w:val="auto"/>
              </w:rPr>
              <w:t>（5）</w:t>
            </w:r>
          </w:p>
        </w:tc>
        <w:tc>
          <w:tcPr>
            <w:tcW w:w="2211" w:type="dxa"/>
            <w:tcBorders>
              <w:bottom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工伤保险费</w:t>
            </w:r>
          </w:p>
        </w:tc>
        <w:tc>
          <w:tcPr>
            <w:tcW w:w="3568" w:type="dxa"/>
            <w:tcBorders>
              <w:bottom w:val="single" w:color="auto" w:sz="4" w:space="0"/>
            </w:tcBorders>
            <w:noWrap w:val="0"/>
            <w:vAlign w:val="center"/>
          </w:tcPr>
          <w:p>
            <w:pPr>
              <w:spacing w:line="260" w:lineRule="exact"/>
              <w:jc w:val="center"/>
              <w:rPr>
                <w:rFonts w:hint="eastAsia" w:ascii="仿宋" w:hAnsi="仿宋" w:eastAsia="仿宋" w:cs="仿宋"/>
                <w:color w:val="auto"/>
                <w:kern w:val="0"/>
              </w:rPr>
            </w:pPr>
            <w:r>
              <w:rPr>
                <w:rFonts w:hint="eastAsia" w:ascii="仿宋" w:hAnsi="仿宋" w:eastAsia="仿宋" w:cs="仿宋"/>
                <w:color w:val="auto"/>
                <w:kern w:val="0"/>
              </w:rPr>
              <w:t>分部分项工程费中（人工费+机械费）合计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措施费中（人工费+机械费）合计-人工、机械的价差</w:t>
            </w:r>
          </w:p>
        </w:tc>
        <w:tc>
          <w:tcPr>
            <w:tcW w:w="1280" w:type="dxa"/>
            <w:tcBorders>
              <w:bottom w:val="single" w:color="auto" w:sz="4" w:space="0"/>
            </w:tcBorders>
            <w:noWrap w:val="0"/>
            <w:vAlign w:val="center"/>
          </w:tcPr>
          <w:p>
            <w:pPr>
              <w:spacing w:line="260" w:lineRule="exact"/>
              <w:jc w:val="center"/>
              <w:rPr>
                <w:rFonts w:hint="eastAsia" w:ascii="仿宋" w:hAnsi="仿宋" w:eastAsia="仿宋" w:cs="仿宋"/>
                <w:color w:val="auto"/>
                <w:kern w:val="0"/>
              </w:rPr>
            </w:pPr>
          </w:p>
        </w:tc>
        <w:tc>
          <w:tcPr>
            <w:tcW w:w="1363" w:type="dxa"/>
            <w:tcBorders>
              <w:bottom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0.38</w:t>
            </w:r>
          </w:p>
        </w:tc>
        <w:tc>
          <w:tcPr>
            <w:tcW w:w="1211" w:type="dxa"/>
            <w:tcBorders>
              <w:bottom w:val="single" w:color="auto" w:sz="4" w:space="0"/>
            </w:tcBorders>
            <w:noWrap w:val="0"/>
            <w:vAlign w:val="center"/>
          </w:tcPr>
          <w:p>
            <w:pPr>
              <w:spacing w:line="26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1.2</w:t>
            </w:r>
          </w:p>
        </w:tc>
        <w:tc>
          <w:tcPr>
            <w:tcW w:w="2211" w:type="dxa"/>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住房公积金</w:t>
            </w:r>
          </w:p>
        </w:tc>
        <w:tc>
          <w:tcPr>
            <w:tcW w:w="3568"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color w:val="auto"/>
                <w:kern w:val="0"/>
              </w:rPr>
              <w:t>分部分项工程费中（人工费+机械费）合计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措施费中（人工费+机械费）合计-人工、机械的价差</w:t>
            </w:r>
          </w:p>
        </w:tc>
        <w:tc>
          <w:tcPr>
            <w:tcW w:w="1280" w:type="dxa"/>
            <w:noWrap w:val="0"/>
            <w:vAlign w:val="center"/>
          </w:tcPr>
          <w:p>
            <w:pPr>
              <w:spacing w:line="260" w:lineRule="exact"/>
              <w:jc w:val="center"/>
              <w:rPr>
                <w:rFonts w:hint="eastAsia" w:ascii="仿宋" w:hAnsi="仿宋" w:eastAsia="仿宋" w:cs="仿宋"/>
                <w:bCs/>
                <w:color w:val="auto"/>
              </w:rPr>
            </w:pPr>
          </w:p>
        </w:tc>
        <w:tc>
          <w:tcPr>
            <w:tcW w:w="1363"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1.92</w:t>
            </w:r>
          </w:p>
        </w:tc>
        <w:tc>
          <w:tcPr>
            <w:tcW w:w="1211" w:type="dxa"/>
            <w:noWrap w:val="0"/>
            <w:vAlign w:val="center"/>
          </w:tcPr>
          <w:p>
            <w:pPr>
              <w:spacing w:line="26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1.3</w:t>
            </w:r>
          </w:p>
        </w:tc>
        <w:tc>
          <w:tcPr>
            <w:tcW w:w="2211" w:type="dxa"/>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工程排污费</w:t>
            </w:r>
          </w:p>
        </w:tc>
        <w:tc>
          <w:tcPr>
            <w:tcW w:w="3568"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color w:val="auto"/>
                <w:kern w:val="0"/>
              </w:rPr>
              <w:t>分部分项工程费中（人工费+机械费）合计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措施费中（人工费+机械费）合计-人工、机械的价差</w:t>
            </w:r>
          </w:p>
        </w:tc>
        <w:tc>
          <w:tcPr>
            <w:tcW w:w="1280" w:type="dxa"/>
            <w:noWrap w:val="0"/>
            <w:vAlign w:val="center"/>
          </w:tcPr>
          <w:p>
            <w:pPr>
              <w:spacing w:line="260" w:lineRule="exact"/>
              <w:jc w:val="center"/>
              <w:rPr>
                <w:rFonts w:hint="eastAsia" w:ascii="仿宋" w:hAnsi="仿宋" w:eastAsia="仿宋" w:cs="仿宋"/>
                <w:bCs/>
                <w:color w:val="auto"/>
              </w:rPr>
            </w:pPr>
          </w:p>
        </w:tc>
        <w:tc>
          <w:tcPr>
            <w:tcW w:w="1363" w:type="dxa"/>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0.25</w:t>
            </w:r>
          </w:p>
        </w:tc>
        <w:tc>
          <w:tcPr>
            <w:tcW w:w="1211" w:type="dxa"/>
            <w:noWrap w:val="0"/>
            <w:vAlign w:val="center"/>
          </w:tcPr>
          <w:p>
            <w:pPr>
              <w:spacing w:line="26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84" w:type="dxa"/>
            <w:tcBorders>
              <w:top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2</w:t>
            </w:r>
          </w:p>
        </w:tc>
        <w:tc>
          <w:tcPr>
            <w:tcW w:w="2211" w:type="dxa"/>
            <w:tcBorders>
              <w:top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增值税（销项税额）</w:t>
            </w:r>
          </w:p>
        </w:tc>
        <w:tc>
          <w:tcPr>
            <w:tcW w:w="3568" w:type="dxa"/>
            <w:tcBorders>
              <w:top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color w:val="auto"/>
                <w:kern w:val="0"/>
              </w:rPr>
              <w:t>分部分项工程费+措施项目费+其他项目费+规费-按规定不计税的工程设备金额</w:t>
            </w:r>
          </w:p>
        </w:tc>
        <w:tc>
          <w:tcPr>
            <w:tcW w:w="1280" w:type="dxa"/>
            <w:tcBorders>
              <w:top w:val="single" w:color="auto" w:sz="4" w:space="0"/>
            </w:tcBorders>
            <w:noWrap w:val="0"/>
            <w:vAlign w:val="center"/>
          </w:tcPr>
          <w:p>
            <w:pPr>
              <w:spacing w:line="260" w:lineRule="exact"/>
              <w:jc w:val="center"/>
              <w:rPr>
                <w:rFonts w:hint="eastAsia" w:ascii="仿宋" w:hAnsi="仿宋" w:eastAsia="仿宋" w:cs="仿宋"/>
                <w:bCs/>
                <w:color w:val="auto"/>
              </w:rPr>
            </w:pPr>
          </w:p>
        </w:tc>
        <w:tc>
          <w:tcPr>
            <w:tcW w:w="1363" w:type="dxa"/>
            <w:tcBorders>
              <w:top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9</w:t>
            </w:r>
          </w:p>
        </w:tc>
        <w:tc>
          <w:tcPr>
            <w:tcW w:w="1211" w:type="dxa"/>
            <w:tcBorders>
              <w:top w:val="single" w:color="auto" w:sz="4" w:space="0"/>
            </w:tcBorders>
            <w:noWrap w:val="0"/>
            <w:vAlign w:val="center"/>
          </w:tcPr>
          <w:p>
            <w:pPr>
              <w:spacing w:line="260" w:lineRule="exact"/>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206" w:type="dxa"/>
            <w:gridSpan w:val="5"/>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合  计</w:t>
            </w:r>
          </w:p>
        </w:tc>
        <w:tc>
          <w:tcPr>
            <w:tcW w:w="1211" w:type="dxa"/>
            <w:noWrap w:val="0"/>
            <w:vAlign w:val="center"/>
          </w:tcPr>
          <w:p>
            <w:pPr>
              <w:spacing w:line="260" w:lineRule="exact"/>
              <w:jc w:val="center"/>
              <w:rPr>
                <w:rFonts w:hint="eastAsia" w:ascii="仿宋" w:hAnsi="仿宋" w:eastAsia="仿宋" w:cs="仿宋"/>
                <w:bCs/>
                <w:color w:val="auto"/>
                <w:sz w:val="24"/>
                <w:szCs w:val="24"/>
              </w:rPr>
            </w:pPr>
          </w:p>
        </w:tc>
      </w:tr>
    </w:tbl>
    <w:p>
      <w:pPr>
        <w:rPr>
          <w:rFonts w:hint="eastAsia" w:ascii="仿宋" w:hAnsi="仿宋" w:eastAsia="仿宋" w:cs="仿宋"/>
          <w:bCs/>
          <w:color w:val="auto"/>
          <w:sz w:val="30"/>
          <w:szCs w:val="28"/>
          <w:lang w:val="en-US" w:eastAsia="zh-CN"/>
        </w:rPr>
      </w:pPr>
      <w:r>
        <w:rPr>
          <w:rFonts w:hint="eastAsia" w:ascii="仿宋" w:hAnsi="仿宋" w:eastAsia="仿宋" w:cs="仿宋"/>
          <w:bCs/>
          <w:color w:val="auto"/>
          <w:sz w:val="30"/>
          <w:szCs w:val="28"/>
          <w:lang w:val="en-US" w:eastAsia="zh-CN"/>
        </w:rPr>
        <w:br w:type="page"/>
      </w:r>
    </w:p>
    <w:p>
      <w:pPr>
        <w:spacing w:before="157" w:beforeLines="50" w:after="157" w:afterLines="50"/>
        <w:jc w:val="center"/>
        <w:rPr>
          <w:rFonts w:hint="eastAsia" w:ascii="仿宋" w:hAnsi="仿宋" w:eastAsia="仿宋" w:cs="仿宋"/>
          <w:bCs/>
          <w:color w:val="auto"/>
          <w:sz w:val="30"/>
          <w:szCs w:val="28"/>
        </w:rPr>
      </w:pPr>
      <w:r>
        <w:rPr>
          <w:rFonts w:hint="eastAsia" w:ascii="仿宋" w:hAnsi="仿宋" w:eastAsia="仿宋" w:cs="仿宋"/>
          <w:bCs/>
          <w:color w:val="auto"/>
          <w:sz w:val="30"/>
          <w:szCs w:val="28"/>
          <w:lang w:val="en-US" w:eastAsia="zh-CN"/>
        </w:rPr>
        <w:t>27、</w:t>
      </w:r>
      <w:r>
        <w:rPr>
          <w:rFonts w:hint="eastAsia" w:ascii="仿宋" w:hAnsi="仿宋" w:eastAsia="仿宋" w:cs="仿宋"/>
          <w:bCs/>
          <w:color w:val="auto"/>
          <w:sz w:val="30"/>
          <w:szCs w:val="28"/>
        </w:rPr>
        <w:t>规费、税金项目计价表（</w:t>
      </w:r>
      <w:r>
        <w:rPr>
          <w:rFonts w:hint="eastAsia" w:ascii="仿宋" w:hAnsi="仿宋" w:eastAsia="仿宋" w:cs="仿宋"/>
          <w:bCs/>
          <w:color w:val="auto"/>
          <w:sz w:val="30"/>
          <w:szCs w:val="28"/>
          <w:lang w:val="en-US" w:eastAsia="zh-CN"/>
        </w:rPr>
        <w:t>安装</w:t>
      </w:r>
      <w:r>
        <w:rPr>
          <w:rFonts w:hint="eastAsia" w:ascii="仿宋" w:hAnsi="仿宋" w:eastAsia="仿宋" w:cs="仿宋"/>
          <w:bCs/>
          <w:color w:val="auto"/>
          <w:sz w:val="30"/>
          <w:szCs w:val="28"/>
        </w:rPr>
        <w:t>工程）</w:t>
      </w:r>
    </w:p>
    <w:tbl>
      <w:tblPr>
        <w:tblStyle w:val="25"/>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975"/>
        <w:gridCol w:w="3112"/>
        <w:gridCol w:w="1488"/>
        <w:gridCol w:w="136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84" w:type="dxa"/>
            <w:noWrap w:val="0"/>
            <w:vAlign w:val="center"/>
          </w:tcPr>
          <w:p>
            <w:pPr>
              <w:jc w:val="center"/>
              <w:rPr>
                <w:rFonts w:hint="eastAsia" w:ascii="仿宋" w:hAnsi="仿宋" w:eastAsia="仿宋" w:cs="仿宋"/>
                <w:b/>
                <w:color w:val="auto"/>
              </w:rPr>
            </w:pPr>
            <w:r>
              <w:rPr>
                <w:rFonts w:hint="eastAsia" w:ascii="仿宋" w:hAnsi="仿宋" w:eastAsia="仿宋" w:cs="仿宋"/>
                <w:b/>
                <w:color w:val="auto"/>
              </w:rPr>
              <w:t>序号</w:t>
            </w:r>
          </w:p>
        </w:tc>
        <w:tc>
          <w:tcPr>
            <w:tcW w:w="1975" w:type="dxa"/>
            <w:noWrap w:val="0"/>
            <w:vAlign w:val="center"/>
          </w:tcPr>
          <w:p>
            <w:pPr>
              <w:jc w:val="center"/>
              <w:rPr>
                <w:rFonts w:hint="eastAsia" w:ascii="仿宋" w:hAnsi="仿宋" w:eastAsia="仿宋" w:cs="仿宋"/>
                <w:b/>
                <w:color w:val="auto"/>
              </w:rPr>
            </w:pPr>
            <w:r>
              <w:rPr>
                <w:rFonts w:hint="eastAsia" w:ascii="仿宋" w:hAnsi="仿宋" w:eastAsia="仿宋" w:cs="仿宋"/>
                <w:b/>
                <w:color w:val="auto"/>
              </w:rPr>
              <w:t>费用名称</w:t>
            </w:r>
          </w:p>
        </w:tc>
        <w:tc>
          <w:tcPr>
            <w:tcW w:w="3112" w:type="dxa"/>
            <w:noWrap w:val="0"/>
            <w:vAlign w:val="center"/>
          </w:tcPr>
          <w:p>
            <w:pPr>
              <w:jc w:val="center"/>
              <w:rPr>
                <w:rFonts w:hint="eastAsia" w:ascii="仿宋" w:hAnsi="仿宋" w:eastAsia="仿宋" w:cs="仿宋"/>
                <w:b/>
                <w:color w:val="auto"/>
              </w:rPr>
            </w:pPr>
            <w:r>
              <w:rPr>
                <w:rFonts w:hint="eastAsia" w:ascii="仿宋" w:hAnsi="仿宋" w:eastAsia="仿宋" w:cs="仿宋"/>
                <w:b/>
                <w:color w:val="auto"/>
              </w:rPr>
              <w:t>计算基础</w:t>
            </w:r>
          </w:p>
        </w:tc>
        <w:tc>
          <w:tcPr>
            <w:tcW w:w="1488" w:type="dxa"/>
            <w:noWrap w:val="0"/>
            <w:vAlign w:val="center"/>
          </w:tcPr>
          <w:p>
            <w:pPr>
              <w:jc w:val="center"/>
              <w:rPr>
                <w:rFonts w:hint="eastAsia" w:ascii="仿宋" w:hAnsi="仿宋" w:eastAsia="仿宋" w:cs="仿宋"/>
                <w:b/>
                <w:color w:val="auto"/>
              </w:rPr>
            </w:pPr>
            <w:r>
              <w:rPr>
                <w:rFonts w:hint="eastAsia" w:ascii="仿宋" w:hAnsi="仿宋" w:eastAsia="仿宋" w:cs="仿宋"/>
                <w:b/>
                <w:color w:val="auto"/>
              </w:rPr>
              <w:t>计算基数</w:t>
            </w:r>
          </w:p>
        </w:tc>
        <w:tc>
          <w:tcPr>
            <w:tcW w:w="1361" w:type="dxa"/>
            <w:noWrap w:val="0"/>
            <w:vAlign w:val="center"/>
          </w:tcPr>
          <w:p>
            <w:pPr>
              <w:jc w:val="center"/>
              <w:rPr>
                <w:rFonts w:hint="eastAsia" w:ascii="仿宋" w:hAnsi="仿宋" w:eastAsia="仿宋" w:cs="仿宋"/>
                <w:b/>
                <w:color w:val="auto"/>
              </w:rPr>
            </w:pPr>
            <w:r>
              <w:rPr>
                <w:rFonts w:hint="eastAsia" w:ascii="仿宋" w:hAnsi="仿宋" w:eastAsia="仿宋" w:cs="仿宋"/>
                <w:b/>
                <w:color w:val="auto"/>
              </w:rPr>
              <w:t>计算费率</w:t>
            </w:r>
          </w:p>
          <w:p>
            <w:pPr>
              <w:jc w:val="center"/>
              <w:rPr>
                <w:rFonts w:hint="eastAsia" w:ascii="仿宋" w:hAnsi="仿宋" w:eastAsia="仿宋" w:cs="仿宋"/>
                <w:b/>
                <w:color w:val="auto"/>
              </w:rPr>
            </w:pPr>
            <w:r>
              <w:rPr>
                <w:rFonts w:hint="eastAsia" w:ascii="仿宋" w:hAnsi="仿宋" w:eastAsia="仿宋" w:cs="仿宋"/>
                <w:b/>
                <w:color w:val="auto"/>
              </w:rPr>
              <w:t>％</w:t>
            </w:r>
          </w:p>
        </w:tc>
        <w:tc>
          <w:tcPr>
            <w:tcW w:w="1578" w:type="dxa"/>
            <w:noWrap w:val="0"/>
            <w:vAlign w:val="center"/>
          </w:tcPr>
          <w:p>
            <w:pPr>
              <w:jc w:val="center"/>
              <w:rPr>
                <w:rFonts w:hint="eastAsia" w:ascii="仿宋" w:hAnsi="仿宋" w:eastAsia="仿宋" w:cs="仿宋"/>
                <w:b/>
                <w:color w:val="auto"/>
              </w:rPr>
            </w:pPr>
            <w:r>
              <w:rPr>
                <w:rFonts w:hint="eastAsia" w:ascii="仿宋" w:hAnsi="仿宋" w:eastAsia="仿宋" w:cs="仿宋"/>
                <w:b/>
                <w:color w:val="auto"/>
              </w:rPr>
              <w:t>金额</w:t>
            </w:r>
          </w:p>
          <w:p>
            <w:pPr>
              <w:jc w:val="center"/>
              <w:rPr>
                <w:rFonts w:hint="eastAsia" w:ascii="仿宋" w:hAnsi="仿宋" w:eastAsia="仿宋" w:cs="仿宋"/>
                <w:b/>
                <w:color w:val="auto"/>
              </w:rPr>
            </w:pPr>
            <w:r>
              <w:rPr>
                <w:rFonts w:hint="eastAsia" w:ascii="仿宋" w:hAnsi="仿宋" w:eastAsia="仿宋" w:cs="仿宋"/>
                <w:b/>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84"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w:t>
            </w:r>
          </w:p>
        </w:tc>
        <w:tc>
          <w:tcPr>
            <w:tcW w:w="1975" w:type="dxa"/>
            <w:noWrap w:val="0"/>
            <w:vAlign w:val="center"/>
          </w:tcPr>
          <w:p>
            <w:pPr>
              <w:rPr>
                <w:rFonts w:hint="eastAsia" w:ascii="仿宋" w:hAnsi="仿宋" w:eastAsia="仿宋" w:cs="仿宋"/>
                <w:bCs/>
                <w:color w:val="auto"/>
              </w:rPr>
            </w:pPr>
            <w:r>
              <w:rPr>
                <w:rFonts w:hint="eastAsia" w:ascii="仿宋" w:hAnsi="仿宋" w:eastAsia="仿宋" w:cs="仿宋"/>
                <w:bCs/>
                <w:color w:val="auto"/>
              </w:rPr>
              <w:t>规费</w:t>
            </w:r>
          </w:p>
        </w:tc>
        <w:tc>
          <w:tcPr>
            <w:tcW w:w="3112" w:type="dxa"/>
            <w:tcBorders>
              <w:tr2bl w:val="single" w:color="auto" w:sz="4" w:space="0"/>
            </w:tcBorders>
            <w:noWrap w:val="0"/>
            <w:vAlign w:val="center"/>
          </w:tcPr>
          <w:p>
            <w:pPr>
              <w:jc w:val="center"/>
              <w:rPr>
                <w:rFonts w:hint="eastAsia" w:ascii="仿宋" w:hAnsi="仿宋" w:eastAsia="仿宋" w:cs="仿宋"/>
                <w:bCs/>
                <w:color w:val="auto"/>
              </w:rPr>
            </w:pPr>
          </w:p>
        </w:tc>
        <w:tc>
          <w:tcPr>
            <w:tcW w:w="1488" w:type="dxa"/>
            <w:tcBorders>
              <w:tr2bl w:val="single" w:color="auto" w:sz="4" w:space="0"/>
            </w:tcBorders>
            <w:noWrap w:val="0"/>
            <w:vAlign w:val="center"/>
          </w:tcPr>
          <w:p>
            <w:pPr>
              <w:jc w:val="center"/>
              <w:rPr>
                <w:rFonts w:hint="eastAsia" w:ascii="仿宋" w:hAnsi="仿宋" w:eastAsia="仿宋" w:cs="仿宋"/>
                <w:bCs/>
                <w:color w:val="auto"/>
              </w:rPr>
            </w:pPr>
          </w:p>
        </w:tc>
        <w:tc>
          <w:tcPr>
            <w:tcW w:w="1361" w:type="dxa"/>
            <w:tcBorders>
              <w:tr2bl w:val="single" w:color="auto" w:sz="4" w:space="0"/>
            </w:tcBorders>
            <w:noWrap w:val="0"/>
            <w:vAlign w:val="center"/>
          </w:tcPr>
          <w:p>
            <w:pPr>
              <w:jc w:val="center"/>
              <w:rPr>
                <w:rFonts w:hint="eastAsia" w:ascii="仿宋" w:hAnsi="仿宋" w:eastAsia="仿宋" w:cs="仿宋"/>
                <w:bCs/>
                <w:color w:val="auto"/>
              </w:rPr>
            </w:pPr>
          </w:p>
        </w:tc>
        <w:tc>
          <w:tcPr>
            <w:tcW w:w="1578" w:type="dxa"/>
            <w:noWrap w:val="0"/>
            <w:vAlign w:val="top"/>
          </w:tcPr>
          <w:p>
            <w:pPr>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84"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1.1</w:t>
            </w:r>
          </w:p>
        </w:tc>
        <w:tc>
          <w:tcPr>
            <w:tcW w:w="1975" w:type="dxa"/>
            <w:noWrap w:val="0"/>
            <w:vAlign w:val="center"/>
          </w:tcPr>
          <w:p>
            <w:pPr>
              <w:rPr>
                <w:rFonts w:hint="eastAsia" w:ascii="仿宋" w:hAnsi="仿宋" w:eastAsia="仿宋" w:cs="仿宋"/>
                <w:bCs/>
                <w:color w:val="auto"/>
              </w:rPr>
            </w:pPr>
            <w:r>
              <w:rPr>
                <w:rFonts w:hint="eastAsia" w:ascii="仿宋" w:hAnsi="仿宋" w:eastAsia="仿宋" w:cs="仿宋"/>
                <w:bCs/>
                <w:color w:val="auto"/>
              </w:rPr>
              <w:t>工程排污费</w:t>
            </w:r>
          </w:p>
        </w:tc>
        <w:tc>
          <w:tcPr>
            <w:tcW w:w="3112" w:type="dxa"/>
            <w:noWrap w:val="0"/>
            <w:vAlign w:val="center"/>
          </w:tcPr>
          <w:p>
            <w:pPr>
              <w:jc w:val="center"/>
              <w:rPr>
                <w:rFonts w:hint="eastAsia" w:ascii="仿宋" w:hAnsi="仿宋" w:eastAsia="仿宋" w:cs="仿宋"/>
                <w:bCs/>
                <w:color w:val="auto"/>
              </w:rPr>
            </w:pPr>
            <w:r>
              <w:rPr>
                <w:rFonts w:hint="eastAsia" w:ascii="仿宋" w:hAnsi="仿宋" w:eastAsia="仿宋" w:cs="仿宋"/>
                <w:color w:val="auto"/>
                <w:kern w:val="0"/>
              </w:rPr>
              <w:t>分部分项工程人工费合计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措施项目人工费合计-人工费的价差</w:t>
            </w:r>
          </w:p>
        </w:tc>
        <w:tc>
          <w:tcPr>
            <w:tcW w:w="1488" w:type="dxa"/>
            <w:noWrap w:val="0"/>
            <w:vAlign w:val="center"/>
          </w:tcPr>
          <w:p>
            <w:pPr>
              <w:jc w:val="center"/>
              <w:rPr>
                <w:rFonts w:hint="eastAsia" w:ascii="仿宋" w:hAnsi="仿宋" w:eastAsia="仿宋" w:cs="仿宋"/>
                <w:bCs/>
                <w:color w:val="auto"/>
              </w:rPr>
            </w:pPr>
          </w:p>
        </w:tc>
        <w:tc>
          <w:tcPr>
            <w:tcW w:w="1361"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0.29</w:t>
            </w:r>
          </w:p>
        </w:tc>
        <w:tc>
          <w:tcPr>
            <w:tcW w:w="1578" w:type="dxa"/>
            <w:noWrap w:val="0"/>
            <w:vAlign w:val="top"/>
          </w:tcPr>
          <w:p>
            <w:pPr>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84"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1.2</w:t>
            </w:r>
          </w:p>
        </w:tc>
        <w:tc>
          <w:tcPr>
            <w:tcW w:w="1975" w:type="dxa"/>
            <w:noWrap w:val="0"/>
            <w:vAlign w:val="center"/>
          </w:tcPr>
          <w:p>
            <w:pPr>
              <w:rPr>
                <w:rFonts w:hint="eastAsia" w:ascii="仿宋" w:hAnsi="仿宋" w:eastAsia="仿宋" w:cs="仿宋"/>
                <w:bCs/>
                <w:color w:val="auto"/>
              </w:rPr>
            </w:pPr>
            <w:r>
              <w:rPr>
                <w:rFonts w:hint="eastAsia" w:ascii="仿宋" w:hAnsi="仿宋" w:eastAsia="仿宋" w:cs="仿宋"/>
                <w:bCs/>
                <w:color w:val="auto"/>
              </w:rPr>
              <w:t>社会保险费</w:t>
            </w:r>
          </w:p>
        </w:tc>
        <w:tc>
          <w:tcPr>
            <w:tcW w:w="3112" w:type="dxa"/>
            <w:tcBorders>
              <w:tr2bl w:val="single" w:color="auto" w:sz="4" w:space="0"/>
            </w:tcBorders>
            <w:noWrap w:val="0"/>
            <w:vAlign w:val="center"/>
          </w:tcPr>
          <w:p>
            <w:pPr>
              <w:jc w:val="center"/>
              <w:rPr>
                <w:rFonts w:hint="eastAsia" w:ascii="仿宋" w:hAnsi="仿宋" w:eastAsia="仿宋" w:cs="仿宋"/>
                <w:bCs/>
                <w:color w:val="auto"/>
              </w:rPr>
            </w:pPr>
          </w:p>
        </w:tc>
        <w:tc>
          <w:tcPr>
            <w:tcW w:w="1488" w:type="dxa"/>
            <w:tcBorders>
              <w:tr2bl w:val="single" w:color="auto" w:sz="4" w:space="0"/>
            </w:tcBorders>
            <w:noWrap w:val="0"/>
            <w:vAlign w:val="center"/>
          </w:tcPr>
          <w:p>
            <w:pPr>
              <w:jc w:val="center"/>
              <w:rPr>
                <w:rFonts w:hint="eastAsia" w:ascii="仿宋" w:hAnsi="仿宋" w:eastAsia="仿宋" w:cs="仿宋"/>
                <w:bCs/>
                <w:color w:val="auto"/>
              </w:rPr>
            </w:pPr>
          </w:p>
        </w:tc>
        <w:tc>
          <w:tcPr>
            <w:tcW w:w="1361" w:type="dxa"/>
            <w:tcBorders>
              <w:tr2bl w:val="single" w:color="auto" w:sz="4" w:space="0"/>
            </w:tcBorders>
            <w:noWrap w:val="0"/>
            <w:vAlign w:val="center"/>
          </w:tcPr>
          <w:p>
            <w:pPr>
              <w:jc w:val="center"/>
              <w:rPr>
                <w:rFonts w:hint="eastAsia" w:ascii="仿宋" w:hAnsi="仿宋" w:eastAsia="仿宋" w:cs="仿宋"/>
                <w:bCs/>
                <w:color w:val="auto"/>
              </w:rPr>
            </w:pPr>
          </w:p>
        </w:tc>
        <w:tc>
          <w:tcPr>
            <w:tcW w:w="1578" w:type="dxa"/>
            <w:noWrap w:val="0"/>
            <w:vAlign w:val="top"/>
          </w:tcPr>
          <w:p>
            <w:pPr>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84"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w:t>
            </w:r>
          </w:p>
        </w:tc>
        <w:tc>
          <w:tcPr>
            <w:tcW w:w="1975" w:type="dxa"/>
            <w:noWrap w:val="0"/>
            <w:vAlign w:val="center"/>
          </w:tcPr>
          <w:p>
            <w:pPr>
              <w:rPr>
                <w:rFonts w:hint="eastAsia" w:ascii="仿宋" w:hAnsi="仿宋" w:eastAsia="仿宋" w:cs="仿宋"/>
                <w:bCs/>
                <w:color w:val="auto"/>
              </w:rPr>
            </w:pPr>
            <w:r>
              <w:rPr>
                <w:rFonts w:hint="eastAsia" w:ascii="仿宋" w:hAnsi="仿宋" w:eastAsia="仿宋" w:cs="仿宋"/>
                <w:bCs/>
                <w:color w:val="auto"/>
              </w:rPr>
              <w:t>养老保险费</w:t>
            </w:r>
          </w:p>
        </w:tc>
        <w:tc>
          <w:tcPr>
            <w:tcW w:w="3112" w:type="dxa"/>
            <w:noWrap w:val="0"/>
            <w:vAlign w:val="center"/>
          </w:tcPr>
          <w:p>
            <w:pPr>
              <w:jc w:val="center"/>
              <w:rPr>
                <w:rFonts w:hint="eastAsia" w:ascii="仿宋" w:hAnsi="仿宋" w:eastAsia="仿宋" w:cs="仿宋"/>
                <w:bCs/>
                <w:color w:val="auto"/>
              </w:rPr>
            </w:pPr>
            <w:r>
              <w:rPr>
                <w:rFonts w:hint="eastAsia" w:ascii="仿宋" w:hAnsi="仿宋" w:eastAsia="仿宋" w:cs="仿宋"/>
                <w:color w:val="auto"/>
                <w:kern w:val="0"/>
              </w:rPr>
              <w:t>分部分项工程人工费合计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措施项目人工费合计-人工费的价差</w:t>
            </w:r>
          </w:p>
        </w:tc>
        <w:tc>
          <w:tcPr>
            <w:tcW w:w="1488" w:type="dxa"/>
            <w:noWrap w:val="0"/>
            <w:vAlign w:val="center"/>
          </w:tcPr>
          <w:p>
            <w:pPr>
              <w:jc w:val="center"/>
              <w:rPr>
                <w:rFonts w:hint="eastAsia" w:ascii="仿宋" w:hAnsi="仿宋" w:eastAsia="仿宋" w:cs="仿宋"/>
                <w:bCs/>
                <w:color w:val="auto"/>
              </w:rPr>
            </w:pPr>
          </w:p>
        </w:tc>
        <w:tc>
          <w:tcPr>
            <w:tcW w:w="1361"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15.81</w:t>
            </w:r>
          </w:p>
        </w:tc>
        <w:tc>
          <w:tcPr>
            <w:tcW w:w="1578" w:type="dxa"/>
            <w:noWrap w:val="0"/>
            <w:vAlign w:val="top"/>
          </w:tcPr>
          <w:p>
            <w:pPr>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84"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（2）</w:t>
            </w:r>
          </w:p>
        </w:tc>
        <w:tc>
          <w:tcPr>
            <w:tcW w:w="1975" w:type="dxa"/>
            <w:noWrap w:val="0"/>
            <w:vAlign w:val="center"/>
          </w:tcPr>
          <w:p>
            <w:pPr>
              <w:rPr>
                <w:rFonts w:hint="eastAsia" w:ascii="仿宋" w:hAnsi="仿宋" w:eastAsia="仿宋" w:cs="仿宋"/>
                <w:bCs/>
                <w:color w:val="auto"/>
              </w:rPr>
            </w:pPr>
            <w:r>
              <w:rPr>
                <w:rFonts w:hint="eastAsia" w:ascii="仿宋" w:hAnsi="仿宋" w:eastAsia="仿宋" w:cs="仿宋"/>
                <w:bCs/>
                <w:color w:val="auto"/>
              </w:rPr>
              <w:t>失业保险费</w:t>
            </w:r>
          </w:p>
        </w:tc>
        <w:tc>
          <w:tcPr>
            <w:tcW w:w="3112" w:type="dxa"/>
            <w:noWrap w:val="0"/>
            <w:vAlign w:val="center"/>
          </w:tcPr>
          <w:p>
            <w:pPr>
              <w:jc w:val="center"/>
              <w:rPr>
                <w:rFonts w:hint="eastAsia" w:ascii="仿宋" w:hAnsi="仿宋" w:eastAsia="仿宋" w:cs="仿宋"/>
                <w:bCs/>
                <w:color w:val="auto"/>
              </w:rPr>
            </w:pPr>
            <w:r>
              <w:rPr>
                <w:rFonts w:hint="eastAsia" w:ascii="仿宋" w:hAnsi="仿宋" w:eastAsia="仿宋" w:cs="仿宋"/>
                <w:color w:val="auto"/>
                <w:kern w:val="0"/>
              </w:rPr>
              <w:t>分部分项工程人工费合计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措施项目人工费合计-人工费的价差</w:t>
            </w:r>
          </w:p>
        </w:tc>
        <w:tc>
          <w:tcPr>
            <w:tcW w:w="1488" w:type="dxa"/>
            <w:noWrap w:val="0"/>
            <w:vAlign w:val="center"/>
          </w:tcPr>
          <w:p>
            <w:pPr>
              <w:jc w:val="center"/>
              <w:rPr>
                <w:rFonts w:hint="eastAsia" w:ascii="仿宋" w:hAnsi="仿宋" w:eastAsia="仿宋" w:cs="仿宋"/>
                <w:bCs/>
                <w:color w:val="auto"/>
              </w:rPr>
            </w:pPr>
          </w:p>
        </w:tc>
        <w:tc>
          <w:tcPr>
            <w:tcW w:w="1361"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0.62</w:t>
            </w:r>
          </w:p>
        </w:tc>
        <w:tc>
          <w:tcPr>
            <w:tcW w:w="1578" w:type="dxa"/>
            <w:noWrap w:val="0"/>
            <w:vAlign w:val="top"/>
          </w:tcPr>
          <w:p>
            <w:pPr>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84"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（3）</w:t>
            </w:r>
          </w:p>
        </w:tc>
        <w:tc>
          <w:tcPr>
            <w:tcW w:w="1975" w:type="dxa"/>
            <w:noWrap w:val="0"/>
            <w:vAlign w:val="center"/>
          </w:tcPr>
          <w:p>
            <w:pPr>
              <w:rPr>
                <w:rFonts w:hint="eastAsia" w:ascii="仿宋" w:hAnsi="仿宋" w:eastAsia="仿宋" w:cs="仿宋"/>
                <w:bCs/>
                <w:color w:val="auto"/>
              </w:rPr>
            </w:pPr>
            <w:r>
              <w:rPr>
                <w:rFonts w:hint="eastAsia" w:ascii="仿宋" w:hAnsi="仿宋" w:eastAsia="仿宋" w:cs="仿宋"/>
                <w:bCs/>
                <w:color w:val="auto"/>
              </w:rPr>
              <w:t>医疗保险费</w:t>
            </w:r>
          </w:p>
        </w:tc>
        <w:tc>
          <w:tcPr>
            <w:tcW w:w="3112" w:type="dxa"/>
            <w:noWrap w:val="0"/>
            <w:vAlign w:val="center"/>
          </w:tcPr>
          <w:p>
            <w:pPr>
              <w:jc w:val="center"/>
              <w:rPr>
                <w:rFonts w:hint="eastAsia" w:ascii="仿宋" w:hAnsi="仿宋" w:eastAsia="仿宋" w:cs="仿宋"/>
                <w:bCs/>
                <w:color w:val="auto"/>
              </w:rPr>
            </w:pPr>
            <w:r>
              <w:rPr>
                <w:rFonts w:hint="eastAsia" w:ascii="仿宋" w:hAnsi="仿宋" w:eastAsia="仿宋" w:cs="仿宋"/>
                <w:color w:val="auto"/>
                <w:kern w:val="0"/>
              </w:rPr>
              <w:t>分部分项工程人工费合计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措施项目人工费合计-人工费的价差</w:t>
            </w:r>
          </w:p>
        </w:tc>
        <w:tc>
          <w:tcPr>
            <w:tcW w:w="1488" w:type="dxa"/>
            <w:noWrap w:val="0"/>
            <w:vAlign w:val="center"/>
          </w:tcPr>
          <w:p>
            <w:pPr>
              <w:jc w:val="center"/>
              <w:rPr>
                <w:rFonts w:hint="eastAsia" w:ascii="仿宋" w:hAnsi="仿宋" w:eastAsia="仿宋" w:cs="仿宋"/>
                <w:bCs/>
                <w:color w:val="auto"/>
              </w:rPr>
            </w:pPr>
          </w:p>
        </w:tc>
        <w:tc>
          <w:tcPr>
            <w:tcW w:w="1361"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3.12</w:t>
            </w:r>
          </w:p>
        </w:tc>
        <w:tc>
          <w:tcPr>
            <w:tcW w:w="1578" w:type="dxa"/>
            <w:noWrap w:val="0"/>
            <w:vAlign w:val="top"/>
          </w:tcPr>
          <w:p>
            <w:pPr>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84"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（4）</w:t>
            </w:r>
          </w:p>
        </w:tc>
        <w:tc>
          <w:tcPr>
            <w:tcW w:w="1975" w:type="dxa"/>
            <w:noWrap w:val="0"/>
            <w:vAlign w:val="center"/>
          </w:tcPr>
          <w:p>
            <w:pPr>
              <w:rPr>
                <w:rFonts w:hint="eastAsia" w:ascii="仿宋" w:hAnsi="仿宋" w:eastAsia="仿宋" w:cs="仿宋"/>
                <w:bCs/>
                <w:color w:val="auto"/>
              </w:rPr>
            </w:pPr>
            <w:r>
              <w:rPr>
                <w:rFonts w:hint="eastAsia" w:ascii="仿宋" w:hAnsi="仿宋" w:eastAsia="仿宋" w:cs="仿宋"/>
                <w:bCs/>
                <w:color w:val="auto"/>
              </w:rPr>
              <w:t>生育保险费</w:t>
            </w:r>
          </w:p>
        </w:tc>
        <w:tc>
          <w:tcPr>
            <w:tcW w:w="3112" w:type="dxa"/>
            <w:noWrap w:val="0"/>
            <w:vAlign w:val="center"/>
          </w:tcPr>
          <w:p>
            <w:pPr>
              <w:jc w:val="center"/>
              <w:rPr>
                <w:rFonts w:hint="eastAsia" w:ascii="仿宋" w:hAnsi="仿宋" w:eastAsia="仿宋" w:cs="仿宋"/>
                <w:color w:val="auto"/>
                <w:kern w:val="0"/>
              </w:rPr>
            </w:pPr>
            <w:r>
              <w:rPr>
                <w:rFonts w:hint="eastAsia" w:ascii="仿宋" w:hAnsi="仿宋" w:eastAsia="仿宋" w:cs="仿宋"/>
                <w:color w:val="auto"/>
                <w:kern w:val="0"/>
              </w:rPr>
              <w:t>分部分项工程人工费合计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措施项目人工费合计-人工费的价差</w:t>
            </w:r>
          </w:p>
        </w:tc>
        <w:tc>
          <w:tcPr>
            <w:tcW w:w="1488" w:type="dxa"/>
            <w:noWrap w:val="0"/>
            <w:vAlign w:val="center"/>
          </w:tcPr>
          <w:p>
            <w:pPr>
              <w:jc w:val="center"/>
              <w:rPr>
                <w:rFonts w:hint="eastAsia" w:ascii="仿宋" w:hAnsi="仿宋" w:eastAsia="仿宋" w:cs="仿宋"/>
                <w:color w:val="auto"/>
                <w:kern w:val="0"/>
              </w:rPr>
            </w:pPr>
          </w:p>
        </w:tc>
        <w:tc>
          <w:tcPr>
            <w:tcW w:w="1361"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0.37</w:t>
            </w:r>
          </w:p>
        </w:tc>
        <w:tc>
          <w:tcPr>
            <w:tcW w:w="1578" w:type="dxa"/>
            <w:noWrap w:val="0"/>
            <w:vAlign w:val="top"/>
          </w:tcPr>
          <w:p>
            <w:pPr>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84"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（5）</w:t>
            </w:r>
          </w:p>
        </w:tc>
        <w:tc>
          <w:tcPr>
            <w:tcW w:w="1975" w:type="dxa"/>
            <w:noWrap w:val="0"/>
            <w:vAlign w:val="center"/>
          </w:tcPr>
          <w:p>
            <w:pPr>
              <w:rPr>
                <w:rFonts w:hint="eastAsia" w:ascii="仿宋" w:hAnsi="仿宋" w:eastAsia="仿宋" w:cs="仿宋"/>
                <w:bCs/>
                <w:color w:val="auto"/>
              </w:rPr>
            </w:pPr>
            <w:r>
              <w:rPr>
                <w:rFonts w:hint="eastAsia" w:ascii="仿宋" w:hAnsi="仿宋" w:eastAsia="仿宋" w:cs="仿宋"/>
                <w:bCs/>
                <w:color w:val="auto"/>
              </w:rPr>
              <w:t>工伤保险费</w:t>
            </w:r>
          </w:p>
        </w:tc>
        <w:tc>
          <w:tcPr>
            <w:tcW w:w="3112" w:type="dxa"/>
            <w:noWrap w:val="0"/>
            <w:vAlign w:val="center"/>
          </w:tcPr>
          <w:p>
            <w:pPr>
              <w:jc w:val="center"/>
              <w:rPr>
                <w:rFonts w:hint="eastAsia" w:ascii="仿宋" w:hAnsi="仿宋" w:eastAsia="仿宋" w:cs="仿宋"/>
                <w:color w:val="auto"/>
                <w:kern w:val="0"/>
              </w:rPr>
            </w:pPr>
            <w:r>
              <w:rPr>
                <w:rFonts w:hint="eastAsia" w:ascii="仿宋" w:hAnsi="仿宋" w:eastAsia="仿宋" w:cs="仿宋"/>
                <w:color w:val="auto"/>
                <w:kern w:val="0"/>
              </w:rPr>
              <w:t>分部分项工程人工费合计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措施项目人工费合计-人工费的价差</w:t>
            </w:r>
          </w:p>
        </w:tc>
        <w:tc>
          <w:tcPr>
            <w:tcW w:w="1488" w:type="dxa"/>
            <w:noWrap w:val="0"/>
            <w:vAlign w:val="center"/>
          </w:tcPr>
          <w:p>
            <w:pPr>
              <w:jc w:val="center"/>
              <w:rPr>
                <w:rFonts w:hint="eastAsia" w:ascii="仿宋" w:hAnsi="仿宋" w:eastAsia="仿宋" w:cs="仿宋"/>
                <w:color w:val="auto"/>
                <w:kern w:val="0"/>
              </w:rPr>
            </w:pPr>
          </w:p>
        </w:tc>
        <w:tc>
          <w:tcPr>
            <w:tcW w:w="1361"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0.42</w:t>
            </w:r>
          </w:p>
        </w:tc>
        <w:tc>
          <w:tcPr>
            <w:tcW w:w="1578" w:type="dxa"/>
            <w:noWrap w:val="0"/>
            <w:vAlign w:val="top"/>
          </w:tcPr>
          <w:p>
            <w:pPr>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84"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1.3</w:t>
            </w:r>
          </w:p>
        </w:tc>
        <w:tc>
          <w:tcPr>
            <w:tcW w:w="1975" w:type="dxa"/>
            <w:noWrap w:val="0"/>
            <w:vAlign w:val="center"/>
          </w:tcPr>
          <w:p>
            <w:pPr>
              <w:rPr>
                <w:rFonts w:hint="eastAsia" w:ascii="仿宋" w:hAnsi="仿宋" w:eastAsia="仿宋" w:cs="仿宋"/>
                <w:bCs/>
                <w:color w:val="auto"/>
              </w:rPr>
            </w:pPr>
            <w:r>
              <w:rPr>
                <w:rFonts w:hint="eastAsia" w:ascii="仿宋" w:hAnsi="仿宋" w:eastAsia="仿宋" w:cs="仿宋"/>
                <w:bCs/>
                <w:color w:val="auto"/>
              </w:rPr>
              <w:t>住房公积金</w:t>
            </w:r>
          </w:p>
        </w:tc>
        <w:tc>
          <w:tcPr>
            <w:tcW w:w="3112" w:type="dxa"/>
            <w:noWrap w:val="0"/>
            <w:vAlign w:val="center"/>
          </w:tcPr>
          <w:p>
            <w:pPr>
              <w:jc w:val="center"/>
              <w:rPr>
                <w:rFonts w:hint="eastAsia" w:ascii="仿宋" w:hAnsi="仿宋" w:eastAsia="仿宋" w:cs="仿宋"/>
                <w:bCs/>
                <w:color w:val="auto"/>
              </w:rPr>
            </w:pPr>
            <w:r>
              <w:rPr>
                <w:rFonts w:hint="eastAsia" w:ascii="仿宋" w:hAnsi="仿宋" w:eastAsia="仿宋" w:cs="仿宋"/>
                <w:color w:val="auto"/>
                <w:kern w:val="0"/>
              </w:rPr>
              <w:t>分部分项工程人工费合计</w:t>
            </w:r>
            <w:r>
              <w:rPr>
                <w:rFonts w:hint="eastAsia" w:ascii="仿宋" w:hAnsi="仿宋" w:eastAsia="仿宋" w:cs="仿宋"/>
                <w:color w:val="auto"/>
                <w:kern w:val="0"/>
                <w:lang w:val="en"/>
              </w:rPr>
              <w:t>+可计量</w:t>
            </w:r>
            <w:r>
              <w:rPr>
                <w:rFonts w:hint="eastAsia" w:ascii="仿宋" w:hAnsi="仿宋" w:eastAsia="仿宋" w:cs="仿宋"/>
                <w:color w:val="auto"/>
                <w:kern w:val="0"/>
              </w:rPr>
              <w:t>措施项目人工费合计-人工费的价差</w:t>
            </w:r>
          </w:p>
        </w:tc>
        <w:tc>
          <w:tcPr>
            <w:tcW w:w="1488" w:type="dxa"/>
            <w:noWrap w:val="0"/>
            <w:vAlign w:val="center"/>
          </w:tcPr>
          <w:p>
            <w:pPr>
              <w:jc w:val="center"/>
              <w:rPr>
                <w:rFonts w:hint="eastAsia" w:ascii="仿宋" w:hAnsi="仿宋" w:eastAsia="仿宋" w:cs="仿宋"/>
                <w:bCs/>
                <w:color w:val="auto"/>
              </w:rPr>
            </w:pPr>
          </w:p>
        </w:tc>
        <w:tc>
          <w:tcPr>
            <w:tcW w:w="1361"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2.33</w:t>
            </w:r>
          </w:p>
        </w:tc>
        <w:tc>
          <w:tcPr>
            <w:tcW w:w="1578" w:type="dxa"/>
            <w:noWrap w:val="0"/>
            <w:vAlign w:val="top"/>
          </w:tcPr>
          <w:p>
            <w:pPr>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84"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2</w:t>
            </w:r>
          </w:p>
        </w:tc>
        <w:tc>
          <w:tcPr>
            <w:tcW w:w="1975" w:type="dxa"/>
            <w:noWrap w:val="0"/>
            <w:vAlign w:val="center"/>
          </w:tcPr>
          <w:p>
            <w:pPr>
              <w:rPr>
                <w:rFonts w:hint="eastAsia" w:ascii="仿宋" w:hAnsi="仿宋" w:eastAsia="仿宋" w:cs="仿宋"/>
                <w:bCs/>
                <w:color w:val="auto"/>
              </w:rPr>
            </w:pPr>
            <w:r>
              <w:rPr>
                <w:rFonts w:hint="eastAsia" w:ascii="仿宋" w:hAnsi="仿宋" w:eastAsia="仿宋" w:cs="仿宋"/>
                <w:bCs/>
                <w:color w:val="auto"/>
              </w:rPr>
              <w:t>增值税（销项税额）</w:t>
            </w:r>
          </w:p>
        </w:tc>
        <w:tc>
          <w:tcPr>
            <w:tcW w:w="3112"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分部分项工程费+措施项目费+其他项目费+规费-</w:t>
            </w:r>
            <w:r>
              <w:rPr>
                <w:rFonts w:hint="eastAsia" w:ascii="仿宋" w:hAnsi="仿宋" w:eastAsia="仿宋" w:cs="仿宋"/>
                <w:color w:val="auto"/>
                <w:kern w:val="0"/>
              </w:rPr>
              <w:t>按规定不计税的工程设备金额</w:t>
            </w:r>
          </w:p>
        </w:tc>
        <w:tc>
          <w:tcPr>
            <w:tcW w:w="1488" w:type="dxa"/>
            <w:noWrap w:val="0"/>
            <w:vAlign w:val="center"/>
          </w:tcPr>
          <w:p>
            <w:pPr>
              <w:jc w:val="center"/>
              <w:rPr>
                <w:rFonts w:hint="eastAsia" w:ascii="仿宋" w:hAnsi="仿宋" w:eastAsia="仿宋" w:cs="仿宋"/>
                <w:bCs/>
                <w:color w:val="auto"/>
              </w:rPr>
            </w:pPr>
          </w:p>
        </w:tc>
        <w:tc>
          <w:tcPr>
            <w:tcW w:w="1361" w:type="dxa"/>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9</w:t>
            </w:r>
          </w:p>
        </w:tc>
        <w:tc>
          <w:tcPr>
            <w:tcW w:w="1578" w:type="dxa"/>
            <w:noWrap w:val="0"/>
            <w:vAlign w:val="top"/>
          </w:tcPr>
          <w:p>
            <w:pPr>
              <w:jc w:val="center"/>
              <w:rPr>
                <w:rFonts w:hint="eastAsia"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20" w:type="dxa"/>
            <w:gridSpan w:val="5"/>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合  计</w:t>
            </w:r>
          </w:p>
        </w:tc>
        <w:tc>
          <w:tcPr>
            <w:tcW w:w="1578" w:type="dxa"/>
            <w:noWrap w:val="0"/>
            <w:vAlign w:val="top"/>
          </w:tcPr>
          <w:p>
            <w:pPr>
              <w:jc w:val="center"/>
              <w:rPr>
                <w:rFonts w:hint="eastAsia" w:ascii="仿宋" w:hAnsi="仿宋" w:eastAsia="仿宋" w:cs="仿宋"/>
                <w:bCs/>
                <w:color w:val="auto"/>
              </w:rPr>
            </w:pPr>
          </w:p>
        </w:tc>
      </w:tr>
    </w:tbl>
    <w:p>
      <w:pPr>
        <w:pStyle w:val="12"/>
        <w:rPr>
          <w:rFonts w:hint="eastAsia" w:ascii="仿宋" w:hAnsi="仿宋" w:eastAsia="仿宋" w:cs="仿宋"/>
          <w:color w:val="auto"/>
        </w:rPr>
      </w:pPr>
    </w:p>
    <w:p>
      <w:pPr>
        <w:tabs>
          <w:tab w:val="left" w:pos="1050"/>
        </w:tabs>
        <w:spacing w:line="560" w:lineRule="exact"/>
        <w:jc w:val="center"/>
        <w:rPr>
          <w:rFonts w:hint="eastAsia" w:ascii="仿宋" w:hAnsi="仿宋" w:eastAsia="仿宋" w:cs="仿宋"/>
          <w:bCs/>
          <w:color w:val="auto"/>
          <w:sz w:val="30"/>
          <w:szCs w:val="28"/>
        </w:rPr>
      </w:pPr>
      <w:r>
        <w:rPr>
          <w:rFonts w:hint="eastAsia" w:ascii="仿宋" w:hAnsi="仿宋" w:eastAsia="仿宋" w:cs="仿宋"/>
          <w:bCs/>
          <w:color w:val="auto"/>
          <w:sz w:val="30"/>
          <w:szCs w:val="28"/>
          <w:lang w:val="en-US" w:eastAsia="zh-CN"/>
        </w:rPr>
        <w:br w:type="page"/>
      </w:r>
      <w:r>
        <w:rPr>
          <w:rFonts w:hint="eastAsia" w:ascii="仿宋" w:hAnsi="仿宋" w:eastAsia="仿宋" w:cs="仿宋"/>
          <w:bCs/>
          <w:color w:val="auto"/>
          <w:sz w:val="30"/>
          <w:szCs w:val="28"/>
          <w:lang w:val="en-US" w:eastAsia="zh-CN"/>
        </w:rPr>
        <w:t>28、</w:t>
      </w:r>
      <w:r>
        <w:rPr>
          <w:rFonts w:hint="eastAsia" w:ascii="仿宋" w:hAnsi="仿宋" w:eastAsia="仿宋" w:cs="仿宋"/>
          <w:bCs/>
          <w:color w:val="auto"/>
          <w:sz w:val="30"/>
          <w:szCs w:val="28"/>
        </w:rPr>
        <w:t>规费、税金项目计价表（</w:t>
      </w:r>
      <w:r>
        <w:rPr>
          <w:rFonts w:hint="eastAsia" w:ascii="仿宋" w:hAnsi="仿宋" w:eastAsia="仿宋" w:cs="仿宋"/>
          <w:bCs/>
          <w:color w:val="auto"/>
          <w:sz w:val="30"/>
          <w:szCs w:val="28"/>
          <w:lang w:val="en-US" w:eastAsia="zh-CN"/>
        </w:rPr>
        <w:t>装饰装修</w:t>
      </w:r>
      <w:r>
        <w:rPr>
          <w:rFonts w:hint="eastAsia" w:ascii="仿宋" w:hAnsi="仿宋" w:eastAsia="仿宋" w:cs="仿宋"/>
          <w:bCs/>
          <w:color w:val="auto"/>
          <w:sz w:val="30"/>
          <w:szCs w:val="28"/>
        </w:rPr>
        <w:t>工程）</w:t>
      </w:r>
    </w:p>
    <w:tbl>
      <w:tblPr>
        <w:tblStyle w:val="25"/>
        <w:tblpPr w:leftFromText="180" w:rightFromText="180" w:vertAnchor="text" w:horzAnchor="page" w:tblpX="662" w:tblpY="367"/>
        <w:tblOverlap w:val="never"/>
        <w:tblW w:w="10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32"/>
        <w:gridCol w:w="3602"/>
        <w:gridCol w:w="1294"/>
        <w:gridCol w:w="1374"/>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r>
              <w:rPr>
                <w:rFonts w:hint="eastAsia" w:ascii="仿宋" w:hAnsi="仿宋" w:eastAsia="仿宋" w:cs="仿宋"/>
                <w:bCs/>
                <w:color w:val="auto"/>
                <w:sz w:val="24"/>
              </w:rPr>
              <w:t>序号</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r>
              <w:rPr>
                <w:rFonts w:hint="eastAsia" w:ascii="仿宋" w:hAnsi="仿宋" w:eastAsia="仿宋" w:cs="仿宋"/>
                <w:bCs/>
                <w:color w:val="auto"/>
                <w:sz w:val="24"/>
              </w:rPr>
              <w:t>项目名称</w:t>
            </w:r>
          </w:p>
        </w:tc>
        <w:tc>
          <w:tcPr>
            <w:tcW w:w="36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r>
              <w:rPr>
                <w:rFonts w:hint="eastAsia" w:ascii="仿宋" w:hAnsi="仿宋" w:eastAsia="仿宋" w:cs="仿宋"/>
                <w:bCs/>
                <w:color w:val="auto"/>
                <w:sz w:val="24"/>
              </w:rPr>
              <w:t>计算基础</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r>
              <w:rPr>
                <w:rFonts w:hint="eastAsia" w:ascii="仿宋" w:hAnsi="仿宋" w:eastAsia="仿宋" w:cs="仿宋"/>
                <w:bCs/>
                <w:color w:val="auto"/>
                <w:sz w:val="24"/>
              </w:rPr>
              <w:t>计算基数</w:t>
            </w:r>
          </w:p>
        </w:tc>
        <w:tc>
          <w:tcPr>
            <w:tcW w:w="137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r>
              <w:rPr>
                <w:rFonts w:hint="eastAsia" w:ascii="仿宋" w:hAnsi="仿宋" w:eastAsia="仿宋" w:cs="仿宋"/>
                <w:bCs/>
                <w:color w:val="auto"/>
                <w:sz w:val="24"/>
              </w:rPr>
              <w:t>计算费率</w:t>
            </w:r>
          </w:p>
          <w:p>
            <w:pPr>
              <w:spacing w:line="260" w:lineRule="exact"/>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r>
              <w:rPr>
                <w:rFonts w:hint="eastAsia" w:ascii="仿宋" w:hAnsi="仿宋" w:eastAsia="仿宋" w:cs="仿宋"/>
                <w:bCs/>
                <w:color w:val="auto"/>
                <w:sz w:val="24"/>
              </w:rPr>
              <w:t>金额</w:t>
            </w:r>
          </w:p>
          <w:p>
            <w:pPr>
              <w:spacing w:line="260" w:lineRule="exact"/>
              <w:jc w:val="center"/>
              <w:rPr>
                <w:rFonts w:hint="eastAsia" w:ascii="仿宋" w:hAnsi="仿宋" w:eastAsia="仿宋" w:cs="仿宋"/>
                <w:bCs/>
                <w:color w:val="auto"/>
                <w:sz w:val="24"/>
              </w:rPr>
            </w:pPr>
            <w:r>
              <w:rPr>
                <w:rFonts w:hint="eastAsia" w:ascii="仿宋" w:hAnsi="仿宋" w:eastAsia="仿宋" w:cs="仿宋"/>
                <w:bCs/>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1</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规费</w:t>
            </w:r>
          </w:p>
        </w:tc>
        <w:tc>
          <w:tcPr>
            <w:tcW w:w="3602"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294"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374"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1.1</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社会保险费</w:t>
            </w:r>
          </w:p>
        </w:tc>
        <w:tc>
          <w:tcPr>
            <w:tcW w:w="3602"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294"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374"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spacing w:line="260" w:lineRule="exact"/>
              <w:jc w:val="center"/>
              <w:rPr>
                <w:rFonts w:hint="eastAsia" w:ascii="仿宋" w:hAnsi="仿宋" w:eastAsia="仿宋" w:cs="仿宋"/>
                <w:bCs/>
                <w:color w:val="auto"/>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养老保险费</w:t>
            </w:r>
          </w:p>
        </w:tc>
        <w:tc>
          <w:tcPr>
            <w:tcW w:w="36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kern w:val="0"/>
              </w:rPr>
              <w:t>分部分项工程人工费合计</w:t>
            </w:r>
            <w:r>
              <w:rPr>
                <w:rFonts w:hint="eastAsia" w:ascii="仿宋" w:hAnsi="仿宋" w:eastAsia="仿宋" w:cs="仿宋"/>
                <w:bCs/>
                <w:color w:val="auto"/>
                <w:kern w:val="0"/>
                <w:lang w:val="en"/>
              </w:rPr>
              <w:t>+可计量</w:t>
            </w:r>
            <w:r>
              <w:rPr>
                <w:rFonts w:hint="eastAsia" w:ascii="仿宋" w:hAnsi="仿宋" w:eastAsia="仿宋" w:cs="仿宋"/>
                <w:bCs/>
                <w:color w:val="auto"/>
                <w:kern w:val="0"/>
              </w:rPr>
              <w:t>措施项目人工费合计-人工费的价差</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9.70</w:t>
            </w:r>
          </w:p>
        </w:tc>
        <w:tc>
          <w:tcPr>
            <w:tcW w:w="1223"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失业保险费</w:t>
            </w:r>
          </w:p>
        </w:tc>
        <w:tc>
          <w:tcPr>
            <w:tcW w:w="36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kern w:val="0"/>
              </w:rPr>
              <w:t>分部分项工程人工费合计</w:t>
            </w:r>
            <w:r>
              <w:rPr>
                <w:rFonts w:hint="eastAsia" w:ascii="仿宋" w:hAnsi="仿宋" w:eastAsia="仿宋" w:cs="仿宋"/>
                <w:bCs/>
                <w:color w:val="auto"/>
                <w:kern w:val="0"/>
                <w:lang w:val="en"/>
              </w:rPr>
              <w:t>+可计量</w:t>
            </w:r>
            <w:r>
              <w:rPr>
                <w:rFonts w:hint="eastAsia" w:ascii="仿宋" w:hAnsi="仿宋" w:eastAsia="仿宋" w:cs="仿宋"/>
                <w:bCs/>
                <w:color w:val="auto"/>
                <w:kern w:val="0"/>
              </w:rPr>
              <w:t>措施项目人工费合计-人工费的价差</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0.86</w:t>
            </w:r>
          </w:p>
        </w:tc>
        <w:tc>
          <w:tcPr>
            <w:tcW w:w="1223" w:type="dxa"/>
            <w:tcBorders>
              <w:top w:val="single" w:color="auto" w:sz="4" w:space="0"/>
              <w:left w:val="single" w:color="auto" w:sz="4" w:space="0"/>
              <w:bottom w:val="single" w:color="auto" w:sz="4" w:space="0"/>
              <w:right w:val="single" w:color="auto" w:sz="4" w:space="0"/>
            </w:tcBorders>
            <w:noWrap w:val="0"/>
            <w:vAlign w:val="top"/>
          </w:tcPr>
          <w:p>
            <w:pPr>
              <w:spacing w:line="2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医疗保险费</w:t>
            </w:r>
          </w:p>
        </w:tc>
        <w:tc>
          <w:tcPr>
            <w:tcW w:w="36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kern w:val="0"/>
              </w:rPr>
              <w:t>分部分项工程人工费合计</w:t>
            </w:r>
            <w:r>
              <w:rPr>
                <w:rFonts w:hint="eastAsia" w:ascii="仿宋" w:hAnsi="仿宋" w:eastAsia="仿宋" w:cs="仿宋"/>
                <w:bCs/>
                <w:color w:val="auto"/>
                <w:kern w:val="0"/>
                <w:lang w:val="en"/>
              </w:rPr>
              <w:t>+可计量</w:t>
            </w:r>
            <w:r>
              <w:rPr>
                <w:rFonts w:hint="eastAsia" w:ascii="仿宋" w:hAnsi="仿宋" w:eastAsia="仿宋" w:cs="仿宋"/>
                <w:bCs/>
                <w:color w:val="auto"/>
                <w:kern w:val="0"/>
              </w:rPr>
              <w:t>措施项目人工费合计-人工费的价差</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2.73</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生育保险费</w:t>
            </w:r>
          </w:p>
        </w:tc>
        <w:tc>
          <w:tcPr>
            <w:tcW w:w="36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kern w:val="0"/>
              </w:rPr>
            </w:pPr>
            <w:r>
              <w:rPr>
                <w:rFonts w:hint="eastAsia" w:ascii="仿宋" w:hAnsi="仿宋" w:eastAsia="仿宋" w:cs="仿宋"/>
                <w:bCs/>
                <w:color w:val="auto"/>
                <w:kern w:val="0"/>
              </w:rPr>
              <w:t>分部分项工程人工费合计</w:t>
            </w:r>
            <w:r>
              <w:rPr>
                <w:rFonts w:hint="eastAsia" w:ascii="仿宋" w:hAnsi="仿宋" w:eastAsia="仿宋" w:cs="仿宋"/>
                <w:bCs/>
                <w:color w:val="auto"/>
                <w:kern w:val="0"/>
                <w:lang w:val="en"/>
              </w:rPr>
              <w:t>+可计量</w:t>
            </w:r>
            <w:r>
              <w:rPr>
                <w:rFonts w:hint="eastAsia" w:ascii="仿宋" w:hAnsi="仿宋" w:eastAsia="仿宋" w:cs="仿宋"/>
                <w:bCs/>
                <w:color w:val="auto"/>
                <w:kern w:val="0"/>
              </w:rPr>
              <w:t>措施项目人工费合计-人工费的价差</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kern w:val="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0.34</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（1）</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工伤保险费</w:t>
            </w:r>
          </w:p>
        </w:tc>
        <w:tc>
          <w:tcPr>
            <w:tcW w:w="36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kern w:val="0"/>
              </w:rPr>
            </w:pPr>
            <w:r>
              <w:rPr>
                <w:rFonts w:hint="eastAsia" w:ascii="仿宋" w:hAnsi="仿宋" w:eastAsia="仿宋" w:cs="仿宋"/>
                <w:bCs/>
                <w:color w:val="auto"/>
                <w:kern w:val="0"/>
              </w:rPr>
              <w:t>分部分项工程人工费合计</w:t>
            </w:r>
            <w:r>
              <w:rPr>
                <w:rFonts w:hint="eastAsia" w:ascii="仿宋" w:hAnsi="仿宋" w:eastAsia="仿宋" w:cs="仿宋"/>
                <w:bCs/>
                <w:color w:val="auto"/>
                <w:kern w:val="0"/>
                <w:lang w:val="en"/>
              </w:rPr>
              <w:t>+可计量</w:t>
            </w:r>
            <w:r>
              <w:rPr>
                <w:rFonts w:hint="eastAsia" w:ascii="仿宋" w:hAnsi="仿宋" w:eastAsia="仿宋" w:cs="仿宋"/>
                <w:bCs/>
                <w:color w:val="auto"/>
                <w:kern w:val="0"/>
              </w:rPr>
              <w:t>措施项目人工费合计-人工费的价差</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kern w:val="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rPr>
              <w:t>0.42</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1.2</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住房公积金</w:t>
            </w:r>
          </w:p>
        </w:tc>
        <w:tc>
          <w:tcPr>
            <w:tcW w:w="36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auto"/>
              </w:rPr>
            </w:pPr>
            <w:r>
              <w:rPr>
                <w:rFonts w:hint="eastAsia" w:ascii="仿宋" w:hAnsi="仿宋" w:eastAsia="仿宋" w:cs="仿宋"/>
                <w:bCs/>
                <w:color w:val="auto"/>
                <w:kern w:val="0"/>
              </w:rPr>
              <w:t>分部分项工程人工费合计</w:t>
            </w:r>
            <w:r>
              <w:rPr>
                <w:rFonts w:hint="eastAsia" w:ascii="仿宋" w:hAnsi="仿宋" w:eastAsia="仿宋" w:cs="仿宋"/>
                <w:bCs/>
                <w:color w:val="auto"/>
                <w:kern w:val="0"/>
                <w:lang w:val="en"/>
              </w:rPr>
              <w:t>+可计量</w:t>
            </w:r>
            <w:r>
              <w:rPr>
                <w:rFonts w:hint="eastAsia" w:ascii="仿宋" w:hAnsi="仿宋" w:eastAsia="仿宋" w:cs="仿宋"/>
                <w:bCs/>
                <w:color w:val="auto"/>
                <w:kern w:val="0"/>
              </w:rPr>
              <w:t>措施项目人工费合计-人工费的价差</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2.08</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1.3</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工程排污费</w:t>
            </w:r>
          </w:p>
        </w:tc>
        <w:tc>
          <w:tcPr>
            <w:tcW w:w="36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kern w:val="0"/>
              </w:rPr>
              <w:t>分部分项工程人工费合计</w:t>
            </w:r>
            <w:r>
              <w:rPr>
                <w:rFonts w:hint="eastAsia" w:ascii="仿宋" w:hAnsi="仿宋" w:eastAsia="仿宋" w:cs="仿宋"/>
                <w:bCs/>
                <w:color w:val="auto"/>
                <w:kern w:val="0"/>
                <w:lang w:val="en"/>
              </w:rPr>
              <w:t>+可计量</w:t>
            </w:r>
            <w:r>
              <w:rPr>
                <w:rFonts w:hint="eastAsia" w:ascii="仿宋" w:hAnsi="仿宋" w:eastAsia="仿宋" w:cs="仿宋"/>
                <w:bCs/>
                <w:color w:val="auto"/>
                <w:kern w:val="0"/>
              </w:rPr>
              <w:t>措施项目人工费合计-人工费的价差</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0.28</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2</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bCs/>
                <w:color w:val="auto"/>
              </w:rPr>
              <w:t>增值税（销项税额）</w:t>
            </w:r>
          </w:p>
        </w:tc>
        <w:tc>
          <w:tcPr>
            <w:tcW w:w="36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kern w:val="0"/>
              </w:rPr>
              <w:t>分部分项工程费+措施项目费+其他项目费+规费-按规定不计税的设备金额</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9</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294" w:type="dxa"/>
            <w:gridSpan w:val="5"/>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rPr>
            </w:pPr>
            <w:r>
              <w:rPr>
                <w:rFonts w:hint="eastAsia" w:ascii="仿宋" w:hAnsi="仿宋" w:eastAsia="仿宋" w:cs="仿宋"/>
                <w:bCs/>
                <w:color w:val="auto"/>
              </w:rPr>
              <w:t>合  计</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color w:val="auto"/>
                <w:sz w:val="24"/>
              </w:rPr>
            </w:pPr>
          </w:p>
        </w:tc>
      </w:tr>
    </w:tbl>
    <w:p>
      <w:pPr>
        <w:rPr>
          <w:rFonts w:hint="eastAsia" w:ascii="仿宋" w:hAnsi="仿宋" w:eastAsia="仿宋" w:cs="仿宋"/>
          <w:b/>
          <w:color w:val="auto"/>
          <w:sz w:val="28"/>
          <w:szCs w:val="28"/>
          <w:highlight w:val="none"/>
        </w:rPr>
      </w:pPr>
      <w:r>
        <w:rPr>
          <w:rFonts w:hint="eastAsia" w:ascii="仿宋" w:hAnsi="仿宋" w:eastAsia="仿宋" w:cs="仿宋"/>
          <w:bCs/>
          <w:color w:val="auto"/>
          <w:sz w:val="28"/>
          <w:szCs w:val="28"/>
        </w:rPr>
        <w:br w:type="page"/>
      </w: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29、</w:t>
      </w:r>
      <w:r>
        <w:rPr>
          <w:rFonts w:hint="eastAsia" w:ascii="仿宋" w:hAnsi="仿宋" w:eastAsia="仿宋" w:cs="仿宋"/>
          <w:b/>
          <w:color w:val="auto"/>
          <w:sz w:val="28"/>
          <w:szCs w:val="28"/>
          <w:highlight w:val="none"/>
        </w:rPr>
        <w:t>资格性/符合性自查表</w:t>
      </w:r>
    </w:p>
    <w:tbl>
      <w:tblPr>
        <w:tblStyle w:val="25"/>
        <w:tblW w:w="9162"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37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13" w:hRule="exact"/>
          <w:jc w:val="center"/>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lang w:eastAsia="zh-CN"/>
              </w:rPr>
              <w:t>招标</w:t>
            </w:r>
            <w:r>
              <w:rPr>
                <w:rFonts w:hint="eastAsia" w:ascii="仿宋" w:hAnsi="仿宋" w:eastAsia="仿宋" w:cs="仿宋"/>
                <w:b/>
                <w:bCs/>
                <w:color w:val="auto"/>
                <w:spacing w:val="10"/>
                <w:sz w:val="24"/>
                <w:highlight w:val="none"/>
              </w:rPr>
              <w:t>文件要求</w:t>
            </w:r>
            <w:r>
              <w:rPr>
                <w:rFonts w:hint="eastAsia" w:ascii="仿宋" w:hAnsi="仿宋" w:eastAsia="仿宋" w:cs="仿宋"/>
                <w:color w:val="auto"/>
                <w:highlight w:val="none"/>
              </w:rPr>
              <w:br w:type="textWrapping"/>
            </w:r>
            <w:r>
              <w:rPr>
                <w:rFonts w:hint="eastAsia" w:ascii="仿宋" w:hAnsi="仿宋" w:eastAsia="仿宋" w:cs="仿宋"/>
                <w:color w:val="auto"/>
                <w:sz w:val="24"/>
                <w:highlight w:val="none"/>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自查结论</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资格性</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jc w:val="center"/>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第（）页</w:t>
            </w:r>
          </w:p>
        </w:tc>
      </w:tr>
    </w:tbl>
    <w:p>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注：1、以上材料将作为</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供应商有效性审核的重要内容之一，供应商必须严格按照其内容及序列要求在</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中对应如实提供，对资格性和符合性证明文件的任何缺漏和不符合项将会直接导致</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无效！供应商根据自查结论在对应的□打“√”。</w:t>
      </w:r>
    </w:p>
    <w:p>
      <w:pPr>
        <w:spacing w:line="360" w:lineRule="auto"/>
        <w:ind w:firstLine="480"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t>2、各供应商按此表格式填写，表格不够时可自行添加。</w:t>
      </w:r>
    </w:p>
    <w:p>
      <w:pPr>
        <w:spacing w:line="360" w:lineRule="auto"/>
        <w:rPr>
          <w:rFonts w:hint="eastAsia" w:ascii="仿宋" w:hAnsi="仿宋" w:eastAsia="仿宋" w:cs="仿宋"/>
          <w:b/>
          <w:bCs/>
          <w:color w:val="auto"/>
          <w:sz w:val="30"/>
          <w:szCs w:val="30"/>
          <w:highlight w:val="none"/>
        </w:rPr>
      </w:pPr>
    </w:p>
    <w:p>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p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第六章、评标标准（</w:t>
      </w:r>
      <w:r>
        <w:rPr>
          <w:rFonts w:hint="eastAsia" w:ascii="仿宋" w:hAnsi="仿宋" w:eastAsia="仿宋" w:cs="仿宋"/>
          <w:b/>
          <w:bCs/>
          <w:color w:val="auto"/>
          <w:sz w:val="30"/>
          <w:szCs w:val="30"/>
          <w:highlight w:val="none"/>
          <w:lang w:eastAsia="zh-CN"/>
        </w:rPr>
        <w:t>综合评分法</w:t>
      </w:r>
      <w:r>
        <w:rPr>
          <w:rFonts w:hint="eastAsia" w:ascii="仿宋" w:hAnsi="仿宋" w:eastAsia="仿宋" w:cs="仿宋"/>
          <w:b/>
          <w:bCs/>
          <w:color w:val="auto"/>
          <w:sz w:val="30"/>
          <w:szCs w:val="30"/>
          <w:highlight w:val="none"/>
        </w:rPr>
        <w:t>）</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一、初审</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、资格性审查</w:t>
      </w:r>
    </w:p>
    <w:p>
      <w:pPr>
        <w:spacing w:line="360" w:lineRule="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rPr>
        <w:t>（第1</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2、3</w:t>
      </w:r>
      <w:r>
        <w:rPr>
          <w:rFonts w:hint="eastAsia" w:ascii="仿宋" w:hAnsi="仿宋" w:eastAsia="仿宋" w:cs="仿宋"/>
          <w:b/>
          <w:bCs/>
          <w:color w:val="auto"/>
          <w:sz w:val="24"/>
          <w:highlight w:val="none"/>
        </w:rPr>
        <w:t>包段）</w:t>
      </w:r>
    </w:p>
    <w:tbl>
      <w:tblPr>
        <w:tblStyle w:val="25"/>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047"/>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07" w:type="dxa"/>
            <w:noWrap w:val="0"/>
            <w:vAlign w:val="center"/>
          </w:tcPr>
          <w:p>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7047" w:type="dxa"/>
            <w:noWrap w:val="0"/>
            <w:vAlign w:val="center"/>
          </w:tcPr>
          <w:p>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评审因素</w:t>
            </w:r>
          </w:p>
        </w:tc>
        <w:tc>
          <w:tcPr>
            <w:tcW w:w="2225" w:type="dxa"/>
            <w:noWrap w:val="0"/>
            <w:vAlign w:val="center"/>
          </w:tcPr>
          <w:p>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noWrap w:val="0"/>
            <w:vAlign w:val="center"/>
          </w:tcPr>
          <w:p>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7047"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供应商须符合《中华人民共和国政府采购法》第二十二条：</w:t>
            </w:r>
          </w:p>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(一)具有独立承担民事责任的能力;</w:t>
            </w:r>
          </w:p>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(二)具有良好的商业信誉和健全的财务会计制度;</w:t>
            </w:r>
          </w:p>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(三)具有履行合同所必需的设备和专业技术能力;</w:t>
            </w:r>
          </w:p>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(四)有依法缴纳税收和社会保障资金的良好记录;</w:t>
            </w:r>
          </w:p>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(五)参加政府采购活动前三年内，在经营活动中没有重大违法记录;</w:t>
            </w:r>
          </w:p>
        </w:tc>
        <w:tc>
          <w:tcPr>
            <w:tcW w:w="2225"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07" w:type="dxa"/>
            <w:noWrap w:val="0"/>
            <w:vAlign w:val="center"/>
          </w:tcPr>
          <w:p>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7047"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具有独立法人资格并依法取得营业执照且营业执照在有效期内，并具有相应的经营范围；</w:t>
            </w:r>
          </w:p>
        </w:tc>
        <w:tc>
          <w:tcPr>
            <w:tcW w:w="2225"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符合本招标文件规定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07" w:type="dxa"/>
            <w:noWrap w:val="0"/>
            <w:vAlign w:val="center"/>
          </w:tcPr>
          <w:p>
            <w:pPr>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70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具有建设行政主管部门核发的建筑工程施工总承包叁级及以上资质；以及有效的安全生产许可证</w:t>
            </w:r>
          </w:p>
        </w:tc>
        <w:tc>
          <w:tcPr>
            <w:tcW w:w="2225"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符合本招标文件规定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707" w:type="dxa"/>
            <w:noWrap w:val="0"/>
            <w:vAlign w:val="center"/>
          </w:tcPr>
          <w:p>
            <w:pPr>
              <w:spacing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0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拟派项目负责人应具有建筑工程专业贰级及以上建造师证书,并取得有效期内的安全生产考核合格证（A类或B类）</w:t>
            </w:r>
          </w:p>
        </w:tc>
        <w:tc>
          <w:tcPr>
            <w:tcW w:w="2225"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符合本招标文件规定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707" w:type="dxa"/>
            <w:noWrap w:val="0"/>
            <w:vAlign w:val="center"/>
          </w:tcPr>
          <w:p>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w:t>
            </w:r>
          </w:p>
        </w:tc>
        <w:tc>
          <w:tcPr>
            <w:tcW w:w="70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采购活动前三年内，在经营活动中没有重大违法记录(受行政主管部门的处罚不能参加投标)，及“信用中国”网站（www.creditchina.gov.cn）中国政府采购网（www.ccgp.gov.cn）无违法违规行为的查询纪录</w:t>
            </w:r>
          </w:p>
        </w:tc>
        <w:tc>
          <w:tcPr>
            <w:tcW w:w="2225"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符合本招标文件规定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707" w:type="dxa"/>
            <w:noWrap w:val="0"/>
            <w:vAlign w:val="center"/>
          </w:tcPr>
          <w:p>
            <w:pPr>
              <w:spacing w:line="240" w:lineRule="auto"/>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w:t>
            </w:r>
          </w:p>
        </w:tc>
        <w:tc>
          <w:tcPr>
            <w:tcW w:w="7047"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供应商为中小企业</w:t>
            </w:r>
          </w:p>
        </w:tc>
        <w:tc>
          <w:tcPr>
            <w:tcW w:w="2225" w:type="dxa"/>
            <w:noWrap w:val="0"/>
            <w:vAlign w:val="center"/>
          </w:tcPr>
          <w:p>
            <w:pPr>
              <w:spacing w:line="240"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不接受联合体供应商</w:t>
            </w:r>
          </w:p>
        </w:tc>
      </w:tr>
    </w:tbl>
    <w:p>
      <w:pPr>
        <w:numPr>
          <w:ilvl w:val="0"/>
          <w:numId w:val="0"/>
        </w:numPr>
        <w:rPr>
          <w:rFonts w:hint="eastAsia" w:ascii="仿宋" w:hAnsi="仿宋" w:eastAsia="仿宋" w:cs="仿宋"/>
          <w:b/>
          <w:bCs/>
          <w:color w:val="auto"/>
          <w:kern w:val="2"/>
          <w:sz w:val="24"/>
          <w:szCs w:val="24"/>
          <w:highlight w:val="none"/>
          <w:lang w:val="en-US" w:eastAsia="zh-CN" w:bidi="ar-SA"/>
        </w:rPr>
      </w:pPr>
    </w:p>
    <w:p>
      <w:pPr>
        <w:numPr>
          <w:ilvl w:val="0"/>
          <w:numId w:val="0"/>
        </w:numPr>
        <w:rPr>
          <w:rFonts w:hint="eastAsia" w:ascii="仿宋" w:hAnsi="仿宋" w:eastAsia="仿宋" w:cs="仿宋"/>
          <w:b/>
          <w:bCs/>
          <w:color w:val="auto"/>
          <w:kern w:val="2"/>
          <w:sz w:val="24"/>
          <w:szCs w:val="24"/>
          <w:highlight w:val="none"/>
          <w:lang w:val="en-US" w:eastAsia="zh-CN" w:bidi="ar-SA"/>
        </w:rPr>
      </w:pPr>
    </w:p>
    <w:p>
      <w:pPr>
        <w:numPr>
          <w:ilvl w:val="0"/>
          <w:numId w:val="0"/>
        </w:numPr>
        <w:rPr>
          <w:rFonts w:hint="eastAsia" w:ascii="仿宋" w:hAnsi="仿宋" w:eastAsia="仿宋" w:cs="仿宋"/>
          <w:b/>
          <w:bCs/>
          <w:color w:val="auto"/>
          <w:kern w:val="2"/>
          <w:sz w:val="24"/>
          <w:szCs w:val="24"/>
          <w:highlight w:val="none"/>
          <w:lang w:val="en-US" w:eastAsia="zh-CN" w:bidi="ar-SA"/>
        </w:rPr>
      </w:pPr>
    </w:p>
    <w:p>
      <w:pPr>
        <w:numPr>
          <w:ilvl w:val="0"/>
          <w:numId w:val="0"/>
        </w:numPr>
        <w:rPr>
          <w:rFonts w:hint="eastAsia" w:ascii="仿宋" w:hAnsi="仿宋" w:eastAsia="仿宋" w:cs="仿宋"/>
          <w:b/>
          <w:bCs/>
          <w:color w:val="auto"/>
          <w:kern w:val="2"/>
          <w:sz w:val="24"/>
          <w:szCs w:val="24"/>
          <w:highlight w:val="none"/>
          <w:lang w:val="en-US" w:eastAsia="zh-CN" w:bidi="ar-SA"/>
        </w:rPr>
      </w:pPr>
    </w:p>
    <w:p>
      <w:pPr>
        <w:numPr>
          <w:ilvl w:val="0"/>
          <w:numId w:val="0"/>
        </w:numPr>
        <w:rPr>
          <w:rFonts w:hint="eastAsia" w:ascii="仿宋" w:hAnsi="仿宋" w:eastAsia="仿宋" w:cs="仿宋"/>
          <w:b/>
          <w:bCs/>
          <w:color w:val="auto"/>
          <w:kern w:val="2"/>
          <w:sz w:val="24"/>
          <w:szCs w:val="24"/>
          <w:highlight w:val="none"/>
          <w:lang w:val="en-US" w:eastAsia="zh-CN" w:bidi="ar-SA"/>
        </w:rPr>
      </w:pPr>
    </w:p>
    <w:p>
      <w:pPr>
        <w:numPr>
          <w:ilvl w:val="0"/>
          <w:numId w:val="0"/>
        </w:numPr>
        <w:rPr>
          <w:rFonts w:hint="eastAsia" w:ascii="仿宋" w:hAnsi="仿宋" w:eastAsia="仿宋" w:cs="仿宋"/>
          <w:b/>
          <w:bCs/>
          <w:color w:val="auto"/>
          <w:kern w:val="2"/>
          <w:sz w:val="24"/>
          <w:szCs w:val="24"/>
          <w:highlight w:val="none"/>
          <w:lang w:val="en-US" w:eastAsia="zh-CN" w:bidi="ar-SA"/>
        </w:rPr>
      </w:pPr>
    </w:p>
    <w:p>
      <w:pPr>
        <w:numPr>
          <w:ilvl w:val="0"/>
          <w:numId w:val="0"/>
        </w:numPr>
        <w:rPr>
          <w:rFonts w:hint="eastAsia" w:ascii="仿宋" w:hAnsi="仿宋" w:eastAsia="仿宋" w:cs="仿宋"/>
          <w:b/>
          <w:bCs/>
          <w:color w:val="auto"/>
          <w:kern w:val="2"/>
          <w:sz w:val="24"/>
          <w:szCs w:val="24"/>
          <w:highlight w:val="none"/>
          <w:lang w:val="en-US" w:eastAsia="zh-CN" w:bidi="ar-SA"/>
        </w:rPr>
      </w:pPr>
    </w:p>
    <w:p>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pPr>
        <w:pStyle w:val="2"/>
        <w:keepNext/>
        <w:keepLines/>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3、符合性审查</w:t>
      </w:r>
    </w:p>
    <w:tbl>
      <w:tblPr>
        <w:tblStyle w:val="25"/>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51"/>
        <w:gridCol w:w="1971"/>
        <w:gridCol w:w="6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16" w:type="dxa"/>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3022" w:type="dxa"/>
            <w:gridSpan w:val="2"/>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评审因素</w:t>
            </w:r>
          </w:p>
        </w:tc>
        <w:tc>
          <w:tcPr>
            <w:tcW w:w="6219" w:type="dxa"/>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6" w:type="dxa"/>
            <w:vMerge w:val="restart"/>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051" w:type="dxa"/>
            <w:vMerge w:val="restart"/>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有效性审查</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szCs w:val="21"/>
                <w:lang w:val="zh-CN"/>
              </w:rPr>
              <w:t>响应</w:t>
            </w:r>
            <w:r>
              <w:rPr>
                <w:rFonts w:hint="eastAsia" w:ascii="仿宋" w:hAnsi="仿宋" w:eastAsia="仿宋" w:cs="仿宋"/>
                <w:color w:val="auto"/>
                <w:szCs w:val="21"/>
                <w:highlight w:val="none"/>
                <w:lang w:val="zh-CN"/>
              </w:rPr>
              <w:t>文件</w:t>
            </w:r>
            <w:r>
              <w:rPr>
                <w:rFonts w:hint="eastAsia" w:ascii="仿宋" w:hAnsi="仿宋" w:eastAsia="仿宋" w:cs="仿宋"/>
                <w:color w:val="auto"/>
                <w:szCs w:val="21"/>
                <w:highlight w:val="none"/>
              </w:rPr>
              <w:t>签署</w:t>
            </w:r>
          </w:p>
        </w:tc>
        <w:tc>
          <w:tcPr>
            <w:tcW w:w="62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zh-CN"/>
              </w:rPr>
              <w:t>投标文件</w:t>
            </w:r>
            <w:r>
              <w:rPr>
                <w:rFonts w:hint="eastAsia" w:ascii="仿宋" w:hAnsi="仿宋" w:eastAsia="仿宋" w:cs="仿宋"/>
                <w:color w:val="auto"/>
                <w:szCs w:val="21"/>
                <w:highlight w:val="none"/>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16"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1"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法定代表人身份证明及授权委托书</w:t>
            </w:r>
          </w:p>
        </w:tc>
        <w:tc>
          <w:tcPr>
            <w:tcW w:w="62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法定代表人身份证明及授权委托书有效，且符合</w:t>
            </w:r>
            <w:r>
              <w:rPr>
                <w:rFonts w:hint="eastAsia" w:ascii="仿宋" w:hAnsi="仿宋" w:eastAsia="仿宋" w:cs="仿宋"/>
                <w:color w:val="auto"/>
                <w:szCs w:val="21"/>
                <w:highlight w:val="none"/>
                <w:lang w:eastAsia="zh-CN"/>
              </w:rPr>
              <w:t>招标</w:t>
            </w:r>
            <w:r>
              <w:rPr>
                <w:rFonts w:hint="eastAsia" w:ascii="仿宋" w:hAnsi="仿宋" w:eastAsia="仿宋" w:cs="仿宋"/>
                <w:color w:val="auto"/>
                <w:szCs w:val="21"/>
                <w:highlight w:val="none"/>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16" w:type="dxa"/>
            <w:vMerge w:val="restart"/>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051" w:type="dxa"/>
            <w:vMerge w:val="restart"/>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完整性审查</w:t>
            </w:r>
          </w:p>
        </w:tc>
        <w:tc>
          <w:tcPr>
            <w:tcW w:w="1971" w:type="dxa"/>
            <w:vAlign w:val="center"/>
          </w:tcPr>
          <w:p>
            <w:pPr>
              <w:spacing w:line="500" w:lineRule="exact"/>
              <w:rPr>
                <w:rFonts w:hint="eastAsia" w:ascii="仿宋" w:hAnsi="仿宋" w:eastAsia="仿宋" w:cs="仿宋"/>
                <w:color w:val="auto"/>
                <w:kern w:val="0"/>
                <w:szCs w:val="21"/>
                <w:highlight w:val="none"/>
              </w:rPr>
            </w:pPr>
            <w:r>
              <w:rPr>
                <w:rFonts w:hint="eastAsia" w:ascii="仿宋" w:hAnsi="仿宋" w:eastAsia="仿宋" w:cs="仿宋"/>
                <w:szCs w:val="21"/>
                <w:lang w:val="zh-CN"/>
              </w:rPr>
              <w:t>响应文件份数</w:t>
            </w:r>
          </w:p>
        </w:tc>
        <w:tc>
          <w:tcPr>
            <w:tcW w:w="62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电子响应文件符合竞争性磋商文件要求。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16"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1"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971" w:type="dxa"/>
            <w:vAlign w:val="center"/>
          </w:tcPr>
          <w:p>
            <w:pPr>
              <w:spacing w:line="500" w:lineRule="exact"/>
              <w:rPr>
                <w:rFonts w:hint="eastAsia" w:ascii="仿宋" w:hAnsi="仿宋" w:eastAsia="仿宋" w:cs="仿宋"/>
                <w:color w:val="auto"/>
                <w:szCs w:val="21"/>
                <w:highlight w:val="none"/>
                <w:lang w:val="zh-CN"/>
              </w:rPr>
            </w:pPr>
            <w:r>
              <w:rPr>
                <w:rFonts w:hint="eastAsia" w:ascii="仿宋" w:hAnsi="仿宋" w:eastAsia="仿宋" w:cs="仿宋"/>
                <w:szCs w:val="21"/>
                <w:lang w:val="zh-CN"/>
              </w:rPr>
              <w:t>响应文件内容</w:t>
            </w:r>
          </w:p>
        </w:tc>
        <w:tc>
          <w:tcPr>
            <w:tcW w:w="62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Cs w:val="21"/>
                <w:highlight w:val="none"/>
                <w:lang w:val="zh-CN"/>
              </w:rPr>
            </w:pPr>
            <w:r>
              <w:rPr>
                <w:rFonts w:hint="eastAsia" w:ascii="仿宋" w:hAnsi="仿宋" w:eastAsia="仿宋" w:cs="仿宋"/>
                <w:color w:val="auto"/>
                <w:kern w:val="0"/>
                <w:szCs w:val="21"/>
                <w:highlight w:val="none"/>
              </w:rPr>
              <w:t>响应</w:t>
            </w:r>
            <w:r>
              <w:rPr>
                <w:rFonts w:hint="eastAsia" w:ascii="仿宋" w:hAnsi="仿宋" w:eastAsia="仿宋" w:cs="仿宋"/>
                <w:color w:val="auto"/>
                <w:szCs w:val="21"/>
                <w:highlight w:val="none"/>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16" w:type="dxa"/>
            <w:vMerge w:val="restart"/>
            <w:vAlign w:val="center"/>
          </w:tcPr>
          <w:p>
            <w:pPr>
              <w:spacing w:line="50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051" w:type="dxa"/>
            <w:vMerge w:val="restart"/>
            <w:vAlign w:val="center"/>
          </w:tcPr>
          <w:p>
            <w:pPr>
              <w:spacing w:line="500" w:lineRule="exact"/>
              <w:jc w:val="center"/>
              <w:rPr>
                <w:rFonts w:hint="eastAsia" w:ascii="仿宋" w:hAnsi="仿宋" w:eastAsia="仿宋" w:cs="仿宋"/>
                <w:color w:val="auto"/>
                <w:szCs w:val="21"/>
                <w:highlight w:val="none"/>
                <w:lang w:val="zh-CN"/>
              </w:rPr>
            </w:pP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文件的响应程度审查</w:t>
            </w:r>
          </w:p>
        </w:tc>
        <w:tc>
          <w:tcPr>
            <w:tcW w:w="1971" w:type="dxa"/>
            <w:vAlign w:val="center"/>
          </w:tcPr>
          <w:p>
            <w:pPr>
              <w:spacing w:line="500" w:lineRule="exact"/>
              <w:rPr>
                <w:rFonts w:hint="eastAsia" w:ascii="仿宋" w:hAnsi="仿宋" w:eastAsia="仿宋" w:cs="仿宋"/>
                <w:color w:val="auto"/>
                <w:kern w:val="0"/>
                <w:szCs w:val="21"/>
                <w:highlight w:val="none"/>
              </w:rPr>
            </w:pPr>
            <w:r>
              <w:rPr>
                <w:rFonts w:hint="eastAsia" w:ascii="仿宋" w:hAnsi="仿宋" w:eastAsia="仿宋" w:cs="仿宋"/>
                <w:szCs w:val="21"/>
                <w:lang w:val="zh-CN"/>
              </w:rPr>
              <w:t>响应文件</w:t>
            </w:r>
            <w:r>
              <w:rPr>
                <w:rFonts w:hint="eastAsia" w:ascii="仿宋" w:hAnsi="仿宋" w:eastAsia="仿宋" w:cs="仿宋"/>
                <w:kern w:val="0"/>
                <w:szCs w:val="21"/>
              </w:rPr>
              <w:t>内容</w:t>
            </w:r>
          </w:p>
        </w:tc>
        <w:tc>
          <w:tcPr>
            <w:tcW w:w="6219" w:type="dxa"/>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w:t>
            </w:r>
            <w:r>
              <w:rPr>
                <w:rFonts w:hint="eastAsia" w:ascii="仿宋" w:hAnsi="仿宋" w:eastAsia="仿宋" w:cs="仿宋"/>
                <w:color w:val="auto"/>
                <w:kern w:val="0"/>
                <w:sz w:val="21"/>
                <w:szCs w:val="21"/>
                <w:highlight w:val="none"/>
                <w:lang w:eastAsia="zh-CN"/>
              </w:rPr>
              <w:t>招标</w:t>
            </w:r>
            <w:r>
              <w:rPr>
                <w:rFonts w:hint="eastAsia" w:ascii="仿宋" w:hAnsi="仿宋" w:eastAsia="仿宋" w:cs="仿宋"/>
                <w:color w:val="auto"/>
                <w:kern w:val="0"/>
                <w:sz w:val="21"/>
                <w:szCs w:val="21"/>
                <w:highlight w:val="none"/>
              </w:rPr>
              <w:t>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6"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1" w:type="dxa"/>
            <w:vMerge w:val="continue"/>
            <w:vAlign w:val="center"/>
          </w:tcPr>
          <w:p>
            <w:pPr>
              <w:spacing w:line="500" w:lineRule="exact"/>
              <w:rPr>
                <w:rFonts w:hint="eastAsia" w:ascii="仿宋" w:hAnsi="仿宋" w:eastAsia="仿宋" w:cs="仿宋"/>
                <w:color w:val="auto"/>
                <w:kern w:val="0"/>
                <w:szCs w:val="21"/>
                <w:highlight w:val="none"/>
              </w:rPr>
            </w:pP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质量技术</w:t>
            </w:r>
          </w:p>
        </w:tc>
        <w:tc>
          <w:tcPr>
            <w:tcW w:w="62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6"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1" w:type="dxa"/>
            <w:vMerge w:val="continue"/>
            <w:vAlign w:val="center"/>
          </w:tcPr>
          <w:p>
            <w:pPr>
              <w:spacing w:line="500" w:lineRule="exact"/>
              <w:rPr>
                <w:rFonts w:hint="eastAsia" w:ascii="仿宋" w:hAnsi="仿宋" w:eastAsia="仿宋" w:cs="仿宋"/>
                <w:color w:val="auto"/>
                <w:kern w:val="0"/>
                <w:szCs w:val="21"/>
                <w:highlight w:val="none"/>
              </w:rPr>
            </w:pP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完成期限</w:t>
            </w:r>
          </w:p>
        </w:tc>
        <w:tc>
          <w:tcPr>
            <w:tcW w:w="62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w:t>
            </w:r>
            <w:r>
              <w:rPr>
                <w:rFonts w:hint="eastAsia" w:ascii="仿宋" w:hAnsi="仿宋" w:eastAsia="仿宋" w:cs="仿宋"/>
                <w:color w:val="auto"/>
                <w:szCs w:val="21"/>
                <w:highlight w:val="none"/>
                <w:lang w:val="zh-CN"/>
              </w:rPr>
              <w:t>规定</w:t>
            </w:r>
            <w:r>
              <w:rPr>
                <w:rFonts w:hint="eastAsia" w:ascii="仿宋" w:hAnsi="仿宋" w:eastAsia="仿宋" w:cs="仿宋"/>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16"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1" w:type="dxa"/>
            <w:vMerge w:val="continue"/>
            <w:vAlign w:val="center"/>
          </w:tcPr>
          <w:p>
            <w:pPr>
              <w:spacing w:line="500" w:lineRule="exact"/>
              <w:rPr>
                <w:rFonts w:hint="eastAsia" w:ascii="仿宋" w:hAnsi="仿宋" w:eastAsia="仿宋" w:cs="仿宋"/>
                <w:color w:val="auto"/>
                <w:kern w:val="0"/>
                <w:szCs w:val="21"/>
                <w:highlight w:val="none"/>
              </w:rPr>
            </w:pP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w:t>
            </w:r>
          </w:p>
        </w:tc>
        <w:tc>
          <w:tcPr>
            <w:tcW w:w="62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w:t>
            </w:r>
            <w:r>
              <w:rPr>
                <w:rFonts w:hint="eastAsia" w:ascii="仿宋" w:hAnsi="仿宋" w:eastAsia="仿宋" w:cs="仿宋"/>
                <w:color w:val="auto"/>
                <w:szCs w:val="21"/>
                <w:highlight w:val="none"/>
                <w:lang w:val="zh-CN"/>
              </w:rPr>
              <w:t>规定</w:t>
            </w:r>
            <w:r>
              <w:rPr>
                <w:rFonts w:hint="eastAsia" w:ascii="仿宋" w:hAnsi="仿宋" w:eastAsia="仿宋" w:cs="仿宋"/>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16" w:type="dxa"/>
            <w:vMerge w:val="continue"/>
            <w:vAlign w:val="center"/>
          </w:tcPr>
          <w:p>
            <w:pPr>
              <w:spacing w:line="500" w:lineRule="exact"/>
              <w:jc w:val="center"/>
              <w:rPr>
                <w:rFonts w:hint="eastAsia" w:ascii="仿宋" w:hAnsi="仿宋" w:eastAsia="仿宋" w:cs="仿宋"/>
                <w:color w:val="auto"/>
                <w:kern w:val="0"/>
                <w:szCs w:val="21"/>
                <w:highlight w:val="none"/>
              </w:rPr>
            </w:pPr>
          </w:p>
        </w:tc>
        <w:tc>
          <w:tcPr>
            <w:tcW w:w="1051" w:type="dxa"/>
            <w:vMerge w:val="continue"/>
            <w:vAlign w:val="center"/>
          </w:tcPr>
          <w:p>
            <w:pPr>
              <w:spacing w:line="500" w:lineRule="exact"/>
              <w:rPr>
                <w:rFonts w:hint="eastAsia" w:ascii="仿宋" w:hAnsi="仿宋" w:eastAsia="仿宋" w:cs="仿宋"/>
                <w:color w:val="auto"/>
                <w:szCs w:val="21"/>
                <w:highlight w:val="none"/>
                <w:lang w:val="zh-CN"/>
              </w:rPr>
            </w:pP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szCs w:val="21"/>
                <w:lang w:val="zh-CN"/>
              </w:rPr>
              <w:t>响应</w:t>
            </w:r>
            <w:r>
              <w:rPr>
                <w:rFonts w:hint="eastAsia" w:ascii="仿宋" w:hAnsi="仿宋" w:eastAsia="仿宋" w:cs="仿宋"/>
                <w:color w:val="auto"/>
                <w:szCs w:val="21"/>
                <w:highlight w:val="none"/>
                <w:lang w:val="zh-CN"/>
              </w:rPr>
              <w:t>文件</w:t>
            </w:r>
            <w:r>
              <w:rPr>
                <w:rFonts w:hint="eastAsia" w:ascii="仿宋" w:hAnsi="仿宋" w:eastAsia="仿宋" w:cs="仿宋"/>
                <w:color w:val="auto"/>
                <w:kern w:val="0"/>
                <w:szCs w:val="21"/>
                <w:highlight w:val="none"/>
              </w:rPr>
              <w:t>有效期</w:t>
            </w:r>
          </w:p>
        </w:tc>
        <w:tc>
          <w:tcPr>
            <w:tcW w:w="6219"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w:t>
            </w:r>
            <w:r>
              <w:rPr>
                <w:rFonts w:hint="eastAsia" w:ascii="仿宋" w:hAnsi="仿宋" w:eastAsia="仿宋" w:cs="仿宋"/>
                <w:color w:val="auto"/>
                <w:szCs w:val="21"/>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16" w:type="dxa"/>
            <w:vMerge w:val="continue"/>
            <w:tcBorders>
              <w:bottom w:val="single" w:color="auto" w:sz="4" w:space="0"/>
            </w:tcBorders>
            <w:vAlign w:val="center"/>
          </w:tcPr>
          <w:p>
            <w:pPr>
              <w:spacing w:line="500" w:lineRule="exact"/>
              <w:jc w:val="center"/>
              <w:rPr>
                <w:rFonts w:hint="eastAsia" w:ascii="仿宋" w:hAnsi="仿宋" w:eastAsia="仿宋" w:cs="仿宋"/>
                <w:color w:val="auto"/>
                <w:kern w:val="0"/>
                <w:szCs w:val="21"/>
                <w:highlight w:val="none"/>
              </w:rPr>
            </w:pPr>
          </w:p>
        </w:tc>
        <w:tc>
          <w:tcPr>
            <w:tcW w:w="1051" w:type="dxa"/>
            <w:vMerge w:val="continue"/>
            <w:tcBorders>
              <w:bottom w:val="single" w:color="auto" w:sz="4" w:space="0"/>
            </w:tcBorders>
            <w:vAlign w:val="center"/>
          </w:tcPr>
          <w:p>
            <w:pPr>
              <w:spacing w:line="500" w:lineRule="exact"/>
              <w:rPr>
                <w:rFonts w:hint="eastAsia" w:ascii="仿宋" w:hAnsi="仿宋" w:eastAsia="仿宋" w:cs="仿宋"/>
                <w:color w:val="auto"/>
                <w:szCs w:val="21"/>
                <w:highlight w:val="none"/>
                <w:lang w:val="zh-CN"/>
              </w:rPr>
            </w:pPr>
          </w:p>
        </w:tc>
        <w:tc>
          <w:tcPr>
            <w:tcW w:w="1971" w:type="dxa"/>
            <w:tcBorders>
              <w:bottom w:val="single" w:color="auto" w:sz="4" w:space="0"/>
            </w:tcBorders>
            <w:vAlign w:val="center"/>
          </w:tcPr>
          <w:p>
            <w:pPr>
              <w:spacing w:line="50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w:t>
            </w:r>
          </w:p>
        </w:tc>
        <w:tc>
          <w:tcPr>
            <w:tcW w:w="6219" w:type="dxa"/>
            <w:tcBorders>
              <w:bottom w:val="single" w:color="auto" w:sz="4" w:space="0"/>
            </w:tcBorders>
            <w:vAlign w:val="center"/>
          </w:tcPr>
          <w:p>
            <w:pPr>
              <w:spacing w:line="50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文件相关</w:t>
            </w:r>
            <w:r>
              <w:rPr>
                <w:rFonts w:hint="eastAsia" w:ascii="仿宋" w:hAnsi="仿宋" w:eastAsia="仿宋" w:cs="仿宋"/>
                <w:color w:val="auto"/>
                <w:szCs w:val="21"/>
                <w:highlight w:val="none"/>
                <w:lang w:val="zh-CN"/>
              </w:rPr>
              <w:t>规定。</w:t>
            </w:r>
          </w:p>
        </w:tc>
      </w:tr>
    </w:tbl>
    <w:p>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注：以上评审内容，有一项不通过者，视为供应商初步评审不通过，未通过初审的其</w:t>
      </w:r>
      <w:r>
        <w:rPr>
          <w:rFonts w:hint="eastAsia" w:ascii="仿宋" w:hAnsi="仿宋" w:eastAsia="仿宋" w:cs="仿宋"/>
          <w:b/>
          <w:color w:val="auto"/>
          <w:sz w:val="21"/>
          <w:szCs w:val="21"/>
          <w:highlight w:val="none"/>
          <w:lang w:eastAsia="zh-CN"/>
        </w:rPr>
        <w:t>投标文件</w:t>
      </w:r>
      <w:r>
        <w:rPr>
          <w:rFonts w:hint="eastAsia" w:ascii="仿宋" w:hAnsi="仿宋" w:eastAsia="仿宋" w:cs="仿宋"/>
          <w:b/>
          <w:color w:val="auto"/>
          <w:sz w:val="21"/>
          <w:szCs w:val="21"/>
          <w:highlight w:val="none"/>
        </w:rPr>
        <w:t>将按照无效</w:t>
      </w:r>
      <w:r>
        <w:rPr>
          <w:rFonts w:hint="eastAsia" w:ascii="仿宋" w:hAnsi="仿宋" w:eastAsia="仿宋" w:cs="仿宋"/>
          <w:b/>
          <w:color w:val="auto"/>
          <w:sz w:val="21"/>
          <w:szCs w:val="21"/>
          <w:highlight w:val="none"/>
          <w:lang w:eastAsia="zh-CN"/>
        </w:rPr>
        <w:t>投标</w:t>
      </w:r>
      <w:r>
        <w:rPr>
          <w:rFonts w:hint="eastAsia" w:ascii="仿宋" w:hAnsi="仿宋" w:eastAsia="仿宋" w:cs="仿宋"/>
          <w:b/>
          <w:color w:val="auto"/>
          <w:sz w:val="21"/>
          <w:szCs w:val="21"/>
          <w:highlight w:val="none"/>
        </w:rPr>
        <w:t>处理。</w:t>
      </w:r>
    </w:p>
    <w:p>
      <w:pPr>
        <w:rPr>
          <w:rFonts w:hint="eastAsia" w:ascii="仿宋" w:hAnsi="仿宋" w:eastAsia="仿宋" w:cs="仿宋"/>
          <w:b/>
          <w:color w:val="auto"/>
          <w:sz w:val="21"/>
          <w:szCs w:val="21"/>
          <w:highlight w:val="none"/>
        </w:rPr>
      </w:pPr>
    </w:p>
    <w:p>
      <w:pPr>
        <w:pStyle w:val="4"/>
        <w:rPr>
          <w:rFonts w:hint="eastAsia"/>
          <w:color w:val="auto"/>
          <w:lang w:val="zh-CN" w:eastAsia="zh-CN"/>
        </w:rPr>
      </w:pPr>
    </w:p>
    <w:p>
      <w:pPr>
        <w:rPr>
          <w:rFonts w:hint="eastAsia"/>
          <w:color w:val="auto"/>
          <w:lang w:val="zh-CN"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auto"/>
          <w:kern w:val="2"/>
          <w:sz w:val="21"/>
          <w:szCs w:val="21"/>
          <w:highlight w:val="none"/>
          <w:lang w:val="zh-CN" w:eastAsia="zh-CN" w:bidi="zh-CN"/>
        </w:rPr>
      </w:pP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sz w:val="24"/>
        </w:rPr>
      </w:pPr>
      <w:r>
        <w:rPr>
          <w:rFonts w:hint="eastAsia" w:ascii="仿宋" w:hAnsi="仿宋" w:eastAsia="仿宋" w:cs="仿宋"/>
          <w:b/>
          <w:sz w:val="24"/>
          <w:lang w:eastAsia="zh-CN"/>
        </w:rPr>
        <w:t>二、</w:t>
      </w:r>
      <w:r>
        <w:rPr>
          <w:rFonts w:hint="eastAsia" w:ascii="仿宋" w:hAnsi="仿宋" w:eastAsia="仿宋" w:cs="仿宋"/>
          <w:b/>
          <w:sz w:val="24"/>
        </w:rPr>
        <w:t>评分标准</w:t>
      </w:r>
      <w:r>
        <w:rPr>
          <w:rFonts w:hint="eastAsia" w:ascii="仿宋" w:hAnsi="仿宋" w:eastAsia="仿宋" w:cs="仿宋"/>
          <w:b/>
          <w:bCs/>
          <w:sz w:val="24"/>
        </w:rPr>
        <w:t xml:space="preserve"> </w:t>
      </w:r>
    </w:p>
    <w:tbl>
      <w:tblPr>
        <w:tblStyle w:val="25"/>
        <w:tblpPr w:leftFromText="180" w:rightFromText="180" w:vertAnchor="text" w:horzAnchor="page" w:tblpX="1456" w:tblpY="1007"/>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095"/>
        <w:gridCol w:w="7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分值</w:t>
            </w:r>
          </w:p>
        </w:tc>
        <w:tc>
          <w:tcPr>
            <w:tcW w:w="7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30分</w:t>
            </w:r>
          </w:p>
        </w:tc>
        <w:tc>
          <w:tcPr>
            <w:tcW w:w="705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eastAsia" w:ascii="仿宋" w:hAnsi="仿宋" w:eastAsia="仿宋" w:cs="仿宋"/>
                <w:bCs/>
                <w:color w:val="auto"/>
                <w:lang w:val="en-US" w:eastAsia="zh-CN"/>
              </w:rPr>
            </w:pPr>
            <w:r>
              <w:rPr>
                <w:rFonts w:hint="eastAsia" w:ascii="仿宋" w:hAnsi="仿宋" w:eastAsia="仿宋" w:cs="仿宋"/>
                <w:bCs/>
                <w:color w:val="auto"/>
                <w:lang w:val="en-US" w:eastAsia="zh-CN"/>
              </w:rPr>
              <w:t>以满足招标文件要求且投标价格最低的投标报价为评标基准价，其价格分为满分30分，其他供应商的价格分按照下列公式计算：投标报价得分=（评标基准价/投标报价）×30。</w:t>
            </w:r>
          </w:p>
          <w:p>
            <w:pPr>
              <w:spacing w:line="280" w:lineRule="exact"/>
              <w:rPr>
                <w:rFonts w:hint="eastAsia" w:ascii="仿宋" w:hAnsi="仿宋" w:eastAsia="仿宋" w:cs="仿宋"/>
                <w:sz w:val="24"/>
                <w:szCs w:val="24"/>
                <w:lang w:val="en-US" w:eastAsia="zh-CN"/>
              </w:rPr>
            </w:pPr>
            <w:r>
              <w:rPr>
                <w:rFonts w:hint="eastAsia" w:ascii="仿宋" w:hAnsi="仿宋" w:eastAsia="仿宋" w:cs="仿宋"/>
                <w:bCs/>
                <w:color w:val="auto"/>
                <w:lang w:val="en-US" w:eastAsia="zh-CN"/>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70" w:type="dxa"/>
            <w:vMerge w:val="restart"/>
            <w:tcBorders>
              <w:top w:val="single" w:color="auto" w:sz="4" w:space="0"/>
              <w:left w:val="single" w:color="auto" w:sz="4" w:space="0"/>
              <w:right w:val="single" w:color="auto" w:sz="4" w:space="0"/>
            </w:tcBorders>
            <w:noWrap w:val="0"/>
            <w:vAlign w:val="center"/>
          </w:tcPr>
          <w:p>
            <w:pPr>
              <w:pStyle w:val="12"/>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技术部分</w:t>
            </w:r>
          </w:p>
          <w:p>
            <w:pPr>
              <w:pStyle w:val="12"/>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40分</w:t>
            </w:r>
          </w:p>
        </w:tc>
        <w:tc>
          <w:tcPr>
            <w:tcW w:w="1095" w:type="dxa"/>
            <w:vMerge w:val="restart"/>
            <w:tcBorders>
              <w:top w:val="single" w:color="auto" w:sz="4" w:space="0"/>
              <w:left w:val="single" w:color="auto" w:sz="4" w:space="0"/>
              <w:right w:val="single" w:color="auto" w:sz="4" w:space="0"/>
            </w:tcBorders>
            <w:noWrap w:val="0"/>
            <w:vAlign w:val="center"/>
          </w:tcPr>
          <w:p>
            <w:pPr>
              <w:pStyle w:val="12"/>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全面性10分</w:t>
            </w:r>
          </w:p>
        </w:tc>
        <w:tc>
          <w:tcPr>
            <w:tcW w:w="705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bCs/>
                <w:color w:val="auto"/>
                <w:kern w:val="0"/>
                <w:sz w:val="21"/>
                <w:szCs w:val="24"/>
                <w:lang w:val="en-US" w:eastAsia="zh-CN" w:bidi="ar-SA"/>
              </w:rPr>
            </w:pPr>
            <w:r>
              <w:rPr>
                <w:rFonts w:hint="eastAsia" w:ascii="仿宋" w:hAnsi="仿宋" w:eastAsia="仿宋" w:cs="仿宋"/>
                <w:bCs/>
                <w:color w:val="auto"/>
                <w:kern w:val="0"/>
              </w:rPr>
              <w:t>施工方法先进得</w:t>
            </w:r>
            <w:r>
              <w:rPr>
                <w:rFonts w:hint="eastAsia" w:ascii="仿宋" w:hAnsi="仿宋" w:eastAsia="仿宋" w:cs="仿宋"/>
                <w:bCs/>
                <w:color w:val="auto"/>
                <w:kern w:val="0"/>
                <w:lang w:val="en-US" w:eastAsia="zh-CN"/>
              </w:rPr>
              <w:t>1-2</w:t>
            </w:r>
            <w:r>
              <w:rPr>
                <w:rFonts w:hint="eastAsia" w:ascii="仿宋" w:hAnsi="仿宋" w:eastAsia="仿宋" w:cs="仿宋"/>
                <w:bCs/>
                <w:color w:val="auto"/>
                <w:kern w:val="0"/>
              </w:rPr>
              <w:t>分，一般得</w:t>
            </w:r>
            <w:r>
              <w:rPr>
                <w:rFonts w:hint="eastAsia" w:ascii="仿宋" w:hAnsi="仿宋" w:eastAsia="仿宋" w:cs="仿宋"/>
                <w:bCs/>
                <w:color w:val="auto"/>
                <w:kern w:val="0"/>
                <w:lang w:val="en-US" w:eastAsia="zh-CN"/>
              </w:rPr>
              <w:t>0-1</w:t>
            </w:r>
            <w:r>
              <w:rPr>
                <w:rFonts w:hint="eastAsia" w:ascii="仿宋" w:hAnsi="仿宋" w:eastAsia="仿宋" w:cs="仿宋"/>
                <w:bCs/>
                <w:color w:val="auto"/>
                <w:kern w:val="0"/>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pStyle w:val="12"/>
              <w:jc w:val="center"/>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auto"/>
                <w:kern w:val="2"/>
                <w:sz w:val="21"/>
                <w:szCs w:val="24"/>
                <w:lang w:val="en-US" w:eastAsia="zh-CN" w:bidi="ar-SA"/>
              </w:rPr>
            </w:pPr>
            <w:r>
              <w:rPr>
                <w:rFonts w:hint="eastAsia" w:ascii="仿宋" w:hAnsi="仿宋" w:eastAsia="仿宋" w:cs="仿宋"/>
                <w:bCs/>
                <w:color w:val="auto"/>
              </w:rPr>
              <w:t>施工设备、劳动力计划合理得</w:t>
            </w:r>
            <w:r>
              <w:rPr>
                <w:rFonts w:hint="eastAsia" w:ascii="仿宋" w:hAnsi="仿宋" w:eastAsia="仿宋" w:cs="仿宋"/>
                <w:bCs/>
                <w:color w:val="auto"/>
                <w:kern w:val="0"/>
                <w:lang w:val="en-US" w:eastAsia="zh-CN"/>
              </w:rPr>
              <w:t>1-2</w:t>
            </w:r>
            <w:r>
              <w:rPr>
                <w:rFonts w:hint="eastAsia" w:ascii="仿宋" w:hAnsi="仿宋" w:eastAsia="仿宋" w:cs="仿宋"/>
                <w:bCs/>
                <w:color w:val="auto"/>
              </w:rPr>
              <w:t>分，一般得</w:t>
            </w:r>
            <w:r>
              <w:rPr>
                <w:rFonts w:hint="eastAsia" w:ascii="仿宋" w:hAnsi="仿宋" w:eastAsia="仿宋" w:cs="仿宋"/>
                <w:bCs/>
                <w:color w:val="auto"/>
                <w:lang w:val="en-US" w:eastAsia="zh-CN"/>
              </w:rPr>
              <w:t>0-1</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pStyle w:val="12"/>
              <w:jc w:val="center"/>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auto"/>
                <w:kern w:val="2"/>
                <w:sz w:val="21"/>
                <w:szCs w:val="24"/>
                <w:lang w:val="en-US" w:eastAsia="zh-CN" w:bidi="ar-SA"/>
              </w:rPr>
            </w:pPr>
            <w:r>
              <w:rPr>
                <w:rFonts w:hint="eastAsia" w:ascii="仿宋" w:hAnsi="仿宋" w:eastAsia="仿宋" w:cs="仿宋"/>
                <w:bCs/>
                <w:color w:val="auto"/>
              </w:rPr>
              <w:t>确保工程质量、工期、安全措施得力得</w:t>
            </w:r>
            <w:r>
              <w:rPr>
                <w:rFonts w:hint="eastAsia" w:ascii="仿宋" w:hAnsi="仿宋" w:eastAsia="仿宋" w:cs="仿宋"/>
                <w:bCs/>
                <w:color w:val="auto"/>
                <w:lang w:val="en-US" w:eastAsia="zh-CN"/>
              </w:rPr>
              <w:t>0-2</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pStyle w:val="12"/>
              <w:jc w:val="center"/>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auto"/>
                <w:kern w:val="2"/>
                <w:sz w:val="21"/>
                <w:szCs w:val="24"/>
                <w:lang w:val="en-US" w:eastAsia="zh-CN" w:bidi="ar-SA"/>
              </w:rPr>
            </w:pPr>
            <w:r>
              <w:rPr>
                <w:rFonts w:hint="eastAsia" w:ascii="仿宋" w:hAnsi="仿宋" w:eastAsia="仿宋" w:cs="仿宋"/>
                <w:bCs/>
                <w:color w:val="auto"/>
              </w:rPr>
              <w:t>文明施工措施可信度高得</w:t>
            </w:r>
            <w:r>
              <w:rPr>
                <w:rFonts w:hint="eastAsia" w:ascii="仿宋" w:hAnsi="仿宋" w:eastAsia="仿宋" w:cs="仿宋"/>
                <w:bCs/>
                <w:color w:val="auto"/>
                <w:lang w:val="en-US" w:eastAsia="zh-CN"/>
              </w:rPr>
              <w:t>0-1</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pStyle w:val="12"/>
              <w:jc w:val="center"/>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auto"/>
                <w:kern w:val="2"/>
                <w:sz w:val="21"/>
                <w:szCs w:val="24"/>
                <w:lang w:val="en-US" w:eastAsia="zh-CN" w:bidi="ar-SA"/>
              </w:rPr>
            </w:pPr>
            <w:r>
              <w:rPr>
                <w:rFonts w:hint="eastAsia" w:ascii="仿宋" w:hAnsi="仿宋" w:eastAsia="仿宋" w:cs="仿宋"/>
                <w:bCs/>
                <w:color w:val="auto"/>
              </w:rPr>
              <w:t>施工总进度计划合理得</w:t>
            </w:r>
            <w:r>
              <w:rPr>
                <w:rFonts w:hint="eastAsia" w:ascii="仿宋" w:hAnsi="仿宋" w:eastAsia="仿宋" w:cs="仿宋"/>
                <w:bCs/>
                <w:color w:val="auto"/>
                <w:lang w:val="en-US" w:eastAsia="zh-CN"/>
              </w:rPr>
              <w:t>0-1</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pStyle w:val="12"/>
              <w:jc w:val="center"/>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auto"/>
                <w:kern w:val="2"/>
                <w:sz w:val="21"/>
                <w:szCs w:val="24"/>
                <w:lang w:val="en-US" w:eastAsia="zh-CN" w:bidi="ar-SA"/>
              </w:rPr>
            </w:pPr>
            <w:r>
              <w:rPr>
                <w:rFonts w:hint="eastAsia" w:ascii="仿宋" w:hAnsi="仿宋" w:eastAsia="仿宋" w:cs="仿宋"/>
                <w:bCs/>
                <w:color w:val="auto"/>
              </w:rPr>
              <w:t>平面布置合理得</w:t>
            </w:r>
            <w:r>
              <w:rPr>
                <w:rFonts w:hint="eastAsia" w:ascii="仿宋" w:hAnsi="仿宋" w:eastAsia="仿宋" w:cs="仿宋"/>
                <w:bCs/>
                <w:color w:val="auto"/>
                <w:lang w:val="en-US" w:eastAsia="zh-CN"/>
              </w:rPr>
              <w:t>0-2</w:t>
            </w:r>
            <w:r>
              <w:rPr>
                <w:rFonts w:hint="eastAsia" w:ascii="仿宋" w:hAnsi="仿宋" w:eastAsia="仿宋" w:cs="仿宋"/>
                <w:bCs/>
                <w:color w:val="auto"/>
              </w:rPr>
              <w:t>分（附图），否则酌情扣分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restart"/>
            <w:tcBorders>
              <w:left w:val="single" w:color="auto" w:sz="4" w:space="0"/>
              <w:right w:val="single" w:color="auto" w:sz="4" w:space="0"/>
            </w:tcBorders>
            <w:noWrap w:val="0"/>
            <w:vAlign w:val="center"/>
          </w:tcPr>
          <w:p>
            <w:pPr>
              <w:pStyle w:val="12"/>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可行性8分</w:t>
            </w: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auto"/>
              </w:rPr>
            </w:pPr>
            <w:r>
              <w:rPr>
                <w:rFonts w:hint="eastAsia" w:ascii="仿宋" w:hAnsi="仿宋" w:eastAsia="仿宋" w:cs="仿宋"/>
                <w:bCs/>
                <w:color w:val="auto"/>
                <w:kern w:val="0"/>
              </w:rPr>
              <w:t>涉及主要内容齐全措施计划详尽得</w:t>
            </w:r>
            <w:r>
              <w:rPr>
                <w:rFonts w:hint="eastAsia" w:ascii="仿宋" w:hAnsi="仿宋" w:eastAsia="仿宋" w:cs="仿宋"/>
                <w:bCs/>
                <w:color w:val="auto"/>
                <w:kern w:val="0"/>
                <w:lang w:val="en-US" w:eastAsia="zh-CN"/>
              </w:rPr>
              <w:t>1-2</w:t>
            </w:r>
            <w:r>
              <w:rPr>
                <w:rFonts w:hint="eastAsia" w:ascii="仿宋" w:hAnsi="仿宋" w:eastAsia="仿宋" w:cs="仿宋"/>
                <w:bCs/>
                <w:color w:val="auto"/>
                <w:kern w:val="0"/>
              </w:rPr>
              <w:t>分，一般得</w:t>
            </w:r>
            <w:r>
              <w:rPr>
                <w:rFonts w:hint="eastAsia" w:ascii="仿宋" w:hAnsi="仿宋" w:eastAsia="仿宋" w:cs="仿宋"/>
                <w:bCs/>
                <w:color w:val="auto"/>
                <w:kern w:val="0"/>
                <w:lang w:val="en-US" w:eastAsia="zh-CN"/>
              </w:rPr>
              <w:t>0-1</w:t>
            </w:r>
            <w:r>
              <w:rPr>
                <w:rFonts w:hint="eastAsia" w:ascii="仿宋" w:hAnsi="仿宋" w:eastAsia="仿宋" w:cs="仿宋"/>
                <w:bCs/>
                <w:color w:val="auto"/>
                <w:kern w:val="0"/>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auto"/>
              </w:rPr>
            </w:pPr>
            <w:r>
              <w:rPr>
                <w:rFonts w:hint="eastAsia" w:ascii="仿宋" w:hAnsi="仿宋" w:eastAsia="仿宋" w:cs="仿宋"/>
                <w:bCs/>
                <w:color w:val="auto"/>
              </w:rPr>
              <w:t>流水段的划分合理得</w:t>
            </w:r>
            <w:r>
              <w:rPr>
                <w:rFonts w:hint="eastAsia" w:ascii="仿宋" w:hAnsi="仿宋" w:eastAsia="仿宋" w:cs="仿宋"/>
                <w:bCs/>
                <w:color w:val="auto"/>
                <w:kern w:val="0"/>
                <w:lang w:val="en-US" w:eastAsia="zh-CN"/>
              </w:rPr>
              <w:t>1-2</w:t>
            </w:r>
            <w:r>
              <w:rPr>
                <w:rFonts w:hint="eastAsia" w:ascii="仿宋" w:hAnsi="仿宋" w:eastAsia="仿宋" w:cs="仿宋"/>
                <w:bCs/>
                <w:color w:val="auto"/>
              </w:rPr>
              <w:t>分，一般得</w:t>
            </w:r>
            <w:r>
              <w:rPr>
                <w:rFonts w:hint="eastAsia" w:ascii="仿宋" w:hAnsi="仿宋" w:eastAsia="仿宋" w:cs="仿宋"/>
                <w:bCs/>
                <w:color w:val="auto"/>
                <w:kern w:val="0"/>
                <w:lang w:val="en-US" w:eastAsia="zh-CN"/>
              </w:rPr>
              <w:t>0-1</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auto"/>
              </w:rPr>
            </w:pPr>
            <w:r>
              <w:rPr>
                <w:rFonts w:hint="eastAsia" w:ascii="仿宋" w:hAnsi="仿宋" w:eastAsia="仿宋" w:cs="仿宋"/>
                <w:bCs/>
                <w:color w:val="auto"/>
              </w:rPr>
              <w:t>流水作业的合理性得</w:t>
            </w:r>
            <w:r>
              <w:rPr>
                <w:rFonts w:hint="eastAsia" w:ascii="仿宋" w:hAnsi="仿宋" w:eastAsia="仿宋" w:cs="仿宋"/>
                <w:bCs/>
                <w:color w:val="auto"/>
                <w:kern w:val="0"/>
                <w:lang w:val="en-US" w:eastAsia="zh-CN"/>
              </w:rPr>
              <w:t>0-1</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auto"/>
              </w:rPr>
            </w:pPr>
            <w:r>
              <w:rPr>
                <w:rFonts w:hint="eastAsia" w:ascii="仿宋" w:hAnsi="仿宋" w:eastAsia="仿宋" w:cs="仿宋"/>
                <w:bCs/>
                <w:color w:val="auto"/>
              </w:rPr>
              <w:t>各项交叉作业切合实际得</w:t>
            </w:r>
            <w:r>
              <w:rPr>
                <w:rFonts w:hint="eastAsia" w:ascii="仿宋" w:hAnsi="仿宋" w:eastAsia="仿宋" w:cs="仿宋"/>
                <w:bCs/>
                <w:color w:val="auto"/>
                <w:kern w:val="0"/>
                <w:lang w:val="en-US" w:eastAsia="zh-CN"/>
              </w:rPr>
              <w:t>0-1</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auto"/>
              </w:rPr>
            </w:pPr>
            <w:r>
              <w:rPr>
                <w:rFonts w:hint="eastAsia" w:ascii="仿宋" w:hAnsi="仿宋" w:eastAsia="仿宋" w:cs="仿宋"/>
                <w:bCs/>
                <w:color w:val="auto"/>
              </w:rPr>
              <w:t>机具合理可行得</w:t>
            </w:r>
            <w:r>
              <w:rPr>
                <w:rFonts w:hint="eastAsia" w:ascii="仿宋" w:hAnsi="仿宋" w:eastAsia="仿宋" w:cs="仿宋"/>
                <w:bCs/>
                <w:color w:val="auto"/>
                <w:lang w:val="en-US" w:eastAsia="zh-CN"/>
              </w:rPr>
              <w:t>0-</w:t>
            </w:r>
            <w:r>
              <w:rPr>
                <w:rFonts w:hint="eastAsia" w:ascii="仿宋" w:hAnsi="仿宋" w:eastAsia="仿宋" w:cs="仿宋"/>
                <w:bCs/>
                <w:color w:val="auto"/>
              </w:rPr>
              <w:t>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pStyle w:val="12"/>
              <w:rPr>
                <w:rFonts w:hint="eastAsia" w:ascii="仿宋" w:hAnsi="仿宋" w:eastAsia="仿宋" w:cs="仿宋"/>
                <w:kern w:val="2"/>
                <w:sz w:val="24"/>
                <w:szCs w:val="24"/>
                <w:lang w:val="en-US" w:eastAsia="zh-CN" w:bidi="ar-SA"/>
              </w:rPr>
            </w:pPr>
          </w:p>
        </w:tc>
        <w:tc>
          <w:tcPr>
            <w:tcW w:w="1095" w:type="dxa"/>
            <w:vMerge w:val="restart"/>
            <w:tcBorders>
              <w:left w:val="single" w:color="auto" w:sz="4" w:space="0"/>
              <w:right w:val="single" w:color="auto" w:sz="4" w:space="0"/>
            </w:tcBorders>
            <w:noWrap w:val="0"/>
            <w:vAlign w:val="center"/>
          </w:tcPr>
          <w:p>
            <w:pPr>
              <w:pStyle w:val="12"/>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针对性</w:t>
            </w:r>
          </w:p>
          <w:p>
            <w:pPr>
              <w:pStyle w:val="12"/>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705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bCs/>
                <w:color w:val="auto"/>
              </w:rPr>
            </w:pPr>
            <w:r>
              <w:rPr>
                <w:rFonts w:hint="eastAsia" w:ascii="仿宋" w:hAnsi="仿宋" w:eastAsia="仿宋" w:cs="仿宋"/>
                <w:bCs/>
                <w:color w:val="auto"/>
                <w:kern w:val="0"/>
              </w:rPr>
              <w:t>涉及重点内容突出得</w:t>
            </w:r>
            <w:r>
              <w:rPr>
                <w:rFonts w:hint="eastAsia" w:ascii="仿宋" w:hAnsi="仿宋" w:eastAsia="仿宋" w:cs="仿宋"/>
                <w:bCs/>
                <w:color w:val="auto"/>
                <w:kern w:val="0"/>
                <w:lang w:val="en-US" w:eastAsia="zh-CN"/>
              </w:rPr>
              <w:t>1-2</w:t>
            </w:r>
            <w:r>
              <w:rPr>
                <w:rFonts w:hint="eastAsia" w:ascii="仿宋" w:hAnsi="仿宋" w:eastAsia="仿宋" w:cs="仿宋"/>
                <w:bCs/>
                <w:color w:val="auto"/>
                <w:kern w:val="0"/>
              </w:rPr>
              <w:t>分、尚可得</w:t>
            </w:r>
            <w:r>
              <w:rPr>
                <w:rFonts w:hint="eastAsia" w:ascii="仿宋" w:hAnsi="仿宋" w:eastAsia="仿宋" w:cs="仿宋"/>
                <w:bCs/>
                <w:color w:val="auto"/>
                <w:kern w:val="0"/>
                <w:lang w:val="en-US" w:eastAsia="zh-CN"/>
              </w:rPr>
              <w:t>0-1</w:t>
            </w:r>
            <w:r>
              <w:rPr>
                <w:rFonts w:hint="eastAsia" w:ascii="仿宋" w:hAnsi="仿宋" w:eastAsia="仿宋" w:cs="仿宋"/>
                <w:bCs/>
                <w:color w:val="auto"/>
                <w:kern w:val="0"/>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280" w:lineRule="exact"/>
              <w:jc w:val="left"/>
              <w:rPr>
                <w:rFonts w:hint="eastAsia" w:ascii="仿宋" w:hAnsi="仿宋" w:eastAsia="仿宋" w:cs="仿宋"/>
                <w:bCs/>
                <w:color w:val="auto"/>
              </w:rPr>
            </w:pPr>
            <w:r>
              <w:rPr>
                <w:rFonts w:hint="eastAsia" w:ascii="仿宋" w:hAnsi="仿宋" w:eastAsia="仿宋" w:cs="仿宋"/>
                <w:bCs/>
                <w:color w:val="auto"/>
              </w:rPr>
              <w:t>工程项目的质保体系健全得</w:t>
            </w:r>
            <w:r>
              <w:rPr>
                <w:rFonts w:hint="eastAsia" w:ascii="仿宋" w:hAnsi="仿宋" w:eastAsia="仿宋" w:cs="仿宋"/>
                <w:bCs/>
                <w:color w:val="auto"/>
                <w:kern w:val="0"/>
                <w:lang w:val="en-US" w:eastAsia="zh-CN"/>
              </w:rPr>
              <w:t>0-2</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280" w:lineRule="exact"/>
              <w:jc w:val="left"/>
              <w:rPr>
                <w:rFonts w:hint="eastAsia" w:ascii="仿宋" w:hAnsi="仿宋" w:eastAsia="仿宋" w:cs="仿宋"/>
                <w:bCs/>
                <w:color w:val="auto"/>
              </w:rPr>
            </w:pPr>
            <w:r>
              <w:rPr>
                <w:rFonts w:hint="eastAsia" w:ascii="仿宋" w:hAnsi="仿宋" w:eastAsia="仿宋" w:cs="仿宋"/>
                <w:bCs/>
                <w:color w:val="auto"/>
              </w:rPr>
              <w:t>安保体系健全有效得</w:t>
            </w:r>
            <w:r>
              <w:rPr>
                <w:rFonts w:hint="eastAsia" w:ascii="仿宋" w:hAnsi="仿宋" w:eastAsia="仿宋" w:cs="仿宋"/>
                <w:bCs/>
                <w:color w:val="auto"/>
                <w:kern w:val="0"/>
                <w:lang w:val="en-US" w:eastAsia="zh-CN"/>
              </w:rPr>
              <w:t>0-1</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280" w:lineRule="exact"/>
              <w:jc w:val="left"/>
              <w:rPr>
                <w:rFonts w:hint="eastAsia" w:ascii="仿宋" w:hAnsi="仿宋" w:eastAsia="仿宋" w:cs="仿宋"/>
                <w:bCs/>
                <w:color w:val="auto"/>
              </w:rPr>
            </w:pPr>
            <w:r>
              <w:rPr>
                <w:rFonts w:hint="eastAsia" w:ascii="仿宋" w:hAnsi="仿宋" w:eastAsia="仿宋" w:cs="仿宋"/>
                <w:bCs/>
                <w:color w:val="auto"/>
              </w:rPr>
              <w:t>创优措施切实可行得</w:t>
            </w:r>
            <w:r>
              <w:rPr>
                <w:rFonts w:hint="eastAsia" w:ascii="仿宋" w:hAnsi="仿宋" w:eastAsia="仿宋" w:cs="仿宋"/>
                <w:bCs/>
                <w:color w:val="auto"/>
                <w:lang w:val="en-US" w:eastAsia="zh-CN"/>
              </w:rPr>
              <w:t>1-2</w:t>
            </w:r>
            <w:r>
              <w:rPr>
                <w:rFonts w:hint="eastAsia" w:ascii="仿宋" w:hAnsi="仿宋" w:eastAsia="仿宋" w:cs="仿宋"/>
                <w:bCs/>
                <w:color w:val="auto"/>
              </w:rPr>
              <w:t>分，尚可得</w:t>
            </w:r>
            <w:r>
              <w:rPr>
                <w:rFonts w:hint="eastAsia" w:ascii="仿宋" w:hAnsi="仿宋" w:eastAsia="仿宋" w:cs="仿宋"/>
                <w:bCs/>
                <w:color w:val="auto"/>
                <w:kern w:val="0"/>
                <w:lang w:val="en-US" w:eastAsia="zh-CN"/>
              </w:rPr>
              <w:t>0-1</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280" w:lineRule="exact"/>
              <w:jc w:val="left"/>
              <w:rPr>
                <w:rFonts w:hint="eastAsia" w:ascii="仿宋" w:hAnsi="仿宋" w:eastAsia="仿宋" w:cs="仿宋"/>
                <w:bCs/>
                <w:color w:val="auto"/>
              </w:rPr>
            </w:pPr>
            <w:r>
              <w:rPr>
                <w:rFonts w:hint="eastAsia" w:ascii="仿宋" w:hAnsi="仿宋" w:eastAsia="仿宋" w:cs="仿宋"/>
                <w:bCs/>
                <w:color w:val="auto"/>
              </w:rPr>
              <w:t>工程的安全措施得力</w:t>
            </w:r>
            <w:r>
              <w:rPr>
                <w:rFonts w:hint="eastAsia" w:ascii="仿宋" w:hAnsi="仿宋" w:eastAsia="仿宋" w:cs="仿宋"/>
                <w:bCs/>
                <w:color w:val="auto"/>
                <w:lang w:val="en-US" w:eastAsia="zh-CN"/>
              </w:rPr>
              <w:t>1-2</w:t>
            </w:r>
            <w:r>
              <w:rPr>
                <w:rFonts w:hint="eastAsia" w:ascii="仿宋" w:hAnsi="仿宋" w:eastAsia="仿宋" w:cs="仿宋"/>
                <w:bCs/>
                <w:color w:val="auto"/>
              </w:rPr>
              <w:t>分，一般得</w:t>
            </w:r>
            <w:r>
              <w:rPr>
                <w:rFonts w:hint="eastAsia" w:ascii="仿宋" w:hAnsi="仿宋" w:eastAsia="仿宋" w:cs="仿宋"/>
                <w:bCs/>
                <w:color w:val="auto"/>
                <w:lang w:val="en-US" w:eastAsia="zh-CN"/>
              </w:rPr>
              <w:t>0-</w:t>
            </w:r>
            <w:r>
              <w:rPr>
                <w:rFonts w:hint="eastAsia" w:ascii="仿宋" w:hAnsi="仿宋" w:eastAsia="仿宋" w:cs="仿宋"/>
                <w:bCs/>
                <w:color w:val="auto"/>
              </w:rPr>
              <w:t>1分，否则酌情扣分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280" w:lineRule="exact"/>
              <w:jc w:val="left"/>
              <w:rPr>
                <w:rFonts w:hint="eastAsia" w:ascii="仿宋" w:hAnsi="仿宋" w:eastAsia="仿宋" w:cs="仿宋"/>
                <w:bCs/>
                <w:color w:val="auto"/>
              </w:rPr>
            </w:pPr>
            <w:r>
              <w:rPr>
                <w:rFonts w:hint="eastAsia" w:ascii="仿宋" w:hAnsi="仿宋" w:eastAsia="仿宋" w:cs="仿宋"/>
                <w:bCs/>
                <w:color w:val="auto"/>
              </w:rPr>
              <w:t>文明施工措施得力得</w:t>
            </w:r>
            <w:r>
              <w:rPr>
                <w:rFonts w:hint="eastAsia" w:ascii="仿宋" w:hAnsi="仿宋" w:eastAsia="仿宋" w:cs="仿宋"/>
                <w:bCs/>
                <w:color w:val="auto"/>
                <w:lang w:val="en-US" w:eastAsia="zh-CN"/>
              </w:rPr>
              <w:t>0-1</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restart"/>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先进性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5分</w:t>
            </w:r>
          </w:p>
        </w:tc>
        <w:tc>
          <w:tcPr>
            <w:tcW w:w="705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kern w:val="0"/>
                <w:highlight w:val="none"/>
                <w14:textFill>
                  <w14:solidFill>
                    <w14:schemeClr w14:val="tx1"/>
                  </w14:solidFill>
                </w14:textFill>
              </w:rPr>
              <w:t>采用新工艺、新技术、新设备得</w:t>
            </w:r>
            <w:r>
              <w:rPr>
                <w:rFonts w:hint="eastAsia" w:ascii="仿宋" w:hAnsi="仿宋" w:eastAsia="仿宋" w:cs="仿宋"/>
                <w:bCs/>
                <w:color w:val="000000" w:themeColor="text1"/>
                <w:kern w:val="0"/>
                <w:highlight w:val="none"/>
                <w:lang w:val="en-US" w:eastAsia="zh-CN"/>
                <w14:textFill>
                  <w14:solidFill>
                    <w14:schemeClr w14:val="tx1"/>
                  </w14:solidFill>
                </w14:textFill>
              </w:rPr>
              <w:t>1</w:t>
            </w:r>
            <w:r>
              <w:rPr>
                <w:rFonts w:hint="eastAsia" w:ascii="仿宋" w:hAnsi="仿宋" w:eastAsia="仿宋" w:cs="仿宋"/>
                <w:bCs/>
                <w:color w:val="000000" w:themeColor="text1"/>
                <w:kern w:val="0"/>
                <w:highlight w:val="none"/>
                <w14:textFill>
                  <w14:solidFill>
                    <w14:schemeClr w14:val="tx1"/>
                  </w14:solidFill>
                </w14:textFill>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在确保工程质量前提下，有降低成本、缩短工期、减轻劳动强度提高进度提案者得</w:t>
            </w:r>
            <w:r>
              <w:rPr>
                <w:rFonts w:hint="eastAsia" w:ascii="仿宋" w:hAnsi="仿宋" w:eastAsia="仿宋" w:cs="仿宋"/>
                <w:bCs/>
                <w:color w:val="000000" w:themeColor="text1"/>
                <w:lang w:val="en-US" w:eastAsia="zh-CN"/>
                <w14:textFill>
                  <w14:solidFill>
                    <w14:schemeClr w14:val="tx1"/>
                  </w14:solidFill>
                </w14:textFill>
              </w:rPr>
              <w:t>2</w:t>
            </w:r>
            <w:r>
              <w:rPr>
                <w:rFonts w:hint="eastAsia" w:ascii="仿宋" w:hAnsi="仿宋" w:eastAsia="仿宋" w:cs="仿宋"/>
                <w:bCs/>
                <w:color w:val="000000" w:themeColor="text1"/>
                <w14:textFill>
                  <w14:solidFill>
                    <w14:schemeClr w14:val="tx1"/>
                  </w14:solidFill>
                </w14:textFill>
              </w:rPr>
              <w:t>分，方案尚可得</w:t>
            </w:r>
            <w:r>
              <w:rPr>
                <w:rFonts w:hint="eastAsia" w:ascii="仿宋" w:hAnsi="仿宋" w:eastAsia="仿宋" w:cs="仿宋"/>
                <w:bCs/>
                <w:color w:val="000000" w:themeColor="text1"/>
                <w:lang w:val="en-US" w:eastAsia="zh-CN"/>
                <w14:textFill>
                  <w14:solidFill>
                    <w14:schemeClr w14:val="tx1"/>
                  </w14:solidFill>
                </w14:textFill>
              </w:rPr>
              <w:t>1</w:t>
            </w:r>
            <w:r>
              <w:rPr>
                <w:rFonts w:hint="eastAsia" w:ascii="仿宋" w:hAnsi="仿宋" w:eastAsia="仿宋" w:cs="仿宋"/>
                <w:bCs/>
                <w:color w:val="000000" w:themeColor="text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执行国家强制性条文得</w:t>
            </w:r>
            <w:r>
              <w:rPr>
                <w:rFonts w:hint="eastAsia" w:ascii="仿宋" w:hAnsi="仿宋" w:eastAsia="仿宋" w:cs="仿宋"/>
                <w:bCs/>
                <w:color w:val="000000" w:themeColor="text1"/>
                <w:highlight w:val="none"/>
                <w:lang w:val="en-US" w:eastAsia="zh-CN"/>
                <w14:textFill>
                  <w14:solidFill>
                    <w14:schemeClr w14:val="tx1"/>
                  </w14:solidFill>
                </w14:textFill>
              </w:rPr>
              <w:t>1</w:t>
            </w:r>
            <w:r>
              <w:rPr>
                <w:rFonts w:hint="eastAsia" w:ascii="仿宋" w:hAnsi="仿宋" w:eastAsia="仿宋" w:cs="仿宋"/>
                <w:bCs/>
                <w:color w:val="000000" w:themeColor="text1"/>
                <w:highlight w:val="none"/>
                <w14:textFill>
                  <w14:solidFill>
                    <w14:schemeClr w14:val="tx1"/>
                  </w14:solidFill>
                </w14:textFill>
              </w:rPr>
              <w:t>分、有切实可行的保证措施得</w:t>
            </w:r>
            <w:r>
              <w:rPr>
                <w:rFonts w:hint="eastAsia" w:ascii="仿宋" w:hAnsi="仿宋" w:eastAsia="仿宋" w:cs="仿宋"/>
                <w:bCs/>
                <w:color w:val="000000" w:themeColor="text1"/>
                <w:highlight w:val="none"/>
                <w:lang w:val="en-US" w:eastAsia="zh-CN"/>
                <w14:textFill>
                  <w14:solidFill>
                    <w14:schemeClr w14:val="tx1"/>
                  </w14:solidFill>
                </w14:textFill>
              </w:rPr>
              <w:t>1</w:t>
            </w:r>
            <w:r>
              <w:rPr>
                <w:rFonts w:hint="eastAsia" w:ascii="仿宋" w:hAnsi="仿宋" w:eastAsia="仿宋" w:cs="仿宋"/>
                <w:bCs/>
                <w:color w:val="000000" w:themeColor="text1"/>
                <w:highlight w:val="none"/>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restart"/>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强制性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2分</w:t>
            </w:r>
          </w:p>
        </w:tc>
        <w:tc>
          <w:tcPr>
            <w:tcW w:w="705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textAlignment w:val="center"/>
              <w:rPr>
                <w:rFonts w:hint="eastAsia" w:ascii="仿宋" w:hAnsi="仿宋" w:eastAsia="仿宋" w:cs="仿宋"/>
                <w:bCs/>
                <w:color w:val="auto"/>
                <w:highlight w:val="none"/>
              </w:rPr>
            </w:pPr>
            <w:r>
              <w:rPr>
                <w:rFonts w:hint="eastAsia" w:ascii="仿宋" w:hAnsi="仿宋" w:eastAsia="仿宋" w:cs="仿宋"/>
                <w:bCs/>
                <w:color w:val="auto"/>
                <w:kern w:val="0"/>
                <w:highlight w:val="none"/>
              </w:rPr>
              <w:t>制定了质量通病的防治措施、措施可行得</w:t>
            </w:r>
            <w:r>
              <w:rPr>
                <w:rFonts w:hint="eastAsia" w:ascii="仿宋" w:hAnsi="仿宋" w:eastAsia="仿宋" w:cs="仿宋"/>
                <w:bCs/>
                <w:color w:val="auto"/>
                <w:kern w:val="0"/>
                <w:highlight w:val="none"/>
                <w:lang w:val="en-US" w:eastAsia="zh-CN"/>
              </w:rPr>
              <w:t>0-1</w:t>
            </w:r>
            <w:r>
              <w:rPr>
                <w:rFonts w:hint="eastAsia" w:ascii="仿宋" w:hAnsi="仿宋" w:eastAsia="仿宋" w:cs="仿宋"/>
                <w:bCs/>
                <w:color w:val="auto"/>
                <w:kern w:val="0"/>
                <w:highlight w:val="non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仿宋" w:hAnsi="仿宋" w:eastAsia="仿宋" w:cs="仿宋"/>
                <w:bCs/>
                <w:color w:val="auto"/>
              </w:rPr>
            </w:pPr>
            <w:r>
              <w:rPr>
                <w:rFonts w:hint="eastAsia" w:ascii="仿宋" w:hAnsi="仿宋" w:eastAsia="仿宋" w:cs="仿宋"/>
                <w:bCs/>
                <w:color w:val="auto"/>
              </w:rPr>
              <w:t>执行国家强制性条文、有切实可行的保证措施得</w:t>
            </w:r>
            <w:r>
              <w:rPr>
                <w:rFonts w:hint="eastAsia" w:ascii="仿宋" w:hAnsi="仿宋" w:eastAsia="仿宋" w:cs="仿宋"/>
                <w:bCs/>
                <w:color w:val="auto"/>
                <w:lang w:val="en-US" w:eastAsia="zh-CN"/>
              </w:rPr>
              <w:t>0-1</w:t>
            </w:r>
            <w:r>
              <w:rPr>
                <w:rFonts w:hint="eastAsia" w:ascii="仿宋" w:hAnsi="仿宋" w:eastAsia="仿宋" w:cs="仿宋"/>
                <w:bCs/>
                <w:color w:val="auto"/>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restart"/>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承诺5分</w:t>
            </w: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textAlignment w:val="center"/>
              <w:rPr>
                <w:rFonts w:hint="eastAsia" w:ascii="仿宋" w:hAnsi="仿宋" w:eastAsia="仿宋" w:cs="仿宋"/>
                <w:bCs/>
                <w:color w:val="auto"/>
                <w:highlight w:val="none"/>
              </w:rPr>
            </w:pPr>
            <w:r>
              <w:rPr>
                <w:rFonts w:hint="eastAsia" w:ascii="仿宋" w:hAnsi="仿宋" w:eastAsia="仿宋" w:cs="仿宋"/>
                <w:bCs/>
                <w:color w:val="auto"/>
                <w:highlight w:val="none"/>
              </w:rPr>
              <w:t>保修有承诺、有违约经济处罚且措施可行得</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4"/>
                <w:szCs w:val="24"/>
                <w:lang w:val="en-US" w:eastAsia="zh-CN" w:bidi="ar"/>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eastAsia" w:ascii="仿宋" w:hAnsi="仿宋" w:eastAsia="仿宋" w:cs="仿宋"/>
                <w:bCs/>
                <w:color w:val="auto"/>
              </w:rPr>
            </w:pPr>
            <w:r>
              <w:rPr>
                <w:rFonts w:hint="eastAsia" w:ascii="仿宋" w:hAnsi="仿宋" w:eastAsia="仿宋" w:cs="仿宋"/>
                <w:bCs/>
                <w:color w:val="auto"/>
              </w:rPr>
              <w:t>承诺达到自治区及以上优质工程质量标准、并有切实可行质量保证措施得3分，否则酌情扣分；达不到有违约经济处罚的得1分，否则不得分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restart"/>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商务部分30分</w:t>
            </w:r>
          </w:p>
        </w:tc>
        <w:tc>
          <w:tcPr>
            <w:tcW w:w="1095" w:type="dxa"/>
            <w:vMerge w:val="restart"/>
            <w:tcBorders>
              <w:left w:val="single" w:color="auto" w:sz="4" w:space="0"/>
              <w:right w:val="single" w:color="auto" w:sz="4" w:space="0"/>
            </w:tcBorders>
            <w:noWrap w:val="0"/>
            <w:vAlign w:val="center"/>
          </w:tcPr>
          <w:p>
            <w:pPr>
              <w:spacing w:line="260" w:lineRule="exact"/>
              <w:jc w:val="center"/>
              <w:rPr>
                <w:rFonts w:hint="eastAsia" w:ascii="仿宋" w:hAnsi="仿宋" w:eastAsia="仿宋" w:cs="仿宋"/>
                <w:color w:val="auto"/>
              </w:rPr>
            </w:pPr>
            <w:r>
              <w:rPr>
                <w:rFonts w:hint="eastAsia" w:ascii="仿宋" w:hAnsi="仿宋" w:eastAsia="仿宋" w:cs="仿宋"/>
                <w:color w:val="auto"/>
              </w:rPr>
              <w:t>报价完整性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auto"/>
              </w:rPr>
              <w:t>10分</w:t>
            </w: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color w:val="auto"/>
              </w:rPr>
              <w:t>完整填报得3分，90%完整得1分，否则不得分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4"/>
                <w:szCs w:val="24"/>
                <w:lang w:val="en-US" w:eastAsia="zh-CN" w:bidi="ar"/>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color w:val="auto"/>
              </w:rPr>
              <w:t>没有格式上错误得5分，每出现一次错误扣1分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4"/>
                <w:szCs w:val="24"/>
                <w:lang w:val="en-US" w:eastAsia="zh-CN" w:bidi="ar"/>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color w:val="auto"/>
              </w:rPr>
              <w:t>没有漏项、增项各得</w:t>
            </w:r>
            <w:r>
              <w:rPr>
                <w:rFonts w:hint="eastAsia" w:ascii="仿宋" w:hAnsi="仿宋" w:eastAsia="仿宋" w:cs="仿宋"/>
                <w:color w:val="auto"/>
                <w:lang w:val="en-US" w:eastAsia="zh-CN"/>
              </w:rPr>
              <w:t>1</w:t>
            </w:r>
            <w:r>
              <w:rPr>
                <w:rFonts w:hint="eastAsia" w:ascii="仿宋" w:hAnsi="仿宋" w:eastAsia="仿宋" w:cs="仿宋"/>
                <w:color w:val="auto"/>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restart"/>
            <w:tcBorders>
              <w:left w:val="single" w:color="auto" w:sz="4" w:space="0"/>
              <w:right w:val="single" w:color="auto" w:sz="4" w:space="0"/>
            </w:tcBorders>
            <w:noWrap w:val="0"/>
            <w:vAlign w:val="center"/>
          </w:tcPr>
          <w:p>
            <w:pPr>
              <w:spacing w:line="260" w:lineRule="exact"/>
              <w:jc w:val="center"/>
              <w:rPr>
                <w:rFonts w:hint="eastAsia" w:ascii="仿宋" w:hAnsi="仿宋" w:eastAsia="仿宋" w:cs="仿宋"/>
                <w:color w:val="auto"/>
              </w:rPr>
            </w:pPr>
            <w:r>
              <w:rPr>
                <w:rFonts w:hint="eastAsia" w:ascii="仿宋" w:hAnsi="仿宋" w:eastAsia="仿宋" w:cs="仿宋"/>
                <w:color w:val="auto"/>
              </w:rPr>
              <w:t>报价合理性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auto"/>
              </w:rPr>
              <w:t>10分</w:t>
            </w: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color w:val="auto"/>
              </w:rPr>
              <w:t>全项分析思路清晰、有企业定额思路者得3分，80%以上项目清晰得2分，70%以上项目清晰得1分，否则不得分。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4"/>
                <w:szCs w:val="24"/>
                <w:lang w:val="en-US" w:eastAsia="zh-CN" w:bidi="ar"/>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color w:val="auto"/>
              </w:rPr>
              <w:t>人、材、机消耗量和单价填报完整者得4分，90%（含本数）以上完整者得3分；85%（含本数）完整者得2分；80%（含本数）以上完整者得1分；否则不得分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4"/>
                <w:szCs w:val="24"/>
                <w:lang w:val="en-US" w:eastAsia="zh-CN" w:bidi="ar"/>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color w:val="auto"/>
              </w:rPr>
              <w:t>利润计算者得1分，风险金计算合理者得1分，否则不得分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4"/>
                <w:szCs w:val="24"/>
                <w:lang w:val="en-US" w:eastAsia="zh-CN" w:bidi="ar"/>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color w:val="auto"/>
              </w:rPr>
              <w:t>让利有说明的得1分，否则不得分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restart"/>
            <w:tcBorders>
              <w:left w:val="single" w:color="auto" w:sz="4" w:space="0"/>
              <w:right w:val="single" w:color="auto" w:sz="4" w:space="0"/>
            </w:tcBorders>
            <w:noWrap w:val="0"/>
            <w:vAlign w:val="center"/>
          </w:tcPr>
          <w:p>
            <w:pPr>
              <w:spacing w:line="260" w:lineRule="exact"/>
              <w:jc w:val="center"/>
              <w:rPr>
                <w:rFonts w:hint="eastAsia" w:ascii="仿宋" w:hAnsi="仿宋" w:eastAsia="仿宋" w:cs="仿宋"/>
                <w:color w:val="auto"/>
              </w:rPr>
            </w:pPr>
            <w:r>
              <w:rPr>
                <w:rFonts w:hint="eastAsia" w:ascii="仿宋" w:hAnsi="仿宋" w:eastAsia="仿宋" w:cs="仿宋"/>
                <w:color w:val="auto"/>
              </w:rPr>
              <w:t>报价一致性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4"/>
                <w:szCs w:val="24"/>
                <w:lang w:val="en-US" w:eastAsia="zh-CN" w:bidi="ar"/>
              </w:rPr>
            </w:pPr>
            <w:r>
              <w:rPr>
                <w:rFonts w:hint="eastAsia" w:ascii="仿宋" w:hAnsi="仿宋" w:eastAsia="仿宋" w:cs="仿宋"/>
                <w:color w:val="auto"/>
              </w:rPr>
              <w:t>10分</w:t>
            </w: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color w:val="auto"/>
              </w:rPr>
            </w:pPr>
            <w:r>
              <w:rPr>
                <w:rFonts w:hint="eastAsia" w:ascii="仿宋" w:hAnsi="仿宋" w:eastAsia="仿宋" w:cs="仿宋"/>
                <w:color w:val="auto"/>
              </w:rPr>
              <w:t>分部分项工程量清单报价与综合单价报价分析表一致者得6分， 每出现一次错误扣1分。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70"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p>
        </w:tc>
        <w:tc>
          <w:tcPr>
            <w:tcW w:w="1095"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000000"/>
                <w:sz w:val="24"/>
                <w:szCs w:val="24"/>
                <w:lang w:val="en-US" w:eastAsia="zh-CN" w:bidi="ar"/>
              </w:rPr>
            </w:pPr>
          </w:p>
        </w:tc>
        <w:tc>
          <w:tcPr>
            <w:tcW w:w="705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 w:hAnsi="仿宋" w:eastAsia="仿宋" w:cs="仿宋"/>
                <w:bCs/>
                <w:color w:val="auto"/>
              </w:rPr>
            </w:pPr>
            <w:r>
              <w:rPr>
                <w:rFonts w:hint="eastAsia" w:ascii="仿宋" w:hAnsi="仿宋" w:eastAsia="仿宋" w:cs="仿宋"/>
                <w:color w:val="auto"/>
              </w:rPr>
              <w:t>综合单价报价分析表与人工、主要材料、主要机械报价前后一致者得4分，每出现一次错误扣1分，</w:t>
            </w:r>
          </w:p>
        </w:tc>
      </w:tr>
    </w:tbl>
    <w:p>
      <w:pPr>
        <w:numPr>
          <w:ilvl w:val="0"/>
          <w:numId w:val="0"/>
        </w:numPr>
        <w:spacing w:line="360" w:lineRule="auto"/>
        <w:jc w:val="center"/>
        <w:rPr>
          <w:rFonts w:ascii="仿宋" w:hAnsi="仿宋" w:eastAsia="仿宋" w:cs="仿宋"/>
          <w:b/>
          <w:bCs/>
          <w:sz w:val="24"/>
        </w:rPr>
      </w:pPr>
    </w:p>
    <w:p>
      <w:pPr>
        <w:pStyle w:val="12"/>
        <w:spacing w:line="440" w:lineRule="exact"/>
        <w:rPr>
          <w:rFonts w:ascii="仿宋" w:hAnsi="仿宋" w:eastAsia="仿宋" w:cs="仿宋"/>
          <w:b/>
          <w:bCs/>
          <w:sz w:val="24"/>
        </w:rPr>
      </w:pPr>
      <w:r>
        <w:rPr>
          <w:rFonts w:hint="eastAsia" w:ascii="仿宋" w:hAnsi="仿宋" w:eastAsia="仿宋" w:cs="仿宋"/>
          <w:b/>
          <w:bCs/>
          <w:sz w:val="24"/>
        </w:rPr>
        <w:t xml:space="preserve">关于中小企业： </w:t>
      </w:r>
    </w:p>
    <w:p>
      <w:pPr>
        <w:pStyle w:val="12"/>
        <w:spacing w:line="440" w:lineRule="exact"/>
        <w:rPr>
          <w:rFonts w:ascii="仿宋" w:hAnsi="仿宋" w:eastAsia="仿宋" w:cs="仿宋"/>
          <w:b/>
          <w:bCs/>
          <w:sz w:val="24"/>
        </w:rPr>
      </w:pPr>
      <w:r>
        <w:rPr>
          <w:rFonts w:hint="eastAsia" w:ascii="仿宋" w:hAnsi="仿宋" w:eastAsia="仿宋" w:cs="仿宋"/>
          <w:b/>
          <w:bCs/>
          <w:sz w:val="24"/>
        </w:rPr>
        <w:t xml:space="preserve">在政府采购活动中，供应商提供的货物、工程或者服务符合下列情形的，享受本办 法(《财政部 工业和信息化部关于印发&lt;政府采购促进中小企业发展管理办法&gt;的通知》 （财库〔2020〕46 号）)规定的中小企业扶持政策： </w:t>
      </w:r>
    </w:p>
    <w:p>
      <w:pPr>
        <w:pStyle w:val="12"/>
        <w:numPr>
          <w:ilvl w:val="0"/>
          <w:numId w:val="16"/>
        </w:numPr>
        <w:spacing w:line="440" w:lineRule="exact"/>
        <w:rPr>
          <w:rFonts w:ascii="仿宋" w:hAnsi="仿宋" w:eastAsia="仿宋" w:cs="仿宋"/>
          <w:b/>
          <w:bCs/>
          <w:sz w:val="24"/>
        </w:rPr>
      </w:pPr>
      <w:r>
        <w:rPr>
          <w:rFonts w:hint="eastAsia" w:ascii="仿宋" w:hAnsi="仿宋" w:eastAsia="仿宋" w:cs="仿宋"/>
          <w:b/>
          <w:bCs/>
          <w:sz w:val="24"/>
        </w:rPr>
        <w:t xml:space="preserve">在货物采购项目中，货物由中小企业制造，即货物由中小企业生产且使用该 中小企业商号或者注册商标； </w:t>
      </w:r>
    </w:p>
    <w:p>
      <w:pPr>
        <w:pStyle w:val="12"/>
        <w:numPr>
          <w:ilvl w:val="0"/>
          <w:numId w:val="16"/>
        </w:numPr>
        <w:spacing w:line="440" w:lineRule="exact"/>
        <w:rPr>
          <w:rFonts w:ascii="仿宋" w:hAnsi="仿宋" w:eastAsia="仿宋" w:cs="仿宋"/>
          <w:b/>
          <w:bCs/>
          <w:sz w:val="24"/>
        </w:rPr>
      </w:pPr>
      <w:r>
        <w:rPr>
          <w:rFonts w:hint="eastAsia" w:ascii="仿宋" w:hAnsi="仿宋" w:eastAsia="仿宋" w:cs="仿宋"/>
          <w:b/>
          <w:bCs/>
          <w:sz w:val="24"/>
        </w:rPr>
        <w:t xml:space="preserve">在工程采购项目中，工程由中小企业承建，即工程施工单位为中小企业； </w:t>
      </w:r>
    </w:p>
    <w:p>
      <w:pPr>
        <w:pStyle w:val="12"/>
        <w:numPr>
          <w:ilvl w:val="0"/>
          <w:numId w:val="16"/>
        </w:numPr>
        <w:spacing w:line="440" w:lineRule="exact"/>
        <w:rPr>
          <w:rFonts w:ascii="仿宋" w:hAnsi="仿宋" w:eastAsia="仿宋" w:cs="仿宋"/>
          <w:b/>
          <w:bCs/>
          <w:sz w:val="24"/>
        </w:rPr>
      </w:pPr>
      <w:r>
        <w:rPr>
          <w:rFonts w:hint="eastAsia" w:ascii="仿宋" w:hAnsi="仿宋" w:eastAsia="仿宋" w:cs="仿宋"/>
          <w:b/>
          <w:bCs/>
          <w:sz w:val="24"/>
        </w:rPr>
        <w:t xml:space="preserve">在服务采购项目中，服务由中小企业承接，即提供服务的人员为中小企业依 照《中华人民共和国劳动合同法》订立劳动合同的从业人员。 </w:t>
      </w:r>
    </w:p>
    <w:p>
      <w:pPr>
        <w:pStyle w:val="12"/>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在货物采购项目中，供应商提供的货物既有中小企业制造货物，也有大型企业制造 货物的，不享受本办法规定的中小企业扶持政策。 </w:t>
      </w:r>
    </w:p>
    <w:p>
      <w:pPr>
        <w:pStyle w:val="12"/>
        <w:spacing w:line="440" w:lineRule="exact"/>
        <w:ind w:firstLine="482" w:firstLineChars="200"/>
        <w:rPr>
          <w:rFonts w:ascii="仿宋" w:hAnsi="仿宋" w:eastAsia="仿宋" w:cs="仿宋"/>
          <w:b/>
          <w:bCs/>
          <w:sz w:val="24"/>
        </w:rPr>
      </w:pPr>
      <w:r>
        <w:rPr>
          <w:rFonts w:hint="eastAsia" w:ascii="仿宋" w:hAnsi="仿宋" w:eastAsia="仿宋" w:cs="仿宋"/>
          <w:b/>
          <w:bCs/>
          <w:sz w:val="24"/>
        </w:rPr>
        <w:t>以联合体形式参加政府采购活动，联合体各方均为中小企业的，联合体视同中小企 业。其中，联合体各方均为小微企业的，联合体视同小微企业。</w:t>
      </w:r>
    </w:p>
    <w:p>
      <w:pPr>
        <w:pStyle w:val="12"/>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 中小企业划型标准详见《工业和信息化部、国家统计局、国家发展和改革委员会、 财政部关于印发中小企业划型标准规定的通知》（工信部联企业〔2011〕300 号）。</w:t>
      </w:r>
    </w:p>
    <w:p>
      <w:pPr>
        <w:rPr>
          <w:rFonts w:hint="eastAsia"/>
        </w:rPr>
      </w:pPr>
    </w:p>
    <w:sectPr>
      <w:headerReference r:id="rId10" w:type="default"/>
      <w:footerReference r:id="rId11" w:type="default"/>
      <w:pgSz w:w="11906" w:h="16838"/>
      <w:pgMar w:top="1440" w:right="1083" w:bottom="1440" w:left="1083"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Fonts w:asci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4</w:t>
    </w:r>
    <w:r>
      <w:fldChar w:fldCharType="end"/>
    </w:r>
  </w:p>
  <w:p>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- 54 -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JX8skBAACb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FeUOG5x4pfv3y4/fl1+fiXL&#10;l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IlfyyQEAAJs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- 54 -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3"/>
      </w:pBdr>
      <w:tabs>
        <w:tab w:val="left" w:pos="495"/>
        <w:tab w:val="center" w:pos="4649"/>
        <w:tab w:val="clear" w:pos="8306"/>
      </w:tabs>
    </w:pPr>
    <w:r>
      <w:rPr>
        <w:rFonts w:hint="eastAsia" w:ascii="宋体" w:hAnsi="宋体" w:cs="宋体"/>
        <w:sz w:val="32"/>
        <w:szCs w:val="32"/>
        <w:lang w:val="en-US" w:eastAsia="zh-CN"/>
      </w:rPr>
      <w:t xml:space="preserve">        </w:t>
    </w:r>
    <w:r>
      <w:rPr>
        <w:rFonts w:hint="eastAsia" w:ascii="宋体" w:hAnsi="宋体" w:cs="宋体"/>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3"/>
        <w:right w:val="none" w:color="auto" w:sz="0" w:space="0"/>
      </w:pBdr>
      <w:tabs>
        <w:tab w:val="left" w:pos="495"/>
        <w:tab w:val="center" w:pos="4649"/>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0"/>
        <w:right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078A3"/>
    <w:multiLevelType w:val="singleLevel"/>
    <w:tmpl w:val="912078A3"/>
    <w:lvl w:ilvl="0" w:tentative="0">
      <w:start w:val="4"/>
      <w:numFmt w:val="chineseCounting"/>
      <w:suff w:val="nothing"/>
      <w:lvlText w:val="%1、"/>
      <w:lvlJc w:val="left"/>
      <w:rPr>
        <w:rFonts w:hint="eastAsia"/>
      </w:rPr>
    </w:lvl>
  </w:abstractNum>
  <w:abstractNum w:abstractNumId="1">
    <w:nsid w:val="937FFC84"/>
    <w:multiLevelType w:val="singleLevel"/>
    <w:tmpl w:val="937FFC84"/>
    <w:lvl w:ilvl="0" w:tentative="0">
      <w:start w:val="1"/>
      <w:numFmt w:val="chineseCounting"/>
      <w:suff w:val="nothing"/>
      <w:lvlText w:val="第%1章、"/>
      <w:lvlJc w:val="left"/>
      <w:rPr>
        <w:rFonts w:hint="eastAsia"/>
      </w:rPr>
    </w:lvl>
  </w:abstractNum>
  <w:abstractNum w:abstractNumId="2">
    <w:nsid w:val="BBB82AD8"/>
    <w:multiLevelType w:val="singleLevel"/>
    <w:tmpl w:val="BBB82AD8"/>
    <w:lvl w:ilvl="0" w:tentative="0">
      <w:start w:val="1"/>
      <w:numFmt w:val="decimal"/>
      <w:suff w:val="nothing"/>
      <w:lvlText w:val="%1、"/>
      <w:lvlJc w:val="left"/>
      <w:pPr>
        <w:ind w:left="150"/>
      </w:pPr>
    </w:lvl>
  </w:abstractNum>
  <w:abstractNum w:abstractNumId="3">
    <w:nsid w:val="D775F30B"/>
    <w:multiLevelType w:val="singleLevel"/>
    <w:tmpl w:val="D775F30B"/>
    <w:lvl w:ilvl="0" w:tentative="0">
      <w:start w:val="2"/>
      <w:numFmt w:val="chineseCounting"/>
      <w:suff w:val="nothing"/>
      <w:lvlText w:val="%1、"/>
      <w:lvlJc w:val="left"/>
      <w:rPr>
        <w:rFonts w:hint="eastAsia"/>
      </w:rPr>
    </w:lvl>
  </w:abstractNum>
  <w:abstractNum w:abstractNumId="4">
    <w:nsid w:val="05E2165D"/>
    <w:multiLevelType w:val="singleLevel"/>
    <w:tmpl w:val="05E2165D"/>
    <w:lvl w:ilvl="0" w:tentative="0">
      <w:start w:val="1"/>
      <w:numFmt w:val="decimal"/>
      <w:lvlText w:val="%1."/>
      <w:lvlJc w:val="left"/>
      <w:pPr>
        <w:tabs>
          <w:tab w:val="left" w:pos="312"/>
        </w:tabs>
      </w:pPr>
    </w:lvl>
  </w:abstractNum>
  <w:abstractNum w:abstractNumId="5">
    <w:nsid w:val="144290D1"/>
    <w:multiLevelType w:val="singleLevel"/>
    <w:tmpl w:val="144290D1"/>
    <w:lvl w:ilvl="0" w:tentative="0">
      <w:start w:val="1"/>
      <w:numFmt w:val="decimal"/>
      <w:suff w:val="nothing"/>
      <w:lvlText w:val="%1、"/>
      <w:lvlJc w:val="left"/>
    </w:lvl>
  </w:abstractNum>
  <w:abstractNum w:abstractNumId="6">
    <w:nsid w:val="183C604A"/>
    <w:multiLevelType w:val="singleLevel"/>
    <w:tmpl w:val="183C604A"/>
    <w:lvl w:ilvl="0" w:tentative="0">
      <w:start w:val="1"/>
      <w:numFmt w:val="japaneseCounting"/>
      <w:pStyle w:val="43"/>
      <w:lvlText w:val="%1、"/>
      <w:lvlJc w:val="left"/>
      <w:pPr>
        <w:tabs>
          <w:tab w:val="left" w:pos="960"/>
        </w:tabs>
        <w:ind w:left="960" w:hanging="480"/>
      </w:pPr>
      <w:rPr>
        <w:rFonts w:hint="eastAsia"/>
        <w:b/>
      </w:rPr>
    </w:lvl>
  </w:abstractNum>
  <w:abstractNum w:abstractNumId="7">
    <w:nsid w:val="1CF2277C"/>
    <w:multiLevelType w:val="multilevel"/>
    <w:tmpl w:val="1CF2277C"/>
    <w:lvl w:ilvl="0" w:tentative="0">
      <w:start w:val="1"/>
      <w:numFmt w:val="decimalEnclosedCircle"/>
      <w:lvlText w:val="%1"/>
      <w:lvlJc w:val="left"/>
      <w:pPr>
        <w:ind w:left="842" w:hanging="360"/>
      </w:pPr>
      <w:rPr>
        <w:rFonts w:hint="default" w:hAnsi="宋体" w:cs="Times New Roman"/>
      </w:rPr>
    </w:lvl>
    <w:lvl w:ilvl="1" w:tentative="0">
      <w:start w:val="1"/>
      <w:numFmt w:val="decimal"/>
      <w:lvlText w:val="（%2）"/>
      <w:lvlJc w:val="left"/>
      <w:pPr>
        <w:tabs>
          <w:tab w:val="left" w:pos="1622"/>
        </w:tabs>
        <w:ind w:left="1622" w:hanging="720"/>
      </w:pPr>
      <w:rPr>
        <w:rFonts w:hint="default" w:cs="Times New Roman"/>
        <w:color w:val="auto"/>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8">
    <w:nsid w:val="28F3D0F5"/>
    <w:multiLevelType w:val="singleLevel"/>
    <w:tmpl w:val="28F3D0F5"/>
    <w:lvl w:ilvl="0" w:tentative="0">
      <w:start w:val="4"/>
      <w:numFmt w:val="chineseCounting"/>
      <w:suff w:val="nothing"/>
      <w:lvlText w:val="第%1章、"/>
      <w:lvlJc w:val="left"/>
      <w:rPr>
        <w:rFonts w:hint="eastAsia"/>
      </w:rPr>
    </w:lvl>
  </w:abstractNum>
  <w:abstractNum w:abstractNumId="9">
    <w:nsid w:val="2C20E420"/>
    <w:multiLevelType w:val="singleLevel"/>
    <w:tmpl w:val="2C20E420"/>
    <w:lvl w:ilvl="0" w:tentative="0">
      <w:start w:val="3"/>
      <w:numFmt w:val="decimal"/>
      <w:lvlText w:val="%1."/>
      <w:lvlJc w:val="left"/>
      <w:pPr>
        <w:tabs>
          <w:tab w:val="left" w:pos="312"/>
        </w:tabs>
      </w:pPr>
    </w:lvl>
  </w:abstractNum>
  <w:abstractNum w:abstractNumId="10">
    <w:nsid w:val="2F20DA68"/>
    <w:multiLevelType w:val="singleLevel"/>
    <w:tmpl w:val="2F20DA68"/>
    <w:lvl w:ilvl="0" w:tentative="0">
      <w:start w:val="1"/>
      <w:numFmt w:val="chineseCounting"/>
      <w:suff w:val="nothing"/>
      <w:lvlText w:val="（%1）"/>
      <w:lvlJc w:val="left"/>
      <w:rPr>
        <w:rFonts w:hint="eastAsia"/>
      </w:rPr>
    </w:lvl>
  </w:abstractNum>
  <w:abstractNum w:abstractNumId="11">
    <w:nsid w:val="31CFF09D"/>
    <w:multiLevelType w:val="singleLevel"/>
    <w:tmpl w:val="31CFF09D"/>
    <w:lvl w:ilvl="0" w:tentative="0">
      <w:start w:val="3"/>
      <w:numFmt w:val="chineseCounting"/>
      <w:suff w:val="nothing"/>
      <w:lvlText w:val="第%1部分、"/>
      <w:lvlJc w:val="left"/>
      <w:rPr>
        <w:rFonts w:hint="eastAsia"/>
      </w:rPr>
    </w:lvl>
  </w:abstractNum>
  <w:abstractNum w:abstractNumId="12">
    <w:nsid w:val="3287E947"/>
    <w:multiLevelType w:val="singleLevel"/>
    <w:tmpl w:val="3287E947"/>
    <w:lvl w:ilvl="0" w:tentative="0">
      <w:start w:val="3"/>
      <w:numFmt w:val="chineseCounting"/>
      <w:suff w:val="nothing"/>
      <w:lvlText w:val="%1、"/>
      <w:lvlJc w:val="left"/>
      <w:rPr>
        <w:rFonts w:hint="eastAsia"/>
      </w:rPr>
    </w:lvl>
  </w:abstractNum>
  <w:abstractNum w:abstractNumId="13">
    <w:nsid w:val="53990C03"/>
    <w:multiLevelType w:val="singleLevel"/>
    <w:tmpl w:val="53990C03"/>
    <w:lvl w:ilvl="0" w:tentative="0">
      <w:start w:val="2"/>
      <w:numFmt w:val="decimal"/>
      <w:suff w:val="nothing"/>
      <w:lvlText w:val="%1、"/>
      <w:lvlJc w:val="left"/>
      <w:rPr>
        <w:rFonts w:cs="Times New Roman"/>
      </w:rPr>
    </w:lvl>
  </w:abstractNum>
  <w:abstractNum w:abstractNumId="14">
    <w:nsid w:val="58DCC3BA"/>
    <w:multiLevelType w:val="singleLevel"/>
    <w:tmpl w:val="58DCC3BA"/>
    <w:lvl w:ilvl="0" w:tentative="0">
      <w:start w:val="1"/>
      <w:numFmt w:val="decimal"/>
      <w:suff w:val="nothing"/>
      <w:lvlText w:val="%1．"/>
      <w:lvlJc w:val="left"/>
    </w:lvl>
  </w:abstractNum>
  <w:abstractNum w:abstractNumId="15">
    <w:nsid w:val="591526C9"/>
    <w:multiLevelType w:val="singleLevel"/>
    <w:tmpl w:val="591526C9"/>
    <w:lvl w:ilvl="0" w:tentative="0">
      <w:start w:val="1"/>
      <w:numFmt w:val="decimal"/>
      <w:suff w:val="nothing"/>
      <w:lvlText w:val="（%1）"/>
      <w:lvlJc w:val="left"/>
      <w:pPr>
        <w:ind w:left="0" w:firstLine="420"/>
      </w:pPr>
      <w:rPr>
        <w:rFonts w:hint="default"/>
      </w:rPr>
    </w:lvl>
  </w:abstractNum>
  <w:num w:numId="1">
    <w:abstractNumId w:val="6"/>
  </w:num>
  <w:num w:numId="2">
    <w:abstractNumId w:val="1"/>
  </w:num>
  <w:num w:numId="3">
    <w:abstractNumId w:val="3"/>
  </w:num>
  <w:num w:numId="4">
    <w:abstractNumId w:val="0"/>
  </w:num>
  <w:num w:numId="5">
    <w:abstractNumId w:val="4"/>
  </w:num>
  <w:num w:numId="6">
    <w:abstractNumId w:val="9"/>
  </w:num>
  <w:num w:numId="7">
    <w:abstractNumId w:val="12"/>
  </w:num>
  <w:num w:numId="8">
    <w:abstractNumId w:val="15"/>
  </w:num>
  <w:num w:numId="9">
    <w:abstractNumId w:val="8"/>
  </w:num>
  <w:num w:numId="10">
    <w:abstractNumId w:val="11"/>
  </w:num>
  <w:num w:numId="11">
    <w:abstractNumId w:val="7"/>
  </w:num>
  <w:num w:numId="12">
    <w:abstractNumId w:val="14"/>
  </w:num>
  <w:num w:numId="13">
    <w:abstractNumId w:val="5"/>
  </w:num>
  <w:num w:numId="14">
    <w:abstractNumId w:val="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YzRiMGI3ZjQ5YTJjYzY5M2I4ODMyNTE4NzdhYWUifQ=="/>
  </w:docVars>
  <w:rsids>
    <w:rsidRoot w:val="50004A95"/>
    <w:rsid w:val="000326EB"/>
    <w:rsid w:val="00044DD5"/>
    <w:rsid w:val="00045C96"/>
    <w:rsid w:val="0004637B"/>
    <w:rsid w:val="000C1451"/>
    <w:rsid w:val="00145F98"/>
    <w:rsid w:val="0019566A"/>
    <w:rsid w:val="00202FA0"/>
    <w:rsid w:val="0020615F"/>
    <w:rsid w:val="00263DDC"/>
    <w:rsid w:val="002B66EF"/>
    <w:rsid w:val="002C6FCE"/>
    <w:rsid w:val="00381ACB"/>
    <w:rsid w:val="003913B3"/>
    <w:rsid w:val="004543AC"/>
    <w:rsid w:val="00472BA6"/>
    <w:rsid w:val="004C4556"/>
    <w:rsid w:val="005B31F9"/>
    <w:rsid w:val="007276F2"/>
    <w:rsid w:val="008214B2"/>
    <w:rsid w:val="008A75C7"/>
    <w:rsid w:val="008D4526"/>
    <w:rsid w:val="009364C7"/>
    <w:rsid w:val="0099201E"/>
    <w:rsid w:val="009B3ACF"/>
    <w:rsid w:val="00A3305D"/>
    <w:rsid w:val="00B068A1"/>
    <w:rsid w:val="00B174BB"/>
    <w:rsid w:val="00B4267B"/>
    <w:rsid w:val="00BD1062"/>
    <w:rsid w:val="00C6593F"/>
    <w:rsid w:val="00C82A1E"/>
    <w:rsid w:val="00CD1E3B"/>
    <w:rsid w:val="00CD7C0E"/>
    <w:rsid w:val="00D24806"/>
    <w:rsid w:val="00D4613E"/>
    <w:rsid w:val="00DE3FBC"/>
    <w:rsid w:val="00DF2520"/>
    <w:rsid w:val="00E0770D"/>
    <w:rsid w:val="00E30219"/>
    <w:rsid w:val="00F735C3"/>
    <w:rsid w:val="00FC2C02"/>
    <w:rsid w:val="00FD01EA"/>
    <w:rsid w:val="010704F4"/>
    <w:rsid w:val="011E260D"/>
    <w:rsid w:val="011E7592"/>
    <w:rsid w:val="01366D71"/>
    <w:rsid w:val="01463B4E"/>
    <w:rsid w:val="01480530"/>
    <w:rsid w:val="014C4DA3"/>
    <w:rsid w:val="014E595C"/>
    <w:rsid w:val="01571C2A"/>
    <w:rsid w:val="01594349"/>
    <w:rsid w:val="016D484A"/>
    <w:rsid w:val="01743C05"/>
    <w:rsid w:val="01837790"/>
    <w:rsid w:val="018E78D6"/>
    <w:rsid w:val="01947EDD"/>
    <w:rsid w:val="019E7CAE"/>
    <w:rsid w:val="01D15279"/>
    <w:rsid w:val="01DA3851"/>
    <w:rsid w:val="01DF7FBF"/>
    <w:rsid w:val="01EA6D9C"/>
    <w:rsid w:val="01F757DA"/>
    <w:rsid w:val="01FE6394"/>
    <w:rsid w:val="02025C15"/>
    <w:rsid w:val="020533DA"/>
    <w:rsid w:val="02073EE0"/>
    <w:rsid w:val="020F6F98"/>
    <w:rsid w:val="02131738"/>
    <w:rsid w:val="021A142D"/>
    <w:rsid w:val="022015EB"/>
    <w:rsid w:val="02215FDE"/>
    <w:rsid w:val="02254726"/>
    <w:rsid w:val="023379D3"/>
    <w:rsid w:val="023E5477"/>
    <w:rsid w:val="02467A5F"/>
    <w:rsid w:val="0248531A"/>
    <w:rsid w:val="024A5721"/>
    <w:rsid w:val="024C2043"/>
    <w:rsid w:val="025026DA"/>
    <w:rsid w:val="025C4B56"/>
    <w:rsid w:val="026F19EA"/>
    <w:rsid w:val="02705CCA"/>
    <w:rsid w:val="0273150F"/>
    <w:rsid w:val="0296303F"/>
    <w:rsid w:val="02972CC3"/>
    <w:rsid w:val="029B419A"/>
    <w:rsid w:val="029D09FE"/>
    <w:rsid w:val="02A953FB"/>
    <w:rsid w:val="02AD62A7"/>
    <w:rsid w:val="02B17140"/>
    <w:rsid w:val="02B46D8D"/>
    <w:rsid w:val="02D42EBE"/>
    <w:rsid w:val="02DB6483"/>
    <w:rsid w:val="02E46A30"/>
    <w:rsid w:val="02FA37F6"/>
    <w:rsid w:val="02FF1BA6"/>
    <w:rsid w:val="03125D1A"/>
    <w:rsid w:val="03202D4E"/>
    <w:rsid w:val="0324414F"/>
    <w:rsid w:val="03306BD1"/>
    <w:rsid w:val="033345D4"/>
    <w:rsid w:val="0342435F"/>
    <w:rsid w:val="03487F26"/>
    <w:rsid w:val="034C7867"/>
    <w:rsid w:val="034F16AD"/>
    <w:rsid w:val="03577520"/>
    <w:rsid w:val="035B3C5B"/>
    <w:rsid w:val="035C4450"/>
    <w:rsid w:val="0363786B"/>
    <w:rsid w:val="03715449"/>
    <w:rsid w:val="0374734A"/>
    <w:rsid w:val="03796B08"/>
    <w:rsid w:val="037D4B14"/>
    <w:rsid w:val="037F3802"/>
    <w:rsid w:val="03911CEB"/>
    <w:rsid w:val="039B58CD"/>
    <w:rsid w:val="03A86FE5"/>
    <w:rsid w:val="03AB14DF"/>
    <w:rsid w:val="03C93517"/>
    <w:rsid w:val="03CF244B"/>
    <w:rsid w:val="03D24025"/>
    <w:rsid w:val="03D47C0C"/>
    <w:rsid w:val="03E10DFD"/>
    <w:rsid w:val="03F624A2"/>
    <w:rsid w:val="040354C1"/>
    <w:rsid w:val="04113DB2"/>
    <w:rsid w:val="0428512F"/>
    <w:rsid w:val="042B5900"/>
    <w:rsid w:val="04345468"/>
    <w:rsid w:val="043641EE"/>
    <w:rsid w:val="043C5E4E"/>
    <w:rsid w:val="044400C3"/>
    <w:rsid w:val="0444114C"/>
    <w:rsid w:val="044F1106"/>
    <w:rsid w:val="04573DDB"/>
    <w:rsid w:val="04675B95"/>
    <w:rsid w:val="047168CE"/>
    <w:rsid w:val="047934EF"/>
    <w:rsid w:val="0499065C"/>
    <w:rsid w:val="04AD62B3"/>
    <w:rsid w:val="04B2078A"/>
    <w:rsid w:val="04B24ECF"/>
    <w:rsid w:val="04D270A7"/>
    <w:rsid w:val="04D31337"/>
    <w:rsid w:val="04E233F3"/>
    <w:rsid w:val="04ED03BC"/>
    <w:rsid w:val="05136066"/>
    <w:rsid w:val="05140EB1"/>
    <w:rsid w:val="052355BD"/>
    <w:rsid w:val="052B5239"/>
    <w:rsid w:val="05372F35"/>
    <w:rsid w:val="0539586B"/>
    <w:rsid w:val="053A2376"/>
    <w:rsid w:val="054927BA"/>
    <w:rsid w:val="055503F5"/>
    <w:rsid w:val="055661F0"/>
    <w:rsid w:val="055F4D8F"/>
    <w:rsid w:val="05615144"/>
    <w:rsid w:val="0567110B"/>
    <w:rsid w:val="056754D2"/>
    <w:rsid w:val="05694D1B"/>
    <w:rsid w:val="056D3C15"/>
    <w:rsid w:val="05722181"/>
    <w:rsid w:val="05842425"/>
    <w:rsid w:val="058916B8"/>
    <w:rsid w:val="058E05E6"/>
    <w:rsid w:val="05954FA3"/>
    <w:rsid w:val="05A81488"/>
    <w:rsid w:val="05A8388B"/>
    <w:rsid w:val="05A857EB"/>
    <w:rsid w:val="05B0386F"/>
    <w:rsid w:val="05C40521"/>
    <w:rsid w:val="05C63BC0"/>
    <w:rsid w:val="05D62E8D"/>
    <w:rsid w:val="05E1620A"/>
    <w:rsid w:val="05F32219"/>
    <w:rsid w:val="05F81255"/>
    <w:rsid w:val="05FD21BA"/>
    <w:rsid w:val="060338AA"/>
    <w:rsid w:val="06055D29"/>
    <w:rsid w:val="060572BB"/>
    <w:rsid w:val="060B1C93"/>
    <w:rsid w:val="06114D70"/>
    <w:rsid w:val="06165A35"/>
    <w:rsid w:val="0621399A"/>
    <w:rsid w:val="063C2227"/>
    <w:rsid w:val="063C3093"/>
    <w:rsid w:val="063D4C86"/>
    <w:rsid w:val="063F384F"/>
    <w:rsid w:val="06464B1D"/>
    <w:rsid w:val="064F790C"/>
    <w:rsid w:val="06620544"/>
    <w:rsid w:val="06640DE3"/>
    <w:rsid w:val="0675449C"/>
    <w:rsid w:val="06773CD6"/>
    <w:rsid w:val="068B2214"/>
    <w:rsid w:val="069208EF"/>
    <w:rsid w:val="06BB746F"/>
    <w:rsid w:val="06BF3675"/>
    <w:rsid w:val="06C6119F"/>
    <w:rsid w:val="06D07D5A"/>
    <w:rsid w:val="06D91289"/>
    <w:rsid w:val="06DA1A9B"/>
    <w:rsid w:val="06DE1E85"/>
    <w:rsid w:val="06E60F80"/>
    <w:rsid w:val="06E650DE"/>
    <w:rsid w:val="06E810FC"/>
    <w:rsid w:val="06EE4C18"/>
    <w:rsid w:val="06F357D1"/>
    <w:rsid w:val="06F9233E"/>
    <w:rsid w:val="06FA3997"/>
    <w:rsid w:val="06FA41C0"/>
    <w:rsid w:val="07002692"/>
    <w:rsid w:val="0704190E"/>
    <w:rsid w:val="073379EF"/>
    <w:rsid w:val="074243D2"/>
    <w:rsid w:val="07475F02"/>
    <w:rsid w:val="074E57A7"/>
    <w:rsid w:val="075E7BE2"/>
    <w:rsid w:val="077735E7"/>
    <w:rsid w:val="078119DB"/>
    <w:rsid w:val="07864F73"/>
    <w:rsid w:val="078652A6"/>
    <w:rsid w:val="078C01E4"/>
    <w:rsid w:val="0791492A"/>
    <w:rsid w:val="07945321"/>
    <w:rsid w:val="079575A1"/>
    <w:rsid w:val="07993E2C"/>
    <w:rsid w:val="07997108"/>
    <w:rsid w:val="079B59C4"/>
    <w:rsid w:val="07B06896"/>
    <w:rsid w:val="07B22191"/>
    <w:rsid w:val="07B3454C"/>
    <w:rsid w:val="07BE3EE0"/>
    <w:rsid w:val="07CA18BF"/>
    <w:rsid w:val="07CB5F82"/>
    <w:rsid w:val="07CE52E1"/>
    <w:rsid w:val="07D41D6C"/>
    <w:rsid w:val="07DF436F"/>
    <w:rsid w:val="07EE2807"/>
    <w:rsid w:val="07F007CE"/>
    <w:rsid w:val="07F14174"/>
    <w:rsid w:val="07FD6C65"/>
    <w:rsid w:val="080462C5"/>
    <w:rsid w:val="0812475C"/>
    <w:rsid w:val="081456CF"/>
    <w:rsid w:val="081E38B6"/>
    <w:rsid w:val="08263EFD"/>
    <w:rsid w:val="082C19AD"/>
    <w:rsid w:val="08386501"/>
    <w:rsid w:val="083B104E"/>
    <w:rsid w:val="084B4067"/>
    <w:rsid w:val="085612E9"/>
    <w:rsid w:val="08933571"/>
    <w:rsid w:val="089F49D3"/>
    <w:rsid w:val="08BE1F7C"/>
    <w:rsid w:val="08CC47DB"/>
    <w:rsid w:val="08CD154C"/>
    <w:rsid w:val="08CD7D6D"/>
    <w:rsid w:val="08CF1D93"/>
    <w:rsid w:val="08D20336"/>
    <w:rsid w:val="08D76ACB"/>
    <w:rsid w:val="08DA4640"/>
    <w:rsid w:val="08E7079B"/>
    <w:rsid w:val="08F30C67"/>
    <w:rsid w:val="08FE375C"/>
    <w:rsid w:val="091431C0"/>
    <w:rsid w:val="091D3147"/>
    <w:rsid w:val="092265AB"/>
    <w:rsid w:val="09270C87"/>
    <w:rsid w:val="092C2843"/>
    <w:rsid w:val="093570FD"/>
    <w:rsid w:val="093B4776"/>
    <w:rsid w:val="093F76AF"/>
    <w:rsid w:val="09463EBF"/>
    <w:rsid w:val="09472EE3"/>
    <w:rsid w:val="094812A8"/>
    <w:rsid w:val="09540D33"/>
    <w:rsid w:val="095549BD"/>
    <w:rsid w:val="0964585E"/>
    <w:rsid w:val="096545A8"/>
    <w:rsid w:val="096B4D1A"/>
    <w:rsid w:val="096E7CD8"/>
    <w:rsid w:val="09710848"/>
    <w:rsid w:val="097E0211"/>
    <w:rsid w:val="097E79AC"/>
    <w:rsid w:val="098B32FC"/>
    <w:rsid w:val="099124C9"/>
    <w:rsid w:val="09A807B8"/>
    <w:rsid w:val="09B21903"/>
    <w:rsid w:val="09B35434"/>
    <w:rsid w:val="09B87492"/>
    <w:rsid w:val="09CB025C"/>
    <w:rsid w:val="09D3109A"/>
    <w:rsid w:val="09DB0EED"/>
    <w:rsid w:val="0A0474FC"/>
    <w:rsid w:val="0A1E6A0D"/>
    <w:rsid w:val="0A2936FA"/>
    <w:rsid w:val="0A5075F2"/>
    <w:rsid w:val="0A5E744E"/>
    <w:rsid w:val="0A5F2BB6"/>
    <w:rsid w:val="0A725A71"/>
    <w:rsid w:val="0A730821"/>
    <w:rsid w:val="0A7C341E"/>
    <w:rsid w:val="0A802980"/>
    <w:rsid w:val="0A8729A8"/>
    <w:rsid w:val="0A88373C"/>
    <w:rsid w:val="0A890FD1"/>
    <w:rsid w:val="0A8C2AE7"/>
    <w:rsid w:val="0A920A71"/>
    <w:rsid w:val="0A9D1EE3"/>
    <w:rsid w:val="0AA2391D"/>
    <w:rsid w:val="0AB367C5"/>
    <w:rsid w:val="0AD16AC7"/>
    <w:rsid w:val="0ADF42DF"/>
    <w:rsid w:val="0AE1397F"/>
    <w:rsid w:val="0AF21749"/>
    <w:rsid w:val="0AF270C8"/>
    <w:rsid w:val="0AF5551D"/>
    <w:rsid w:val="0B073E1A"/>
    <w:rsid w:val="0B0E0726"/>
    <w:rsid w:val="0B16329F"/>
    <w:rsid w:val="0B1845FE"/>
    <w:rsid w:val="0B252ACD"/>
    <w:rsid w:val="0B2A4D8B"/>
    <w:rsid w:val="0B3F32A4"/>
    <w:rsid w:val="0B416D3C"/>
    <w:rsid w:val="0B4A0E16"/>
    <w:rsid w:val="0B5851DD"/>
    <w:rsid w:val="0B632CA7"/>
    <w:rsid w:val="0B673047"/>
    <w:rsid w:val="0B7863E5"/>
    <w:rsid w:val="0B8E7B48"/>
    <w:rsid w:val="0B8F5E30"/>
    <w:rsid w:val="0B9959F8"/>
    <w:rsid w:val="0B9E4CF4"/>
    <w:rsid w:val="0BAF49D6"/>
    <w:rsid w:val="0BC6579A"/>
    <w:rsid w:val="0BC73AC2"/>
    <w:rsid w:val="0BD63383"/>
    <w:rsid w:val="0BE37048"/>
    <w:rsid w:val="0BED7AC5"/>
    <w:rsid w:val="0BF27574"/>
    <w:rsid w:val="0BF541CC"/>
    <w:rsid w:val="0BFD12ED"/>
    <w:rsid w:val="0BFE70FF"/>
    <w:rsid w:val="0C0A156B"/>
    <w:rsid w:val="0C1F324C"/>
    <w:rsid w:val="0C3A6D73"/>
    <w:rsid w:val="0C402F20"/>
    <w:rsid w:val="0C4619CC"/>
    <w:rsid w:val="0C485A59"/>
    <w:rsid w:val="0C4A238F"/>
    <w:rsid w:val="0C4C4758"/>
    <w:rsid w:val="0C516B57"/>
    <w:rsid w:val="0C580C01"/>
    <w:rsid w:val="0C5B233E"/>
    <w:rsid w:val="0C5B5B49"/>
    <w:rsid w:val="0C630E99"/>
    <w:rsid w:val="0C637445"/>
    <w:rsid w:val="0C702DA2"/>
    <w:rsid w:val="0C717FB9"/>
    <w:rsid w:val="0C7C7A51"/>
    <w:rsid w:val="0C924A55"/>
    <w:rsid w:val="0C9662E2"/>
    <w:rsid w:val="0C995AEA"/>
    <w:rsid w:val="0CAC35E8"/>
    <w:rsid w:val="0CB4133E"/>
    <w:rsid w:val="0CB95CA7"/>
    <w:rsid w:val="0CBE2E03"/>
    <w:rsid w:val="0CC85E5C"/>
    <w:rsid w:val="0CC950D4"/>
    <w:rsid w:val="0CCC323C"/>
    <w:rsid w:val="0CCD2C73"/>
    <w:rsid w:val="0CD44C39"/>
    <w:rsid w:val="0CE34C34"/>
    <w:rsid w:val="0CFA5D89"/>
    <w:rsid w:val="0CFF69EC"/>
    <w:rsid w:val="0D0023EB"/>
    <w:rsid w:val="0D0071CD"/>
    <w:rsid w:val="0D1C537A"/>
    <w:rsid w:val="0D1E152F"/>
    <w:rsid w:val="0D204D74"/>
    <w:rsid w:val="0D257764"/>
    <w:rsid w:val="0D2A7456"/>
    <w:rsid w:val="0D335317"/>
    <w:rsid w:val="0D3B4FB7"/>
    <w:rsid w:val="0D3D15F3"/>
    <w:rsid w:val="0D454706"/>
    <w:rsid w:val="0D47378E"/>
    <w:rsid w:val="0D484BB5"/>
    <w:rsid w:val="0D49663A"/>
    <w:rsid w:val="0D4E775C"/>
    <w:rsid w:val="0D571EA4"/>
    <w:rsid w:val="0D855638"/>
    <w:rsid w:val="0D86241A"/>
    <w:rsid w:val="0D887384"/>
    <w:rsid w:val="0D912A5A"/>
    <w:rsid w:val="0DA5091D"/>
    <w:rsid w:val="0DA562C2"/>
    <w:rsid w:val="0DAC6279"/>
    <w:rsid w:val="0DB50C5B"/>
    <w:rsid w:val="0DBF1698"/>
    <w:rsid w:val="0DD90E2A"/>
    <w:rsid w:val="0DE41035"/>
    <w:rsid w:val="0DE73D26"/>
    <w:rsid w:val="0DF70154"/>
    <w:rsid w:val="0E06277D"/>
    <w:rsid w:val="0E0855CB"/>
    <w:rsid w:val="0E0B58F1"/>
    <w:rsid w:val="0E0D410E"/>
    <w:rsid w:val="0E1441CE"/>
    <w:rsid w:val="0E155115"/>
    <w:rsid w:val="0E17011C"/>
    <w:rsid w:val="0E185C8C"/>
    <w:rsid w:val="0E19492C"/>
    <w:rsid w:val="0E1A6CCC"/>
    <w:rsid w:val="0E3E78BB"/>
    <w:rsid w:val="0E5476D6"/>
    <w:rsid w:val="0E5B12B7"/>
    <w:rsid w:val="0E5D22D5"/>
    <w:rsid w:val="0E5E0B9E"/>
    <w:rsid w:val="0E64533D"/>
    <w:rsid w:val="0E781379"/>
    <w:rsid w:val="0E836001"/>
    <w:rsid w:val="0E8D27BF"/>
    <w:rsid w:val="0E907564"/>
    <w:rsid w:val="0E974DD1"/>
    <w:rsid w:val="0EA93B4E"/>
    <w:rsid w:val="0EB2394C"/>
    <w:rsid w:val="0EBE26B7"/>
    <w:rsid w:val="0EC16B2F"/>
    <w:rsid w:val="0EC401C9"/>
    <w:rsid w:val="0ECF0130"/>
    <w:rsid w:val="0ED1228F"/>
    <w:rsid w:val="0ED15AE5"/>
    <w:rsid w:val="0ED51FD4"/>
    <w:rsid w:val="0EEA1C0B"/>
    <w:rsid w:val="0EF240F7"/>
    <w:rsid w:val="0EFA7D62"/>
    <w:rsid w:val="0EFD0CBE"/>
    <w:rsid w:val="0EFF6E1C"/>
    <w:rsid w:val="0F0811EB"/>
    <w:rsid w:val="0F1105D9"/>
    <w:rsid w:val="0F2C27D3"/>
    <w:rsid w:val="0F3D13DF"/>
    <w:rsid w:val="0F451A79"/>
    <w:rsid w:val="0F4A6B5A"/>
    <w:rsid w:val="0F5E1D4E"/>
    <w:rsid w:val="0F677A31"/>
    <w:rsid w:val="0F6861F3"/>
    <w:rsid w:val="0F6E79CD"/>
    <w:rsid w:val="0F734444"/>
    <w:rsid w:val="0F781459"/>
    <w:rsid w:val="0F7D63F1"/>
    <w:rsid w:val="0F7E56D2"/>
    <w:rsid w:val="0F8960AD"/>
    <w:rsid w:val="0F940C54"/>
    <w:rsid w:val="0F975DF1"/>
    <w:rsid w:val="0F98500F"/>
    <w:rsid w:val="0F995918"/>
    <w:rsid w:val="0F9F15F1"/>
    <w:rsid w:val="0FB02B1B"/>
    <w:rsid w:val="0FB51D65"/>
    <w:rsid w:val="0FBB74C6"/>
    <w:rsid w:val="0FC06022"/>
    <w:rsid w:val="0FCC60E0"/>
    <w:rsid w:val="0FD14447"/>
    <w:rsid w:val="0FD34215"/>
    <w:rsid w:val="0FED0C72"/>
    <w:rsid w:val="0FF37B00"/>
    <w:rsid w:val="0FFC5A4C"/>
    <w:rsid w:val="10035E7A"/>
    <w:rsid w:val="1017288D"/>
    <w:rsid w:val="101F4203"/>
    <w:rsid w:val="102A3851"/>
    <w:rsid w:val="1031363C"/>
    <w:rsid w:val="10356A02"/>
    <w:rsid w:val="10381CFB"/>
    <w:rsid w:val="104076B2"/>
    <w:rsid w:val="10443145"/>
    <w:rsid w:val="104A3184"/>
    <w:rsid w:val="106D1765"/>
    <w:rsid w:val="107B1239"/>
    <w:rsid w:val="107B17B8"/>
    <w:rsid w:val="107C0890"/>
    <w:rsid w:val="107F261A"/>
    <w:rsid w:val="108F132C"/>
    <w:rsid w:val="109F30F6"/>
    <w:rsid w:val="10A43817"/>
    <w:rsid w:val="10B371E3"/>
    <w:rsid w:val="10B70B08"/>
    <w:rsid w:val="10B97A57"/>
    <w:rsid w:val="10BC2E1E"/>
    <w:rsid w:val="10C57C93"/>
    <w:rsid w:val="10CB3F61"/>
    <w:rsid w:val="10CC1755"/>
    <w:rsid w:val="10D44DB4"/>
    <w:rsid w:val="10D92E90"/>
    <w:rsid w:val="10DE0D65"/>
    <w:rsid w:val="10DF1DCF"/>
    <w:rsid w:val="10E01CA2"/>
    <w:rsid w:val="10E1466E"/>
    <w:rsid w:val="10E92E92"/>
    <w:rsid w:val="10ED3107"/>
    <w:rsid w:val="10ED6644"/>
    <w:rsid w:val="10F36923"/>
    <w:rsid w:val="11036F85"/>
    <w:rsid w:val="110D7DA4"/>
    <w:rsid w:val="11244F9E"/>
    <w:rsid w:val="112F4A97"/>
    <w:rsid w:val="1132659A"/>
    <w:rsid w:val="11367FF6"/>
    <w:rsid w:val="11381B27"/>
    <w:rsid w:val="11424A69"/>
    <w:rsid w:val="11464D8D"/>
    <w:rsid w:val="1152574B"/>
    <w:rsid w:val="11652E2A"/>
    <w:rsid w:val="11851A8E"/>
    <w:rsid w:val="118C0DC2"/>
    <w:rsid w:val="118F1327"/>
    <w:rsid w:val="119F60D1"/>
    <w:rsid w:val="11BB0A89"/>
    <w:rsid w:val="11CF1344"/>
    <w:rsid w:val="11D43519"/>
    <w:rsid w:val="11EC5ACC"/>
    <w:rsid w:val="11EE44C0"/>
    <w:rsid w:val="11F35831"/>
    <w:rsid w:val="11FB2BF2"/>
    <w:rsid w:val="12196EE4"/>
    <w:rsid w:val="122E473C"/>
    <w:rsid w:val="1234146E"/>
    <w:rsid w:val="12583EBD"/>
    <w:rsid w:val="12592666"/>
    <w:rsid w:val="126429FC"/>
    <w:rsid w:val="127B7856"/>
    <w:rsid w:val="127C677E"/>
    <w:rsid w:val="12817754"/>
    <w:rsid w:val="128D4A24"/>
    <w:rsid w:val="128F5F97"/>
    <w:rsid w:val="12913A60"/>
    <w:rsid w:val="129C3C8E"/>
    <w:rsid w:val="129F2AC0"/>
    <w:rsid w:val="12A570BB"/>
    <w:rsid w:val="12AF3AB7"/>
    <w:rsid w:val="12BC6A4E"/>
    <w:rsid w:val="12BE3152"/>
    <w:rsid w:val="12D01526"/>
    <w:rsid w:val="12D10FCA"/>
    <w:rsid w:val="12EA17EF"/>
    <w:rsid w:val="12F014E7"/>
    <w:rsid w:val="12F82E2A"/>
    <w:rsid w:val="12FE476A"/>
    <w:rsid w:val="130968EC"/>
    <w:rsid w:val="131102ED"/>
    <w:rsid w:val="13182BC0"/>
    <w:rsid w:val="131F74A5"/>
    <w:rsid w:val="1333202F"/>
    <w:rsid w:val="133D1016"/>
    <w:rsid w:val="13596474"/>
    <w:rsid w:val="13724D81"/>
    <w:rsid w:val="13733182"/>
    <w:rsid w:val="137B2738"/>
    <w:rsid w:val="137E3A6D"/>
    <w:rsid w:val="13846EB4"/>
    <w:rsid w:val="1389306A"/>
    <w:rsid w:val="138A50A4"/>
    <w:rsid w:val="13947FFD"/>
    <w:rsid w:val="139F04F3"/>
    <w:rsid w:val="13AB3AC3"/>
    <w:rsid w:val="13AB6920"/>
    <w:rsid w:val="13B21B62"/>
    <w:rsid w:val="13BC0BAE"/>
    <w:rsid w:val="13C108E8"/>
    <w:rsid w:val="13DA4041"/>
    <w:rsid w:val="13DA7CE9"/>
    <w:rsid w:val="13E478F1"/>
    <w:rsid w:val="13F07810"/>
    <w:rsid w:val="13F45B8B"/>
    <w:rsid w:val="141113EE"/>
    <w:rsid w:val="14112307"/>
    <w:rsid w:val="141B430B"/>
    <w:rsid w:val="141D35DE"/>
    <w:rsid w:val="141E480A"/>
    <w:rsid w:val="14213E6D"/>
    <w:rsid w:val="14242D54"/>
    <w:rsid w:val="142B6ECA"/>
    <w:rsid w:val="143E78FD"/>
    <w:rsid w:val="144B1EE1"/>
    <w:rsid w:val="14555FD9"/>
    <w:rsid w:val="14623CD3"/>
    <w:rsid w:val="14700D8F"/>
    <w:rsid w:val="148175EA"/>
    <w:rsid w:val="149660DE"/>
    <w:rsid w:val="149A17A2"/>
    <w:rsid w:val="149B16E7"/>
    <w:rsid w:val="14A86417"/>
    <w:rsid w:val="14A8664D"/>
    <w:rsid w:val="14AF5FB9"/>
    <w:rsid w:val="14BE5D0D"/>
    <w:rsid w:val="14D53B66"/>
    <w:rsid w:val="14ED6B54"/>
    <w:rsid w:val="14EF3903"/>
    <w:rsid w:val="14F157C2"/>
    <w:rsid w:val="15075371"/>
    <w:rsid w:val="151F6CF6"/>
    <w:rsid w:val="15207D6D"/>
    <w:rsid w:val="1524680A"/>
    <w:rsid w:val="1526009B"/>
    <w:rsid w:val="153249DB"/>
    <w:rsid w:val="154243DF"/>
    <w:rsid w:val="154A2184"/>
    <w:rsid w:val="15515A99"/>
    <w:rsid w:val="15612CE1"/>
    <w:rsid w:val="15692345"/>
    <w:rsid w:val="156F08E0"/>
    <w:rsid w:val="15722572"/>
    <w:rsid w:val="1579113D"/>
    <w:rsid w:val="157B43FB"/>
    <w:rsid w:val="157B75A7"/>
    <w:rsid w:val="158F2815"/>
    <w:rsid w:val="159E3CC7"/>
    <w:rsid w:val="15A12701"/>
    <w:rsid w:val="15A24B71"/>
    <w:rsid w:val="15AA7B62"/>
    <w:rsid w:val="15BB6204"/>
    <w:rsid w:val="15BD7FDC"/>
    <w:rsid w:val="15C9701E"/>
    <w:rsid w:val="15D55577"/>
    <w:rsid w:val="15E311E9"/>
    <w:rsid w:val="15ED6145"/>
    <w:rsid w:val="15F60BE0"/>
    <w:rsid w:val="15F75DAA"/>
    <w:rsid w:val="15F865C9"/>
    <w:rsid w:val="160551C6"/>
    <w:rsid w:val="160769ED"/>
    <w:rsid w:val="161B4B6D"/>
    <w:rsid w:val="161B4C3E"/>
    <w:rsid w:val="162A1BED"/>
    <w:rsid w:val="162C1433"/>
    <w:rsid w:val="162C256B"/>
    <w:rsid w:val="16330E5E"/>
    <w:rsid w:val="163C6709"/>
    <w:rsid w:val="163E2B94"/>
    <w:rsid w:val="163E4BAA"/>
    <w:rsid w:val="16447FA4"/>
    <w:rsid w:val="165671B4"/>
    <w:rsid w:val="16583C70"/>
    <w:rsid w:val="16614926"/>
    <w:rsid w:val="16632BB5"/>
    <w:rsid w:val="166763CC"/>
    <w:rsid w:val="16746528"/>
    <w:rsid w:val="16890DBA"/>
    <w:rsid w:val="169177CF"/>
    <w:rsid w:val="16933417"/>
    <w:rsid w:val="16B6387D"/>
    <w:rsid w:val="16C034B0"/>
    <w:rsid w:val="16C91C33"/>
    <w:rsid w:val="16CC4FF1"/>
    <w:rsid w:val="16F0489A"/>
    <w:rsid w:val="16F94C0E"/>
    <w:rsid w:val="16FA5AE3"/>
    <w:rsid w:val="170E41FE"/>
    <w:rsid w:val="17237598"/>
    <w:rsid w:val="172C7764"/>
    <w:rsid w:val="174650F7"/>
    <w:rsid w:val="174C4771"/>
    <w:rsid w:val="17525D76"/>
    <w:rsid w:val="17533184"/>
    <w:rsid w:val="176B4183"/>
    <w:rsid w:val="177428D7"/>
    <w:rsid w:val="177F1200"/>
    <w:rsid w:val="17A17804"/>
    <w:rsid w:val="17B82B09"/>
    <w:rsid w:val="17C3178D"/>
    <w:rsid w:val="17D15A40"/>
    <w:rsid w:val="17D26E95"/>
    <w:rsid w:val="17D52FB8"/>
    <w:rsid w:val="17DC1EE9"/>
    <w:rsid w:val="17E85A62"/>
    <w:rsid w:val="17FB718C"/>
    <w:rsid w:val="1803149C"/>
    <w:rsid w:val="181A1734"/>
    <w:rsid w:val="18290CF2"/>
    <w:rsid w:val="1831666B"/>
    <w:rsid w:val="18322FAB"/>
    <w:rsid w:val="183952F5"/>
    <w:rsid w:val="18416B74"/>
    <w:rsid w:val="184D1B99"/>
    <w:rsid w:val="18560727"/>
    <w:rsid w:val="18571F2A"/>
    <w:rsid w:val="18583DB0"/>
    <w:rsid w:val="185A7D89"/>
    <w:rsid w:val="185F3AF1"/>
    <w:rsid w:val="186758E5"/>
    <w:rsid w:val="18692AA9"/>
    <w:rsid w:val="18713635"/>
    <w:rsid w:val="187A7613"/>
    <w:rsid w:val="187D21FF"/>
    <w:rsid w:val="18841832"/>
    <w:rsid w:val="1885392E"/>
    <w:rsid w:val="18915192"/>
    <w:rsid w:val="189417D3"/>
    <w:rsid w:val="189C1D14"/>
    <w:rsid w:val="18A40C9E"/>
    <w:rsid w:val="18B27404"/>
    <w:rsid w:val="18B710A7"/>
    <w:rsid w:val="18E21952"/>
    <w:rsid w:val="18E75CF3"/>
    <w:rsid w:val="18EF5BF3"/>
    <w:rsid w:val="18F91FF2"/>
    <w:rsid w:val="1902214B"/>
    <w:rsid w:val="19050560"/>
    <w:rsid w:val="19081D4B"/>
    <w:rsid w:val="192417A8"/>
    <w:rsid w:val="19267830"/>
    <w:rsid w:val="192E0BE7"/>
    <w:rsid w:val="1938016E"/>
    <w:rsid w:val="19390965"/>
    <w:rsid w:val="194F2F44"/>
    <w:rsid w:val="195A3C32"/>
    <w:rsid w:val="19604B07"/>
    <w:rsid w:val="1962035E"/>
    <w:rsid w:val="19664037"/>
    <w:rsid w:val="19721420"/>
    <w:rsid w:val="19727C82"/>
    <w:rsid w:val="198454BD"/>
    <w:rsid w:val="1986270D"/>
    <w:rsid w:val="198F43C7"/>
    <w:rsid w:val="19AA236C"/>
    <w:rsid w:val="19B562C0"/>
    <w:rsid w:val="19C33910"/>
    <w:rsid w:val="19D02FA9"/>
    <w:rsid w:val="19D476D7"/>
    <w:rsid w:val="19D538CE"/>
    <w:rsid w:val="19E129E3"/>
    <w:rsid w:val="19E863B2"/>
    <w:rsid w:val="19FC5EC6"/>
    <w:rsid w:val="1A07158D"/>
    <w:rsid w:val="1A0800D1"/>
    <w:rsid w:val="1A0A5170"/>
    <w:rsid w:val="1A0D196F"/>
    <w:rsid w:val="1A25197A"/>
    <w:rsid w:val="1A2A6CED"/>
    <w:rsid w:val="1A2D004B"/>
    <w:rsid w:val="1A3D4FED"/>
    <w:rsid w:val="1A48437C"/>
    <w:rsid w:val="1A497085"/>
    <w:rsid w:val="1A4A0345"/>
    <w:rsid w:val="1A623029"/>
    <w:rsid w:val="1A6C7B4A"/>
    <w:rsid w:val="1A6D76D7"/>
    <w:rsid w:val="1A731397"/>
    <w:rsid w:val="1A75341B"/>
    <w:rsid w:val="1A766FB0"/>
    <w:rsid w:val="1A7F15EE"/>
    <w:rsid w:val="1A812CBA"/>
    <w:rsid w:val="1A847F8B"/>
    <w:rsid w:val="1A9A320F"/>
    <w:rsid w:val="1AA23C6F"/>
    <w:rsid w:val="1AA2427A"/>
    <w:rsid w:val="1AA55C97"/>
    <w:rsid w:val="1AA6014C"/>
    <w:rsid w:val="1AB76B20"/>
    <w:rsid w:val="1AB81AF9"/>
    <w:rsid w:val="1AB86BAD"/>
    <w:rsid w:val="1ABB591C"/>
    <w:rsid w:val="1ABC4B84"/>
    <w:rsid w:val="1ABF1D44"/>
    <w:rsid w:val="1AC35A0D"/>
    <w:rsid w:val="1ACC15FD"/>
    <w:rsid w:val="1AD5610F"/>
    <w:rsid w:val="1ADE01FA"/>
    <w:rsid w:val="1AE20029"/>
    <w:rsid w:val="1AE5530D"/>
    <w:rsid w:val="1AEA6BE3"/>
    <w:rsid w:val="1AEB56E7"/>
    <w:rsid w:val="1B044FED"/>
    <w:rsid w:val="1B0A21E4"/>
    <w:rsid w:val="1B0E7329"/>
    <w:rsid w:val="1B205B9D"/>
    <w:rsid w:val="1B331907"/>
    <w:rsid w:val="1B382956"/>
    <w:rsid w:val="1B3F6DA1"/>
    <w:rsid w:val="1B4072CF"/>
    <w:rsid w:val="1B480A75"/>
    <w:rsid w:val="1B497D67"/>
    <w:rsid w:val="1B4B77B2"/>
    <w:rsid w:val="1B527D7D"/>
    <w:rsid w:val="1B587BD9"/>
    <w:rsid w:val="1B5D2FCD"/>
    <w:rsid w:val="1B671CBC"/>
    <w:rsid w:val="1B680D5A"/>
    <w:rsid w:val="1B6B161A"/>
    <w:rsid w:val="1B6C665D"/>
    <w:rsid w:val="1B7269D0"/>
    <w:rsid w:val="1B95565D"/>
    <w:rsid w:val="1BA03A2D"/>
    <w:rsid w:val="1BB954C3"/>
    <w:rsid w:val="1BBA7A08"/>
    <w:rsid w:val="1BC35BC8"/>
    <w:rsid w:val="1BC8641D"/>
    <w:rsid w:val="1BCC1D22"/>
    <w:rsid w:val="1BCD4307"/>
    <w:rsid w:val="1BD67671"/>
    <w:rsid w:val="1BED5436"/>
    <w:rsid w:val="1BF00215"/>
    <w:rsid w:val="1BF42CAD"/>
    <w:rsid w:val="1BF5537C"/>
    <w:rsid w:val="1C100819"/>
    <w:rsid w:val="1C161BAD"/>
    <w:rsid w:val="1C1D72CA"/>
    <w:rsid w:val="1C3000E0"/>
    <w:rsid w:val="1C3642CF"/>
    <w:rsid w:val="1C3A3DB6"/>
    <w:rsid w:val="1C432242"/>
    <w:rsid w:val="1C45726D"/>
    <w:rsid w:val="1C535ADF"/>
    <w:rsid w:val="1C634242"/>
    <w:rsid w:val="1C8B5B48"/>
    <w:rsid w:val="1CA00521"/>
    <w:rsid w:val="1CAA7C13"/>
    <w:rsid w:val="1CD2334A"/>
    <w:rsid w:val="1CE6339E"/>
    <w:rsid w:val="1CF246D9"/>
    <w:rsid w:val="1CF67FBD"/>
    <w:rsid w:val="1CFB3F7B"/>
    <w:rsid w:val="1CFF02B2"/>
    <w:rsid w:val="1D1E7004"/>
    <w:rsid w:val="1D3344D5"/>
    <w:rsid w:val="1D39053F"/>
    <w:rsid w:val="1D4E0119"/>
    <w:rsid w:val="1D4F1A4B"/>
    <w:rsid w:val="1D527698"/>
    <w:rsid w:val="1D542B92"/>
    <w:rsid w:val="1D595E1F"/>
    <w:rsid w:val="1D5D37EF"/>
    <w:rsid w:val="1D632C3E"/>
    <w:rsid w:val="1D7450DF"/>
    <w:rsid w:val="1D7F5FC2"/>
    <w:rsid w:val="1D867DF1"/>
    <w:rsid w:val="1D9F3347"/>
    <w:rsid w:val="1DCD3CFC"/>
    <w:rsid w:val="1DD91C4F"/>
    <w:rsid w:val="1DDB508D"/>
    <w:rsid w:val="1DDD2329"/>
    <w:rsid w:val="1DE36E3D"/>
    <w:rsid w:val="1DF34884"/>
    <w:rsid w:val="1DF35717"/>
    <w:rsid w:val="1DFC2645"/>
    <w:rsid w:val="1E0F512C"/>
    <w:rsid w:val="1E114522"/>
    <w:rsid w:val="1E1B1C0E"/>
    <w:rsid w:val="1E212DBA"/>
    <w:rsid w:val="1E2B647B"/>
    <w:rsid w:val="1E3B5B2B"/>
    <w:rsid w:val="1E3E3A97"/>
    <w:rsid w:val="1E562334"/>
    <w:rsid w:val="1E592522"/>
    <w:rsid w:val="1E630580"/>
    <w:rsid w:val="1E681A84"/>
    <w:rsid w:val="1E6C28BA"/>
    <w:rsid w:val="1E6E71AD"/>
    <w:rsid w:val="1E6F40FF"/>
    <w:rsid w:val="1E795DD2"/>
    <w:rsid w:val="1E7F010E"/>
    <w:rsid w:val="1E837D21"/>
    <w:rsid w:val="1E995F02"/>
    <w:rsid w:val="1E9B2C22"/>
    <w:rsid w:val="1E9F24EC"/>
    <w:rsid w:val="1EB8533F"/>
    <w:rsid w:val="1ECE263B"/>
    <w:rsid w:val="1ED23A13"/>
    <w:rsid w:val="1EE15751"/>
    <w:rsid w:val="1EF065EC"/>
    <w:rsid w:val="1F051B11"/>
    <w:rsid w:val="1F0E4C65"/>
    <w:rsid w:val="1F112CA1"/>
    <w:rsid w:val="1F1678C7"/>
    <w:rsid w:val="1F1C57F3"/>
    <w:rsid w:val="1F231F54"/>
    <w:rsid w:val="1F2D5AFE"/>
    <w:rsid w:val="1F53182B"/>
    <w:rsid w:val="1F5A05AD"/>
    <w:rsid w:val="1F755A30"/>
    <w:rsid w:val="1F821DD7"/>
    <w:rsid w:val="1F87760C"/>
    <w:rsid w:val="1F8B21C0"/>
    <w:rsid w:val="1F936B89"/>
    <w:rsid w:val="1F9A7E83"/>
    <w:rsid w:val="1F9D564F"/>
    <w:rsid w:val="1F9F3AEB"/>
    <w:rsid w:val="1FB86952"/>
    <w:rsid w:val="1FB87BFA"/>
    <w:rsid w:val="1FC33F30"/>
    <w:rsid w:val="1FC9419A"/>
    <w:rsid w:val="1FCA73E4"/>
    <w:rsid w:val="1FD84BD4"/>
    <w:rsid w:val="1FE44CC1"/>
    <w:rsid w:val="1FF83525"/>
    <w:rsid w:val="1FFA595C"/>
    <w:rsid w:val="20082AD9"/>
    <w:rsid w:val="200B6356"/>
    <w:rsid w:val="20123BC6"/>
    <w:rsid w:val="201B5247"/>
    <w:rsid w:val="20222654"/>
    <w:rsid w:val="20222A34"/>
    <w:rsid w:val="20342852"/>
    <w:rsid w:val="203F02F5"/>
    <w:rsid w:val="20461F00"/>
    <w:rsid w:val="205179C7"/>
    <w:rsid w:val="20595E64"/>
    <w:rsid w:val="20597B80"/>
    <w:rsid w:val="205C0AF5"/>
    <w:rsid w:val="20622C0A"/>
    <w:rsid w:val="206E5551"/>
    <w:rsid w:val="2081560C"/>
    <w:rsid w:val="208212F6"/>
    <w:rsid w:val="2087303A"/>
    <w:rsid w:val="208E2950"/>
    <w:rsid w:val="20933FD2"/>
    <w:rsid w:val="209934FD"/>
    <w:rsid w:val="20AC72CE"/>
    <w:rsid w:val="20B50DEC"/>
    <w:rsid w:val="20C81350"/>
    <w:rsid w:val="20E02FA5"/>
    <w:rsid w:val="20EC2C3B"/>
    <w:rsid w:val="20F61559"/>
    <w:rsid w:val="20F77EBC"/>
    <w:rsid w:val="20FD5597"/>
    <w:rsid w:val="210B4081"/>
    <w:rsid w:val="21211033"/>
    <w:rsid w:val="21251F39"/>
    <w:rsid w:val="213276BA"/>
    <w:rsid w:val="21365658"/>
    <w:rsid w:val="21377389"/>
    <w:rsid w:val="2139025C"/>
    <w:rsid w:val="213A6207"/>
    <w:rsid w:val="21486ECA"/>
    <w:rsid w:val="214D4DA9"/>
    <w:rsid w:val="214F59F5"/>
    <w:rsid w:val="215739BE"/>
    <w:rsid w:val="215C2627"/>
    <w:rsid w:val="216C655E"/>
    <w:rsid w:val="21702C57"/>
    <w:rsid w:val="2176235E"/>
    <w:rsid w:val="217E44C5"/>
    <w:rsid w:val="21897AC9"/>
    <w:rsid w:val="21905CAC"/>
    <w:rsid w:val="21942311"/>
    <w:rsid w:val="219B2976"/>
    <w:rsid w:val="219F223B"/>
    <w:rsid w:val="219F676D"/>
    <w:rsid w:val="21A45A5B"/>
    <w:rsid w:val="21AB289C"/>
    <w:rsid w:val="21B84BBB"/>
    <w:rsid w:val="21BB34B4"/>
    <w:rsid w:val="21DB6422"/>
    <w:rsid w:val="21DD349D"/>
    <w:rsid w:val="21E1344C"/>
    <w:rsid w:val="21E166A9"/>
    <w:rsid w:val="21E4724C"/>
    <w:rsid w:val="21E63B4F"/>
    <w:rsid w:val="220A4906"/>
    <w:rsid w:val="221A2761"/>
    <w:rsid w:val="221D6884"/>
    <w:rsid w:val="223108E5"/>
    <w:rsid w:val="2240225A"/>
    <w:rsid w:val="22487F38"/>
    <w:rsid w:val="225B2C40"/>
    <w:rsid w:val="225C236E"/>
    <w:rsid w:val="225D2521"/>
    <w:rsid w:val="225F3ABC"/>
    <w:rsid w:val="2266248E"/>
    <w:rsid w:val="227528F3"/>
    <w:rsid w:val="22823AA6"/>
    <w:rsid w:val="2287475E"/>
    <w:rsid w:val="22936EF0"/>
    <w:rsid w:val="229527B6"/>
    <w:rsid w:val="22B32CEE"/>
    <w:rsid w:val="22B64833"/>
    <w:rsid w:val="22BC18BC"/>
    <w:rsid w:val="22C41F7B"/>
    <w:rsid w:val="22C50667"/>
    <w:rsid w:val="22CC022F"/>
    <w:rsid w:val="22D101BE"/>
    <w:rsid w:val="22D567D5"/>
    <w:rsid w:val="22D86709"/>
    <w:rsid w:val="22D87514"/>
    <w:rsid w:val="22DB7C7F"/>
    <w:rsid w:val="22FF6C00"/>
    <w:rsid w:val="23021F62"/>
    <w:rsid w:val="230755D3"/>
    <w:rsid w:val="23127389"/>
    <w:rsid w:val="231500E2"/>
    <w:rsid w:val="231E706F"/>
    <w:rsid w:val="23207E6F"/>
    <w:rsid w:val="23270253"/>
    <w:rsid w:val="23275783"/>
    <w:rsid w:val="23402C34"/>
    <w:rsid w:val="2340370A"/>
    <w:rsid w:val="235125CD"/>
    <w:rsid w:val="235630F9"/>
    <w:rsid w:val="23693B84"/>
    <w:rsid w:val="236C710C"/>
    <w:rsid w:val="239F5B8E"/>
    <w:rsid w:val="23C16B4B"/>
    <w:rsid w:val="23C24114"/>
    <w:rsid w:val="23C37706"/>
    <w:rsid w:val="23C7467A"/>
    <w:rsid w:val="23DB3943"/>
    <w:rsid w:val="23E0348F"/>
    <w:rsid w:val="24120094"/>
    <w:rsid w:val="24162DDC"/>
    <w:rsid w:val="24263773"/>
    <w:rsid w:val="2431154E"/>
    <w:rsid w:val="245B6BB3"/>
    <w:rsid w:val="246476B2"/>
    <w:rsid w:val="246C6384"/>
    <w:rsid w:val="246C644D"/>
    <w:rsid w:val="24794C64"/>
    <w:rsid w:val="247A3114"/>
    <w:rsid w:val="2493241A"/>
    <w:rsid w:val="249356E7"/>
    <w:rsid w:val="249B72DE"/>
    <w:rsid w:val="249C1D5C"/>
    <w:rsid w:val="24BD16D7"/>
    <w:rsid w:val="24C73DF8"/>
    <w:rsid w:val="24CB4876"/>
    <w:rsid w:val="24CE0117"/>
    <w:rsid w:val="24D43582"/>
    <w:rsid w:val="24F16DAA"/>
    <w:rsid w:val="24F40FBC"/>
    <w:rsid w:val="25000179"/>
    <w:rsid w:val="2501550D"/>
    <w:rsid w:val="250A05E1"/>
    <w:rsid w:val="2512297D"/>
    <w:rsid w:val="25271B07"/>
    <w:rsid w:val="25293925"/>
    <w:rsid w:val="252B1A83"/>
    <w:rsid w:val="25301CCB"/>
    <w:rsid w:val="253B0B07"/>
    <w:rsid w:val="253B6C33"/>
    <w:rsid w:val="253F0449"/>
    <w:rsid w:val="2543309D"/>
    <w:rsid w:val="254C6A7C"/>
    <w:rsid w:val="254F37EE"/>
    <w:rsid w:val="255318BB"/>
    <w:rsid w:val="255F67C5"/>
    <w:rsid w:val="256058C8"/>
    <w:rsid w:val="256331E6"/>
    <w:rsid w:val="25674B82"/>
    <w:rsid w:val="256D5F08"/>
    <w:rsid w:val="2573346B"/>
    <w:rsid w:val="25791A41"/>
    <w:rsid w:val="257B270E"/>
    <w:rsid w:val="25857B76"/>
    <w:rsid w:val="25865173"/>
    <w:rsid w:val="25890204"/>
    <w:rsid w:val="25936EFD"/>
    <w:rsid w:val="259E6CD9"/>
    <w:rsid w:val="25BF6C97"/>
    <w:rsid w:val="25C04743"/>
    <w:rsid w:val="25C6407D"/>
    <w:rsid w:val="25C9103D"/>
    <w:rsid w:val="25D94569"/>
    <w:rsid w:val="25E276E1"/>
    <w:rsid w:val="25E573D9"/>
    <w:rsid w:val="25EC2367"/>
    <w:rsid w:val="25F47BE8"/>
    <w:rsid w:val="26003FB3"/>
    <w:rsid w:val="2613591B"/>
    <w:rsid w:val="262A79C2"/>
    <w:rsid w:val="26393BA1"/>
    <w:rsid w:val="263A5FB4"/>
    <w:rsid w:val="263D7040"/>
    <w:rsid w:val="26454D11"/>
    <w:rsid w:val="264C7C89"/>
    <w:rsid w:val="264F784E"/>
    <w:rsid w:val="26504DEA"/>
    <w:rsid w:val="265C6A42"/>
    <w:rsid w:val="266C1EA4"/>
    <w:rsid w:val="267001AD"/>
    <w:rsid w:val="267362F7"/>
    <w:rsid w:val="26812549"/>
    <w:rsid w:val="268B1F17"/>
    <w:rsid w:val="268B6A0E"/>
    <w:rsid w:val="2693187E"/>
    <w:rsid w:val="269A0FDE"/>
    <w:rsid w:val="269A176A"/>
    <w:rsid w:val="269A1B5A"/>
    <w:rsid w:val="26B83D92"/>
    <w:rsid w:val="26D37A33"/>
    <w:rsid w:val="26E17FF5"/>
    <w:rsid w:val="26E31688"/>
    <w:rsid w:val="26E96821"/>
    <w:rsid w:val="27071370"/>
    <w:rsid w:val="27076F27"/>
    <w:rsid w:val="27092731"/>
    <w:rsid w:val="270C052C"/>
    <w:rsid w:val="2718193C"/>
    <w:rsid w:val="27207CA5"/>
    <w:rsid w:val="27277C70"/>
    <w:rsid w:val="27294825"/>
    <w:rsid w:val="2736290A"/>
    <w:rsid w:val="273D5664"/>
    <w:rsid w:val="27401D3F"/>
    <w:rsid w:val="2744588C"/>
    <w:rsid w:val="27547E9D"/>
    <w:rsid w:val="27595B5F"/>
    <w:rsid w:val="277C5B84"/>
    <w:rsid w:val="27896CD5"/>
    <w:rsid w:val="278D1C39"/>
    <w:rsid w:val="27940EC6"/>
    <w:rsid w:val="279B0208"/>
    <w:rsid w:val="279E3C54"/>
    <w:rsid w:val="279F1F9B"/>
    <w:rsid w:val="27A23CB5"/>
    <w:rsid w:val="27AE07A0"/>
    <w:rsid w:val="27B05F1B"/>
    <w:rsid w:val="27BB7C3B"/>
    <w:rsid w:val="27BD4854"/>
    <w:rsid w:val="27C23DE2"/>
    <w:rsid w:val="27CA650E"/>
    <w:rsid w:val="27D54876"/>
    <w:rsid w:val="27E522B4"/>
    <w:rsid w:val="27F51ED9"/>
    <w:rsid w:val="27FB6699"/>
    <w:rsid w:val="27FC6DC4"/>
    <w:rsid w:val="28010472"/>
    <w:rsid w:val="28033B23"/>
    <w:rsid w:val="280512DC"/>
    <w:rsid w:val="28094035"/>
    <w:rsid w:val="280E49B5"/>
    <w:rsid w:val="281268D9"/>
    <w:rsid w:val="28286D98"/>
    <w:rsid w:val="284D0AAC"/>
    <w:rsid w:val="285F5159"/>
    <w:rsid w:val="2865211E"/>
    <w:rsid w:val="286710F6"/>
    <w:rsid w:val="286D6FDD"/>
    <w:rsid w:val="28735280"/>
    <w:rsid w:val="28742FFD"/>
    <w:rsid w:val="28780836"/>
    <w:rsid w:val="287B6D87"/>
    <w:rsid w:val="288253A6"/>
    <w:rsid w:val="28914E20"/>
    <w:rsid w:val="28A354CF"/>
    <w:rsid w:val="28AB2B2B"/>
    <w:rsid w:val="28AC6B47"/>
    <w:rsid w:val="28B73956"/>
    <w:rsid w:val="28C360AA"/>
    <w:rsid w:val="28D77AB4"/>
    <w:rsid w:val="28E073E9"/>
    <w:rsid w:val="28F13A7E"/>
    <w:rsid w:val="28F43485"/>
    <w:rsid w:val="28FC5CE1"/>
    <w:rsid w:val="290F07F9"/>
    <w:rsid w:val="291268AF"/>
    <w:rsid w:val="29142D1D"/>
    <w:rsid w:val="29160567"/>
    <w:rsid w:val="292B3A56"/>
    <w:rsid w:val="292E0FB3"/>
    <w:rsid w:val="29375D52"/>
    <w:rsid w:val="293804C3"/>
    <w:rsid w:val="29397276"/>
    <w:rsid w:val="294A791C"/>
    <w:rsid w:val="295609D0"/>
    <w:rsid w:val="296F101F"/>
    <w:rsid w:val="29723765"/>
    <w:rsid w:val="297654D4"/>
    <w:rsid w:val="297724FD"/>
    <w:rsid w:val="2978467D"/>
    <w:rsid w:val="297E391D"/>
    <w:rsid w:val="298F232A"/>
    <w:rsid w:val="29903B15"/>
    <w:rsid w:val="29936995"/>
    <w:rsid w:val="29B650AB"/>
    <w:rsid w:val="29BA2674"/>
    <w:rsid w:val="29BD3504"/>
    <w:rsid w:val="29CE0599"/>
    <w:rsid w:val="29DE264F"/>
    <w:rsid w:val="29DE589B"/>
    <w:rsid w:val="29F125FE"/>
    <w:rsid w:val="29F55728"/>
    <w:rsid w:val="29FF4E87"/>
    <w:rsid w:val="2A1B1529"/>
    <w:rsid w:val="2A221DFF"/>
    <w:rsid w:val="2A325E53"/>
    <w:rsid w:val="2A522B7B"/>
    <w:rsid w:val="2A570895"/>
    <w:rsid w:val="2A6A61F9"/>
    <w:rsid w:val="2A704789"/>
    <w:rsid w:val="2AA52A6F"/>
    <w:rsid w:val="2AB82096"/>
    <w:rsid w:val="2AC02932"/>
    <w:rsid w:val="2AC85886"/>
    <w:rsid w:val="2AD4036F"/>
    <w:rsid w:val="2AEA36FD"/>
    <w:rsid w:val="2AFB17E5"/>
    <w:rsid w:val="2B147238"/>
    <w:rsid w:val="2B1A1EED"/>
    <w:rsid w:val="2B1B4440"/>
    <w:rsid w:val="2B266A0F"/>
    <w:rsid w:val="2B347D10"/>
    <w:rsid w:val="2B43605F"/>
    <w:rsid w:val="2B5112B3"/>
    <w:rsid w:val="2B51698E"/>
    <w:rsid w:val="2B54331A"/>
    <w:rsid w:val="2B7A4FF2"/>
    <w:rsid w:val="2B8075A1"/>
    <w:rsid w:val="2B812AEA"/>
    <w:rsid w:val="2B874262"/>
    <w:rsid w:val="2B911194"/>
    <w:rsid w:val="2B92441A"/>
    <w:rsid w:val="2B986FDC"/>
    <w:rsid w:val="2BA0709D"/>
    <w:rsid w:val="2BA331AB"/>
    <w:rsid w:val="2BA62F64"/>
    <w:rsid w:val="2BAC197C"/>
    <w:rsid w:val="2BAD4803"/>
    <w:rsid w:val="2BC135BD"/>
    <w:rsid w:val="2BC86A5A"/>
    <w:rsid w:val="2BCB15BA"/>
    <w:rsid w:val="2BCE1B03"/>
    <w:rsid w:val="2BCF3580"/>
    <w:rsid w:val="2BD77518"/>
    <w:rsid w:val="2BDC0B87"/>
    <w:rsid w:val="2BDD0534"/>
    <w:rsid w:val="2BDE0A9F"/>
    <w:rsid w:val="2BE77D08"/>
    <w:rsid w:val="2BEC6833"/>
    <w:rsid w:val="2BEC7968"/>
    <w:rsid w:val="2BFE641D"/>
    <w:rsid w:val="2C034AEF"/>
    <w:rsid w:val="2C0833AD"/>
    <w:rsid w:val="2C0E6A30"/>
    <w:rsid w:val="2C12768E"/>
    <w:rsid w:val="2C135522"/>
    <w:rsid w:val="2C1826D2"/>
    <w:rsid w:val="2C197C9A"/>
    <w:rsid w:val="2C1F3CD8"/>
    <w:rsid w:val="2C20531F"/>
    <w:rsid w:val="2C34033D"/>
    <w:rsid w:val="2C4B18EE"/>
    <w:rsid w:val="2C544E7C"/>
    <w:rsid w:val="2C5737A8"/>
    <w:rsid w:val="2C584018"/>
    <w:rsid w:val="2C5C14CE"/>
    <w:rsid w:val="2C6A33BE"/>
    <w:rsid w:val="2C880831"/>
    <w:rsid w:val="2C8E3E4F"/>
    <w:rsid w:val="2CA541DD"/>
    <w:rsid w:val="2CAA3CF2"/>
    <w:rsid w:val="2CB7792E"/>
    <w:rsid w:val="2CBB5334"/>
    <w:rsid w:val="2CC22F3C"/>
    <w:rsid w:val="2CC33C7C"/>
    <w:rsid w:val="2CC82322"/>
    <w:rsid w:val="2CCB197B"/>
    <w:rsid w:val="2CDE24FA"/>
    <w:rsid w:val="2CDE2540"/>
    <w:rsid w:val="2CE02E49"/>
    <w:rsid w:val="2CE561DA"/>
    <w:rsid w:val="2CED7951"/>
    <w:rsid w:val="2CF61313"/>
    <w:rsid w:val="2CFA25F6"/>
    <w:rsid w:val="2D0759BE"/>
    <w:rsid w:val="2D08487E"/>
    <w:rsid w:val="2D0C02CC"/>
    <w:rsid w:val="2D1823C9"/>
    <w:rsid w:val="2D1C464D"/>
    <w:rsid w:val="2D2238C9"/>
    <w:rsid w:val="2D494546"/>
    <w:rsid w:val="2D5A02E9"/>
    <w:rsid w:val="2D5E5772"/>
    <w:rsid w:val="2D600A20"/>
    <w:rsid w:val="2D601D91"/>
    <w:rsid w:val="2D614D84"/>
    <w:rsid w:val="2D6F52D8"/>
    <w:rsid w:val="2D7167C3"/>
    <w:rsid w:val="2D807CF7"/>
    <w:rsid w:val="2D827E15"/>
    <w:rsid w:val="2D846FC5"/>
    <w:rsid w:val="2D8B1699"/>
    <w:rsid w:val="2D8D59E1"/>
    <w:rsid w:val="2D9B7484"/>
    <w:rsid w:val="2DA84F1F"/>
    <w:rsid w:val="2DAC4B86"/>
    <w:rsid w:val="2DBD615C"/>
    <w:rsid w:val="2DC10656"/>
    <w:rsid w:val="2DC84C08"/>
    <w:rsid w:val="2DD317B9"/>
    <w:rsid w:val="2DD65876"/>
    <w:rsid w:val="2DDD5DC6"/>
    <w:rsid w:val="2DF81ED2"/>
    <w:rsid w:val="2E06741D"/>
    <w:rsid w:val="2E162B4A"/>
    <w:rsid w:val="2E2376BD"/>
    <w:rsid w:val="2E2F550A"/>
    <w:rsid w:val="2E347D84"/>
    <w:rsid w:val="2E3E4ABB"/>
    <w:rsid w:val="2E405ABD"/>
    <w:rsid w:val="2E455723"/>
    <w:rsid w:val="2E4F6444"/>
    <w:rsid w:val="2E5A1C5D"/>
    <w:rsid w:val="2E64438B"/>
    <w:rsid w:val="2E6A7B01"/>
    <w:rsid w:val="2E7E1FFF"/>
    <w:rsid w:val="2E8876F3"/>
    <w:rsid w:val="2E9302C2"/>
    <w:rsid w:val="2E932661"/>
    <w:rsid w:val="2E9455B2"/>
    <w:rsid w:val="2E965AE1"/>
    <w:rsid w:val="2E9E6759"/>
    <w:rsid w:val="2EB974C9"/>
    <w:rsid w:val="2EBB4E9E"/>
    <w:rsid w:val="2EBE076E"/>
    <w:rsid w:val="2ECE617B"/>
    <w:rsid w:val="2ED06280"/>
    <w:rsid w:val="2ED74E8C"/>
    <w:rsid w:val="2EE17A59"/>
    <w:rsid w:val="2EE525A6"/>
    <w:rsid w:val="2EFF4939"/>
    <w:rsid w:val="2F007A14"/>
    <w:rsid w:val="2F056050"/>
    <w:rsid w:val="2F236EF0"/>
    <w:rsid w:val="2F2A7A2C"/>
    <w:rsid w:val="2F352EA0"/>
    <w:rsid w:val="2F3E225D"/>
    <w:rsid w:val="2F481714"/>
    <w:rsid w:val="2F4A7B7B"/>
    <w:rsid w:val="2F4E2B4E"/>
    <w:rsid w:val="2F5A0774"/>
    <w:rsid w:val="2F5B730E"/>
    <w:rsid w:val="2F5D06D3"/>
    <w:rsid w:val="2F5D453F"/>
    <w:rsid w:val="2F5E5120"/>
    <w:rsid w:val="2F5F2A25"/>
    <w:rsid w:val="2F727FF5"/>
    <w:rsid w:val="2F7C41F6"/>
    <w:rsid w:val="2F882CB7"/>
    <w:rsid w:val="2F934A7F"/>
    <w:rsid w:val="2F9C6E61"/>
    <w:rsid w:val="2F9D41AA"/>
    <w:rsid w:val="2FA708F2"/>
    <w:rsid w:val="2FAB73C8"/>
    <w:rsid w:val="2FC26D43"/>
    <w:rsid w:val="2FCF5254"/>
    <w:rsid w:val="2FD21C66"/>
    <w:rsid w:val="2FE14ABD"/>
    <w:rsid w:val="2FE94099"/>
    <w:rsid w:val="2FED7978"/>
    <w:rsid w:val="2FFA3657"/>
    <w:rsid w:val="2FFF30C9"/>
    <w:rsid w:val="3000354E"/>
    <w:rsid w:val="3008349E"/>
    <w:rsid w:val="301021BC"/>
    <w:rsid w:val="301B7C8C"/>
    <w:rsid w:val="301E4B39"/>
    <w:rsid w:val="30200ACC"/>
    <w:rsid w:val="30221301"/>
    <w:rsid w:val="30230D91"/>
    <w:rsid w:val="302D729E"/>
    <w:rsid w:val="30313C70"/>
    <w:rsid w:val="30343537"/>
    <w:rsid w:val="30493DBA"/>
    <w:rsid w:val="304F46FD"/>
    <w:rsid w:val="3054286C"/>
    <w:rsid w:val="30605B09"/>
    <w:rsid w:val="3064671A"/>
    <w:rsid w:val="3065144D"/>
    <w:rsid w:val="30693762"/>
    <w:rsid w:val="306A26CB"/>
    <w:rsid w:val="30720218"/>
    <w:rsid w:val="30730FEF"/>
    <w:rsid w:val="30835664"/>
    <w:rsid w:val="308B70F3"/>
    <w:rsid w:val="30A14B0E"/>
    <w:rsid w:val="30BE320E"/>
    <w:rsid w:val="30C9695B"/>
    <w:rsid w:val="30CB2C69"/>
    <w:rsid w:val="30CF5E02"/>
    <w:rsid w:val="30EA6984"/>
    <w:rsid w:val="30EB1D2E"/>
    <w:rsid w:val="30EB76BB"/>
    <w:rsid w:val="30F72E36"/>
    <w:rsid w:val="30FC6C8F"/>
    <w:rsid w:val="31014948"/>
    <w:rsid w:val="3105683A"/>
    <w:rsid w:val="310721CF"/>
    <w:rsid w:val="31085D41"/>
    <w:rsid w:val="311B0138"/>
    <w:rsid w:val="311F5C48"/>
    <w:rsid w:val="312119E4"/>
    <w:rsid w:val="312D3557"/>
    <w:rsid w:val="31391B60"/>
    <w:rsid w:val="313F5411"/>
    <w:rsid w:val="3141350C"/>
    <w:rsid w:val="31496450"/>
    <w:rsid w:val="31593CEB"/>
    <w:rsid w:val="31695E19"/>
    <w:rsid w:val="31731072"/>
    <w:rsid w:val="31745499"/>
    <w:rsid w:val="31781E33"/>
    <w:rsid w:val="317A2332"/>
    <w:rsid w:val="31884C2B"/>
    <w:rsid w:val="318B0720"/>
    <w:rsid w:val="318F0A0D"/>
    <w:rsid w:val="319E6A9D"/>
    <w:rsid w:val="319E6F3D"/>
    <w:rsid w:val="31A64213"/>
    <w:rsid w:val="31B03F2A"/>
    <w:rsid w:val="31B425BE"/>
    <w:rsid w:val="31D11A00"/>
    <w:rsid w:val="31D6400D"/>
    <w:rsid w:val="31D911A3"/>
    <w:rsid w:val="31E47F1B"/>
    <w:rsid w:val="31E81B07"/>
    <w:rsid w:val="31F02EF1"/>
    <w:rsid w:val="31FA037C"/>
    <w:rsid w:val="31FC4AC9"/>
    <w:rsid w:val="320E7790"/>
    <w:rsid w:val="32143598"/>
    <w:rsid w:val="321926E0"/>
    <w:rsid w:val="321A56DF"/>
    <w:rsid w:val="321B5F48"/>
    <w:rsid w:val="321C5B58"/>
    <w:rsid w:val="32270B5E"/>
    <w:rsid w:val="322A7BDB"/>
    <w:rsid w:val="32377BD4"/>
    <w:rsid w:val="323E43A5"/>
    <w:rsid w:val="324F3E58"/>
    <w:rsid w:val="32597B19"/>
    <w:rsid w:val="325C0808"/>
    <w:rsid w:val="326371AF"/>
    <w:rsid w:val="32661404"/>
    <w:rsid w:val="326E0335"/>
    <w:rsid w:val="32722C20"/>
    <w:rsid w:val="32742CFE"/>
    <w:rsid w:val="327617D7"/>
    <w:rsid w:val="32793502"/>
    <w:rsid w:val="3281122A"/>
    <w:rsid w:val="328467D6"/>
    <w:rsid w:val="328C4C71"/>
    <w:rsid w:val="329136D1"/>
    <w:rsid w:val="32920349"/>
    <w:rsid w:val="32957BBE"/>
    <w:rsid w:val="329A25A7"/>
    <w:rsid w:val="32A85A66"/>
    <w:rsid w:val="32C171AE"/>
    <w:rsid w:val="32C5686F"/>
    <w:rsid w:val="32C95949"/>
    <w:rsid w:val="32D154A5"/>
    <w:rsid w:val="32E20583"/>
    <w:rsid w:val="32ED0FC8"/>
    <w:rsid w:val="330433B8"/>
    <w:rsid w:val="33071292"/>
    <w:rsid w:val="331827DA"/>
    <w:rsid w:val="33196CC8"/>
    <w:rsid w:val="331A37B7"/>
    <w:rsid w:val="331D6C7E"/>
    <w:rsid w:val="332151E0"/>
    <w:rsid w:val="33345751"/>
    <w:rsid w:val="3339664E"/>
    <w:rsid w:val="333A0650"/>
    <w:rsid w:val="333D4B80"/>
    <w:rsid w:val="334119DE"/>
    <w:rsid w:val="33436F8B"/>
    <w:rsid w:val="3344630E"/>
    <w:rsid w:val="33641B5F"/>
    <w:rsid w:val="33752ABE"/>
    <w:rsid w:val="33784BF7"/>
    <w:rsid w:val="33920EF1"/>
    <w:rsid w:val="33A76BA9"/>
    <w:rsid w:val="33A803B9"/>
    <w:rsid w:val="33AA5000"/>
    <w:rsid w:val="33AF71AB"/>
    <w:rsid w:val="33B84EDE"/>
    <w:rsid w:val="33CA764A"/>
    <w:rsid w:val="33CE082F"/>
    <w:rsid w:val="33D034D2"/>
    <w:rsid w:val="33F16826"/>
    <w:rsid w:val="33F219CB"/>
    <w:rsid w:val="33F57367"/>
    <w:rsid w:val="33F97469"/>
    <w:rsid w:val="33FD3AF4"/>
    <w:rsid w:val="34004D9F"/>
    <w:rsid w:val="340963C3"/>
    <w:rsid w:val="341744ED"/>
    <w:rsid w:val="3420310A"/>
    <w:rsid w:val="342B35B6"/>
    <w:rsid w:val="343A2F39"/>
    <w:rsid w:val="343F5379"/>
    <w:rsid w:val="344319CB"/>
    <w:rsid w:val="344E1E05"/>
    <w:rsid w:val="34536C1D"/>
    <w:rsid w:val="34565D02"/>
    <w:rsid w:val="345B09D0"/>
    <w:rsid w:val="345C0576"/>
    <w:rsid w:val="346D4F86"/>
    <w:rsid w:val="347800A3"/>
    <w:rsid w:val="34784400"/>
    <w:rsid w:val="34800E7F"/>
    <w:rsid w:val="348963A6"/>
    <w:rsid w:val="348D0A6B"/>
    <w:rsid w:val="348E06BA"/>
    <w:rsid w:val="34911A7E"/>
    <w:rsid w:val="34951FE2"/>
    <w:rsid w:val="349741F5"/>
    <w:rsid w:val="34A40A60"/>
    <w:rsid w:val="34A64789"/>
    <w:rsid w:val="34B526B6"/>
    <w:rsid w:val="34B947FA"/>
    <w:rsid w:val="34C0772F"/>
    <w:rsid w:val="34C96A64"/>
    <w:rsid w:val="34CB5C7B"/>
    <w:rsid w:val="34CE67ED"/>
    <w:rsid w:val="34D517F3"/>
    <w:rsid w:val="34E177C7"/>
    <w:rsid w:val="34ED5F5D"/>
    <w:rsid w:val="34EE2DDD"/>
    <w:rsid w:val="34F02CBF"/>
    <w:rsid w:val="351928A3"/>
    <w:rsid w:val="35501650"/>
    <w:rsid w:val="35595C2B"/>
    <w:rsid w:val="355D1E3F"/>
    <w:rsid w:val="355E6EEE"/>
    <w:rsid w:val="356263B6"/>
    <w:rsid w:val="35713C89"/>
    <w:rsid w:val="357156C4"/>
    <w:rsid w:val="358E287D"/>
    <w:rsid w:val="35976E7B"/>
    <w:rsid w:val="359C54D7"/>
    <w:rsid w:val="35BE1572"/>
    <w:rsid w:val="35CC7149"/>
    <w:rsid w:val="35D64063"/>
    <w:rsid w:val="35E74520"/>
    <w:rsid w:val="35F76A56"/>
    <w:rsid w:val="35FC3549"/>
    <w:rsid w:val="3603777B"/>
    <w:rsid w:val="3605599D"/>
    <w:rsid w:val="360A1526"/>
    <w:rsid w:val="360E54A3"/>
    <w:rsid w:val="36110DD9"/>
    <w:rsid w:val="36236C09"/>
    <w:rsid w:val="36290BB0"/>
    <w:rsid w:val="362D6C52"/>
    <w:rsid w:val="363132FE"/>
    <w:rsid w:val="363251C6"/>
    <w:rsid w:val="363C60EF"/>
    <w:rsid w:val="365F0C57"/>
    <w:rsid w:val="36675436"/>
    <w:rsid w:val="366E094A"/>
    <w:rsid w:val="367874A2"/>
    <w:rsid w:val="36805789"/>
    <w:rsid w:val="368716DF"/>
    <w:rsid w:val="369F0DF6"/>
    <w:rsid w:val="36A673D9"/>
    <w:rsid w:val="36AB4205"/>
    <w:rsid w:val="36AC4240"/>
    <w:rsid w:val="36AD4808"/>
    <w:rsid w:val="36BD137C"/>
    <w:rsid w:val="36C828DB"/>
    <w:rsid w:val="36CF5607"/>
    <w:rsid w:val="36DE2E4F"/>
    <w:rsid w:val="36E16A4F"/>
    <w:rsid w:val="370E5B64"/>
    <w:rsid w:val="373F0731"/>
    <w:rsid w:val="37476B9F"/>
    <w:rsid w:val="37485FC5"/>
    <w:rsid w:val="374E18EF"/>
    <w:rsid w:val="37652796"/>
    <w:rsid w:val="376E2995"/>
    <w:rsid w:val="377A4B96"/>
    <w:rsid w:val="377E1242"/>
    <w:rsid w:val="37816524"/>
    <w:rsid w:val="37850AE5"/>
    <w:rsid w:val="37865B39"/>
    <w:rsid w:val="378D592E"/>
    <w:rsid w:val="378E4182"/>
    <w:rsid w:val="37923388"/>
    <w:rsid w:val="37A15EE7"/>
    <w:rsid w:val="37A4427E"/>
    <w:rsid w:val="37A506ED"/>
    <w:rsid w:val="37B010C8"/>
    <w:rsid w:val="37B96F92"/>
    <w:rsid w:val="37BD4800"/>
    <w:rsid w:val="37CE67A5"/>
    <w:rsid w:val="37CF023B"/>
    <w:rsid w:val="37D4193E"/>
    <w:rsid w:val="37F4173B"/>
    <w:rsid w:val="38085AEE"/>
    <w:rsid w:val="381A7128"/>
    <w:rsid w:val="38217DF3"/>
    <w:rsid w:val="3823464A"/>
    <w:rsid w:val="38236948"/>
    <w:rsid w:val="38313518"/>
    <w:rsid w:val="38390769"/>
    <w:rsid w:val="384152A8"/>
    <w:rsid w:val="38443B14"/>
    <w:rsid w:val="38586D55"/>
    <w:rsid w:val="385D4664"/>
    <w:rsid w:val="385E31E1"/>
    <w:rsid w:val="38622BB2"/>
    <w:rsid w:val="38634DD3"/>
    <w:rsid w:val="38741004"/>
    <w:rsid w:val="38833649"/>
    <w:rsid w:val="3886282A"/>
    <w:rsid w:val="38927F62"/>
    <w:rsid w:val="389762E7"/>
    <w:rsid w:val="38A25413"/>
    <w:rsid w:val="38B939D2"/>
    <w:rsid w:val="38BD683E"/>
    <w:rsid w:val="38BF27BD"/>
    <w:rsid w:val="38C3013D"/>
    <w:rsid w:val="38C71166"/>
    <w:rsid w:val="38CA52C1"/>
    <w:rsid w:val="38D0267F"/>
    <w:rsid w:val="38E34F46"/>
    <w:rsid w:val="38E60F46"/>
    <w:rsid w:val="38F12B4F"/>
    <w:rsid w:val="38F1355F"/>
    <w:rsid w:val="38FC2D8E"/>
    <w:rsid w:val="390D6B30"/>
    <w:rsid w:val="39110B50"/>
    <w:rsid w:val="39123782"/>
    <w:rsid w:val="391F16F6"/>
    <w:rsid w:val="39454966"/>
    <w:rsid w:val="394A7E78"/>
    <w:rsid w:val="395B25CE"/>
    <w:rsid w:val="39783360"/>
    <w:rsid w:val="397B4855"/>
    <w:rsid w:val="398B1679"/>
    <w:rsid w:val="398B2C6F"/>
    <w:rsid w:val="39B826E9"/>
    <w:rsid w:val="39BD1FF4"/>
    <w:rsid w:val="39C51EFE"/>
    <w:rsid w:val="39C62C3D"/>
    <w:rsid w:val="39DE0906"/>
    <w:rsid w:val="39E71FBB"/>
    <w:rsid w:val="39E8637F"/>
    <w:rsid w:val="39EA50E1"/>
    <w:rsid w:val="39F56E11"/>
    <w:rsid w:val="3A0E1090"/>
    <w:rsid w:val="3A1F14C3"/>
    <w:rsid w:val="3A2E6DDA"/>
    <w:rsid w:val="3A3636F6"/>
    <w:rsid w:val="3A46226E"/>
    <w:rsid w:val="3A4F1A7A"/>
    <w:rsid w:val="3A554DB9"/>
    <w:rsid w:val="3A557A75"/>
    <w:rsid w:val="3A6B3A9A"/>
    <w:rsid w:val="3A6D57C3"/>
    <w:rsid w:val="3A7D5737"/>
    <w:rsid w:val="3A875E50"/>
    <w:rsid w:val="3AAB2040"/>
    <w:rsid w:val="3AD75C33"/>
    <w:rsid w:val="3ADE28BC"/>
    <w:rsid w:val="3AEB7EEC"/>
    <w:rsid w:val="3AF50988"/>
    <w:rsid w:val="3B12280B"/>
    <w:rsid w:val="3B2550C9"/>
    <w:rsid w:val="3B370ED1"/>
    <w:rsid w:val="3B3922CE"/>
    <w:rsid w:val="3B3A36C7"/>
    <w:rsid w:val="3B3D519A"/>
    <w:rsid w:val="3B5168E9"/>
    <w:rsid w:val="3B5754DC"/>
    <w:rsid w:val="3B5D52E4"/>
    <w:rsid w:val="3B5F6C2C"/>
    <w:rsid w:val="3B626E0F"/>
    <w:rsid w:val="3B6E620C"/>
    <w:rsid w:val="3B710390"/>
    <w:rsid w:val="3B7B2BCE"/>
    <w:rsid w:val="3B7C7A57"/>
    <w:rsid w:val="3B83223B"/>
    <w:rsid w:val="3B8F1C8B"/>
    <w:rsid w:val="3B9810D7"/>
    <w:rsid w:val="3B9A6D46"/>
    <w:rsid w:val="3BA42723"/>
    <w:rsid w:val="3BAC0FF2"/>
    <w:rsid w:val="3BAC628D"/>
    <w:rsid w:val="3BAE7B24"/>
    <w:rsid w:val="3BB1378E"/>
    <w:rsid w:val="3BB6399A"/>
    <w:rsid w:val="3BC30810"/>
    <w:rsid w:val="3BC36C01"/>
    <w:rsid w:val="3BCA6236"/>
    <w:rsid w:val="3BD24A47"/>
    <w:rsid w:val="3BE407BC"/>
    <w:rsid w:val="3BF26D4D"/>
    <w:rsid w:val="3BF50A89"/>
    <w:rsid w:val="3BF8054B"/>
    <w:rsid w:val="3BFF0480"/>
    <w:rsid w:val="3C0F77F7"/>
    <w:rsid w:val="3C241436"/>
    <w:rsid w:val="3C2A693F"/>
    <w:rsid w:val="3C330D33"/>
    <w:rsid w:val="3C3A0742"/>
    <w:rsid w:val="3C3B3264"/>
    <w:rsid w:val="3C575E36"/>
    <w:rsid w:val="3C582FEB"/>
    <w:rsid w:val="3C636C41"/>
    <w:rsid w:val="3C6A01A7"/>
    <w:rsid w:val="3C6C6ECC"/>
    <w:rsid w:val="3C813932"/>
    <w:rsid w:val="3C857DEE"/>
    <w:rsid w:val="3C96638B"/>
    <w:rsid w:val="3C986744"/>
    <w:rsid w:val="3CBF30E3"/>
    <w:rsid w:val="3CC476A8"/>
    <w:rsid w:val="3CC84F02"/>
    <w:rsid w:val="3CC92E7C"/>
    <w:rsid w:val="3CCA25E7"/>
    <w:rsid w:val="3CE109FB"/>
    <w:rsid w:val="3CED5F45"/>
    <w:rsid w:val="3CF55391"/>
    <w:rsid w:val="3CFB4437"/>
    <w:rsid w:val="3D17730C"/>
    <w:rsid w:val="3D1F0407"/>
    <w:rsid w:val="3D2523FB"/>
    <w:rsid w:val="3D2C385D"/>
    <w:rsid w:val="3D2F18A4"/>
    <w:rsid w:val="3D3841A2"/>
    <w:rsid w:val="3D3B1344"/>
    <w:rsid w:val="3D55085C"/>
    <w:rsid w:val="3D647164"/>
    <w:rsid w:val="3D6E33A1"/>
    <w:rsid w:val="3D6E7B55"/>
    <w:rsid w:val="3D736B9E"/>
    <w:rsid w:val="3D741EC5"/>
    <w:rsid w:val="3D832B7C"/>
    <w:rsid w:val="3D8919C3"/>
    <w:rsid w:val="3D8928A1"/>
    <w:rsid w:val="3D8D3424"/>
    <w:rsid w:val="3DA85494"/>
    <w:rsid w:val="3DA86A8F"/>
    <w:rsid w:val="3DA93324"/>
    <w:rsid w:val="3DAD421A"/>
    <w:rsid w:val="3DB91977"/>
    <w:rsid w:val="3DC13B44"/>
    <w:rsid w:val="3DC2371B"/>
    <w:rsid w:val="3DD84B86"/>
    <w:rsid w:val="3DDF50FE"/>
    <w:rsid w:val="3DEA5635"/>
    <w:rsid w:val="3DEE7D68"/>
    <w:rsid w:val="3DEF7DB1"/>
    <w:rsid w:val="3DF72918"/>
    <w:rsid w:val="3E03262E"/>
    <w:rsid w:val="3E056886"/>
    <w:rsid w:val="3E0E28ED"/>
    <w:rsid w:val="3E192930"/>
    <w:rsid w:val="3E224DCC"/>
    <w:rsid w:val="3E2340A6"/>
    <w:rsid w:val="3E255F02"/>
    <w:rsid w:val="3E2E6CFD"/>
    <w:rsid w:val="3E30164A"/>
    <w:rsid w:val="3E3F4EBB"/>
    <w:rsid w:val="3E48254B"/>
    <w:rsid w:val="3E4D02E7"/>
    <w:rsid w:val="3E653EC8"/>
    <w:rsid w:val="3E6865D3"/>
    <w:rsid w:val="3E776D92"/>
    <w:rsid w:val="3E883406"/>
    <w:rsid w:val="3E8E22E1"/>
    <w:rsid w:val="3E9338ED"/>
    <w:rsid w:val="3EB34697"/>
    <w:rsid w:val="3EB909A3"/>
    <w:rsid w:val="3EC81B6A"/>
    <w:rsid w:val="3ECA7F2A"/>
    <w:rsid w:val="3ECC1049"/>
    <w:rsid w:val="3ECD2E86"/>
    <w:rsid w:val="3ED20477"/>
    <w:rsid w:val="3EDB1C5A"/>
    <w:rsid w:val="3EEE6BAB"/>
    <w:rsid w:val="3EEF5BEF"/>
    <w:rsid w:val="3EF33C53"/>
    <w:rsid w:val="3EFC1BBC"/>
    <w:rsid w:val="3F180A9E"/>
    <w:rsid w:val="3F185CE9"/>
    <w:rsid w:val="3F224CDF"/>
    <w:rsid w:val="3F2E4245"/>
    <w:rsid w:val="3F323817"/>
    <w:rsid w:val="3F3921DA"/>
    <w:rsid w:val="3F793BC6"/>
    <w:rsid w:val="3F8574FE"/>
    <w:rsid w:val="3F910DD4"/>
    <w:rsid w:val="3F924BD0"/>
    <w:rsid w:val="3F9B06C8"/>
    <w:rsid w:val="3F9B35A2"/>
    <w:rsid w:val="3F9D0572"/>
    <w:rsid w:val="3FAA4467"/>
    <w:rsid w:val="3FAD56A8"/>
    <w:rsid w:val="3FBD3F0C"/>
    <w:rsid w:val="3FC07036"/>
    <w:rsid w:val="3FC6795B"/>
    <w:rsid w:val="3FD16032"/>
    <w:rsid w:val="3FD47EB4"/>
    <w:rsid w:val="3FDB47E3"/>
    <w:rsid w:val="3FEE3093"/>
    <w:rsid w:val="3FF878C8"/>
    <w:rsid w:val="3FF90F87"/>
    <w:rsid w:val="3FFB0E1B"/>
    <w:rsid w:val="400111A5"/>
    <w:rsid w:val="400C5D10"/>
    <w:rsid w:val="401713C6"/>
    <w:rsid w:val="40272630"/>
    <w:rsid w:val="403C0068"/>
    <w:rsid w:val="40412EF3"/>
    <w:rsid w:val="40622FD0"/>
    <w:rsid w:val="406A4E6A"/>
    <w:rsid w:val="407C1A68"/>
    <w:rsid w:val="407E41B2"/>
    <w:rsid w:val="407F35F0"/>
    <w:rsid w:val="408A05ED"/>
    <w:rsid w:val="40940184"/>
    <w:rsid w:val="40A21439"/>
    <w:rsid w:val="40B8594E"/>
    <w:rsid w:val="40B94AD2"/>
    <w:rsid w:val="40D47ACF"/>
    <w:rsid w:val="40DC4AF4"/>
    <w:rsid w:val="40E541D1"/>
    <w:rsid w:val="40E57E4D"/>
    <w:rsid w:val="40F17186"/>
    <w:rsid w:val="40F71D63"/>
    <w:rsid w:val="41132F9E"/>
    <w:rsid w:val="41193E37"/>
    <w:rsid w:val="41416411"/>
    <w:rsid w:val="4147026B"/>
    <w:rsid w:val="414E0A4D"/>
    <w:rsid w:val="415B1EBD"/>
    <w:rsid w:val="415F209D"/>
    <w:rsid w:val="41603487"/>
    <w:rsid w:val="41626922"/>
    <w:rsid w:val="4165230C"/>
    <w:rsid w:val="4170490C"/>
    <w:rsid w:val="418F5CEA"/>
    <w:rsid w:val="41912A36"/>
    <w:rsid w:val="41913A7C"/>
    <w:rsid w:val="41A26008"/>
    <w:rsid w:val="41A43552"/>
    <w:rsid w:val="41AC1DC2"/>
    <w:rsid w:val="41BE16D0"/>
    <w:rsid w:val="41C71BC2"/>
    <w:rsid w:val="41CB3C23"/>
    <w:rsid w:val="41D91E3C"/>
    <w:rsid w:val="41DC106B"/>
    <w:rsid w:val="420D4820"/>
    <w:rsid w:val="42195D2D"/>
    <w:rsid w:val="421B22DC"/>
    <w:rsid w:val="42297E0A"/>
    <w:rsid w:val="423536DE"/>
    <w:rsid w:val="42403830"/>
    <w:rsid w:val="42421E50"/>
    <w:rsid w:val="42440E69"/>
    <w:rsid w:val="42520D51"/>
    <w:rsid w:val="42613AF3"/>
    <w:rsid w:val="428142EF"/>
    <w:rsid w:val="42855794"/>
    <w:rsid w:val="428B67D2"/>
    <w:rsid w:val="428D2958"/>
    <w:rsid w:val="42AB6972"/>
    <w:rsid w:val="42B40FCC"/>
    <w:rsid w:val="42BD527C"/>
    <w:rsid w:val="42C13EB9"/>
    <w:rsid w:val="42C24FC5"/>
    <w:rsid w:val="42D54064"/>
    <w:rsid w:val="42D90F7D"/>
    <w:rsid w:val="42E80FAE"/>
    <w:rsid w:val="42EE6613"/>
    <w:rsid w:val="42F54A3F"/>
    <w:rsid w:val="42F6296F"/>
    <w:rsid w:val="42F7219F"/>
    <w:rsid w:val="430137E9"/>
    <w:rsid w:val="430C26CA"/>
    <w:rsid w:val="431A58DF"/>
    <w:rsid w:val="431B75B2"/>
    <w:rsid w:val="431D5A70"/>
    <w:rsid w:val="43367FCA"/>
    <w:rsid w:val="43590C88"/>
    <w:rsid w:val="43591D48"/>
    <w:rsid w:val="435A2640"/>
    <w:rsid w:val="435B06CF"/>
    <w:rsid w:val="435E22AD"/>
    <w:rsid w:val="436467F7"/>
    <w:rsid w:val="43671615"/>
    <w:rsid w:val="4367629A"/>
    <w:rsid w:val="436A0F38"/>
    <w:rsid w:val="437004D9"/>
    <w:rsid w:val="43786124"/>
    <w:rsid w:val="438E7BBC"/>
    <w:rsid w:val="43A02007"/>
    <w:rsid w:val="43A77C65"/>
    <w:rsid w:val="43AB650F"/>
    <w:rsid w:val="43B14E46"/>
    <w:rsid w:val="43B21E6E"/>
    <w:rsid w:val="43BB1A82"/>
    <w:rsid w:val="43C8491A"/>
    <w:rsid w:val="43CD10E1"/>
    <w:rsid w:val="43D14A1D"/>
    <w:rsid w:val="43D6402F"/>
    <w:rsid w:val="43DD6926"/>
    <w:rsid w:val="43E671DC"/>
    <w:rsid w:val="43FF7BAC"/>
    <w:rsid w:val="4412205D"/>
    <w:rsid w:val="44134749"/>
    <w:rsid w:val="4416656F"/>
    <w:rsid w:val="442712BB"/>
    <w:rsid w:val="4427423C"/>
    <w:rsid w:val="442D7735"/>
    <w:rsid w:val="443F71F8"/>
    <w:rsid w:val="44433302"/>
    <w:rsid w:val="444C1712"/>
    <w:rsid w:val="444E04C2"/>
    <w:rsid w:val="44650EE6"/>
    <w:rsid w:val="44720FAB"/>
    <w:rsid w:val="4472318E"/>
    <w:rsid w:val="447D61B9"/>
    <w:rsid w:val="4488274F"/>
    <w:rsid w:val="449569FD"/>
    <w:rsid w:val="44996900"/>
    <w:rsid w:val="449A32D6"/>
    <w:rsid w:val="449B0240"/>
    <w:rsid w:val="44B91F2A"/>
    <w:rsid w:val="44C35F59"/>
    <w:rsid w:val="44C54AB2"/>
    <w:rsid w:val="44C85078"/>
    <w:rsid w:val="44D535C8"/>
    <w:rsid w:val="44EF1026"/>
    <w:rsid w:val="44FB69EE"/>
    <w:rsid w:val="45007340"/>
    <w:rsid w:val="450A0C18"/>
    <w:rsid w:val="450D5411"/>
    <w:rsid w:val="45147AA1"/>
    <w:rsid w:val="45155521"/>
    <w:rsid w:val="45246D27"/>
    <w:rsid w:val="45293329"/>
    <w:rsid w:val="452A4420"/>
    <w:rsid w:val="453401B9"/>
    <w:rsid w:val="454D5220"/>
    <w:rsid w:val="455F590C"/>
    <w:rsid w:val="45763769"/>
    <w:rsid w:val="45773159"/>
    <w:rsid w:val="457B0B09"/>
    <w:rsid w:val="457C0EC6"/>
    <w:rsid w:val="457D413B"/>
    <w:rsid w:val="45852AFF"/>
    <w:rsid w:val="45865481"/>
    <w:rsid w:val="458B5CA6"/>
    <w:rsid w:val="458F028D"/>
    <w:rsid w:val="45903ED4"/>
    <w:rsid w:val="45936E26"/>
    <w:rsid w:val="459B6241"/>
    <w:rsid w:val="45AF5471"/>
    <w:rsid w:val="45B33C10"/>
    <w:rsid w:val="45B8585D"/>
    <w:rsid w:val="45B943AD"/>
    <w:rsid w:val="45C35A92"/>
    <w:rsid w:val="45E433E3"/>
    <w:rsid w:val="45E6293B"/>
    <w:rsid w:val="45F1780C"/>
    <w:rsid w:val="45F73B36"/>
    <w:rsid w:val="4622738F"/>
    <w:rsid w:val="463C0763"/>
    <w:rsid w:val="464130D5"/>
    <w:rsid w:val="46491D56"/>
    <w:rsid w:val="464D718D"/>
    <w:rsid w:val="464F674F"/>
    <w:rsid w:val="466B0878"/>
    <w:rsid w:val="46733BA1"/>
    <w:rsid w:val="46750832"/>
    <w:rsid w:val="467E748A"/>
    <w:rsid w:val="467F4E94"/>
    <w:rsid w:val="467F664E"/>
    <w:rsid w:val="468370D2"/>
    <w:rsid w:val="46840D43"/>
    <w:rsid w:val="468C3DCD"/>
    <w:rsid w:val="469915E5"/>
    <w:rsid w:val="469A4C2E"/>
    <w:rsid w:val="46B7683C"/>
    <w:rsid w:val="46B86D90"/>
    <w:rsid w:val="46C910BD"/>
    <w:rsid w:val="46D24BA2"/>
    <w:rsid w:val="46D4115F"/>
    <w:rsid w:val="46D640A7"/>
    <w:rsid w:val="46D755AD"/>
    <w:rsid w:val="46DD1888"/>
    <w:rsid w:val="46DF2EEC"/>
    <w:rsid w:val="46EB77B3"/>
    <w:rsid w:val="46EC3F9B"/>
    <w:rsid w:val="46FE3CE1"/>
    <w:rsid w:val="47060EEE"/>
    <w:rsid w:val="47082986"/>
    <w:rsid w:val="47142E75"/>
    <w:rsid w:val="471625F2"/>
    <w:rsid w:val="47264E3C"/>
    <w:rsid w:val="472D3E98"/>
    <w:rsid w:val="473E467A"/>
    <w:rsid w:val="47424AD1"/>
    <w:rsid w:val="47485562"/>
    <w:rsid w:val="474C36CE"/>
    <w:rsid w:val="474C5C41"/>
    <w:rsid w:val="474F2EFC"/>
    <w:rsid w:val="474F7338"/>
    <w:rsid w:val="475C0558"/>
    <w:rsid w:val="476F7C8A"/>
    <w:rsid w:val="477A0B84"/>
    <w:rsid w:val="477C1626"/>
    <w:rsid w:val="477D2B79"/>
    <w:rsid w:val="477E3B4C"/>
    <w:rsid w:val="478B7EBB"/>
    <w:rsid w:val="47974D2B"/>
    <w:rsid w:val="47AC6A16"/>
    <w:rsid w:val="47BA7999"/>
    <w:rsid w:val="47C13872"/>
    <w:rsid w:val="47D106ED"/>
    <w:rsid w:val="47D604EF"/>
    <w:rsid w:val="47DA0060"/>
    <w:rsid w:val="47E24383"/>
    <w:rsid w:val="47E54B9B"/>
    <w:rsid w:val="47E631AF"/>
    <w:rsid w:val="47E85854"/>
    <w:rsid w:val="47F45617"/>
    <w:rsid w:val="480120F2"/>
    <w:rsid w:val="4811359B"/>
    <w:rsid w:val="4819360D"/>
    <w:rsid w:val="483F0938"/>
    <w:rsid w:val="48466CC2"/>
    <w:rsid w:val="484B4B8C"/>
    <w:rsid w:val="484F5E1C"/>
    <w:rsid w:val="48520F48"/>
    <w:rsid w:val="485607CC"/>
    <w:rsid w:val="485D28DB"/>
    <w:rsid w:val="48662A4B"/>
    <w:rsid w:val="486E20AF"/>
    <w:rsid w:val="486F3AF2"/>
    <w:rsid w:val="48740B7B"/>
    <w:rsid w:val="48752BD8"/>
    <w:rsid w:val="48757EC8"/>
    <w:rsid w:val="487A4230"/>
    <w:rsid w:val="48A07C1D"/>
    <w:rsid w:val="48B16B7D"/>
    <w:rsid w:val="48C220F3"/>
    <w:rsid w:val="48CC4405"/>
    <w:rsid w:val="48CC7523"/>
    <w:rsid w:val="48D23EB4"/>
    <w:rsid w:val="48D91E89"/>
    <w:rsid w:val="48E04309"/>
    <w:rsid w:val="48F138A2"/>
    <w:rsid w:val="490D04EA"/>
    <w:rsid w:val="49113969"/>
    <w:rsid w:val="4932200F"/>
    <w:rsid w:val="493D22DB"/>
    <w:rsid w:val="494E71A9"/>
    <w:rsid w:val="4962066D"/>
    <w:rsid w:val="49701657"/>
    <w:rsid w:val="49852952"/>
    <w:rsid w:val="49872C23"/>
    <w:rsid w:val="499433DC"/>
    <w:rsid w:val="499B75E7"/>
    <w:rsid w:val="499B7E4D"/>
    <w:rsid w:val="49A62D17"/>
    <w:rsid w:val="49AA09A8"/>
    <w:rsid w:val="49AD4432"/>
    <w:rsid w:val="49AD4695"/>
    <w:rsid w:val="49B10B60"/>
    <w:rsid w:val="49BE16A4"/>
    <w:rsid w:val="49BE302E"/>
    <w:rsid w:val="49C312A6"/>
    <w:rsid w:val="49D72BE7"/>
    <w:rsid w:val="49DB3D85"/>
    <w:rsid w:val="49EB7F45"/>
    <w:rsid w:val="49EE26D9"/>
    <w:rsid w:val="49F063B3"/>
    <w:rsid w:val="49F16684"/>
    <w:rsid w:val="4A1323A4"/>
    <w:rsid w:val="4A1638B0"/>
    <w:rsid w:val="4A2E75A4"/>
    <w:rsid w:val="4A303AFB"/>
    <w:rsid w:val="4A3A3BEB"/>
    <w:rsid w:val="4A546892"/>
    <w:rsid w:val="4A5648BB"/>
    <w:rsid w:val="4A7B35D0"/>
    <w:rsid w:val="4A7B7BE8"/>
    <w:rsid w:val="4A895C4E"/>
    <w:rsid w:val="4A8B3549"/>
    <w:rsid w:val="4A8C4A78"/>
    <w:rsid w:val="4AA46D5D"/>
    <w:rsid w:val="4AB37EA8"/>
    <w:rsid w:val="4AB85386"/>
    <w:rsid w:val="4AC34182"/>
    <w:rsid w:val="4ACA1FE5"/>
    <w:rsid w:val="4ACB4EAF"/>
    <w:rsid w:val="4AD74667"/>
    <w:rsid w:val="4ADE7362"/>
    <w:rsid w:val="4AF953CF"/>
    <w:rsid w:val="4B056663"/>
    <w:rsid w:val="4B155BC8"/>
    <w:rsid w:val="4B4A257B"/>
    <w:rsid w:val="4B521CCC"/>
    <w:rsid w:val="4B5A1595"/>
    <w:rsid w:val="4B67117B"/>
    <w:rsid w:val="4B674009"/>
    <w:rsid w:val="4B68094E"/>
    <w:rsid w:val="4B702A17"/>
    <w:rsid w:val="4B727F70"/>
    <w:rsid w:val="4B78480D"/>
    <w:rsid w:val="4B7F57CB"/>
    <w:rsid w:val="4B8A0051"/>
    <w:rsid w:val="4BA02C73"/>
    <w:rsid w:val="4BA34CDE"/>
    <w:rsid w:val="4BA54928"/>
    <w:rsid w:val="4BA90431"/>
    <w:rsid w:val="4BAC361F"/>
    <w:rsid w:val="4BB90742"/>
    <w:rsid w:val="4BC311DC"/>
    <w:rsid w:val="4BC64EC4"/>
    <w:rsid w:val="4BDC1637"/>
    <w:rsid w:val="4BEC00D3"/>
    <w:rsid w:val="4BF1769D"/>
    <w:rsid w:val="4BF92472"/>
    <w:rsid w:val="4BFF08BB"/>
    <w:rsid w:val="4C072974"/>
    <w:rsid w:val="4C1635B0"/>
    <w:rsid w:val="4C1A6273"/>
    <w:rsid w:val="4C1B7790"/>
    <w:rsid w:val="4C1D6EF1"/>
    <w:rsid w:val="4C383DD3"/>
    <w:rsid w:val="4C384C57"/>
    <w:rsid w:val="4C3D0C92"/>
    <w:rsid w:val="4C3F3265"/>
    <w:rsid w:val="4C4404DB"/>
    <w:rsid w:val="4C67308A"/>
    <w:rsid w:val="4C685918"/>
    <w:rsid w:val="4C7937CE"/>
    <w:rsid w:val="4C8137BB"/>
    <w:rsid w:val="4C881934"/>
    <w:rsid w:val="4C9038F3"/>
    <w:rsid w:val="4C9069E4"/>
    <w:rsid w:val="4CA33D63"/>
    <w:rsid w:val="4CAA35F2"/>
    <w:rsid w:val="4CB13BCB"/>
    <w:rsid w:val="4CC24F8D"/>
    <w:rsid w:val="4CD20C6F"/>
    <w:rsid w:val="4CD95F33"/>
    <w:rsid w:val="4CD97FAC"/>
    <w:rsid w:val="4CE072A8"/>
    <w:rsid w:val="4CE0748D"/>
    <w:rsid w:val="4CF35EEC"/>
    <w:rsid w:val="4CF57E8F"/>
    <w:rsid w:val="4D060CA7"/>
    <w:rsid w:val="4D1F0A20"/>
    <w:rsid w:val="4D335026"/>
    <w:rsid w:val="4D356797"/>
    <w:rsid w:val="4D363C4C"/>
    <w:rsid w:val="4D375FFB"/>
    <w:rsid w:val="4D413ABE"/>
    <w:rsid w:val="4D472603"/>
    <w:rsid w:val="4D6F57EA"/>
    <w:rsid w:val="4D7D07A9"/>
    <w:rsid w:val="4D7E7BCA"/>
    <w:rsid w:val="4D9D2018"/>
    <w:rsid w:val="4DA57429"/>
    <w:rsid w:val="4DA84B2D"/>
    <w:rsid w:val="4DB017E2"/>
    <w:rsid w:val="4DC7102D"/>
    <w:rsid w:val="4DC8309E"/>
    <w:rsid w:val="4DC94510"/>
    <w:rsid w:val="4DC9726E"/>
    <w:rsid w:val="4DD317D3"/>
    <w:rsid w:val="4DDC75F6"/>
    <w:rsid w:val="4DDD1D27"/>
    <w:rsid w:val="4DE01999"/>
    <w:rsid w:val="4DE539B2"/>
    <w:rsid w:val="4DEE2C9D"/>
    <w:rsid w:val="4DF23F3B"/>
    <w:rsid w:val="4DF5471B"/>
    <w:rsid w:val="4DF806E9"/>
    <w:rsid w:val="4E0528C4"/>
    <w:rsid w:val="4E1F51F3"/>
    <w:rsid w:val="4E205041"/>
    <w:rsid w:val="4E21054A"/>
    <w:rsid w:val="4E3156F1"/>
    <w:rsid w:val="4E465D2B"/>
    <w:rsid w:val="4E4F219B"/>
    <w:rsid w:val="4E5126E0"/>
    <w:rsid w:val="4E7C1327"/>
    <w:rsid w:val="4E7F5A78"/>
    <w:rsid w:val="4E8051B9"/>
    <w:rsid w:val="4E8B7676"/>
    <w:rsid w:val="4E8D2B1B"/>
    <w:rsid w:val="4E942D21"/>
    <w:rsid w:val="4EA4100F"/>
    <w:rsid w:val="4EA727A5"/>
    <w:rsid w:val="4EA772B6"/>
    <w:rsid w:val="4EB4676F"/>
    <w:rsid w:val="4EB502F6"/>
    <w:rsid w:val="4ED70DD3"/>
    <w:rsid w:val="4EE008FE"/>
    <w:rsid w:val="4EEA299F"/>
    <w:rsid w:val="4EEF7A6D"/>
    <w:rsid w:val="4EFD5951"/>
    <w:rsid w:val="4F0B5DF8"/>
    <w:rsid w:val="4F11017C"/>
    <w:rsid w:val="4F124446"/>
    <w:rsid w:val="4F1E3617"/>
    <w:rsid w:val="4F412709"/>
    <w:rsid w:val="4F450787"/>
    <w:rsid w:val="4F4809DD"/>
    <w:rsid w:val="4F486359"/>
    <w:rsid w:val="4F4C1064"/>
    <w:rsid w:val="4F52671E"/>
    <w:rsid w:val="4F544BC0"/>
    <w:rsid w:val="4F5E1F23"/>
    <w:rsid w:val="4F714EEB"/>
    <w:rsid w:val="4F772E6E"/>
    <w:rsid w:val="4F77676A"/>
    <w:rsid w:val="4F830CA1"/>
    <w:rsid w:val="4F9F022F"/>
    <w:rsid w:val="4FA014A2"/>
    <w:rsid w:val="4FB26AD9"/>
    <w:rsid w:val="4FB900D7"/>
    <w:rsid w:val="4FC34284"/>
    <w:rsid w:val="4FC6443E"/>
    <w:rsid w:val="4FD224BE"/>
    <w:rsid w:val="4FD964BE"/>
    <w:rsid w:val="4FDF2531"/>
    <w:rsid w:val="4FE64C1E"/>
    <w:rsid w:val="4FE8779E"/>
    <w:rsid w:val="4FEF1DA6"/>
    <w:rsid w:val="50004A95"/>
    <w:rsid w:val="50010C61"/>
    <w:rsid w:val="50066FB3"/>
    <w:rsid w:val="500D54F6"/>
    <w:rsid w:val="50137F4A"/>
    <w:rsid w:val="50173D37"/>
    <w:rsid w:val="501A653F"/>
    <w:rsid w:val="5029007C"/>
    <w:rsid w:val="503660C0"/>
    <w:rsid w:val="503A2B14"/>
    <w:rsid w:val="50521801"/>
    <w:rsid w:val="50626FC5"/>
    <w:rsid w:val="506724CA"/>
    <w:rsid w:val="50686449"/>
    <w:rsid w:val="506A211C"/>
    <w:rsid w:val="506C0CA3"/>
    <w:rsid w:val="507E02A3"/>
    <w:rsid w:val="508A096E"/>
    <w:rsid w:val="508C757F"/>
    <w:rsid w:val="508D33B3"/>
    <w:rsid w:val="509A0660"/>
    <w:rsid w:val="50A83174"/>
    <w:rsid w:val="50AA5365"/>
    <w:rsid w:val="50AB7422"/>
    <w:rsid w:val="50B13D1B"/>
    <w:rsid w:val="50B51408"/>
    <w:rsid w:val="50C620C8"/>
    <w:rsid w:val="50CF22E7"/>
    <w:rsid w:val="50F31D4C"/>
    <w:rsid w:val="50F94B1C"/>
    <w:rsid w:val="5126392B"/>
    <w:rsid w:val="513B4FE6"/>
    <w:rsid w:val="514706F0"/>
    <w:rsid w:val="51523A14"/>
    <w:rsid w:val="5156345E"/>
    <w:rsid w:val="515A20ED"/>
    <w:rsid w:val="515B24FD"/>
    <w:rsid w:val="517472A2"/>
    <w:rsid w:val="51847629"/>
    <w:rsid w:val="518C7C37"/>
    <w:rsid w:val="519C6CAE"/>
    <w:rsid w:val="51A72E00"/>
    <w:rsid w:val="51AE428B"/>
    <w:rsid w:val="51AE58E9"/>
    <w:rsid w:val="51B832C3"/>
    <w:rsid w:val="51D40874"/>
    <w:rsid w:val="51DE269C"/>
    <w:rsid w:val="51F3498B"/>
    <w:rsid w:val="520C4D60"/>
    <w:rsid w:val="52114B18"/>
    <w:rsid w:val="52114EBB"/>
    <w:rsid w:val="52176D48"/>
    <w:rsid w:val="522709FC"/>
    <w:rsid w:val="522A26AA"/>
    <w:rsid w:val="52330F24"/>
    <w:rsid w:val="5236211A"/>
    <w:rsid w:val="526327CD"/>
    <w:rsid w:val="52653410"/>
    <w:rsid w:val="52674A51"/>
    <w:rsid w:val="527E3B80"/>
    <w:rsid w:val="528B381A"/>
    <w:rsid w:val="52903220"/>
    <w:rsid w:val="5290625E"/>
    <w:rsid w:val="529333A5"/>
    <w:rsid w:val="529F4C29"/>
    <w:rsid w:val="52A225D9"/>
    <w:rsid w:val="52A5620A"/>
    <w:rsid w:val="52A85D87"/>
    <w:rsid w:val="52AA121E"/>
    <w:rsid w:val="52AD79E3"/>
    <w:rsid w:val="52B47AF8"/>
    <w:rsid w:val="52B50F48"/>
    <w:rsid w:val="52B65457"/>
    <w:rsid w:val="52BB1BB0"/>
    <w:rsid w:val="52BD65C2"/>
    <w:rsid w:val="52C07935"/>
    <w:rsid w:val="52C44A8A"/>
    <w:rsid w:val="52D853DF"/>
    <w:rsid w:val="52DC143A"/>
    <w:rsid w:val="52E32645"/>
    <w:rsid w:val="52E76F18"/>
    <w:rsid w:val="52F5605D"/>
    <w:rsid w:val="52FA39B7"/>
    <w:rsid w:val="5306454B"/>
    <w:rsid w:val="530A1B10"/>
    <w:rsid w:val="53113D7C"/>
    <w:rsid w:val="5318508F"/>
    <w:rsid w:val="531A282E"/>
    <w:rsid w:val="531E6088"/>
    <w:rsid w:val="531F2787"/>
    <w:rsid w:val="532636A9"/>
    <w:rsid w:val="532D2387"/>
    <w:rsid w:val="533704B8"/>
    <w:rsid w:val="53391570"/>
    <w:rsid w:val="533B5478"/>
    <w:rsid w:val="5342631C"/>
    <w:rsid w:val="53514B60"/>
    <w:rsid w:val="53567870"/>
    <w:rsid w:val="53591D99"/>
    <w:rsid w:val="535A4A14"/>
    <w:rsid w:val="53602DEC"/>
    <w:rsid w:val="53733096"/>
    <w:rsid w:val="53753945"/>
    <w:rsid w:val="53793B18"/>
    <w:rsid w:val="53797A39"/>
    <w:rsid w:val="539F029C"/>
    <w:rsid w:val="53AE5938"/>
    <w:rsid w:val="53AF46FA"/>
    <w:rsid w:val="53B4350E"/>
    <w:rsid w:val="53C512E9"/>
    <w:rsid w:val="53CC7091"/>
    <w:rsid w:val="53CD05AD"/>
    <w:rsid w:val="53D55075"/>
    <w:rsid w:val="53D60BEC"/>
    <w:rsid w:val="53D77D03"/>
    <w:rsid w:val="53DA2A8A"/>
    <w:rsid w:val="53E23343"/>
    <w:rsid w:val="53E33CA0"/>
    <w:rsid w:val="53E46566"/>
    <w:rsid w:val="53FE7F31"/>
    <w:rsid w:val="54065170"/>
    <w:rsid w:val="5415104E"/>
    <w:rsid w:val="541A6BAD"/>
    <w:rsid w:val="54293912"/>
    <w:rsid w:val="542968E7"/>
    <w:rsid w:val="54370393"/>
    <w:rsid w:val="543B272A"/>
    <w:rsid w:val="543C6C31"/>
    <w:rsid w:val="543F0287"/>
    <w:rsid w:val="543F4497"/>
    <w:rsid w:val="5446251D"/>
    <w:rsid w:val="54465E98"/>
    <w:rsid w:val="544E07CC"/>
    <w:rsid w:val="5451299B"/>
    <w:rsid w:val="54547785"/>
    <w:rsid w:val="545C1B97"/>
    <w:rsid w:val="54651BD3"/>
    <w:rsid w:val="546A434C"/>
    <w:rsid w:val="54773068"/>
    <w:rsid w:val="547F6D5B"/>
    <w:rsid w:val="54840A3B"/>
    <w:rsid w:val="548B5F36"/>
    <w:rsid w:val="548D6505"/>
    <w:rsid w:val="549546C0"/>
    <w:rsid w:val="54967DBD"/>
    <w:rsid w:val="54970C2D"/>
    <w:rsid w:val="54992D2C"/>
    <w:rsid w:val="54A6775A"/>
    <w:rsid w:val="54B0307B"/>
    <w:rsid w:val="54B93D7C"/>
    <w:rsid w:val="54C96B87"/>
    <w:rsid w:val="54D77DE2"/>
    <w:rsid w:val="54DF62FD"/>
    <w:rsid w:val="54EA671B"/>
    <w:rsid w:val="552A729A"/>
    <w:rsid w:val="55301F46"/>
    <w:rsid w:val="553076D9"/>
    <w:rsid w:val="55324787"/>
    <w:rsid w:val="554152A3"/>
    <w:rsid w:val="5543396E"/>
    <w:rsid w:val="5545368B"/>
    <w:rsid w:val="55556DCF"/>
    <w:rsid w:val="555B27E3"/>
    <w:rsid w:val="555C6AF7"/>
    <w:rsid w:val="5562237D"/>
    <w:rsid w:val="55687A83"/>
    <w:rsid w:val="55736013"/>
    <w:rsid w:val="55762BE7"/>
    <w:rsid w:val="558B5C5A"/>
    <w:rsid w:val="558D23E4"/>
    <w:rsid w:val="55961E09"/>
    <w:rsid w:val="559C6013"/>
    <w:rsid w:val="55A245F5"/>
    <w:rsid w:val="55AA7999"/>
    <w:rsid w:val="55C26B6F"/>
    <w:rsid w:val="55C35029"/>
    <w:rsid w:val="55C56531"/>
    <w:rsid w:val="55C670F5"/>
    <w:rsid w:val="55CE4CE0"/>
    <w:rsid w:val="55D26E11"/>
    <w:rsid w:val="55D86398"/>
    <w:rsid w:val="55DC3463"/>
    <w:rsid w:val="55DC7289"/>
    <w:rsid w:val="55E50795"/>
    <w:rsid w:val="55F27EEA"/>
    <w:rsid w:val="55F31568"/>
    <w:rsid w:val="55F765E5"/>
    <w:rsid w:val="55F80996"/>
    <w:rsid w:val="56004EC4"/>
    <w:rsid w:val="56040378"/>
    <w:rsid w:val="5607340F"/>
    <w:rsid w:val="56243561"/>
    <w:rsid w:val="56265AD2"/>
    <w:rsid w:val="564C2FC9"/>
    <w:rsid w:val="566A6BF6"/>
    <w:rsid w:val="56702BCB"/>
    <w:rsid w:val="567153B2"/>
    <w:rsid w:val="568D4815"/>
    <w:rsid w:val="568E6439"/>
    <w:rsid w:val="569A354A"/>
    <w:rsid w:val="56A75DA7"/>
    <w:rsid w:val="56B62A0B"/>
    <w:rsid w:val="56C44DCE"/>
    <w:rsid w:val="56D14861"/>
    <w:rsid w:val="56D448BE"/>
    <w:rsid w:val="56DC1A82"/>
    <w:rsid w:val="56DF393A"/>
    <w:rsid w:val="56F02BC0"/>
    <w:rsid w:val="56F06CE4"/>
    <w:rsid w:val="56FB79DE"/>
    <w:rsid w:val="57092B06"/>
    <w:rsid w:val="570C38E2"/>
    <w:rsid w:val="570D6904"/>
    <w:rsid w:val="570E6F3C"/>
    <w:rsid w:val="57112AF7"/>
    <w:rsid w:val="57122E85"/>
    <w:rsid w:val="572033DD"/>
    <w:rsid w:val="57263EA4"/>
    <w:rsid w:val="5732429C"/>
    <w:rsid w:val="573561AF"/>
    <w:rsid w:val="5743687D"/>
    <w:rsid w:val="574A6ADB"/>
    <w:rsid w:val="57540A9A"/>
    <w:rsid w:val="575B30B8"/>
    <w:rsid w:val="575D1FF8"/>
    <w:rsid w:val="5771167B"/>
    <w:rsid w:val="57811640"/>
    <w:rsid w:val="578143A8"/>
    <w:rsid w:val="578515EA"/>
    <w:rsid w:val="578776BC"/>
    <w:rsid w:val="579512B4"/>
    <w:rsid w:val="579E2361"/>
    <w:rsid w:val="57A65985"/>
    <w:rsid w:val="57A91D10"/>
    <w:rsid w:val="57B17875"/>
    <w:rsid w:val="57CA580C"/>
    <w:rsid w:val="57CC0AAC"/>
    <w:rsid w:val="57D63C4A"/>
    <w:rsid w:val="57D7044A"/>
    <w:rsid w:val="57D86D8A"/>
    <w:rsid w:val="57DA10D2"/>
    <w:rsid w:val="57FF5025"/>
    <w:rsid w:val="580B3691"/>
    <w:rsid w:val="580D4907"/>
    <w:rsid w:val="58164938"/>
    <w:rsid w:val="581B2716"/>
    <w:rsid w:val="581F20A8"/>
    <w:rsid w:val="582D0C82"/>
    <w:rsid w:val="58360B36"/>
    <w:rsid w:val="5847655D"/>
    <w:rsid w:val="584F0835"/>
    <w:rsid w:val="58513A52"/>
    <w:rsid w:val="585B7B95"/>
    <w:rsid w:val="586124FB"/>
    <w:rsid w:val="586533D2"/>
    <w:rsid w:val="58696DEF"/>
    <w:rsid w:val="58781BC3"/>
    <w:rsid w:val="589F639F"/>
    <w:rsid w:val="58B63D1F"/>
    <w:rsid w:val="58BD7A73"/>
    <w:rsid w:val="58C330C3"/>
    <w:rsid w:val="58CD73F0"/>
    <w:rsid w:val="58D565A1"/>
    <w:rsid w:val="58DD1AD8"/>
    <w:rsid w:val="58DE4D6B"/>
    <w:rsid w:val="58EB3386"/>
    <w:rsid w:val="58F4507C"/>
    <w:rsid w:val="590A7B4E"/>
    <w:rsid w:val="590D6791"/>
    <w:rsid w:val="590F38BD"/>
    <w:rsid w:val="59154977"/>
    <w:rsid w:val="59173A08"/>
    <w:rsid w:val="59183E67"/>
    <w:rsid w:val="591F58ED"/>
    <w:rsid w:val="592B226D"/>
    <w:rsid w:val="593554FE"/>
    <w:rsid w:val="593B2798"/>
    <w:rsid w:val="59441479"/>
    <w:rsid w:val="59541140"/>
    <w:rsid w:val="5964785E"/>
    <w:rsid w:val="59773BEA"/>
    <w:rsid w:val="59877578"/>
    <w:rsid w:val="59967958"/>
    <w:rsid w:val="59987EDE"/>
    <w:rsid w:val="599903BA"/>
    <w:rsid w:val="599A6B02"/>
    <w:rsid w:val="599B59B1"/>
    <w:rsid w:val="59B215E6"/>
    <w:rsid w:val="59B763E4"/>
    <w:rsid w:val="59B8157B"/>
    <w:rsid w:val="59BC26C9"/>
    <w:rsid w:val="59BC73E7"/>
    <w:rsid w:val="59E45B6C"/>
    <w:rsid w:val="59E96B66"/>
    <w:rsid w:val="59ED654B"/>
    <w:rsid w:val="59ED7A03"/>
    <w:rsid w:val="5A0866EB"/>
    <w:rsid w:val="5A0D21C7"/>
    <w:rsid w:val="5A155CF1"/>
    <w:rsid w:val="5A255824"/>
    <w:rsid w:val="5A3F1F40"/>
    <w:rsid w:val="5A4B030C"/>
    <w:rsid w:val="5A5A0E37"/>
    <w:rsid w:val="5A5A4D48"/>
    <w:rsid w:val="5A5E1A8A"/>
    <w:rsid w:val="5A654D71"/>
    <w:rsid w:val="5A6723D9"/>
    <w:rsid w:val="5A83693F"/>
    <w:rsid w:val="5A884DFC"/>
    <w:rsid w:val="5A8A1271"/>
    <w:rsid w:val="5A985A88"/>
    <w:rsid w:val="5AA321B8"/>
    <w:rsid w:val="5AA751D5"/>
    <w:rsid w:val="5AC14C4F"/>
    <w:rsid w:val="5AD018F8"/>
    <w:rsid w:val="5AD13779"/>
    <w:rsid w:val="5AE35557"/>
    <w:rsid w:val="5AE82D4A"/>
    <w:rsid w:val="5AF43221"/>
    <w:rsid w:val="5B021F55"/>
    <w:rsid w:val="5B0920F7"/>
    <w:rsid w:val="5B0C0E94"/>
    <w:rsid w:val="5B12588A"/>
    <w:rsid w:val="5B280F87"/>
    <w:rsid w:val="5B2F3836"/>
    <w:rsid w:val="5B394DBB"/>
    <w:rsid w:val="5B6861B6"/>
    <w:rsid w:val="5B7860C4"/>
    <w:rsid w:val="5B852C75"/>
    <w:rsid w:val="5B8817B5"/>
    <w:rsid w:val="5B8C2A9D"/>
    <w:rsid w:val="5B92670C"/>
    <w:rsid w:val="5B954484"/>
    <w:rsid w:val="5B9A19EF"/>
    <w:rsid w:val="5B9A4B12"/>
    <w:rsid w:val="5B9C0740"/>
    <w:rsid w:val="5B9D3EBA"/>
    <w:rsid w:val="5B9F30DC"/>
    <w:rsid w:val="5BAC4FB3"/>
    <w:rsid w:val="5BBA121B"/>
    <w:rsid w:val="5BC8097B"/>
    <w:rsid w:val="5BCB6526"/>
    <w:rsid w:val="5BD67B34"/>
    <w:rsid w:val="5BE16D7E"/>
    <w:rsid w:val="5BFC52C6"/>
    <w:rsid w:val="5BFC7F71"/>
    <w:rsid w:val="5C095E6F"/>
    <w:rsid w:val="5C0C355F"/>
    <w:rsid w:val="5C3E303A"/>
    <w:rsid w:val="5C434C11"/>
    <w:rsid w:val="5C4448C7"/>
    <w:rsid w:val="5C466753"/>
    <w:rsid w:val="5C4E6341"/>
    <w:rsid w:val="5C551EB1"/>
    <w:rsid w:val="5C5C1969"/>
    <w:rsid w:val="5C5E2D32"/>
    <w:rsid w:val="5C6742CB"/>
    <w:rsid w:val="5C684645"/>
    <w:rsid w:val="5C7B686D"/>
    <w:rsid w:val="5C7C5F0C"/>
    <w:rsid w:val="5C814A4B"/>
    <w:rsid w:val="5C8321A8"/>
    <w:rsid w:val="5C833FF3"/>
    <w:rsid w:val="5C87511F"/>
    <w:rsid w:val="5C8F36F9"/>
    <w:rsid w:val="5C9E24E3"/>
    <w:rsid w:val="5C9E3E73"/>
    <w:rsid w:val="5CB72CEF"/>
    <w:rsid w:val="5CB75095"/>
    <w:rsid w:val="5CB81E12"/>
    <w:rsid w:val="5CB85583"/>
    <w:rsid w:val="5CBA6615"/>
    <w:rsid w:val="5CBD2769"/>
    <w:rsid w:val="5CC6160F"/>
    <w:rsid w:val="5CE97186"/>
    <w:rsid w:val="5CED1068"/>
    <w:rsid w:val="5CF1336A"/>
    <w:rsid w:val="5CF33075"/>
    <w:rsid w:val="5CF66E77"/>
    <w:rsid w:val="5CFD5BC0"/>
    <w:rsid w:val="5D0B3750"/>
    <w:rsid w:val="5D0C293C"/>
    <w:rsid w:val="5D2E3760"/>
    <w:rsid w:val="5D400CEE"/>
    <w:rsid w:val="5D411606"/>
    <w:rsid w:val="5D503A85"/>
    <w:rsid w:val="5D504EDF"/>
    <w:rsid w:val="5D521D3C"/>
    <w:rsid w:val="5D642E9A"/>
    <w:rsid w:val="5D826A20"/>
    <w:rsid w:val="5D8564C2"/>
    <w:rsid w:val="5D933EF6"/>
    <w:rsid w:val="5DA63671"/>
    <w:rsid w:val="5DA75D46"/>
    <w:rsid w:val="5DA84AF2"/>
    <w:rsid w:val="5DCF0071"/>
    <w:rsid w:val="5DD43DAC"/>
    <w:rsid w:val="5DDC1ACC"/>
    <w:rsid w:val="5DDF7085"/>
    <w:rsid w:val="5DF105C3"/>
    <w:rsid w:val="5DF1782E"/>
    <w:rsid w:val="5DF90FB9"/>
    <w:rsid w:val="5E162E4A"/>
    <w:rsid w:val="5E2677E3"/>
    <w:rsid w:val="5E33481B"/>
    <w:rsid w:val="5E3A4379"/>
    <w:rsid w:val="5E3E112A"/>
    <w:rsid w:val="5E415E9C"/>
    <w:rsid w:val="5E4D0486"/>
    <w:rsid w:val="5E4D6756"/>
    <w:rsid w:val="5E50053E"/>
    <w:rsid w:val="5E555A78"/>
    <w:rsid w:val="5E7B40F9"/>
    <w:rsid w:val="5E822B82"/>
    <w:rsid w:val="5E874981"/>
    <w:rsid w:val="5E897F7A"/>
    <w:rsid w:val="5E9C606D"/>
    <w:rsid w:val="5E9D5478"/>
    <w:rsid w:val="5EAA2F03"/>
    <w:rsid w:val="5EB542DA"/>
    <w:rsid w:val="5EB807A1"/>
    <w:rsid w:val="5ED2232A"/>
    <w:rsid w:val="5EE176ED"/>
    <w:rsid w:val="5EEC63F2"/>
    <w:rsid w:val="5EED2677"/>
    <w:rsid w:val="5EF37781"/>
    <w:rsid w:val="5EFF0303"/>
    <w:rsid w:val="5F007A59"/>
    <w:rsid w:val="5F022DE6"/>
    <w:rsid w:val="5F0C5812"/>
    <w:rsid w:val="5F1F6F52"/>
    <w:rsid w:val="5F2253EF"/>
    <w:rsid w:val="5F2310F5"/>
    <w:rsid w:val="5F240D70"/>
    <w:rsid w:val="5F2F5310"/>
    <w:rsid w:val="5F3A6C78"/>
    <w:rsid w:val="5F544C8C"/>
    <w:rsid w:val="5F642FB3"/>
    <w:rsid w:val="5F76082E"/>
    <w:rsid w:val="5F853DD1"/>
    <w:rsid w:val="5F88713F"/>
    <w:rsid w:val="5F8964BD"/>
    <w:rsid w:val="5F8A1D20"/>
    <w:rsid w:val="5F92293B"/>
    <w:rsid w:val="5F953B4C"/>
    <w:rsid w:val="5F9B6C4E"/>
    <w:rsid w:val="5F9B7562"/>
    <w:rsid w:val="5FA37F35"/>
    <w:rsid w:val="5FAB7933"/>
    <w:rsid w:val="5FAC59C4"/>
    <w:rsid w:val="5FAE2581"/>
    <w:rsid w:val="5FB349B8"/>
    <w:rsid w:val="5FCC26CF"/>
    <w:rsid w:val="5FCD49AD"/>
    <w:rsid w:val="5FD36793"/>
    <w:rsid w:val="5FE367F4"/>
    <w:rsid w:val="5FF67529"/>
    <w:rsid w:val="5FFB7A47"/>
    <w:rsid w:val="5FFF4DF4"/>
    <w:rsid w:val="60051C5F"/>
    <w:rsid w:val="6009431E"/>
    <w:rsid w:val="60391C97"/>
    <w:rsid w:val="60573122"/>
    <w:rsid w:val="605D4710"/>
    <w:rsid w:val="60610DE1"/>
    <w:rsid w:val="606A14C8"/>
    <w:rsid w:val="606A60B7"/>
    <w:rsid w:val="606E1D6E"/>
    <w:rsid w:val="606F0399"/>
    <w:rsid w:val="607341C0"/>
    <w:rsid w:val="60871D61"/>
    <w:rsid w:val="608F3CC5"/>
    <w:rsid w:val="6094229C"/>
    <w:rsid w:val="60956D42"/>
    <w:rsid w:val="609864D9"/>
    <w:rsid w:val="60A22E7F"/>
    <w:rsid w:val="60A410AD"/>
    <w:rsid w:val="60AB59CF"/>
    <w:rsid w:val="60C37E75"/>
    <w:rsid w:val="60CF1B28"/>
    <w:rsid w:val="60D47EB3"/>
    <w:rsid w:val="60D51B09"/>
    <w:rsid w:val="60D631E2"/>
    <w:rsid w:val="60D84E52"/>
    <w:rsid w:val="60DC124A"/>
    <w:rsid w:val="60E25ED3"/>
    <w:rsid w:val="60E331EC"/>
    <w:rsid w:val="60E33BAB"/>
    <w:rsid w:val="60F80545"/>
    <w:rsid w:val="610D68DF"/>
    <w:rsid w:val="610F7C32"/>
    <w:rsid w:val="611868F5"/>
    <w:rsid w:val="61187370"/>
    <w:rsid w:val="613C44E4"/>
    <w:rsid w:val="613F685C"/>
    <w:rsid w:val="614D3051"/>
    <w:rsid w:val="614E38D3"/>
    <w:rsid w:val="61596DC6"/>
    <w:rsid w:val="615D0920"/>
    <w:rsid w:val="6165584E"/>
    <w:rsid w:val="61902A9B"/>
    <w:rsid w:val="619F237E"/>
    <w:rsid w:val="61BC58BF"/>
    <w:rsid w:val="61C5664B"/>
    <w:rsid w:val="61C730AA"/>
    <w:rsid w:val="61C972B2"/>
    <w:rsid w:val="61CA2A1B"/>
    <w:rsid w:val="61D7583F"/>
    <w:rsid w:val="61DD3DC1"/>
    <w:rsid w:val="61EA54DC"/>
    <w:rsid w:val="61ED38C3"/>
    <w:rsid w:val="61FC5093"/>
    <w:rsid w:val="620B1F7E"/>
    <w:rsid w:val="62217ED8"/>
    <w:rsid w:val="622A4C2C"/>
    <w:rsid w:val="62316E72"/>
    <w:rsid w:val="6237639F"/>
    <w:rsid w:val="624A1978"/>
    <w:rsid w:val="625726D0"/>
    <w:rsid w:val="625955C6"/>
    <w:rsid w:val="625A00D7"/>
    <w:rsid w:val="625A6204"/>
    <w:rsid w:val="625B4567"/>
    <w:rsid w:val="62676819"/>
    <w:rsid w:val="62681347"/>
    <w:rsid w:val="62755EB6"/>
    <w:rsid w:val="627725AB"/>
    <w:rsid w:val="627C4171"/>
    <w:rsid w:val="627E64F1"/>
    <w:rsid w:val="62820231"/>
    <w:rsid w:val="6291631A"/>
    <w:rsid w:val="629D4B6A"/>
    <w:rsid w:val="629D679F"/>
    <w:rsid w:val="629F597C"/>
    <w:rsid w:val="62AE1781"/>
    <w:rsid w:val="62BE5CFB"/>
    <w:rsid w:val="62BF71E4"/>
    <w:rsid w:val="62C44677"/>
    <w:rsid w:val="62C616B2"/>
    <w:rsid w:val="62CC798F"/>
    <w:rsid w:val="62E81BAA"/>
    <w:rsid w:val="62EA4565"/>
    <w:rsid w:val="62F80D06"/>
    <w:rsid w:val="630C1130"/>
    <w:rsid w:val="63175B93"/>
    <w:rsid w:val="63241C2E"/>
    <w:rsid w:val="63333F80"/>
    <w:rsid w:val="633372DD"/>
    <w:rsid w:val="6334412D"/>
    <w:rsid w:val="63453122"/>
    <w:rsid w:val="63454DE9"/>
    <w:rsid w:val="6352453D"/>
    <w:rsid w:val="63582CE8"/>
    <w:rsid w:val="63767E9F"/>
    <w:rsid w:val="637B7FFC"/>
    <w:rsid w:val="638C66B1"/>
    <w:rsid w:val="63937450"/>
    <w:rsid w:val="63A70595"/>
    <w:rsid w:val="63A81876"/>
    <w:rsid w:val="63A97AA3"/>
    <w:rsid w:val="63AF1D21"/>
    <w:rsid w:val="63B561E8"/>
    <w:rsid w:val="63C86079"/>
    <w:rsid w:val="63CA6F23"/>
    <w:rsid w:val="63EC2E7C"/>
    <w:rsid w:val="63EF135B"/>
    <w:rsid w:val="63EF7854"/>
    <w:rsid w:val="641644AE"/>
    <w:rsid w:val="641F37E0"/>
    <w:rsid w:val="642063AE"/>
    <w:rsid w:val="64237A9E"/>
    <w:rsid w:val="642A7C63"/>
    <w:rsid w:val="64473DFE"/>
    <w:rsid w:val="64481398"/>
    <w:rsid w:val="645048B6"/>
    <w:rsid w:val="64520C69"/>
    <w:rsid w:val="64546374"/>
    <w:rsid w:val="645E385C"/>
    <w:rsid w:val="646D7943"/>
    <w:rsid w:val="648A198A"/>
    <w:rsid w:val="649014AC"/>
    <w:rsid w:val="64AD1AFC"/>
    <w:rsid w:val="64B463DE"/>
    <w:rsid w:val="64B7618D"/>
    <w:rsid w:val="64B76197"/>
    <w:rsid w:val="64BB17CB"/>
    <w:rsid w:val="64BB1B76"/>
    <w:rsid w:val="64BE472B"/>
    <w:rsid w:val="64BF604B"/>
    <w:rsid w:val="64D760AA"/>
    <w:rsid w:val="64D83087"/>
    <w:rsid w:val="65072A34"/>
    <w:rsid w:val="650A0089"/>
    <w:rsid w:val="650C223E"/>
    <w:rsid w:val="65143A6B"/>
    <w:rsid w:val="65244B21"/>
    <w:rsid w:val="652A1921"/>
    <w:rsid w:val="65407434"/>
    <w:rsid w:val="654314ED"/>
    <w:rsid w:val="65535B2D"/>
    <w:rsid w:val="656809DC"/>
    <w:rsid w:val="65714685"/>
    <w:rsid w:val="65767787"/>
    <w:rsid w:val="65785CAD"/>
    <w:rsid w:val="657B1BA6"/>
    <w:rsid w:val="657D6680"/>
    <w:rsid w:val="65862E1F"/>
    <w:rsid w:val="65956842"/>
    <w:rsid w:val="65976067"/>
    <w:rsid w:val="65B52D15"/>
    <w:rsid w:val="65B77C2F"/>
    <w:rsid w:val="65C771ED"/>
    <w:rsid w:val="65E43ED2"/>
    <w:rsid w:val="65E460F4"/>
    <w:rsid w:val="65E52B0F"/>
    <w:rsid w:val="65EB4CDF"/>
    <w:rsid w:val="65F36D30"/>
    <w:rsid w:val="65FE16AE"/>
    <w:rsid w:val="65FE5852"/>
    <w:rsid w:val="660832C8"/>
    <w:rsid w:val="66127F31"/>
    <w:rsid w:val="661A6A42"/>
    <w:rsid w:val="661B3143"/>
    <w:rsid w:val="66214BD4"/>
    <w:rsid w:val="66266AD5"/>
    <w:rsid w:val="66297599"/>
    <w:rsid w:val="662B1A94"/>
    <w:rsid w:val="663F5653"/>
    <w:rsid w:val="665C53C9"/>
    <w:rsid w:val="665E34E6"/>
    <w:rsid w:val="666331D0"/>
    <w:rsid w:val="6664549B"/>
    <w:rsid w:val="6664753D"/>
    <w:rsid w:val="6683521E"/>
    <w:rsid w:val="6694350D"/>
    <w:rsid w:val="66970B34"/>
    <w:rsid w:val="66A357BA"/>
    <w:rsid w:val="66AA2F82"/>
    <w:rsid w:val="66D31117"/>
    <w:rsid w:val="66D45A75"/>
    <w:rsid w:val="66DD55D7"/>
    <w:rsid w:val="66F347C2"/>
    <w:rsid w:val="66F759D1"/>
    <w:rsid w:val="66FC06B8"/>
    <w:rsid w:val="66FC541B"/>
    <w:rsid w:val="670479F3"/>
    <w:rsid w:val="67060FBE"/>
    <w:rsid w:val="670B5D1A"/>
    <w:rsid w:val="67187713"/>
    <w:rsid w:val="671B5EDB"/>
    <w:rsid w:val="67200B76"/>
    <w:rsid w:val="67293FE3"/>
    <w:rsid w:val="673812C6"/>
    <w:rsid w:val="673B629C"/>
    <w:rsid w:val="67441022"/>
    <w:rsid w:val="675039FA"/>
    <w:rsid w:val="67517C95"/>
    <w:rsid w:val="676149A1"/>
    <w:rsid w:val="6762428C"/>
    <w:rsid w:val="67683ED3"/>
    <w:rsid w:val="6769182C"/>
    <w:rsid w:val="676A7027"/>
    <w:rsid w:val="676F5F65"/>
    <w:rsid w:val="67751980"/>
    <w:rsid w:val="677E6E1E"/>
    <w:rsid w:val="678205DA"/>
    <w:rsid w:val="679E0987"/>
    <w:rsid w:val="67A41B77"/>
    <w:rsid w:val="67A67F01"/>
    <w:rsid w:val="67AD1B83"/>
    <w:rsid w:val="67BB73AF"/>
    <w:rsid w:val="67E56749"/>
    <w:rsid w:val="67FD0B83"/>
    <w:rsid w:val="680B6E9B"/>
    <w:rsid w:val="680D389F"/>
    <w:rsid w:val="68152865"/>
    <w:rsid w:val="68243755"/>
    <w:rsid w:val="683E4589"/>
    <w:rsid w:val="684263BC"/>
    <w:rsid w:val="684F3FFB"/>
    <w:rsid w:val="685876BC"/>
    <w:rsid w:val="685D0AD1"/>
    <w:rsid w:val="6868046C"/>
    <w:rsid w:val="6878092C"/>
    <w:rsid w:val="687F1A60"/>
    <w:rsid w:val="6880757D"/>
    <w:rsid w:val="68841ADE"/>
    <w:rsid w:val="688A2AE1"/>
    <w:rsid w:val="688A60D0"/>
    <w:rsid w:val="68906168"/>
    <w:rsid w:val="689912B9"/>
    <w:rsid w:val="68AD53A5"/>
    <w:rsid w:val="68B62319"/>
    <w:rsid w:val="68C024B9"/>
    <w:rsid w:val="68C843C0"/>
    <w:rsid w:val="68D10490"/>
    <w:rsid w:val="68F60A8C"/>
    <w:rsid w:val="68F730E3"/>
    <w:rsid w:val="6908537E"/>
    <w:rsid w:val="6912480D"/>
    <w:rsid w:val="691A59E2"/>
    <w:rsid w:val="69332445"/>
    <w:rsid w:val="693B6660"/>
    <w:rsid w:val="694915CA"/>
    <w:rsid w:val="69A65B40"/>
    <w:rsid w:val="69B013F1"/>
    <w:rsid w:val="69B6214E"/>
    <w:rsid w:val="69B82549"/>
    <w:rsid w:val="69B93C3B"/>
    <w:rsid w:val="69C76CD3"/>
    <w:rsid w:val="69D94674"/>
    <w:rsid w:val="69F50C02"/>
    <w:rsid w:val="69F523D1"/>
    <w:rsid w:val="69FF364B"/>
    <w:rsid w:val="69FF6E3D"/>
    <w:rsid w:val="6A0B6169"/>
    <w:rsid w:val="6A1C2C58"/>
    <w:rsid w:val="6A256B54"/>
    <w:rsid w:val="6A294333"/>
    <w:rsid w:val="6A386CBD"/>
    <w:rsid w:val="6A445F67"/>
    <w:rsid w:val="6A493D3D"/>
    <w:rsid w:val="6A4C7698"/>
    <w:rsid w:val="6A4F0F38"/>
    <w:rsid w:val="6A4F4E07"/>
    <w:rsid w:val="6A5B2612"/>
    <w:rsid w:val="6A6E6202"/>
    <w:rsid w:val="6A7D3FC4"/>
    <w:rsid w:val="6A7F5BE8"/>
    <w:rsid w:val="6A94668B"/>
    <w:rsid w:val="6AB64B1A"/>
    <w:rsid w:val="6AB967D1"/>
    <w:rsid w:val="6AC00990"/>
    <w:rsid w:val="6AC048C6"/>
    <w:rsid w:val="6AC56FB1"/>
    <w:rsid w:val="6AC76B81"/>
    <w:rsid w:val="6ACA084A"/>
    <w:rsid w:val="6AE11EA6"/>
    <w:rsid w:val="6AE12181"/>
    <w:rsid w:val="6AE27287"/>
    <w:rsid w:val="6AF73CAF"/>
    <w:rsid w:val="6B066257"/>
    <w:rsid w:val="6B155E07"/>
    <w:rsid w:val="6B161CF0"/>
    <w:rsid w:val="6B165DA5"/>
    <w:rsid w:val="6B174751"/>
    <w:rsid w:val="6B1839C1"/>
    <w:rsid w:val="6B205FA2"/>
    <w:rsid w:val="6B2148C5"/>
    <w:rsid w:val="6B306171"/>
    <w:rsid w:val="6B350B09"/>
    <w:rsid w:val="6B573965"/>
    <w:rsid w:val="6B575A68"/>
    <w:rsid w:val="6B607A7C"/>
    <w:rsid w:val="6B6A5AF0"/>
    <w:rsid w:val="6B6B5D6F"/>
    <w:rsid w:val="6B75506E"/>
    <w:rsid w:val="6B7B5544"/>
    <w:rsid w:val="6B7B5DED"/>
    <w:rsid w:val="6B7B6233"/>
    <w:rsid w:val="6B834589"/>
    <w:rsid w:val="6B870C51"/>
    <w:rsid w:val="6B8F25DF"/>
    <w:rsid w:val="6B91008B"/>
    <w:rsid w:val="6B930BEB"/>
    <w:rsid w:val="6B9E23FA"/>
    <w:rsid w:val="6BA14220"/>
    <w:rsid w:val="6BAA3173"/>
    <w:rsid w:val="6BAA7CBA"/>
    <w:rsid w:val="6BBD08C5"/>
    <w:rsid w:val="6BBE72BF"/>
    <w:rsid w:val="6BC63E71"/>
    <w:rsid w:val="6BCB787A"/>
    <w:rsid w:val="6BD55A20"/>
    <w:rsid w:val="6BD71DF7"/>
    <w:rsid w:val="6BD93312"/>
    <w:rsid w:val="6BE053C7"/>
    <w:rsid w:val="6BE85476"/>
    <w:rsid w:val="6BEF0392"/>
    <w:rsid w:val="6C0059D0"/>
    <w:rsid w:val="6C0C1C29"/>
    <w:rsid w:val="6C191A3A"/>
    <w:rsid w:val="6C276253"/>
    <w:rsid w:val="6C3F0FD6"/>
    <w:rsid w:val="6C3F3938"/>
    <w:rsid w:val="6C484430"/>
    <w:rsid w:val="6C5A7B67"/>
    <w:rsid w:val="6C5F3CA6"/>
    <w:rsid w:val="6C677DE9"/>
    <w:rsid w:val="6C695832"/>
    <w:rsid w:val="6C6E6960"/>
    <w:rsid w:val="6C6F73F8"/>
    <w:rsid w:val="6C757B50"/>
    <w:rsid w:val="6C7C276D"/>
    <w:rsid w:val="6C850379"/>
    <w:rsid w:val="6C8835FC"/>
    <w:rsid w:val="6C973A2F"/>
    <w:rsid w:val="6C9D01C3"/>
    <w:rsid w:val="6CA603CD"/>
    <w:rsid w:val="6CA7673A"/>
    <w:rsid w:val="6CA776FA"/>
    <w:rsid w:val="6CAC2E72"/>
    <w:rsid w:val="6CB36D21"/>
    <w:rsid w:val="6CB64CE4"/>
    <w:rsid w:val="6CBE1694"/>
    <w:rsid w:val="6CBF7E44"/>
    <w:rsid w:val="6CC652DE"/>
    <w:rsid w:val="6CCD74C8"/>
    <w:rsid w:val="6CCF3365"/>
    <w:rsid w:val="6CD814C1"/>
    <w:rsid w:val="6CE02A34"/>
    <w:rsid w:val="6CE66C5A"/>
    <w:rsid w:val="6CE70F0F"/>
    <w:rsid w:val="6CED7665"/>
    <w:rsid w:val="6CF81D25"/>
    <w:rsid w:val="6D072B49"/>
    <w:rsid w:val="6D09622C"/>
    <w:rsid w:val="6D1425B5"/>
    <w:rsid w:val="6D311FF8"/>
    <w:rsid w:val="6D3131F6"/>
    <w:rsid w:val="6D367907"/>
    <w:rsid w:val="6D3B1955"/>
    <w:rsid w:val="6D3C0059"/>
    <w:rsid w:val="6D3F285C"/>
    <w:rsid w:val="6D4134D0"/>
    <w:rsid w:val="6D441123"/>
    <w:rsid w:val="6D510F2F"/>
    <w:rsid w:val="6D6209AD"/>
    <w:rsid w:val="6D8C31DA"/>
    <w:rsid w:val="6D976907"/>
    <w:rsid w:val="6DA647B9"/>
    <w:rsid w:val="6DAB72D8"/>
    <w:rsid w:val="6DB712B0"/>
    <w:rsid w:val="6DB91794"/>
    <w:rsid w:val="6DBB6061"/>
    <w:rsid w:val="6DBD2048"/>
    <w:rsid w:val="6DC06CF9"/>
    <w:rsid w:val="6DC92557"/>
    <w:rsid w:val="6DD82B5C"/>
    <w:rsid w:val="6DDC3C07"/>
    <w:rsid w:val="6DDE61F1"/>
    <w:rsid w:val="6DEE07D1"/>
    <w:rsid w:val="6DF53275"/>
    <w:rsid w:val="6DFB70B6"/>
    <w:rsid w:val="6E0455C9"/>
    <w:rsid w:val="6E0979AE"/>
    <w:rsid w:val="6E0D2AED"/>
    <w:rsid w:val="6E170B51"/>
    <w:rsid w:val="6E191891"/>
    <w:rsid w:val="6E274969"/>
    <w:rsid w:val="6E2B3E45"/>
    <w:rsid w:val="6E2D6EBF"/>
    <w:rsid w:val="6E442EBD"/>
    <w:rsid w:val="6E462064"/>
    <w:rsid w:val="6E4A1ACC"/>
    <w:rsid w:val="6E511DCE"/>
    <w:rsid w:val="6E5A1E1C"/>
    <w:rsid w:val="6E7D5BFF"/>
    <w:rsid w:val="6E7D5F44"/>
    <w:rsid w:val="6E847AC9"/>
    <w:rsid w:val="6E9103B3"/>
    <w:rsid w:val="6E9B4C6B"/>
    <w:rsid w:val="6E9C573F"/>
    <w:rsid w:val="6E9F549F"/>
    <w:rsid w:val="6EA46461"/>
    <w:rsid w:val="6EA719C2"/>
    <w:rsid w:val="6EA969B8"/>
    <w:rsid w:val="6EAA19EC"/>
    <w:rsid w:val="6EBC3FD6"/>
    <w:rsid w:val="6EC01A24"/>
    <w:rsid w:val="6EC73C54"/>
    <w:rsid w:val="6ED15AAA"/>
    <w:rsid w:val="6EDD34E0"/>
    <w:rsid w:val="6EE16C96"/>
    <w:rsid w:val="6EE637AD"/>
    <w:rsid w:val="6EE90056"/>
    <w:rsid w:val="6EFB3A28"/>
    <w:rsid w:val="6F0403A3"/>
    <w:rsid w:val="6F114EF6"/>
    <w:rsid w:val="6F292BC8"/>
    <w:rsid w:val="6F362B99"/>
    <w:rsid w:val="6F3A6772"/>
    <w:rsid w:val="6F405C47"/>
    <w:rsid w:val="6F525429"/>
    <w:rsid w:val="6F52678B"/>
    <w:rsid w:val="6F53446B"/>
    <w:rsid w:val="6F651616"/>
    <w:rsid w:val="6F6F1ADE"/>
    <w:rsid w:val="6F731A93"/>
    <w:rsid w:val="6F7A6036"/>
    <w:rsid w:val="6F827811"/>
    <w:rsid w:val="6F9008DB"/>
    <w:rsid w:val="6FA208A3"/>
    <w:rsid w:val="6FAD024B"/>
    <w:rsid w:val="6FAF776B"/>
    <w:rsid w:val="6FB31CD3"/>
    <w:rsid w:val="6FB40897"/>
    <w:rsid w:val="6FB70DA8"/>
    <w:rsid w:val="6FBD4A8B"/>
    <w:rsid w:val="6FC40D20"/>
    <w:rsid w:val="6FCD682F"/>
    <w:rsid w:val="6FCF7432"/>
    <w:rsid w:val="6FD44282"/>
    <w:rsid w:val="6FD64C2D"/>
    <w:rsid w:val="6FE86762"/>
    <w:rsid w:val="6FEA0DFA"/>
    <w:rsid w:val="6FEE0C18"/>
    <w:rsid w:val="6FF7446D"/>
    <w:rsid w:val="6FF96E99"/>
    <w:rsid w:val="70077D14"/>
    <w:rsid w:val="7011159A"/>
    <w:rsid w:val="702A28D7"/>
    <w:rsid w:val="704177BB"/>
    <w:rsid w:val="704523C0"/>
    <w:rsid w:val="70460E36"/>
    <w:rsid w:val="70540F69"/>
    <w:rsid w:val="706D5C97"/>
    <w:rsid w:val="707A46B5"/>
    <w:rsid w:val="707A5EF4"/>
    <w:rsid w:val="70925E24"/>
    <w:rsid w:val="70A148A2"/>
    <w:rsid w:val="70A148CA"/>
    <w:rsid w:val="70A61D60"/>
    <w:rsid w:val="70A639B5"/>
    <w:rsid w:val="70B65E11"/>
    <w:rsid w:val="70BD7BEF"/>
    <w:rsid w:val="70BF6753"/>
    <w:rsid w:val="70C22EC3"/>
    <w:rsid w:val="70C7488D"/>
    <w:rsid w:val="70E43028"/>
    <w:rsid w:val="70EE4AEA"/>
    <w:rsid w:val="70F36229"/>
    <w:rsid w:val="70F47233"/>
    <w:rsid w:val="70F91519"/>
    <w:rsid w:val="70FC3CC0"/>
    <w:rsid w:val="70FE1F9D"/>
    <w:rsid w:val="710A0D68"/>
    <w:rsid w:val="711478BF"/>
    <w:rsid w:val="7120276A"/>
    <w:rsid w:val="71414588"/>
    <w:rsid w:val="71482607"/>
    <w:rsid w:val="71521725"/>
    <w:rsid w:val="71525605"/>
    <w:rsid w:val="71663DE2"/>
    <w:rsid w:val="716B0D31"/>
    <w:rsid w:val="716E63B2"/>
    <w:rsid w:val="71710E1C"/>
    <w:rsid w:val="718203F9"/>
    <w:rsid w:val="718504D8"/>
    <w:rsid w:val="7190721B"/>
    <w:rsid w:val="71965F6E"/>
    <w:rsid w:val="719C1697"/>
    <w:rsid w:val="71AB0DA3"/>
    <w:rsid w:val="71AC20AA"/>
    <w:rsid w:val="71B573EC"/>
    <w:rsid w:val="71B57E05"/>
    <w:rsid w:val="71BA1F03"/>
    <w:rsid w:val="71BB516B"/>
    <w:rsid w:val="71C02B50"/>
    <w:rsid w:val="71C17F8B"/>
    <w:rsid w:val="71C25CAC"/>
    <w:rsid w:val="71CD5C10"/>
    <w:rsid w:val="71D112F1"/>
    <w:rsid w:val="71D549B0"/>
    <w:rsid w:val="71E230F5"/>
    <w:rsid w:val="71E31D6B"/>
    <w:rsid w:val="71ED117C"/>
    <w:rsid w:val="71F31D57"/>
    <w:rsid w:val="7215061B"/>
    <w:rsid w:val="721763EE"/>
    <w:rsid w:val="721A3302"/>
    <w:rsid w:val="721B6CDD"/>
    <w:rsid w:val="72312642"/>
    <w:rsid w:val="72325697"/>
    <w:rsid w:val="72327884"/>
    <w:rsid w:val="72483591"/>
    <w:rsid w:val="724F33C0"/>
    <w:rsid w:val="72523BCF"/>
    <w:rsid w:val="72571B7C"/>
    <w:rsid w:val="72583838"/>
    <w:rsid w:val="725D254C"/>
    <w:rsid w:val="7260132E"/>
    <w:rsid w:val="726C261A"/>
    <w:rsid w:val="726D2330"/>
    <w:rsid w:val="72750F6A"/>
    <w:rsid w:val="727A43F5"/>
    <w:rsid w:val="72834263"/>
    <w:rsid w:val="728523AC"/>
    <w:rsid w:val="72866006"/>
    <w:rsid w:val="72896C01"/>
    <w:rsid w:val="729C3486"/>
    <w:rsid w:val="72A168A3"/>
    <w:rsid w:val="72A66045"/>
    <w:rsid w:val="72B103AD"/>
    <w:rsid w:val="72D116C9"/>
    <w:rsid w:val="72D37C81"/>
    <w:rsid w:val="72DC36C2"/>
    <w:rsid w:val="72E719D0"/>
    <w:rsid w:val="72F04FEC"/>
    <w:rsid w:val="72F11725"/>
    <w:rsid w:val="72F62A73"/>
    <w:rsid w:val="73033AB5"/>
    <w:rsid w:val="73101DFC"/>
    <w:rsid w:val="731C2E3A"/>
    <w:rsid w:val="731E6447"/>
    <w:rsid w:val="73362468"/>
    <w:rsid w:val="733E3C79"/>
    <w:rsid w:val="734144A1"/>
    <w:rsid w:val="7342337E"/>
    <w:rsid w:val="73474FE8"/>
    <w:rsid w:val="73695E53"/>
    <w:rsid w:val="73697769"/>
    <w:rsid w:val="7373279F"/>
    <w:rsid w:val="737B3421"/>
    <w:rsid w:val="73815355"/>
    <w:rsid w:val="738639D0"/>
    <w:rsid w:val="738D3B7F"/>
    <w:rsid w:val="739C7B26"/>
    <w:rsid w:val="73AE7537"/>
    <w:rsid w:val="73AF3BFF"/>
    <w:rsid w:val="73D62A48"/>
    <w:rsid w:val="73D87FCB"/>
    <w:rsid w:val="73E32710"/>
    <w:rsid w:val="74006EC2"/>
    <w:rsid w:val="740308C7"/>
    <w:rsid w:val="7409531D"/>
    <w:rsid w:val="740A5D3B"/>
    <w:rsid w:val="74115AA4"/>
    <w:rsid w:val="74161CEC"/>
    <w:rsid w:val="74180653"/>
    <w:rsid w:val="741D30F3"/>
    <w:rsid w:val="74262FEF"/>
    <w:rsid w:val="742E5E5B"/>
    <w:rsid w:val="74365605"/>
    <w:rsid w:val="744E28C2"/>
    <w:rsid w:val="746023E5"/>
    <w:rsid w:val="748669A3"/>
    <w:rsid w:val="74867186"/>
    <w:rsid w:val="748C6360"/>
    <w:rsid w:val="74A450B1"/>
    <w:rsid w:val="74AE7535"/>
    <w:rsid w:val="74BB0A32"/>
    <w:rsid w:val="74CA5C14"/>
    <w:rsid w:val="74CD50D1"/>
    <w:rsid w:val="74D2125C"/>
    <w:rsid w:val="74E019C5"/>
    <w:rsid w:val="74EB0CDB"/>
    <w:rsid w:val="74EC4189"/>
    <w:rsid w:val="74F0597F"/>
    <w:rsid w:val="75095894"/>
    <w:rsid w:val="751657B1"/>
    <w:rsid w:val="75194663"/>
    <w:rsid w:val="75211CA9"/>
    <w:rsid w:val="7528130A"/>
    <w:rsid w:val="7532425D"/>
    <w:rsid w:val="753705EB"/>
    <w:rsid w:val="75377F70"/>
    <w:rsid w:val="753A7D56"/>
    <w:rsid w:val="753B4E73"/>
    <w:rsid w:val="755859D1"/>
    <w:rsid w:val="755A3C5E"/>
    <w:rsid w:val="755E39A4"/>
    <w:rsid w:val="756D1247"/>
    <w:rsid w:val="757515B1"/>
    <w:rsid w:val="75774B58"/>
    <w:rsid w:val="757D6CB0"/>
    <w:rsid w:val="757E15CA"/>
    <w:rsid w:val="758331B5"/>
    <w:rsid w:val="75897237"/>
    <w:rsid w:val="758A2AF9"/>
    <w:rsid w:val="75A60CD6"/>
    <w:rsid w:val="75AC5C63"/>
    <w:rsid w:val="75AF252A"/>
    <w:rsid w:val="75B20B22"/>
    <w:rsid w:val="75B33BB9"/>
    <w:rsid w:val="75C5637C"/>
    <w:rsid w:val="75CD4598"/>
    <w:rsid w:val="75D437A2"/>
    <w:rsid w:val="75DC69E9"/>
    <w:rsid w:val="75E727F7"/>
    <w:rsid w:val="75EC7D70"/>
    <w:rsid w:val="75ED55DA"/>
    <w:rsid w:val="76085DD4"/>
    <w:rsid w:val="76086287"/>
    <w:rsid w:val="76094709"/>
    <w:rsid w:val="76240770"/>
    <w:rsid w:val="763B77F7"/>
    <w:rsid w:val="76441EF2"/>
    <w:rsid w:val="764604BD"/>
    <w:rsid w:val="76590243"/>
    <w:rsid w:val="76593847"/>
    <w:rsid w:val="765E5E7A"/>
    <w:rsid w:val="767A46D0"/>
    <w:rsid w:val="767B2CDA"/>
    <w:rsid w:val="76841A59"/>
    <w:rsid w:val="76843AC7"/>
    <w:rsid w:val="76901537"/>
    <w:rsid w:val="769100D2"/>
    <w:rsid w:val="76911548"/>
    <w:rsid w:val="76911769"/>
    <w:rsid w:val="76A51FFC"/>
    <w:rsid w:val="76A60612"/>
    <w:rsid w:val="76B91F95"/>
    <w:rsid w:val="76BD39F5"/>
    <w:rsid w:val="76C04F47"/>
    <w:rsid w:val="76CE0493"/>
    <w:rsid w:val="76D00D99"/>
    <w:rsid w:val="76D621D7"/>
    <w:rsid w:val="76DA30E9"/>
    <w:rsid w:val="76DF08BF"/>
    <w:rsid w:val="76E62708"/>
    <w:rsid w:val="77003988"/>
    <w:rsid w:val="770B2435"/>
    <w:rsid w:val="77173222"/>
    <w:rsid w:val="772120FA"/>
    <w:rsid w:val="772357B5"/>
    <w:rsid w:val="772478AC"/>
    <w:rsid w:val="7725204A"/>
    <w:rsid w:val="773D2F84"/>
    <w:rsid w:val="774066FF"/>
    <w:rsid w:val="77473B5E"/>
    <w:rsid w:val="77583C4C"/>
    <w:rsid w:val="77600A6F"/>
    <w:rsid w:val="776518BD"/>
    <w:rsid w:val="77670D3A"/>
    <w:rsid w:val="77697F9F"/>
    <w:rsid w:val="7771566A"/>
    <w:rsid w:val="77754420"/>
    <w:rsid w:val="77906CA0"/>
    <w:rsid w:val="7793575B"/>
    <w:rsid w:val="77A63147"/>
    <w:rsid w:val="77A86FB8"/>
    <w:rsid w:val="77B2597A"/>
    <w:rsid w:val="77CC1C7E"/>
    <w:rsid w:val="77D03781"/>
    <w:rsid w:val="77D272BD"/>
    <w:rsid w:val="77D67297"/>
    <w:rsid w:val="77D767DB"/>
    <w:rsid w:val="77DB2A4D"/>
    <w:rsid w:val="77DC3E97"/>
    <w:rsid w:val="77E36726"/>
    <w:rsid w:val="77E954BC"/>
    <w:rsid w:val="77F25450"/>
    <w:rsid w:val="77F435A1"/>
    <w:rsid w:val="780A260F"/>
    <w:rsid w:val="780E1879"/>
    <w:rsid w:val="78101A7C"/>
    <w:rsid w:val="78271CC0"/>
    <w:rsid w:val="782722FD"/>
    <w:rsid w:val="78292D1F"/>
    <w:rsid w:val="783421A6"/>
    <w:rsid w:val="78634002"/>
    <w:rsid w:val="78657F82"/>
    <w:rsid w:val="787661E4"/>
    <w:rsid w:val="789710C6"/>
    <w:rsid w:val="78BB2162"/>
    <w:rsid w:val="78BF13BE"/>
    <w:rsid w:val="78C17092"/>
    <w:rsid w:val="78C87A25"/>
    <w:rsid w:val="78D36002"/>
    <w:rsid w:val="78D470D8"/>
    <w:rsid w:val="78DE7016"/>
    <w:rsid w:val="78EB4850"/>
    <w:rsid w:val="78F14C53"/>
    <w:rsid w:val="78FC010E"/>
    <w:rsid w:val="790F3350"/>
    <w:rsid w:val="79156927"/>
    <w:rsid w:val="791800B8"/>
    <w:rsid w:val="791E2088"/>
    <w:rsid w:val="7922752A"/>
    <w:rsid w:val="79293035"/>
    <w:rsid w:val="792A72E8"/>
    <w:rsid w:val="792F7F47"/>
    <w:rsid w:val="793F4DDD"/>
    <w:rsid w:val="79546FAB"/>
    <w:rsid w:val="796C129E"/>
    <w:rsid w:val="796F26C1"/>
    <w:rsid w:val="79704100"/>
    <w:rsid w:val="798A57D2"/>
    <w:rsid w:val="799259B8"/>
    <w:rsid w:val="79947E0E"/>
    <w:rsid w:val="799A557D"/>
    <w:rsid w:val="79A0525E"/>
    <w:rsid w:val="79B853F7"/>
    <w:rsid w:val="79C52C81"/>
    <w:rsid w:val="79C97D76"/>
    <w:rsid w:val="79D11F65"/>
    <w:rsid w:val="79D40E0D"/>
    <w:rsid w:val="79D6367C"/>
    <w:rsid w:val="79E20577"/>
    <w:rsid w:val="79E606E0"/>
    <w:rsid w:val="79ED06DF"/>
    <w:rsid w:val="79F503F9"/>
    <w:rsid w:val="7A00364F"/>
    <w:rsid w:val="7A097A01"/>
    <w:rsid w:val="7A0F0E6F"/>
    <w:rsid w:val="7A352AF2"/>
    <w:rsid w:val="7A3B2C13"/>
    <w:rsid w:val="7A3F5543"/>
    <w:rsid w:val="7A467027"/>
    <w:rsid w:val="7A5175FF"/>
    <w:rsid w:val="7A5B6FD6"/>
    <w:rsid w:val="7A60118D"/>
    <w:rsid w:val="7A6200CD"/>
    <w:rsid w:val="7A675C14"/>
    <w:rsid w:val="7A6D4BC0"/>
    <w:rsid w:val="7A7B44BE"/>
    <w:rsid w:val="7A7E5FBE"/>
    <w:rsid w:val="7A933A53"/>
    <w:rsid w:val="7A9350B8"/>
    <w:rsid w:val="7A9E157D"/>
    <w:rsid w:val="7AA528A4"/>
    <w:rsid w:val="7AAF6B85"/>
    <w:rsid w:val="7ABB40AE"/>
    <w:rsid w:val="7AC24328"/>
    <w:rsid w:val="7ACE07DF"/>
    <w:rsid w:val="7AE609A0"/>
    <w:rsid w:val="7AF67026"/>
    <w:rsid w:val="7AFA0EA6"/>
    <w:rsid w:val="7B0130F4"/>
    <w:rsid w:val="7B0D5DB9"/>
    <w:rsid w:val="7B1611E6"/>
    <w:rsid w:val="7B191639"/>
    <w:rsid w:val="7B2A7456"/>
    <w:rsid w:val="7B3473B8"/>
    <w:rsid w:val="7B3D17B2"/>
    <w:rsid w:val="7B455470"/>
    <w:rsid w:val="7B46268C"/>
    <w:rsid w:val="7B47082D"/>
    <w:rsid w:val="7B481D68"/>
    <w:rsid w:val="7B4F4072"/>
    <w:rsid w:val="7B5960C8"/>
    <w:rsid w:val="7B5A6F63"/>
    <w:rsid w:val="7B5E0327"/>
    <w:rsid w:val="7B836D22"/>
    <w:rsid w:val="7B8A65F5"/>
    <w:rsid w:val="7B9368AD"/>
    <w:rsid w:val="7BA80E68"/>
    <w:rsid w:val="7BB9184C"/>
    <w:rsid w:val="7BD335D6"/>
    <w:rsid w:val="7BE77432"/>
    <w:rsid w:val="7BF42CAC"/>
    <w:rsid w:val="7C1E0B66"/>
    <w:rsid w:val="7C1F1A6F"/>
    <w:rsid w:val="7C25144F"/>
    <w:rsid w:val="7C2B2391"/>
    <w:rsid w:val="7C2E1994"/>
    <w:rsid w:val="7C46335B"/>
    <w:rsid w:val="7C5251D9"/>
    <w:rsid w:val="7C583EA0"/>
    <w:rsid w:val="7C766094"/>
    <w:rsid w:val="7C784496"/>
    <w:rsid w:val="7C843388"/>
    <w:rsid w:val="7C8731BB"/>
    <w:rsid w:val="7C895D26"/>
    <w:rsid w:val="7CA05ACD"/>
    <w:rsid w:val="7CCC1FB6"/>
    <w:rsid w:val="7CF27161"/>
    <w:rsid w:val="7CFC76D5"/>
    <w:rsid w:val="7CFF3BB1"/>
    <w:rsid w:val="7D0173BD"/>
    <w:rsid w:val="7D060C8C"/>
    <w:rsid w:val="7D082030"/>
    <w:rsid w:val="7D18150D"/>
    <w:rsid w:val="7D1974AD"/>
    <w:rsid w:val="7D31246A"/>
    <w:rsid w:val="7D561B88"/>
    <w:rsid w:val="7D6876FE"/>
    <w:rsid w:val="7D7019F1"/>
    <w:rsid w:val="7D775CEA"/>
    <w:rsid w:val="7D840B6D"/>
    <w:rsid w:val="7D8728F0"/>
    <w:rsid w:val="7D8776C5"/>
    <w:rsid w:val="7D8C67FD"/>
    <w:rsid w:val="7DC145EF"/>
    <w:rsid w:val="7DC56C69"/>
    <w:rsid w:val="7DC61BF7"/>
    <w:rsid w:val="7DC95C7B"/>
    <w:rsid w:val="7DCA60A9"/>
    <w:rsid w:val="7DCC4BB2"/>
    <w:rsid w:val="7DDB4500"/>
    <w:rsid w:val="7DDD34B2"/>
    <w:rsid w:val="7DF01FDC"/>
    <w:rsid w:val="7DF13445"/>
    <w:rsid w:val="7DF5059D"/>
    <w:rsid w:val="7DFB4A46"/>
    <w:rsid w:val="7DFD1BBE"/>
    <w:rsid w:val="7DFE1F67"/>
    <w:rsid w:val="7E13771B"/>
    <w:rsid w:val="7E14224E"/>
    <w:rsid w:val="7E1D4EBE"/>
    <w:rsid w:val="7E2D0ED7"/>
    <w:rsid w:val="7E370D29"/>
    <w:rsid w:val="7E377130"/>
    <w:rsid w:val="7E3F0118"/>
    <w:rsid w:val="7E513413"/>
    <w:rsid w:val="7E566BF3"/>
    <w:rsid w:val="7E674C8E"/>
    <w:rsid w:val="7E6F5DE3"/>
    <w:rsid w:val="7E733CEE"/>
    <w:rsid w:val="7E784322"/>
    <w:rsid w:val="7E876F2C"/>
    <w:rsid w:val="7E923678"/>
    <w:rsid w:val="7E972339"/>
    <w:rsid w:val="7EA51D37"/>
    <w:rsid w:val="7EA74962"/>
    <w:rsid w:val="7EB2465F"/>
    <w:rsid w:val="7EBA751C"/>
    <w:rsid w:val="7EBE3382"/>
    <w:rsid w:val="7EBE5D2D"/>
    <w:rsid w:val="7EBF0A0E"/>
    <w:rsid w:val="7EC30EDC"/>
    <w:rsid w:val="7EC32348"/>
    <w:rsid w:val="7ED16FDB"/>
    <w:rsid w:val="7ED27E41"/>
    <w:rsid w:val="7ED4224E"/>
    <w:rsid w:val="7ED820A5"/>
    <w:rsid w:val="7EDD6480"/>
    <w:rsid w:val="7EE11B79"/>
    <w:rsid w:val="7EE31BD2"/>
    <w:rsid w:val="7EE633BC"/>
    <w:rsid w:val="7EED6AE8"/>
    <w:rsid w:val="7F010652"/>
    <w:rsid w:val="7F175DC5"/>
    <w:rsid w:val="7F207F1A"/>
    <w:rsid w:val="7F280929"/>
    <w:rsid w:val="7F2C5F2D"/>
    <w:rsid w:val="7F2F0A17"/>
    <w:rsid w:val="7F327CF2"/>
    <w:rsid w:val="7F3B1130"/>
    <w:rsid w:val="7F427C3D"/>
    <w:rsid w:val="7F43785A"/>
    <w:rsid w:val="7F44420B"/>
    <w:rsid w:val="7F52000F"/>
    <w:rsid w:val="7F587B97"/>
    <w:rsid w:val="7F677DDD"/>
    <w:rsid w:val="7F894CE9"/>
    <w:rsid w:val="7F8A3A3D"/>
    <w:rsid w:val="7F8A46E2"/>
    <w:rsid w:val="7F9A3E11"/>
    <w:rsid w:val="7F9B35F5"/>
    <w:rsid w:val="7F9F1FF0"/>
    <w:rsid w:val="7FB84652"/>
    <w:rsid w:val="7FBC3E60"/>
    <w:rsid w:val="7FC74075"/>
    <w:rsid w:val="7FC85B2D"/>
    <w:rsid w:val="7FC97E4D"/>
    <w:rsid w:val="7FDE02FA"/>
    <w:rsid w:val="7FDF050E"/>
    <w:rsid w:val="7FFC1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2">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outlineLvl w:val="3"/>
    </w:pPr>
    <w:rPr>
      <w:rFonts w:ascii="Times New Roman" w:hAnsi="Times New Roman" w:eastAsia="宋体" w:cs="Times New Roman"/>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a heading"/>
    <w:basedOn w:val="7"/>
    <w:next w:val="7"/>
    <w:qFormat/>
    <w:uiPriority w:val="0"/>
    <w:pPr>
      <w:spacing w:before="120"/>
    </w:pPr>
    <w:rPr>
      <w:rFonts w:ascii="Arial" w:hAnsi="Arial" w:cs="Arial"/>
      <w:sz w:val="24"/>
    </w:rPr>
  </w:style>
  <w:style w:type="paragraph" w:customStyle="1" w:styleId="7">
    <w:name w:val="正文_2_0_0_0"/>
    <w:basedOn w:val="8"/>
    <w:next w:val="6"/>
    <w:qFormat/>
    <w:uiPriority w:val="0"/>
    <w:rPr>
      <w:rFonts w:ascii="Calibri" w:hAnsi="Calibri"/>
    </w:rPr>
  </w:style>
  <w:style w:type="paragraph" w:customStyle="1" w:styleId="8">
    <w:name w:val="正文_3_0_0_0"/>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_1"/>
    <w:basedOn w:val="10"/>
    <w:qFormat/>
    <w:uiPriority w:val="0"/>
    <w:rPr>
      <w:rFonts w:ascii="Calibri" w:hAnsi="Calibri" w:cs="宋体"/>
      <w:szCs w:val="21"/>
    </w:rPr>
  </w:style>
  <w:style w:type="paragraph" w:customStyle="1" w:styleId="1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
    <w:name w:val="annotation text"/>
    <w:basedOn w:val="1"/>
    <w:qFormat/>
    <w:uiPriority w:val="0"/>
    <w:pPr>
      <w:jc w:val="left"/>
    </w:pPr>
  </w:style>
  <w:style w:type="paragraph" w:styleId="12">
    <w:name w:val="Body Text"/>
    <w:basedOn w:val="1"/>
    <w:next w:val="1"/>
    <w:qFormat/>
    <w:uiPriority w:val="0"/>
  </w:style>
  <w:style w:type="paragraph" w:styleId="13">
    <w:name w:val="Body Text Indent"/>
    <w:basedOn w:val="1"/>
    <w:qFormat/>
    <w:uiPriority w:val="0"/>
    <w:pPr>
      <w:spacing w:line="360" w:lineRule="auto"/>
    </w:pPr>
    <w:rPr>
      <w:rFonts w:ascii="仿宋体" w:eastAsia="仿宋体"/>
      <w:sz w:val="24"/>
    </w:rPr>
  </w:style>
  <w:style w:type="paragraph" w:styleId="14">
    <w:name w:val="Plain Text"/>
    <w:basedOn w:val="1"/>
    <w:unhideWhenUsed/>
    <w:qFormat/>
    <w:uiPriority w:val="99"/>
    <w:rPr>
      <w:rFonts w:ascii="宋体" w:hAnsi="Courier New" w:cs="Courier New"/>
      <w:szCs w:val="21"/>
    </w:rPr>
  </w:style>
  <w:style w:type="paragraph" w:styleId="15">
    <w:name w:val="Date"/>
    <w:basedOn w:val="1"/>
    <w:next w:val="1"/>
    <w:qFormat/>
    <w:uiPriority w:val="0"/>
    <w:pPr>
      <w:ind w:left="100" w:leftChars="2500"/>
    </w:pPr>
    <w:rPr>
      <w:rFonts w:ascii="华文仿宋" w:hAnsi="华文仿宋" w:eastAsia="华文仿宋"/>
      <w:sz w:val="24"/>
    </w:rPr>
  </w:style>
  <w:style w:type="paragraph" w:styleId="16">
    <w:name w:val="Body Text Indent 2"/>
    <w:basedOn w:val="1"/>
    <w:qFormat/>
    <w:uiPriority w:val="0"/>
    <w:pPr>
      <w:spacing w:line="360" w:lineRule="auto"/>
      <w:ind w:left="839" w:hanging="839" w:hangingChars="355"/>
    </w:pPr>
    <w:rPr>
      <w:b/>
      <w:sz w:val="24"/>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Body Text 2"/>
    <w:basedOn w:val="1"/>
    <w:qFormat/>
    <w:uiPriority w:val="99"/>
    <w:pPr>
      <w:spacing w:after="120" w:line="480" w:lineRule="auto"/>
    </w:pPr>
    <w:rPr>
      <w:kern w:val="0"/>
      <w:sz w:val="20"/>
    </w:rPr>
  </w:style>
  <w:style w:type="paragraph" w:styleId="21">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w:basedOn w:val="12"/>
    <w:qFormat/>
    <w:uiPriority w:val="0"/>
    <w:pPr>
      <w:ind w:firstLine="420" w:firstLineChars="100"/>
    </w:pPr>
    <w:rPr>
      <w:szCs w:val="21"/>
    </w:rPr>
  </w:style>
  <w:style w:type="paragraph" w:styleId="24">
    <w:name w:val="Body Text First Indent 2"/>
    <w:basedOn w:val="13"/>
    <w:qFormat/>
    <w:uiPriority w:val="0"/>
    <w:pPr>
      <w:ind w:firstLine="420" w:firstLineChars="200"/>
    </w:pPr>
  </w:style>
  <w:style w:type="table" w:styleId="26">
    <w:name w:val="Table Grid"/>
    <w:basedOn w:val="2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paragraph" w:customStyle="1" w:styleId="30">
    <w:name w:val="默认段落字体 Para Char"/>
    <w:basedOn w:val="1"/>
    <w:qFormat/>
    <w:uiPriority w:val="0"/>
    <w:pPr>
      <w:adjustRightInd w:val="0"/>
      <w:spacing w:line="360" w:lineRule="auto"/>
    </w:p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
    <w:name w:val="列出段落1"/>
    <w:basedOn w:val="1"/>
    <w:qFormat/>
    <w:uiPriority w:val="34"/>
    <w:pPr>
      <w:ind w:firstLine="420" w:firstLineChars="200"/>
    </w:pPr>
  </w:style>
  <w:style w:type="character" w:customStyle="1" w:styleId="34">
    <w:name w:val="font11"/>
    <w:basedOn w:val="27"/>
    <w:qFormat/>
    <w:uiPriority w:val="0"/>
    <w:rPr>
      <w:rFonts w:hint="default" w:ascii="Times New Roman" w:hAnsi="Times New Roman" w:cs="Times New Roman"/>
      <w:color w:val="000000"/>
      <w:sz w:val="24"/>
      <w:szCs w:val="24"/>
      <w:u w:val="none"/>
    </w:rPr>
  </w:style>
  <w:style w:type="character" w:customStyle="1" w:styleId="35">
    <w:name w:val="font31"/>
    <w:basedOn w:val="27"/>
    <w:qFormat/>
    <w:uiPriority w:val="0"/>
    <w:rPr>
      <w:rFonts w:hint="eastAsia" w:ascii="宋体" w:hAnsi="宋体" w:eastAsia="宋体" w:cs="宋体"/>
      <w:color w:val="000000"/>
      <w:sz w:val="24"/>
      <w:szCs w:val="24"/>
      <w:u w:val="none"/>
    </w:rPr>
  </w:style>
  <w:style w:type="paragraph" w:customStyle="1" w:styleId="36">
    <w:name w:val="WPS Plain"/>
    <w:qFormat/>
    <w:uiPriority w:val="0"/>
    <w:rPr>
      <w:rFonts w:ascii="Times New Roman" w:hAnsi="Times New Roman" w:eastAsia="宋体" w:cs="Times New Roman"/>
      <w:lang w:val="en-US" w:eastAsia="zh-CN" w:bidi="ar-SA"/>
    </w:rPr>
  </w:style>
  <w:style w:type="character" w:customStyle="1" w:styleId="37">
    <w:name w:val="批注框文本 Char"/>
    <w:basedOn w:val="27"/>
    <w:link w:val="17"/>
    <w:qFormat/>
    <w:uiPriority w:val="0"/>
    <w:rPr>
      <w:kern w:val="2"/>
      <w:sz w:val="18"/>
      <w:szCs w:val="18"/>
    </w:rPr>
  </w:style>
  <w:style w:type="paragraph" w:customStyle="1" w:styleId="38">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
    <w:name w:val="采购正文"/>
    <w:basedOn w:val="1"/>
    <w:qFormat/>
    <w:uiPriority w:val="0"/>
    <w:pPr>
      <w:snapToGrid w:val="0"/>
      <w:spacing w:line="560" w:lineRule="exact"/>
      <w:ind w:firstLine="480" w:firstLineChars="200"/>
    </w:pPr>
    <w:rPr>
      <w:rFonts w:ascii="仿宋" w:hAnsi="仿宋" w:eastAsia="仿宋"/>
      <w:sz w:val="24"/>
    </w:rPr>
  </w:style>
  <w:style w:type="paragraph" w:customStyle="1" w:styleId="40">
    <w:name w:val="采购二级"/>
    <w:basedOn w:val="1"/>
    <w:qFormat/>
    <w:uiPriority w:val="99"/>
    <w:pPr>
      <w:snapToGrid w:val="0"/>
      <w:spacing w:line="560" w:lineRule="exact"/>
      <w:ind w:firstLine="480" w:firstLineChars="200"/>
      <w:outlineLvl w:val="1"/>
    </w:pPr>
    <w:rPr>
      <w:rFonts w:ascii="仿宋" w:hAnsi="仿宋" w:eastAsia="仿宋"/>
      <w:b/>
      <w:sz w:val="24"/>
    </w:rPr>
  </w:style>
  <w:style w:type="paragraph" w:styleId="41">
    <w:name w:val="List Paragraph"/>
    <w:basedOn w:val="1"/>
    <w:qFormat/>
    <w:uiPriority w:val="34"/>
    <w:pPr>
      <w:ind w:firstLine="420" w:firstLineChars="200"/>
    </w:pPr>
  </w:style>
  <w:style w:type="paragraph" w:customStyle="1" w:styleId="42">
    <w:name w:val="Table Paragraph"/>
    <w:basedOn w:val="1"/>
    <w:qFormat/>
    <w:uiPriority w:val="1"/>
    <w:rPr>
      <w:rFonts w:ascii="宋体" w:hAnsi="宋体" w:cs="宋体"/>
      <w:lang w:val="zh-CN" w:bidi="zh-CN"/>
    </w:rPr>
  </w:style>
  <w:style w:type="paragraph" w:customStyle="1" w:styleId="43">
    <w:name w:val="Item List in Table"/>
    <w:basedOn w:val="1"/>
    <w:qFormat/>
    <w:uiPriority w:val="0"/>
    <w:pPr>
      <w:numPr>
        <w:ilvl w:val="0"/>
        <w:numId w:val="1"/>
      </w:numPr>
      <w:tabs>
        <w:tab w:val="left" w:pos="420"/>
        <w:tab w:val="clear" w:pos="960"/>
      </w:tabs>
      <w:jc w:val="left"/>
    </w:pPr>
    <w:rPr>
      <w:rFonts w:eastAsia="宋体"/>
      <w:sz w:val="21"/>
      <w:szCs w:val="24"/>
    </w:rPr>
  </w:style>
  <w:style w:type="character" w:customStyle="1" w:styleId="44">
    <w:name w:val="font01"/>
    <w:basedOn w:val="27"/>
    <w:qFormat/>
    <w:uiPriority w:val="0"/>
    <w:rPr>
      <w:rFonts w:ascii="黑体" w:hAnsi="宋体" w:eastAsia="黑体" w:cs="黑体"/>
      <w:color w:val="000000"/>
      <w:sz w:val="36"/>
      <w:szCs w:val="36"/>
      <w:u w:val="none"/>
    </w:rPr>
  </w:style>
  <w:style w:type="character" w:customStyle="1" w:styleId="45">
    <w:name w:val="font21"/>
    <w:basedOn w:val="27"/>
    <w:qFormat/>
    <w:uiPriority w:val="0"/>
    <w:rPr>
      <w:rFonts w:hint="eastAsia" w:ascii="仿宋" w:hAnsi="仿宋" w:eastAsia="仿宋" w:cs="仿宋"/>
      <w:color w:val="000000"/>
      <w:sz w:val="32"/>
      <w:szCs w:val="32"/>
      <w:u w:val="none"/>
    </w:rPr>
  </w:style>
  <w:style w:type="paragraph" w:styleId="4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7">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53070</Words>
  <Characters>55562</Characters>
  <Lines>201</Lines>
  <Paragraphs>56</Paragraphs>
  <TotalTime>0</TotalTime>
  <ScaleCrop>false</ScaleCrop>
  <LinksUpToDate>false</LinksUpToDate>
  <CharactersWithSpaces>58361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Administrator</cp:lastModifiedBy>
  <cp:lastPrinted>2020-12-17T03:38:00Z</cp:lastPrinted>
  <dcterms:modified xsi:type="dcterms:W3CDTF">2023-07-03T03:52:25Z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C107D6E19C13425FA513522C97950238</vt:lpwstr>
  </property>
</Properties>
</file>