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5"/>
        <w:spacing w:line="360" w:lineRule="auto"/>
        <w:jc w:val="right"/>
        <w:rPr>
          <w:rFonts w:hint="default" w:ascii="仿宋" w:hAnsi="仿宋" w:eastAsia="仿宋" w:cs="仿宋"/>
          <w:b/>
          <w:sz w:val="60"/>
          <w:szCs w:val="60"/>
          <w:lang w:val="en-US" w:eastAsia="zh-CN"/>
        </w:rPr>
      </w:pPr>
      <w:r>
        <w:rPr>
          <w:rFonts w:hint="eastAsia" w:ascii="仿宋" w:hAnsi="仿宋" w:eastAsia="仿宋" w:cs="仿宋"/>
          <w:b/>
          <w:sz w:val="24"/>
          <w:szCs w:val="24"/>
        </w:rPr>
        <w:t>编号：</w:t>
      </w:r>
      <w:r>
        <w:rPr>
          <w:rFonts w:hint="eastAsia" w:ascii="仿宋" w:hAnsi="仿宋" w:eastAsia="仿宋" w:cs="仿宋"/>
          <w:b/>
          <w:sz w:val="24"/>
          <w:szCs w:val="24"/>
          <w:lang w:val="en-US" w:eastAsia="zh-CN"/>
        </w:rPr>
        <w:t>YZ</w:t>
      </w:r>
      <w:r>
        <w:rPr>
          <w:rFonts w:hint="eastAsia" w:ascii="仿宋" w:hAnsi="仿宋" w:eastAsia="仿宋" w:cs="仿宋"/>
          <w:b/>
          <w:sz w:val="24"/>
          <w:szCs w:val="24"/>
        </w:rPr>
        <w:t>-JZX</w:t>
      </w:r>
      <w:r>
        <w:rPr>
          <w:rFonts w:hint="eastAsia" w:ascii="仿宋" w:hAnsi="仿宋" w:eastAsia="仿宋" w:cs="仿宋"/>
          <w:b/>
          <w:sz w:val="24"/>
          <w:szCs w:val="24"/>
          <w:lang w:val="en-US" w:eastAsia="zh-CN"/>
        </w:rPr>
        <w:t>CS</w:t>
      </w:r>
      <w:r>
        <w:rPr>
          <w:rFonts w:hint="eastAsia" w:ascii="仿宋" w:hAnsi="仿宋" w:eastAsia="仿宋" w:cs="仿宋"/>
          <w:b/>
          <w:sz w:val="24"/>
          <w:szCs w:val="24"/>
        </w:rPr>
        <w:t>-202</w:t>
      </w:r>
      <w:r>
        <w:rPr>
          <w:rFonts w:hint="eastAsia" w:ascii="仿宋" w:hAnsi="仿宋" w:eastAsia="仿宋" w:cs="仿宋"/>
          <w:b/>
          <w:sz w:val="24"/>
          <w:szCs w:val="24"/>
          <w:lang w:val="en-US" w:eastAsia="zh-CN"/>
        </w:rPr>
        <w:t>326</w:t>
      </w:r>
    </w:p>
    <w:p>
      <w:pPr>
        <w:pStyle w:val="2"/>
        <w:spacing w:line="360" w:lineRule="auto"/>
        <w:ind w:left="0" w:leftChars="0" w:firstLine="0" w:firstLineChars="0"/>
        <w:jc w:val="center"/>
        <w:rPr>
          <w:rFonts w:hint="eastAsia" w:ascii="仿宋" w:hAnsi="仿宋" w:eastAsia="仿宋" w:cs="仿宋"/>
          <w:b/>
          <w:bCs/>
          <w:sz w:val="44"/>
          <w:szCs w:val="44"/>
          <w:lang w:val="en-US" w:eastAsia="zh-CN"/>
        </w:rPr>
      </w:pPr>
    </w:p>
    <w:p>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伊宁市达达木图镇布拉克村基层</w:t>
      </w:r>
    </w:p>
    <w:p>
      <w:pPr>
        <w:spacing w:line="360" w:lineRule="auto"/>
        <w:jc w:val="center"/>
        <w:rPr>
          <w:rFonts w:hint="eastAsia" w:ascii="仿宋" w:hAnsi="仿宋" w:eastAsia="仿宋" w:cs="仿宋"/>
          <w:b/>
          <w:bCs/>
          <w:sz w:val="52"/>
          <w:szCs w:val="52"/>
        </w:rPr>
      </w:pPr>
      <w:r>
        <w:rPr>
          <w:rFonts w:hint="eastAsia" w:ascii="仿宋" w:hAnsi="仿宋" w:eastAsia="仿宋" w:cs="仿宋"/>
          <w:b/>
          <w:bCs/>
          <w:sz w:val="52"/>
          <w:szCs w:val="52"/>
        </w:rPr>
        <w:t>阵地提升改造项目</w:t>
      </w:r>
    </w:p>
    <w:p>
      <w:pPr>
        <w:pStyle w:val="15"/>
        <w:spacing w:line="360" w:lineRule="auto"/>
        <w:rPr>
          <w:rFonts w:hint="eastAsia" w:ascii="仿宋" w:hAnsi="仿宋" w:eastAsia="仿宋" w:cs="仿宋"/>
          <w:b/>
          <w:bCs/>
          <w:sz w:val="52"/>
          <w:szCs w:val="52"/>
        </w:rPr>
      </w:pPr>
    </w:p>
    <w:p>
      <w:pPr>
        <w:pStyle w:val="15"/>
        <w:spacing w:line="360" w:lineRule="auto"/>
        <w:rPr>
          <w:rFonts w:hint="eastAsia" w:ascii="仿宋" w:hAnsi="仿宋" w:eastAsia="仿宋" w:cs="仿宋"/>
          <w:b/>
          <w:bCs/>
          <w:sz w:val="52"/>
          <w:szCs w:val="52"/>
        </w:rPr>
      </w:pPr>
    </w:p>
    <w:p>
      <w:pPr>
        <w:pStyle w:val="15"/>
        <w:spacing w:line="360" w:lineRule="auto"/>
        <w:rPr>
          <w:rFonts w:hint="eastAsia" w:ascii="仿宋" w:hAnsi="仿宋" w:eastAsia="仿宋" w:cs="仿宋"/>
          <w:b/>
          <w:bCs/>
          <w:sz w:val="52"/>
          <w:szCs w:val="52"/>
        </w:rPr>
      </w:pPr>
    </w:p>
    <w:p>
      <w:pPr>
        <w:spacing w:line="360" w:lineRule="auto"/>
        <w:rPr>
          <w:rFonts w:hint="eastAsia" w:ascii="仿宋" w:hAnsi="仿宋" w:eastAsia="仿宋" w:cs="仿宋"/>
          <w:b/>
          <w:kern w:val="0"/>
          <w:sz w:val="32"/>
          <w:szCs w:val="32"/>
        </w:rPr>
      </w:pPr>
    </w:p>
    <w:p>
      <w:pPr>
        <w:spacing w:line="360" w:lineRule="auto"/>
        <w:rPr>
          <w:rFonts w:hint="eastAsia" w:ascii="仿宋" w:hAnsi="仿宋" w:eastAsia="仿宋" w:cs="仿宋"/>
          <w:b/>
          <w:kern w:val="0"/>
          <w:sz w:val="32"/>
          <w:szCs w:val="32"/>
          <w:lang w:eastAsia="zh-CN"/>
        </w:rPr>
      </w:pPr>
      <w:r>
        <w:rPr>
          <w:rFonts w:hint="eastAsia" w:ascii="仿宋" w:hAnsi="仿宋" w:eastAsia="仿宋" w:cs="仿宋"/>
          <w:b/>
          <w:kern w:val="0"/>
          <w:sz w:val="32"/>
          <w:szCs w:val="32"/>
        </w:rPr>
        <w:t>招   标  人：伊宁市</w:t>
      </w:r>
      <w:r>
        <w:rPr>
          <w:rFonts w:hint="eastAsia" w:ascii="仿宋" w:hAnsi="仿宋" w:eastAsia="仿宋" w:cs="仿宋"/>
          <w:b/>
          <w:kern w:val="0"/>
          <w:sz w:val="32"/>
          <w:szCs w:val="32"/>
          <w:lang w:val="en-US" w:eastAsia="zh-CN"/>
        </w:rPr>
        <w:t xml:space="preserve">达达木图镇人民政府  </w:t>
      </w:r>
      <w:r>
        <w:rPr>
          <w:rFonts w:hint="eastAsia" w:ascii="仿宋" w:hAnsi="仿宋" w:eastAsia="仿宋" w:cs="仿宋"/>
          <w:b/>
          <w:kern w:val="0"/>
          <w:sz w:val="32"/>
          <w:szCs w:val="32"/>
        </w:rPr>
        <w:t>（盖章）</w:t>
      </w:r>
    </w:p>
    <w:p>
      <w:pPr>
        <w:spacing w:line="360" w:lineRule="auto"/>
        <w:ind w:firstLine="321" w:firstLineChars="100"/>
        <w:rPr>
          <w:rFonts w:hint="eastAsia" w:ascii="仿宋" w:hAnsi="仿宋" w:eastAsia="仿宋" w:cs="仿宋"/>
          <w:b/>
          <w:kern w:val="0"/>
          <w:sz w:val="32"/>
          <w:szCs w:val="32"/>
        </w:rPr>
      </w:pPr>
      <w:r>
        <w:rPr>
          <w:rFonts w:hint="eastAsia" w:ascii="仿宋" w:hAnsi="仿宋" w:eastAsia="仿宋" w:cs="仿宋"/>
          <w:b/>
          <w:kern w:val="0"/>
          <w:sz w:val="32"/>
          <w:szCs w:val="32"/>
        </w:rPr>
        <w:t xml:space="preserve"> </w:t>
      </w:r>
      <w:r>
        <w:rPr>
          <w:rFonts w:hint="eastAsia" w:ascii="仿宋" w:hAnsi="仿宋" w:eastAsia="仿宋" w:cs="仿宋"/>
          <w:b/>
          <w:kern w:val="0"/>
          <w:sz w:val="32"/>
          <w:szCs w:val="32"/>
          <w:lang w:val="en-US" w:eastAsia="zh-CN"/>
        </w:rPr>
        <w:t xml:space="preserve">                                     </w:t>
      </w:r>
    </w:p>
    <w:p>
      <w:pPr>
        <w:autoSpaceDE w:val="0"/>
        <w:autoSpaceDN w:val="0"/>
        <w:adjustRightInd w:val="0"/>
        <w:spacing w:line="360" w:lineRule="auto"/>
        <w:rPr>
          <w:rFonts w:hint="eastAsia" w:ascii="仿宋" w:hAnsi="仿宋" w:eastAsia="仿宋" w:cs="仿宋"/>
          <w:b/>
          <w:sz w:val="32"/>
          <w:szCs w:val="32"/>
        </w:rPr>
      </w:pPr>
      <w:r>
        <w:rPr>
          <w:rFonts w:hint="eastAsia" w:ascii="仿宋" w:hAnsi="仿宋" w:eastAsia="仿宋" w:cs="仿宋"/>
          <w:b/>
          <w:kern w:val="0"/>
          <w:sz w:val="32"/>
          <w:szCs w:val="32"/>
        </w:rPr>
        <w:t>联系人</w:t>
      </w:r>
      <w:r>
        <w:rPr>
          <w:rFonts w:hint="eastAsia" w:ascii="仿宋" w:hAnsi="仿宋" w:eastAsia="仿宋" w:cs="仿宋"/>
          <w:b/>
          <w:kern w:val="0"/>
          <w:sz w:val="32"/>
          <w:szCs w:val="32"/>
          <w:lang w:eastAsia="zh-CN"/>
        </w:rPr>
        <w:t>：</w:t>
      </w:r>
      <w:r>
        <w:rPr>
          <w:rFonts w:hint="eastAsia" w:ascii="仿宋" w:hAnsi="仿宋" w:eastAsia="仿宋" w:cs="仿宋"/>
          <w:b/>
          <w:kern w:val="0"/>
          <w:sz w:val="32"/>
          <w:szCs w:val="32"/>
          <w:lang w:val="en-US" w:eastAsia="zh-CN"/>
        </w:rPr>
        <w:t xml:space="preserve">袁志涛              </w:t>
      </w:r>
      <w:r>
        <w:rPr>
          <w:rFonts w:hint="eastAsia" w:ascii="仿宋" w:hAnsi="仿宋" w:eastAsia="仿宋" w:cs="仿宋"/>
          <w:b/>
          <w:kern w:val="0"/>
          <w:sz w:val="32"/>
          <w:szCs w:val="32"/>
        </w:rPr>
        <w:t>联系电</w:t>
      </w:r>
      <w:r>
        <w:rPr>
          <w:rFonts w:hint="eastAsia" w:ascii="仿宋" w:hAnsi="仿宋" w:eastAsia="仿宋" w:cs="仿宋"/>
          <w:b/>
          <w:sz w:val="32"/>
          <w:szCs w:val="32"/>
        </w:rPr>
        <w:t>话：</w:t>
      </w:r>
      <w:r>
        <w:rPr>
          <w:rFonts w:hint="eastAsia" w:ascii="仿宋" w:hAnsi="仿宋" w:eastAsia="仿宋" w:cs="仿宋"/>
          <w:b/>
          <w:sz w:val="32"/>
          <w:szCs w:val="32"/>
          <w:lang w:val="en-US" w:eastAsia="zh-CN"/>
        </w:rPr>
        <w:t xml:space="preserve">18699931800   </w:t>
      </w:r>
    </w:p>
    <w:p>
      <w:pPr>
        <w:autoSpaceDE w:val="0"/>
        <w:autoSpaceDN w:val="0"/>
        <w:adjustRightInd w:val="0"/>
        <w:spacing w:line="360" w:lineRule="auto"/>
        <w:rPr>
          <w:rFonts w:hint="default" w:ascii="仿宋" w:hAnsi="仿宋" w:eastAsia="仿宋" w:cs="仿宋"/>
          <w:b/>
          <w:sz w:val="32"/>
          <w:szCs w:val="32"/>
          <w:lang w:val="en-US" w:eastAsia="zh-CN"/>
        </w:rPr>
      </w:pPr>
    </w:p>
    <w:p>
      <w:pPr>
        <w:autoSpaceDE w:val="0"/>
        <w:autoSpaceDN w:val="0"/>
        <w:adjustRightInd w:val="0"/>
        <w:spacing w:line="360" w:lineRule="auto"/>
        <w:rPr>
          <w:rFonts w:hint="eastAsia" w:ascii="仿宋" w:hAnsi="仿宋" w:eastAsia="仿宋" w:cs="仿宋"/>
          <w:b/>
          <w:sz w:val="32"/>
          <w:szCs w:val="32"/>
        </w:rPr>
      </w:pPr>
    </w:p>
    <w:p>
      <w:pPr>
        <w:autoSpaceDE w:val="0"/>
        <w:autoSpaceDN w:val="0"/>
        <w:adjustRightInd w:val="0"/>
        <w:spacing w:line="360" w:lineRule="auto"/>
        <w:rPr>
          <w:rFonts w:hint="eastAsia" w:ascii="仿宋" w:hAnsi="仿宋" w:eastAsia="仿宋" w:cs="仿宋"/>
          <w:b/>
          <w:sz w:val="32"/>
          <w:szCs w:val="32"/>
        </w:rPr>
      </w:pPr>
      <w:r>
        <w:rPr>
          <w:rFonts w:hint="eastAsia" w:ascii="仿宋" w:hAnsi="仿宋" w:eastAsia="仿宋" w:cs="仿宋"/>
          <w:b/>
          <w:sz w:val="32"/>
          <w:szCs w:val="32"/>
        </w:rPr>
        <w:t>招标代理机构：</w:t>
      </w:r>
      <w:r>
        <w:rPr>
          <w:rFonts w:hint="eastAsia" w:ascii="仿宋" w:hAnsi="仿宋" w:eastAsia="仿宋" w:cs="仿宋"/>
          <w:b/>
          <w:sz w:val="32"/>
          <w:szCs w:val="32"/>
          <w:lang w:val="en-US" w:eastAsia="zh-CN"/>
        </w:rPr>
        <w:t>新疆伊筑</w:t>
      </w:r>
      <w:r>
        <w:rPr>
          <w:rFonts w:hint="eastAsia" w:ascii="仿宋" w:hAnsi="仿宋" w:eastAsia="仿宋" w:cs="仿宋"/>
          <w:b/>
          <w:sz w:val="32"/>
          <w:szCs w:val="32"/>
          <w:lang w:val="zh-CN" w:eastAsia="zh-CN"/>
        </w:rPr>
        <w:t>工程管理</w:t>
      </w:r>
      <w:r>
        <w:rPr>
          <w:rFonts w:hint="eastAsia" w:ascii="仿宋" w:hAnsi="仿宋" w:eastAsia="仿宋" w:cs="仿宋"/>
          <w:b/>
          <w:sz w:val="32"/>
          <w:szCs w:val="32"/>
          <w:lang w:val="zh-CN"/>
        </w:rPr>
        <w:t>有限公司</w:t>
      </w:r>
      <w:r>
        <w:rPr>
          <w:rFonts w:hint="eastAsia" w:ascii="仿宋" w:hAnsi="仿宋" w:eastAsia="仿宋" w:cs="仿宋"/>
          <w:b/>
          <w:sz w:val="32"/>
          <w:szCs w:val="32"/>
        </w:rPr>
        <w:t>（公章)</w:t>
      </w:r>
    </w:p>
    <w:p>
      <w:pPr>
        <w:spacing w:line="360" w:lineRule="auto"/>
        <w:rPr>
          <w:rFonts w:hint="eastAsia" w:ascii="仿宋" w:hAnsi="仿宋" w:eastAsia="仿宋" w:cs="仿宋"/>
          <w:b/>
          <w:sz w:val="32"/>
          <w:szCs w:val="32"/>
        </w:rPr>
      </w:pPr>
    </w:p>
    <w:p>
      <w:pPr>
        <w:spacing w:line="360" w:lineRule="auto"/>
        <w:rPr>
          <w:rFonts w:hint="eastAsia" w:ascii="仿宋" w:hAnsi="仿宋" w:eastAsia="仿宋" w:cs="仿宋"/>
          <w:b/>
          <w:sz w:val="48"/>
        </w:rPr>
      </w:pPr>
      <w:r>
        <w:rPr>
          <w:rFonts w:hint="eastAsia" w:ascii="仿宋" w:hAnsi="仿宋" w:eastAsia="仿宋" w:cs="仿宋"/>
          <w:b/>
          <w:sz w:val="32"/>
          <w:szCs w:val="32"/>
        </w:rPr>
        <w:t>联系人：</w:t>
      </w:r>
      <w:r>
        <w:rPr>
          <w:rFonts w:hint="eastAsia" w:ascii="仿宋" w:hAnsi="仿宋" w:eastAsia="仿宋" w:cs="仿宋"/>
          <w:b/>
          <w:sz w:val="32"/>
          <w:szCs w:val="32"/>
          <w:lang w:eastAsia="zh-CN"/>
        </w:rPr>
        <w:t>张磊</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 xml:space="preserve">    </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rPr>
        <w:t>联系电话</w:t>
      </w:r>
      <w:r>
        <w:rPr>
          <w:rFonts w:hint="eastAsia" w:ascii="仿宋" w:hAnsi="仿宋" w:eastAsia="仿宋" w:cs="仿宋"/>
          <w:b/>
          <w:sz w:val="32"/>
          <w:szCs w:val="32"/>
          <w:lang w:eastAsia="zh-CN"/>
        </w:rPr>
        <w:t>：</w:t>
      </w:r>
      <w:r>
        <w:rPr>
          <w:rFonts w:hint="eastAsia" w:ascii="仿宋" w:hAnsi="仿宋" w:eastAsia="仿宋" w:cs="仿宋"/>
          <w:b/>
          <w:sz w:val="32"/>
          <w:szCs w:val="32"/>
          <w:lang w:val="zh-CN" w:eastAsia="zh-CN"/>
        </w:rPr>
        <w:t>0</w:t>
      </w:r>
      <w:r>
        <w:rPr>
          <w:rFonts w:hint="eastAsia" w:ascii="仿宋" w:hAnsi="仿宋" w:eastAsia="仿宋" w:cs="仿宋"/>
          <w:b/>
          <w:sz w:val="32"/>
          <w:szCs w:val="32"/>
          <w:lang w:val="en-US" w:eastAsia="zh-CN"/>
        </w:rPr>
        <w:t>999</w:t>
      </w:r>
      <w:r>
        <w:rPr>
          <w:rFonts w:hint="eastAsia" w:ascii="仿宋" w:hAnsi="仿宋" w:eastAsia="仿宋" w:cs="仿宋"/>
          <w:b/>
          <w:sz w:val="32"/>
          <w:szCs w:val="32"/>
          <w:lang w:val="zh-CN" w:eastAsia="zh-CN"/>
        </w:rPr>
        <w:t>-</w:t>
      </w:r>
      <w:r>
        <w:rPr>
          <w:rFonts w:hint="eastAsia" w:ascii="仿宋" w:hAnsi="仿宋" w:eastAsia="仿宋" w:cs="仿宋"/>
          <w:b/>
          <w:sz w:val="32"/>
          <w:szCs w:val="32"/>
          <w:lang w:val="en-US" w:eastAsia="zh-CN"/>
        </w:rPr>
        <w:t>8988</w:t>
      </w:r>
      <w:r>
        <w:rPr>
          <w:rFonts w:hint="eastAsia" w:ascii="仿宋" w:hAnsi="仿宋" w:eastAsia="仿宋" w:cs="仿宋"/>
          <w:b/>
          <w:sz w:val="32"/>
          <w:szCs w:val="32"/>
          <w:lang w:val="zh-CN" w:eastAsia="zh-CN"/>
        </w:rPr>
        <w:t>77</w:t>
      </w:r>
      <w:r>
        <w:rPr>
          <w:rFonts w:hint="eastAsia" w:ascii="仿宋" w:hAnsi="仿宋" w:eastAsia="仿宋" w:cs="仿宋"/>
          <w:b/>
          <w:sz w:val="32"/>
          <w:szCs w:val="32"/>
          <w:lang w:val="en-US" w:eastAsia="zh-CN"/>
        </w:rPr>
        <w:t>7</w:t>
      </w:r>
    </w:p>
    <w:p>
      <w:pPr>
        <w:pStyle w:val="11"/>
        <w:spacing w:line="360" w:lineRule="auto"/>
        <w:rPr>
          <w:rFonts w:asciiTheme="minorEastAsia" w:hAnsiTheme="minorEastAsia" w:eastAsiaTheme="minorEastAsia" w:cstheme="minorEastAsia"/>
          <w:b/>
        </w:rPr>
      </w:pPr>
    </w:p>
    <w:p>
      <w:pPr>
        <w:spacing w:line="360" w:lineRule="auto"/>
        <w:jc w:val="center"/>
        <w:rPr>
          <w:rFonts w:asciiTheme="minorEastAsia" w:hAnsiTheme="minorEastAsia" w:eastAsiaTheme="minorEastAsia" w:cstheme="minorEastAsia"/>
          <w:b/>
          <w:sz w:val="36"/>
        </w:rPr>
        <w:sectPr>
          <w:footerReference r:id="rId3" w:type="first"/>
          <w:pgSz w:w="11906" w:h="16838"/>
          <w:pgMar w:top="1440" w:right="1797" w:bottom="1440" w:left="1797" w:header="851" w:footer="992" w:gutter="0"/>
          <w:pgNumType w:start="1"/>
          <w:cols w:space="720" w:num="1"/>
          <w:docGrid w:type="lines" w:linePitch="312" w:charSpace="0"/>
        </w:sectPr>
      </w:pPr>
    </w:p>
    <w:p>
      <w:pPr>
        <w:spacing w:line="360" w:lineRule="auto"/>
        <w:jc w:val="center"/>
        <w:rPr>
          <w:rFonts w:asciiTheme="minorEastAsia" w:hAnsiTheme="minorEastAsia" w:eastAsiaTheme="minorEastAsia" w:cstheme="minorEastAsia"/>
          <w:b/>
          <w:sz w:val="36"/>
        </w:rPr>
      </w:pPr>
      <w:r>
        <w:rPr>
          <w:rFonts w:hint="eastAsia" w:asciiTheme="minorEastAsia" w:hAnsiTheme="minorEastAsia" w:eastAsiaTheme="minorEastAsia" w:cstheme="minorEastAsia"/>
          <w:b/>
          <w:sz w:val="36"/>
        </w:rPr>
        <w:t>目     录</w:t>
      </w:r>
    </w:p>
    <w:p>
      <w:pPr>
        <w:pStyle w:val="14"/>
        <w:tabs>
          <w:tab w:val="right" w:leader="dot" w:pos="8400"/>
          <w:tab w:val="right" w:leader="dot" w:pos="9737"/>
        </w:tabs>
        <w:spacing w:line="360" w:lineRule="auto"/>
        <w:ind w:firstLine="482" w:firstLineChars="200"/>
        <w:rPr>
          <w:rFonts w:asciiTheme="minorEastAsia" w:hAnsiTheme="minorEastAsia" w:eastAsiaTheme="minorEastAsia" w:cstheme="minorEastAsia"/>
          <w:szCs w:val="22"/>
        </w:rPr>
      </w:pPr>
      <w:r>
        <w:rPr>
          <w:rFonts w:hint="eastAsia" w:asciiTheme="minorEastAsia" w:hAnsiTheme="minorEastAsia" w:eastAsiaTheme="minorEastAsia" w:cstheme="minorEastAsia"/>
          <w:b/>
          <w:sz w:val="24"/>
          <w:szCs w:val="24"/>
        </w:rPr>
        <w:fldChar w:fldCharType="begin"/>
      </w:r>
      <w:r>
        <w:rPr>
          <w:rFonts w:hint="eastAsia" w:asciiTheme="minorEastAsia" w:hAnsiTheme="minorEastAsia" w:eastAsiaTheme="minorEastAsia" w:cstheme="minorEastAsia"/>
          <w:b/>
          <w:sz w:val="24"/>
          <w:szCs w:val="24"/>
        </w:rPr>
        <w:instrText xml:space="preserve"> TOC \o "1-2" \h \z \u </w:instrText>
      </w:r>
      <w:r>
        <w:rPr>
          <w:rFonts w:hint="eastAsia" w:asciiTheme="minorEastAsia" w:hAnsiTheme="minorEastAsia" w:eastAsiaTheme="minorEastAsia" w:cstheme="minorEastAsia"/>
          <w:b/>
          <w:sz w:val="24"/>
          <w:szCs w:val="24"/>
        </w:rPr>
        <w:fldChar w:fldCharType="separate"/>
      </w:r>
      <w:r>
        <w:fldChar w:fldCharType="begin"/>
      </w:r>
      <w:r>
        <w:instrText xml:space="preserve"> HYPERLINK \l "_Toc527642949" </w:instrText>
      </w:r>
      <w:r>
        <w:fldChar w:fldCharType="separate"/>
      </w:r>
      <w:r>
        <w:rPr>
          <w:rStyle w:val="22"/>
          <w:rFonts w:hint="eastAsia" w:asciiTheme="minorEastAsia" w:hAnsiTheme="minorEastAsia" w:eastAsiaTheme="minorEastAsia" w:cstheme="minorEastAsia"/>
          <w:color w:val="auto"/>
        </w:rPr>
        <w:t>第一部分 竞争性磋商公告</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p>
    <w:p>
      <w:pPr>
        <w:pStyle w:val="14"/>
        <w:tabs>
          <w:tab w:val="right" w:leader="dot" w:pos="8400"/>
          <w:tab w:val="right" w:leader="dot" w:pos="9737"/>
        </w:tabs>
        <w:spacing w:line="360" w:lineRule="auto"/>
        <w:ind w:firstLine="630" w:firstLineChars="300"/>
        <w:rPr>
          <w:rFonts w:asciiTheme="minorEastAsia" w:hAnsiTheme="minorEastAsia" w:eastAsiaTheme="minorEastAsia" w:cstheme="minorEastAsia"/>
          <w:szCs w:val="22"/>
        </w:rPr>
      </w:pPr>
      <w:r>
        <w:fldChar w:fldCharType="begin"/>
      </w:r>
      <w:r>
        <w:instrText xml:space="preserve"> HYPERLINK \l "_Toc527642950" </w:instrText>
      </w:r>
      <w:r>
        <w:fldChar w:fldCharType="separate"/>
      </w:r>
      <w:r>
        <w:rPr>
          <w:rStyle w:val="22"/>
          <w:rFonts w:hint="eastAsia" w:asciiTheme="minorEastAsia" w:hAnsiTheme="minorEastAsia" w:eastAsiaTheme="minorEastAsia" w:cstheme="minorEastAsia"/>
          <w:color w:val="auto"/>
        </w:rPr>
        <w:t>第二部分  供应商须知</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6"/>
        <w:tabs>
          <w:tab w:val="right" w:leader="dot" w:pos="8400"/>
        </w:tabs>
        <w:spacing w:line="360" w:lineRule="auto"/>
        <w:ind w:firstLine="420" w:firstLineChars="200"/>
        <w:rPr>
          <w:rFonts w:asciiTheme="minorEastAsia" w:hAnsiTheme="minorEastAsia" w:eastAsiaTheme="minorEastAsia" w:cstheme="minorEastAsia"/>
          <w:szCs w:val="22"/>
        </w:rPr>
      </w:pPr>
      <w:r>
        <w:fldChar w:fldCharType="begin"/>
      </w:r>
      <w:r>
        <w:instrText xml:space="preserve"> HYPERLINK \l "_Toc527642951" </w:instrText>
      </w:r>
      <w:r>
        <w:fldChar w:fldCharType="separate"/>
      </w:r>
      <w:r>
        <w:rPr>
          <w:rStyle w:val="22"/>
          <w:rFonts w:hint="eastAsia" w:asciiTheme="minorEastAsia" w:hAnsiTheme="minorEastAsia" w:eastAsiaTheme="minorEastAsia" w:cstheme="minorEastAsia"/>
          <w:color w:val="auto"/>
        </w:rPr>
        <w:t>供应商须知附表</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p>
    <w:p>
      <w:pPr>
        <w:pStyle w:val="16"/>
        <w:tabs>
          <w:tab w:val="right" w:leader="dot" w:pos="8400"/>
        </w:tabs>
        <w:spacing w:line="360" w:lineRule="auto"/>
        <w:ind w:firstLine="420" w:firstLineChars="200"/>
        <w:rPr>
          <w:rFonts w:asciiTheme="minorEastAsia" w:hAnsiTheme="minorEastAsia" w:eastAsiaTheme="minorEastAsia" w:cstheme="minorEastAsia"/>
          <w:szCs w:val="22"/>
        </w:rPr>
      </w:pPr>
      <w:r>
        <w:fldChar w:fldCharType="begin"/>
      </w:r>
      <w:r>
        <w:instrText xml:space="preserve"> HYPERLINK \l "_Toc527642952" </w:instrText>
      </w:r>
      <w:r>
        <w:fldChar w:fldCharType="separate"/>
      </w:r>
      <w:r>
        <w:rPr>
          <w:rStyle w:val="22"/>
          <w:rFonts w:hint="eastAsia" w:asciiTheme="minorEastAsia" w:hAnsiTheme="minorEastAsia" w:eastAsiaTheme="minorEastAsia" w:cstheme="minorEastAsia"/>
          <w:color w:val="auto"/>
        </w:rPr>
        <w:t>A  说　明...</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6"/>
        <w:tabs>
          <w:tab w:val="right" w:leader="dot" w:pos="8400"/>
        </w:tabs>
        <w:spacing w:line="360" w:lineRule="auto"/>
        <w:ind w:firstLine="420" w:firstLineChars="200"/>
        <w:rPr>
          <w:rFonts w:asciiTheme="minorEastAsia" w:hAnsiTheme="minorEastAsia" w:eastAsiaTheme="minorEastAsia" w:cstheme="minorEastAsia"/>
          <w:szCs w:val="22"/>
        </w:rPr>
      </w:pPr>
      <w:r>
        <w:fldChar w:fldCharType="begin"/>
      </w:r>
      <w:r>
        <w:instrText xml:space="preserve"> HYPERLINK \l "_Toc527642953" </w:instrText>
      </w:r>
      <w:r>
        <w:fldChar w:fldCharType="separate"/>
      </w:r>
      <w:r>
        <w:rPr>
          <w:rStyle w:val="22"/>
          <w:rFonts w:hint="eastAsia" w:asciiTheme="minorEastAsia" w:hAnsiTheme="minorEastAsia" w:eastAsiaTheme="minorEastAsia" w:cstheme="minorEastAsia"/>
          <w:color w:val="auto"/>
        </w:rPr>
        <w:t>B  磋商文件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fldChar w:fldCharType="end"/>
      </w:r>
    </w:p>
    <w:p>
      <w:pPr>
        <w:pStyle w:val="16"/>
        <w:tabs>
          <w:tab w:val="right" w:leader="dot" w:pos="8400"/>
        </w:tabs>
        <w:spacing w:line="360" w:lineRule="auto"/>
        <w:ind w:firstLine="420" w:firstLineChars="200"/>
        <w:rPr>
          <w:rFonts w:asciiTheme="minorEastAsia" w:hAnsiTheme="minorEastAsia" w:eastAsiaTheme="minorEastAsia" w:cstheme="minorEastAsia"/>
          <w:szCs w:val="22"/>
        </w:rPr>
      </w:pPr>
      <w:r>
        <w:fldChar w:fldCharType="begin"/>
      </w:r>
      <w:r>
        <w:instrText xml:space="preserve"> HYPERLINK \l "_Toc527642954" </w:instrText>
      </w:r>
      <w:r>
        <w:fldChar w:fldCharType="separate"/>
      </w:r>
      <w:r>
        <w:rPr>
          <w:rStyle w:val="22"/>
          <w:rFonts w:hint="eastAsia" w:asciiTheme="minorEastAsia" w:hAnsiTheme="minorEastAsia" w:eastAsiaTheme="minorEastAsia" w:cstheme="minorEastAsia"/>
          <w:color w:val="auto"/>
        </w:rPr>
        <w:t>C  磋商响应文件的编写</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fldChar w:fldCharType="end"/>
      </w:r>
    </w:p>
    <w:p>
      <w:pPr>
        <w:pStyle w:val="16"/>
        <w:tabs>
          <w:tab w:val="right" w:leader="dot" w:pos="8400"/>
        </w:tabs>
        <w:spacing w:line="360" w:lineRule="auto"/>
        <w:ind w:firstLine="420" w:firstLineChars="200"/>
        <w:rPr>
          <w:rFonts w:hint="eastAsia" w:asciiTheme="minorEastAsia" w:hAnsiTheme="minorEastAsia" w:eastAsiaTheme="minorEastAsia" w:cstheme="minorEastAsia"/>
          <w:szCs w:val="22"/>
          <w:lang w:val="en-US" w:eastAsia="zh-CN"/>
        </w:rPr>
      </w:pPr>
      <w:r>
        <w:fldChar w:fldCharType="begin"/>
      </w:r>
      <w:r>
        <w:instrText xml:space="preserve"> HYPERLINK \l "_Toc527642955" </w:instrText>
      </w:r>
      <w:r>
        <w:fldChar w:fldCharType="separate"/>
      </w:r>
      <w:r>
        <w:rPr>
          <w:rStyle w:val="22"/>
          <w:rFonts w:hint="eastAsia" w:asciiTheme="minorEastAsia" w:hAnsiTheme="minorEastAsia" w:eastAsiaTheme="minorEastAsia" w:cstheme="minorEastAsia"/>
          <w:color w:val="auto"/>
        </w:rPr>
        <w:t>D  磋商响应文件的递交</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6"/>
        <w:tabs>
          <w:tab w:val="right" w:leader="dot" w:pos="8400"/>
        </w:tabs>
        <w:spacing w:line="360" w:lineRule="auto"/>
        <w:ind w:firstLine="420" w:firstLineChars="200"/>
        <w:rPr>
          <w:rFonts w:hint="eastAsia" w:asciiTheme="minorEastAsia" w:hAnsiTheme="minorEastAsia" w:eastAsiaTheme="minorEastAsia" w:cstheme="minorEastAsia"/>
          <w:szCs w:val="22"/>
          <w:lang w:eastAsia="zh-CN"/>
        </w:rPr>
      </w:pPr>
      <w:r>
        <w:fldChar w:fldCharType="begin"/>
      </w:r>
      <w:r>
        <w:instrText xml:space="preserve"> HYPERLINK \l "_Toc527642956" </w:instrText>
      </w:r>
      <w:r>
        <w:fldChar w:fldCharType="separate"/>
      </w:r>
      <w:r>
        <w:rPr>
          <w:rStyle w:val="22"/>
          <w:rFonts w:hint="eastAsia" w:asciiTheme="minorEastAsia" w:hAnsiTheme="minorEastAsia" w:eastAsiaTheme="minorEastAsia" w:cstheme="minorEastAsia"/>
          <w:color w:val="auto"/>
        </w:rPr>
        <w:t>E  磋商程序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6"/>
        <w:tabs>
          <w:tab w:val="right" w:leader="dot" w:pos="8400"/>
        </w:tabs>
        <w:spacing w:line="360" w:lineRule="auto"/>
        <w:ind w:firstLine="420" w:firstLineChars="200"/>
        <w:rPr>
          <w:rFonts w:hint="eastAsia" w:asciiTheme="minorEastAsia" w:hAnsiTheme="minorEastAsia" w:eastAsiaTheme="minorEastAsia" w:cstheme="minorEastAsia"/>
          <w:szCs w:val="22"/>
          <w:lang w:val="en-US" w:eastAsia="zh-CN"/>
        </w:rPr>
      </w:pPr>
      <w:r>
        <w:fldChar w:fldCharType="begin"/>
      </w:r>
      <w:r>
        <w:instrText xml:space="preserve"> HYPERLINK \l "_Toc527642957" </w:instrText>
      </w:r>
      <w:r>
        <w:fldChar w:fldCharType="separate"/>
      </w:r>
      <w:r>
        <w:rPr>
          <w:rStyle w:val="22"/>
          <w:rFonts w:hint="eastAsia" w:asciiTheme="minorEastAsia" w:hAnsiTheme="minorEastAsia" w:eastAsiaTheme="minorEastAsia" w:cstheme="minorEastAsia"/>
          <w:color w:val="auto"/>
        </w:rPr>
        <w:t>F  授予合同</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0</w:t>
      </w:r>
    </w:p>
    <w:p>
      <w:pPr>
        <w:pStyle w:val="16"/>
        <w:tabs>
          <w:tab w:val="right" w:leader="dot" w:pos="8400"/>
        </w:tabs>
        <w:spacing w:line="360" w:lineRule="auto"/>
        <w:ind w:firstLine="420" w:firstLineChars="200"/>
        <w:rPr>
          <w:rFonts w:hint="default" w:asciiTheme="minorEastAsia" w:hAnsiTheme="minorEastAsia" w:eastAsiaTheme="minorEastAsia" w:cstheme="minorEastAsia"/>
          <w:szCs w:val="22"/>
          <w:lang w:val="en-US" w:eastAsia="zh-CN"/>
        </w:rPr>
      </w:pPr>
      <w:r>
        <w:fldChar w:fldCharType="begin"/>
      </w:r>
      <w:r>
        <w:instrText xml:space="preserve"> HYPERLINK \l "_Toc527642958" </w:instrText>
      </w:r>
      <w:r>
        <w:fldChar w:fldCharType="separate"/>
      </w:r>
      <w:r>
        <w:rPr>
          <w:rStyle w:val="22"/>
          <w:rFonts w:hint="eastAsia" w:asciiTheme="minorEastAsia" w:hAnsiTheme="minorEastAsia" w:eastAsiaTheme="minorEastAsia" w:cstheme="minorEastAsia"/>
          <w:color w:val="auto"/>
        </w:rPr>
        <w:t>G  磋商失败条件</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1</w:t>
      </w:r>
    </w:p>
    <w:p>
      <w:pPr>
        <w:pStyle w:val="14"/>
        <w:tabs>
          <w:tab w:val="right" w:leader="dot" w:pos="8400"/>
        </w:tabs>
        <w:spacing w:line="360" w:lineRule="auto"/>
        <w:ind w:firstLine="420" w:firstLineChars="200"/>
        <w:rPr>
          <w:rFonts w:hint="eastAsia" w:asciiTheme="minorEastAsia" w:hAnsiTheme="minorEastAsia" w:eastAsiaTheme="minorEastAsia" w:cstheme="minorEastAsia"/>
          <w:szCs w:val="22"/>
          <w:lang w:val="en-US" w:eastAsia="zh-CN"/>
        </w:rPr>
      </w:pPr>
      <w:r>
        <w:fldChar w:fldCharType="begin"/>
      </w:r>
      <w:r>
        <w:instrText xml:space="preserve"> HYPERLINK \l "_Toc527642959" </w:instrText>
      </w:r>
      <w:r>
        <w:fldChar w:fldCharType="separate"/>
      </w:r>
      <w:r>
        <w:rPr>
          <w:rStyle w:val="22"/>
          <w:rFonts w:hint="eastAsia" w:asciiTheme="minorEastAsia" w:hAnsiTheme="minorEastAsia" w:eastAsiaTheme="minorEastAsia" w:cstheme="minorEastAsia"/>
          <w:color w:val="auto"/>
        </w:rPr>
        <w:t>第三部分  技术要求</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2</w:t>
      </w:r>
    </w:p>
    <w:p>
      <w:pPr>
        <w:pStyle w:val="14"/>
        <w:tabs>
          <w:tab w:val="right" w:leader="dot" w:pos="8400"/>
        </w:tabs>
        <w:spacing w:line="360" w:lineRule="auto"/>
        <w:ind w:firstLine="420" w:firstLineChars="200"/>
        <w:rPr>
          <w:rFonts w:hint="eastAsia" w:asciiTheme="minorEastAsia" w:hAnsiTheme="minorEastAsia" w:eastAsiaTheme="minorEastAsia" w:cstheme="minorEastAsia"/>
          <w:szCs w:val="22"/>
          <w:lang w:val="en-US" w:eastAsia="zh-CN"/>
        </w:rPr>
      </w:pPr>
      <w:r>
        <w:fldChar w:fldCharType="begin"/>
      </w:r>
      <w:r>
        <w:instrText xml:space="preserve"> HYPERLINK \l "_Toc527642960" </w:instrText>
      </w:r>
      <w:r>
        <w:fldChar w:fldCharType="separate"/>
      </w:r>
      <w:r>
        <w:rPr>
          <w:rStyle w:val="22"/>
          <w:rFonts w:hint="eastAsia" w:asciiTheme="minorEastAsia" w:hAnsiTheme="minorEastAsia" w:eastAsiaTheme="minorEastAsia" w:cstheme="minorEastAsia"/>
          <w:color w:val="auto"/>
        </w:rPr>
        <w:t>第四部分 合同条</w:t>
      </w:r>
      <w:r>
        <w:rPr>
          <w:rStyle w:val="22"/>
          <w:rFonts w:hint="eastAsia" w:asciiTheme="minorEastAsia" w:hAnsiTheme="minorEastAsia" w:eastAsiaTheme="minorEastAsia" w:cstheme="minorEastAsia"/>
          <w:color w:val="auto"/>
          <w:lang w:val="en-US" w:eastAsia="zh-CN"/>
        </w:rPr>
        <w:t>款</w:t>
      </w:r>
      <w:r>
        <w:rPr>
          <w:rStyle w:val="22"/>
          <w:rFonts w:hint="eastAsia" w:asciiTheme="minorEastAsia" w:hAnsiTheme="minorEastAsia" w:eastAsiaTheme="minorEastAsia" w:cstheme="minorEastAsia"/>
          <w:color w:val="auto"/>
        </w:rPr>
        <w:t>及格式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2</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4</w:t>
      </w:r>
    </w:p>
    <w:p>
      <w:pPr>
        <w:pStyle w:val="14"/>
        <w:tabs>
          <w:tab w:val="right" w:leader="dot" w:pos="8400"/>
        </w:tabs>
        <w:spacing w:line="360" w:lineRule="auto"/>
        <w:ind w:firstLine="420" w:firstLineChars="200"/>
        <w:rPr>
          <w:rFonts w:hint="eastAsia" w:asciiTheme="minorEastAsia" w:hAnsiTheme="minorEastAsia" w:eastAsiaTheme="minorEastAsia" w:cstheme="minorEastAsia"/>
          <w:szCs w:val="22"/>
          <w:lang w:val="en-US" w:eastAsia="zh-CN"/>
        </w:rPr>
      </w:pPr>
      <w:r>
        <w:fldChar w:fldCharType="begin"/>
      </w:r>
      <w:r>
        <w:instrText xml:space="preserve"> HYPERLINK \l "_Toc527642969" </w:instrText>
      </w:r>
      <w:r>
        <w:fldChar w:fldCharType="separate"/>
      </w:r>
      <w:r>
        <w:rPr>
          <w:rStyle w:val="22"/>
          <w:rFonts w:hint="eastAsia" w:asciiTheme="minorEastAsia" w:hAnsiTheme="minorEastAsia" w:eastAsiaTheme="minorEastAsia" w:cstheme="minorEastAsia"/>
          <w:color w:val="auto"/>
        </w:rPr>
        <w:t>第五部分 响应文件格式</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fldChar w:fldCharType="end"/>
      </w:r>
      <w:r>
        <w:rPr>
          <w:rFonts w:hint="eastAsia" w:asciiTheme="minorEastAsia" w:hAnsiTheme="minorEastAsia" w:eastAsiaTheme="minorEastAsia" w:cstheme="minorEastAsia"/>
          <w:lang w:val="en-US" w:eastAsia="zh-CN"/>
        </w:rPr>
        <w:t>8</w:t>
      </w:r>
    </w:p>
    <w:p>
      <w:pPr>
        <w:pStyle w:val="14"/>
        <w:tabs>
          <w:tab w:val="right" w:leader="dot" w:pos="8541"/>
        </w:tabs>
        <w:spacing w:line="360" w:lineRule="auto"/>
        <w:rPr>
          <w:rFonts w:hint="default" w:asciiTheme="minorEastAsia" w:hAnsiTheme="minorEastAsia" w:eastAsiaTheme="minorEastAsia" w:cstheme="minorEastAsia"/>
          <w:szCs w:val="22"/>
          <w:lang w:val="en-US" w:eastAsia="zh-CN"/>
        </w:rPr>
      </w:pPr>
      <w:r>
        <w:rPr>
          <w:rFonts w:hint="eastAsia" w:asciiTheme="minorEastAsia" w:hAnsiTheme="minorEastAsia" w:eastAsiaTheme="minorEastAsia" w:cstheme="minorEastAsia"/>
          <w:b/>
          <w:sz w:val="24"/>
          <w:szCs w:val="24"/>
        </w:rPr>
        <w:fldChar w:fldCharType="end"/>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szCs w:val="22"/>
        </w:rPr>
        <w:t>第六部分 补充条款</w:t>
      </w:r>
      <w:r>
        <w:rPr>
          <w:rFonts w:hint="eastAsia" w:asciiTheme="minorEastAsia" w:hAnsiTheme="minorEastAsia" w:eastAsiaTheme="minorEastAsia" w:cstheme="minorEastAsia"/>
          <w:szCs w:val="22"/>
          <w:lang w:val="en-US" w:eastAsia="zh-CN"/>
        </w:rPr>
        <w:t>........................................................ 72</w:t>
      </w:r>
    </w:p>
    <w:p>
      <w:pPr>
        <w:pStyle w:val="17"/>
        <w:spacing w:before="75" w:beforeAutospacing="0" w:after="75" w:afterAutospacing="0" w:line="360" w:lineRule="auto"/>
        <w:jc w:val="both"/>
        <w:rPr>
          <w:rFonts w:asciiTheme="minorEastAsia" w:hAnsiTheme="minorEastAsia" w:eastAsiaTheme="minorEastAsia" w:cstheme="minorEastAsia"/>
          <w:sz w:val="32"/>
          <w:szCs w:val="32"/>
        </w:rPr>
      </w:pPr>
      <w:bookmarkStart w:id="0" w:name="_Toc349637917"/>
      <w:bookmarkStart w:id="1" w:name="_Toc349573118"/>
      <w:bookmarkStart w:id="2" w:name="_Toc527642949"/>
      <w:bookmarkStart w:id="3" w:name="_Toc298240402"/>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p>
      <w:pPr>
        <w:pStyle w:val="17"/>
        <w:spacing w:before="75" w:beforeAutospacing="0" w:after="75" w:afterAutospacing="0" w:line="360" w:lineRule="auto"/>
        <w:jc w:val="both"/>
        <w:rPr>
          <w:rFonts w:asciiTheme="minorEastAsia" w:hAnsiTheme="minorEastAsia" w:eastAsiaTheme="minorEastAsia" w:cstheme="minorEastAsia"/>
          <w:sz w:val="32"/>
          <w:szCs w:val="32"/>
        </w:rPr>
      </w:pPr>
    </w:p>
    <w:bookmarkEnd w:id="0"/>
    <w:bookmarkEnd w:id="1"/>
    <w:bookmarkEnd w:id="2"/>
    <w:bookmarkEnd w:id="3"/>
    <w:p>
      <w:pPr>
        <w:pStyle w:val="24"/>
        <w:numPr>
          <w:ilvl w:val="0"/>
          <w:numId w:val="0"/>
        </w:numPr>
        <w:tabs>
          <w:tab w:val="left" w:pos="4980"/>
        </w:tabs>
        <w:spacing w:line="480" w:lineRule="exact"/>
        <w:jc w:val="center"/>
        <w:rPr>
          <w:rFonts w:hint="eastAsia"/>
          <w:b/>
          <w:sz w:val="32"/>
          <w:szCs w:val="32"/>
          <w:lang w:val="en-US" w:eastAsia="zh-CN"/>
        </w:rPr>
        <w:sectPr>
          <w:footerReference r:id="rId6" w:type="first"/>
          <w:headerReference r:id="rId4" w:type="default"/>
          <w:footerReference r:id="rId5" w:type="default"/>
          <w:pgSz w:w="11907" w:h="16840"/>
          <w:pgMar w:top="1440" w:right="1080" w:bottom="1440" w:left="1080" w:header="851" w:footer="68" w:gutter="0"/>
          <w:pgNumType w:start="1"/>
          <w:cols w:space="720" w:num="1"/>
          <w:titlePg/>
          <w:docGrid w:type="lines" w:linePitch="409" w:charSpace="0"/>
        </w:sectPr>
      </w:pPr>
      <w:bookmarkStart w:id="4" w:name="_Toc267301280"/>
      <w:bookmarkStart w:id="5" w:name="_Toc349637918"/>
      <w:bookmarkStart w:id="6" w:name="_Toc527642950"/>
      <w:bookmarkStart w:id="7" w:name="_Toc349573119"/>
      <w:bookmarkStart w:id="8" w:name="_Toc298240403"/>
    </w:p>
    <w:p>
      <w:pPr>
        <w:pStyle w:val="24"/>
        <w:keepNext w:val="0"/>
        <w:keepLines w:val="0"/>
        <w:pageBreakBefore w:val="0"/>
        <w:numPr>
          <w:ilvl w:val="0"/>
          <w:numId w:val="0"/>
        </w:numPr>
        <w:tabs>
          <w:tab w:val="left" w:pos="4980"/>
        </w:tabs>
        <w:kinsoku/>
        <w:wordWrap/>
        <w:overflowPunct/>
        <w:topLinePunct w:val="0"/>
        <w:autoSpaceDE/>
        <w:autoSpaceDN/>
        <w:bidi w:val="0"/>
        <w:adjustRightInd/>
        <w:snapToGrid/>
        <w:spacing w:line="400" w:lineRule="exact"/>
        <w:jc w:val="center"/>
        <w:textAlignment w:val="auto"/>
        <w:rPr>
          <w:rFonts w:hint="eastAsia" w:ascii="宋体" w:hAnsi="宋体" w:eastAsia="宋体" w:cs="宋体"/>
          <w:b/>
          <w:sz w:val="32"/>
          <w:szCs w:val="32"/>
        </w:rPr>
      </w:pPr>
      <w:r>
        <w:rPr>
          <w:rFonts w:hint="eastAsia" w:ascii="宋体" w:hAnsi="宋体" w:eastAsia="宋体" w:cs="宋体"/>
          <w:b/>
          <w:sz w:val="36"/>
          <w:szCs w:val="36"/>
          <w:lang w:val="en-US" w:eastAsia="zh-CN"/>
        </w:rPr>
        <w:t xml:space="preserve">第一部分      </w:t>
      </w:r>
      <w:r>
        <w:rPr>
          <w:rFonts w:hint="eastAsia" w:ascii="宋体" w:hAnsi="宋体" w:eastAsia="宋体" w:cs="宋体"/>
          <w:b/>
          <w:sz w:val="36"/>
          <w:szCs w:val="36"/>
        </w:rPr>
        <w:t>竞争性磋商公告</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36"/>
          <w:szCs w:val="36"/>
        </w:rPr>
      </w:pPr>
      <w:r>
        <w:rPr>
          <w:rFonts w:hint="eastAsia" w:ascii="宋体" w:hAnsi="宋体" w:eastAsia="宋体" w:cs="宋体"/>
          <w:b/>
          <w:kern w:val="0"/>
          <w:sz w:val="36"/>
          <w:szCs w:val="36"/>
        </w:rPr>
        <w:t>伊宁市达达木图镇布拉克村基层阵地提升改造项目</w:t>
      </w:r>
    </w:p>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eastAsia="宋体" w:cs="宋体"/>
          <w:b/>
          <w:kern w:val="0"/>
          <w:sz w:val="36"/>
          <w:szCs w:val="36"/>
        </w:rPr>
      </w:pPr>
      <w:r>
        <w:rPr>
          <w:rFonts w:hint="eastAsia" w:ascii="宋体" w:hAnsi="宋体" w:eastAsia="宋体" w:cs="宋体"/>
          <w:b/>
          <w:kern w:val="0"/>
          <w:sz w:val="36"/>
          <w:szCs w:val="36"/>
        </w:rPr>
        <w:t>竞争性磋商公告</w:t>
      </w:r>
    </w:p>
    <w:tbl>
      <w:tblPr>
        <w:tblStyle w:val="20"/>
        <w:tblpPr w:leftFromText="180" w:rightFromText="180" w:vertAnchor="text" w:horzAnchor="page" w:tblpX="1105" w:tblpY="150"/>
        <w:tblOverlap w:val="never"/>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10055" w:type="dxa"/>
            <w:noWrap w:val="0"/>
            <w:vAlign w:val="top"/>
          </w:tcPr>
          <w:p>
            <w:pPr>
              <w:keepNext w:val="0"/>
              <w:keepLines w:val="0"/>
              <w:pageBreakBefore w:val="0"/>
              <w:widowControl w:val="0"/>
              <w:kinsoku/>
              <w:wordWrap/>
              <w:overflowPunct/>
              <w:topLinePunct w:val="0"/>
              <w:autoSpaceDE/>
              <w:autoSpaceDN/>
              <w:bidi w:val="0"/>
              <w:adjustRightInd/>
              <w:snapToGrid/>
              <w:spacing w:before="75" w:after="150" w:line="340" w:lineRule="exact"/>
              <w:textAlignment w:val="auto"/>
              <w:rPr>
                <w:rFonts w:ascii="仿宋" w:hAnsi="仿宋" w:eastAsia="仿宋" w:cs="Arial"/>
                <w:color w:val="auto"/>
                <w:sz w:val="24"/>
                <w:szCs w:val="24"/>
                <w:highlight w:val="none"/>
              </w:rPr>
            </w:pPr>
            <w:r>
              <w:rPr>
                <w:rFonts w:ascii="仿宋" w:hAnsi="仿宋" w:eastAsia="仿宋" w:cs="Arial"/>
                <w:color w:val="auto"/>
                <w:sz w:val="27"/>
                <w:szCs w:val="27"/>
                <w:highlight w:val="none"/>
              </w:rPr>
              <w:t>项目概况</w:t>
            </w:r>
            <w:r>
              <w:rPr>
                <w:rFonts w:ascii="仿宋" w:hAnsi="仿宋" w:eastAsia="仿宋" w:cs="Arial"/>
                <w:color w:val="auto"/>
                <w:sz w:val="24"/>
                <w:szCs w:val="24"/>
                <w:highlight w:val="none"/>
              </w:rPr>
              <w:t>                                                    </w:t>
            </w:r>
          </w:p>
          <w:p>
            <w:pPr>
              <w:keepNext w:val="0"/>
              <w:keepLines w:val="0"/>
              <w:pageBreakBefore w:val="0"/>
              <w:widowControl w:val="0"/>
              <w:kinsoku/>
              <w:wordWrap/>
              <w:overflowPunct/>
              <w:topLinePunct w:val="0"/>
              <w:autoSpaceDE/>
              <w:autoSpaceDN/>
              <w:bidi w:val="0"/>
              <w:adjustRightInd/>
              <w:snapToGrid/>
              <w:spacing w:before="75" w:after="150" w:line="340" w:lineRule="exact"/>
              <w:ind w:firstLine="540" w:firstLineChars="200"/>
              <w:textAlignment w:val="auto"/>
              <w:rPr>
                <w:rFonts w:ascii="仿宋" w:hAnsi="仿宋" w:eastAsia="仿宋" w:cs="Arial"/>
                <w:color w:val="auto"/>
                <w:sz w:val="27"/>
                <w:szCs w:val="27"/>
                <w:highlight w:val="none"/>
              </w:rPr>
            </w:pPr>
            <w:r>
              <w:rPr>
                <w:rFonts w:hint="eastAsia" w:ascii="仿宋" w:hAnsi="仿宋" w:eastAsia="仿宋" w:cs="Arial"/>
                <w:color w:val="auto"/>
                <w:sz w:val="27"/>
                <w:szCs w:val="27"/>
                <w:highlight w:val="none"/>
                <w:lang w:eastAsia="zh-CN"/>
              </w:rPr>
              <w:t>伊宁市达达木图镇布拉克村基层阵地提升改造项目的潜在投标人应在政采云平台（http://www.ccgp-xinjiang.gov.cn）线上</w:t>
            </w:r>
            <w:r>
              <w:rPr>
                <w:rFonts w:hint="eastAsia" w:ascii="仿宋" w:hAnsi="仿宋" w:eastAsia="仿宋" w:cs="Arial"/>
                <w:color w:val="auto"/>
                <w:sz w:val="27"/>
                <w:szCs w:val="27"/>
                <w:highlight w:val="none"/>
                <w:lang w:val="en-US" w:eastAsia="zh-CN"/>
              </w:rPr>
              <w:t>申请</w:t>
            </w:r>
            <w:r>
              <w:rPr>
                <w:rFonts w:hint="eastAsia" w:ascii="仿宋" w:hAnsi="仿宋" w:eastAsia="仿宋" w:cs="Arial"/>
                <w:color w:val="auto"/>
                <w:sz w:val="27"/>
                <w:szCs w:val="27"/>
                <w:highlight w:val="none"/>
                <w:lang w:eastAsia="zh-CN"/>
              </w:rPr>
              <w:t>获取招标文件</w:t>
            </w:r>
            <w:r>
              <w:rPr>
                <w:rFonts w:hint="eastAsia" w:ascii="仿宋" w:hAnsi="仿宋" w:eastAsia="仿宋" w:cs="Arial"/>
                <w:color w:val="auto"/>
                <w:sz w:val="27"/>
                <w:szCs w:val="27"/>
                <w:highlight w:val="none"/>
              </w:rPr>
              <w:t>，并于</w:t>
            </w:r>
            <w:r>
              <w:rPr>
                <w:rFonts w:ascii="仿宋" w:hAnsi="仿宋" w:eastAsia="仿宋" w:cs="宋体"/>
                <w:color w:val="000000" w:themeColor="text1"/>
                <w:sz w:val="27"/>
                <w:highlight w:val="none"/>
                <w14:textFill>
                  <w14:solidFill>
                    <w14:schemeClr w14:val="tx1"/>
                  </w14:solidFill>
                </w14:textFill>
              </w:rPr>
              <w:t>202</w:t>
            </w:r>
            <w:r>
              <w:rPr>
                <w:rFonts w:hint="eastAsia" w:ascii="仿宋" w:hAnsi="仿宋" w:eastAsia="仿宋" w:cs="宋体"/>
                <w:color w:val="000000" w:themeColor="text1"/>
                <w:sz w:val="27"/>
                <w:highlight w:val="none"/>
                <w:lang w:val="en-US" w:eastAsia="zh-CN"/>
                <w14:textFill>
                  <w14:solidFill>
                    <w14:schemeClr w14:val="tx1"/>
                  </w14:solidFill>
                </w14:textFill>
              </w:rPr>
              <w:t>3</w:t>
            </w:r>
            <w:r>
              <w:rPr>
                <w:rFonts w:ascii="仿宋" w:hAnsi="仿宋" w:eastAsia="仿宋" w:cs="宋体"/>
                <w:color w:val="000000" w:themeColor="text1"/>
                <w:sz w:val="27"/>
                <w:highlight w:val="none"/>
                <w14:textFill>
                  <w14:solidFill>
                    <w14:schemeClr w14:val="tx1"/>
                  </w14:solidFill>
                </w14:textFill>
              </w:rPr>
              <w:t>年</w:t>
            </w:r>
            <w:r>
              <w:rPr>
                <w:rFonts w:hint="eastAsia" w:ascii="仿宋" w:hAnsi="仿宋" w:eastAsia="仿宋" w:cs="宋体"/>
                <w:color w:val="000000" w:themeColor="text1"/>
                <w:sz w:val="27"/>
                <w:highlight w:val="none"/>
                <w:lang w:val="en-US" w:eastAsia="zh-CN"/>
                <w14:textFill>
                  <w14:solidFill>
                    <w14:schemeClr w14:val="tx1"/>
                  </w14:solidFill>
                </w14:textFill>
              </w:rPr>
              <w:t>07</w:t>
            </w:r>
            <w:r>
              <w:rPr>
                <w:rFonts w:ascii="仿宋" w:hAnsi="仿宋" w:eastAsia="仿宋" w:cs="宋体"/>
                <w:color w:val="000000" w:themeColor="text1"/>
                <w:sz w:val="27"/>
                <w:highlight w:val="none"/>
                <w14:textFill>
                  <w14:solidFill>
                    <w14:schemeClr w14:val="tx1"/>
                  </w14:solidFill>
                </w14:textFill>
              </w:rPr>
              <w:t>月</w:t>
            </w:r>
            <w:r>
              <w:rPr>
                <w:rFonts w:hint="eastAsia" w:ascii="仿宋" w:hAnsi="仿宋" w:eastAsia="仿宋" w:cs="宋体"/>
                <w:color w:val="000000" w:themeColor="text1"/>
                <w:sz w:val="27"/>
                <w:highlight w:val="none"/>
                <w:lang w:val="en-US" w:eastAsia="zh-CN"/>
                <w14:textFill>
                  <w14:solidFill>
                    <w14:schemeClr w14:val="tx1"/>
                  </w14:solidFill>
                </w14:textFill>
              </w:rPr>
              <w:t>14</w:t>
            </w:r>
            <w:r>
              <w:rPr>
                <w:rFonts w:ascii="仿宋" w:hAnsi="仿宋" w:eastAsia="仿宋" w:cs="宋体"/>
                <w:color w:val="000000" w:themeColor="text1"/>
                <w:sz w:val="27"/>
                <w:highlight w:val="none"/>
                <w14:textFill>
                  <w14:solidFill>
                    <w14:schemeClr w14:val="tx1"/>
                  </w14:solidFill>
                </w14:textFill>
              </w:rPr>
              <w:t xml:space="preserve">日 </w:t>
            </w:r>
            <w:r>
              <w:rPr>
                <w:rFonts w:hint="eastAsia" w:ascii="仿宋" w:hAnsi="仿宋" w:eastAsia="仿宋" w:cs="宋体"/>
                <w:color w:val="000000" w:themeColor="text1"/>
                <w:sz w:val="27"/>
                <w:highlight w:val="none"/>
                <w:lang w:val="en-US" w:eastAsia="zh-CN"/>
                <w14:textFill>
                  <w14:solidFill>
                    <w14:schemeClr w14:val="tx1"/>
                  </w14:solidFill>
                </w14:textFill>
              </w:rPr>
              <w:t>10</w:t>
            </w:r>
            <w:r>
              <w:rPr>
                <w:rFonts w:ascii="仿宋" w:hAnsi="仿宋" w:eastAsia="仿宋" w:cs="宋体"/>
                <w:color w:val="000000" w:themeColor="text1"/>
                <w:sz w:val="27"/>
                <w:highlight w:val="none"/>
                <w14:textFill>
                  <w14:solidFill>
                    <w14:schemeClr w14:val="tx1"/>
                  </w14:solidFill>
                </w14:textFill>
              </w:rPr>
              <w:t>:</w:t>
            </w:r>
            <w:r>
              <w:rPr>
                <w:rFonts w:hint="eastAsia" w:ascii="仿宋" w:hAnsi="仿宋" w:eastAsia="仿宋" w:cs="宋体"/>
                <w:color w:val="000000" w:themeColor="text1"/>
                <w:sz w:val="27"/>
                <w:highlight w:val="none"/>
                <w:lang w:val="en-US" w:eastAsia="zh-CN"/>
                <w14:textFill>
                  <w14:solidFill>
                    <w14:schemeClr w14:val="tx1"/>
                  </w14:solidFill>
                </w14:textFill>
              </w:rPr>
              <w:t>3</w:t>
            </w:r>
            <w:r>
              <w:rPr>
                <w:rFonts w:ascii="仿宋" w:hAnsi="仿宋" w:eastAsia="仿宋" w:cs="宋体"/>
                <w:color w:val="000000" w:themeColor="text1"/>
                <w:sz w:val="27"/>
                <w:highlight w:val="none"/>
                <w14:textFill>
                  <w14:solidFill>
                    <w14:schemeClr w14:val="tx1"/>
                  </w14:solidFill>
                </w14:textFill>
              </w:rPr>
              <w:t>0</w:t>
            </w:r>
            <w:r>
              <w:rPr>
                <w:rFonts w:hint="eastAsia" w:ascii="仿宋" w:hAnsi="仿宋" w:eastAsia="仿宋" w:cs="Arial"/>
                <w:color w:val="000000" w:themeColor="text1"/>
                <w:sz w:val="27"/>
                <w:szCs w:val="27"/>
                <w:highlight w:val="none"/>
                <w14:textFill>
                  <w14:solidFill>
                    <w14:schemeClr w14:val="tx1"/>
                  </w14:solidFill>
                </w14:textFill>
              </w:rPr>
              <w:t>（北京时间）前提交响应文件</w:t>
            </w:r>
            <w:r>
              <w:rPr>
                <w:rFonts w:ascii="仿宋" w:hAnsi="仿宋" w:eastAsia="仿宋" w:cs="Arial"/>
                <w:color w:val="000000" w:themeColor="text1"/>
                <w:sz w:val="27"/>
                <w:szCs w:val="27"/>
                <w:highlight w:val="none"/>
                <w14:textFill>
                  <w14:solidFill>
                    <w14:schemeClr w14:val="tx1"/>
                  </w14:solidFill>
                </w14:textFill>
              </w:rPr>
              <w:t>。</w:t>
            </w:r>
          </w:p>
        </w:tc>
      </w:tr>
    </w:tbl>
    <w:p>
      <w:pPr>
        <w:keepNext w:val="0"/>
        <w:keepLines w:val="0"/>
        <w:pageBreakBefore w:val="0"/>
        <w:widowControl w:val="0"/>
        <w:numPr>
          <w:ilvl w:val="0"/>
          <w:numId w:val="0"/>
        </w:numPr>
        <w:kinsoku/>
        <w:wordWrap/>
        <w:overflowPunct/>
        <w:topLinePunct w:val="0"/>
        <w:autoSpaceDE/>
        <w:autoSpaceDN/>
        <w:bidi w:val="0"/>
        <w:adjustRightInd/>
        <w:snapToGrid/>
        <w:spacing w:before="255" w:after="255" w:line="340" w:lineRule="exact"/>
        <w:textAlignment w:val="auto"/>
        <w:rPr>
          <w:rFonts w:cs="宋体"/>
          <w:bCs/>
          <w:kern w:val="0"/>
          <w:sz w:val="28"/>
          <w:szCs w:val="28"/>
        </w:rPr>
      </w:pPr>
      <w:r>
        <w:rPr>
          <w:rFonts w:hint="eastAsia" w:ascii="仿宋" w:hAnsi="仿宋" w:eastAsia="仿宋" w:cs="宋体"/>
          <w:b/>
          <w:bCs/>
          <w:color w:val="auto"/>
          <w:sz w:val="28"/>
          <w:szCs w:val="28"/>
          <w:highlight w:val="none"/>
          <w:lang w:val="en-US" w:eastAsia="zh-CN"/>
        </w:rPr>
        <w:t>一、</w:t>
      </w:r>
      <w:r>
        <w:rPr>
          <w:rFonts w:hint="eastAsia" w:ascii="仿宋" w:hAnsi="仿宋" w:eastAsia="仿宋" w:cs="宋体"/>
          <w:b/>
          <w:bCs/>
          <w:color w:val="auto"/>
          <w:sz w:val="28"/>
          <w:szCs w:val="28"/>
          <w:highlight w:val="none"/>
        </w:rPr>
        <w:t>项目基本情况</w:t>
      </w:r>
    </w:p>
    <w:p>
      <w:pPr>
        <w:keepNext w:val="0"/>
        <w:keepLines w:val="0"/>
        <w:pageBreakBefore w:val="0"/>
        <w:widowControl w:val="0"/>
        <w:numPr>
          <w:ilvl w:val="0"/>
          <w:numId w:val="0"/>
        </w:numPr>
        <w:kinsoku/>
        <w:wordWrap/>
        <w:overflowPunct/>
        <w:topLinePunct w:val="0"/>
        <w:autoSpaceDE/>
        <w:autoSpaceDN/>
        <w:bidi w:val="0"/>
        <w:adjustRightInd/>
        <w:snapToGrid/>
        <w:spacing w:before="255" w:after="255" w:line="340" w:lineRule="exact"/>
        <w:textAlignment w:val="auto"/>
        <w:rPr>
          <w:rFonts w:hint="eastAsia" w:ascii="仿宋" w:hAnsi="仿宋" w:eastAsia="仿宋" w:cs="仿宋"/>
          <w:b w:val="0"/>
          <w:bCs/>
          <w:kern w:val="0"/>
          <w:sz w:val="28"/>
          <w:szCs w:val="28"/>
        </w:rPr>
      </w:pPr>
      <w:r>
        <w:rPr>
          <w:rFonts w:hint="eastAsia" w:ascii="仿宋" w:hAnsi="仿宋" w:eastAsia="仿宋" w:cs="仿宋"/>
          <w:b w:val="0"/>
          <w:bCs/>
          <w:kern w:val="0"/>
          <w:sz w:val="28"/>
          <w:szCs w:val="28"/>
        </w:rPr>
        <w:t>项目名称：伊宁市达达木图镇布拉克村基层阵地提升改造项目</w:t>
      </w:r>
    </w:p>
    <w:p>
      <w:pPr>
        <w:keepNext w:val="0"/>
        <w:keepLines w:val="0"/>
        <w:pageBreakBefore w:val="0"/>
        <w:widowControl w:val="0"/>
        <w:numPr>
          <w:ilvl w:val="0"/>
          <w:numId w:val="0"/>
        </w:numPr>
        <w:kinsoku/>
        <w:wordWrap/>
        <w:overflowPunct/>
        <w:topLinePunct w:val="0"/>
        <w:autoSpaceDE/>
        <w:autoSpaceDN/>
        <w:bidi w:val="0"/>
        <w:adjustRightInd/>
        <w:snapToGrid/>
        <w:spacing w:before="255" w:after="255" w:line="34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rPr>
        <w:t>项目编</w:t>
      </w:r>
      <w:r>
        <w:rPr>
          <w:rFonts w:hint="eastAsia" w:ascii="仿宋" w:hAnsi="仿宋" w:eastAsia="仿宋" w:cs="仿宋"/>
          <w:b w:val="0"/>
          <w:bCs/>
          <w:kern w:val="0"/>
          <w:sz w:val="28"/>
          <w:szCs w:val="28"/>
          <w:lang w:val="en-US" w:eastAsia="zh-CN"/>
        </w:rPr>
        <w:t>号</w:t>
      </w:r>
      <w:r>
        <w:rPr>
          <w:rFonts w:hint="eastAsia" w:ascii="仿宋" w:hAnsi="仿宋" w:eastAsia="仿宋" w:cs="仿宋"/>
          <w:b w:val="0"/>
          <w:bCs/>
          <w:kern w:val="0"/>
          <w:sz w:val="28"/>
          <w:szCs w:val="28"/>
        </w:rPr>
        <w:t>：</w:t>
      </w:r>
      <w:r>
        <w:rPr>
          <w:rFonts w:hint="eastAsia" w:ascii="仿宋" w:hAnsi="仿宋" w:eastAsia="仿宋" w:cs="仿宋"/>
          <w:b w:val="0"/>
          <w:bCs/>
          <w:kern w:val="0"/>
          <w:sz w:val="28"/>
          <w:szCs w:val="28"/>
          <w:lang w:val="en-US" w:eastAsia="zh-CN"/>
        </w:rPr>
        <w:t>YZ</w:t>
      </w:r>
      <w:r>
        <w:rPr>
          <w:rFonts w:hint="eastAsia" w:ascii="仿宋" w:hAnsi="仿宋" w:eastAsia="仿宋" w:cs="仿宋"/>
          <w:b w:val="0"/>
          <w:bCs/>
          <w:kern w:val="0"/>
          <w:sz w:val="28"/>
          <w:szCs w:val="28"/>
        </w:rPr>
        <w:t>-JZX</w:t>
      </w:r>
      <w:r>
        <w:rPr>
          <w:rFonts w:hint="eastAsia" w:ascii="仿宋" w:hAnsi="仿宋" w:eastAsia="仿宋" w:cs="仿宋"/>
          <w:b w:val="0"/>
          <w:bCs/>
          <w:kern w:val="0"/>
          <w:sz w:val="28"/>
          <w:szCs w:val="28"/>
          <w:lang w:val="en-US" w:eastAsia="zh-CN"/>
        </w:rPr>
        <w:t>CS</w:t>
      </w:r>
      <w:r>
        <w:rPr>
          <w:rFonts w:hint="eastAsia" w:ascii="仿宋" w:hAnsi="仿宋" w:eastAsia="仿宋" w:cs="仿宋"/>
          <w:b w:val="0"/>
          <w:bCs/>
          <w:kern w:val="0"/>
          <w:sz w:val="28"/>
          <w:szCs w:val="28"/>
        </w:rPr>
        <w:t>-202</w:t>
      </w:r>
      <w:r>
        <w:rPr>
          <w:rFonts w:hint="eastAsia" w:ascii="仿宋" w:hAnsi="仿宋" w:eastAsia="仿宋" w:cs="仿宋"/>
          <w:b w:val="0"/>
          <w:bCs/>
          <w:kern w:val="0"/>
          <w:sz w:val="28"/>
          <w:szCs w:val="28"/>
          <w:lang w:val="en-US" w:eastAsia="zh-CN"/>
        </w:rPr>
        <w:t>326</w:t>
      </w:r>
    </w:p>
    <w:p>
      <w:pPr>
        <w:keepNext w:val="0"/>
        <w:keepLines w:val="0"/>
        <w:pageBreakBefore w:val="0"/>
        <w:widowControl w:val="0"/>
        <w:numPr>
          <w:ilvl w:val="0"/>
          <w:numId w:val="0"/>
        </w:numPr>
        <w:kinsoku/>
        <w:wordWrap/>
        <w:overflowPunct/>
        <w:topLinePunct w:val="0"/>
        <w:autoSpaceDE/>
        <w:autoSpaceDN/>
        <w:bidi w:val="0"/>
        <w:adjustRightInd/>
        <w:snapToGrid/>
        <w:spacing w:before="255" w:after="255" w:line="34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采购方式：竞争性磋商</w:t>
      </w:r>
    </w:p>
    <w:p>
      <w:pPr>
        <w:pStyle w:val="5"/>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default"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预算金额（元）：1995837.47</w:t>
      </w:r>
    </w:p>
    <w:p>
      <w:pPr>
        <w:pageBreakBefore w:val="0"/>
        <w:widowControl w:val="0"/>
        <w:kinsoku/>
        <w:wordWrap/>
        <w:overflowPunct/>
        <w:topLinePunct w:val="0"/>
        <w:autoSpaceDE/>
        <w:autoSpaceDN/>
        <w:bidi w:val="0"/>
        <w:adjustRightInd/>
        <w:snapToGrid/>
        <w:spacing w:line="340" w:lineRule="exact"/>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最高限价（元）：1995837.47</w:t>
      </w:r>
    </w:p>
    <w:p>
      <w:pPr>
        <w:pStyle w:val="5"/>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采购需求：</w:t>
      </w:r>
    </w:p>
    <w:p>
      <w:pPr>
        <w:pageBreakBefore w:val="0"/>
        <w:widowControl w:val="0"/>
        <w:kinsoku/>
        <w:wordWrap/>
        <w:overflowPunct/>
        <w:topLinePunct w:val="0"/>
        <w:autoSpaceDE/>
        <w:autoSpaceDN/>
        <w:bidi w:val="0"/>
        <w:adjustRightInd/>
        <w:snapToGrid/>
        <w:spacing w:line="340" w:lineRule="exact"/>
        <w:textAlignment w:val="auto"/>
        <w:rPr>
          <w:rFonts w:hint="default"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数量：不限</w:t>
      </w:r>
    </w:p>
    <w:p>
      <w:pPr>
        <w:pStyle w:val="5"/>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单位：批</w:t>
      </w:r>
    </w:p>
    <w:p>
      <w:pPr>
        <w:pStyle w:val="5"/>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简要规格描述或项目基本概况介绍、用途：</w:t>
      </w:r>
    </w:p>
    <w:p>
      <w:pPr>
        <w:pStyle w:val="5"/>
        <w:pageBreakBefore w:val="0"/>
        <w:widowControl w:val="0"/>
        <w:kinsoku/>
        <w:wordWrap/>
        <w:overflowPunct/>
        <w:topLinePunct w:val="0"/>
        <w:autoSpaceDE/>
        <w:autoSpaceDN/>
        <w:bidi w:val="0"/>
        <w:adjustRightInd/>
        <w:snapToGrid/>
        <w:spacing w:line="340" w:lineRule="exact"/>
        <w:ind w:left="0" w:leftChars="0" w:firstLine="560" w:firstLineChars="200"/>
        <w:textAlignment w:val="auto"/>
        <w:rPr>
          <w:rFonts w:hint="default" w:ascii="仿宋" w:hAnsi="仿宋" w:eastAsia="仿宋" w:cs="仿宋"/>
          <w:b w:val="0"/>
          <w:bCs/>
          <w:kern w:val="0"/>
          <w:sz w:val="28"/>
          <w:szCs w:val="28"/>
          <w:lang w:val="en-US" w:eastAsia="zh-CN"/>
        </w:rPr>
      </w:pPr>
      <w:r>
        <w:rPr>
          <w:rFonts w:hint="eastAsia" w:ascii="仿宋" w:hAnsi="仿宋" w:eastAsia="仿宋" w:cs="仿宋"/>
          <w:b w:val="0"/>
          <w:bCs/>
          <w:kern w:val="0"/>
          <w:sz w:val="28"/>
          <w:szCs w:val="28"/>
          <w:lang w:val="en-US" w:eastAsia="zh-CN"/>
        </w:rPr>
        <w:t>主要提升改造村委会基层阵地包括外立面改造、党建打造、打造村民乡村舞台等，购置电子显示屏、伸缩座椅、音箱等相关配套设施。</w:t>
      </w:r>
    </w:p>
    <w:p>
      <w:pPr>
        <w:pStyle w:val="5"/>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 w:hAnsi="仿宋" w:eastAsia="仿宋" w:cs="仿宋"/>
          <w:b w:val="0"/>
          <w:bCs/>
          <w:kern w:val="0"/>
          <w:sz w:val="28"/>
          <w:szCs w:val="28"/>
          <w:highlight w:val="none"/>
          <w:lang w:val="en-US" w:eastAsia="zh-CN"/>
        </w:rPr>
      </w:pPr>
      <w:r>
        <w:rPr>
          <w:rFonts w:hint="eastAsia" w:ascii="仿宋" w:hAnsi="仿宋" w:eastAsia="仿宋" w:cs="仿宋"/>
          <w:b w:val="0"/>
          <w:bCs/>
          <w:kern w:val="0"/>
          <w:sz w:val="28"/>
          <w:szCs w:val="28"/>
          <w:lang w:val="en-US" w:eastAsia="zh-CN"/>
        </w:rPr>
        <w:t>计划工期：</w:t>
      </w:r>
      <w:r>
        <w:rPr>
          <w:rFonts w:hint="eastAsia" w:ascii="仿宋" w:hAnsi="仿宋" w:eastAsia="仿宋" w:cs="仿宋"/>
          <w:b w:val="0"/>
          <w:bCs/>
          <w:kern w:val="0"/>
          <w:sz w:val="28"/>
          <w:szCs w:val="28"/>
          <w:highlight w:val="none"/>
          <w:lang w:val="en-US" w:eastAsia="zh-CN"/>
        </w:rPr>
        <w:t>计划2023年07月18日开工，2023年09月15日竣工，总工期：60天。</w:t>
      </w:r>
    </w:p>
    <w:p>
      <w:pPr>
        <w:pageBreakBefore w:val="0"/>
        <w:widowControl w:val="0"/>
        <w:kinsoku/>
        <w:wordWrap/>
        <w:overflowPunct/>
        <w:topLinePunct w:val="0"/>
        <w:autoSpaceDE/>
        <w:autoSpaceDN/>
        <w:bidi w:val="0"/>
        <w:adjustRightInd/>
        <w:snapToGrid/>
        <w:spacing w:before="75" w:after="75" w:line="340" w:lineRule="exact"/>
        <w:textAlignment w:val="auto"/>
        <w:rPr>
          <w:rFonts w:hint="default" w:ascii="仿宋" w:hAnsi="仿宋" w:eastAsia="仿宋" w:cs="宋体"/>
          <w:color w:val="auto"/>
          <w:sz w:val="27"/>
          <w:szCs w:val="27"/>
          <w:highlight w:val="none"/>
          <w:lang w:val="en-US" w:eastAsia="zh-CN"/>
        </w:rPr>
      </w:pPr>
      <w:r>
        <w:rPr>
          <w:rFonts w:hint="eastAsia" w:ascii="仿宋" w:hAnsi="仿宋" w:eastAsia="仿宋" w:cs="宋体"/>
          <w:color w:val="auto"/>
          <w:sz w:val="27"/>
          <w:szCs w:val="27"/>
          <w:highlight w:val="none"/>
          <w:lang w:eastAsia="zh-CN"/>
        </w:rPr>
        <w:t>合同履约期限：</w:t>
      </w:r>
      <w:r>
        <w:rPr>
          <w:rFonts w:hint="eastAsia" w:ascii="仿宋" w:hAnsi="仿宋" w:eastAsia="仿宋" w:cs="宋体"/>
          <w:color w:val="auto"/>
          <w:sz w:val="27"/>
          <w:szCs w:val="27"/>
          <w:highlight w:val="none"/>
          <w:lang w:val="en-US" w:eastAsia="zh-CN"/>
        </w:rPr>
        <w:t>以双方签订合同为准</w:t>
      </w:r>
    </w:p>
    <w:p>
      <w:pPr>
        <w:pageBreakBefore w:val="0"/>
        <w:widowControl w:val="0"/>
        <w:kinsoku/>
        <w:wordWrap/>
        <w:overflowPunct/>
        <w:topLinePunct w:val="0"/>
        <w:autoSpaceDE/>
        <w:autoSpaceDN/>
        <w:bidi w:val="0"/>
        <w:adjustRightInd/>
        <w:snapToGrid/>
        <w:spacing w:before="75" w:after="75" w:line="340" w:lineRule="exact"/>
        <w:textAlignment w:val="auto"/>
        <w:rPr>
          <w:rFonts w:ascii="仿宋" w:hAnsi="仿宋" w:eastAsia="仿宋" w:cs="宋体"/>
          <w:color w:val="auto"/>
          <w:sz w:val="27"/>
          <w:szCs w:val="27"/>
          <w:highlight w:val="none"/>
        </w:rPr>
      </w:pPr>
      <w:r>
        <w:rPr>
          <w:rFonts w:ascii="仿宋" w:hAnsi="仿宋" w:eastAsia="仿宋" w:cs="宋体"/>
          <w:color w:val="auto"/>
          <w:sz w:val="27"/>
          <w:szCs w:val="27"/>
          <w:highlight w:val="none"/>
        </w:rPr>
        <w:t>本项目（</w:t>
      </w:r>
      <w:r>
        <w:rPr>
          <w:rFonts w:ascii="仿宋" w:hAnsi="仿宋" w:eastAsia="仿宋" w:cs="宋体"/>
          <w:color w:val="auto"/>
          <w:sz w:val="27"/>
          <w:highlight w:val="none"/>
        </w:rPr>
        <w:t>否</w:t>
      </w:r>
      <w:r>
        <w:rPr>
          <w:rFonts w:ascii="仿宋" w:hAnsi="仿宋" w:eastAsia="仿宋" w:cs="宋体"/>
          <w:color w:val="auto"/>
          <w:sz w:val="27"/>
          <w:szCs w:val="27"/>
          <w:highlight w:val="none"/>
        </w:rPr>
        <w:t>）接受联合体投标。</w:t>
      </w:r>
    </w:p>
    <w:p>
      <w:pPr>
        <w:pStyle w:val="5"/>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仿宋" w:hAnsi="仿宋" w:eastAsia="仿宋" w:cs="宋体"/>
          <w:b/>
          <w:bCs w:val="0"/>
          <w:color w:val="auto"/>
          <w:sz w:val="28"/>
          <w:szCs w:val="28"/>
          <w:highlight w:val="none"/>
          <w:lang w:val="en-US" w:eastAsia="zh-CN"/>
        </w:rPr>
      </w:pPr>
      <w:r>
        <w:rPr>
          <w:rFonts w:hint="eastAsia" w:ascii="仿宋" w:hAnsi="仿宋" w:eastAsia="仿宋" w:cs="宋体"/>
          <w:b/>
          <w:bCs w:val="0"/>
          <w:color w:val="auto"/>
          <w:sz w:val="28"/>
          <w:szCs w:val="28"/>
          <w:highlight w:val="none"/>
          <w:lang w:val="en-US" w:eastAsia="zh-CN"/>
        </w:rPr>
        <w:t>二、</w:t>
      </w:r>
      <w:r>
        <w:rPr>
          <w:rFonts w:hint="eastAsia" w:ascii="仿宋" w:hAnsi="仿宋" w:eastAsia="仿宋" w:cs="宋体"/>
          <w:b/>
          <w:bCs w:val="0"/>
          <w:color w:val="auto"/>
          <w:sz w:val="28"/>
          <w:szCs w:val="28"/>
          <w:highlight w:val="none"/>
        </w:rPr>
        <w:t>申请人的资格要求</w:t>
      </w:r>
    </w:p>
    <w:p>
      <w:pPr>
        <w:pStyle w:val="5"/>
        <w:pageBreakBefore w:val="0"/>
        <w:widowControl w:val="0"/>
        <w:kinsoku/>
        <w:wordWrap/>
        <w:overflowPunct/>
        <w:topLinePunct w:val="0"/>
        <w:autoSpaceDE/>
        <w:autoSpaceDN/>
        <w:bidi w:val="0"/>
        <w:adjustRightInd/>
        <w:snapToGrid/>
        <w:spacing w:line="340" w:lineRule="exact"/>
        <w:ind w:left="0" w:leftChars="0" w:firstLine="560" w:firstLineChars="200"/>
        <w:textAlignment w:val="auto"/>
        <w:rPr>
          <w:rFonts w:ascii="仿宋" w:hAnsi="仿宋" w:eastAsia="仿宋" w:cs="宋体"/>
          <w:b w:val="0"/>
          <w:bCs/>
          <w:color w:val="auto"/>
          <w:sz w:val="28"/>
          <w:szCs w:val="28"/>
          <w:highlight w:val="none"/>
        </w:rPr>
      </w:pPr>
      <w:r>
        <w:rPr>
          <w:rFonts w:hint="eastAsia" w:ascii="仿宋" w:hAnsi="仿宋" w:eastAsia="仿宋" w:cs="宋体"/>
          <w:b w:val="0"/>
          <w:bCs/>
          <w:color w:val="auto"/>
          <w:sz w:val="28"/>
          <w:szCs w:val="28"/>
          <w:highlight w:val="none"/>
          <w:lang w:val="en-US" w:eastAsia="zh-CN"/>
        </w:rPr>
        <w:t>1、</w:t>
      </w:r>
      <w:r>
        <w:rPr>
          <w:rFonts w:ascii="仿宋" w:hAnsi="仿宋" w:eastAsia="仿宋" w:cs="宋体"/>
          <w:b w:val="0"/>
          <w:bCs/>
          <w:color w:val="auto"/>
          <w:sz w:val="28"/>
          <w:szCs w:val="28"/>
          <w:highlight w:val="none"/>
        </w:rPr>
        <w:t>满足《中华人民共和国政府采购法》第二十二条规定；</w:t>
      </w:r>
    </w:p>
    <w:p>
      <w:pPr>
        <w:pageBreakBefore w:val="0"/>
        <w:widowControl w:val="0"/>
        <w:kinsoku/>
        <w:wordWrap/>
        <w:overflowPunct/>
        <w:topLinePunct w:val="0"/>
        <w:autoSpaceDE/>
        <w:autoSpaceDN/>
        <w:bidi w:val="0"/>
        <w:adjustRightInd/>
        <w:snapToGrid/>
        <w:spacing w:before="255" w:after="255" w:line="340" w:lineRule="exact"/>
        <w:ind w:firstLine="560" w:firstLineChars="200"/>
        <w:jc w:val="both"/>
        <w:textAlignment w:val="auto"/>
        <w:rPr>
          <w:rFonts w:hint="eastAsia" w:ascii="仿宋" w:hAnsi="仿宋" w:eastAsia="仿宋" w:cs="仿宋"/>
          <w:sz w:val="28"/>
          <w:szCs w:val="28"/>
          <w:highlight w:val="none"/>
        </w:rPr>
      </w:pPr>
      <w:r>
        <w:rPr>
          <w:rFonts w:hint="eastAsia" w:ascii="仿宋" w:hAnsi="仿宋" w:eastAsia="仿宋" w:cs="宋体"/>
          <w:b w:val="0"/>
          <w:bCs/>
          <w:color w:val="auto"/>
          <w:sz w:val="28"/>
          <w:szCs w:val="28"/>
          <w:highlight w:val="none"/>
          <w:lang w:val="en-US" w:eastAsia="zh-CN"/>
        </w:rPr>
        <w:t>2、本项目资格要求：（1）投标人须具备建筑工程施工总承包叁级以上（含叁级）资质，并在人员、设备、资金等方面具有相应的施工能力；（2）在“信用中国”网站（www.creditchina.gov.cn）及中国政府采购网（www.ccgp.gov.cn）中被列入失信被执行人、重大税收违法案件当事人名单、政府采购严重违法失信行为记录名单的供应商，不得参加本次政府采购活动；（3）单位负责人为同一人或者存在直接控股、管理关系的不同供应商，不得参加同一合同项下的政府采购活动。</w:t>
      </w:r>
    </w:p>
    <w:p>
      <w:pPr>
        <w:pageBreakBefore w:val="0"/>
        <w:widowControl w:val="0"/>
        <w:kinsoku/>
        <w:wordWrap/>
        <w:overflowPunct/>
        <w:topLinePunct w:val="0"/>
        <w:autoSpaceDE/>
        <w:autoSpaceDN/>
        <w:bidi w:val="0"/>
        <w:adjustRightInd/>
        <w:snapToGrid/>
        <w:spacing w:before="255" w:after="255" w:line="340" w:lineRule="exact"/>
        <w:jc w:val="both"/>
        <w:textAlignment w:val="auto"/>
        <w:rPr>
          <w:rFonts w:hint="eastAsia" w:ascii="仿宋" w:hAnsi="仿宋" w:eastAsia="仿宋" w:cs="宋体"/>
          <w:b/>
          <w:bCs/>
          <w:color w:val="auto"/>
          <w:sz w:val="28"/>
          <w:szCs w:val="28"/>
          <w:highlight w:val="none"/>
        </w:rPr>
      </w:pPr>
      <w:r>
        <w:rPr>
          <w:rFonts w:hint="eastAsia" w:ascii="仿宋" w:hAnsi="仿宋" w:eastAsia="仿宋" w:cs="宋体"/>
          <w:b/>
          <w:bCs/>
          <w:color w:val="auto"/>
          <w:sz w:val="28"/>
          <w:szCs w:val="28"/>
          <w:highlight w:val="none"/>
        </w:rPr>
        <w:t>三、获取</w:t>
      </w:r>
      <w:r>
        <w:rPr>
          <w:rFonts w:hint="eastAsia" w:ascii="仿宋" w:hAnsi="仿宋" w:eastAsia="仿宋" w:cs="宋体"/>
          <w:b/>
          <w:bCs/>
          <w:color w:val="auto"/>
          <w:sz w:val="28"/>
          <w:szCs w:val="28"/>
          <w:highlight w:val="none"/>
          <w:lang w:val="en-US" w:eastAsia="zh-CN"/>
        </w:rPr>
        <w:t>招标</w:t>
      </w:r>
      <w:r>
        <w:rPr>
          <w:rFonts w:hint="eastAsia" w:ascii="仿宋" w:hAnsi="仿宋" w:eastAsia="仿宋" w:cs="宋体"/>
          <w:b/>
          <w:bCs/>
          <w:color w:val="auto"/>
          <w:sz w:val="28"/>
          <w:szCs w:val="28"/>
          <w:highlight w:val="none"/>
        </w:rPr>
        <w:t>文件</w:t>
      </w:r>
    </w:p>
    <w:p>
      <w:pPr>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202</w:t>
      </w:r>
      <w:r>
        <w:rPr>
          <w:rFonts w:hint="eastAsia" w:ascii="仿宋" w:hAnsi="仿宋" w:eastAsia="仿宋" w:cs="宋体"/>
          <w:color w:val="auto"/>
          <w:sz w:val="28"/>
          <w:szCs w:val="28"/>
          <w:highlight w:val="none"/>
          <w:lang w:val="en-US" w:eastAsia="zh-CN"/>
        </w:rPr>
        <w:t>3</w:t>
      </w:r>
      <w:r>
        <w:rPr>
          <w:rFonts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07</w:t>
      </w:r>
      <w:r>
        <w:rPr>
          <w:rFonts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04</w:t>
      </w:r>
      <w:r>
        <w:rPr>
          <w:rFonts w:ascii="仿宋" w:hAnsi="仿宋" w:eastAsia="仿宋" w:cs="宋体"/>
          <w:color w:val="auto"/>
          <w:sz w:val="28"/>
          <w:szCs w:val="28"/>
          <w:highlight w:val="none"/>
        </w:rPr>
        <w:t>日至202</w:t>
      </w:r>
      <w:r>
        <w:rPr>
          <w:rFonts w:hint="eastAsia" w:ascii="仿宋" w:hAnsi="仿宋" w:eastAsia="仿宋" w:cs="宋体"/>
          <w:color w:val="auto"/>
          <w:sz w:val="28"/>
          <w:szCs w:val="28"/>
          <w:highlight w:val="none"/>
          <w:lang w:val="en-US" w:eastAsia="zh-CN"/>
        </w:rPr>
        <w:t>3</w:t>
      </w:r>
      <w:r>
        <w:rPr>
          <w:rFonts w:ascii="仿宋" w:hAnsi="仿宋" w:eastAsia="仿宋" w:cs="宋体"/>
          <w:color w:val="auto"/>
          <w:sz w:val="28"/>
          <w:szCs w:val="28"/>
          <w:highlight w:val="none"/>
        </w:rPr>
        <w:t>年</w:t>
      </w:r>
      <w:r>
        <w:rPr>
          <w:rFonts w:hint="eastAsia" w:ascii="仿宋" w:hAnsi="仿宋" w:eastAsia="仿宋" w:cs="宋体"/>
          <w:color w:val="auto"/>
          <w:sz w:val="28"/>
          <w:szCs w:val="28"/>
          <w:highlight w:val="none"/>
          <w:lang w:val="en-US" w:eastAsia="zh-CN"/>
        </w:rPr>
        <w:t>07</w:t>
      </w:r>
      <w:r>
        <w:rPr>
          <w:rFonts w:ascii="仿宋" w:hAnsi="仿宋" w:eastAsia="仿宋" w:cs="宋体"/>
          <w:color w:val="auto"/>
          <w:sz w:val="28"/>
          <w:szCs w:val="28"/>
          <w:highlight w:val="none"/>
        </w:rPr>
        <w:t>月</w:t>
      </w:r>
      <w:r>
        <w:rPr>
          <w:rFonts w:hint="eastAsia" w:ascii="仿宋" w:hAnsi="仿宋" w:eastAsia="仿宋" w:cs="宋体"/>
          <w:color w:val="auto"/>
          <w:sz w:val="28"/>
          <w:szCs w:val="28"/>
          <w:highlight w:val="none"/>
          <w:lang w:val="en-US" w:eastAsia="zh-CN"/>
        </w:rPr>
        <w:t>11</w:t>
      </w:r>
      <w:r>
        <w:rPr>
          <w:rFonts w:ascii="仿宋" w:hAnsi="仿宋" w:eastAsia="仿宋" w:cs="宋体"/>
          <w:color w:val="auto"/>
          <w:sz w:val="28"/>
          <w:szCs w:val="28"/>
          <w:highlight w:val="none"/>
        </w:rPr>
        <w:t>日</w:t>
      </w:r>
      <w:r>
        <w:rPr>
          <w:rFonts w:hint="eastAsia" w:ascii="仿宋" w:hAnsi="仿宋" w:eastAsia="仿宋" w:cs="宋体"/>
          <w:color w:val="auto"/>
          <w:sz w:val="28"/>
          <w:szCs w:val="28"/>
          <w:highlight w:val="none"/>
          <w:lang w:val="en-US" w:eastAsia="zh-CN"/>
        </w:rPr>
        <w:t>12时00分</w:t>
      </w:r>
      <w:r>
        <w:rPr>
          <w:rFonts w:ascii="仿宋" w:hAnsi="仿宋" w:eastAsia="仿宋" w:cs="宋体"/>
          <w:color w:val="auto"/>
          <w:sz w:val="28"/>
          <w:szCs w:val="28"/>
          <w:highlight w:val="none"/>
        </w:rPr>
        <w:t>，每天上午</w:t>
      </w:r>
      <w:r>
        <w:rPr>
          <w:rFonts w:hint="eastAsia" w:ascii="仿宋" w:hAnsi="仿宋" w:eastAsia="仿宋" w:cs="宋体"/>
          <w:color w:val="auto"/>
          <w:sz w:val="28"/>
          <w:szCs w:val="28"/>
          <w:highlight w:val="none"/>
          <w:lang w:val="en-US" w:eastAsia="zh-CN"/>
        </w:rPr>
        <w:t>00</w:t>
      </w:r>
      <w:r>
        <w:rPr>
          <w:rFonts w:ascii="仿宋" w:hAnsi="仿宋" w:eastAsia="仿宋" w:cs="宋体"/>
          <w:color w:val="auto"/>
          <w:sz w:val="28"/>
          <w:szCs w:val="28"/>
          <w:highlight w:val="none"/>
        </w:rPr>
        <w:t>:00至</w:t>
      </w:r>
      <w:r>
        <w:rPr>
          <w:rFonts w:hint="eastAsia" w:ascii="仿宋" w:hAnsi="仿宋" w:eastAsia="仿宋" w:cs="宋体"/>
          <w:color w:val="auto"/>
          <w:sz w:val="28"/>
          <w:szCs w:val="28"/>
          <w:highlight w:val="none"/>
          <w:lang w:val="en-US" w:eastAsia="zh-CN"/>
        </w:rPr>
        <w:t>12</w:t>
      </w:r>
      <w:r>
        <w:rPr>
          <w:rFonts w:ascii="仿宋" w:hAnsi="仿宋" w:eastAsia="仿宋" w:cs="宋体"/>
          <w:color w:val="auto"/>
          <w:sz w:val="28"/>
          <w:szCs w:val="28"/>
          <w:highlight w:val="none"/>
        </w:rPr>
        <w:t>:00，下午</w:t>
      </w:r>
      <w:r>
        <w:rPr>
          <w:rFonts w:hint="eastAsia" w:ascii="仿宋" w:hAnsi="仿宋" w:eastAsia="仿宋" w:cs="宋体"/>
          <w:color w:val="auto"/>
          <w:sz w:val="28"/>
          <w:szCs w:val="28"/>
          <w:highlight w:val="none"/>
          <w:lang w:val="en-US" w:eastAsia="zh-CN"/>
        </w:rPr>
        <w:t>12</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00</w:t>
      </w:r>
      <w:r>
        <w:rPr>
          <w:rFonts w:ascii="仿宋" w:hAnsi="仿宋" w:eastAsia="仿宋" w:cs="宋体"/>
          <w:color w:val="auto"/>
          <w:sz w:val="28"/>
          <w:szCs w:val="28"/>
          <w:highlight w:val="none"/>
        </w:rPr>
        <w:t>至</w:t>
      </w:r>
      <w:r>
        <w:rPr>
          <w:rFonts w:hint="eastAsia" w:ascii="仿宋" w:hAnsi="仿宋" w:eastAsia="仿宋" w:cs="宋体"/>
          <w:color w:val="auto"/>
          <w:sz w:val="28"/>
          <w:szCs w:val="28"/>
          <w:highlight w:val="none"/>
          <w:lang w:val="en-US" w:eastAsia="zh-CN"/>
        </w:rPr>
        <w:t>23</w:t>
      </w:r>
      <w:r>
        <w:rPr>
          <w:rFonts w:ascii="仿宋" w:hAnsi="仿宋" w:eastAsia="仿宋" w:cs="宋体"/>
          <w:color w:val="auto"/>
          <w:sz w:val="28"/>
          <w:szCs w:val="28"/>
          <w:highlight w:val="none"/>
        </w:rPr>
        <w:t>:</w:t>
      </w:r>
      <w:r>
        <w:rPr>
          <w:rFonts w:hint="eastAsia" w:ascii="仿宋" w:hAnsi="仿宋" w:eastAsia="仿宋" w:cs="宋体"/>
          <w:color w:val="auto"/>
          <w:sz w:val="28"/>
          <w:szCs w:val="28"/>
          <w:highlight w:val="none"/>
          <w:lang w:val="en-US" w:eastAsia="zh-CN"/>
        </w:rPr>
        <w:t>59</w:t>
      </w:r>
      <w:r>
        <w:rPr>
          <w:rFonts w:ascii="仿宋" w:hAnsi="仿宋" w:eastAsia="仿宋" w:cs="宋体"/>
          <w:color w:val="auto"/>
          <w:sz w:val="28"/>
          <w:szCs w:val="28"/>
          <w:highlight w:val="none"/>
        </w:rPr>
        <w:t>（北京时间，法定节假日除外）</w:t>
      </w:r>
    </w:p>
    <w:p>
      <w:pPr>
        <w:pageBreakBefore w:val="0"/>
        <w:widowControl w:val="0"/>
        <w:kinsoku/>
        <w:wordWrap/>
        <w:overflowPunct/>
        <w:topLinePunct w:val="0"/>
        <w:autoSpaceDE/>
        <w:autoSpaceDN/>
        <w:bidi w:val="0"/>
        <w:adjustRightInd/>
        <w:snapToGrid/>
        <w:spacing w:before="75" w:after="75" w:line="340" w:lineRule="exact"/>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    地点：</w:t>
      </w:r>
      <w:r>
        <w:rPr>
          <w:rFonts w:hint="eastAsia" w:ascii="仿宋" w:hAnsi="仿宋" w:eastAsia="仿宋" w:cs="宋体"/>
          <w:color w:val="auto"/>
          <w:sz w:val="28"/>
          <w:szCs w:val="28"/>
          <w:highlight w:val="none"/>
          <w:lang w:val="en-US" w:eastAsia="zh-CN"/>
        </w:rPr>
        <w:t>政采云平台线上获取</w:t>
      </w:r>
      <w:r>
        <w:rPr>
          <w:rFonts w:ascii="仿宋" w:hAnsi="仿宋"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75" w:after="75" w:line="340" w:lineRule="exact"/>
        <w:ind w:firstLine="439"/>
        <w:textAlignment w:val="auto"/>
        <w:rPr>
          <w:rFonts w:ascii="仿宋" w:hAnsi="仿宋" w:eastAsia="仿宋" w:cs="宋体"/>
          <w:color w:val="auto"/>
          <w:sz w:val="28"/>
          <w:szCs w:val="28"/>
          <w:highlight w:val="none"/>
        </w:rPr>
      </w:pPr>
      <w:r>
        <w:rPr>
          <w:rFonts w:ascii="仿宋" w:hAnsi="仿宋" w:eastAsia="仿宋" w:cs="宋体"/>
          <w:color w:val="auto"/>
          <w:sz w:val="28"/>
          <w:szCs w:val="28"/>
          <w:highlight w:val="none"/>
        </w:rPr>
        <w:t>方式</w:t>
      </w:r>
      <w:r>
        <w:rPr>
          <w:rFonts w:hint="eastAsia" w:ascii="仿宋" w:hAnsi="仿宋" w:eastAsia="仿宋" w:cs="宋体"/>
          <w:color w:val="auto"/>
          <w:sz w:val="28"/>
          <w:szCs w:val="28"/>
          <w:highlight w:val="none"/>
          <w:lang w:val="zh-CN" w:eastAsia="zh-CN"/>
        </w:rPr>
        <w:t>：供应商登录政采云平台https://www.zcygov.cn/在线申请获取采购文件（进入“项目采购”应用，在获取采购文件菜单中选择项目，申请获取采购文件）</w:t>
      </w:r>
      <w:r>
        <w:rPr>
          <w:rFonts w:ascii="仿宋" w:hAnsi="仿宋" w:eastAsia="仿宋" w:cs="宋体"/>
          <w:color w:val="auto"/>
          <w:sz w:val="28"/>
          <w:szCs w:val="28"/>
          <w:highlight w:val="none"/>
        </w:rPr>
        <w:t xml:space="preserve">    </w:t>
      </w:r>
    </w:p>
    <w:p>
      <w:pPr>
        <w:pageBreakBefore w:val="0"/>
        <w:widowControl w:val="0"/>
        <w:kinsoku/>
        <w:wordWrap/>
        <w:overflowPunct/>
        <w:topLinePunct w:val="0"/>
        <w:autoSpaceDE/>
        <w:autoSpaceDN/>
        <w:bidi w:val="0"/>
        <w:adjustRightInd/>
        <w:snapToGrid/>
        <w:spacing w:before="255" w:after="255" w:line="340" w:lineRule="exact"/>
        <w:jc w:val="both"/>
        <w:textAlignment w:val="auto"/>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rPr>
        <w:t>四、</w:t>
      </w:r>
      <w:r>
        <w:rPr>
          <w:rFonts w:hint="eastAsia" w:ascii="仿宋" w:hAnsi="仿宋" w:eastAsia="仿宋" w:cs="宋体"/>
          <w:b/>
          <w:bCs/>
          <w:color w:val="auto"/>
          <w:sz w:val="28"/>
          <w:szCs w:val="28"/>
          <w:highlight w:val="none"/>
          <w:lang w:val="en-US" w:eastAsia="zh-CN"/>
        </w:rPr>
        <w:t>提交投标</w:t>
      </w:r>
      <w:r>
        <w:rPr>
          <w:rFonts w:hint="eastAsia" w:ascii="仿宋" w:hAnsi="仿宋" w:eastAsia="仿宋" w:cs="宋体"/>
          <w:b/>
          <w:bCs/>
          <w:color w:val="auto"/>
          <w:sz w:val="28"/>
          <w:szCs w:val="28"/>
          <w:highlight w:val="none"/>
        </w:rPr>
        <w:t>文件</w:t>
      </w:r>
      <w:r>
        <w:rPr>
          <w:rFonts w:hint="eastAsia" w:ascii="仿宋" w:hAnsi="仿宋" w:eastAsia="仿宋" w:cs="宋体"/>
          <w:b/>
          <w:bCs/>
          <w:color w:val="auto"/>
          <w:sz w:val="28"/>
          <w:szCs w:val="28"/>
          <w:highlight w:val="none"/>
          <w:lang w:val="en-US" w:eastAsia="zh-CN"/>
        </w:rPr>
        <w:t>截止时间、开标时间和地点</w:t>
      </w:r>
    </w:p>
    <w:p>
      <w:pPr>
        <w:pageBreakBefore w:val="0"/>
        <w:widowControl w:val="0"/>
        <w:kinsoku/>
        <w:wordWrap/>
        <w:overflowPunct/>
        <w:topLinePunct w:val="0"/>
        <w:autoSpaceDE/>
        <w:autoSpaceDN/>
        <w:bidi w:val="0"/>
        <w:adjustRightInd/>
        <w:snapToGrid/>
        <w:spacing w:before="75" w:after="75" w:line="340" w:lineRule="exact"/>
        <w:textAlignment w:val="auto"/>
        <w:rPr>
          <w:rFonts w:ascii="仿宋" w:hAnsi="仿宋" w:eastAsia="仿宋" w:cs="宋体"/>
          <w:color w:val="000000" w:themeColor="text1"/>
          <w:sz w:val="28"/>
          <w:szCs w:val="28"/>
          <w:highlight w:val="none"/>
          <w14:textFill>
            <w14:solidFill>
              <w14:schemeClr w14:val="tx1"/>
            </w14:solidFill>
          </w14:textFill>
        </w:rPr>
      </w:pPr>
      <w:r>
        <w:rPr>
          <w:rFonts w:ascii="仿宋" w:hAnsi="仿宋" w:eastAsia="仿宋" w:cs="宋体"/>
          <w:color w:val="auto"/>
          <w:sz w:val="28"/>
          <w:szCs w:val="28"/>
          <w:highlight w:val="none"/>
        </w:rPr>
        <w:t xml:space="preserve">    </w:t>
      </w:r>
      <w:r>
        <w:rPr>
          <w:rFonts w:ascii="仿宋" w:hAnsi="仿宋" w:eastAsia="仿宋" w:cs="宋体"/>
          <w:color w:val="000000" w:themeColor="text1"/>
          <w:sz w:val="28"/>
          <w:szCs w:val="28"/>
          <w:highlight w:val="none"/>
          <w14:textFill>
            <w14:solidFill>
              <w14:schemeClr w14:val="tx1"/>
            </w14:solidFill>
          </w14:textFill>
        </w:rPr>
        <w:t>截止时间：202</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ascii="仿宋" w:hAnsi="仿宋" w:eastAsia="仿宋" w:cs="宋体"/>
          <w:color w:val="000000" w:themeColor="text1"/>
          <w:sz w:val="28"/>
          <w:szCs w:val="28"/>
          <w:highlight w:val="none"/>
          <w14:textFill>
            <w14:solidFill>
              <w14:schemeClr w14:val="tx1"/>
            </w14:solidFill>
          </w14:textFill>
        </w:rPr>
        <w:t>年</w:t>
      </w:r>
      <w:r>
        <w:rPr>
          <w:rFonts w:hint="eastAsia" w:ascii="仿宋" w:hAnsi="仿宋" w:eastAsia="仿宋" w:cs="宋体"/>
          <w:color w:val="000000" w:themeColor="text1"/>
          <w:sz w:val="28"/>
          <w:szCs w:val="28"/>
          <w:highlight w:val="none"/>
          <w:lang w:val="en-US" w:eastAsia="zh-CN"/>
          <w14:textFill>
            <w14:solidFill>
              <w14:schemeClr w14:val="tx1"/>
            </w14:solidFill>
          </w14:textFill>
        </w:rPr>
        <w:t>07</w:t>
      </w:r>
      <w:r>
        <w:rPr>
          <w:rFonts w:ascii="仿宋" w:hAnsi="仿宋" w:eastAsia="仿宋" w:cs="宋体"/>
          <w:color w:val="000000" w:themeColor="text1"/>
          <w:sz w:val="28"/>
          <w:szCs w:val="28"/>
          <w:highlight w:val="none"/>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14</w:t>
      </w:r>
      <w:r>
        <w:rPr>
          <w:rFonts w:ascii="仿宋" w:hAnsi="仿宋" w:eastAsia="仿宋" w:cs="宋体"/>
          <w:color w:val="000000" w:themeColor="text1"/>
          <w:sz w:val="28"/>
          <w:szCs w:val="28"/>
          <w:highlight w:val="none"/>
          <w14:textFill>
            <w14:solidFill>
              <w14:schemeClr w14:val="tx1"/>
            </w14:solidFill>
          </w14:textFill>
        </w:rPr>
        <w:t xml:space="preserve">日 </w:t>
      </w:r>
      <w:r>
        <w:rPr>
          <w:rFonts w:hint="eastAsia" w:ascii="仿宋" w:hAnsi="仿宋" w:eastAsia="仿宋" w:cs="宋体"/>
          <w:color w:val="000000" w:themeColor="text1"/>
          <w:sz w:val="28"/>
          <w:szCs w:val="28"/>
          <w:highlight w:val="none"/>
          <w:lang w:val="en-US" w:eastAsia="zh-CN"/>
          <w14:textFill>
            <w14:solidFill>
              <w14:schemeClr w14:val="tx1"/>
            </w14:solidFill>
          </w14:textFill>
        </w:rPr>
        <w:t>10</w:t>
      </w:r>
      <w:r>
        <w:rPr>
          <w:rFonts w:ascii="仿宋" w:hAnsi="仿宋" w:eastAsia="仿宋" w:cs="宋体"/>
          <w:color w:val="000000" w:themeColor="text1"/>
          <w:sz w:val="28"/>
          <w:szCs w:val="28"/>
          <w:highlight w:val="none"/>
          <w14:textFill>
            <w14:solidFill>
              <w14:schemeClr w14:val="tx1"/>
            </w14:solidFill>
          </w14:textFill>
        </w:rPr>
        <w:t>:</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ascii="仿宋" w:hAnsi="仿宋" w:eastAsia="仿宋" w:cs="宋体"/>
          <w:color w:val="000000" w:themeColor="text1"/>
          <w:sz w:val="28"/>
          <w:szCs w:val="28"/>
          <w:highlight w:val="none"/>
          <w14:textFill>
            <w14:solidFill>
              <w14:schemeClr w14:val="tx1"/>
            </w14:solidFill>
          </w14:textFill>
        </w:rPr>
        <w:t>0（北京时间）</w:t>
      </w:r>
    </w:p>
    <w:p>
      <w:pPr>
        <w:pageBreakBefore w:val="0"/>
        <w:widowControl w:val="0"/>
        <w:kinsoku/>
        <w:wordWrap/>
        <w:overflowPunct/>
        <w:topLinePunct w:val="0"/>
        <w:autoSpaceDE/>
        <w:autoSpaceDN/>
        <w:bidi w:val="0"/>
        <w:adjustRightInd/>
        <w:snapToGrid/>
        <w:spacing w:before="75" w:after="75" w:line="340" w:lineRule="exact"/>
        <w:ind w:firstLine="435"/>
        <w:textAlignment w:val="auto"/>
        <w:rPr>
          <w:rFonts w:hint="eastAsia" w:ascii="仿宋" w:hAnsi="仿宋" w:eastAsia="仿宋" w:cs="宋体"/>
          <w:color w:val="000000" w:themeColor="text1"/>
          <w:sz w:val="28"/>
          <w:szCs w:val="28"/>
          <w:highlight w:val="none"/>
          <w:lang w:val="en-US" w:eastAsia="zh-CN"/>
          <w14:textFill>
            <w14:solidFill>
              <w14:schemeClr w14:val="tx1"/>
            </w14:solidFill>
          </w14:textFill>
        </w:rPr>
      </w:pPr>
      <w:r>
        <w:rPr>
          <w:rFonts w:hint="eastAsia" w:ascii="仿宋" w:hAnsi="仿宋" w:eastAsia="仿宋" w:cs="宋体"/>
          <w:color w:val="000000" w:themeColor="text1"/>
          <w:sz w:val="28"/>
          <w:szCs w:val="28"/>
          <w:highlight w:val="none"/>
          <w:lang w:val="en-US" w:eastAsia="zh-CN"/>
          <w14:textFill>
            <w14:solidFill>
              <w14:schemeClr w14:val="tx1"/>
            </w14:solidFill>
          </w14:textFill>
        </w:rPr>
        <w:t>投标地点：政采云平台客户端</w:t>
      </w:r>
    </w:p>
    <w:p>
      <w:pPr>
        <w:pageBreakBefore w:val="0"/>
        <w:widowControl w:val="0"/>
        <w:kinsoku/>
        <w:wordWrap/>
        <w:overflowPunct/>
        <w:topLinePunct w:val="0"/>
        <w:autoSpaceDE/>
        <w:autoSpaceDN/>
        <w:bidi w:val="0"/>
        <w:adjustRightInd/>
        <w:snapToGrid/>
        <w:spacing w:before="75" w:after="75" w:line="340" w:lineRule="exact"/>
        <w:ind w:firstLine="435"/>
        <w:textAlignment w:val="auto"/>
        <w:rPr>
          <w:rFonts w:hint="eastAsia" w:ascii="仿宋" w:hAnsi="仿宋" w:eastAsia="仿宋" w:cs="宋体"/>
          <w:color w:val="000000" w:themeColor="text1"/>
          <w:sz w:val="28"/>
          <w:szCs w:val="28"/>
          <w:highlight w:val="none"/>
          <w:lang w:val="en-US" w:eastAsia="zh-CN"/>
          <w14:textFill>
            <w14:solidFill>
              <w14:schemeClr w14:val="tx1"/>
            </w14:solidFill>
          </w14:textFill>
        </w:rPr>
      </w:pPr>
      <w:r>
        <w:rPr>
          <w:rFonts w:hint="eastAsia" w:ascii="仿宋" w:hAnsi="仿宋" w:eastAsia="仿宋" w:cs="宋体"/>
          <w:color w:val="000000" w:themeColor="text1"/>
          <w:sz w:val="28"/>
          <w:szCs w:val="28"/>
          <w:highlight w:val="none"/>
          <w:lang w:val="en-US" w:eastAsia="zh-CN"/>
          <w14:textFill>
            <w14:solidFill>
              <w14:schemeClr w14:val="tx1"/>
            </w14:solidFill>
          </w14:textFill>
        </w:rPr>
        <w:t>开标时间：</w:t>
      </w:r>
      <w:r>
        <w:rPr>
          <w:rFonts w:ascii="仿宋" w:hAnsi="仿宋" w:eastAsia="仿宋" w:cs="宋体"/>
          <w:color w:val="000000" w:themeColor="text1"/>
          <w:sz w:val="28"/>
          <w:szCs w:val="28"/>
          <w:highlight w:val="none"/>
          <w14:textFill>
            <w14:solidFill>
              <w14:schemeClr w14:val="tx1"/>
            </w14:solidFill>
          </w14:textFill>
        </w:rPr>
        <w:t>202</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ascii="仿宋" w:hAnsi="仿宋" w:eastAsia="仿宋" w:cs="宋体"/>
          <w:color w:val="000000" w:themeColor="text1"/>
          <w:sz w:val="28"/>
          <w:szCs w:val="28"/>
          <w:highlight w:val="none"/>
          <w14:textFill>
            <w14:solidFill>
              <w14:schemeClr w14:val="tx1"/>
            </w14:solidFill>
          </w14:textFill>
        </w:rPr>
        <w:t>年</w:t>
      </w:r>
      <w:r>
        <w:rPr>
          <w:rFonts w:hint="eastAsia" w:ascii="仿宋" w:hAnsi="仿宋" w:eastAsia="仿宋" w:cs="宋体"/>
          <w:color w:val="000000" w:themeColor="text1"/>
          <w:sz w:val="28"/>
          <w:szCs w:val="28"/>
          <w:highlight w:val="none"/>
          <w:lang w:val="en-US" w:eastAsia="zh-CN"/>
          <w14:textFill>
            <w14:solidFill>
              <w14:schemeClr w14:val="tx1"/>
            </w14:solidFill>
          </w14:textFill>
        </w:rPr>
        <w:t>07</w:t>
      </w:r>
      <w:r>
        <w:rPr>
          <w:rFonts w:ascii="仿宋" w:hAnsi="仿宋" w:eastAsia="仿宋" w:cs="宋体"/>
          <w:color w:val="000000" w:themeColor="text1"/>
          <w:sz w:val="28"/>
          <w:szCs w:val="28"/>
          <w:highlight w:val="none"/>
          <w14:textFill>
            <w14:solidFill>
              <w14:schemeClr w14:val="tx1"/>
            </w14:solidFill>
          </w14:textFill>
        </w:rPr>
        <w:t>月</w:t>
      </w:r>
      <w:r>
        <w:rPr>
          <w:rFonts w:hint="eastAsia" w:ascii="仿宋" w:hAnsi="仿宋" w:eastAsia="仿宋" w:cs="宋体"/>
          <w:color w:val="000000" w:themeColor="text1"/>
          <w:sz w:val="28"/>
          <w:szCs w:val="28"/>
          <w:highlight w:val="none"/>
          <w:lang w:val="en-US" w:eastAsia="zh-CN"/>
          <w14:textFill>
            <w14:solidFill>
              <w14:schemeClr w14:val="tx1"/>
            </w14:solidFill>
          </w14:textFill>
        </w:rPr>
        <w:t>14</w:t>
      </w:r>
      <w:r>
        <w:rPr>
          <w:rFonts w:ascii="仿宋" w:hAnsi="仿宋" w:eastAsia="仿宋" w:cs="宋体"/>
          <w:color w:val="000000" w:themeColor="text1"/>
          <w:sz w:val="28"/>
          <w:szCs w:val="28"/>
          <w:highlight w:val="none"/>
          <w14:textFill>
            <w14:solidFill>
              <w14:schemeClr w14:val="tx1"/>
            </w14:solidFill>
          </w14:textFill>
        </w:rPr>
        <w:t xml:space="preserve">日 </w:t>
      </w:r>
      <w:r>
        <w:rPr>
          <w:rFonts w:hint="eastAsia" w:ascii="仿宋" w:hAnsi="仿宋" w:eastAsia="仿宋" w:cs="宋体"/>
          <w:color w:val="000000" w:themeColor="text1"/>
          <w:sz w:val="28"/>
          <w:szCs w:val="28"/>
          <w:highlight w:val="none"/>
          <w:lang w:val="en-US" w:eastAsia="zh-CN"/>
          <w14:textFill>
            <w14:solidFill>
              <w14:schemeClr w14:val="tx1"/>
            </w14:solidFill>
          </w14:textFill>
        </w:rPr>
        <w:t>10</w:t>
      </w:r>
      <w:r>
        <w:rPr>
          <w:rFonts w:ascii="仿宋" w:hAnsi="仿宋" w:eastAsia="仿宋" w:cs="宋体"/>
          <w:color w:val="000000" w:themeColor="text1"/>
          <w:sz w:val="28"/>
          <w:szCs w:val="28"/>
          <w:highlight w:val="none"/>
          <w14:textFill>
            <w14:solidFill>
              <w14:schemeClr w14:val="tx1"/>
            </w14:solidFill>
          </w14:textFill>
        </w:rPr>
        <w:t>:</w:t>
      </w:r>
      <w:r>
        <w:rPr>
          <w:rFonts w:hint="eastAsia" w:ascii="仿宋" w:hAnsi="仿宋" w:eastAsia="仿宋" w:cs="宋体"/>
          <w:color w:val="000000" w:themeColor="text1"/>
          <w:sz w:val="28"/>
          <w:szCs w:val="28"/>
          <w:highlight w:val="none"/>
          <w:lang w:val="en-US" w:eastAsia="zh-CN"/>
          <w14:textFill>
            <w14:solidFill>
              <w14:schemeClr w14:val="tx1"/>
            </w14:solidFill>
          </w14:textFill>
        </w:rPr>
        <w:t>3</w:t>
      </w:r>
      <w:r>
        <w:rPr>
          <w:rFonts w:ascii="仿宋" w:hAnsi="仿宋" w:eastAsia="仿宋" w:cs="宋体"/>
          <w:color w:val="000000" w:themeColor="text1"/>
          <w:sz w:val="28"/>
          <w:szCs w:val="28"/>
          <w:highlight w:val="none"/>
          <w14:textFill>
            <w14:solidFill>
              <w14:schemeClr w14:val="tx1"/>
            </w14:solidFill>
          </w14:textFill>
        </w:rPr>
        <w:t>0（北京时间）</w:t>
      </w:r>
    </w:p>
    <w:p>
      <w:pPr>
        <w:pageBreakBefore w:val="0"/>
        <w:widowControl w:val="0"/>
        <w:kinsoku/>
        <w:wordWrap/>
        <w:overflowPunct/>
        <w:topLinePunct w:val="0"/>
        <w:autoSpaceDE/>
        <w:autoSpaceDN/>
        <w:bidi w:val="0"/>
        <w:adjustRightInd/>
        <w:snapToGrid/>
        <w:spacing w:before="75" w:after="75" w:line="340" w:lineRule="exact"/>
        <w:ind w:firstLine="435"/>
        <w:textAlignment w:val="auto"/>
        <w:rPr>
          <w:rFonts w:ascii="仿宋" w:hAnsi="仿宋" w:eastAsia="仿宋" w:cs="宋体"/>
          <w:color w:val="000000" w:themeColor="text1"/>
          <w:sz w:val="28"/>
          <w:szCs w:val="28"/>
          <w:highlight w:val="none"/>
          <w14:textFill>
            <w14:solidFill>
              <w14:schemeClr w14:val="tx1"/>
            </w14:solidFill>
          </w14:textFill>
        </w:rPr>
      </w:pPr>
      <w:r>
        <w:rPr>
          <w:rFonts w:hint="eastAsia" w:ascii="仿宋" w:hAnsi="仿宋" w:eastAsia="仿宋" w:cs="宋体"/>
          <w:color w:val="000000" w:themeColor="text1"/>
          <w:sz w:val="28"/>
          <w:szCs w:val="28"/>
          <w:highlight w:val="none"/>
          <w:lang w:val="en-US" w:eastAsia="zh-CN"/>
          <w14:textFill>
            <w14:solidFill>
              <w14:schemeClr w14:val="tx1"/>
            </w14:solidFill>
          </w14:textFill>
        </w:rPr>
        <w:t>开标</w:t>
      </w:r>
      <w:r>
        <w:rPr>
          <w:rFonts w:ascii="仿宋" w:hAnsi="仿宋" w:eastAsia="仿宋" w:cs="宋体"/>
          <w:color w:val="000000" w:themeColor="text1"/>
          <w:sz w:val="28"/>
          <w:szCs w:val="28"/>
          <w:highlight w:val="none"/>
          <w14:textFill>
            <w14:solidFill>
              <w14:schemeClr w14:val="tx1"/>
            </w14:solidFill>
          </w14:textFill>
        </w:rPr>
        <w:t>地点：</w:t>
      </w:r>
      <w:r>
        <w:rPr>
          <w:rFonts w:hint="eastAsia" w:ascii="仿宋" w:hAnsi="仿宋" w:eastAsia="仿宋" w:cs="宋体"/>
          <w:color w:val="000000" w:themeColor="text1"/>
          <w:sz w:val="28"/>
          <w:szCs w:val="28"/>
          <w:highlight w:val="none"/>
          <w:lang w:val="en-US" w:eastAsia="zh-CN"/>
          <w14:textFill>
            <w14:solidFill>
              <w14:schemeClr w14:val="tx1"/>
            </w14:solidFill>
          </w14:textFill>
        </w:rPr>
        <w:t>政采云电子开标大厅</w:t>
      </w:r>
      <w:r>
        <w:rPr>
          <w:rFonts w:ascii="仿宋" w:hAnsi="仿宋" w:eastAsia="仿宋" w:cs="宋体"/>
          <w:color w:val="000000" w:themeColor="text1"/>
          <w:sz w:val="28"/>
          <w:szCs w:val="28"/>
          <w:highlight w:val="none"/>
          <w14:textFill>
            <w14:solidFill>
              <w14:schemeClr w14:val="tx1"/>
            </w14:solidFill>
          </w14:textFill>
        </w:rPr>
        <w:t>  </w:t>
      </w:r>
    </w:p>
    <w:p>
      <w:pPr>
        <w:pageBreakBefore w:val="0"/>
        <w:widowControl w:val="0"/>
        <w:kinsoku/>
        <w:wordWrap/>
        <w:overflowPunct/>
        <w:topLinePunct w:val="0"/>
        <w:autoSpaceDE/>
        <w:autoSpaceDN/>
        <w:bidi w:val="0"/>
        <w:adjustRightInd/>
        <w:snapToGrid/>
        <w:spacing w:before="255" w:after="255" w:line="340" w:lineRule="exact"/>
        <w:jc w:val="both"/>
        <w:textAlignment w:val="auto"/>
        <w:rPr>
          <w:rFonts w:ascii="仿宋" w:hAnsi="仿宋" w:eastAsia="仿宋" w:cs="宋体"/>
          <w:color w:val="auto"/>
          <w:sz w:val="28"/>
          <w:szCs w:val="28"/>
          <w:highlight w:val="none"/>
        </w:rPr>
      </w:pPr>
      <w:r>
        <w:rPr>
          <w:rFonts w:hint="eastAsia" w:ascii="仿宋" w:hAnsi="仿宋" w:eastAsia="仿宋" w:cs="宋体"/>
          <w:b/>
          <w:bCs/>
          <w:color w:val="auto"/>
          <w:sz w:val="28"/>
          <w:szCs w:val="28"/>
          <w:highlight w:val="none"/>
          <w:lang w:val="en-US" w:eastAsia="zh-CN"/>
        </w:rPr>
        <w:t>五</w:t>
      </w:r>
      <w:r>
        <w:rPr>
          <w:rFonts w:hint="eastAsia" w:ascii="仿宋" w:hAnsi="仿宋" w:eastAsia="仿宋" w:cs="宋体"/>
          <w:b/>
          <w:bCs/>
          <w:color w:val="auto"/>
          <w:sz w:val="28"/>
          <w:szCs w:val="28"/>
          <w:highlight w:val="none"/>
        </w:rPr>
        <w:t>、公告期限</w:t>
      </w:r>
      <w:r>
        <w:rPr>
          <w:rFonts w:hint="eastAsia" w:ascii="宋体" w:hAnsi="宋体"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75" w:after="75" w:line="340" w:lineRule="exact"/>
        <w:textAlignment w:val="auto"/>
        <w:rPr>
          <w:rFonts w:ascii="仿宋" w:hAnsi="仿宋" w:eastAsia="仿宋" w:cs="Arial"/>
          <w:color w:val="auto"/>
          <w:sz w:val="28"/>
          <w:szCs w:val="28"/>
          <w:highlight w:val="none"/>
        </w:rPr>
      </w:pPr>
      <w:r>
        <w:rPr>
          <w:rFonts w:ascii="仿宋" w:hAnsi="仿宋" w:eastAsia="仿宋" w:cs="Arial"/>
          <w:color w:val="auto"/>
          <w:sz w:val="28"/>
          <w:szCs w:val="28"/>
          <w:highlight w:val="none"/>
        </w:rPr>
        <w:t>    自本公告发布之日起</w:t>
      </w:r>
      <w:r>
        <w:rPr>
          <w:rFonts w:hint="eastAsia" w:ascii="仿宋" w:hAnsi="仿宋" w:eastAsia="仿宋" w:cs="Arial"/>
          <w:color w:val="auto"/>
          <w:sz w:val="28"/>
          <w:szCs w:val="28"/>
          <w:highlight w:val="none"/>
          <w:lang w:val="en-US" w:eastAsia="zh-CN"/>
        </w:rPr>
        <w:t>5</w:t>
      </w:r>
      <w:r>
        <w:rPr>
          <w:rFonts w:ascii="仿宋" w:hAnsi="仿宋" w:eastAsia="仿宋" w:cs="Arial"/>
          <w:color w:val="auto"/>
          <w:sz w:val="28"/>
          <w:szCs w:val="28"/>
          <w:highlight w:val="none"/>
        </w:rPr>
        <w:t>个工作日。</w:t>
      </w:r>
    </w:p>
    <w:p>
      <w:pPr>
        <w:pageBreakBefore w:val="0"/>
        <w:widowControl w:val="0"/>
        <w:numPr>
          <w:ilvl w:val="0"/>
          <w:numId w:val="0"/>
        </w:numPr>
        <w:kinsoku/>
        <w:wordWrap/>
        <w:overflowPunct/>
        <w:topLinePunct w:val="0"/>
        <w:autoSpaceDE/>
        <w:autoSpaceDN/>
        <w:bidi w:val="0"/>
        <w:adjustRightInd/>
        <w:snapToGrid/>
        <w:spacing w:before="255" w:after="255" w:line="340" w:lineRule="exact"/>
        <w:jc w:val="both"/>
        <w:textAlignment w:val="auto"/>
        <w:rPr>
          <w:rFonts w:hint="eastAsia" w:ascii="宋体" w:hAnsi="宋体" w:eastAsia="仿宋" w:cs="宋体"/>
          <w:color w:val="auto"/>
          <w:sz w:val="28"/>
          <w:szCs w:val="28"/>
          <w:highlight w:val="none"/>
        </w:rPr>
      </w:pPr>
      <w:r>
        <w:rPr>
          <w:rFonts w:hint="eastAsia" w:ascii="仿宋" w:hAnsi="仿宋" w:eastAsia="仿宋" w:cs="宋体"/>
          <w:b/>
          <w:bCs/>
          <w:color w:val="auto"/>
          <w:sz w:val="28"/>
          <w:szCs w:val="28"/>
          <w:highlight w:val="none"/>
          <w:lang w:val="en-US" w:eastAsia="zh-CN"/>
        </w:rPr>
        <w:t>六、</w:t>
      </w:r>
      <w:r>
        <w:rPr>
          <w:rFonts w:hint="eastAsia" w:ascii="仿宋" w:hAnsi="仿宋" w:eastAsia="仿宋" w:cs="宋体"/>
          <w:b/>
          <w:bCs/>
          <w:color w:val="auto"/>
          <w:sz w:val="28"/>
          <w:szCs w:val="28"/>
          <w:highlight w:val="none"/>
        </w:rPr>
        <w:t>其他补充事宜</w:t>
      </w:r>
      <w:r>
        <w:rPr>
          <w:rFonts w:hint="eastAsia" w:ascii="宋体" w:hAnsi="宋体" w:eastAsia="仿宋" w:cs="宋体"/>
          <w:color w:val="auto"/>
          <w:sz w:val="28"/>
          <w:szCs w:val="28"/>
          <w:highlight w:val="none"/>
        </w:rPr>
        <w:t> </w:t>
      </w:r>
    </w:p>
    <w:p>
      <w:pPr>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1、本公告在新疆政府采购网及伊犁州公共资源交易平台发布。</w:t>
      </w:r>
    </w:p>
    <w:p>
      <w:pPr>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2、本项目实行电子招投标，供应商须登录政采云平台申请获取招标文件，并通过政采云电子投标客户端制作响应文件，同时自行承担与投标有关的一切费用。</w:t>
      </w:r>
    </w:p>
    <w:p>
      <w:pPr>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3、各供应商应在开标前确保成为新疆维吾尔自治区政府采购网正式注册入库供应商，并完成CA数字证书申领。因未注册入库、未办理CA数字证书等原因造成无法投标或投标失败等后果由供应商自行承担。</w:t>
      </w:r>
    </w:p>
    <w:p>
      <w:pPr>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4、有意向参与新疆区域电子开评标的供应商，可访问新疆数字证书认证中心官方网站（https://www.xjca.com.cn/）或下载“新疆政务通”APP自行进行申领。如需咨询，请联系新疆CA服务热线0991-2819290。</w:t>
      </w:r>
    </w:p>
    <w:p>
      <w:pPr>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5、供应商可前往新疆政府采购网（http://www.ccgp-xinjiang.gov.cn/）下载专区，下载政采云电子投标客户端，安装完成后，可通过账号密码或CA登录客户端进行响应文件制作。在使用政采云电子投标客户端时，建议使用WIN7及以上操作系统。如有问题可拨打政采云客户服务热线95763进行咨询。</w:t>
      </w:r>
    </w:p>
    <w:p>
      <w:pPr>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6、本项目采用不见面开标，供应商须在投标截止时间前通过CA在政采云平台上传加密的电子响应文件。备注：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w:t>
      </w:r>
    </w:p>
    <w:p>
      <w:pPr>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hint="eastAsia" w:ascii="仿宋" w:hAnsi="仿宋" w:eastAsia="仿宋" w:cs="宋体"/>
          <w:b w:val="0"/>
          <w:bCs w:val="0"/>
          <w:color w:val="auto"/>
          <w:sz w:val="28"/>
          <w:szCs w:val="28"/>
          <w:lang w:val="en-US" w:eastAsia="zh-CN"/>
        </w:rPr>
      </w:pPr>
      <w:r>
        <w:rPr>
          <w:rFonts w:hint="eastAsia" w:ascii="仿宋" w:hAnsi="仿宋" w:eastAsia="仿宋" w:cs="宋体"/>
          <w:b w:val="0"/>
          <w:bCs w:val="0"/>
          <w:color w:val="auto"/>
          <w:sz w:val="28"/>
          <w:szCs w:val="28"/>
          <w:lang w:val="en-US" w:eastAsia="zh-CN"/>
        </w:rPr>
        <w:t>7、供应商在开标前须提前配置好电脑浏览器（建议使用360浏览器或谷歌浏览器），开标时请使用制作加密电子响应文件的CA锁进行解密及报价确认。本项目响应文件解密时间定为30分钟，如因自身原因导致无法正常解密，后果由供应商自行承担。 </w:t>
      </w:r>
    </w:p>
    <w:p>
      <w:pPr>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hint="eastAsia" w:ascii="仿宋" w:hAnsi="仿宋" w:eastAsia="仿宋" w:cs="宋体"/>
          <w:b w:val="0"/>
          <w:bCs w:val="0"/>
          <w:color w:val="auto"/>
          <w:sz w:val="28"/>
          <w:szCs w:val="28"/>
          <w:lang w:val="en-US" w:eastAsia="zh-CN"/>
        </w:rPr>
      </w:pPr>
    </w:p>
    <w:p>
      <w:pPr>
        <w:pageBreakBefore w:val="0"/>
        <w:widowControl w:val="0"/>
        <w:kinsoku/>
        <w:wordWrap/>
        <w:overflowPunct/>
        <w:topLinePunct w:val="0"/>
        <w:autoSpaceDE/>
        <w:autoSpaceDN/>
        <w:bidi w:val="0"/>
        <w:adjustRightInd/>
        <w:snapToGrid/>
        <w:spacing w:before="75" w:after="75" w:line="340" w:lineRule="exact"/>
        <w:textAlignment w:val="auto"/>
        <w:rPr>
          <w:rFonts w:ascii="仿宋" w:hAnsi="仿宋" w:eastAsia="仿宋" w:cs="宋体"/>
          <w:color w:val="auto"/>
          <w:sz w:val="28"/>
          <w:szCs w:val="28"/>
        </w:rPr>
      </w:pPr>
      <w:r>
        <w:rPr>
          <w:rFonts w:hint="eastAsia" w:ascii="仿宋" w:hAnsi="仿宋" w:eastAsia="仿宋" w:cs="宋体"/>
          <w:b/>
          <w:bCs/>
          <w:color w:val="auto"/>
          <w:sz w:val="28"/>
          <w:szCs w:val="28"/>
          <w:lang w:val="en-US" w:eastAsia="zh-CN"/>
        </w:rPr>
        <w:t>七</w:t>
      </w:r>
      <w:r>
        <w:rPr>
          <w:rFonts w:hint="eastAsia" w:ascii="仿宋" w:hAnsi="仿宋" w:eastAsia="仿宋" w:cs="宋体"/>
          <w:b/>
          <w:bCs/>
          <w:color w:val="auto"/>
          <w:sz w:val="28"/>
          <w:szCs w:val="28"/>
        </w:rPr>
        <w:t>、凡对本次招标提出询问，请按以下方式联系</w:t>
      </w:r>
    </w:p>
    <w:p>
      <w:pPr>
        <w:keepNext w:val="0"/>
        <w:keepLines w:val="0"/>
        <w:pageBreakBefore w:val="0"/>
        <w:widowControl w:val="0"/>
        <w:kinsoku/>
        <w:wordWrap/>
        <w:overflowPunct/>
        <w:topLinePunct w:val="0"/>
        <w:autoSpaceDE/>
        <w:autoSpaceDN/>
        <w:bidi w:val="0"/>
        <w:adjustRightInd/>
        <w:snapToGrid/>
        <w:spacing w:before="75" w:after="75" w:line="340" w:lineRule="exact"/>
        <w:ind w:firstLine="480"/>
        <w:textAlignment w:val="auto"/>
        <w:rPr>
          <w:rFonts w:ascii="仿宋" w:hAnsi="仿宋" w:eastAsia="仿宋" w:cs="宋体"/>
          <w:color w:val="auto"/>
          <w:sz w:val="28"/>
          <w:szCs w:val="28"/>
        </w:rPr>
      </w:pPr>
      <w:r>
        <w:rPr>
          <w:rFonts w:ascii="仿宋" w:hAnsi="仿宋" w:eastAsia="仿宋" w:cs="宋体"/>
          <w:color w:val="auto"/>
          <w:sz w:val="28"/>
          <w:szCs w:val="28"/>
        </w:rPr>
        <w:t>1.采购人信息</w:t>
      </w:r>
    </w:p>
    <w:p>
      <w:pPr>
        <w:keepNext w:val="0"/>
        <w:keepLines w:val="0"/>
        <w:pageBreakBefore w:val="0"/>
        <w:widowControl w:val="0"/>
        <w:kinsoku/>
        <w:wordWrap/>
        <w:overflowPunct/>
        <w:topLinePunct w:val="0"/>
        <w:autoSpaceDE/>
        <w:autoSpaceDN/>
        <w:bidi w:val="0"/>
        <w:adjustRightInd/>
        <w:snapToGrid/>
        <w:spacing w:before="75" w:after="75" w:line="340" w:lineRule="exact"/>
        <w:ind w:firstLine="480"/>
        <w:textAlignment w:val="auto"/>
        <w:rPr>
          <w:rFonts w:hint="eastAsia" w:ascii="仿宋" w:hAnsi="仿宋" w:eastAsia="仿宋" w:cs="宋体"/>
          <w:color w:val="auto"/>
          <w:sz w:val="28"/>
          <w:szCs w:val="28"/>
          <w:lang w:val="en-US" w:eastAsia="zh-CN"/>
        </w:rPr>
      </w:pPr>
      <w:r>
        <w:rPr>
          <w:rFonts w:ascii="仿宋" w:hAnsi="仿宋" w:eastAsia="仿宋" w:cs="宋体"/>
          <w:color w:val="auto"/>
          <w:sz w:val="28"/>
          <w:szCs w:val="28"/>
        </w:rPr>
        <w:t>名 称：伊宁市</w:t>
      </w:r>
      <w:r>
        <w:rPr>
          <w:rFonts w:hint="eastAsia" w:ascii="仿宋" w:hAnsi="仿宋" w:eastAsia="仿宋" w:cs="宋体"/>
          <w:color w:val="auto"/>
          <w:sz w:val="28"/>
          <w:szCs w:val="28"/>
          <w:lang w:val="en-US" w:eastAsia="zh-CN"/>
        </w:rPr>
        <w:t>达达木图镇人民政府</w:t>
      </w:r>
    </w:p>
    <w:p>
      <w:pPr>
        <w:keepNext w:val="0"/>
        <w:keepLines w:val="0"/>
        <w:pageBreakBefore w:val="0"/>
        <w:widowControl w:val="0"/>
        <w:kinsoku/>
        <w:wordWrap/>
        <w:overflowPunct/>
        <w:topLinePunct w:val="0"/>
        <w:autoSpaceDE/>
        <w:autoSpaceDN/>
        <w:bidi w:val="0"/>
        <w:adjustRightInd/>
        <w:snapToGrid/>
        <w:spacing w:before="75" w:after="75" w:line="340" w:lineRule="exact"/>
        <w:ind w:firstLine="480"/>
        <w:textAlignment w:val="auto"/>
        <w:rPr>
          <w:rFonts w:hint="default" w:ascii="仿宋" w:hAnsi="仿宋" w:eastAsia="仿宋" w:cs="宋体"/>
          <w:color w:val="auto"/>
          <w:sz w:val="28"/>
          <w:szCs w:val="28"/>
          <w:lang w:val="en-US" w:eastAsia="zh-CN"/>
        </w:rPr>
      </w:pPr>
      <w:r>
        <w:rPr>
          <w:rFonts w:ascii="仿宋" w:hAnsi="仿宋" w:eastAsia="仿宋" w:cs="宋体"/>
          <w:color w:val="auto"/>
          <w:sz w:val="28"/>
          <w:szCs w:val="28"/>
        </w:rPr>
        <w:t>地 址：伊宁市</w:t>
      </w:r>
      <w:r>
        <w:rPr>
          <w:rFonts w:hint="eastAsia" w:ascii="仿宋" w:hAnsi="仿宋" w:eastAsia="仿宋" w:cs="宋体"/>
          <w:color w:val="auto"/>
          <w:sz w:val="28"/>
          <w:szCs w:val="28"/>
          <w:lang w:val="en-US" w:eastAsia="zh-CN"/>
        </w:rPr>
        <w:t>达达木图镇</w:t>
      </w:r>
    </w:p>
    <w:p>
      <w:pPr>
        <w:keepNext w:val="0"/>
        <w:keepLines w:val="0"/>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hint="default" w:ascii="仿宋" w:hAnsi="仿宋" w:eastAsia="仿宋" w:cs="宋体"/>
          <w:color w:val="auto"/>
          <w:sz w:val="28"/>
          <w:szCs w:val="28"/>
          <w:lang w:val="en-US" w:eastAsia="zh-CN"/>
        </w:rPr>
      </w:pPr>
      <w:r>
        <w:rPr>
          <w:rFonts w:ascii="仿宋" w:hAnsi="仿宋" w:eastAsia="仿宋" w:cs="宋体"/>
          <w:color w:val="auto"/>
          <w:sz w:val="28"/>
          <w:szCs w:val="28"/>
        </w:rPr>
        <w:t>联系方式：</w:t>
      </w:r>
      <w:r>
        <w:rPr>
          <w:rFonts w:hint="eastAsia" w:ascii="仿宋" w:hAnsi="仿宋" w:eastAsia="仿宋" w:cs="宋体"/>
          <w:color w:val="auto"/>
          <w:sz w:val="28"/>
          <w:szCs w:val="28"/>
          <w:lang w:val="en-US" w:eastAsia="zh-CN"/>
        </w:rPr>
        <w:t>18699931800</w:t>
      </w:r>
    </w:p>
    <w:p>
      <w:pPr>
        <w:keepNext w:val="0"/>
        <w:keepLines w:val="0"/>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ascii="仿宋" w:hAnsi="仿宋" w:eastAsia="仿宋" w:cs="宋体"/>
          <w:color w:val="auto"/>
          <w:sz w:val="28"/>
          <w:szCs w:val="28"/>
        </w:rPr>
      </w:pPr>
    </w:p>
    <w:p>
      <w:pPr>
        <w:keepNext w:val="0"/>
        <w:keepLines w:val="0"/>
        <w:pageBreakBefore w:val="0"/>
        <w:widowControl w:val="0"/>
        <w:kinsoku/>
        <w:wordWrap/>
        <w:overflowPunct/>
        <w:topLinePunct w:val="0"/>
        <w:autoSpaceDE/>
        <w:autoSpaceDN/>
        <w:bidi w:val="0"/>
        <w:adjustRightInd/>
        <w:snapToGrid/>
        <w:spacing w:before="75" w:after="75" w:line="340" w:lineRule="exact"/>
        <w:ind w:firstLine="560" w:firstLineChars="200"/>
        <w:textAlignment w:val="auto"/>
        <w:rPr>
          <w:rFonts w:ascii="仿宋" w:hAnsi="仿宋" w:eastAsia="仿宋" w:cs="宋体"/>
          <w:color w:val="auto"/>
          <w:sz w:val="28"/>
          <w:szCs w:val="28"/>
        </w:rPr>
      </w:pPr>
      <w:r>
        <w:rPr>
          <w:rFonts w:ascii="仿宋" w:hAnsi="仿宋" w:eastAsia="仿宋" w:cs="宋体"/>
          <w:color w:val="auto"/>
          <w:sz w:val="28"/>
          <w:szCs w:val="28"/>
        </w:rPr>
        <w:t>2.采购代理机构信息</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34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名 称：</w:t>
      </w:r>
      <w:r>
        <w:rPr>
          <w:rFonts w:hint="eastAsia" w:ascii="仿宋" w:hAnsi="仿宋" w:eastAsia="仿宋" w:cs="仿宋"/>
          <w:color w:val="auto"/>
          <w:sz w:val="28"/>
          <w:szCs w:val="28"/>
          <w:lang w:val="en-US" w:eastAsia="zh-CN"/>
        </w:rPr>
        <w:t>新疆伊筑</w:t>
      </w:r>
      <w:r>
        <w:rPr>
          <w:rFonts w:hint="eastAsia" w:ascii="仿宋" w:hAnsi="仿宋" w:eastAsia="仿宋" w:cs="仿宋"/>
          <w:color w:val="auto"/>
          <w:sz w:val="28"/>
          <w:szCs w:val="28"/>
        </w:rPr>
        <w:t>工程管理有限公司</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34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联系方式：0999-8988777</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380" w:lineRule="exact"/>
        <w:ind w:firstLine="560" w:firstLineChars="200"/>
        <w:textAlignment w:val="auto"/>
        <w:rPr>
          <w:rFonts w:hint="eastAsia" w:ascii="仿宋" w:hAnsi="仿宋" w:eastAsia="仿宋" w:cs="仿宋"/>
          <w:color w:val="auto"/>
          <w:sz w:val="28"/>
          <w:szCs w:val="28"/>
        </w:rPr>
      </w:pP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380" w:lineRule="exact"/>
        <w:ind w:firstLine="560" w:firstLineChars="200"/>
        <w:textAlignment w:val="auto"/>
        <w:rPr>
          <w:rFonts w:ascii="仿宋" w:hAnsi="仿宋" w:eastAsia="仿宋" w:cs="仿宋"/>
          <w:color w:val="auto"/>
          <w:sz w:val="28"/>
          <w:szCs w:val="28"/>
        </w:rPr>
      </w:pPr>
      <w:r>
        <w:rPr>
          <w:rFonts w:hint="eastAsia" w:ascii="仿宋" w:hAnsi="仿宋" w:eastAsia="仿宋" w:cs="仿宋"/>
          <w:color w:val="auto"/>
          <w:sz w:val="28"/>
          <w:szCs w:val="28"/>
        </w:rPr>
        <w:t>3.项目联系方式</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380" w:lineRule="exact"/>
        <w:ind w:firstLine="560" w:firstLineChars="200"/>
        <w:textAlignment w:val="auto"/>
        <w:rPr>
          <w:rStyle w:val="23"/>
          <w:rFonts w:hint="eastAsia" w:ascii="仿宋" w:hAnsi="仿宋" w:eastAsia="仿宋" w:cs="仿宋"/>
          <w:color w:val="auto"/>
          <w:sz w:val="28"/>
          <w:szCs w:val="28"/>
          <w:lang w:eastAsia="zh-CN"/>
        </w:rPr>
      </w:pPr>
      <w:r>
        <w:rPr>
          <w:rFonts w:hint="eastAsia" w:ascii="仿宋" w:hAnsi="仿宋" w:eastAsia="仿宋" w:cs="仿宋"/>
          <w:color w:val="auto"/>
          <w:sz w:val="28"/>
          <w:szCs w:val="28"/>
        </w:rPr>
        <w:t>项目联系人：</w:t>
      </w:r>
      <w:r>
        <w:rPr>
          <w:rStyle w:val="23"/>
          <w:rFonts w:hint="eastAsia" w:ascii="仿宋" w:hAnsi="仿宋" w:eastAsia="仿宋" w:cs="仿宋"/>
          <w:color w:val="auto"/>
          <w:sz w:val="28"/>
          <w:szCs w:val="28"/>
          <w:lang w:eastAsia="zh-CN"/>
        </w:rPr>
        <w:t>张磊</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380" w:lineRule="exact"/>
        <w:ind w:firstLine="560" w:firstLineChars="200"/>
        <w:textAlignment w:val="auto"/>
        <w:rPr>
          <w:rStyle w:val="23"/>
          <w:rFonts w:hint="eastAsia" w:ascii="仿宋" w:hAnsi="仿宋" w:eastAsia="仿宋" w:cs="仿宋"/>
          <w:color w:val="auto"/>
          <w:sz w:val="28"/>
          <w:szCs w:val="28"/>
        </w:rPr>
      </w:pPr>
      <w:r>
        <w:rPr>
          <w:rStyle w:val="23"/>
          <w:rFonts w:hint="eastAsia" w:ascii="仿宋" w:hAnsi="仿宋" w:eastAsia="仿宋" w:cs="仿宋"/>
          <w:color w:val="auto"/>
          <w:sz w:val="28"/>
          <w:szCs w:val="28"/>
          <w:lang w:val="en-US" w:eastAsia="zh-CN"/>
        </w:rPr>
        <w:t>电话：</w:t>
      </w:r>
      <w:r>
        <w:rPr>
          <w:rStyle w:val="23"/>
          <w:rFonts w:hint="eastAsia" w:ascii="仿宋" w:hAnsi="仿宋" w:eastAsia="仿宋" w:cs="仿宋"/>
          <w:color w:val="auto"/>
          <w:sz w:val="28"/>
          <w:szCs w:val="28"/>
        </w:rPr>
        <w:t>0999-8988777</w:t>
      </w: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380" w:lineRule="exact"/>
        <w:ind w:firstLine="560" w:firstLineChars="200"/>
        <w:textAlignment w:val="auto"/>
        <w:rPr>
          <w:rStyle w:val="23"/>
          <w:rFonts w:hint="eastAsia" w:ascii="仿宋" w:hAnsi="仿宋" w:eastAsia="仿宋" w:cs="仿宋"/>
          <w:color w:val="auto"/>
          <w:sz w:val="28"/>
          <w:szCs w:val="28"/>
        </w:rPr>
      </w:pPr>
    </w:p>
    <w:p>
      <w:pPr>
        <w:pStyle w:val="17"/>
        <w:keepNext w:val="0"/>
        <w:keepLines w:val="0"/>
        <w:pageBreakBefore w:val="0"/>
        <w:widowControl w:val="0"/>
        <w:kinsoku/>
        <w:wordWrap/>
        <w:overflowPunct/>
        <w:topLinePunct w:val="0"/>
        <w:autoSpaceDE/>
        <w:autoSpaceDN/>
        <w:bidi w:val="0"/>
        <w:adjustRightInd/>
        <w:snapToGrid/>
        <w:spacing w:before="75" w:beforeAutospacing="0" w:after="75" w:afterAutospacing="0" w:line="380" w:lineRule="exact"/>
        <w:ind w:firstLine="560" w:firstLineChars="200"/>
        <w:textAlignment w:val="auto"/>
        <w:rPr>
          <w:rStyle w:val="23"/>
          <w:rFonts w:hint="eastAsia" w:ascii="仿宋" w:hAnsi="仿宋" w:eastAsia="仿宋" w:cs="仿宋"/>
          <w:color w:val="auto"/>
          <w:sz w:val="28"/>
          <w:szCs w:val="28"/>
        </w:rPr>
      </w:pPr>
    </w:p>
    <w:p>
      <w:pPr>
        <w:pStyle w:val="7"/>
        <w:keepNext/>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hint="eastAsia" w:asciiTheme="minorEastAsia" w:hAnsiTheme="minorEastAsia" w:eastAsiaTheme="minorEastAsia" w:cstheme="minorEastAsia"/>
          <w:sz w:val="32"/>
          <w:szCs w:val="32"/>
        </w:rPr>
      </w:pPr>
    </w:p>
    <w:p>
      <w:pPr>
        <w:rPr>
          <w:rFonts w:hint="eastAsia" w:asciiTheme="minorEastAsia" w:hAnsiTheme="minorEastAsia" w:eastAsiaTheme="minorEastAsia" w:cstheme="minorEastAsia"/>
          <w:sz w:val="32"/>
          <w:szCs w:val="32"/>
        </w:rPr>
      </w:pPr>
    </w:p>
    <w:p>
      <w:pPr>
        <w:pStyle w:val="7"/>
        <w:keepNext/>
        <w:pageBreakBefore w:val="0"/>
        <w:widowControl w:val="0"/>
        <w:numPr>
          <w:ilvl w:val="0"/>
          <w:numId w:val="0"/>
        </w:numPr>
        <w:kinsoku/>
        <w:wordWrap/>
        <w:overflowPunct/>
        <w:topLinePunct w:val="0"/>
        <w:autoSpaceDE/>
        <w:autoSpaceDN/>
        <w:bidi w:val="0"/>
        <w:adjustRightInd/>
        <w:snapToGrid/>
        <w:spacing w:line="240" w:lineRule="auto"/>
        <w:jc w:val="both"/>
        <w:textAlignment w:val="auto"/>
        <w:rPr>
          <w:rFonts w:hint="eastAsia" w:asciiTheme="minorEastAsia" w:hAnsiTheme="minorEastAsia" w:eastAsiaTheme="minorEastAsia" w:cstheme="minorEastAsia"/>
          <w:sz w:val="32"/>
          <w:szCs w:val="32"/>
        </w:rPr>
      </w:pPr>
    </w:p>
    <w:p>
      <w:pPr>
        <w:rPr>
          <w:rFonts w:hint="eastAsia"/>
        </w:rPr>
      </w:pPr>
    </w:p>
    <w:p>
      <w:pPr>
        <w:pStyle w:val="7"/>
        <w:keepNext/>
        <w:pageBreakBefore w:val="0"/>
        <w:widowControl w:val="0"/>
        <w:numPr>
          <w:ilvl w:val="0"/>
          <w:numId w:val="0"/>
        </w:numPr>
        <w:kinsoku/>
        <w:wordWrap/>
        <w:overflowPunct/>
        <w:topLinePunct w:val="0"/>
        <w:autoSpaceDE/>
        <w:autoSpaceDN/>
        <w:bidi w:val="0"/>
        <w:adjustRightInd/>
        <w:snapToGrid/>
        <w:spacing w:line="240" w:lineRule="auto"/>
        <w:jc w:val="center"/>
        <w:textAlignment w:val="auto"/>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第二部分  供应商须知</w:t>
      </w:r>
    </w:p>
    <w:p>
      <w:pPr>
        <w:pStyle w:val="8"/>
        <w:keepNext/>
        <w:pageBreakBefore w:val="0"/>
        <w:widowControl w:val="0"/>
        <w:kinsoku/>
        <w:wordWrap/>
        <w:overflowPunct/>
        <w:topLinePunct w:val="0"/>
        <w:autoSpaceDE/>
        <w:autoSpaceDN/>
        <w:bidi w:val="0"/>
        <w:adjustRightInd/>
        <w:snapToGrid/>
        <w:spacing w:before="0" w:after="100" w:afterAutospacing="1" w:line="240" w:lineRule="auto"/>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供应商须知附表</w:t>
      </w:r>
      <w:bookmarkEnd w:id="4"/>
      <w:bookmarkEnd w:id="5"/>
      <w:bookmarkEnd w:id="6"/>
      <w:bookmarkEnd w:id="7"/>
      <w:bookmarkEnd w:id="8"/>
    </w:p>
    <w:tbl>
      <w:tblPr>
        <w:tblStyle w:val="20"/>
        <w:tblW w:w="9879" w:type="dxa"/>
        <w:tblInd w:w="-2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0"/>
        <w:gridCol w:w="1755"/>
        <w:gridCol w:w="68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条款号</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条款名称</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b/>
                <w:szCs w:val="21"/>
              </w:rPr>
              <w:t>编列内容规定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招标项目</w:t>
            </w:r>
          </w:p>
        </w:tc>
        <w:tc>
          <w:tcPr>
            <w:tcW w:w="6894" w:type="dxa"/>
            <w:vAlign w:val="center"/>
          </w:tcPr>
          <w:p>
            <w:pPr>
              <w:pStyle w:val="2"/>
              <w:keepNext w:val="0"/>
              <w:keepLines w:val="0"/>
              <w:pageBreakBefore w:val="0"/>
              <w:kinsoku/>
              <w:wordWrap/>
              <w:overflowPunct/>
              <w:topLinePunct w:val="0"/>
              <w:autoSpaceDE/>
              <w:autoSpaceDN/>
              <w:bidi w:val="0"/>
              <w:spacing w:line="320" w:lineRule="exact"/>
              <w:ind w:firstLine="0" w:firstLineChars="0"/>
              <w:textAlignment w:val="auto"/>
              <w:rPr>
                <w:rFonts w:hint="eastAsia" w:ascii="Times New Roman" w:hAnsi="Times New Roman" w:cs="Times New Roman" w:eastAsiaTheme="minorEastAsia"/>
                <w:kern w:val="2"/>
                <w:sz w:val="21"/>
                <w:szCs w:val="21"/>
                <w:lang w:val="en-US" w:eastAsia="zh-CN" w:bidi="ar-SA"/>
              </w:rPr>
            </w:pPr>
            <w:r>
              <w:rPr>
                <w:rFonts w:hint="eastAsia" w:ascii="Times New Roman" w:hAnsi="Times New Roman" w:cs="Times New Roman" w:eastAsiaTheme="minorEastAsia"/>
                <w:kern w:val="2"/>
                <w:sz w:val="21"/>
                <w:szCs w:val="21"/>
                <w:lang w:val="en-US" w:eastAsia="zh-CN" w:bidi="ar-SA"/>
              </w:rPr>
              <w:t>项目名称：伊宁市达达木图镇布拉克村基层阵地提升改造项目</w:t>
            </w:r>
          </w:p>
          <w:p>
            <w:pPr>
              <w:pStyle w:val="2"/>
              <w:keepNext w:val="0"/>
              <w:keepLines w:val="0"/>
              <w:pageBreakBefore w:val="0"/>
              <w:kinsoku/>
              <w:wordWrap/>
              <w:overflowPunct/>
              <w:topLinePunct w:val="0"/>
              <w:autoSpaceDE/>
              <w:autoSpaceDN/>
              <w:bidi w:val="0"/>
              <w:spacing w:line="320" w:lineRule="exact"/>
              <w:ind w:firstLine="0" w:firstLineChars="0"/>
              <w:textAlignment w:val="auto"/>
              <w:rPr>
                <w:rFonts w:hint="default" w:ascii="Times New Roman" w:hAnsi="Times New Roman"/>
                <w:lang w:val="en-US"/>
              </w:rPr>
            </w:pPr>
            <w:r>
              <w:rPr>
                <w:rFonts w:hint="eastAsia" w:ascii="Times New Roman" w:hAnsi="Times New Roman" w:eastAsiaTheme="minorEastAsia"/>
                <w:sz w:val="21"/>
                <w:szCs w:val="21"/>
                <w:lang w:val="en-US" w:eastAsia="zh-CN"/>
              </w:rPr>
              <w:t>项目</w:t>
            </w:r>
            <w:r>
              <w:rPr>
                <w:rFonts w:ascii="Times New Roman" w:hAnsi="Times New Roman" w:eastAsiaTheme="minorEastAsia"/>
                <w:sz w:val="21"/>
                <w:szCs w:val="21"/>
              </w:rPr>
              <w:t>编号</w:t>
            </w:r>
            <w:r>
              <w:rPr>
                <w:rFonts w:ascii="Times New Roman" w:hAnsi="Times New Roman"/>
                <w:sz w:val="21"/>
                <w:szCs w:val="22"/>
              </w:rPr>
              <w:t>：</w:t>
            </w:r>
            <w:r>
              <w:rPr>
                <w:rFonts w:hint="eastAsia" w:ascii="Times New Roman" w:hAnsi="Times New Roman"/>
                <w:sz w:val="21"/>
                <w:szCs w:val="22"/>
                <w:lang w:val="en-US" w:eastAsia="zh-CN"/>
              </w:rPr>
              <w:t>YZ</w:t>
            </w:r>
            <w:r>
              <w:rPr>
                <w:rFonts w:hint="eastAsia" w:ascii="Times New Roman" w:hAnsi="Times New Roman"/>
                <w:sz w:val="21"/>
                <w:szCs w:val="22"/>
              </w:rPr>
              <w:t>-JZX</w:t>
            </w:r>
            <w:r>
              <w:rPr>
                <w:rFonts w:hint="eastAsia" w:ascii="Times New Roman" w:hAnsi="Times New Roman"/>
                <w:sz w:val="21"/>
                <w:szCs w:val="22"/>
                <w:lang w:val="en-US" w:eastAsia="zh-CN"/>
              </w:rPr>
              <w:t>CS</w:t>
            </w:r>
            <w:r>
              <w:rPr>
                <w:rFonts w:hint="eastAsia" w:ascii="Times New Roman" w:hAnsi="Times New Roman"/>
                <w:sz w:val="21"/>
                <w:szCs w:val="22"/>
              </w:rPr>
              <w:t>-202</w:t>
            </w:r>
            <w:r>
              <w:rPr>
                <w:rFonts w:hint="eastAsia" w:ascii="Times New Roman" w:hAnsi="Times New Roman"/>
                <w:sz w:val="21"/>
                <w:szCs w:val="22"/>
                <w:lang w:val="en-US" w:eastAsia="zh-CN"/>
              </w:rPr>
              <w:t>326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招标范围</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sz w:val="24"/>
              </w:rPr>
            </w:pPr>
            <w:r>
              <w:rPr>
                <w:rFonts w:eastAsiaTheme="minorEastAsia"/>
                <w:szCs w:val="21"/>
              </w:rPr>
              <w:t>招标文件、施工图纸、工程量清单、答疑所示范围内全部内容。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项目地点</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lang w:val="en-US" w:eastAsia="zh-CN"/>
              </w:rPr>
            </w:pPr>
            <w:r>
              <w:rPr>
                <w:rFonts w:hint="eastAsia" w:eastAsiaTheme="minorEastAsia"/>
                <w:szCs w:val="21"/>
                <w:lang w:val="en-US" w:eastAsia="zh-CN"/>
              </w:rPr>
              <w:t>伊宁市</w:t>
            </w:r>
            <w:r>
              <w:rPr>
                <w:rFonts w:hint="eastAsia" w:cs="Times New Roman" w:eastAsiaTheme="minorEastAsia"/>
                <w:kern w:val="2"/>
                <w:sz w:val="21"/>
                <w:szCs w:val="21"/>
                <w:lang w:val="en-US" w:eastAsia="zh-CN" w:bidi="ar-SA"/>
              </w:rPr>
              <w:t>达达木图镇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招标方式</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竞争性磋商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第1.5款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工期、质量等级</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highlight w:val="none"/>
              </w:rPr>
            </w:pPr>
            <w:r>
              <w:rPr>
                <w:rFonts w:hint="eastAsia" w:eastAsiaTheme="minorEastAsia"/>
                <w:szCs w:val="21"/>
              </w:rPr>
              <w:t>计划开竣工工期：</w:t>
            </w:r>
            <w:r>
              <w:rPr>
                <w:rFonts w:hint="eastAsia" w:eastAsiaTheme="minorEastAsia"/>
                <w:szCs w:val="21"/>
                <w:lang w:val="en-US" w:eastAsia="zh-CN"/>
              </w:rPr>
              <w:t>计划2023年07月18日开工，2023年09月15日竣工</w:t>
            </w:r>
            <w:r>
              <w:rPr>
                <w:rFonts w:hint="eastAsia" w:eastAsiaTheme="minorEastAsia"/>
                <w:szCs w:val="21"/>
                <w:highlight w:val="none"/>
                <w:lang w:val="en-US" w:eastAsia="zh-CN"/>
              </w:rPr>
              <w:t>总工期：60天（日历日）</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质量等级：合格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招标人</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szCs w:val="21"/>
              </w:rPr>
            </w:pPr>
            <w:r>
              <w:rPr>
                <w:rFonts w:eastAsiaTheme="minorEastAsia"/>
                <w:szCs w:val="21"/>
              </w:rPr>
              <w:t>名称：伊宁市</w:t>
            </w:r>
            <w:r>
              <w:rPr>
                <w:rFonts w:hint="eastAsia" w:eastAsiaTheme="minorEastAsia"/>
                <w:szCs w:val="21"/>
                <w:lang w:val="en-US" w:eastAsia="zh-CN"/>
              </w:rPr>
              <w:t>达达木图镇人民政府</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eastAsiaTheme="minorEastAsia"/>
                <w:szCs w:val="21"/>
                <w:lang w:val="en-US" w:eastAsia="zh-CN"/>
              </w:rPr>
            </w:pPr>
            <w:r>
              <w:rPr>
                <w:rFonts w:eastAsiaTheme="minorEastAsia"/>
                <w:szCs w:val="21"/>
              </w:rPr>
              <w:t>联系人</w:t>
            </w:r>
            <w:r>
              <w:rPr>
                <w:rFonts w:hint="eastAsia" w:eastAsiaTheme="minorEastAsia"/>
                <w:szCs w:val="21"/>
                <w:lang w:eastAsia="zh-CN"/>
              </w:rPr>
              <w:t>：</w:t>
            </w:r>
            <w:r>
              <w:rPr>
                <w:rFonts w:hint="eastAsia" w:eastAsiaTheme="minorEastAsia"/>
                <w:szCs w:val="21"/>
                <w:lang w:val="en-US" w:eastAsia="zh-CN"/>
              </w:rPr>
              <w:t xml:space="preserve">袁志涛     </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eastAsiaTheme="minorEastAsia"/>
                <w:szCs w:val="21"/>
                <w:lang w:val="en-US" w:eastAsia="zh-CN"/>
              </w:rPr>
            </w:pPr>
            <w:r>
              <w:rPr>
                <w:rFonts w:eastAsiaTheme="minorEastAsia"/>
                <w:szCs w:val="21"/>
              </w:rPr>
              <w:t>联系电话：</w:t>
            </w:r>
            <w:r>
              <w:rPr>
                <w:rFonts w:hint="eastAsia" w:eastAsiaTheme="minorEastAsia"/>
                <w:szCs w:val="21"/>
                <w:lang w:val="en-US" w:eastAsia="zh-CN"/>
              </w:rPr>
              <w:t>18699931800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第2.2款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8"/>
                <w:szCs w:val="28"/>
              </w:rPr>
            </w:pPr>
            <w:r>
              <w:rPr>
                <w:rFonts w:eastAsiaTheme="minorEastAsia"/>
                <w:szCs w:val="21"/>
              </w:rPr>
              <w:t>招标代理机构</w:t>
            </w:r>
          </w:p>
        </w:tc>
        <w:tc>
          <w:tcPr>
            <w:tcW w:w="6894" w:type="dxa"/>
            <w:vAlign w:val="center"/>
          </w:tcPr>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名称：</w:t>
            </w:r>
            <w:r>
              <w:rPr>
                <w:rFonts w:hint="eastAsia" w:ascii="Times New Roman" w:hAnsi="Times New Roman" w:cs="Times New Roman" w:eastAsiaTheme="minorEastAsia"/>
                <w:kern w:val="2"/>
                <w:sz w:val="21"/>
                <w:szCs w:val="21"/>
                <w:lang w:val="en-US" w:eastAsia="zh-CN"/>
              </w:rPr>
              <w:t>新疆伊筑</w:t>
            </w:r>
            <w:r>
              <w:rPr>
                <w:rFonts w:hint="eastAsia" w:ascii="Times New Roman" w:hAnsi="Times New Roman" w:cs="Times New Roman" w:eastAsiaTheme="minorEastAsia"/>
                <w:kern w:val="2"/>
                <w:sz w:val="21"/>
                <w:szCs w:val="21"/>
                <w:lang w:val="zh-CN" w:eastAsia="zh-CN"/>
              </w:rPr>
              <w:t>工程管理</w:t>
            </w:r>
            <w:r>
              <w:rPr>
                <w:rFonts w:hint="eastAsia" w:ascii="Times New Roman" w:hAnsi="Times New Roman" w:cs="Times New Roman" w:eastAsiaTheme="minorEastAsia"/>
                <w:kern w:val="2"/>
                <w:sz w:val="21"/>
                <w:szCs w:val="21"/>
                <w:lang w:val="zh-CN"/>
              </w:rPr>
              <w:t>有限公司</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地址：</w:t>
            </w:r>
            <w:r>
              <w:rPr>
                <w:rFonts w:hint="eastAsia" w:ascii="Times New Roman" w:hAnsi="Times New Roman" w:cs="Times New Roman" w:eastAsiaTheme="minorEastAsia"/>
                <w:kern w:val="2"/>
                <w:sz w:val="21"/>
                <w:szCs w:val="21"/>
              </w:rPr>
              <w:t>伊宁市开发区辽宁路105号</w:t>
            </w:r>
          </w:p>
          <w:p>
            <w:pPr>
              <w:pStyle w:val="17"/>
              <w:keepNext w:val="0"/>
              <w:keepLines w:val="0"/>
              <w:pageBreakBefore w:val="0"/>
              <w:widowControl/>
              <w:kinsoku/>
              <w:wordWrap/>
              <w:overflowPunct/>
              <w:topLinePunct w:val="0"/>
              <w:autoSpaceDE/>
              <w:autoSpaceDN/>
              <w:bidi w:val="0"/>
              <w:adjustRightInd/>
              <w:snapToGrid/>
              <w:spacing w:before="0" w:beforeAutospacing="0" w:after="0" w:afterAutospacing="0" w:line="320" w:lineRule="exact"/>
              <w:textAlignment w:val="auto"/>
              <w:rPr>
                <w:rFonts w:ascii="Times New Roman" w:hAnsi="Times New Roman" w:cs="Times New Roman" w:eastAsiaTheme="minorEastAsia"/>
                <w:kern w:val="2"/>
                <w:sz w:val="21"/>
                <w:szCs w:val="21"/>
              </w:rPr>
            </w:pPr>
            <w:r>
              <w:rPr>
                <w:rFonts w:ascii="Times New Roman" w:hAnsi="Times New Roman" w:cs="Times New Roman" w:eastAsiaTheme="minorEastAsia"/>
                <w:kern w:val="2"/>
                <w:sz w:val="21"/>
                <w:szCs w:val="21"/>
              </w:rPr>
              <w:t>联 系 人：</w:t>
            </w:r>
            <w:r>
              <w:rPr>
                <w:rFonts w:hint="eastAsia" w:ascii="Times New Roman" w:hAnsi="Times New Roman" w:cs="Times New Roman" w:eastAsiaTheme="minorEastAsia"/>
                <w:kern w:val="2"/>
                <w:sz w:val="21"/>
                <w:szCs w:val="21"/>
                <w:lang w:eastAsia="zh-CN"/>
              </w:rPr>
              <w:t>张磊</w:t>
            </w:r>
            <w:r>
              <w:rPr>
                <w:rFonts w:hint="eastAsia" w:ascii="Times New Roman" w:hAnsi="Times New Roman" w:cs="Times New Roman" w:eastAsiaTheme="minorEastAsia"/>
                <w:kern w:val="2"/>
                <w:sz w:val="21"/>
                <w:szCs w:val="21"/>
                <w:lang w:val="en-US" w:eastAsia="zh-CN"/>
              </w:rPr>
              <w:t xml:space="preserve">      联系</w:t>
            </w:r>
            <w:r>
              <w:rPr>
                <w:rFonts w:ascii="Times New Roman" w:hAnsi="Times New Roman" w:cs="Times New Roman" w:eastAsiaTheme="minorEastAsia"/>
                <w:kern w:val="2"/>
                <w:sz w:val="21"/>
                <w:szCs w:val="21"/>
              </w:rPr>
              <w:t>电 话：</w:t>
            </w:r>
            <w:r>
              <w:rPr>
                <w:rFonts w:hint="eastAsia" w:ascii="Times New Roman" w:hAnsi="Times New Roman" w:cs="Times New Roman" w:eastAsiaTheme="minorEastAsia"/>
                <w:kern w:val="2"/>
                <w:sz w:val="21"/>
                <w:szCs w:val="21"/>
                <w:lang w:val="zh-CN"/>
              </w:rPr>
              <w:t>0</w:t>
            </w:r>
            <w:r>
              <w:rPr>
                <w:rFonts w:hint="eastAsia" w:ascii="Times New Roman" w:hAnsi="Times New Roman" w:cs="Times New Roman" w:eastAsiaTheme="minorEastAsia"/>
                <w:kern w:val="2"/>
                <w:sz w:val="21"/>
                <w:szCs w:val="21"/>
                <w:lang w:val="en-US" w:eastAsia="zh-CN"/>
              </w:rPr>
              <w:t>999</w:t>
            </w:r>
            <w:r>
              <w:rPr>
                <w:rFonts w:hint="eastAsia" w:ascii="Times New Roman" w:hAnsi="Times New Roman" w:cs="Times New Roman" w:eastAsiaTheme="minorEastAsia"/>
                <w:kern w:val="2"/>
                <w:sz w:val="21"/>
                <w:szCs w:val="21"/>
                <w:lang w:val="zh-CN"/>
              </w:rPr>
              <w:t>-</w:t>
            </w:r>
            <w:r>
              <w:rPr>
                <w:rFonts w:hint="eastAsia" w:ascii="Times New Roman" w:hAnsi="Times New Roman" w:cs="Times New Roman" w:eastAsiaTheme="minorEastAsia"/>
                <w:kern w:val="2"/>
                <w:sz w:val="21"/>
                <w:szCs w:val="21"/>
                <w:lang w:val="en-US" w:eastAsia="zh-CN"/>
              </w:rPr>
              <w:t>8988</w:t>
            </w:r>
            <w:r>
              <w:rPr>
                <w:rFonts w:hint="eastAsia" w:ascii="Times New Roman" w:hAnsi="Times New Roman" w:cs="Times New Roman" w:eastAsiaTheme="minorEastAsia"/>
                <w:kern w:val="2"/>
                <w:sz w:val="21"/>
                <w:szCs w:val="21"/>
                <w:lang w:val="zh-CN"/>
              </w:rPr>
              <w:t>77</w:t>
            </w:r>
            <w:r>
              <w:rPr>
                <w:rFonts w:hint="eastAsia" w:ascii="Times New Roman" w:hAnsi="Times New Roman" w:cs="Times New Roman" w:eastAsiaTheme="minorEastAsia"/>
                <w:kern w:val="2"/>
                <w:sz w:val="21"/>
                <w:szCs w:val="21"/>
                <w:lang w:val="en-US" w:eastAsia="zh-CN"/>
              </w:rPr>
              <w:t>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参谈单位</w:t>
            </w:r>
            <w:r>
              <w:rPr>
                <w:rFonts w:eastAsiaTheme="minorEastAsia"/>
                <w:szCs w:val="21"/>
              </w:rPr>
              <w:t>资格条件</w:t>
            </w:r>
          </w:p>
        </w:tc>
        <w:tc>
          <w:tcPr>
            <w:tcW w:w="6894" w:type="dxa"/>
            <w:vAlign w:val="center"/>
          </w:tcPr>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zh-CN"/>
              </w:rPr>
            </w:pPr>
            <w:r>
              <w:rPr>
                <w:rFonts w:hint="eastAsia" w:ascii="Times New Roman" w:hAnsi="Times New Roman" w:cs="Times New Roman" w:eastAsiaTheme="minorEastAsia"/>
                <w:bCs/>
                <w:kern w:val="2"/>
                <w:sz w:val="21"/>
                <w:szCs w:val="21"/>
                <w:lang w:val="zh-CN"/>
              </w:rPr>
              <w:t>1、投标</w:t>
            </w:r>
            <w:r>
              <w:rPr>
                <w:rFonts w:hint="eastAsia" w:ascii="Times New Roman" w:hAnsi="Times New Roman" w:cs="Times New Roman" w:eastAsiaTheme="minorEastAsia"/>
                <w:bCs/>
                <w:kern w:val="2"/>
                <w:sz w:val="21"/>
                <w:szCs w:val="21"/>
                <w:lang w:val="zh-CN" w:eastAsia="zh-CN"/>
              </w:rPr>
              <w:t>人</w:t>
            </w:r>
            <w:r>
              <w:rPr>
                <w:rFonts w:hint="eastAsia" w:ascii="Times New Roman" w:hAnsi="Times New Roman" w:cs="Times New Roman" w:eastAsiaTheme="minorEastAsia"/>
                <w:bCs/>
                <w:kern w:val="2"/>
                <w:sz w:val="21"/>
                <w:szCs w:val="21"/>
                <w:lang w:val="zh-CN"/>
              </w:rPr>
              <w:t>须符合《政府采购法》第22条规定；</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zh-CN"/>
              </w:rPr>
              <w:t>2</w:t>
            </w:r>
            <w:r>
              <w:rPr>
                <w:rFonts w:hint="eastAsia" w:ascii="Times New Roman" w:hAnsi="Times New Roman" w:cs="Times New Roman" w:eastAsiaTheme="minorEastAsia"/>
                <w:bCs/>
                <w:kern w:val="2"/>
                <w:sz w:val="21"/>
                <w:szCs w:val="21"/>
                <w:lang w:val="en-US" w:eastAsia="zh-CN"/>
              </w:rPr>
              <w:t>、本次招标要求投标人须具备[具备建筑工程施工总承包叁级以上（含叁级）资质，并在人员、设备、资金等方面具有相应的施工能力；</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3、有安全生产许可证；</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4、外省企业已办理进疆建筑企业信息登记报送；</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5、项目负责人须具备建筑工程专业二级注册建造师执业资格，具备有效的安全生产考核合格证书，且未担任其他在建工程；</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6、在“信用中国”网站（www.creditchina.gov.cn）及中国政府采购网（www.ccgp.gov.cn）中被列入失信被执行人、重大税收违法案件当事人名单、政府采购严重违法失信行为记录名单的供应商，不得参加本次政府采购活动（附查询结果，且查询时间不能早于本项目采购公告发布之日）；</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7、法定代表人身份证明或法定代表人授权委托原件、法定代表人或授权委托人身份证；</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8、单位负责人为同一人或者存在直接控股、管理关系的不同供应商，不得参加同一合同项下的政府采购活动；</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9、拟派建造师及上述项目班子人员在本单位近半年的社保证明；</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10、项目所在地劳动部门出具的无拖欠农民工工资证明；</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eastAsia"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11、出具近3个月依法纳税凭证或有电子专用章的完税证明、出具上一年度财务审计报告或银行出具的资信证明。</w:t>
            </w:r>
          </w:p>
          <w:p>
            <w:pPr>
              <w:pStyle w:val="17"/>
              <w:keepNext w:val="0"/>
              <w:keepLines w:val="0"/>
              <w:pageBreakBefore w:val="0"/>
              <w:kinsoku/>
              <w:wordWrap/>
              <w:overflowPunct/>
              <w:topLinePunct w:val="0"/>
              <w:autoSpaceDE/>
              <w:autoSpaceDN/>
              <w:bidi w:val="0"/>
              <w:spacing w:before="0" w:beforeAutospacing="0" w:after="0" w:afterAutospacing="0" w:line="320" w:lineRule="exact"/>
              <w:textAlignment w:val="auto"/>
              <w:rPr>
                <w:rFonts w:hint="default" w:ascii="Times New Roman" w:hAnsi="Times New Roman" w:cs="Times New Roman" w:eastAsiaTheme="minorEastAsia"/>
                <w:bCs/>
                <w:kern w:val="2"/>
                <w:sz w:val="21"/>
                <w:szCs w:val="21"/>
                <w:lang w:val="en-US" w:eastAsia="zh-CN"/>
              </w:rPr>
            </w:pPr>
            <w:r>
              <w:rPr>
                <w:rFonts w:hint="eastAsia" w:ascii="Times New Roman" w:hAnsi="Times New Roman" w:cs="Times New Roman" w:eastAsiaTheme="minorEastAsia"/>
                <w:bCs/>
                <w:kern w:val="2"/>
                <w:sz w:val="21"/>
                <w:szCs w:val="21"/>
                <w:lang w:val="en-US" w:eastAsia="zh-CN"/>
              </w:rPr>
              <w:t>12、投标保证金收据凭证或保函证明。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第4.1款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联合体形式</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第5.1款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现场勘察</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第6.1款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分包</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第10.3款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hint="eastAsia" w:eastAsiaTheme="minorEastAsia"/>
                <w:szCs w:val="21"/>
                <w:lang w:val="en-US" w:eastAsia="zh-CN"/>
              </w:rPr>
              <w:t>磋商</w:t>
            </w:r>
            <w:r>
              <w:rPr>
                <w:rFonts w:eastAsiaTheme="minorEastAsia"/>
                <w:szCs w:val="21"/>
              </w:rPr>
              <w:t>文件的可能实质性变动内容</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szCs w:val="21"/>
              </w:rPr>
            </w:pPr>
            <w:r>
              <w:rPr>
                <w:rFonts w:eastAsiaTheme="minorEastAsia"/>
                <w:szCs w:val="21"/>
                <w:u w:val="single"/>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2"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widowControl/>
              <w:kinsoku/>
              <w:wordWrap/>
              <w:overflowPunct/>
              <w:topLinePunct w:val="0"/>
              <w:autoSpaceDE/>
              <w:autoSpaceDN/>
              <w:bidi w:val="0"/>
              <w:spacing w:line="300" w:lineRule="exact"/>
              <w:jc w:val="center"/>
              <w:textAlignment w:val="auto"/>
              <w:rPr>
                <w:rFonts w:hint="eastAsia" w:ascii="Times New Roman" w:hAnsi="Times New Roman" w:cs="Times New Roman"/>
              </w:rPr>
            </w:pPr>
            <w:r>
              <w:rPr>
                <w:rFonts w:hint="eastAsia" w:ascii="Times New Roman" w:hAnsi="Times New Roman" w:cs="Times New Roman"/>
              </w:rPr>
              <w:t>投标保证金</w:t>
            </w:r>
          </w:p>
        </w:tc>
        <w:tc>
          <w:tcPr>
            <w:tcW w:w="6894"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default"/>
                <w:lang w:val="en-US" w:eastAsia="zh-CN"/>
              </w:rPr>
            </w:pPr>
            <w:r>
              <w:rPr>
                <w:rFonts w:hint="eastAsia"/>
              </w:rPr>
              <w:t>投标保证金的形式：保险保函或从投标人基本账户以银行电汇或网银形式汇至</w:t>
            </w:r>
            <w:r>
              <w:rPr>
                <w:rFonts w:hint="eastAsia"/>
                <w:lang w:val="en-US" w:eastAsia="zh-CN"/>
              </w:rPr>
              <w:t>以下基本账户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lang w:eastAsia="zh-CN"/>
              </w:rPr>
            </w:pPr>
            <w:r>
              <w:rPr>
                <w:rFonts w:hint="eastAsia"/>
              </w:rPr>
              <w:t>1、投标人以</w:t>
            </w:r>
            <w:r>
              <w:rPr>
                <w:rFonts w:hint="eastAsia"/>
                <w:lang w:val="en-US" w:eastAsia="zh-CN"/>
              </w:rPr>
              <w:t>网银</w:t>
            </w:r>
            <w:r>
              <w:rPr>
                <w:rFonts w:hint="eastAsia"/>
                <w:lang w:eastAsia="zh-CN"/>
              </w:rPr>
              <w:t>转账或</w:t>
            </w:r>
            <w:r>
              <w:rPr>
                <w:rFonts w:hint="eastAsia"/>
              </w:rPr>
              <w:t>电汇形式从其基本账户转至招标人指定账户（不得为个人账户）。投标保证金必须以投标人名义交纳。金额以到帐为准。</w:t>
            </w:r>
          </w:p>
          <w:p>
            <w:pPr>
              <w:keepNext w:val="0"/>
              <w:keepLines w:val="0"/>
              <w:pageBreakBefore w:val="0"/>
              <w:widowControl/>
              <w:kinsoku/>
              <w:wordWrap/>
              <w:overflowPunct/>
              <w:topLinePunct w:val="0"/>
              <w:autoSpaceDE/>
              <w:autoSpaceDN/>
              <w:bidi w:val="0"/>
              <w:spacing w:line="300" w:lineRule="exact"/>
              <w:jc w:val="left"/>
              <w:textAlignment w:val="auto"/>
              <w:rPr>
                <w:rFonts w:hint="eastAsia"/>
                <w:highlight w:val="none"/>
                <w:lang w:eastAsia="zh-CN"/>
              </w:rPr>
            </w:pPr>
            <w:r>
              <w:rPr>
                <w:rFonts w:hint="eastAsia"/>
              </w:rPr>
              <w:t>投标保证金的金额：</w:t>
            </w:r>
            <w:r>
              <w:rPr>
                <w:rFonts w:hint="eastAsia"/>
                <w:highlight w:val="none"/>
                <w:lang w:val="en-US" w:eastAsia="zh-CN"/>
              </w:rPr>
              <w:t>20000</w:t>
            </w:r>
            <w:r>
              <w:rPr>
                <w:rFonts w:hint="eastAsia"/>
                <w:highlight w:val="none"/>
              </w:rPr>
              <w:t>.00元人民币（</w:t>
            </w:r>
            <w:r>
              <w:rPr>
                <w:rFonts w:hint="eastAsia"/>
                <w:highlight w:val="none"/>
                <w:lang w:val="en-US" w:eastAsia="zh-CN"/>
              </w:rPr>
              <w:t>贰万</w:t>
            </w:r>
            <w:r>
              <w:rPr>
                <w:rFonts w:hint="eastAsia"/>
                <w:highlight w:val="none"/>
              </w:rPr>
              <w:t>元整）</w:t>
            </w:r>
          </w:p>
          <w:p>
            <w:pPr>
              <w:keepNext w:val="0"/>
              <w:keepLines w:val="0"/>
              <w:pageBreakBefore w:val="0"/>
              <w:widowControl/>
              <w:kinsoku/>
              <w:wordWrap/>
              <w:overflowPunct/>
              <w:topLinePunct w:val="0"/>
              <w:autoSpaceDE/>
              <w:autoSpaceDN/>
              <w:bidi w:val="0"/>
              <w:spacing w:line="300" w:lineRule="exact"/>
              <w:jc w:val="left"/>
              <w:textAlignment w:val="auto"/>
              <w:rPr>
                <w:rFonts w:hint="eastAsia"/>
                <w:lang w:eastAsia="zh-CN"/>
              </w:rPr>
            </w:pPr>
            <w:r>
              <w:rPr>
                <w:rFonts w:hint="eastAsia"/>
              </w:rPr>
              <w:t>递交方式：投标人将投标保证金从企业基本帐户汇至以下账户</w:t>
            </w:r>
          </w:p>
          <w:p>
            <w:pPr>
              <w:keepNext w:val="0"/>
              <w:keepLines w:val="0"/>
              <w:pageBreakBefore w:val="0"/>
              <w:widowControl/>
              <w:kinsoku/>
              <w:wordWrap/>
              <w:overflowPunct/>
              <w:topLinePunct w:val="0"/>
              <w:autoSpaceDE/>
              <w:autoSpaceDN/>
              <w:bidi w:val="0"/>
              <w:spacing w:line="300" w:lineRule="exact"/>
              <w:jc w:val="left"/>
              <w:textAlignment w:val="auto"/>
              <w:rPr>
                <w:rFonts w:hint="eastAsia"/>
                <w:lang w:eastAsia="zh-CN"/>
              </w:rPr>
            </w:pPr>
            <w:r>
              <w:rPr>
                <w:rFonts w:hint="eastAsia"/>
              </w:rPr>
              <w:t>账户名称：</w:t>
            </w:r>
            <w:r>
              <w:rPr>
                <w:rFonts w:hint="eastAsia"/>
                <w:lang w:val="en-US" w:eastAsia="zh-CN"/>
              </w:rPr>
              <w:t>新疆伊筑</w:t>
            </w:r>
            <w:r>
              <w:rPr>
                <w:rFonts w:hint="eastAsia"/>
                <w:lang w:eastAsia="zh-CN"/>
              </w:rPr>
              <w:t>工程管理有限公司</w:t>
            </w:r>
          </w:p>
          <w:p>
            <w:pPr>
              <w:keepNext w:val="0"/>
              <w:keepLines w:val="0"/>
              <w:pageBreakBefore w:val="0"/>
              <w:widowControl/>
              <w:kinsoku/>
              <w:wordWrap/>
              <w:overflowPunct/>
              <w:topLinePunct w:val="0"/>
              <w:autoSpaceDE/>
              <w:autoSpaceDN/>
              <w:bidi w:val="0"/>
              <w:spacing w:line="300" w:lineRule="exact"/>
              <w:jc w:val="left"/>
              <w:textAlignment w:val="auto"/>
              <w:rPr>
                <w:rFonts w:hint="eastAsia"/>
              </w:rPr>
            </w:pPr>
            <w:r>
              <w:rPr>
                <w:rFonts w:hint="eastAsia"/>
              </w:rPr>
              <w:t>开户行：</w:t>
            </w:r>
            <w:r>
              <w:rPr>
                <w:rFonts w:hint="eastAsia" w:ascii="Times New Roman" w:hAnsi="Times New Roman" w:eastAsia="宋体" w:cs="Times New Roman"/>
                <w:kern w:val="2"/>
                <w:sz w:val="21"/>
                <w:lang w:val="en-US" w:eastAsia="zh-CN" w:bidi="ar-SA"/>
              </w:rPr>
              <w:t>中国工商银行股份有限公司伊犁哈萨克自治州分行</w:t>
            </w:r>
          </w:p>
          <w:p>
            <w:pPr>
              <w:keepNext w:val="0"/>
              <w:keepLines w:val="0"/>
              <w:pageBreakBefore w:val="0"/>
              <w:widowControl/>
              <w:kinsoku/>
              <w:wordWrap/>
              <w:overflowPunct/>
              <w:topLinePunct w:val="0"/>
              <w:autoSpaceDE/>
              <w:autoSpaceDN/>
              <w:bidi w:val="0"/>
              <w:spacing w:line="300" w:lineRule="exact"/>
              <w:jc w:val="left"/>
              <w:textAlignment w:val="auto"/>
              <w:rPr>
                <w:rFonts w:hint="eastAsia"/>
              </w:rPr>
            </w:pPr>
            <w:r>
              <w:rPr>
                <w:rFonts w:hint="eastAsia"/>
              </w:rPr>
              <w:t>账  号：</w:t>
            </w:r>
            <w:r>
              <w:rPr>
                <w:rFonts w:hint="eastAsia" w:ascii="Times New Roman" w:hAnsi="Times New Roman" w:eastAsia="宋体" w:cs="Times New Roman"/>
                <w:kern w:val="2"/>
                <w:sz w:val="21"/>
                <w:lang w:val="en-US" w:eastAsia="zh-CN" w:bidi="ar-SA"/>
              </w:rPr>
              <w:t>3006022009200735786</w:t>
            </w:r>
          </w:p>
          <w:p>
            <w:pPr>
              <w:keepNext w:val="0"/>
              <w:keepLines w:val="0"/>
              <w:pageBreakBefore w:val="0"/>
              <w:widowControl/>
              <w:numPr>
                <w:ilvl w:val="0"/>
                <w:numId w:val="2"/>
              </w:numPr>
              <w:kinsoku/>
              <w:wordWrap/>
              <w:overflowPunct/>
              <w:topLinePunct w:val="0"/>
              <w:autoSpaceDE/>
              <w:autoSpaceDN/>
              <w:bidi w:val="0"/>
              <w:spacing w:line="300" w:lineRule="exact"/>
              <w:jc w:val="left"/>
              <w:textAlignment w:val="auto"/>
              <w:rPr>
                <w:rFonts w:hint="eastAsia"/>
                <w:lang w:val="en-US" w:eastAsia="zh-CN"/>
              </w:rPr>
            </w:pPr>
            <w:r>
              <w:rPr>
                <w:rFonts w:hint="eastAsia"/>
                <w:lang w:val="en-US" w:eastAsia="zh-CN"/>
              </w:rPr>
              <w:t>投标人提交投标保证金应充分考虑资金在途时间。各投标单位缴纳投标保证金时须在附加信息及用途栏内注明“投标保证金、工程名称及标段”（以投标保证金接收方银行到账信息为准）。</w:t>
            </w:r>
          </w:p>
          <w:p>
            <w:pPr>
              <w:pStyle w:val="2"/>
              <w:ind w:left="0" w:leftChars="0" w:firstLine="0" w:firstLineChars="0"/>
              <w:rPr>
                <w:rFonts w:hint="default"/>
                <w:lang w:val="en-US" w:eastAsia="zh-CN"/>
              </w:rPr>
            </w:pPr>
            <w:r>
              <w:rPr>
                <w:rFonts w:hint="eastAsia"/>
                <w:sz w:val="21"/>
                <w:szCs w:val="21"/>
                <w:lang w:val="en-US" w:eastAsia="zh-CN"/>
              </w:rPr>
              <w:t>在投标文件中附转账凭证并加盖企业公章。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第17.1款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响应文件有效期</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u w:val="single"/>
              </w:rPr>
            </w:pPr>
            <w:r>
              <w:rPr>
                <w:rFonts w:eastAsiaTheme="minorEastAsia"/>
                <w:szCs w:val="21"/>
                <w:u w:val="single"/>
              </w:rPr>
              <w:t>60</w:t>
            </w:r>
            <w:r>
              <w:rPr>
                <w:rFonts w:eastAsiaTheme="minorEastAsia"/>
                <w:szCs w:val="21"/>
              </w:rPr>
              <w:t>日（日历日）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eastAsiaTheme="minorEastAsia"/>
                <w:szCs w:val="21"/>
                <w:lang w:val="en-US" w:eastAsia="zh-CN"/>
              </w:rPr>
            </w:pPr>
            <w:r>
              <w:rPr>
                <w:rFonts w:hint="eastAsia" w:eastAsiaTheme="minorEastAsia"/>
                <w:szCs w:val="21"/>
                <w:lang w:val="en-US" w:eastAsia="zh-CN"/>
              </w:rPr>
              <w:t>第18.1款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bCs/>
                <w:szCs w:val="21"/>
              </w:rPr>
            </w:pPr>
            <w:r>
              <w:rPr>
                <w:rFonts w:hint="eastAsia" w:eastAsiaTheme="minorEastAsia"/>
                <w:szCs w:val="21"/>
                <w:lang w:val="en-US" w:eastAsia="zh-CN"/>
              </w:rPr>
              <w:t>响应文件领取</w:t>
            </w:r>
          </w:p>
        </w:tc>
        <w:tc>
          <w:tcPr>
            <w:tcW w:w="6894" w:type="dxa"/>
            <w:vAlign w:val="center"/>
          </w:tcPr>
          <w:p>
            <w:pPr>
              <w:keepNext w:val="0"/>
              <w:keepLines w:val="0"/>
              <w:pageBreakBefore w:val="0"/>
              <w:widowControl/>
              <w:kinsoku/>
              <w:wordWrap/>
              <w:overflowPunct/>
              <w:topLinePunct w:val="0"/>
              <w:autoSpaceDE/>
              <w:autoSpaceDN/>
              <w:bidi w:val="0"/>
              <w:spacing w:line="300" w:lineRule="exact"/>
              <w:jc w:val="left"/>
              <w:textAlignment w:val="auto"/>
              <w:rPr>
                <w:rFonts w:hint="eastAsia" w:ascii="Times New Roman" w:hAnsi="Times New Roman" w:eastAsia="宋体" w:cs="Times New Roman"/>
                <w:lang w:val="en-US" w:eastAsia="zh-CN"/>
              </w:rPr>
            </w:pPr>
            <w:r>
              <w:rPr>
                <w:rFonts w:hint="eastAsia" w:ascii="Times New Roman" w:hAnsi="Times New Roman" w:eastAsia="宋体" w:cs="Times New Roman"/>
                <w:highlight w:val="none"/>
                <w:lang w:val="en-US" w:eastAsia="zh-CN"/>
              </w:rPr>
              <w:t>时间：2023年</w:t>
            </w:r>
            <w:r>
              <w:rPr>
                <w:rFonts w:hint="eastAsia" w:cs="Times New Roman"/>
                <w:highlight w:val="none"/>
                <w:lang w:val="en-US" w:eastAsia="zh-CN"/>
              </w:rPr>
              <w:t>07</w:t>
            </w:r>
            <w:r>
              <w:rPr>
                <w:rFonts w:hint="eastAsia" w:ascii="Times New Roman" w:hAnsi="Times New Roman" w:eastAsia="宋体" w:cs="Times New Roman"/>
                <w:highlight w:val="none"/>
                <w:lang w:val="en-US" w:eastAsia="zh-CN"/>
              </w:rPr>
              <w:t>月</w:t>
            </w:r>
            <w:r>
              <w:rPr>
                <w:rFonts w:hint="eastAsia" w:cs="Times New Roman"/>
                <w:highlight w:val="none"/>
                <w:lang w:val="en-US" w:eastAsia="zh-CN"/>
              </w:rPr>
              <w:t>04</w:t>
            </w:r>
            <w:r>
              <w:rPr>
                <w:rFonts w:hint="eastAsia" w:ascii="Times New Roman" w:hAnsi="Times New Roman" w:eastAsia="宋体" w:cs="Times New Roman"/>
                <w:highlight w:val="none"/>
                <w:lang w:val="en-US" w:eastAsia="zh-CN"/>
              </w:rPr>
              <w:t>日至2023年</w:t>
            </w:r>
            <w:r>
              <w:rPr>
                <w:rFonts w:hint="eastAsia" w:cs="Times New Roman"/>
                <w:highlight w:val="none"/>
                <w:lang w:val="en-US" w:eastAsia="zh-CN"/>
              </w:rPr>
              <w:t>07</w:t>
            </w:r>
            <w:r>
              <w:rPr>
                <w:rFonts w:hint="eastAsia" w:ascii="Times New Roman" w:hAnsi="Times New Roman" w:eastAsia="宋体" w:cs="Times New Roman"/>
                <w:highlight w:val="none"/>
                <w:lang w:val="en-US" w:eastAsia="zh-CN"/>
              </w:rPr>
              <w:t>月</w:t>
            </w:r>
            <w:r>
              <w:rPr>
                <w:rFonts w:hint="eastAsia" w:cs="Times New Roman"/>
                <w:highlight w:val="none"/>
                <w:lang w:val="en-US" w:eastAsia="zh-CN"/>
              </w:rPr>
              <w:t>11</w:t>
            </w:r>
            <w:r>
              <w:rPr>
                <w:rFonts w:hint="eastAsia" w:ascii="Times New Roman" w:hAnsi="Times New Roman" w:eastAsia="宋体" w:cs="Times New Roman"/>
                <w:highlight w:val="none"/>
                <w:lang w:val="en-US" w:eastAsia="zh-CN"/>
              </w:rPr>
              <w:t>日</w:t>
            </w:r>
            <w:r>
              <w:rPr>
                <w:rFonts w:hint="eastAsia" w:cs="Times New Roman"/>
                <w:highlight w:val="none"/>
                <w:lang w:val="en-US" w:eastAsia="zh-CN"/>
              </w:rPr>
              <w:t>12时00分</w:t>
            </w:r>
            <w:r>
              <w:rPr>
                <w:rFonts w:hint="eastAsia" w:ascii="Times New Roman" w:hAnsi="Times New Roman" w:eastAsia="宋体" w:cs="Times New Roman"/>
                <w:highlight w:val="none"/>
                <w:lang w:val="en-US" w:eastAsia="zh-CN"/>
              </w:rPr>
              <w:t>，每天上午</w:t>
            </w:r>
            <w:r>
              <w:rPr>
                <w:rFonts w:hint="eastAsia" w:cs="Times New Roman"/>
                <w:highlight w:val="none"/>
                <w:lang w:val="en-US" w:eastAsia="zh-CN"/>
              </w:rPr>
              <w:t>00</w:t>
            </w:r>
            <w:r>
              <w:rPr>
                <w:rFonts w:hint="eastAsia" w:ascii="Times New Roman" w:hAnsi="Times New Roman" w:eastAsia="宋体" w:cs="Times New Roman"/>
                <w:highlight w:val="none"/>
                <w:lang w:val="en-US" w:eastAsia="zh-CN"/>
              </w:rPr>
              <w:t>：00至</w:t>
            </w:r>
            <w:r>
              <w:rPr>
                <w:rFonts w:hint="eastAsia" w:cs="Times New Roman"/>
                <w:highlight w:val="none"/>
                <w:lang w:val="en-US" w:eastAsia="zh-CN"/>
              </w:rPr>
              <w:t>12</w:t>
            </w:r>
            <w:r>
              <w:rPr>
                <w:rFonts w:hint="eastAsia" w:ascii="Times New Roman" w:hAnsi="Times New Roman" w:eastAsia="宋体" w:cs="Times New Roman"/>
                <w:highlight w:val="none"/>
                <w:lang w:val="en-US" w:eastAsia="zh-CN"/>
              </w:rPr>
              <w:t>：00，下午</w:t>
            </w:r>
            <w:r>
              <w:rPr>
                <w:rFonts w:hint="eastAsia" w:cs="Times New Roman"/>
                <w:highlight w:val="none"/>
                <w:lang w:val="en-US" w:eastAsia="zh-CN"/>
              </w:rPr>
              <w:t>12：0</w:t>
            </w:r>
            <w:r>
              <w:rPr>
                <w:rFonts w:hint="eastAsia" w:ascii="Times New Roman" w:hAnsi="Times New Roman" w:eastAsia="宋体" w:cs="Times New Roman"/>
                <w:highlight w:val="none"/>
                <w:lang w:val="en-US" w:eastAsia="zh-CN"/>
              </w:rPr>
              <w:t>0至</w:t>
            </w:r>
            <w:r>
              <w:rPr>
                <w:rFonts w:hint="eastAsia" w:cs="Times New Roman"/>
                <w:highlight w:val="none"/>
                <w:lang w:val="en-US" w:eastAsia="zh-CN"/>
              </w:rPr>
              <w:t>23</w:t>
            </w:r>
            <w:r>
              <w:rPr>
                <w:rFonts w:hint="eastAsia" w:ascii="Times New Roman" w:hAnsi="Times New Roman" w:eastAsia="宋体" w:cs="Times New Roman"/>
                <w:highlight w:val="none"/>
                <w:lang w:val="en-US" w:eastAsia="zh-CN"/>
              </w:rPr>
              <w:t>：</w:t>
            </w:r>
            <w:r>
              <w:rPr>
                <w:rFonts w:hint="eastAsia" w:cs="Times New Roman"/>
                <w:highlight w:val="none"/>
                <w:lang w:val="en-US" w:eastAsia="zh-CN"/>
              </w:rPr>
              <w:t>59</w:t>
            </w:r>
            <w:r>
              <w:rPr>
                <w:rFonts w:hint="eastAsia" w:ascii="Times New Roman" w:hAnsi="Times New Roman" w:eastAsia="宋体" w:cs="Times New Roman"/>
                <w:lang w:val="en-US" w:eastAsia="zh-CN"/>
              </w:rPr>
              <w:t>（北京时间，法定节假日除外）地点：供应商登陆政采云平台http://www.zcygov.cn/，在线申请获取招标文件 （登录政府采购云平台 → 项目采购 → 获取招标文件 →申请，审核通过后可下载招标文件 ，如有操作性问题，可与政采云在线客服进行咨询，咨询电话</w:t>
            </w:r>
            <w:r>
              <w:rPr>
                <w:rFonts w:hint="eastAsia" w:cs="Times New Roman"/>
                <w:lang w:val="en-US" w:eastAsia="zh-CN"/>
              </w:rPr>
              <w:t>：95763</w:t>
            </w:r>
            <w:r>
              <w:rPr>
                <w:rFonts w:hint="eastAsia" w:ascii="Times New Roman" w:hAnsi="Times New Roman" w:eastAsia="宋体" w:cs="Times New Roman"/>
                <w:lang w:val="en-US" w:eastAsia="zh-CN"/>
              </w:rPr>
              <w:t>）。</w:t>
            </w:r>
          </w:p>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u w:val="single"/>
              </w:rPr>
            </w:pPr>
            <w:r>
              <w:rPr>
                <w:rFonts w:hint="eastAsia" w:cs="Times New Roman"/>
                <w:lang w:val="en-US" w:eastAsia="zh-CN"/>
              </w:rPr>
              <w:t>注：</w:t>
            </w:r>
            <w:r>
              <w:rPr>
                <w:rFonts w:hint="eastAsia" w:ascii="Times New Roman" w:hAnsi="Times New Roman" w:eastAsia="宋体" w:cs="Times New Roman"/>
                <w:lang w:val="en-US" w:eastAsia="zh-CN"/>
              </w:rPr>
              <w:t>供应商获取招标文件前应注册成为政府采购云平台正式供应商。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default" w:eastAsiaTheme="minorEastAsia"/>
                <w:szCs w:val="21"/>
                <w:lang w:val="en-US" w:eastAsia="zh-CN"/>
              </w:rPr>
            </w:pPr>
            <w:r>
              <w:rPr>
                <w:rFonts w:hint="eastAsia" w:eastAsiaTheme="minorEastAsia"/>
                <w:szCs w:val="21"/>
                <w:lang w:val="en-US" w:eastAsia="zh-CN"/>
              </w:rPr>
              <w:t>第18.2款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hint="eastAsia" w:eastAsiaTheme="minorEastAsia"/>
                <w:szCs w:val="21"/>
                <w:lang w:val="en-US" w:eastAsia="zh-CN"/>
              </w:rPr>
            </w:pPr>
            <w:r>
              <w:rPr>
                <w:rFonts w:hint="eastAsia" w:eastAsiaTheme="minorEastAsia"/>
                <w:szCs w:val="21"/>
                <w:lang w:val="en-US" w:eastAsia="zh-CN"/>
              </w:rPr>
              <w:t>响应文件的上传和递交</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ascii="Times New Roman" w:hAnsi="Times New Roman" w:cs="Times New Roman" w:eastAsiaTheme="minorEastAsia"/>
                <w:bCs/>
                <w:szCs w:val="21"/>
                <w:lang w:val="en-US" w:eastAsia="zh-CN"/>
              </w:rPr>
            </w:pPr>
            <w:r>
              <w:rPr>
                <w:rFonts w:hint="eastAsia" w:ascii="Times New Roman" w:hAnsi="Times New Roman" w:cs="Times New Roman" w:eastAsiaTheme="minorEastAsia"/>
                <w:bCs/>
                <w:szCs w:val="21"/>
                <w:lang w:val="en-US" w:eastAsia="zh-CN"/>
              </w:rPr>
              <w:t>1.电子加密投标文件：投标文件制作完成并生成加密标书，在投标截止时间前，供应商需将加密的投标文件上传至政采云平台，在开标时间开始后，待采购组织机构发出解密通知后30分钟内解密投标文件。</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ascii="Times New Roman" w:hAnsi="Times New Roman" w:cs="Times New Roman" w:eastAsiaTheme="minorEastAsia"/>
                <w:bCs/>
                <w:szCs w:val="21"/>
                <w:lang w:val="en-US" w:eastAsia="zh-CN"/>
              </w:rPr>
            </w:pPr>
            <w:r>
              <w:rPr>
                <w:rFonts w:hint="eastAsia" w:ascii="Times New Roman" w:hAnsi="Times New Roman" w:cs="Times New Roman" w:eastAsiaTheme="minorEastAsia"/>
                <w:bCs/>
                <w:szCs w:val="21"/>
                <w:lang w:val="en-US" w:eastAsia="zh-CN"/>
              </w:rPr>
              <w:t>a.供应商未能在投标截止时间前成功上传电子加密投标文件的投标无效。</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cs="Times New Roman"/>
                <w:lang w:val="en-US" w:eastAsia="zh-CN"/>
              </w:rPr>
            </w:pPr>
            <w:r>
              <w:rPr>
                <w:rFonts w:hint="eastAsia" w:ascii="Times New Roman" w:hAnsi="Times New Roman" w:cs="Times New Roman" w:eastAsiaTheme="minorEastAsia"/>
                <w:bCs/>
                <w:szCs w:val="21"/>
                <w:lang w:val="en-US" w:eastAsia="zh-CN"/>
              </w:rPr>
              <w:t>b.供应商成功上传电子加密投标文件后，可自行打印投标文件接收回执。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第19.1款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bCs/>
                <w:szCs w:val="21"/>
              </w:rPr>
              <w:t>响应</w:t>
            </w:r>
            <w:r>
              <w:rPr>
                <w:rFonts w:eastAsiaTheme="minorEastAsia"/>
                <w:szCs w:val="21"/>
              </w:rPr>
              <w:t>文件份数</w:t>
            </w:r>
          </w:p>
        </w:tc>
        <w:tc>
          <w:tcPr>
            <w:tcW w:w="6894" w:type="dxa"/>
            <w:vAlign w:val="center"/>
          </w:tcPr>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hint="eastAsia" w:eastAsiaTheme="minorEastAsia"/>
                <w:szCs w:val="21"/>
                <w:u w:val="none"/>
              </w:rPr>
            </w:pPr>
            <w:r>
              <w:rPr>
                <w:rFonts w:hint="eastAsia" w:eastAsiaTheme="minorEastAsia"/>
                <w:szCs w:val="21"/>
                <w:u w:val="none"/>
                <w:lang w:val="en-US" w:eastAsia="zh-CN"/>
              </w:rPr>
              <w:t>响应</w:t>
            </w:r>
            <w:r>
              <w:rPr>
                <w:rFonts w:hint="eastAsia" w:eastAsiaTheme="minorEastAsia"/>
                <w:szCs w:val="21"/>
                <w:u w:val="none"/>
              </w:rPr>
              <w:t>文件包括：</w:t>
            </w:r>
          </w:p>
          <w:p>
            <w:pPr>
              <w:keepNext w:val="0"/>
              <w:keepLines w:val="0"/>
              <w:pageBreakBefore w:val="0"/>
              <w:widowControl w:val="0"/>
              <w:kinsoku/>
              <w:wordWrap/>
              <w:overflowPunct/>
              <w:topLinePunct w:val="0"/>
              <w:autoSpaceDE/>
              <w:autoSpaceDN/>
              <w:bidi w:val="0"/>
              <w:adjustRightInd w:val="0"/>
              <w:snapToGrid w:val="0"/>
              <w:spacing w:line="300" w:lineRule="exact"/>
              <w:textAlignment w:val="auto"/>
              <w:rPr>
                <w:rFonts w:eastAsiaTheme="minorEastAsia"/>
                <w:szCs w:val="21"/>
                <w:u w:val="single"/>
              </w:rPr>
            </w:pPr>
            <w:r>
              <w:rPr>
                <w:rFonts w:hint="eastAsia" w:eastAsiaTheme="minorEastAsia"/>
                <w:szCs w:val="21"/>
                <w:u w:val="none"/>
              </w:rPr>
              <w:t>本项目采用</w:t>
            </w:r>
            <w:r>
              <w:rPr>
                <w:rFonts w:hint="eastAsia" w:eastAsiaTheme="minorEastAsia"/>
                <w:szCs w:val="21"/>
                <w:u w:val="none"/>
                <w:lang w:val="en-US" w:eastAsia="zh-CN"/>
              </w:rPr>
              <w:t>线上</w:t>
            </w:r>
            <w:r>
              <w:rPr>
                <w:rFonts w:hint="eastAsia" w:eastAsiaTheme="minorEastAsia"/>
                <w:szCs w:val="21"/>
                <w:u w:val="none"/>
              </w:rPr>
              <w:t>开标、投标人需要递交电子投标文件，在投标截止时间前通过政采云平台上传到指定位置。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提交响应文件的截止时间（开启时间）</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rFonts w:eastAsiaTheme="minorEastAsia"/>
                <w:b w:val="0"/>
                <w:bCs w:val="0"/>
                <w:color w:val="auto"/>
                <w:szCs w:val="21"/>
                <w:highlight w:val="none"/>
              </w:rPr>
              <w:t>202</w:t>
            </w:r>
            <w:r>
              <w:rPr>
                <w:rFonts w:hint="eastAsia" w:eastAsiaTheme="minorEastAsia"/>
                <w:b w:val="0"/>
                <w:bCs w:val="0"/>
                <w:color w:val="auto"/>
                <w:szCs w:val="21"/>
                <w:highlight w:val="none"/>
                <w:lang w:val="en-US" w:eastAsia="zh-CN"/>
              </w:rPr>
              <w:t>3</w:t>
            </w:r>
            <w:r>
              <w:rPr>
                <w:rFonts w:eastAsiaTheme="minorEastAsia"/>
                <w:b w:val="0"/>
                <w:bCs w:val="0"/>
                <w:color w:val="auto"/>
                <w:szCs w:val="21"/>
                <w:highlight w:val="none"/>
              </w:rPr>
              <w:t>年</w:t>
            </w:r>
            <w:r>
              <w:rPr>
                <w:rFonts w:hint="eastAsia" w:eastAsiaTheme="minorEastAsia"/>
                <w:b w:val="0"/>
                <w:bCs w:val="0"/>
                <w:color w:val="auto"/>
                <w:szCs w:val="21"/>
                <w:highlight w:val="none"/>
                <w:lang w:val="en-US" w:eastAsia="zh-CN"/>
              </w:rPr>
              <w:t>07</w:t>
            </w:r>
            <w:r>
              <w:rPr>
                <w:rFonts w:eastAsiaTheme="minorEastAsia"/>
                <w:b w:val="0"/>
                <w:bCs w:val="0"/>
                <w:color w:val="auto"/>
                <w:szCs w:val="21"/>
                <w:highlight w:val="none"/>
              </w:rPr>
              <w:t>月</w:t>
            </w:r>
            <w:r>
              <w:rPr>
                <w:rFonts w:hint="eastAsia" w:eastAsiaTheme="minorEastAsia"/>
                <w:b w:val="0"/>
                <w:bCs w:val="0"/>
                <w:color w:val="auto"/>
                <w:szCs w:val="21"/>
                <w:highlight w:val="none"/>
                <w:lang w:val="en-US" w:eastAsia="zh-CN"/>
              </w:rPr>
              <w:t>14</w:t>
            </w:r>
            <w:r>
              <w:rPr>
                <w:rFonts w:eastAsiaTheme="minorEastAsia"/>
                <w:b w:val="0"/>
                <w:bCs w:val="0"/>
                <w:color w:val="auto"/>
                <w:szCs w:val="21"/>
                <w:highlight w:val="none"/>
              </w:rPr>
              <w:t>日</w:t>
            </w:r>
            <w:r>
              <w:rPr>
                <w:rFonts w:hint="eastAsia" w:eastAsiaTheme="minorEastAsia"/>
                <w:b w:val="0"/>
                <w:bCs w:val="0"/>
                <w:color w:val="auto"/>
                <w:szCs w:val="21"/>
                <w:highlight w:val="none"/>
                <w:lang w:val="en-US" w:eastAsia="zh-CN"/>
              </w:rPr>
              <w:t>10</w:t>
            </w:r>
            <w:r>
              <w:rPr>
                <w:rFonts w:hint="eastAsia" w:eastAsiaTheme="minorEastAsia"/>
                <w:b w:val="0"/>
                <w:bCs w:val="0"/>
                <w:color w:val="auto"/>
                <w:szCs w:val="21"/>
                <w:highlight w:val="none"/>
              </w:rPr>
              <w:t>时</w:t>
            </w:r>
            <w:r>
              <w:rPr>
                <w:rFonts w:hint="eastAsia" w:eastAsiaTheme="minorEastAsia"/>
                <w:b w:val="0"/>
                <w:bCs w:val="0"/>
                <w:color w:val="auto"/>
                <w:szCs w:val="21"/>
                <w:highlight w:val="none"/>
                <w:lang w:val="en-US" w:eastAsia="zh-CN"/>
              </w:rPr>
              <w:t>30</w:t>
            </w:r>
            <w:r>
              <w:rPr>
                <w:rFonts w:hint="eastAsia" w:eastAsiaTheme="minorEastAsia"/>
                <w:b w:val="0"/>
                <w:bCs w:val="0"/>
                <w:color w:val="auto"/>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第21.1 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 w:val="21"/>
                <w:szCs w:val="21"/>
              </w:rPr>
            </w:pPr>
            <w:r>
              <w:rPr>
                <w:rFonts w:eastAsiaTheme="minorEastAsia"/>
                <w:sz w:val="21"/>
                <w:szCs w:val="21"/>
              </w:rPr>
              <w:t>响应文件的递交地点</w:t>
            </w:r>
          </w:p>
        </w:tc>
        <w:tc>
          <w:tcPr>
            <w:tcW w:w="6894" w:type="dxa"/>
            <w:vAlign w:val="center"/>
          </w:tcPr>
          <w:p>
            <w:pPr>
              <w:pStyle w:val="17"/>
              <w:keepNext w:val="0"/>
              <w:keepLines w:val="0"/>
              <w:pageBreakBefore w:val="0"/>
              <w:kinsoku/>
              <w:wordWrap/>
              <w:overflowPunct/>
              <w:topLinePunct w:val="0"/>
              <w:autoSpaceDE/>
              <w:autoSpaceDN/>
              <w:bidi w:val="0"/>
              <w:spacing w:before="75" w:beforeAutospacing="0" w:after="75" w:afterAutospacing="0" w:line="320" w:lineRule="exact"/>
              <w:textAlignment w:val="auto"/>
              <w:rPr>
                <w:rFonts w:ascii="Times New Roman" w:hAnsi="Times New Roman" w:cs="Times New Roman" w:eastAsiaTheme="minorEastAsia"/>
                <w:bCs/>
                <w:sz w:val="21"/>
                <w:szCs w:val="21"/>
              </w:rPr>
            </w:pPr>
            <w:r>
              <w:rPr>
                <w:rFonts w:hint="eastAsia" w:ascii="Times New Roman" w:hAnsi="Times New Roman" w:cs="Times New Roman" w:eastAsiaTheme="minorEastAsia"/>
                <w:bCs/>
                <w:sz w:val="21"/>
                <w:szCs w:val="21"/>
                <w:lang w:eastAsia="zh-CN"/>
              </w:rPr>
              <w:t>新疆政府采购</w:t>
            </w:r>
            <w:r>
              <w:rPr>
                <w:rFonts w:hint="eastAsia" w:ascii="Times New Roman" w:hAnsi="Times New Roman" w:cs="Times New Roman" w:eastAsiaTheme="minorEastAsia"/>
                <w:bCs/>
                <w:sz w:val="21"/>
                <w:szCs w:val="21"/>
                <w:lang w:val="en-US" w:eastAsia="zh-CN"/>
              </w:rPr>
              <w:t>云电子开标大厅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hint="eastAsia" w:eastAsiaTheme="minorEastAsia"/>
                <w:szCs w:val="21"/>
                <w:lang w:val="en-US" w:eastAsia="zh-CN"/>
              </w:rPr>
              <w:t xml:space="preserve"> </w:t>
            </w:r>
            <w:r>
              <w:rPr>
                <w:rFonts w:eastAsiaTheme="minorEastAsia"/>
                <w:szCs w:val="21"/>
              </w:rPr>
              <w:t>第27.4 .3款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中标公示</w:t>
            </w:r>
          </w:p>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发布媒体</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eastAsiaTheme="minorEastAsia"/>
                <w:bCs/>
                <w:szCs w:val="21"/>
              </w:rPr>
            </w:pPr>
            <w:r>
              <w:rPr>
                <w:rFonts w:hint="eastAsia"/>
                <w:szCs w:val="21"/>
                <w:highlight w:val="none"/>
                <w:lang w:val="en-US" w:eastAsia="zh-CN"/>
              </w:rPr>
              <w:t>新疆政府采购网、伊犁州公共资源交易中心平台</w:t>
            </w:r>
            <w:r>
              <w:rPr>
                <w:szCs w:val="21"/>
                <w:highlight w:val="none"/>
              </w:rPr>
              <w:t>发布，公告期限为</w:t>
            </w:r>
            <w:r>
              <w:rPr>
                <w:rFonts w:hint="eastAsia"/>
                <w:szCs w:val="21"/>
                <w:highlight w:val="none"/>
                <w:lang w:val="en-US" w:eastAsia="zh-CN"/>
              </w:rPr>
              <w:t>1个工作</w:t>
            </w:r>
            <w:r>
              <w:rPr>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第32款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履约担保</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eastAsiaTheme="minorEastAsia"/>
                <w:szCs w:val="21"/>
              </w:rPr>
            </w:pPr>
            <w:r>
              <w:rPr>
                <w:rFonts w:eastAsiaTheme="minorEastAsia"/>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第33.1款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jc w:val="center"/>
              <w:textAlignment w:val="auto"/>
              <w:rPr>
                <w:rFonts w:eastAsiaTheme="minorEastAsia"/>
                <w:szCs w:val="21"/>
              </w:rPr>
            </w:pPr>
            <w:r>
              <w:rPr>
                <w:rFonts w:eastAsiaTheme="minorEastAsia"/>
                <w:szCs w:val="21"/>
              </w:rPr>
              <w:t>招标代理服务费</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eastAsia="宋体"/>
                <w:szCs w:val="21"/>
                <w:lang w:eastAsia="zh-CN"/>
              </w:rPr>
            </w:pPr>
            <w:r>
              <w:rPr>
                <w:szCs w:val="21"/>
              </w:rPr>
              <w:t>由中标方支付。</w:t>
            </w:r>
            <w:r>
              <w:rPr>
                <w:rFonts w:hint="eastAsia"/>
                <w:szCs w:val="21"/>
                <w:lang w:val="en-US" w:eastAsia="zh-CN"/>
              </w:rPr>
              <w:t>按</w:t>
            </w:r>
            <w:r>
              <w:rPr>
                <w:rFonts w:hint="eastAsia"/>
                <w:szCs w:val="21"/>
              </w:rPr>
              <w:t>发改价格［2011］534号文件规定</w:t>
            </w:r>
            <w:r>
              <w:rPr>
                <w:rFonts w:hint="eastAsia"/>
                <w:szCs w:val="21"/>
                <w:lang w:val="en-US" w:eastAsia="zh-CN"/>
              </w:rPr>
              <w:t>标准</w:t>
            </w:r>
            <w:r>
              <w:rPr>
                <w:rFonts w:hint="eastAsia"/>
                <w:szCs w:val="21"/>
              </w:rPr>
              <w:t>执行</w:t>
            </w:r>
            <w:r>
              <w:rPr>
                <w:rFonts w:hint="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0"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第34款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left"/>
              <w:textAlignment w:val="auto"/>
              <w:rPr>
                <w:rFonts w:hint="eastAsia"/>
                <w:szCs w:val="21"/>
                <w:highlight w:val="none"/>
                <w:lang w:val="en-US" w:eastAsia="zh-CN"/>
              </w:rPr>
            </w:pPr>
            <w:r>
              <w:rPr>
                <w:rFonts w:hint="eastAsia"/>
                <w:szCs w:val="21"/>
                <w:highlight w:val="none"/>
                <w:lang w:val="en-US" w:eastAsia="zh-CN"/>
              </w:rPr>
              <w:t>最高投标限价</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b w:val="0"/>
                <w:bCs w:val="0"/>
                <w:szCs w:val="21"/>
                <w:highlight w:val="none"/>
                <w:lang w:val="en-US" w:eastAsia="zh-CN"/>
              </w:rPr>
            </w:pPr>
            <w:r>
              <w:rPr>
                <w:rFonts w:hint="eastAsia"/>
                <w:b w:val="0"/>
                <w:bCs w:val="0"/>
                <w:szCs w:val="21"/>
                <w:highlight w:val="none"/>
                <w:lang w:val="en-US" w:eastAsia="zh-CN"/>
              </w:rPr>
              <w:t>1995837.47元（大写：壹佰玖拾玖万伍仟捌佰叁拾柒元肆角柒分）</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szCs w:val="21"/>
                <w:highlight w:val="none"/>
                <w:lang w:val="en-US" w:eastAsia="zh-CN"/>
              </w:rPr>
            </w:pPr>
            <w:r>
              <w:rPr>
                <w:rFonts w:hint="eastAsia"/>
                <w:b w:val="0"/>
                <w:bCs w:val="0"/>
                <w:szCs w:val="21"/>
                <w:highlight w:val="none"/>
                <w:lang w:val="en-US" w:eastAsia="zh-CN"/>
              </w:rPr>
              <w:t>(供应商报价均不得超过此限价，超过此限价视为无效投标)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0" w:type="dxa"/>
            <w:vMerge w:val="restart"/>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default"/>
                <w:szCs w:val="21"/>
                <w:highlight w:val="none"/>
                <w:lang w:val="en-US" w:eastAsia="zh-CN"/>
              </w:rPr>
            </w:pPr>
            <w:r>
              <w:rPr>
                <w:rFonts w:hint="eastAsia"/>
                <w:szCs w:val="21"/>
                <w:highlight w:val="none"/>
                <w:lang w:val="en-US" w:eastAsia="zh-CN"/>
              </w:rPr>
              <w:t>第34.1款</w:t>
            </w: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center"/>
              <w:textAlignment w:val="auto"/>
              <w:rPr>
                <w:rFonts w:hint="default"/>
                <w:szCs w:val="21"/>
                <w:highlight w:val="none"/>
                <w:lang w:val="en-US" w:eastAsia="zh-CN"/>
              </w:rPr>
            </w:pPr>
            <w:r>
              <w:rPr>
                <w:rFonts w:hint="eastAsia"/>
                <w:szCs w:val="21"/>
                <w:highlight w:val="none"/>
                <w:lang w:val="en-US" w:eastAsia="zh-CN"/>
              </w:rPr>
              <w:t>重要说明（1）</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lang w:val="en-US" w:eastAsia="zh-CN"/>
              </w:rPr>
            </w:pPr>
            <w:r>
              <w:rPr>
                <w:rFonts w:hint="eastAsia"/>
                <w:lang w:val="en-US" w:eastAsia="zh-CN"/>
              </w:rPr>
              <w:t>1.本项目采用全流程不见面电子开评标，投标供应商需要使用CA加密设备，供应商可通过新疆数字证书认证中心官网（https://www.xjca.com.cn/）或下载“新疆政务通”APP自行进行申领。</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lang w:val="en-US" w:eastAsia="zh-CN"/>
              </w:rPr>
            </w:pPr>
            <w:r>
              <w:rPr>
                <w:rFonts w:hint="eastAsia"/>
                <w:lang w:val="en-US" w:eastAsia="zh-CN"/>
              </w:rPr>
              <w:t>2.本项目实行网上投标，采用加密电子投标文件(供应商须使用CA加密设备通过政采云电子投标客户端制作投标文件)。若供应商参与投标，自行承担投标一切费用。</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lang w:val="en-US" w:eastAsia="zh-CN"/>
              </w:rPr>
            </w:pPr>
            <w:r>
              <w:rPr>
                <w:rFonts w:hint="eastAsia"/>
                <w:lang w:val="en-US" w:eastAsia="zh-CN"/>
              </w:rPr>
              <w:t>3.各供应商在开标前应确保成为新疆维吾尔自治区政府采购网正式注册入库供应商，并完成CA数字证书申领。因未注册入库、未办理CA数字证书等原因造成无法投标或投标失败等后果由供应商自行承担。</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lang w:val="en-US" w:eastAsia="zh-CN"/>
              </w:rPr>
            </w:pPr>
            <w:r>
              <w:rPr>
                <w:rFonts w:hint="eastAsia"/>
                <w:lang w:val="en-US" w:eastAsia="zh-CN"/>
              </w:rPr>
              <w:t>4.供应商将政采云电子交易客户端下载、安装完成后，可通过账号密码或CA登录客户端进行投标文件制作。在使用政采云投标客户端时，建议使用WIN7+64位及以上操作系统。客户端请至新疆政府采购网（http://www.ccgp-xinjiang.gov.cn/）下载专区查看，如有问题可拨打政采云客户服务热线95763进行咨询。</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lang w:val="en-US" w:eastAsia="zh-CN"/>
              </w:rPr>
            </w:pPr>
            <w:r>
              <w:rPr>
                <w:rFonts w:hint="eastAsia"/>
                <w:lang w:val="en-US" w:eastAsia="zh-CN"/>
              </w:rPr>
              <w:t>5.供应商在开标时须使用制作加密电子投标文件所使用的CA锁及电脑，电脑须提前配置好浏览器（建议使用谷歌浏览器），以便开标时解锁。</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lang w:val="en-US" w:eastAsia="zh-CN"/>
              </w:rPr>
            </w:pPr>
            <w:r>
              <w:rPr>
                <w:rFonts w:hint="eastAsia"/>
                <w:lang w:val="en-US" w:eastAsia="zh-CN"/>
              </w:rPr>
              <w:t>6.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w:t>
            </w:r>
          </w:p>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lang w:val="en-US" w:eastAsia="zh-CN"/>
              </w:rPr>
            </w:pPr>
            <w:r>
              <w:rPr>
                <w:rFonts w:hint="eastAsia"/>
                <w:lang w:val="en-US" w:eastAsia="zh-CN"/>
              </w:rPr>
              <w:t>7.为了保证开评标顺利进行，政采云线上开标功能完全实现，供应商开标所使用的电脑设备须具有视频及语音功能。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1230" w:type="dxa"/>
            <w:vMerge w:val="continue"/>
            <w:vAlign w:val="center"/>
          </w:tcPr>
          <w:p>
            <w:pPr>
              <w:keepNext w:val="0"/>
              <w:keepLines w:val="0"/>
              <w:pageBreakBefore w:val="0"/>
              <w:kinsoku/>
              <w:wordWrap/>
              <w:overflowPunct/>
              <w:topLinePunct w:val="0"/>
              <w:autoSpaceDE/>
              <w:autoSpaceDN/>
              <w:bidi w:val="0"/>
              <w:adjustRightInd w:val="0"/>
              <w:snapToGrid w:val="0"/>
              <w:spacing w:line="320" w:lineRule="exact"/>
              <w:jc w:val="left"/>
              <w:textAlignment w:val="auto"/>
              <w:rPr>
                <w:rFonts w:hint="eastAsia"/>
                <w:szCs w:val="21"/>
                <w:highlight w:val="none"/>
                <w:lang w:val="en-US" w:eastAsia="zh-CN"/>
              </w:rPr>
            </w:pPr>
          </w:p>
        </w:tc>
        <w:tc>
          <w:tcPr>
            <w:tcW w:w="1755" w:type="dxa"/>
            <w:vAlign w:val="center"/>
          </w:tcPr>
          <w:p>
            <w:pPr>
              <w:keepNext w:val="0"/>
              <w:keepLines w:val="0"/>
              <w:pageBreakBefore w:val="0"/>
              <w:kinsoku/>
              <w:wordWrap/>
              <w:overflowPunct/>
              <w:topLinePunct w:val="0"/>
              <w:autoSpaceDE/>
              <w:autoSpaceDN/>
              <w:bidi w:val="0"/>
              <w:adjustRightInd w:val="0"/>
              <w:snapToGrid w:val="0"/>
              <w:spacing w:line="320" w:lineRule="exact"/>
              <w:ind w:firstLine="210" w:firstLineChars="100"/>
              <w:jc w:val="center"/>
              <w:textAlignment w:val="auto"/>
              <w:rPr>
                <w:rFonts w:hint="eastAsia"/>
                <w:szCs w:val="21"/>
                <w:highlight w:val="none"/>
                <w:lang w:val="en-US" w:eastAsia="zh-CN"/>
              </w:rPr>
            </w:pPr>
            <w:r>
              <w:rPr>
                <w:rFonts w:hint="eastAsia"/>
                <w:szCs w:val="21"/>
                <w:highlight w:val="none"/>
                <w:lang w:val="en-US" w:eastAsia="zh-CN"/>
              </w:rPr>
              <w:t>重要说明（2）</w:t>
            </w:r>
          </w:p>
        </w:tc>
        <w:tc>
          <w:tcPr>
            <w:tcW w:w="6894" w:type="dxa"/>
            <w:vAlign w:val="center"/>
          </w:tcPr>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szCs w:val="21"/>
                <w:lang w:val="en-US" w:eastAsia="zh-CN"/>
              </w:rPr>
            </w:pPr>
            <w:r>
              <w:rPr>
                <w:rFonts w:hint="eastAsia"/>
                <w:szCs w:val="21"/>
                <w:lang w:val="en-US" w:eastAsia="zh-CN"/>
              </w:rPr>
              <w:t>1、电子招投标情况说明：</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szCs w:val="21"/>
                <w:lang w:val="en-US" w:eastAsia="zh-CN"/>
              </w:rPr>
            </w:pPr>
            <w:r>
              <w:rPr>
                <w:rFonts w:hint="eastAsia"/>
                <w:szCs w:val="21"/>
                <w:lang w:val="en-US" w:eastAsia="zh-CN"/>
              </w:rPr>
              <w:t>（1）电子招投标：本项目以数据电文形式，依托“政府采购云平台（www.zcygov.cn）”进行招投标活动。</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szCs w:val="21"/>
                <w:lang w:val="en-US" w:eastAsia="zh-CN"/>
              </w:rPr>
            </w:pPr>
            <w:r>
              <w:rPr>
                <w:rFonts w:hint="eastAsia"/>
                <w:szCs w:val="21"/>
                <w:lang w:val="en-US" w:eastAsia="zh-CN"/>
              </w:rPr>
              <w:t>（2）投标准备：注册账号--点击“商家入驻”，进行政府采购供应商资料填写；申领CA数字证书---申领流程详见“新疆政府采购网-下载专区-电子交易客户端-CA驱动和申领流程”；安装“政采云电子交易客户端”----前往“新疆政府采购网-下载专区-电子交易客户端”进行下载并安装。</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szCs w:val="21"/>
                <w:lang w:val="en-US" w:eastAsia="zh-CN"/>
              </w:rPr>
            </w:pPr>
            <w:r>
              <w:rPr>
                <w:rFonts w:hint="eastAsia"/>
                <w:szCs w:val="21"/>
                <w:lang w:val="en-US" w:eastAsia="zh-CN"/>
              </w:rPr>
              <w:t>（3）招标文件的获取：使用账号登录或者短信验证码或者使用CA登录政采云平台；进入“项目采购”应用，在获取招标文件 菜单中选择项目，获取招标文件 。申请获取招标文件前须上传附件为资格证明文件。</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szCs w:val="21"/>
                <w:lang w:val="en-US" w:eastAsia="zh-CN"/>
              </w:rPr>
            </w:pPr>
            <w:r>
              <w:rPr>
                <w:rFonts w:hint="eastAsia"/>
                <w:szCs w:val="21"/>
                <w:lang w:val="en-US" w:eastAsia="zh-CN"/>
              </w:rPr>
              <w:t>（4）投标文件的制作：在“政采云电子交易客户端”中完成“填写基本信息”、“导入投标文件”、“标书关联”、“标书检查”、“电子签名”、“生成电子标书”等操作。</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szCs w:val="21"/>
                <w:lang w:val="en-US" w:eastAsia="zh-CN"/>
              </w:rPr>
            </w:pPr>
            <w:r>
              <w:rPr>
                <w:rFonts w:hint="eastAsia"/>
                <w:szCs w:val="21"/>
                <w:lang w:val="en-US" w:eastAsia="zh-CN"/>
              </w:rPr>
              <w:t>（5）投标文件的解密：供应商按照平台提示和招标文件的规定在半小时内完成在线解密。</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szCs w:val="21"/>
                <w:lang w:val="en-US" w:eastAsia="zh-CN"/>
              </w:rPr>
            </w:pPr>
            <w:r>
              <w:rPr>
                <w:rFonts w:hint="eastAsia"/>
                <w:szCs w:val="21"/>
                <w:lang w:val="en-US" w:eastAsia="zh-CN"/>
              </w:rPr>
              <w:t>（6）具体操作指南：详见政采云平台“服务中心-帮助文档-项目采购-操作流程-电子招投标-政府采购项目电子交易管理操作指南-供应商”。</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szCs w:val="21"/>
                <w:lang w:val="en-US" w:eastAsia="zh-CN"/>
              </w:rPr>
            </w:pPr>
            <w:r>
              <w:rPr>
                <w:rFonts w:hint="eastAsia"/>
                <w:szCs w:val="21"/>
                <w:lang w:val="en-US" w:eastAsia="zh-CN"/>
              </w:rPr>
              <w:t>（7）供应商在进行上述操作时，如遇技术问题可登录政采云（https://</w:t>
            </w:r>
            <w:r>
              <w:rPr>
                <w:rFonts w:hint="eastAsia"/>
                <w:szCs w:val="21"/>
                <w:lang w:val="en-US" w:eastAsia="zh-CN"/>
              </w:rPr>
              <w:fldChar w:fldCharType="begin"/>
            </w:r>
            <w:r>
              <w:rPr>
                <w:rFonts w:hint="eastAsia"/>
                <w:szCs w:val="21"/>
                <w:lang w:val="en-US" w:eastAsia="zh-CN"/>
              </w:rPr>
              <w:instrText xml:space="preserve">HYPERLINK "http://www.zcygov.cn/" \h</w:instrText>
            </w:r>
            <w:r>
              <w:rPr>
                <w:rFonts w:hint="eastAsia"/>
                <w:szCs w:val="21"/>
                <w:lang w:val="en-US" w:eastAsia="zh-CN"/>
              </w:rPr>
              <w:fldChar w:fldCharType="separate"/>
            </w:r>
            <w:r>
              <w:rPr>
                <w:rFonts w:hint="eastAsia"/>
                <w:szCs w:val="21"/>
                <w:lang w:val="en-US" w:eastAsia="zh-CN"/>
              </w:rPr>
              <w:t>www.zcygov.cn/</w:t>
            </w:r>
            <w:r>
              <w:rPr>
                <w:rFonts w:hint="eastAsia"/>
                <w:szCs w:val="21"/>
                <w:lang w:val="en-US" w:eastAsia="zh-CN"/>
              </w:rPr>
              <w:fldChar w:fldCharType="end"/>
            </w:r>
            <w:r>
              <w:rPr>
                <w:rFonts w:hint="eastAsia"/>
                <w:szCs w:val="21"/>
                <w:lang w:val="en-US" w:eastAsia="zh-CN"/>
              </w:rPr>
              <w:t>），点击右侧咨询小采，获取采小蜜智能服务管家帮助，或拨打政采云服务热线 95763 获取热线服务帮助。</w:t>
            </w:r>
          </w:p>
          <w:p>
            <w:pPr>
              <w:keepNext w:val="0"/>
              <w:keepLines w:val="0"/>
              <w:pageBreakBefore w:val="0"/>
              <w:kinsoku/>
              <w:wordWrap/>
              <w:overflowPunct/>
              <w:topLinePunct w:val="0"/>
              <w:autoSpaceDE/>
              <w:autoSpaceDN/>
              <w:bidi w:val="0"/>
              <w:adjustRightInd w:val="0"/>
              <w:snapToGrid w:val="0"/>
              <w:spacing w:line="320" w:lineRule="exact"/>
              <w:textAlignment w:val="auto"/>
              <w:rPr>
                <w:rFonts w:hint="eastAsia"/>
                <w:szCs w:val="21"/>
                <w:lang w:val="en-US" w:eastAsia="zh-CN"/>
              </w:rPr>
            </w:pPr>
            <w:r>
              <w:rPr>
                <w:rFonts w:hint="eastAsia"/>
                <w:szCs w:val="21"/>
                <w:lang w:val="en-US" w:eastAsia="zh-CN"/>
              </w:rPr>
              <w:t>温馨提醒：供应商应于工作日内提前上传电子标书，以便在上传时遇到技术问题，有充足的时间请教平台的技术人员。</w:t>
            </w:r>
          </w:p>
          <w:p>
            <w:pPr>
              <w:pStyle w:val="2"/>
              <w:ind w:left="0" w:leftChars="0" w:firstLine="0" w:firstLineChars="0"/>
              <w:rPr>
                <w:rFonts w:hint="eastAsia"/>
                <w:lang w:val="en-US" w:eastAsia="zh-CN"/>
              </w:rPr>
            </w:pPr>
            <w:r>
              <w:rPr>
                <w:rFonts w:hint="eastAsia" w:ascii="Times New Roman" w:hAnsi="Times New Roman" w:eastAsia="宋体" w:cs="Times New Roman"/>
                <w:kern w:val="2"/>
                <w:sz w:val="21"/>
                <w:szCs w:val="21"/>
                <w:lang w:val="en-US" w:eastAsia="zh-CN" w:bidi="ar-SA"/>
              </w:rPr>
              <w:t>2、供应商认为招标文件使自己的权益受到损害的，可以自收到招标文件之日（招标文件公告期限届满之前收到招标文件的，以完成获取招标文件申请后下载招标文件的时间为准）或者招标文件公告期限届满之日（公告发布后的第6个工作日）起7个工作日内且应当在采购响应截止时间之前，以书面形式一次性向采购人和采购代理机构提出同一环节的质疑。否则，被质疑人可不予接受。质疑供应商对采购人、采购代理机构的答复不满意或者采购人、采购代理机构未在规定的时间内作出答复的，可以在答复期满后十五个工作日内向同级政府采购监督管理部门投诉。质疑函范本、投诉书范本请到新疆政府采购网下载专区下载。未按规定获取招标文件或逾期提出的不予受理、答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230"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第3</w:t>
            </w:r>
            <w:r>
              <w:rPr>
                <w:rFonts w:hint="eastAsia" w:eastAsiaTheme="minorEastAsia"/>
                <w:szCs w:val="21"/>
                <w:lang w:val="en-US" w:eastAsia="zh-CN"/>
              </w:rPr>
              <w:t>5</w:t>
            </w:r>
            <w:r>
              <w:rPr>
                <w:rFonts w:eastAsiaTheme="minorEastAsia"/>
                <w:szCs w:val="21"/>
              </w:rPr>
              <w:t>款</w:t>
            </w:r>
          </w:p>
        </w:tc>
        <w:tc>
          <w:tcPr>
            <w:tcW w:w="8649"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招标人补充的其他内容：</w:t>
            </w:r>
            <w:r>
              <w:rPr>
                <w:rFonts w:hint="eastAsia" w:ascii="宋体" w:hAnsi="宋体"/>
                <w:b/>
                <w:bCs/>
                <w:szCs w:val="21"/>
              </w:rPr>
              <w:t>《关于印发伊犁州直建设工程防治措施增加费用的通知》伊州住建建字【2019】76号</w:t>
            </w:r>
            <w:r>
              <w:rPr>
                <w:rFonts w:hint="eastAsia" w:ascii="宋体" w:hAnsi="宋体"/>
                <w:b/>
                <w:bCs/>
                <w:szCs w:val="21"/>
                <w:lang w:eastAsia="zh-CN"/>
              </w:rPr>
              <w:t>。</w:t>
            </w:r>
            <w:r>
              <w:rPr>
                <w:rFonts w:hint="eastAsia" w:ascii="宋体" w:hAnsi="宋体"/>
                <w:b/>
                <w:bCs/>
                <w:szCs w:val="21"/>
              </w:rPr>
              <w:t>建筑工人实名制管理，投标企业需自行承诺。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230" w:type="dxa"/>
            <w:vAlign w:val="center"/>
          </w:tcPr>
          <w:p>
            <w:pPr>
              <w:keepNext w:val="0"/>
              <w:keepLines w:val="0"/>
              <w:pageBreakBefore w:val="0"/>
              <w:kinsoku/>
              <w:wordWrap/>
              <w:overflowPunct/>
              <w:topLinePunct w:val="0"/>
              <w:autoSpaceDE/>
              <w:autoSpaceDN/>
              <w:bidi w:val="0"/>
              <w:spacing w:line="320" w:lineRule="exact"/>
              <w:jc w:val="center"/>
              <w:textAlignment w:val="auto"/>
              <w:rPr>
                <w:rFonts w:ascii="宋体" w:hAnsi="宋体"/>
                <w:szCs w:val="21"/>
              </w:rPr>
            </w:pPr>
            <w:r>
              <w:rPr>
                <w:rFonts w:eastAsiaTheme="minorEastAsia"/>
                <w:szCs w:val="21"/>
              </w:rPr>
              <w:t>第</w:t>
            </w:r>
            <w:r>
              <w:rPr>
                <w:rFonts w:hint="eastAsia" w:eastAsiaTheme="minorEastAsia"/>
                <w:szCs w:val="21"/>
                <w:lang w:val="en-US" w:eastAsia="zh-CN"/>
              </w:rPr>
              <w:t>36</w:t>
            </w:r>
            <w:r>
              <w:rPr>
                <w:rFonts w:eastAsiaTheme="minorEastAsia"/>
                <w:szCs w:val="21"/>
              </w:rPr>
              <w:t>款</w:t>
            </w:r>
          </w:p>
        </w:tc>
        <w:tc>
          <w:tcPr>
            <w:tcW w:w="8649" w:type="dxa"/>
            <w:gridSpan w:val="2"/>
            <w:vAlign w:val="center"/>
          </w:tcPr>
          <w:p>
            <w:pPr>
              <w:keepNext w:val="0"/>
              <w:keepLines w:val="0"/>
              <w:pageBreakBefore w:val="0"/>
              <w:kinsoku/>
              <w:wordWrap/>
              <w:overflowPunct/>
              <w:topLinePunct w:val="0"/>
              <w:autoSpaceDE/>
              <w:autoSpaceDN/>
              <w:bidi w:val="0"/>
              <w:spacing w:line="320" w:lineRule="exact"/>
              <w:textAlignment w:val="auto"/>
              <w:rPr>
                <w:rFonts w:ascii="宋体" w:hAnsi="宋体"/>
                <w:szCs w:val="21"/>
              </w:rPr>
            </w:pPr>
            <w:r>
              <w:rPr>
                <w:rFonts w:hint="eastAsia" w:ascii="宋体" w:hAnsi="宋体"/>
                <w:szCs w:val="21"/>
              </w:rPr>
              <w:t>场地服务费：</w:t>
            </w:r>
            <w:r>
              <w:rPr>
                <w:rFonts w:hint="eastAsia" w:ascii="宋体" w:hAnsi="宋体"/>
                <w:szCs w:val="21"/>
                <w:lang w:val="en-US" w:eastAsia="zh-CN"/>
              </w:rPr>
              <w:t>有</w:t>
            </w:r>
          </w:p>
        </w:tc>
      </w:tr>
    </w:tbl>
    <w:p>
      <w:pPr>
        <w:pStyle w:val="8"/>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9" w:name="_Toc349637920"/>
      <w:bookmarkStart w:id="10" w:name="_Toc349573121"/>
      <w:bookmarkStart w:id="11" w:name="_Toc267301282"/>
      <w:bookmarkStart w:id="12" w:name="_Toc527642952"/>
      <w:bookmarkStart w:id="13" w:name="_Toc298240405"/>
      <w:r>
        <w:rPr>
          <w:rFonts w:hint="eastAsia" w:asciiTheme="minorEastAsia" w:hAnsiTheme="minorEastAsia" w:eastAsiaTheme="minorEastAsia" w:cstheme="minorEastAsia"/>
          <w:sz w:val="28"/>
          <w:szCs w:val="28"/>
        </w:rPr>
        <w:t>A  说　明</w:t>
      </w:r>
      <w:bookmarkEnd w:id="9"/>
      <w:bookmarkEnd w:id="10"/>
      <w:bookmarkEnd w:id="11"/>
      <w:bookmarkEnd w:id="12"/>
      <w:bookmarkEnd w:id="13"/>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 适用范围</w:t>
      </w:r>
    </w:p>
    <w:p>
      <w:pPr>
        <w:pageBreakBefore w:val="0"/>
        <w:numPr>
          <w:ilvl w:val="1"/>
          <w:numId w:val="3"/>
        </w:numPr>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本磋商</w:t>
      </w:r>
      <w:r>
        <w:rPr>
          <w:rFonts w:hint="eastAsia" w:asciiTheme="minorEastAsia" w:hAnsiTheme="minorEastAsia" w:eastAsiaTheme="minorEastAsia" w:cstheme="minorEastAsia"/>
          <w:sz w:val="24"/>
          <w:lang w:val="en-US" w:eastAsia="zh-CN"/>
        </w:rPr>
        <w:t>响应</w:t>
      </w:r>
      <w:r>
        <w:rPr>
          <w:rFonts w:hint="eastAsia" w:asciiTheme="minorEastAsia" w:hAnsiTheme="minorEastAsia" w:eastAsiaTheme="minorEastAsia" w:cstheme="minorEastAsia"/>
          <w:sz w:val="24"/>
        </w:rPr>
        <w:t>文件仅适用于本次投标中所叙述项目的工程项目招标。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2．定义</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2.1 “招标代理机构”系指</w:t>
      </w:r>
      <w:r>
        <w:rPr>
          <w:rFonts w:hint="eastAsia" w:asciiTheme="minorEastAsia" w:hAnsiTheme="minorEastAsia" w:eastAsiaTheme="minorEastAsia" w:cstheme="minorEastAsia"/>
          <w:sz w:val="24"/>
          <w:highlight w:val="none"/>
          <w:lang w:val="en-US" w:eastAsia="zh-CN"/>
        </w:rPr>
        <w:t>新疆伊筑</w:t>
      </w:r>
      <w:r>
        <w:rPr>
          <w:rFonts w:hint="eastAsia" w:asciiTheme="minorEastAsia" w:hAnsiTheme="minorEastAsia" w:eastAsiaTheme="minorEastAsia" w:cstheme="minorEastAsia"/>
          <w:sz w:val="24"/>
          <w:highlight w:val="none"/>
          <w:lang w:val="zh-CN" w:eastAsia="zh-CN"/>
        </w:rPr>
        <w:t>工程管理</w:t>
      </w:r>
      <w:r>
        <w:rPr>
          <w:rFonts w:hint="eastAsia" w:asciiTheme="minorEastAsia" w:hAnsiTheme="minorEastAsia" w:eastAsiaTheme="minorEastAsia" w:cstheme="minorEastAsia"/>
          <w:sz w:val="24"/>
          <w:highlight w:val="none"/>
          <w:lang w:val="zh-CN"/>
        </w:rPr>
        <w:t>有限公司</w:t>
      </w:r>
      <w:r>
        <w:rPr>
          <w:rFonts w:hint="eastAsia" w:asciiTheme="minorEastAsia" w:hAnsiTheme="minorEastAsia" w:eastAsiaTheme="minorEastAsia" w:cstheme="minorEastAsia"/>
          <w:sz w:val="24"/>
          <w:highlight w:val="none"/>
        </w:rPr>
        <w:t>；</w:t>
      </w:r>
    </w:p>
    <w:p>
      <w:pPr>
        <w:pageBreakBefore w:val="0"/>
        <w:kinsoku/>
        <w:wordWrap/>
        <w:overflowPunct/>
        <w:autoSpaceDE/>
        <w:autoSpaceDN/>
        <w:bidi w:val="0"/>
        <w:adjustRightInd/>
        <w:snapToGrid/>
        <w:spacing w:line="240" w:lineRule="auto"/>
        <w:textAlignment w:val="auto"/>
        <w:rPr>
          <w:rFonts w:hint="eastAsia" w:asciiTheme="minorEastAsia" w:hAnsiTheme="minorEastAsia" w:eastAsiaTheme="minorEastAsia" w:cstheme="minorEastAsia"/>
          <w:b w:val="0"/>
          <w:bCs w:val="0"/>
          <w:sz w:val="24"/>
          <w:highlight w:val="none"/>
          <w:lang w:val="en-US" w:eastAsia="zh-CN"/>
        </w:rPr>
      </w:pPr>
      <w:r>
        <w:rPr>
          <w:rFonts w:hint="eastAsia" w:asciiTheme="minorEastAsia" w:hAnsiTheme="minorEastAsia" w:eastAsiaTheme="minorEastAsia" w:cstheme="minorEastAsia"/>
          <w:sz w:val="24"/>
          <w:highlight w:val="none"/>
        </w:rPr>
        <w:t xml:space="preserve">2.2 </w:t>
      </w:r>
      <w:r>
        <w:rPr>
          <w:rFonts w:hint="eastAsia" w:asciiTheme="minorEastAsia" w:hAnsiTheme="minorEastAsia" w:eastAsiaTheme="minorEastAsia" w:cstheme="minorEastAsia"/>
          <w:b w:val="0"/>
          <w:bCs w:val="0"/>
          <w:sz w:val="24"/>
          <w:highlight w:val="none"/>
        </w:rPr>
        <w:t>“买方”系指伊宁市</w:t>
      </w:r>
      <w:r>
        <w:rPr>
          <w:rFonts w:hint="eastAsia" w:asciiTheme="minorEastAsia" w:hAnsiTheme="minorEastAsia" w:eastAsiaTheme="minorEastAsia" w:cstheme="minorEastAsia"/>
          <w:b w:val="0"/>
          <w:bCs w:val="0"/>
          <w:sz w:val="24"/>
          <w:highlight w:val="none"/>
          <w:lang w:val="en-US" w:eastAsia="zh-CN"/>
        </w:rPr>
        <w:t>达达木图镇人民政府</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 “供应商”系指向招标代理机构提交磋商响应文件的制造商或代理商；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 “中标方”系指在本次项目中将被授予合同的供应商。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3．合格的供应商</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 有能力提供磋商文件中所要求的服务、资格审查合格的供应商；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 供应商必须遵守有关的国内法律和规章条例。</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4．供应商资格(废标因素)</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4.1</w:t>
      </w:r>
      <w:r>
        <w:rPr>
          <w:rFonts w:hint="eastAsia" w:asciiTheme="minorEastAsia" w:hAnsiTheme="minorEastAsia" w:eastAsiaTheme="minorEastAsia" w:cstheme="minorEastAsia"/>
          <w:sz w:val="24"/>
          <w:szCs w:val="22"/>
        </w:rPr>
        <w:t>符合供应商须知前附表第3.1款。</w:t>
      </w:r>
    </w:p>
    <w:p>
      <w:pPr>
        <w:pageBreakBefore w:val="0"/>
        <w:tabs>
          <w:tab w:val="left" w:pos="252"/>
          <w:tab w:val="left" w:pos="67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5．投标费用</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5.1 供应商将自行承担所有与参加投标有关的全部费用。</w:t>
      </w:r>
    </w:p>
    <w:p>
      <w:pPr>
        <w:pStyle w:val="8"/>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4" w:name="_Toc527642953"/>
      <w:bookmarkStart w:id="15" w:name="_Toc267301283"/>
      <w:bookmarkStart w:id="16" w:name="_Toc298240406"/>
      <w:bookmarkStart w:id="17" w:name="_Toc349573122"/>
      <w:bookmarkStart w:id="18" w:name="_Toc349637921"/>
      <w:r>
        <w:rPr>
          <w:rFonts w:hint="eastAsia" w:asciiTheme="minorEastAsia" w:hAnsiTheme="minorEastAsia" w:eastAsiaTheme="minorEastAsia" w:cstheme="minorEastAsia"/>
          <w:sz w:val="28"/>
          <w:szCs w:val="28"/>
        </w:rPr>
        <w:t>B  磋商文件</w:t>
      </w:r>
      <w:bookmarkEnd w:id="14"/>
      <w:bookmarkEnd w:id="15"/>
      <w:bookmarkEnd w:id="16"/>
      <w:bookmarkEnd w:id="17"/>
      <w:bookmarkEnd w:id="18"/>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6．磋商文件构成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6.1磋商文件包括：</w:t>
      </w:r>
    </w:p>
    <w:p>
      <w:pPr>
        <w:pStyle w:val="14"/>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begin"/>
      </w:r>
      <w:r>
        <w:rPr>
          <w:rFonts w:hint="eastAsia" w:asciiTheme="minorEastAsia" w:hAnsiTheme="minorEastAsia" w:eastAsiaTheme="minorEastAsia" w:cstheme="minorEastAsia"/>
          <w:sz w:val="24"/>
          <w:szCs w:val="22"/>
        </w:rPr>
        <w:instrText xml:space="preserve"> TOC \o "1-2" \h \z \u </w:instrText>
      </w:r>
      <w:r>
        <w:rPr>
          <w:rFonts w:hint="eastAsia" w:asciiTheme="minorEastAsia" w:hAnsiTheme="minorEastAsia" w:eastAsiaTheme="minorEastAsia" w:cstheme="minorEastAsia"/>
          <w:sz w:val="24"/>
          <w:szCs w:val="22"/>
        </w:rPr>
        <w:fldChar w:fldCharType="separate"/>
      </w:r>
      <w:r>
        <w:fldChar w:fldCharType="begin"/>
      </w:r>
      <w:r>
        <w:instrText xml:space="preserve"> HYPERLINK \l "_Toc527642949" </w:instrText>
      </w:r>
      <w:r>
        <w:fldChar w:fldCharType="separate"/>
      </w:r>
      <w:r>
        <w:rPr>
          <w:rFonts w:hint="eastAsia" w:asciiTheme="minorEastAsia" w:hAnsiTheme="minorEastAsia" w:eastAsiaTheme="minorEastAsia" w:cstheme="minorEastAsia"/>
          <w:sz w:val="24"/>
          <w:szCs w:val="22"/>
        </w:rPr>
        <w:t>（1）竞争性磋商公告</w:t>
      </w:r>
      <w:r>
        <w:rPr>
          <w:rFonts w:hint="eastAsia" w:asciiTheme="minorEastAsia" w:hAnsiTheme="minorEastAsia" w:eastAsiaTheme="minorEastAsia" w:cstheme="minorEastAsia"/>
          <w:sz w:val="24"/>
          <w:szCs w:val="22"/>
        </w:rPr>
        <w:fldChar w:fldCharType="end"/>
      </w:r>
    </w:p>
    <w:p>
      <w:pPr>
        <w:pStyle w:val="14"/>
        <w:pageBreakBefore w:val="0"/>
        <w:tabs>
          <w:tab w:val="right" w:leader="dot" w:pos="8400"/>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"_Toc527642950" </w:instrText>
      </w:r>
      <w:r>
        <w:fldChar w:fldCharType="separate"/>
      </w:r>
      <w:r>
        <w:rPr>
          <w:rFonts w:hint="eastAsia" w:asciiTheme="minorEastAsia" w:hAnsiTheme="minorEastAsia" w:eastAsiaTheme="minorEastAsia" w:cstheme="minorEastAsia"/>
          <w:sz w:val="24"/>
          <w:szCs w:val="22"/>
        </w:rPr>
        <w:t>（2） 供应商须知</w:t>
      </w:r>
      <w:r>
        <w:rPr>
          <w:rFonts w:hint="eastAsia" w:asciiTheme="minorEastAsia" w:hAnsiTheme="minorEastAsia" w:eastAsiaTheme="minorEastAsia" w:cstheme="minorEastAsia"/>
          <w:sz w:val="24"/>
          <w:szCs w:val="22"/>
        </w:rPr>
        <w:fldChar w:fldCharType="end"/>
      </w:r>
    </w:p>
    <w:p>
      <w:pPr>
        <w:pStyle w:val="14"/>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"_Toc527642959" </w:instrText>
      </w:r>
      <w:r>
        <w:fldChar w:fldCharType="separate"/>
      </w:r>
      <w:r>
        <w:rPr>
          <w:rFonts w:hint="eastAsia" w:asciiTheme="minorEastAsia" w:hAnsiTheme="minorEastAsia" w:eastAsiaTheme="minorEastAsia" w:cstheme="minorEastAsia"/>
          <w:sz w:val="24"/>
          <w:szCs w:val="22"/>
        </w:rPr>
        <w:t>（3） 技术要求</w:t>
      </w:r>
      <w:r>
        <w:rPr>
          <w:rFonts w:hint="eastAsia" w:asciiTheme="minorEastAsia" w:hAnsiTheme="minorEastAsia" w:eastAsiaTheme="minorEastAsia" w:cstheme="minorEastAsia"/>
          <w:sz w:val="24"/>
          <w:szCs w:val="22"/>
        </w:rPr>
        <w:fldChar w:fldCharType="end"/>
      </w:r>
    </w:p>
    <w:p>
      <w:pPr>
        <w:pStyle w:val="14"/>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"_Toc527642960" </w:instrText>
      </w:r>
      <w:r>
        <w:fldChar w:fldCharType="separate"/>
      </w:r>
      <w:r>
        <w:rPr>
          <w:rFonts w:hint="eastAsia" w:asciiTheme="minorEastAsia" w:hAnsiTheme="minorEastAsia" w:eastAsiaTheme="minorEastAsia" w:cstheme="minorEastAsia"/>
          <w:sz w:val="24"/>
          <w:szCs w:val="22"/>
        </w:rPr>
        <w:t>（3） 合同条款及格式</w:t>
      </w:r>
      <w:r>
        <w:rPr>
          <w:rFonts w:hint="eastAsia" w:asciiTheme="minorEastAsia" w:hAnsiTheme="minorEastAsia" w:eastAsiaTheme="minorEastAsia" w:cstheme="minorEastAsia"/>
          <w:sz w:val="24"/>
          <w:szCs w:val="22"/>
        </w:rPr>
        <w:fldChar w:fldCharType="end"/>
      </w:r>
    </w:p>
    <w:p>
      <w:pPr>
        <w:pStyle w:val="14"/>
        <w:pageBreakBefore w:val="0"/>
        <w:tabs>
          <w:tab w:val="right" w:leader="dot" w:pos="9737"/>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fldChar w:fldCharType="begin"/>
      </w:r>
      <w:r>
        <w:instrText xml:space="preserve"> HYPERLINK \l "_Toc527642969" </w:instrText>
      </w:r>
      <w:r>
        <w:fldChar w:fldCharType="separate"/>
      </w:r>
      <w:r>
        <w:rPr>
          <w:rFonts w:hint="eastAsia" w:asciiTheme="minorEastAsia" w:hAnsiTheme="minorEastAsia" w:eastAsiaTheme="minorEastAsia" w:cstheme="minorEastAsia"/>
          <w:sz w:val="24"/>
          <w:szCs w:val="22"/>
        </w:rPr>
        <w:t>（4） 响应文件格式</w:t>
      </w:r>
      <w:r>
        <w:rPr>
          <w:rFonts w:hint="eastAsia" w:asciiTheme="minorEastAsia" w:hAnsiTheme="minorEastAsia" w:eastAsiaTheme="minorEastAsia" w:cstheme="minorEastAsia"/>
          <w:sz w:val="24"/>
          <w:szCs w:val="22"/>
        </w:rPr>
        <w:fldChar w:fldCharType="end"/>
      </w:r>
    </w:p>
    <w:p>
      <w:pPr>
        <w:pStyle w:val="14"/>
        <w:pageBreakBefore w:val="0"/>
        <w:tabs>
          <w:tab w:val="right" w:leader="dot" w:pos="8541"/>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fldChar w:fldCharType="end"/>
      </w:r>
      <w:r>
        <w:rPr>
          <w:rFonts w:hint="eastAsia" w:asciiTheme="minorEastAsia" w:hAnsiTheme="minorEastAsia" w:eastAsiaTheme="minorEastAsia" w:cstheme="minorEastAsia"/>
          <w:sz w:val="24"/>
          <w:szCs w:val="22"/>
        </w:rPr>
        <w:t>（5） 补充条款</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6.2 磋商文件以中文编写。</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6.3 供应商应认真阅读磋商文件中所有的事项、格式、条款和规范等要求，从而对磋商</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文件作出实质性响应。如果没有按照磋商文件要求提交全部磋商响应文件或资料，没有</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对磋商文件作出实质性响应，其风险应由供应商自行承担。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7．磋商文件澄清</w:t>
      </w:r>
    </w:p>
    <w:p>
      <w:pPr>
        <w:pageBreakBefore w:val="0"/>
        <w:kinsoku/>
        <w:wordWrap/>
        <w:overflowPunct/>
        <w:autoSpaceDE/>
        <w:autoSpaceDN/>
        <w:bidi w:val="0"/>
        <w:adjustRightInd/>
        <w:snapToGrid/>
        <w:spacing w:line="240" w:lineRule="auto"/>
        <w:ind w:left="480" w:hanging="48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7.1 供应商对磋商文件有疑问的，可以向招标代理机构提出询问，招标代理机构将及时</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做出答复；</w:t>
      </w:r>
    </w:p>
    <w:p>
      <w:pPr>
        <w:pageBreakBefore w:val="0"/>
        <w:kinsoku/>
        <w:wordWrap/>
        <w:overflowPunct/>
        <w:autoSpaceDE/>
        <w:autoSpaceDN/>
        <w:bidi w:val="0"/>
        <w:adjustRightInd/>
        <w:snapToGrid/>
        <w:spacing w:line="240" w:lineRule="auto"/>
        <w:ind w:left="480" w:hanging="48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7.2 供应商对磋商文件有质疑，须在得到磋商文件之日起至质疑截止时间止，以书面形</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式向招标机构提出质疑；招标机构在收到书面质疑后，在投标截止时间3个工作日前做出答复，并以书面形式通知质疑供应商。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8.  磋商文件的修改</w:t>
      </w:r>
    </w:p>
    <w:p>
      <w:pPr>
        <w:pageBreakBefore w:val="0"/>
        <w:kinsoku/>
        <w:wordWrap/>
        <w:overflowPunct/>
        <w:autoSpaceDE/>
        <w:autoSpaceDN/>
        <w:bidi w:val="0"/>
        <w:adjustRightInd/>
        <w:snapToGrid/>
        <w:spacing w:line="240" w:lineRule="auto"/>
        <w:ind w:left="480" w:hanging="48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8.1 对磋商文件进行必要的修改，招标代理机构将在投标截止时间3个工作日前</w:t>
      </w:r>
      <w:r>
        <w:rPr>
          <w:rFonts w:hint="eastAsia" w:asciiTheme="minorEastAsia" w:hAnsiTheme="minorEastAsia" w:eastAsiaTheme="minorEastAsia" w:cstheme="minorEastAsia"/>
          <w:sz w:val="24"/>
          <w:lang w:val="en-US" w:eastAsia="zh-CN"/>
        </w:rPr>
        <w:t>在政采</w:t>
      </w:r>
    </w:p>
    <w:p>
      <w:pPr>
        <w:pageBreakBefore w:val="0"/>
        <w:kinsoku/>
        <w:wordWrap/>
        <w:overflowPunct/>
        <w:autoSpaceDE/>
        <w:autoSpaceDN/>
        <w:bidi w:val="0"/>
        <w:adjustRightInd/>
        <w:snapToGrid/>
        <w:spacing w:line="240" w:lineRule="auto"/>
        <w:ind w:left="480" w:hanging="48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云平台发布文件变更公告，</w:t>
      </w:r>
      <w:r>
        <w:rPr>
          <w:rFonts w:hint="eastAsia" w:asciiTheme="minorEastAsia" w:hAnsiTheme="minorEastAsia" w:eastAsiaTheme="minorEastAsia" w:cstheme="minorEastAsia"/>
          <w:sz w:val="24"/>
        </w:rPr>
        <w:t>供应商</w:t>
      </w:r>
      <w:r>
        <w:rPr>
          <w:rFonts w:hint="eastAsia" w:asciiTheme="minorEastAsia" w:hAnsiTheme="minorEastAsia" w:eastAsiaTheme="minorEastAsia" w:cstheme="minorEastAsia"/>
          <w:sz w:val="24"/>
          <w:lang w:val="en-US" w:eastAsia="zh-CN"/>
        </w:rPr>
        <w:t>在获取文件后和投标截止前留意变更信息</w:t>
      </w:r>
      <w:r>
        <w:rPr>
          <w:rFonts w:hint="eastAsia" w:asciiTheme="minorEastAsia" w:hAnsiTheme="minorEastAsia" w:eastAsiaTheme="minorEastAsia" w:cstheme="minorEastAsia"/>
          <w:sz w:val="24"/>
        </w:rPr>
        <w:t>。该修改的</w:t>
      </w:r>
    </w:p>
    <w:p>
      <w:pPr>
        <w:pageBreakBefore w:val="0"/>
        <w:kinsoku/>
        <w:wordWrap/>
        <w:overflowPunct/>
        <w:autoSpaceDE/>
        <w:autoSpaceDN/>
        <w:bidi w:val="0"/>
        <w:adjustRightInd/>
        <w:snapToGrid/>
        <w:spacing w:line="240" w:lineRule="auto"/>
        <w:ind w:left="480" w:hanging="48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内容为磋商文件的组成部分；</w:t>
      </w:r>
    </w:p>
    <w:p>
      <w:pPr>
        <w:pageBreakBefore w:val="0"/>
        <w:kinsoku/>
        <w:wordWrap/>
        <w:overflowPunct/>
        <w:autoSpaceDE/>
        <w:autoSpaceDN/>
        <w:bidi w:val="0"/>
        <w:adjustRightInd/>
        <w:snapToGrid/>
        <w:spacing w:line="240" w:lineRule="auto"/>
        <w:ind w:left="480" w:hanging="480"/>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8.2 在投标截止时间前，招标机构可视具体情况延长投标截止时间，并将变更时间</w:t>
      </w:r>
      <w:r>
        <w:rPr>
          <w:rFonts w:hint="eastAsia" w:asciiTheme="minorEastAsia" w:hAnsiTheme="minorEastAsia" w:eastAsiaTheme="minorEastAsia" w:cstheme="minorEastAsia"/>
          <w:sz w:val="24"/>
          <w:lang w:val="en-US" w:eastAsia="zh-CN"/>
        </w:rPr>
        <w:t>在政</w:t>
      </w:r>
    </w:p>
    <w:p>
      <w:pPr>
        <w:pageBreakBefore w:val="0"/>
        <w:kinsoku/>
        <w:wordWrap/>
        <w:overflowPunct/>
        <w:autoSpaceDE/>
        <w:autoSpaceDN/>
        <w:bidi w:val="0"/>
        <w:adjustRightInd/>
        <w:snapToGrid/>
        <w:spacing w:line="240" w:lineRule="auto"/>
        <w:ind w:left="480" w:hanging="48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lang w:val="en-US" w:eastAsia="zh-CN"/>
        </w:rPr>
        <w:t>采云平台发布变更公告。</w:t>
      </w:r>
    </w:p>
    <w:p>
      <w:pPr>
        <w:pStyle w:val="8"/>
        <w:pageBreakBefore w:val="0"/>
        <w:kinsoku/>
        <w:wordWrap/>
        <w:overflowPunct/>
        <w:autoSpaceDE/>
        <w:autoSpaceDN/>
        <w:bidi w:val="0"/>
        <w:adjustRightInd/>
        <w:snapToGrid/>
        <w:spacing w:before="100" w:beforeAutospacing="1" w:after="100" w:afterAutospacing="1" w:line="240" w:lineRule="auto"/>
        <w:jc w:val="center"/>
        <w:textAlignment w:val="auto"/>
        <w:rPr>
          <w:rFonts w:hint="eastAsia" w:asciiTheme="minorEastAsia" w:hAnsiTheme="minorEastAsia" w:eastAsiaTheme="minorEastAsia" w:cstheme="minorEastAsia"/>
          <w:sz w:val="28"/>
          <w:szCs w:val="28"/>
          <w:lang w:val="en-US" w:eastAsia="zh-CN"/>
        </w:rPr>
      </w:pPr>
      <w:bookmarkStart w:id="19" w:name="_Toc298240407"/>
      <w:bookmarkStart w:id="20" w:name="_Toc349637922"/>
      <w:bookmarkStart w:id="21" w:name="_Toc349573123"/>
      <w:bookmarkStart w:id="22" w:name="_Toc267301284"/>
      <w:bookmarkStart w:id="23" w:name="_Toc527642954"/>
      <w:r>
        <w:rPr>
          <w:rFonts w:hint="eastAsia" w:asciiTheme="minorEastAsia" w:hAnsiTheme="minorEastAsia" w:eastAsiaTheme="minorEastAsia" w:cstheme="minorEastAsia"/>
          <w:sz w:val="28"/>
          <w:szCs w:val="28"/>
        </w:rPr>
        <w:t>C  磋商响应文件的编</w:t>
      </w:r>
      <w:bookmarkEnd w:id="19"/>
      <w:bookmarkEnd w:id="20"/>
      <w:bookmarkEnd w:id="21"/>
      <w:bookmarkEnd w:id="22"/>
      <w:bookmarkEnd w:id="23"/>
      <w:r>
        <w:rPr>
          <w:rFonts w:hint="eastAsia" w:asciiTheme="minorEastAsia" w:hAnsiTheme="minorEastAsia" w:eastAsiaTheme="minorEastAsia" w:cstheme="minorEastAsia"/>
          <w:sz w:val="28"/>
          <w:szCs w:val="28"/>
          <w:lang w:val="en-US" w:eastAsia="zh-CN"/>
        </w:rPr>
        <w:t>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9．要求</w:t>
      </w:r>
    </w:p>
    <w:p>
      <w:pPr>
        <w:pageBreakBefore w:val="0"/>
        <w:kinsoku/>
        <w:wordWrap/>
        <w:overflowPunct/>
        <w:autoSpaceDE/>
        <w:autoSpaceDN/>
        <w:bidi w:val="0"/>
        <w:adjustRightInd/>
        <w:snapToGrid/>
        <w:spacing w:line="240" w:lineRule="auto"/>
        <w:ind w:left="360" w:hanging="360" w:hangingChars="1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9.1 供应商应仔细阅读磋商文件的所有内容，按磋商文件的要求提供磋商响应文件，并保证所提供的全部资料的真实性，以使其投标对磋商文件作出实质性响应，否则，其投标可能被拒绝。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10．投标语言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10.1磋商响应文件及供应商与招标代理机构就投标交换的文件和来往信件，应以中文书写。</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11．磋商响应文件的构成</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 供应商编写的磋商响应文件应包括下列内容：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响应文件包含：商务标、经济标、技术标及响应文件电子文档</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Cs w:val="21"/>
        </w:rPr>
      </w:pPr>
      <w:r>
        <w:rPr>
          <w:rFonts w:hint="eastAsia" w:asciiTheme="minorEastAsia" w:hAnsiTheme="minorEastAsia" w:eastAsiaTheme="minorEastAsia" w:cstheme="minorEastAsia"/>
          <w:b/>
          <w:bCs/>
          <w:sz w:val="24"/>
        </w:rPr>
        <w:t>11.1 .1</w:t>
      </w:r>
      <w:r>
        <w:rPr>
          <w:rFonts w:hint="eastAsia" w:asciiTheme="minorEastAsia" w:hAnsiTheme="minorEastAsia" w:eastAsiaTheme="minorEastAsia" w:cstheme="minorEastAsia"/>
          <w:b/>
          <w:bCs/>
          <w:color w:val="000000" w:themeColor="text1"/>
          <w:sz w:val="24"/>
          <w14:textFill>
            <w14:solidFill>
              <w14:schemeClr w14:val="tx1"/>
            </w14:solidFill>
          </w14:textFill>
        </w:rPr>
        <w:t>商务标内容：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1、投标承诺书（一）</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2、投标承诺书（二）</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3、投标承诺书（三）</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4、法定代表人身份证明书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5、法定代表人授权委托书</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6、供应商概况（企业营业执照副本复印件、资质证书副本复印件、安全生产许可证复印件、注册建造师证书和安全考核证复印件）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7、项目管理人员</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8、</w:t>
      </w:r>
      <w:r>
        <w:rPr>
          <w:rFonts w:hint="eastAsia" w:asciiTheme="minorEastAsia" w:hAnsiTheme="minorEastAsia" w:eastAsiaTheme="minorEastAsia" w:cstheme="minorEastAsia"/>
          <w:sz w:val="24"/>
          <w:szCs w:val="22"/>
        </w:rPr>
        <w:t>参加政府采购活动前三年内在经营活动中没有重大违法记录的书面声明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default" w:asciiTheme="minorEastAsia" w:hAnsiTheme="minorEastAsia" w:eastAsiaTheme="minorEastAsia" w:cstheme="minorEastAsia"/>
          <w:sz w:val="24"/>
          <w:szCs w:val="22"/>
          <w:lang w:val="en-US" w:eastAsia="zh-CN"/>
        </w:rPr>
      </w:pPr>
      <w:r>
        <w:rPr>
          <w:rFonts w:hint="eastAsia" w:asciiTheme="minorEastAsia" w:hAnsiTheme="minorEastAsia" w:eastAsiaTheme="minorEastAsia" w:cstheme="minorEastAsia"/>
          <w:sz w:val="24"/>
          <w:szCs w:val="22"/>
          <w:lang w:val="en-US" w:eastAsia="zh-CN"/>
        </w:rPr>
        <w:t>9、中小企业声明函 (工程、服务)、残疾人福利性单位声明函 、监狱企业证明</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10</w:t>
      </w:r>
      <w:r>
        <w:rPr>
          <w:rFonts w:hint="eastAsia" w:asciiTheme="minorEastAsia" w:hAnsiTheme="minorEastAsia" w:eastAsiaTheme="minorEastAsia" w:cstheme="minorEastAsia"/>
          <w:sz w:val="24"/>
          <w:szCs w:val="22"/>
        </w:rPr>
        <w:t>、投标保证金收据复印件</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lang w:val="en-US" w:eastAsia="zh-CN"/>
        </w:rPr>
        <w:t>11</w:t>
      </w:r>
      <w:r>
        <w:rPr>
          <w:rFonts w:hint="eastAsia" w:asciiTheme="minorEastAsia" w:hAnsiTheme="minorEastAsia" w:eastAsiaTheme="minorEastAsia" w:cstheme="minorEastAsia"/>
          <w:sz w:val="24"/>
          <w:szCs w:val="22"/>
        </w:rPr>
        <w:t>、磋商文件要求的其他证明材料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sz w:val="24"/>
        </w:rPr>
        <w:t>11.</w:t>
      </w:r>
      <w:r>
        <w:rPr>
          <w:rFonts w:hint="eastAsia" w:asciiTheme="minorEastAsia" w:hAnsiTheme="minorEastAsia" w:eastAsiaTheme="minorEastAsia" w:cstheme="minorEastAsia"/>
          <w:b/>
          <w:bCs/>
          <w:color w:val="000000" w:themeColor="text1"/>
          <w:sz w:val="24"/>
          <w14:textFill>
            <w14:solidFill>
              <w14:schemeClr w14:val="tx1"/>
            </w14:solidFill>
          </w14:textFill>
        </w:rPr>
        <w:t>1 .2技术标内容：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pageBreakBefore w:val="0"/>
        <w:kinsoku/>
        <w:wordWrap/>
        <w:overflowPunct/>
        <w:topLinePunct/>
        <w:autoSpaceDE/>
        <w:autoSpaceDN/>
        <w:bidi w:val="0"/>
        <w:adjustRightInd/>
        <w:snapToGrid/>
        <w:spacing w:line="240" w:lineRule="auto"/>
        <w:ind w:firstLine="240" w:firstLineChars="100"/>
        <w:textAlignment w:val="auto"/>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11、承诺</w:t>
      </w:r>
    </w:p>
    <w:p>
      <w:pPr>
        <w:pageBreakBefore w:val="0"/>
        <w:kinsoku/>
        <w:wordWrap/>
        <w:overflowPunct/>
        <w:topLinePunct/>
        <w:autoSpaceDE/>
        <w:autoSpaceDN/>
        <w:bidi w:val="0"/>
        <w:adjustRightInd/>
        <w:snapToGrid/>
        <w:spacing w:line="240" w:lineRule="auto"/>
        <w:textAlignment w:val="auto"/>
        <w:rPr>
          <w:rFonts w:asciiTheme="minorEastAsia" w:hAnsiTheme="minorEastAsia" w:eastAsiaTheme="minorEastAsia" w:cstheme="minorEastAsia"/>
          <w:color w:val="000000" w:themeColor="text1"/>
          <w:kern w:val="0"/>
          <w:sz w:val="24"/>
          <w:szCs w:val="28"/>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注：</w:t>
      </w:r>
      <w:r>
        <w:rPr>
          <w:rFonts w:hint="eastAsia" w:asciiTheme="minorEastAsia" w:hAnsiTheme="minorEastAsia" w:eastAsiaTheme="minorEastAsia" w:cstheme="minorEastAsia"/>
          <w:color w:val="000000" w:themeColor="text1"/>
          <w:kern w:val="0"/>
          <w:sz w:val="24"/>
          <w14:textFill>
            <w14:solidFill>
              <w14:schemeClr w14:val="tx1"/>
            </w14:solidFill>
          </w14:textFill>
        </w:rPr>
        <w:t>投标文件须按技术标格式目录顺序编写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color w:val="000000" w:themeColor="text1"/>
          <w:sz w:val="24"/>
          <w14:textFill>
            <w14:solidFill>
              <w14:schemeClr w14:val="tx1"/>
            </w14:solidFill>
          </w14:textFill>
        </w:rPr>
      </w:pPr>
      <w:r>
        <w:rPr>
          <w:rFonts w:hint="eastAsia" w:asciiTheme="minorEastAsia" w:hAnsiTheme="minorEastAsia" w:eastAsiaTheme="minorEastAsia" w:cstheme="minorEastAsia"/>
          <w:b/>
          <w:bCs/>
          <w:color w:val="000000" w:themeColor="text1"/>
          <w:sz w:val="24"/>
          <w14:textFill>
            <w14:solidFill>
              <w14:schemeClr w14:val="tx1"/>
            </w14:solidFill>
          </w14:textFill>
        </w:rPr>
        <w:t>11.1 .3经济标内容：</w:t>
      </w:r>
    </w:p>
    <w:p>
      <w:pPr>
        <w:pageBreakBefore w:val="0"/>
        <w:tabs>
          <w:tab w:val="left" w:pos="540"/>
          <w:tab w:val="left" w:pos="900"/>
          <w:tab w:val="left" w:pos="1080"/>
        </w:tabs>
        <w:kinsoku/>
        <w:wordWrap/>
        <w:overflowPunct/>
        <w:autoSpaceDE/>
        <w:autoSpaceDN/>
        <w:bidi w:val="0"/>
        <w:adjustRightInd/>
        <w:snapToGrid/>
        <w:spacing w:line="240" w:lineRule="auto"/>
        <w:ind w:left="360"/>
        <w:textAlignment w:val="auto"/>
        <w:rPr>
          <w:rFonts w:hint="eastAsia"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经济标内容（供应商以本工程的招标工程量清单为依据编制，需按正规经济标内容及</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磋商文件规定编制，）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11.2、响应文件纸张要求</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无</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11.21、</w:t>
      </w:r>
      <w:r>
        <w:rPr>
          <w:rFonts w:hint="eastAsia" w:asciiTheme="minorEastAsia" w:hAnsiTheme="minorEastAsia" w:eastAsiaTheme="minorEastAsia" w:cstheme="minorEastAsia"/>
          <w:bCs/>
          <w:sz w:val="24"/>
        </w:rPr>
        <w:t>商务标、技术标、经济标</w:t>
      </w:r>
      <w:r>
        <w:rPr>
          <w:rFonts w:hint="eastAsia" w:asciiTheme="minorEastAsia" w:hAnsiTheme="minorEastAsia" w:eastAsiaTheme="minorEastAsia" w:cstheme="minorEastAsia"/>
          <w:sz w:val="24"/>
        </w:rPr>
        <w:t>应采用A4打印纸</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如需</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24" w:name="_Hlk54580125"/>
      <w:bookmarkEnd w:id="24"/>
      <w:bookmarkStart w:id="25" w:name="_Hlk40073498"/>
      <w:bookmarkEnd w:id="25"/>
      <w:bookmarkStart w:id="26" w:name="_Hlk40073500"/>
      <w:bookmarkEnd w:id="26"/>
      <w:bookmarkStart w:id="27" w:name="_Hlk54580126"/>
      <w:bookmarkEnd w:id="27"/>
      <w:bookmarkStart w:id="28" w:name="_Hlk64525192"/>
      <w:bookmarkEnd w:id="28"/>
      <w:bookmarkStart w:id="29" w:name="_Hlk40073499"/>
      <w:bookmarkEnd w:id="29"/>
      <w:bookmarkStart w:id="30" w:name="_Hlk54580127"/>
      <w:bookmarkEnd w:id="30"/>
      <w:bookmarkStart w:id="31" w:name="_Hlk64525193"/>
      <w:bookmarkEnd w:id="31"/>
      <w:bookmarkStart w:id="32" w:name="_Hlk64525194"/>
      <w:bookmarkEnd w:id="32"/>
      <w:r>
        <w:rPr>
          <w:rFonts w:hint="eastAsia" w:asciiTheme="minorEastAsia" w:hAnsiTheme="minorEastAsia" w:eastAsiaTheme="minorEastAsia" w:cstheme="minorEastAsia"/>
          <w:sz w:val="24"/>
        </w:rPr>
        <w:t>11.3、响应文件书写要求</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11.3.1、</w:t>
      </w:r>
      <w:r>
        <w:rPr>
          <w:rFonts w:hint="eastAsia" w:asciiTheme="minorEastAsia" w:hAnsiTheme="minorEastAsia" w:eastAsiaTheme="minorEastAsia" w:cstheme="minorEastAsia"/>
          <w:sz w:val="24"/>
          <w:szCs w:val="24"/>
        </w:rPr>
        <w:t>响应文件商务标、技术标、经济标采用打印方式书写。</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11.4、响应文件装订要求</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无</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hint="eastAsia" w:asciiTheme="minorEastAsia" w:hAnsiTheme="minorEastAsia" w:eastAsiaTheme="minorEastAsia" w:cstheme="minorEastAsia"/>
          <w:bCs/>
          <w:sz w:val="24"/>
        </w:rPr>
      </w:pPr>
      <w:bookmarkStart w:id="33" w:name="_Hlk54580194"/>
      <w:bookmarkEnd w:id="33"/>
      <w:bookmarkStart w:id="34" w:name="_Hlk64525274"/>
      <w:bookmarkEnd w:id="34"/>
      <w:bookmarkStart w:id="35" w:name="_Hlk64525276"/>
      <w:bookmarkEnd w:id="35"/>
      <w:bookmarkStart w:id="36" w:name="_Hlk54580193"/>
      <w:bookmarkEnd w:id="36"/>
      <w:bookmarkStart w:id="37" w:name="_Hlk64525275"/>
      <w:bookmarkEnd w:id="37"/>
      <w:bookmarkStart w:id="38" w:name="_Hlk54580195"/>
      <w:bookmarkEnd w:id="38"/>
      <w:r>
        <w:rPr>
          <w:rFonts w:hint="eastAsia" w:asciiTheme="minorEastAsia" w:hAnsiTheme="minorEastAsia" w:eastAsiaTheme="minorEastAsia" w:cstheme="minorEastAsia"/>
          <w:sz w:val="24"/>
        </w:rPr>
        <w:t>11.4.1、</w:t>
      </w:r>
      <w:r>
        <w:rPr>
          <w:rFonts w:hint="eastAsia" w:asciiTheme="minorEastAsia" w:hAnsiTheme="minorEastAsia" w:eastAsiaTheme="minorEastAsia" w:cstheme="minorEastAsia"/>
          <w:bCs/>
          <w:sz w:val="24"/>
        </w:rPr>
        <w:t>商务标、技术标、经济标必须分别装订成册</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lang w:val="en-US" w:eastAsia="zh-CN"/>
        </w:rPr>
        <w:t>如需</w:t>
      </w:r>
      <w:r>
        <w:rPr>
          <w:rFonts w:hint="eastAsia" w:asciiTheme="minorEastAsia" w:hAnsiTheme="minorEastAsia" w:eastAsiaTheme="minorEastAsia" w:cstheme="minorEastAsia"/>
          <w:bCs/>
          <w:sz w:val="24"/>
          <w:lang w:eastAsia="zh-CN"/>
        </w:rPr>
        <w:t>）</w:t>
      </w:r>
      <w:r>
        <w:rPr>
          <w:rFonts w:hint="eastAsia" w:asciiTheme="minorEastAsia" w:hAnsiTheme="minorEastAsia" w:eastAsiaTheme="minorEastAsia" w:cstheme="minorEastAsia"/>
          <w:bCs/>
          <w:sz w:val="24"/>
        </w:rPr>
        <w:t>。</w:t>
      </w:r>
      <w:bookmarkStart w:id="39" w:name="_Hlk40073623"/>
      <w:bookmarkEnd w:id="39"/>
      <w:bookmarkStart w:id="40" w:name="_Hlk40073612"/>
      <w:bookmarkEnd w:id="40"/>
      <w:bookmarkStart w:id="41" w:name="_Hlk40073614"/>
      <w:bookmarkEnd w:id="41"/>
      <w:bookmarkStart w:id="42" w:name="_Hlk40073624"/>
      <w:bookmarkEnd w:id="42"/>
      <w:bookmarkStart w:id="43" w:name="_Hlk40073576"/>
      <w:bookmarkEnd w:id="43"/>
      <w:bookmarkStart w:id="44" w:name="_Hlk40073578"/>
      <w:bookmarkEnd w:id="44"/>
      <w:bookmarkStart w:id="45" w:name="_Hlk40073613"/>
      <w:bookmarkEnd w:id="45"/>
      <w:bookmarkStart w:id="46" w:name="_Hlk40073577"/>
      <w:bookmarkEnd w:id="46"/>
      <w:bookmarkStart w:id="47" w:name="_Hlk40073622"/>
      <w:bookmarkEnd w:id="47"/>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11.4.2、商务标、经济标、技术标应按封面、目录、正文顺序装订</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如需</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11.5、响应文件字体要求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11.5.1、</w:t>
      </w:r>
      <w:r>
        <w:rPr>
          <w:rFonts w:hint="eastAsia" w:asciiTheme="minorEastAsia" w:hAnsiTheme="minorEastAsia" w:eastAsiaTheme="minorEastAsia" w:cstheme="minorEastAsia"/>
          <w:sz w:val="24"/>
          <w:szCs w:val="24"/>
        </w:rPr>
        <w:t>响应文件商务标、技术标、经济标所采用的字体，以能够供评委识别看清为准。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11.6、响应文件封面要求</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无</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11.6.1、</w:t>
      </w:r>
      <w:r>
        <w:rPr>
          <w:rFonts w:hint="eastAsia" w:asciiTheme="minorEastAsia" w:hAnsiTheme="minorEastAsia" w:eastAsiaTheme="minorEastAsia" w:cstheme="minorEastAsia"/>
          <w:sz w:val="24"/>
          <w:szCs w:val="24"/>
        </w:rPr>
        <w:t>响应文件商务标、技术标、经济标封面宜按磋商文件规定格式编制</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11.7、响应文件目录要求</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无</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11.7.1</w:t>
      </w:r>
      <w:r>
        <w:rPr>
          <w:rFonts w:hint="eastAsia" w:asciiTheme="minorEastAsia" w:hAnsiTheme="minorEastAsia" w:eastAsiaTheme="minorEastAsia" w:cstheme="minorEastAsia"/>
          <w:sz w:val="24"/>
          <w:szCs w:val="24"/>
        </w:rPr>
        <w:t>为便于评审，响应文件商务标、技术标、经济标目录宜按本磋商文件相关内容先后顺序编排</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如需</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11.8、响应文件的份数和签署</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无</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u w:val="none"/>
        </w:rPr>
      </w:pPr>
      <w:bookmarkStart w:id="48" w:name="_Hlk64398585"/>
      <w:bookmarkEnd w:id="48"/>
      <w:bookmarkStart w:id="49" w:name="_Hlk39211640"/>
      <w:bookmarkEnd w:id="49"/>
      <w:bookmarkStart w:id="50" w:name="_Hlk64546848"/>
      <w:bookmarkEnd w:id="50"/>
      <w:bookmarkStart w:id="51" w:name="_Hlk64546849"/>
      <w:bookmarkEnd w:id="51"/>
      <w:bookmarkStart w:id="52" w:name="_Hlk64398586"/>
      <w:bookmarkEnd w:id="52"/>
      <w:bookmarkStart w:id="53" w:name="_Hlk39211638"/>
      <w:bookmarkEnd w:id="53"/>
      <w:bookmarkStart w:id="54" w:name="_Hlk64546847"/>
      <w:bookmarkEnd w:id="54"/>
      <w:bookmarkStart w:id="55" w:name="_Hlk56077599"/>
      <w:bookmarkEnd w:id="55"/>
      <w:bookmarkStart w:id="56" w:name="_Hlk56077598"/>
      <w:bookmarkEnd w:id="56"/>
      <w:bookmarkStart w:id="57" w:name="_Hlk64398587"/>
      <w:bookmarkEnd w:id="57"/>
      <w:bookmarkStart w:id="58" w:name="_Hlk56077600"/>
      <w:bookmarkEnd w:id="58"/>
      <w:bookmarkStart w:id="59" w:name="_Hlk39211639"/>
      <w:bookmarkEnd w:id="59"/>
      <w:r>
        <w:rPr>
          <w:rFonts w:hint="eastAsia" w:asciiTheme="minorEastAsia" w:hAnsiTheme="minorEastAsia" w:eastAsiaTheme="minorEastAsia" w:cstheme="minorEastAsia"/>
          <w:sz w:val="24"/>
        </w:rPr>
        <w:t>11.8.1、</w:t>
      </w:r>
      <w:r>
        <w:rPr>
          <w:rFonts w:hint="eastAsia" w:asciiTheme="minorEastAsia" w:hAnsiTheme="minorEastAsia" w:eastAsiaTheme="minorEastAsia" w:cstheme="minorEastAsia"/>
          <w:bCs/>
          <w:sz w:val="24"/>
        </w:rPr>
        <w:t>供应商</w:t>
      </w:r>
      <w:bookmarkStart w:id="60" w:name="_Hlt38090346"/>
      <w:bookmarkEnd w:id="60"/>
      <w:bookmarkStart w:id="61" w:name="_Hlt19071243"/>
      <w:bookmarkEnd w:id="61"/>
      <w:bookmarkStart w:id="62" w:name="_Hlt38281763"/>
      <w:bookmarkEnd w:id="62"/>
      <w:bookmarkStart w:id="63" w:name="_Hlt18988603"/>
      <w:bookmarkEnd w:id="63"/>
      <w:bookmarkStart w:id="64" w:name="_Hlt38090339"/>
      <w:bookmarkEnd w:id="64"/>
      <w:bookmarkStart w:id="65" w:name="_Hlt39573761"/>
      <w:bookmarkEnd w:id="65"/>
      <w:bookmarkStart w:id="66" w:name="_Hlt39211642"/>
      <w:bookmarkEnd w:id="66"/>
      <w:bookmarkStart w:id="67" w:name="_Hlt38090323"/>
      <w:bookmarkEnd w:id="67"/>
      <w:bookmarkStart w:id="68" w:name="_Hlt64398617"/>
      <w:bookmarkEnd w:id="68"/>
      <w:bookmarkStart w:id="69" w:name="_Hlt64546867"/>
      <w:bookmarkEnd w:id="69"/>
      <w:bookmarkStart w:id="70" w:name="_Hlt19040661"/>
      <w:bookmarkEnd w:id="70"/>
      <w:bookmarkStart w:id="71" w:name="_Hlt19040430"/>
      <w:bookmarkEnd w:id="71"/>
      <w:bookmarkStart w:id="72" w:name="_Hlt18988738"/>
      <w:bookmarkEnd w:id="72"/>
      <w:r>
        <w:rPr>
          <w:rFonts w:hint="eastAsia" w:asciiTheme="minorEastAsia" w:hAnsiTheme="minorEastAsia" w:eastAsiaTheme="minorEastAsia" w:cstheme="minorEastAsia"/>
          <w:sz w:val="24"/>
          <w:u w:val="none"/>
        </w:rPr>
        <w:fldChar w:fldCharType="begin"/>
      </w:r>
      <w:r>
        <w:rPr>
          <w:rFonts w:hint="eastAsia" w:asciiTheme="minorEastAsia" w:hAnsiTheme="minorEastAsia" w:eastAsiaTheme="minorEastAsia" w:cstheme="minorEastAsia"/>
          <w:sz w:val="24"/>
          <w:u w:val="none"/>
        </w:rPr>
        <w:instrText xml:space="preserve"> HYPERLINK \l "_Hlk18988600" </w:instrText>
      </w:r>
      <w:r>
        <w:rPr>
          <w:rFonts w:hint="eastAsia" w:asciiTheme="minorEastAsia" w:hAnsiTheme="minorEastAsia" w:eastAsiaTheme="minorEastAsia" w:cstheme="minorEastAsia"/>
          <w:sz w:val="24"/>
          <w:u w:val="none"/>
        </w:rPr>
        <w:fldChar w:fldCharType="separate"/>
      </w:r>
      <w:bookmarkStart w:id="73" w:name="_Hlt64398813"/>
      <w:bookmarkEnd w:id="73"/>
      <w:r>
        <w:rPr>
          <w:rStyle w:val="22"/>
          <w:rFonts w:hint="eastAsia" w:asciiTheme="minorEastAsia" w:hAnsiTheme="minorEastAsia" w:eastAsiaTheme="minorEastAsia" w:cstheme="minorEastAsia"/>
          <w:color w:val="auto"/>
          <w:sz w:val="24"/>
          <w:u w:val="none"/>
        </w:rPr>
        <w:t>编制响应文件“正本”和“副本”份数</w:t>
      </w:r>
      <w:r>
        <w:rPr>
          <w:rStyle w:val="22"/>
          <w:rFonts w:hint="eastAsia" w:asciiTheme="minorEastAsia" w:hAnsiTheme="minorEastAsia" w:eastAsiaTheme="minorEastAsia" w:cstheme="minorEastAsia"/>
          <w:color w:val="auto"/>
          <w:sz w:val="24"/>
          <w:u w:val="none"/>
          <w:lang w:eastAsia="zh-CN"/>
        </w:rPr>
        <w:t>（</w:t>
      </w:r>
      <w:r>
        <w:rPr>
          <w:rStyle w:val="22"/>
          <w:rFonts w:hint="eastAsia" w:asciiTheme="minorEastAsia" w:hAnsiTheme="minorEastAsia" w:eastAsiaTheme="minorEastAsia" w:cstheme="minorEastAsia"/>
          <w:color w:val="auto"/>
          <w:sz w:val="24"/>
          <w:u w:val="none"/>
          <w:lang w:val="en-US" w:eastAsia="zh-CN"/>
        </w:rPr>
        <w:t>如需</w:t>
      </w:r>
      <w:r>
        <w:rPr>
          <w:rStyle w:val="22"/>
          <w:rFonts w:hint="eastAsia" w:asciiTheme="minorEastAsia" w:hAnsiTheme="minorEastAsia" w:eastAsiaTheme="minorEastAsia" w:cstheme="minorEastAsia"/>
          <w:color w:val="auto"/>
          <w:sz w:val="24"/>
          <w:u w:val="none"/>
          <w:lang w:eastAsia="zh-CN"/>
        </w:rPr>
        <w:t>）</w:t>
      </w:r>
      <w:r>
        <w:rPr>
          <w:rStyle w:val="22"/>
          <w:rFonts w:hint="eastAsia" w:asciiTheme="minorEastAsia" w:hAnsiTheme="minorEastAsia" w:eastAsiaTheme="minorEastAsia" w:cstheme="minorEastAsia"/>
          <w:color w:val="auto"/>
          <w:sz w:val="24"/>
          <w:u w:val="none"/>
        </w:rPr>
        <w:t>。</w:t>
      </w:r>
      <w:r>
        <w:rPr>
          <w:rFonts w:hint="eastAsia" w:asciiTheme="minorEastAsia" w:hAnsiTheme="minorEastAsia" w:eastAsiaTheme="minorEastAsia" w:cstheme="minorEastAsia"/>
          <w:sz w:val="24"/>
          <w:u w:val="none"/>
        </w:rPr>
        <w:fldChar w:fldCharType="end"/>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74" w:name="_Hlk72641069"/>
      <w:bookmarkEnd w:id="74"/>
      <w:bookmarkStart w:id="75" w:name="_Hlk54581277"/>
      <w:bookmarkEnd w:id="75"/>
      <w:bookmarkStart w:id="76" w:name="_Hlk40073911"/>
      <w:bookmarkEnd w:id="76"/>
      <w:bookmarkStart w:id="77" w:name="_Hlk72641068"/>
      <w:bookmarkEnd w:id="77"/>
      <w:bookmarkStart w:id="78" w:name="_Hlk72641070"/>
      <w:bookmarkEnd w:id="78"/>
      <w:bookmarkStart w:id="79" w:name="_Hlk54581278"/>
      <w:bookmarkEnd w:id="79"/>
      <w:bookmarkStart w:id="80" w:name="_Hlk64545794"/>
      <w:bookmarkEnd w:id="80"/>
      <w:bookmarkStart w:id="81" w:name="_Hlk72641331"/>
      <w:bookmarkEnd w:id="81"/>
      <w:bookmarkStart w:id="82" w:name="_Hlk64545795"/>
      <w:bookmarkEnd w:id="82"/>
      <w:bookmarkStart w:id="83" w:name="_Hlk72641332"/>
      <w:bookmarkEnd w:id="83"/>
      <w:bookmarkStart w:id="84" w:name="_Hlk54579899"/>
      <w:bookmarkEnd w:id="84"/>
      <w:bookmarkStart w:id="85" w:name="_Hlk64525471"/>
      <w:bookmarkEnd w:id="85"/>
      <w:bookmarkStart w:id="86" w:name="_Hlk64545793"/>
      <w:bookmarkEnd w:id="86"/>
      <w:bookmarkStart w:id="87" w:name="_Hlk54581279"/>
      <w:bookmarkEnd w:id="87"/>
      <w:bookmarkStart w:id="88" w:name="_Hlk64525473"/>
      <w:bookmarkEnd w:id="88"/>
      <w:bookmarkStart w:id="89" w:name="_Hlk40073912"/>
      <w:bookmarkEnd w:id="89"/>
      <w:bookmarkStart w:id="90" w:name="_Hlk72641330"/>
      <w:bookmarkEnd w:id="90"/>
      <w:bookmarkStart w:id="91" w:name="_Hlk40073910"/>
      <w:bookmarkEnd w:id="91"/>
      <w:bookmarkStart w:id="92" w:name="_Hlk64525472"/>
      <w:bookmarkEnd w:id="92"/>
      <w:bookmarkStart w:id="93" w:name="_Hlk54579900"/>
      <w:bookmarkEnd w:id="93"/>
      <w:bookmarkStart w:id="94" w:name="_Hlk54579898"/>
      <w:bookmarkEnd w:id="94"/>
      <w:r>
        <w:rPr>
          <w:rFonts w:hint="eastAsia" w:asciiTheme="minorEastAsia" w:hAnsiTheme="minorEastAsia" w:eastAsiaTheme="minorEastAsia" w:cstheme="minorEastAsia"/>
          <w:sz w:val="24"/>
        </w:rPr>
        <w:t>11.8.2、</w:t>
      </w:r>
      <w:r>
        <w:rPr>
          <w:rFonts w:hint="eastAsia" w:asciiTheme="minorEastAsia" w:hAnsiTheme="minorEastAsia" w:eastAsiaTheme="minorEastAsia" w:cstheme="minorEastAsia"/>
          <w:sz w:val="24"/>
          <w:szCs w:val="24"/>
        </w:rPr>
        <w:t>商务标、技术标、经济标</w:t>
      </w:r>
      <w:r>
        <w:rPr>
          <w:rFonts w:hint="eastAsia" w:asciiTheme="minorEastAsia" w:hAnsiTheme="minorEastAsia" w:eastAsiaTheme="minorEastAsia" w:cstheme="minorEastAsia"/>
          <w:sz w:val="24"/>
        </w:rPr>
        <w:t>封面右上角必须注明“正本”或“副本”字样</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lang w:val="en-US" w:eastAsia="zh-CN"/>
        </w:rPr>
        <w:t>如需</w:t>
      </w:r>
      <w:r>
        <w:rPr>
          <w:rFonts w:hint="eastAsia" w:asciiTheme="minorEastAsia" w:hAnsiTheme="minorEastAsia" w:eastAsiaTheme="minorEastAsia" w:cstheme="minorEastAsia"/>
          <w:sz w:val="24"/>
          <w:lang w:eastAsia="zh-CN"/>
        </w:rPr>
        <w:t>）</w:t>
      </w:r>
      <w:r>
        <w:rPr>
          <w:rFonts w:hint="eastAsia" w:asciiTheme="minorEastAsia" w:hAnsiTheme="minorEastAsia" w:eastAsiaTheme="minorEastAsia" w:cstheme="minorEastAsia"/>
          <w:sz w:val="24"/>
        </w:rPr>
        <w:t>。</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11.8.3、电子投标文件须使用投标人公章的电子签章以及法定代表人的电子签章</w:t>
      </w:r>
      <w:r>
        <w:rPr>
          <w:rFonts w:hint="eastAsia" w:asciiTheme="minorEastAsia" w:hAnsiTheme="minorEastAsia" w:eastAsiaTheme="minorEastAsia" w:cstheme="minorEastAsia"/>
          <w:sz w:val="24"/>
          <w:lang w:eastAsia="zh-CN"/>
        </w:rPr>
        <w:t>。</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bookmarkStart w:id="95" w:name="_Hlk64544613"/>
      <w:bookmarkEnd w:id="95"/>
      <w:bookmarkStart w:id="96" w:name="_Hlk131417275"/>
      <w:bookmarkEnd w:id="96"/>
      <w:bookmarkStart w:id="97" w:name="_Hlk40073787"/>
      <w:bookmarkEnd w:id="97"/>
      <w:bookmarkStart w:id="98" w:name="_Hlk64544614"/>
      <w:bookmarkEnd w:id="98"/>
      <w:bookmarkStart w:id="99" w:name="_Hlk131417274"/>
      <w:bookmarkEnd w:id="99"/>
      <w:bookmarkStart w:id="100" w:name="_Hlk131417276"/>
      <w:bookmarkEnd w:id="100"/>
      <w:bookmarkStart w:id="101" w:name="_Hlk54580743"/>
      <w:bookmarkEnd w:id="101"/>
      <w:bookmarkStart w:id="102" w:name="_Hlk40073789"/>
      <w:bookmarkEnd w:id="102"/>
      <w:bookmarkStart w:id="103" w:name="_Hlk54580742"/>
      <w:bookmarkEnd w:id="103"/>
      <w:bookmarkStart w:id="104" w:name="_Hlk40073788"/>
      <w:bookmarkEnd w:id="104"/>
      <w:bookmarkStart w:id="105" w:name="_Hlk54580744"/>
      <w:bookmarkEnd w:id="105"/>
      <w:bookmarkStart w:id="106" w:name="_Hlk64544612"/>
      <w:bookmarkEnd w:id="106"/>
      <w:r>
        <w:rPr>
          <w:rFonts w:hint="eastAsia" w:asciiTheme="minorEastAsia" w:hAnsiTheme="minorEastAsia" w:eastAsiaTheme="minorEastAsia" w:cstheme="minorEastAsia"/>
          <w:sz w:val="24"/>
        </w:rPr>
        <w:t>11.8.4、投标总价</w:t>
      </w:r>
      <w:r>
        <w:rPr>
          <w:rFonts w:hint="eastAsia" w:asciiTheme="minorEastAsia" w:hAnsiTheme="minorEastAsia" w:eastAsiaTheme="minorEastAsia" w:cstheme="minorEastAsia"/>
          <w:sz w:val="24"/>
          <w:lang w:val="en-US" w:eastAsia="zh-CN"/>
        </w:rPr>
        <w:t>但</w:t>
      </w:r>
      <w:r>
        <w:rPr>
          <w:rFonts w:hint="eastAsia" w:asciiTheme="minorEastAsia" w:hAnsiTheme="minorEastAsia" w:eastAsiaTheme="minorEastAsia" w:cstheme="minorEastAsia"/>
          <w:sz w:val="24"/>
        </w:rPr>
        <w:t>凡是要求盖供应商章、法定代表人或授权代理人章、造价人员章处，供应商必须加盖。</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11.9、响应文件正本和副本如有不一致之处，以正本为准。</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bookmarkStart w:id="107" w:name="_Hlk64544688"/>
      <w:bookmarkEnd w:id="107"/>
      <w:bookmarkStart w:id="108" w:name="_Hlk64544687"/>
      <w:bookmarkEnd w:id="108"/>
      <w:bookmarkStart w:id="109" w:name="_Hlk64544689"/>
      <w:bookmarkEnd w:id="109"/>
      <w:r>
        <w:rPr>
          <w:rFonts w:hint="eastAsia" w:asciiTheme="minorEastAsia" w:hAnsiTheme="minorEastAsia" w:eastAsiaTheme="minorEastAsia" w:cstheme="minorEastAsia"/>
          <w:sz w:val="24"/>
        </w:rPr>
        <w:t>11.9.1、全套响应文件应无涂改和行间插字，除非这些删改是根据采购人的指示进行的，或者是供应商造成的必须修改的错误。修改处应加盖法定代表人或授权代理人章。但技术标、经济标严禁涂改和行间插字。</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11.10、响应文件的</w:t>
      </w:r>
      <w:r>
        <w:rPr>
          <w:rFonts w:hint="eastAsia" w:asciiTheme="minorEastAsia" w:hAnsiTheme="minorEastAsia" w:eastAsiaTheme="minorEastAsia" w:cstheme="minorEastAsia"/>
          <w:sz w:val="24"/>
          <w:lang w:val="en-US" w:eastAsia="zh-CN"/>
        </w:rPr>
        <w:t>加密</w:t>
      </w:r>
      <w:r>
        <w:rPr>
          <w:rFonts w:hint="eastAsia" w:asciiTheme="minorEastAsia" w:hAnsiTheme="minorEastAsia" w:eastAsiaTheme="minorEastAsia" w:cstheme="minorEastAsia"/>
          <w:sz w:val="24"/>
        </w:rPr>
        <w:t>与</w:t>
      </w:r>
      <w:r>
        <w:rPr>
          <w:rFonts w:hint="eastAsia" w:asciiTheme="minorEastAsia" w:hAnsiTheme="minorEastAsia" w:eastAsiaTheme="minorEastAsia" w:cstheme="minorEastAsia"/>
          <w:sz w:val="24"/>
          <w:lang w:val="en-US" w:eastAsia="zh-CN"/>
        </w:rPr>
        <w:t>标记</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11.10.1、</w:t>
      </w:r>
      <w:r>
        <w:rPr>
          <w:rFonts w:hint="eastAsia" w:asciiTheme="minorEastAsia" w:hAnsiTheme="minorEastAsia" w:eastAsiaTheme="minorEastAsia" w:cstheme="minorEastAsia"/>
          <w:sz w:val="24"/>
          <w:lang w:val="zh-CN"/>
        </w:rPr>
        <w:t>投标人应严格按招标文件要求制作投标文件，在投标截止时间前完成上传经过数字证书电子签章并加密的投标文件（加密和解密须用同一把数字证书）。投标人在投标截止时间前，可以对其所递交的投标文件进行修改并重新上传，但以投标截止时间前最后一次上传的投标文件为有效投标文件。</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投标截止时间以招标文件时间为准，逾期系统将自动关闭，未完成上传的投标文件视为逾期送达，将被拒绝。</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11.10.2、</w:t>
      </w:r>
      <w:r>
        <w:rPr>
          <w:rFonts w:hint="eastAsia" w:asciiTheme="minorEastAsia" w:hAnsiTheme="minorEastAsia" w:eastAsiaTheme="minorEastAsia" w:cstheme="minorEastAsia"/>
          <w:sz w:val="24"/>
          <w:lang w:val="zh-CN"/>
        </w:rPr>
        <w:t>投标人认为有必要提交的其他资料请于投标截止时间前一并</w:t>
      </w:r>
      <w:r>
        <w:rPr>
          <w:rFonts w:hint="eastAsia" w:asciiTheme="minorEastAsia" w:hAnsiTheme="minorEastAsia" w:eastAsiaTheme="minorEastAsia" w:cstheme="minorEastAsia"/>
          <w:sz w:val="24"/>
          <w:lang w:val="en-US" w:eastAsia="zh-CN"/>
        </w:rPr>
        <w:t>上传</w:t>
      </w:r>
      <w:r>
        <w:rPr>
          <w:rFonts w:hint="eastAsia" w:asciiTheme="minorEastAsia" w:hAnsiTheme="minorEastAsia" w:eastAsiaTheme="minorEastAsia" w:cstheme="minorEastAsia"/>
          <w:sz w:val="24"/>
          <w:lang w:val="zh-CN"/>
        </w:rPr>
        <w:t>。</w:t>
      </w:r>
    </w:p>
    <w:p>
      <w:pPr>
        <w:pageBreakBefore w:val="0"/>
        <w:tabs>
          <w:tab w:val="left" w:pos="540"/>
          <w:tab w:val="left" w:pos="900"/>
          <w:tab w:val="left" w:pos="1080"/>
        </w:tabs>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11.10.3、商务标、技术标、经济标、电子版投标文件上应写明采购人名称、供应商名称和工程名称。</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12．磋商响应文件格式</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12.1 供应商应按磋商文件的范本格式中提供的磋商响应文件格式填写响应文件。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13．投标报价</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13.1除本磋商文件另有规定外，供应商应按磋商文件所附相应的投标一览表格式标明拟提供服务的单价和总价等内容。报价以人民币报价，不接受有任何选择性报价。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 投标报价应注意下列要求：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13.2.1投标报价应包括实施该项目涵盖的所有费用。</w:t>
      </w:r>
    </w:p>
    <w:p>
      <w:pPr>
        <w:pageBreakBefore w:val="0"/>
        <w:kinsoku/>
        <w:wordWrap/>
        <w:overflowPunct/>
        <w:autoSpaceDE/>
        <w:autoSpaceDN/>
        <w:bidi w:val="0"/>
        <w:adjustRightInd/>
        <w:snapToGrid/>
        <w:spacing w:line="240" w:lineRule="auto"/>
        <w:ind w:left="629" w:hanging="628" w:hangingChars="262"/>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 算术性修正。算术性修正是指对磋商响应文件的报价明细进行校核，并对其算术上和运算上的差错给予修正。修正的原则如下：</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13.3.1 当以数字表示的金额与文字表示的金额有差异时，以文字表示的金额为准；</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13.3.2 当单价与数量相乘不等于合价时，以单价计算为准。如果单价有明显的小数点位置差错，应以标出的合价为准，同时对单价予以修正；</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13.3.3 当各明细部分的价格累计不等于合价时，应以各明细的累计计数为准，修正合价。</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13.3.4 按以上原则对算术性差错修正，应取得供应商的同意，并确认修正后最终投标价。如果供应商拒绝确认，则其磋商响应文件将不予以评审并按废标处理，没收其投标担保。</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14．投标货币</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14.1人民币报价。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15．</w:t>
      </w:r>
      <w:r>
        <w:rPr>
          <w:rFonts w:hint="eastAsia" w:asciiTheme="minorEastAsia" w:hAnsiTheme="minorEastAsia" w:eastAsiaTheme="minorEastAsia" w:cstheme="minorEastAsia"/>
          <w:bCs/>
          <w:sz w:val="24"/>
        </w:rPr>
        <w:t>供应商的证明文件：</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bCs/>
          <w:spacing w:val="8"/>
          <w:sz w:val="24"/>
          <w:szCs w:val="24"/>
        </w:rPr>
      </w:pPr>
      <w:r>
        <w:rPr>
          <w:rFonts w:hint="eastAsia" w:asciiTheme="minorEastAsia" w:hAnsiTheme="minorEastAsia" w:eastAsiaTheme="minorEastAsia" w:cstheme="minorEastAsia"/>
          <w:bCs/>
          <w:sz w:val="24"/>
        </w:rPr>
        <w:t>供应商必须提交证明其有资格进行投标和有能力履行合同的文件（范本格式），作为磋商响应文件的一部分。</w:t>
      </w:r>
    </w:p>
    <w:p>
      <w:pPr>
        <w:pageBreakBefore w:val="0"/>
        <w:kinsoku/>
        <w:wordWrap/>
        <w:overflowPunct/>
        <w:autoSpaceDE/>
        <w:autoSpaceDN/>
        <w:bidi w:val="0"/>
        <w:adjustRightInd/>
        <w:snapToGrid/>
        <w:spacing w:line="240" w:lineRule="auto"/>
        <w:ind w:left="73" w:leftChars="35"/>
        <w:textAlignment w:val="auto"/>
        <w:rPr>
          <w:rFonts w:asciiTheme="minorEastAsia" w:hAnsiTheme="minorEastAsia" w:eastAsiaTheme="minorEastAsia" w:cstheme="minorEastAsia"/>
          <w:b/>
          <w:color w:val="000000" w:themeColor="text1"/>
          <w:spacing w:val="8"/>
          <w:sz w:val="24"/>
          <w:szCs w:val="24"/>
          <w14:textFill>
            <w14:solidFill>
              <w14:schemeClr w14:val="tx1"/>
            </w14:solidFill>
          </w14:textFill>
        </w:rPr>
      </w:pPr>
      <w:r>
        <w:rPr>
          <w:rFonts w:hint="eastAsia" w:asciiTheme="minorEastAsia" w:hAnsiTheme="minorEastAsia" w:eastAsiaTheme="minorEastAsia" w:cstheme="minorEastAsia"/>
          <w:b/>
          <w:spacing w:val="8"/>
          <w:sz w:val="24"/>
          <w:szCs w:val="24"/>
        </w:rPr>
        <w:t>注：</w:t>
      </w:r>
      <w:r>
        <w:rPr>
          <w:rFonts w:hint="eastAsia" w:asciiTheme="minorEastAsia" w:hAnsiTheme="minorEastAsia" w:eastAsiaTheme="minorEastAsia" w:cstheme="minorEastAsia"/>
          <w:b/>
          <w:color w:val="000000" w:themeColor="text1"/>
          <w:spacing w:val="8"/>
          <w:sz w:val="24"/>
          <w:szCs w:val="24"/>
          <w14:textFill>
            <w14:solidFill>
              <w14:schemeClr w14:val="tx1"/>
            </w14:solidFill>
          </w14:textFill>
        </w:rPr>
        <w:t>（1）磋商响应文件中，所有供应商签字、法人代表签字、法人代表授权人签字和其它签字处须同时加盖有关有法律效力的印章方为有效；</w:t>
      </w:r>
    </w:p>
    <w:p>
      <w:pPr>
        <w:pageBreakBefore w:val="0"/>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b/>
          <w:color w:val="000000" w:themeColor="text1"/>
          <w:sz w:val="24"/>
          <w14:textFill>
            <w14:solidFill>
              <w14:schemeClr w14:val="tx1"/>
            </w14:solidFill>
          </w14:textFill>
        </w:rPr>
        <w:t>（2）所有资格证明文件必须满足磋商文件要求，否则将导致废标。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 投标服务符合磋商文件规定的技术响应文件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16.1供应商须提交证明拟供服务符合磋商文件规定的技术响应文件，作为磋商响应文件的一部分。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16.2上述文件可以是文字资料、图纸和数据，没有按要求提供资料或提供资料不完全，将是对本次招标没有作出实质性响应，其风险由供应商自行承担。</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17．投标的有效期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17.1</w:t>
      </w:r>
      <w:r>
        <w:rPr>
          <w:rFonts w:hint="eastAsia" w:asciiTheme="minorEastAsia" w:hAnsiTheme="minorEastAsia" w:eastAsiaTheme="minorEastAsia" w:cstheme="minorEastAsia"/>
          <w:b/>
          <w:sz w:val="24"/>
        </w:rPr>
        <w:t xml:space="preserve"> 磋商响应文件从开标之日起，投标有效期为60天。（如不满足将导致废标）</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17.2 在特殊情况下，招标代理机构可与供应商商量延长磋商响应文件的有效期。</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18．磋商响应文件的书写要求。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18.1 磋商响应文件</w:t>
      </w:r>
      <w:r>
        <w:rPr>
          <w:rFonts w:hint="eastAsia" w:asciiTheme="minorEastAsia" w:hAnsiTheme="minorEastAsia" w:eastAsiaTheme="minorEastAsia" w:cstheme="minorEastAsia"/>
          <w:sz w:val="24"/>
          <w:lang w:val="en-US" w:eastAsia="zh-CN"/>
        </w:rPr>
        <w:t>以电子投标文件方式</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18.2 磋商响应文件应清楚工整，修改处应由投标全权代表签章。</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18.3磋商响应文件应由法人代表或法人授权代表在凡规定签章处逐一签署及加盖单位的</w:t>
      </w:r>
      <w:r>
        <w:rPr>
          <w:rFonts w:hint="eastAsia" w:asciiTheme="minorEastAsia" w:hAnsiTheme="minorEastAsia" w:eastAsiaTheme="minorEastAsia" w:cstheme="minorEastAsia"/>
          <w:sz w:val="24"/>
          <w:lang w:val="en-US" w:eastAsia="zh-CN"/>
        </w:rPr>
        <w:t>电子</w:t>
      </w:r>
      <w:r>
        <w:rPr>
          <w:rFonts w:hint="eastAsia" w:asciiTheme="minorEastAsia" w:hAnsiTheme="minorEastAsia" w:eastAsiaTheme="minorEastAsia" w:cstheme="minorEastAsia"/>
          <w:sz w:val="24"/>
        </w:rPr>
        <w:t>公章。</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18.4电报、电话、传真形式的投标概不接受。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18.5磋商响应文件的份数：按磋商文件规定提供。</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19.1于投标截止时间前向招标代理机构交纳投标保证金。</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19.2 本次招标不接受现金作为投标保证金，</w:t>
      </w:r>
      <w:r>
        <w:rPr>
          <w:rFonts w:hint="eastAsia" w:asciiTheme="minorEastAsia" w:hAnsiTheme="minorEastAsia" w:eastAsiaTheme="minorEastAsia" w:cstheme="minorEastAsia"/>
          <w:sz w:val="24"/>
          <w:szCs w:val="24"/>
        </w:rPr>
        <w:t>投标保证金有效期应当与投标有效期一致</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19.3投标保证金的退还时间：</w:t>
      </w:r>
    </w:p>
    <w:p>
      <w:pPr>
        <w:pageBreakBefore w:val="0"/>
        <w:kinsoku/>
        <w:wordWrap/>
        <w:overflowPunct/>
        <w:autoSpaceDE/>
        <w:autoSpaceDN/>
        <w:bidi w:val="0"/>
        <w:adjustRightInd/>
        <w:snapToGrid/>
        <w:spacing w:line="240" w:lineRule="auto"/>
        <w:ind w:left="708" w:hanging="708" w:hangingChars="29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19.3.1 在</w:t>
      </w:r>
      <w:r>
        <w:rPr>
          <w:rFonts w:hint="eastAsia" w:asciiTheme="minorEastAsia" w:hAnsiTheme="minorEastAsia" w:eastAsiaTheme="minorEastAsia" w:cstheme="minorEastAsia"/>
          <w:sz w:val="24"/>
          <w:lang w:val="en-US" w:eastAsia="zh-CN"/>
        </w:rPr>
        <w:t>电子</w:t>
      </w:r>
      <w:r>
        <w:rPr>
          <w:rFonts w:hint="eastAsia" w:asciiTheme="minorEastAsia" w:hAnsiTheme="minorEastAsia" w:eastAsiaTheme="minorEastAsia" w:cstheme="minorEastAsia"/>
          <w:sz w:val="24"/>
        </w:rPr>
        <w:t>成交通知书发出后5个工作日内退还未中标供应商的投标保证金，在采购合同签订后5个工作日内退还中标供应商的投标保证金。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rPr>
      </w:pPr>
      <w:r>
        <w:rPr>
          <w:rFonts w:hint="eastAsia" w:asciiTheme="minorEastAsia" w:hAnsiTheme="minorEastAsia" w:eastAsiaTheme="minorEastAsia" w:cstheme="minorEastAsia"/>
          <w:sz w:val="24"/>
        </w:rPr>
        <w:t>19.4</w:t>
      </w:r>
      <w:r>
        <w:rPr>
          <w:rFonts w:hint="eastAsia" w:asciiTheme="minorEastAsia" w:hAnsiTheme="minorEastAsia" w:eastAsiaTheme="minorEastAsia" w:cstheme="minorEastAsia"/>
          <w:b/>
          <w:sz w:val="24"/>
        </w:rPr>
        <w:t>未按规定提交投标保证金的投标，将被视为投标无效。</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19.5下列任何情况发生时，投标保证金将被没收：</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19.5.1供应商在磋商文件规定的投标有效期内撤回其投标；</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19.5.2成交方在规定期限内未能：</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19.5.2.1按本须知第31条规定签订合同； </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19.5.2.2按须知第32条向采购人提交履约保证金；</w:t>
      </w:r>
    </w:p>
    <w:p>
      <w:pPr>
        <w:pStyle w:val="11"/>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19.5.2.3按本须知第33条规定向招标代理机构交纳招标代理服务费。</w:t>
      </w:r>
    </w:p>
    <w:p>
      <w:pPr>
        <w:pStyle w:val="8"/>
        <w:pageBreakBefore w:val="0"/>
        <w:kinsoku/>
        <w:wordWrap/>
        <w:overflowPunct/>
        <w:autoSpaceDE/>
        <w:autoSpaceDN/>
        <w:bidi w:val="0"/>
        <w:adjustRightInd/>
        <w:snapToGrid/>
        <w:spacing w:before="100" w:beforeAutospacing="1" w:after="100" w:afterAutospacing="1" w:line="240" w:lineRule="auto"/>
        <w:jc w:val="center"/>
        <w:textAlignment w:val="auto"/>
        <w:rPr>
          <w:rFonts w:asciiTheme="minorEastAsia" w:hAnsiTheme="minorEastAsia" w:eastAsiaTheme="minorEastAsia" w:cstheme="minorEastAsia"/>
          <w:sz w:val="28"/>
          <w:szCs w:val="28"/>
        </w:rPr>
      </w:pPr>
      <w:bookmarkStart w:id="110" w:name="_Toc349637923"/>
      <w:bookmarkStart w:id="111" w:name="_Toc527642955"/>
      <w:bookmarkStart w:id="112" w:name="_Toc267301285"/>
      <w:bookmarkStart w:id="113" w:name="_Toc298240408"/>
      <w:bookmarkStart w:id="114" w:name="_Toc349573124"/>
      <w:r>
        <w:rPr>
          <w:rFonts w:hint="eastAsia" w:asciiTheme="minorEastAsia" w:hAnsiTheme="minorEastAsia" w:eastAsiaTheme="minorEastAsia" w:cstheme="minorEastAsia"/>
          <w:sz w:val="28"/>
          <w:szCs w:val="28"/>
        </w:rPr>
        <w:t>D  磋商响应文件的递交</w:t>
      </w:r>
      <w:bookmarkEnd w:id="110"/>
      <w:bookmarkEnd w:id="111"/>
      <w:bookmarkEnd w:id="112"/>
      <w:bookmarkEnd w:id="113"/>
      <w:bookmarkEnd w:id="114"/>
    </w:p>
    <w:p>
      <w:pPr>
        <w:pageBreakBefore w:val="0"/>
        <w:numPr>
          <w:ilvl w:val="0"/>
          <w:numId w:val="4"/>
        </w:numPr>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宋体" w:hAnsi="宋体" w:cs="宋体"/>
          <w:color w:val="000000"/>
          <w:sz w:val="24"/>
        </w:rPr>
        <w:t>投标人应当在招标文件要求提交投标文件的截止时间前网上投标。</w:t>
      </w:r>
    </w:p>
    <w:p>
      <w:pPr>
        <w:pStyle w:val="34"/>
        <w:spacing w:line="360" w:lineRule="auto"/>
        <w:rPr>
          <w:rFonts w:hint="eastAsia" w:ascii="宋体" w:hAnsi="宋体" w:cs="宋体"/>
          <w:color w:val="000000"/>
          <w:sz w:val="24"/>
        </w:rPr>
      </w:pPr>
      <w:r>
        <w:rPr>
          <w:rFonts w:hint="eastAsia" w:asciiTheme="minorEastAsia" w:hAnsiTheme="minorEastAsia" w:eastAsiaTheme="minorEastAsia" w:cstheme="minorEastAsia"/>
          <w:sz w:val="24"/>
          <w:szCs w:val="22"/>
        </w:rPr>
        <w:t>2</w:t>
      </w:r>
      <w:r>
        <w:rPr>
          <w:rFonts w:hint="eastAsia" w:asciiTheme="minorEastAsia" w:hAnsiTheme="minorEastAsia" w:eastAsiaTheme="minorEastAsia" w:cstheme="minorEastAsia"/>
          <w:sz w:val="24"/>
          <w:szCs w:val="22"/>
          <w:lang w:val="en-US" w:eastAsia="zh-CN"/>
        </w:rPr>
        <w:t>0</w:t>
      </w:r>
      <w:r>
        <w:rPr>
          <w:rFonts w:hint="eastAsia" w:asciiTheme="minorEastAsia" w:hAnsiTheme="minorEastAsia" w:eastAsiaTheme="minorEastAsia" w:cstheme="minorEastAsia"/>
          <w:sz w:val="24"/>
          <w:szCs w:val="22"/>
        </w:rPr>
        <w:t xml:space="preserve">.1 </w:t>
      </w:r>
      <w:r>
        <w:rPr>
          <w:rFonts w:hint="eastAsia" w:ascii="宋体" w:hAnsi="宋体" w:cs="宋体"/>
          <w:color w:val="000000"/>
          <w:sz w:val="24"/>
        </w:rPr>
        <w:t>在招标文件要求提交投标文件的截止时间之后的投标文件</w:t>
      </w:r>
      <w:r>
        <w:rPr>
          <w:rFonts w:hint="eastAsia" w:ascii="宋体" w:hAnsi="宋体" w:cs="宋体"/>
          <w:color w:val="000000"/>
          <w:sz w:val="24"/>
          <w:lang w:val="en-US" w:eastAsia="zh-CN"/>
        </w:rPr>
        <w:t>将不予受理。</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b/>
          <w:bCs/>
          <w:color w:val="auto"/>
          <w:sz w:val="24"/>
          <w:szCs w:val="22"/>
          <w:highlight w:val="yellow"/>
        </w:rPr>
      </w:pPr>
      <w:r>
        <w:rPr>
          <w:rFonts w:hint="eastAsia" w:asciiTheme="minorEastAsia" w:hAnsiTheme="minorEastAsia" w:eastAsiaTheme="minorEastAsia" w:cstheme="minorEastAsia"/>
          <w:sz w:val="24"/>
          <w:szCs w:val="22"/>
          <w:lang w:val="en-US" w:eastAsia="zh-CN"/>
        </w:rPr>
        <w:t>20.2</w:t>
      </w:r>
      <w:r>
        <w:rPr>
          <w:rFonts w:hint="eastAsia" w:asciiTheme="minorEastAsia" w:hAnsiTheme="minorEastAsia" w:eastAsiaTheme="minorEastAsia" w:cstheme="minorEastAsia"/>
          <w:sz w:val="24"/>
          <w:szCs w:val="22"/>
        </w:rPr>
        <w:t>磋商响应文件递交得截止时间：</w:t>
      </w:r>
      <w:r>
        <w:rPr>
          <w:rFonts w:hint="eastAsia" w:asciiTheme="minorEastAsia" w:hAnsiTheme="minorEastAsia" w:eastAsiaTheme="minorEastAsia" w:cstheme="minorEastAsia"/>
          <w:b/>
          <w:bCs/>
          <w:color w:val="auto"/>
          <w:sz w:val="24"/>
          <w:szCs w:val="22"/>
          <w:highlight w:val="none"/>
          <w:lang w:val="en-US" w:eastAsia="zh-CN"/>
        </w:rPr>
        <w:t>2023</w:t>
      </w:r>
      <w:r>
        <w:rPr>
          <w:rFonts w:hint="eastAsia" w:asciiTheme="minorEastAsia" w:hAnsiTheme="minorEastAsia" w:eastAsiaTheme="minorEastAsia" w:cstheme="minorEastAsia"/>
          <w:b/>
          <w:bCs/>
          <w:color w:val="auto"/>
          <w:sz w:val="24"/>
          <w:szCs w:val="22"/>
          <w:highlight w:val="none"/>
        </w:rPr>
        <w:t>年</w:t>
      </w:r>
      <w:r>
        <w:rPr>
          <w:rFonts w:hint="eastAsia" w:asciiTheme="minorEastAsia" w:hAnsiTheme="minorEastAsia" w:eastAsiaTheme="minorEastAsia" w:cstheme="minorEastAsia"/>
          <w:b/>
          <w:bCs/>
          <w:color w:val="auto"/>
          <w:sz w:val="24"/>
          <w:szCs w:val="22"/>
          <w:highlight w:val="none"/>
          <w:lang w:val="en-US" w:eastAsia="zh-CN"/>
        </w:rPr>
        <w:t>07</w:t>
      </w:r>
      <w:r>
        <w:rPr>
          <w:rFonts w:hint="eastAsia" w:asciiTheme="minorEastAsia" w:hAnsiTheme="minorEastAsia" w:eastAsiaTheme="minorEastAsia" w:cstheme="minorEastAsia"/>
          <w:b/>
          <w:bCs/>
          <w:color w:val="auto"/>
          <w:sz w:val="24"/>
          <w:szCs w:val="22"/>
          <w:highlight w:val="none"/>
        </w:rPr>
        <w:t>月</w:t>
      </w:r>
      <w:r>
        <w:rPr>
          <w:rFonts w:hint="eastAsia" w:asciiTheme="minorEastAsia" w:hAnsiTheme="minorEastAsia" w:eastAsiaTheme="minorEastAsia" w:cstheme="minorEastAsia"/>
          <w:b/>
          <w:bCs/>
          <w:color w:val="auto"/>
          <w:sz w:val="24"/>
          <w:szCs w:val="22"/>
          <w:highlight w:val="none"/>
          <w:lang w:val="en-US" w:eastAsia="zh-CN"/>
        </w:rPr>
        <w:t>14</w:t>
      </w:r>
      <w:bookmarkStart w:id="700" w:name="_GoBack"/>
      <w:bookmarkEnd w:id="700"/>
      <w:r>
        <w:rPr>
          <w:rFonts w:hint="eastAsia" w:asciiTheme="minorEastAsia" w:hAnsiTheme="minorEastAsia" w:eastAsiaTheme="minorEastAsia" w:cstheme="minorEastAsia"/>
          <w:b/>
          <w:bCs/>
          <w:color w:val="auto"/>
          <w:sz w:val="24"/>
          <w:szCs w:val="22"/>
          <w:highlight w:val="none"/>
        </w:rPr>
        <w:t>日</w:t>
      </w:r>
      <w:r>
        <w:rPr>
          <w:rFonts w:hint="eastAsia" w:asciiTheme="minorEastAsia" w:hAnsiTheme="minorEastAsia" w:eastAsiaTheme="minorEastAsia" w:cstheme="minorEastAsia"/>
          <w:b/>
          <w:bCs/>
          <w:color w:val="auto"/>
          <w:sz w:val="24"/>
          <w:szCs w:val="22"/>
          <w:highlight w:val="none"/>
          <w:lang w:val="en-US" w:eastAsia="zh-CN"/>
        </w:rPr>
        <w:t>10</w:t>
      </w:r>
      <w:r>
        <w:rPr>
          <w:rFonts w:hint="eastAsia" w:asciiTheme="minorEastAsia" w:hAnsiTheme="minorEastAsia" w:eastAsiaTheme="minorEastAsia" w:cstheme="minorEastAsia"/>
          <w:b/>
          <w:bCs/>
          <w:color w:val="auto"/>
          <w:sz w:val="24"/>
          <w:szCs w:val="22"/>
          <w:highlight w:val="none"/>
        </w:rPr>
        <w:t>时</w:t>
      </w:r>
      <w:r>
        <w:rPr>
          <w:rFonts w:hint="eastAsia" w:asciiTheme="minorEastAsia" w:hAnsiTheme="minorEastAsia" w:eastAsiaTheme="minorEastAsia" w:cstheme="minorEastAsia"/>
          <w:b/>
          <w:bCs/>
          <w:color w:val="auto"/>
          <w:sz w:val="24"/>
          <w:szCs w:val="22"/>
          <w:highlight w:val="none"/>
          <w:lang w:val="en-US" w:eastAsia="zh-CN"/>
        </w:rPr>
        <w:t>30</w:t>
      </w:r>
      <w:r>
        <w:rPr>
          <w:rFonts w:hint="eastAsia" w:asciiTheme="minorEastAsia" w:hAnsiTheme="minorEastAsia" w:eastAsiaTheme="minorEastAsia" w:cstheme="minorEastAsia"/>
          <w:b/>
          <w:bCs/>
          <w:color w:val="auto"/>
          <w:sz w:val="24"/>
          <w:szCs w:val="22"/>
          <w:highlight w:val="none"/>
        </w:rPr>
        <w:t>分</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lang w:val="zh-CN"/>
        </w:rPr>
      </w:pPr>
      <w:r>
        <w:rPr>
          <w:rFonts w:hint="eastAsia" w:asciiTheme="minorEastAsia" w:hAnsiTheme="minorEastAsia" w:eastAsiaTheme="minorEastAsia" w:cstheme="minorEastAsia"/>
          <w:sz w:val="24"/>
        </w:rPr>
        <w:t>磋商响应文件递交至：将加密电子投标文件在投标截止时间前通过</w:t>
      </w:r>
      <w:r>
        <w:rPr>
          <w:rFonts w:hint="eastAsia" w:asciiTheme="minorEastAsia" w:hAnsiTheme="minorEastAsia" w:eastAsiaTheme="minorEastAsia" w:cstheme="minorEastAsia"/>
          <w:sz w:val="24"/>
          <w:lang w:eastAsia="zh-CN"/>
        </w:rPr>
        <w:t>新疆政府采购网（http://www.ccgp-xinjiang.gov.cn）</w:t>
      </w:r>
      <w:r>
        <w:rPr>
          <w:rFonts w:hint="eastAsia" w:asciiTheme="minorEastAsia" w:hAnsiTheme="minorEastAsia" w:eastAsiaTheme="minorEastAsia" w:cstheme="minorEastAsia"/>
          <w:sz w:val="24"/>
        </w:rPr>
        <w:t>上传完成。逾期上传的或者未上传到平台的投标文件，采购人不予受理。</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0</w:t>
      </w:r>
      <w:r>
        <w:rPr>
          <w:rFonts w:hint="eastAsia" w:asciiTheme="minorEastAsia" w:hAnsiTheme="minorEastAsia" w:eastAsiaTheme="minorEastAsia" w:cstheme="minorEastAsia"/>
          <w:sz w:val="24"/>
        </w:rPr>
        <w:t>.3 出现第8.2款因磋商文件的修改推迟投标截止时间时，则按招标代理机构修改通知规定的时间递交。</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．磋商响应文件的修改和撤销</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color w:val="FF0000"/>
          <w:sz w:val="24"/>
        </w:rPr>
        <w:t xml:space="preserve"> </w:t>
      </w:r>
      <w:r>
        <w:rPr>
          <w:rFonts w:hint="eastAsia" w:asciiTheme="minorEastAsia" w:hAnsiTheme="minorEastAsia" w:eastAsiaTheme="minorEastAsia" w:cstheme="minorEastAsia"/>
          <w:sz w:val="24"/>
        </w:rPr>
        <w:t>供应商在投标截止时间之前可对其磋商响应文件进行修改或撤销，但招标代理机构须在投标截止时间之前收到该修改或撤销的书面通知，该通知须有经正式授权的供应商代表签字。</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.2 投标截止时间以后不得修改磋商响应文件。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.3 供应商不得在开标时间起至投标有效期期满前撤销磋商响应文件。否则其投标保证金将不予退还。</w:t>
      </w:r>
      <w:bookmarkStart w:id="115" w:name="_Toc349637924"/>
      <w:bookmarkStart w:id="116" w:name="_Toc298240409"/>
      <w:bookmarkStart w:id="117" w:name="_Toc527642956"/>
      <w:bookmarkStart w:id="118" w:name="_Toc349573125"/>
      <w:bookmarkStart w:id="119" w:name="_Toc267301286"/>
    </w:p>
    <w:p>
      <w:pPr>
        <w:pageBreakBefore w:val="0"/>
        <w:kinsoku/>
        <w:wordWrap/>
        <w:overflowPunct/>
        <w:autoSpaceDE/>
        <w:autoSpaceDN/>
        <w:bidi w:val="0"/>
        <w:adjustRightInd/>
        <w:snapToGrid/>
        <w:spacing w:line="240" w:lineRule="auto"/>
        <w:ind w:left="703" w:hanging="703" w:hangingChars="250"/>
        <w:jc w:val="center"/>
        <w:textAlignment w:val="auto"/>
        <w:rPr>
          <w:rFonts w:hint="eastAsia" w:asciiTheme="minorEastAsia" w:hAnsiTheme="minorEastAsia" w:eastAsiaTheme="minorEastAsia" w:cstheme="minorEastAsia"/>
          <w:b/>
          <w:bCs/>
          <w:sz w:val="28"/>
          <w:szCs w:val="28"/>
        </w:rPr>
      </w:pPr>
    </w:p>
    <w:p>
      <w:pPr>
        <w:pageBreakBefore w:val="0"/>
        <w:kinsoku/>
        <w:wordWrap/>
        <w:overflowPunct/>
        <w:autoSpaceDE/>
        <w:autoSpaceDN/>
        <w:bidi w:val="0"/>
        <w:adjustRightInd/>
        <w:snapToGrid/>
        <w:spacing w:line="240" w:lineRule="auto"/>
        <w:ind w:left="703" w:hanging="703" w:hangingChars="250"/>
        <w:jc w:val="center"/>
        <w:textAlignment w:val="auto"/>
        <w:rPr>
          <w:rFonts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E  磋商程序</w:t>
      </w:r>
      <w:bookmarkEnd w:id="115"/>
      <w:bookmarkEnd w:id="116"/>
      <w:bookmarkEnd w:id="117"/>
      <w:bookmarkEnd w:id="118"/>
      <w:bookmarkEnd w:id="119"/>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23．磋商小组组成及职责 </w:t>
      </w:r>
    </w:p>
    <w:p>
      <w:pPr>
        <w:pageBreakBefore w:val="0"/>
        <w:kinsoku/>
        <w:wordWrap/>
        <w:overflowPunct/>
        <w:autoSpaceDE/>
        <w:autoSpaceDN/>
        <w:bidi w:val="0"/>
        <w:adjustRightInd/>
        <w:snapToGrid/>
        <w:spacing w:line="240" w:lineRule="auto"/>
        <w:ind w:left="480" w:hanging="480" w:hangingChars="200"/>
        <w:textAlignment w:val="auto"/>
        <w:rPr>
          <w:rFonts w:asciiTheme="minorEastAsia" w:hAnsiTheme="minorEastAsia" w:eastAsiaTheme="minorEastAsia" w:cstheme="minorEastAsia"/>
          <w:color w:val="FF0000"/>
          <w:sz w:val="24"/>
        </w:rPr>
      </w:pPr>
      <w:r>
        <w:rPr>
          <w:rFonts w:hint="eastAsia" w:asciiTheme="minorEastAsia" w:hAnsiTheme="minorEastAsia" w:eastAsiaTheme="minorEastAsia" w:cstheme="minorEastAsia"/>
          <w:sz w:val="24"/>
        </w:rPr>
        <w:t>23.1、</w:t>
      </w:r>
      <w:r>
        <w:rPr>
          <w:rFonts w:hint="eastAsia" w:asciiTheme="minorEastAsia" w:hAnsiTheme="minorEastAsia" w:eastAsiaTheme="minorEastAsia" w:cstheme="minorEastAsia"/>
          <w:color w:val="000000" w:themeColor="text1"/>
          <w:sz w:val="24"/>
          <w14:textFill>
            <w14:solidFill>
              <w14:schemeClr w14:val="tx1"/>
            </w14:solidFill>
          </w14:textFill>
        </w:rPr>
        <w:t>磋商小组组成：在磋商开始前，组建磋商小组共3人组成，磋商小组成员由采购人代表及有关技术、经济等方面的专家组成，其中技术、经济类专家人数不少于总人数的 2/3。</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23.2、磋商小组职责</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23.2.1、准时参加磋商评审会议。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23.2.2、确定合格的供应商参加磋商。</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23.2.3、审查供应商的磋商响应文件并做出评价。</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23.2.4、要求供应商解释或者澄清其磋商响应文件。</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23.2.5、</w:t>
      </w:r>
      <w:r>
        <w:rPr>
          <w:rFonts w:hint="eastAsia" w:asciiTheme="minorEastAsia" w:hAnsiTheme="minorEastAsia" w:eastAsiaTheme="minorEastAsia" w:cstheme="minorEastAsia"/>
          <w:sz w:val="24"/>
          <w:lang w:val="en-US" w:eastAsia="zh-CN"/>
        </w:rPr>
        <w:t>编制</w:t>
      </w:r>
      <w:r>
        <w:rPr>
          <w:rFonts w:hint="eastAsia" w:asciiTheme="minorEastAsia" w:hAnsiTheme="minorEastAsia" w:eastAsiaTheme="minorEastAsia" w:cstheme="minorEastAsia"/>
          <w:sz w:val="24"/>
        </w:rPr>
        <w:t xml:space="preserve">磋商评审报告。 </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24.磋商活动将按以下七个步骤进行：</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（1）标前会议；</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（2）初步评审；</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（3）澄清说明或补证；</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（4）磋商小组所有成员集中与单一供应商分别进行磋商；</w:t>
      </w:r>
    </w:p>
    <w:p>
      <w:pPr>
        <w:pStyle w:val="2"/>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（5）最后报价</w:t>
      </w:r>
    </w:p>
    <w:p>
      <w:pPr>
        <w:pStyle w:val="2"/>
        <w:pageBreakBefore w:val="0"/>
        <w:kinsoku/>
        <w:wordWrap/>
        <w:overflowPunct/>
        <w:autoSpaceDE/>
        <w:autoSpaceDN/>
        <w:bidi w:val="0"/>
        <w:adjustRightInd/>
        <w:snapToGrid/>
        <w:spacing w:line="240" w:lineRule="auto"/>
        <w:ind w:firstLine="0" w:firstLineChars="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（6）详细评审（包括技术标评定、商务标评定）；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（7）按照评审得分由高到低顺序推荐3名以上成交候选供应商，并编写评</w:t>
      </w:r>
      <w:r>
        <w:rPr>
          <w:rFonts w:hint="eastAsia" w:asciiTheme="minorEastAsia" w:hAnsiTheme="minorEastAsia" w:eastAsiaTheme="minorEastAsia" w:cstheme="minorEastAsia"/>
          <w:sz w:val="24"/>
          <w:lang w:eastAsia="zh-CN"/>
        </w:rPr>
        <w:t>标</w:t>
      </w:r>
      <w:r>
        <w:rPr>
          <w:rFonts w:hint="eastAsia" w:asciiTheme="minorEastAsia" w:hAnsiTheme="minorEastAsia" w:eastAsiaTheme="minorEastAsia" w:cstheme="minorEastAsia"/>
          <w:sz w:val="24"/>
        </w:rPr>
        <w:t>报告。</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24.2 本次磋商按磋商文件中磋商邀请规定的时间地点进行磋商，将邀请供应商的法定代表人或其授权委托人准时参加磋商会。</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24.3</w:t>
      </w:r>
      <w:r>
        <w:rPr>
          <w:rFonts w:hint="eastAsia" w:asciiTheme="minorEastAsia" w:hAnsiTheme="minorEastAsia" w:eastAsiaTheme="minorEastAsia" w:cstheme="minorEastAsia"/>
          <w:sz w:val="24"/>
          <w:szCs w:val="24"/>
        </w:rPr>
        <w:t>宣布磋商响应文件开启顺序</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以递交投标文件确认时间正顺序依次唱标</w:t>
      </w:r>
      <w:r>
        <w:rPr>
          <w:rFonts w:hint="eastAsia" w:asciiTheme="minorEastAsia" w:hAnsiTheme="minorEastAsia" w:eastAsiaTheme="minorEastAsia" w:cstheme="minorEastAsia"/>
          <w:sz w:val="30"/>
          <w:szCs w:val="30"/>
        </w:rPr>
        <w:t>。</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24.4 </w:t>
      </w:r>
      <w:r>
        <w:rPr>
          <w:rFonts w:hint="eastAsia" w:asciiTheme="minorEastAsia" w:hAnsiTheme="minorEastAsia" w:eastAsiaTheme="minorEastAsia" w:cstheme="minorEastAsia"/>
          <w:sz w:val="24"/>
          <w:lang w:val="en-US" w:eastAsia="zh-CN"/>
        </w:rPr>
        <w:t>1.</w:t>
      </w:r>
      <w:r>
        <w:rPr>
          <w:rFonts w:hint="eastAsia" w:asciiTheme="minorEastAsia" w:hAnsiTheme="minorEastAsia" w:eastAsiaTheme="minorEastAsia" w:cstheme="minorEastAsia"/>
          <w:sz w:val="24"/>
        </w:rPr>
        <w:t>采用电子招标投标：1、投标文件解密时间：投标文件解密时间30分钟，开标前需投标单位用CA证书登录政采云平台开标大厅签到，在30分钟解密时间内输入CA证书PIN码解密投标文件。在30分钟解密时间内未进行解密的投标单位将导致废标。（解密时间开始时政采云平台将以短信形式向供应商在政采云平台预留的手机号发送短信通知，请供应商及时关注。）</w:t>
      </w:r>
    </w:p>
    <w:p>
      <w:pPr>
        <w:pageBreakBefore w:val="0"/>
        <w:kinsoku/>
        <w:wordWrap/>
        <w:overflowPunct/>
        <w:autoSpaceDE/>
        <w:autoSpaceDN/>
        <w:bidi w:val="0"/>
        <w:adjustRightInd/>
        <w:snapToGrid/>
        <w:spacing w:line="240" w:lineRule="auto"/>
        <w:ind w:left="599" w:leftChars="228" w:hanging="120" w:hangingChars="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w:t>
      </w:r>
      <w:r>
        <w:rPr>
          <w:rFonts w:hint="eastAsia" w:asciiTheme="minorEastAsia" w:hAnsiTheme="minorEastAsia" w:eastAsiaTheme="minorEastAsia" w:cstheme="minorEastAsia"/>
          <w:sz w:val="24"/>
          <w:lang w:val="en-US" w:eastAsia="zh-CN"/>
        </w:rPr>
        <w:t>.</w:t>
      </w:r>
      <w:r>
        <w:rPr>
          <w:rFonts w:hint="eastAsia" w:asciiTheme="minorEastAsia" w:hAnsiTheme="minorEastAsia" w:eastAsiaTheme="minorEastAsia" w:cstheme="minorEastAsia"/>
          <w:sz w:val="24"/>
        </w:rPr>
        <w:t>供应商报价CA签字确认：报价文件开启后将开启签字时段，供应商须在20分钟内用CA证书对报价进行签字确认。</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1）本次采购采用电子交易方式，电子交易平台为“政府采购云平台（www.zcygov.cn）”。供应商参与本项目电子交易活动前，应注册成为政府采购云平台供应商。编制电子投标文件前还需申领CA证书并绑定帐号.</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供应商编制电子投标文件应安装“电子招投标供应商客户端”软件，并按照本采购文件和电子招投标供应商客户端的要求编制并加密投标文件。未按规定加密的投标文件，将被电子招投标供应商客户端拒收。“电子招投标供应商客户端”请供应商自行前往“新疆政府采购网—下载专区—新疆维吾尔自治区全流程电子招投标项目管理系统--电子招投标供应商客户端”版块获取。</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（3）供应商应当在投标截止时间前，将“电子招投标供应商客户端”生成的“电子加密投标文件”上传电子交易平台。</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lang w:eastAsia="zh-CN"/>
        </w:rPr>
      </w:pPr>
      <w:r>
        <w:rPr>
          <w:rFonts w:hint="eastAsia" w:asciiTheme="minorEastAsia" w:hAnsiTheme="minorEastAsia" w:eastAsiaTheme="minorEastAsia" w:cstheme="minorEastAsia"/>
          <w:sz w:val="24"/>
        </w:rPr>
        <w:t>（5）服务与支持。各政府采购代理机构（含集采机构）及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政采云热线人工号码：</w:t>
      </w:r>
      <w:r>
        <w:rPr>
          <w:rFonts w:hint="eastAsia" w:asciiTheme="minorEastAsia" w:hAnsiTheme="minorEastAsia" w:eastAsiaTheme="minorEastAsia" w:cstheme="minorEastAsia"/>
          <w:sz w:val="24"/>
          <w:lang w:val="en-US" w:eastAsia="zh-CN"/>
        </w:rPr>
        <w:t>95763</w:t>
      </w:r>
      <w:r>
        <w:rPr>
          <w:rFonts w:hint="eastAsia" w:asciiTheme="minorEastAsia" w:hAnsiTheme="minorEastAsia" w:eastAsiaTheme="minorEastAsia" w:cstheme="minorEastAsia"/>
          <w:sz w:val="24"/>
        </w:rPr>
        <w:t>（工作时间：工作日08:00~20：00）</w:t>
      </w:r>
      <w:r>
        <w:rPr>
          <w:rFonts w:hint="eastAsia" w:asciiTheme="minorEastAsia" w:hAnsiTheme="minorEastAsia" w:eastAsiaTheme="minorEastAsia" w:cstheme="minorEastAsia"/>
          <w:sz w:val="24"/>
          <w:lang w:eastAsia="zh-CN"/>
        </w:rPr>
        <w:t>。</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24.5 磋商原则在磋商会议上宣布。</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24.6 对采购方的纪律要求</w:t>
      </w:r>
    </w:p>
    <w:p>
      <w:pPr>
        <w:pageBreakBefore w:val="0"/>
        <w:kinsoku/>
        <w:wordWrap/>
        <w:overflowPunct/>
        <w:autoSpaceDE/>
        <w:autoSpaceDN/>
        <w:bidi w:val="0"/>
        <w:adjustRightInd/>
        <w:snapToGrid/>
        <w:spacing w:line="240" w:lineRule="auto"/>
        <w:ind w:left="720" w:hanging="720" w:hangingChars="30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采购方不得泄露磋商活动中应当保密的情况和资料，不得与供应商串通损害国家利</w:t>
      </w:r>
    </w:p>
    <w:p>
      <w:pPr>
        <w:pageBreakBefore w:val="0"/>
        <w:kinsoku/>
        <w:wordWrap/>
        <w:overflowPunct/>
        <w:autoSpaceDE/>
        <w:autoSpaceDN/>
        <w:bidi w:val="0"/>
        <w:adjustRightInd/>
        <w:snapToGrid/>
        <w:spacing w:line="240" w:lineRule="auto"/>
        <w:ind w:left="720" w:hanging="720" w:hangingChars="3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益、社会公共利益或者他人合法权益。</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24.7对供应商的纪律要求</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供应商不得互相串通磋商或者与采购人串通磋商，不得向采购人或者磋商小组成员行贿谋取成交，不得以他人名义磋商或者以其他方式弄虚作假骗取成交；供应商不得以任何方式干扰、影响磋商工作。</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24.8 对与磋商活动有关的工作人员的纪律要求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    与磋商活动有关的工作人员不得收受他人的财物或者好处，不得向其他人透露对磋商响应文件的评审和比较、成交候选人的推荐情况及磋商有关其他情况。在磋商活动中，与磋商活动有关的工作人员不得擅离职守，影响磋商程序正常进行。</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24.9对磋商小组成员要求磋商纪律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24.9.1磋商小组应当依照有关法律法规的规定，按照磋商文件确定的磋商标准和办法客观、公正的对磋商响应文件提出评审意见。磋商文件设有规定的磋商标准和方法不得作为磋商依据。</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24.9.2磋商小组成员不得私下接触供应商，不得收受供应商给予的财务或者其他好处，不得向采购方征询确定成交方意向。</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24.9.3不得接受任何单位或个人明示或暗示提出的倾向或排斥特定供应商的要求。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24.9.4不得有其他不客观，不公正履行职务的行为。</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25．磋商过程</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25.1 磋商的依据为磋商文件和磋商响应文件。</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25.2 磋商后磋商小组审查磋商响应文件是否完整，是否有计算错误，要求的保证金是否提供，文件是否恰当地签署。</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 xml:space="preserve">25.3 磋商小组将确定每一磋商响应文件是否对磋商文件的要求作出了实质性的响应，而没有重大偏离。实质性响应的磋商响应文件是指符合磋商文件的所有条款、条件和规定且没有重大偏离或保留。重大偏离或保留系指影响到磋商文件规定的供货范围、质量和性能，或限制了采购人的权利和供应商的义务的规定，而纠正这些偏离将影响到其他提交实质性响应投标的供应商的公平竞争地位。   </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26．磋商响应文件的澄清</w:t>
      </w:r>
    </w:p>
    <w:p>
      <w:pPr>
        <w:pageBreakBefore w:val="0"/>
        <w:kinsoku/>
        <w:wordWrap/>
        <w:overflowPunct/>
        <w:autoSpaceDE/>
        <w:autoSpaceDN/>
        <w:bidi w:val="0"/>
        <w:adjustRightInd/>
        <w:snapToGrid/>
        <w:spacing w:line="240" w:lineRule="auto"/>
        <w:ind w:left="600" w:hanging="600" w:hangingChars="250"/>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26.1在评审期间，对竞争性磋商响应文件中含义不明确、同类问题表述不一致或者有明显文字和计算错误的内容，磋商小组可以要求供应商作出必要的澄清、说明或者纠正。供应商的澄清、说明或者补正应当采用书面形式</w:t>
      </w:r>
      <w:r>
        <w:rPr>
          <w:rFonts w:hint="eastAsia" w:asciiTheme="minorEastAsia" w:hAnsiTheme="minorEastAsia" w:eastAsiaTheme="minorEastAsia" w:cstheme="minorEastAsia"/>
          <w:sz w:val="24"/>
          <w:lang w:eastAsia="zh-CN"/>
        </w:rPr>
        <w:t>递交至新疆政采云平台</w:t>
      </w:r>
      <w:r>
        <w:rPr>
          <w:rFonts w:hint="eastAsia" w:asciiTheme="minorEastAsia" w:hAnsiTheme="minorEastAsia" w:eastAsiaTheme="minorEastAsia" w:cstheme="minorEastAsia"/>
          <w:sz w:val="24"/>
        </w:rPr>
        <w:t>，并不得超出竞争性磋商响应文件的范围或者改变竞争性磋商响应文件的实质性内容。</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26.2 要澄清的答复应是书面的，但不得对磋商内容进行实质性修改。澄清文件须由供应商法人代表或法人授权代表签字和/或加盖公章并作为磋商响应文件的组成部分。</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26.3 磋商结束后，磋商小组要求所有参加磋商的供应商在规定的时间内进行</w:t>
      </w:r>
      <w:r>
        <w:rPr>
          <w:rFonts w:hint="eastAsia" w:asciiTheme="minorEastAsia" w:hAnsiTheme="minorEastAsia" w:eastAsiaTheme="minorEastAsia" w:cstheme="minorEastAsia"/>
          <w:sz w:val="24"/>
          <w:szCs w:val="24"/>
        </w:rPr>
        <w:t>最后报价</w:t>
      </w:r>
      <w:r>
        <w:rPr>
          <w:rFonts w:hint="eastAsia" w:asciiTheme="minorEastAsia" w:hAnsiTheme="minorEastAsia" w:eastAsiaTheme="minorEastAsia" w:cstheme="minorEastAsia"/>
          <w:sz w:val="24"/>
        </w:rPr>
        <w:t>。</w:t>
      </w:r>
    </w:p>
    <w:p>
      <w:pPr>
        <w:pageBreakBefore w:val="0"/>
        <w:kinsoku/>
        <w:wordWrap/>
        <w:overflowPunct/>
        <w:autoSpaceDE/>
        <w:autoSpaceDN/>
        <w:bidi w:val="0"/>
        <w:adjustRightInd/>
        <w:snapToGrid/>
        <w:spacing w:line="240" w:lineRule="auto"/>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27．确定成交供应商的办法</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.1磋商小组按照磋商文件要求对磋商响应文件中重要技术指标以及技术、经济和商务上要求的其它重要内容进行审核。</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.2磋商小组和供应商磋商过程中作出的书面承诺是否符合磋商文件中对质量、技术、经济和服务的要求。</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rPr>
        <w:t>27</w:t>
      </w:r>
      <w:r>
        <w:rPr>
          <w:rFonts w:hint="eastAsia" w:asciiTheme="minorEastAsia" w:hAnsiTheme="minorEastAsia" w:eastAsiaTheme="minorEastAsia" w:cstheme="minorEastAsia"/>
          <w:bCs/>
          <w:sz w:val="24"/>
        </w:rPr>
        <w:t>.3</w:t>
      </w:r>
      <w:r>
        <w:rPr>
          <w:rFonts w:hint="eastAsia" w:asciiTheme="minorEastAsia" w:hAnsiTheme="minorEastAsia" w:eastAsiaTheme="minorEastAsia" w:cstheme="minorEastAsia"/>
          <w:sz w:val="24"/>
          <w:szCs w:val="24"/>
          <w:shd w:val="clear" w:color="auto" w:fill="FFFFFF"/>
        </w:rPr>
        <w:t>经磋商确定最终采购需求和提交最终报价的供应商后，由磋商小组采用综合评分法对提交最终报价的供应商的响应文件和最终报价进行综合评分。</w:t>
      </w:r>
    </w:p>
    <w:p>
      <w:pPr>
        <w:pageBreakBefore w:val="0"/>
        <w:kinsoku/>
        <w:wordWrap/>
        <w:overflowPunct/>
        <w:autoSpaceDE/>
        <w:autoSpaceDN/>
        <w:bidi w:val="0"/>
        <w:adjustRightInd/>
        <w:snapToGrid/>
        <w:spacing w:line="240" w:lineRule="auto"/>
        <w:textAlignment w:val="auto"/>
        <w:rPr>
          <w:rFonts w:hint="eastAsia" w:asciiTheme="minorEastAsia" w:hAnsiTheme="minorEastAsia" w:eastAsiaTheme="minorEastAsia" w:cstheme="minorEastAsia"/>
          <w:b/>
          <w:bCs w:val="0"/>
          <w:sz w:val="24"/>
          <w:szCs w:val="24"/>
          <w:shd w:val="clear" w:color="auto" w:fill="FFFFFF"/>
        </w:rPr>
      </w:pPr>
      <w:r>
        <w:rPr>
          <w:rFonts w:hint="eastAsia" w:asciiTheme="minorEastAsia" w:hAnsiTheme="minorEastAsia" w:eastAsiaTheme="minorEastAsia" w:cstheme="minorEastAsia"/>
          <w:b/>
          <w:bCs w:val="0"/>
          <w:sz w:val="24"/>
          <w:szCs w:val="22"/>
        </w:rPr>
        <w:t xml:space="preserve">27 </w:t>
      </w:r>
      <w:r>
        <w:rPr>
          <w:rFonts w:hint="eastAsia" w:asciiTheme="minorEastAsia" w:hAnsiTheme="minorEastAsia" w:eastAsiaTheme="minorEastAsia" w:cstheme="minorEastAsia"/>
          <w:b/>
          <w:bCs w:val="0"/>
          <w:sz w:val="24"/>
          <w:szCs w:val="24"/>
          <w:shd w:val="clear" w:color="auto" w:fill="FFFFFF"/>
        </w:rPr>
        <w:t>评审标准</w:t>
      </w:r>
    </w:p>
    <w:p>
      <w:pPr>
        <w:spacing w:line="500" w:lineRule="exact"/>
        <w:ind w:firstLine="538" w:firstLineChars="217"/>
        <w:rPr>
          <w:rFonts w:hint="eastAsia" w:ascii="宋体" w:hAnsi="宋体" w:eastAsia="宋体" w:cs="宋体"/>
          <w:spacing w:val="4"/>
          <w:sz w:val="24"/>
          <w:szCs w:val="24"/>
          <w:lang w:eastAsia="zh-CN"/>
        </w:rPr>
      </w:pPr>
      <w:r>
        <w:rPr>
          <w:rFonts w:hint="eastAsia" w:ascii="宋体" w:hAnsi="宋体" w:cs="宋体"/>
          <w:spacing w:val="4"/>
          <w:sz w:val="24"/>
          <w:szCs w:val="24"/>
        </w:rPr>
        <w:t>按照《中华人民共和国政府采购法》及实施条例和</w:t>
      </w:r>
      <w:r>
        <w:rPr>
          <w:rFonts w:hint="eastAsia" w:ascii="宋体" w:hAnsi="宋体" w:cs="宋体"/>
          <w:sz w:val="24"/>
          <w:szCs w:val="24"/>
        </w:rPr>
        <w:t>财政部关于《政府采购竞争性磋商采购方式管理暂行办法》有关问题的补充通知（财库〔2015〕124号）、财政部</w:t>
      </w:r>
      <w:r>
        <w:rPr>
          <w:rFonts w:hint="eastAsia" w:ascii="宋体" w:hAnsi="宋体" w:cs="宋体"/>
          <w:spacing w:val="4"/>
          <w:sz w:val="24"/>
          <w:szCs w:val="24"/>
        </w:rPr>
        <w:t>关于印发《政府采购竞争性磋商采购方式管理暂行办法》的通知（财库【2014】214号）的规定，本次评标采用综合评分法，即在最大限度地满足竞争性磋商文件实质性要求前提下，按照竞争性磋商文件中规定的各项因素和相应的权重分值进行综合评审后，以总得分最高的供应商作为成交候选人并依次排序（最低报价不是成交的唯一标准）</w:t>
      </w:r>
      <w:r>
        <w:rPr>
          <w:rFonts w:hint="eastAsia" w:ascii="宋体" w:hAnsi="宋体" w:cs="宋体"/>
          <w:spacing w:val="4"/>
          <w:sz w:val="24"/>
          <w:szCs w:val="24"/>
          <w:lang w:eastAsia="zh-CN"/>
        </w:rPr>
        <w:t>。</w:t>
      </w:r>
    </w:p>
    <w:p>
      <w:pPr>
        <w:pStyle w:val="25"/>
        <w:pageBreakBefore w:val="0"/>
        <w:widowControl/>
        <w:kinsoku/>
        <w:wordWrap/>
        <w:overflowPunct/>
        <w:autoSpaceDE/>
        <w:autoSpaceDN/>
        <w:bidi w:val="0"/>
        <w:adjustRightInd/>
        <w:snapToGrid/>
        <w:spacing w:line="240" w:lineRule="auto"/>
        <w:textAlignment w:val="auto"/>
        <w:rPr>
          <w:rFonts w:asciiTheme="minorEastAsia" w:hAnsiTheme="minorEastAsia" w:eastAsiaTheme="minorEastAsia" w:cstheme="minorEastAsia"/>
          <w:color w:val="000000" w:themeColor="text1"/>
          <w:szCs w:val="24"/>
          <w14:textFill>
            <w14:solidFill>
              <w14:schemeClr w14:val="tx1"/>
            </w14:solidFill>
          </w14:textFill>
        </w:rPr>
      </w:pPr>
      <w:bookmarkStart w:id="120" w:name="_Toc18339"/>
      <w:bookmarkStart w:id="121" w:name="_Toc7276"/>
      <w:r>
        <w:rPr>
          <w:rFonts w:hint="eastAsia" w:asciiTheme="minorEastAsia" w:hAnsiTheme="minorEastAsia" w:eastAsiaTheme="minorEastAsia" w:cstheme="minorEastAsia"/>
          <w:color w:val="000000" w:themeColor="text1"/>
          <w:szCs w:val="24"/>
          <w14:textFill>
            <w14:solidFill>
              <w14:schemeClr w14:val="tx1"/>
            </w14:solidFill>
          </w14:textFill>
        </w:rPr>
        <w:t>27.1 初步评审标准</w:t>
      </w:r>
      <w:bookmarkEnd w:id="120"/>
      <w:bookmarkEnd w:id="121"/>
      <w:r>
        <w:rPr>
          <w:rFonts w:hint="eastAsia" w:asciiTheme="minorEastAsia" w:hAnsiTheme="minorEastAsia" w:eastAsiaTheme="minorEastAsia" w:cstheme="minorEastAsia"/>
          <w:color w:val="000000" w:themeColor="text1"/>
          <w:szCs w:val="24"/>
          <w:lang w:eastAsia="zh-CN"/>
          <w14:textFill>
            <w14:solidFill>
              <w14:schemeClr w14:val="tx1"/>
            </w14:solidFill>
          </w14:textFill>
        </w:rPr>
        <w:t>—</w:t>
      </w:r>
      <w:r>
        <w:rPr>
          <w:rFonts w:hint="eastAsia" w:asciiTheme="minorEastAsia" w:hAnsiTheme="minorEastAsia" w:eastAsiaTheme="minorEastAsia" w:cstheme="minorEastAsia"/>
          <w:b/>
          <w:bCs w:val="0"/>
          <w:sz w:val="24"/>
          <w:szCs w:val="24"/>
          <w:lang w:val="en-US" w:eastAsia="zh-CN"/>
        </w:rPr>
        <w:t>资格</w:t>
      </w:r>
      <w:r>
        <w:rPr>
          <w:rFonts w:hint="eastAsia" w:asciiTheme="minorEastAsia" w:hAnsiTheme="minorEastAsia" w:eastAsiaTheme="minorEastAsia" w:cstheme="minorEastAsia"/>
          <w:b/>
          <w:bCs w:val="0"/>
          <w:sz w:val="24"/>
          <w:szCs w:val="24"/>
        </w:rPr>
        <w:t>评审：</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（1）本次招标要求投标人须具备[施工总承包·建筑工程叁级] （含）以上资质，并在人员、设备、资金等方面具有相应的施工能力；</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（2）有安全生产许可证；</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（3）外省企业已办理进疆建筑企业信息登记报送；</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（4）项目负责人须具备建筑工程施工专业二级注册建造师执业资格，具备有效的安全生产考核合格证书，且未担任其他在建工程；</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5）在“信用中国”网站（www.creditchina.gov.cn）及中国政府采购网（www.ccgp.gov.cn）中被列入失信被执行人、重大税收违法案件当事人名单、政府采购严重违法失信行为记录名单的供应商，不得参加本次政府采购活动（附查询结果，且查询时间不能早于本项目采购公告发布之日）；</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（6）法定代表人身份证明或法定代表人授权委托原件、法定代表人或授权委托人身份证；</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（7）单位负责人为同一人或者存在直接控股、管理关系的不同供应商，不得参加同一合同项下的政府采购活动；</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（8）拟派建造师及上述项目班子人员在本单位近半年的社保证明；</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（9）项目所在地劳动部门出具的无拖欠农民工工资证明；</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val="0"/>
          <w:bCs/>
          <w:sz w:val="24"/>
          <w:szCs w:val="24"/>
          <w:lang w:val="en-US" w:eastAsia="zh-CN"/>
        </w:rPr>
        <w:t>（10）出具近3个月依法纳税凭证或有电子专用章的完税证明、出具上一年度财务审计报告或银行出具的资信证明。</w:t>
      </w:r>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b/>
          <w:bCs w:val="0"/>
          <w:sz w:val="24"/>
          <w:szCs w:val="24"/>
        </w:rPr>
      </w:pPr>
      <w:r>
        <w:rPr>
          <w:rFonts w:hint="eastAsia" w:asciiTheme="minorEastAsia" w:hAnsiTheme="minorEastAsia" w:eastAsiaTheme="minorEastAsia" w:cstheme="minorEastAsia"/>
          <w:b/>
          <w:bCs w:val="0"/>
          <w:sz w:val="24"/>
          <w:szCs w:val="24"/>
          <w:lang w:val="en-US" w:eastAsia="zh-CN"/>
        </w:rPr>
        <w:t>27.2</w:t>
      </w:r>
      <w:r>
        <w:rPr>
          <w:rFonts w:hint="eastAsia" w:asciiTheme="minorEastAsia" w:hAnsiTheme="minorEastAsia" w:eastAsiaTheme="minorEastAsia" w:cstheme="minorEastAsia"/>
          <w:b/>
          <w:color w:val="000000" w:themeColor="text1"/>
          <w:sz w:val="24"/>
          <w:szCs w:val="24"/>
          <w14:textFill>
            <w14:solidFill>
              <w14:schemeClr w14:val="tx1"/>
            </w14:solidFill>
          </w14:textFill>
        </w:rPr>
        <w:t>初步评审标准-</w:t>
      </w:r>
      <w:r>
        <w:rPr>
          <w:rFonts w:hint="eastAsia" w:asciiTheme="minorEastAsia" w:hAnsiTheme="minorEastAsia" w:eastAsiaTheme="minorEastAsia" w:cstheme="minorEastAsia"/>
          <w:b/>
          <w:color w:val="000000" w:themeColor="text1"/>
          <w:sz w:val="24"/>
          <w:szCs w:val="24"/>
          <w:lang w:val="en-US" w:eastAsia="zh-CN"/>
          <w14:textFill>
            <w14:solidFill>
              <w14:schemeClr w14:val="tx1"/>
            </w14:solidFill>
          </w14:textFill>
        </w:rPr>
        <w:t>符合</w:t>
      </w:r>
      <w:r>
        <w:rPr>
          <w:rFonts w:hint="eastAsia" w:asciiTheme="minorEastAsia" w:hAnsiTheme="minorEastAsia" w:eastAsiaTheme="minorEastAsia" w:cstheme="minorEastAsia"/>
          <w:b/>
          <w:color w:val="000000" w:themeColor="text1"/>
          <w:sz w:val="24"/>
          <w:szCs w:val="24"/>
          <w14:textFill>
            <w14:solidFill>
              <w14:schemeClr w14:val="tx1"/>
            </w14:solidFill>
          </w14:textFill>
        </w:rPr>
        <w:t>性评审</w:t>
      </w:r>
      <w:r>
        <w:rPr>
          <w:rFonts w:hint="eastAsia" w:asciiTheme="minorEastAsia" w:hAnsiTheme="minorEastAsia" w:eastAsiaTheme="minorEastAsia" w:cstheme="minorEastAsia"/>
          <w:b/>
          <w:color w:val="000000" w:themeColor="text1"/>
          <w:sz w:val="24"/>
          <w:szCs w:val="24"/>
          <w:lang w:eastAsia="zh-CN"/>
          <w14:textFill>
            <w14:solidFill>
              <w14:schemeClr w14:val="tx1"/>
            </w14:solidFill>
          </w14:textFill>
        </w:rPr>
        <w:t>：</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（1）投标报价高于设定的工程预算招标控制价（工程限额）的；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（2）未按磋商文件规定的格式填写，内容不全或关键字迹模糊、无法辨认的；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（3）改变磋商文件提供的工程量清单中的计量单位、工程量的；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（4）将工程排污费、社会保障费、住房公积金、危险作业意外伤害保险等规费和营业税、城市维护建设税、教育费附加等税金，以及安全文明施工费列入招标投标竞争性费用的；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）供应商之间或者供应商与采购人串通投标的；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）项目负责人不是供应商的注册执业人员，或者不具备项目负责人资格条件的；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）磋商响应文件没有投标单位法定代表人或其授权代表签字和加盖投标单位公章的；</w:t>
      </w:r>
    </w:p>
    <w:p>
      <w:pPr>
        <w:pageBreakBefore w:val="0"/>
        <w:kinsoku/>
        <w:wordWrap/>
        <w:overflowPunct/>
        <w:autoSpaceDE/>
        <w:autoSpaceDN/>
        <w:bidi w:val="0"/>
        <w:adjustRightInd/>
        <w:snapToGrid/>
        <w:spacing w:line="240" w:lineRule="auto"/>
        <w:ind w:firstLine="480" w:firstLineChars="200"/>
        <w:textAlignment w:val="auto"/>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p>
      <w:pPr>
        <w:pageBreakBefore w:val="0"/>
        <w:kinsoku/>
        <w:wordWrap/>
        <w:overflowPunct/>
        <w:autoSpaceDE/>
        <w:autoSpaceDN/>
        <w:bidi w:val="0"/>
        <w:adjustRightInd/>
        <w:snapToGrid/>
        <w:spacing w:line="240" w:lineRule="auto"/>
        <w:ind w:firstLine="480" w:firstLineChars="200"/>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）磋商文件附有招标人不能接受条件的</w:t>
      </w:r>
      <w:r>
        <w:rPr>
          <w:rFonts w:hint="eastAsia" w:asciiTheme="minorEastAsia" w:hAnsiTheme="minorEastAsia" w:eastAsiaTheme="minorEastAsia" w:cstheme="minorEastAsia"/>
          <w:sz w:val="24"/>
          <w:szCs w:val="24"/>
          <w:lang w:eastAsia="zh-CN"/>
        </w:rPr>
        <w:t>。</w:t>
      </w:r>
    </w:p>
    <w:p>
      <w:pPr>
        <w:pageBreakBefore w:val="0"/>
        <w:tabs>
          <w:tab w:val="left" w:pos="392"/>
        </w:tabs>
        <w:kinsoku/>
        <w:wordWrap/>
        <w:overflowPunct/>
        <w:autoSpaceDE/>
        <w:autoSpaceDN/>
        <w:bidi w:val="0"/>
        <w:adjustRightInd/>
        <w:snapToGrid/>
        <w:spacing w:line="240" w:lineRule="auto"/>
        <w:textAlignment w:val="auto"/>
        <w:rPr>
          <w:rFonts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 xml:space="preserve">  27.</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详细评审标准</w:t>
      </w:r>
    </w:p>
    <w:p>
      <w:pPr>
        <w:pageBreakBefore w:val="0"/>
        <w:kinsoku/>
        <w:wordWrap/>
        <w:overflowPunct/>
        <w:autoSpaceDE/>
        <w:autoSpaceDN/>
        <w:bidi w:val="0"/>
        <w:adjustRightInd/>
        <w:snapToGrid/>
        <w:spacing w:line="240" w:lineRule="auto"/>
        <w:ind w:left="691" w:leftChars="157" w:hanging="361" w:hangingChars="150"/>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w:t>
      </w:r>
      <w:r>
        <w:rPr>
          <w:rFonts w:hint="eastAsia" w:asciiTheme="minorEastAsia" w:hAnsiTheme="minorEastAsia" w:eastAsiaTheme="minorEastAsia" w:cstheme="minorEastAsia"/>
          <w:b/>
          <w:sz w:val="24"/>
          <w:szCs w:val="24"/>
          <w:lang w:val="en-US" w:eastAsia="zh-CN"/>
        </w:rPr>
        <w:t>3</w:t>
      </w:r>
      <w:r>
        <w:rPr>
          <w:rFonts w:hint="eastAsia" w:asciiTheme="minorEastAsia" w:hAnsiTheme="minorEastAsia" w:eastAsiaTheme="minorEastAsia" w:cstheme="minorEastAsia"/>
          <w:b/>
          <w:sz w:val="24"/>
          <w:szCs w:val="24"/>
        </w:rPr>
        <w:t>.1技术标评定</w:t>
      </w:r>
    </w:p>
    <w:p>
      <w:pPr>
        <w:pStyle w:val="25"/>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2" w:name="_Toc4220"/>
      <w:bookmarkStart w:id="123" w:name="_Toc18855"/>
      <w:r>
        <w:rPr>
          <w:rFonts w:hint="eastAsia" w:asciiTheme="minorEastAsia" w:hAnsiTheme="minorEastAsia" w:eastAsiaTheme="minorEastAsia" w:cstheme="minorEastAsia"/>
          <w:szCs w:val="24"/>
        </w:rPr>
        <w:t>评委按照磋商文件要求，对技术标磋商响应文件进行评定，磋商小组对于认定不合格的技术标书，应具书面评标报告。评标报告由评委会组长拟稿，全体评标成员签字确认（评审标准详附表）。</w:t>
      </w:r>
      <w:bookmarkEnd w:id="122"/>
      <w:bookmarkEnd w:id="123"/>
    </w:p>
    <w:p>
      <w:pPr>
        <w:pStyle w:val="25"/>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4" w:name="_Toc19540"/>
      <w:bookmarkStart w:id="125" w:name="_Toc671"/>
      <w:r>
        <w:rPr>
          <w:rFonts w:hint="eastAsia" w:asciiTheme="minorEastAsia" w:hAnsiTheme="minorEastAsia" w:eastAsiaTheme="minorEastAsia" w:cstheme="minorEastAsia"/>
          <w:szCs w:val="24"/>
        </w:rPr>
        <w:t>27.</w:t>
      </w:r>
      <w:r>
        <w:rPr>
          <w:rFonts w:hint="eastAsia" w:asciiTheme="minorEastAsia" w:hAnsiTheme="minorEastAsia" w:eastAsiaTheme="minorEastAsia" w:cstheme="minorEastAsia"/>
          <w:szCs w:val="24"/>
          <w:lang w:val="en-US" w:eastAsia="zh-CN"/>
        </w:rPr>
        <w:t>3</w:t>
      </w:r>
      <w:r>
        <w:rPr>
          <w:rFonts w:hint="eastAsia" w:asciiTheme="minorEastAsia" w:hAnsiTheme="minorEastAsia" w:eastAsiaTheme="minorEastAsia" w:cstheme="minorEastAsia"/>
          <w:szCs w:val="24"/>
        </w:rPr>
        <w:t>.2商务标评定</w:t>
      </w:r>
      <w:bookmarkEnd w:id="124"/>
      <w:bookmarkEnd w:id="125"/>
    </w:p>
    <w:p>
      <w:pPr>
        <w:pStyle w:val="25"/>
        <w:pageBreakBefore w:val="0"/>
        <w:widowControl/>
        <w:kinsoku/>
        <w:wordWrap/>
        <w:overflowPunct/>
        <w:autoSpaceDE/>
        <w:autoSpaceDN/>
        <w:bidi w:val="0"/>
        <w:adjustRightInd/>
        <w:snapToGrid/>
        <w:spacing w:line="240" w:lineRule="auto"/>
        <w:ind w:firstLine="482" w:firstLineChars="200"/>
        <w:textAlignment w:val="auto"/>
        <w:rPr>
          <w:rFonts w:asciiTheme="minorEastAsia" w:hAnsiTheme="minorEastAsia" w:eastAsiaTheme="minorEastAsia" w:cstheme="minorEastAsia"/>
          <w:szCs w:val="24"/>
        </w:rPr>
      </w:pPr>
      <w:bookmarkStart w:id="126" w:name="_Toc11285"/>
      <w:bookmarkStart w:id="127" w:name="_Toc19117"/>
      <w:r>
        <w:rPr>
          <w:rFonts w:hint="eastAsia" w:asciiTheme="minorEastAsia" w:hAnsiTheme="minorEastAsia" w:eastAsiaTheme="minorEastAsia" w:cstheme="minorEastAsia"/>
          <w:szCs w:val="24"/>
        </w:rPr>
        <w:t>商务标的评审标准详见附表。</w:t>
      </w:r>
      <w:bookmarkEnd w:id="126"/>
      <w:bookmarkEnd w:id="127"/>
    </w:p>
    <w:p>
      <w:pPr>
        <w:pageBreakBefore w:val="0"/>
        <w:kinsoku/>
        <w:wordWrap/>
        <w:overflowPunct/>
        <w:autoSpaceDE/>
        <w:autoSpaceDN/>
        <w:bidi w:val="0"/>
        <w:adjustRightInd/>
        <w:snapToGrid/>
        <w:spacing w:line="240" w:lineRule="auto"/>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 xml:space="preserve">  27.</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 xml:space="preserve"> </w:t>
      </w:r>
      <w:r>
        <w:rPr>
          <w:rFonts w:hint="eastAsia" w:asciiTheme="minorEastAsia" w:hAnsiTheme="minorEastAsia" w:eastAsiaTheme="minorEastAsia" w:cstheme="minorEastAsia"/>
          <w:sz w:val="24"/>
          <w:szCs w:val="24"/>
        </w:rPr>
        <w:t>评审结果</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27.</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sz w:val="24"/>
          <w:szCs w:val="24"/>
        </w:rPr>
        <w:t>.1</w:t>
      </w:r>
      <w:r>
        <w:rPr>
          <w:rFonts w:hint="eastAsia" w:asciiTheme="minorEastAsia" w:hAnsiTheme="minorEastAsia" w:eastAsiaTheme="minorEastAsia" w:cstheme="minorEastAsia"/>
          <w:sz w:val="24"/>
          <w:szCs w:val="24"/>
        </w:rPr>
        <w:t xml:space="preserve"> 除第二章“供应商须知”前附表授权直接确定中标人外，磋商小组通过评标办法以得分由高到低确定出前三名作为中标候选人推荐给采购人。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依法必须招标的项目，采购人应当确定排名第一的中标候选人为中标人。排名第一的中标候选人放弃中标、因不可抗力提出不能履行合同、或者磋商文件规定应当提交履约保证金而在规定的期限内未能提交的，招标人可以确定排名第二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排名第二的中标候选人因前款确定的同样原因不能签订合同的，采购人可以确定排名第三的中标候选人为中标人。</w:t>
      </w:r>
    </w:p>
    <w:p>
      <w:pPr>
        <w:pageBreakBefore w:val="0"/>
        <w:kinsoku/>
        <w:wordWrap/>
        <w:overflowPunct/>
        <w:autoSpaceDE/>
        <w:autoSpaceDN/>
        <w:bidi w:val="0"/>
        <w:adjustRightInd/>
        <w:snapToGrid/>
        <w:spacing w:line="240" w:lineRule="auto"/>
        <w:ind w:firstLine="435"/>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sz w:val="24"/>
          <w:szCs w:val="24"/>
        </w:rPr>
        <w:t>27.</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bCs/>
          <w:sz w:val="24"/>
          <w:szCs w:val="24"/>
        </w:rPr>
        <w:t>.2</w:t>
      </w:r>
      <w:r>
        <w:rPr>
          <w:rFonts w:hint="eastAsia" w:asciiTheme="minorEastAsia" w:hAnsiTheme="minorEastAsia" w:eastAsiaTheme="minorEastAsia" w:cstheme="minorEastAsia"/>
          <w:sz w:val="24"/>
          <w:szCs w:val="24"/>
        </w:rPr>
        <w:t>磋商小组完成评审后，应当向采购人提交书面评审报告。</w:t>
      </w:r>
    </w:p>
    <w:p>
      <w:pPr>
        <w:pageBreakBefore w:val="0"/>
        <w:kinsoku/>
        <w:wordWrap/>
        <w:overflowPunct/>
        <w:autoSpaceDE/>
        <w:autoSpaceDN/>
        <w:bidi w:val="0"/>
        <w:adjustRightInd/>
        <w:snapToGrid/>
        <w:spacing w:line="240" w:lineRule="auto"/>
        <w:ind w:left="1" w:firstLine="426" w:firstLineChars="177"/>
        <w:textAlignment w:val="auto"/>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sz w:val="24"/>
          <w:szCs w:val="24"/>
        </w:rPr>
        <w:t>27.</w:t>
      </w:r>
      <w:r>
        <w:rPr>
          <w:rFonts w:hint="eastAsia" w:asciiTheme="minorEastAsia" w:hAnsiTheme="minorEastAsia" w:eastAsiaTheme="minorEastAsia" w:cstheme="minorEastAsia"/>
          <w:b/>
          <w:sz w:val="24"/>
          <w:szCs w:val="24"/>
          <w:lang w:val="en-US" w:eastAsia="zh-CN"/>
        </w:rPr>
        <w:t>4</w:t>
      </w:r>
      <w:r>
        <w:rPr>
          <w:rFonts w:hint="eastAsia" w:asciiTheme="minorEastAsia" w:hAnsiTheme="minorEastAsia" w:eastAsiaTheme="minorEastAsia" w:cstheme="minorEastAsia"/>
          <w:b/>
          <w:bCs/>
          <w:sz w:val="24"/>
          <w:szCs w:val="24"/>
        </w:rPr>
        <w:t>.3</w:t>
      </w:r>
      <w:r>
        <w:rPr>
          <w:rFonts w:hint="eastAsia" w:asciiTheme="minorEastAsia" w:hAnsiTheme="minorEastAsia" w:eastAsiaTheme="minorEastAsia" w:cstheme="minorEastAsia"/>
          <w:sz w:val="24"/>
          <w:szCs w:val="24"/>
        </w:rPr>
        <w:t>成交结果信息公布</w:t>
      </w:r>
    </w:p>
    <w:p>
      <w:pPr>
        <w:pageBreakBefore w:val="0"/>
        <w:kinsoku/>
        <w:wordWrap/>
        <w:overflowPunct/>
        <w:autoSpaceDE/>
        <w:autoSpaceDN/>
        <w:bidi w:val="0"/>
        <w:adjustRightInd/>
        <w:snapToGrid/>
        <w:spacing w:line="240" w:lineRule="auto"/>
        <w:ind w:left="1" w:firstLine="424" w:firstLineChars="177"/>
        <w:textAlignment w:val="auto"/>
        <w:rPr>
          <w:rFonts w:hint="default" w:asciiTheme="minorEastAsia" w:hAnsiTheme="minorEastAsia" w:eastAsiaTheme="minorEastAsia" w:cstheme="minorEastAsia"/>
          <w:szCs w:val="24"/>
        </w:rPr>
      </w:pPr>
      <w:r>
        <w:rPr>
          <w:rFonts w:hint="eastAsia" w:asciiTheme="minorEastAsia" w:hAnsiTheme="minorEastAsia" w:eastAsiaTheme="minorEastAsia" w:cstheme="minorEastAsia"/>
          <w:sz w:val="24"/>
          <w:szCs w:val="24"/>
          <w:shd w:val="clear" w:color="auto" w:fill="FFFFFF"/>
        </w:rPr>
        <w:t>磋商小组按照磋商文件要求对响应文件中的重要技术指标以及技术和商务上要求的其它重要内容进行审核，审核合格后即视为实质性响应的磋商响应文件，进行第二个步骤：对实质性响应的磋商响应文件进行评估和比较采用综合评分法进行打分评比，打分方法：</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总分为100分，其中经济标</w:t>
      </w:r>
      <w: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t>30</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分，商务标</w:t>
      </w:r>
      <w: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t>20</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分，技术标</w:t>
      </w:r>
      <w:r>
        <w:rPr>
          <w:rFonts w:hint="eastAsia" w:asciiTheme="minorEastAsia" w:hAnsiTheme="minorEastAsia" w:eastAsiaTheme="minorEastAsia" w:cstheme="minorEastAsia"/>
          <w:color w:val="000000" w:themeColor="text1"/>
          <w:sz w:val="24"/>
          <w:szCs w:val="24"/>
          <w:shd w:val="clear" w:color="auto" w:fill="FFFFFF"/>
          <w:lang w:val="en-US" w:eastAsia="zh-CN"/>
          <w14:textFill>
            <w14:solidFill>
              <w14:schemeClr w14:val="tx1"/>
            </w14:solidFill>
          </w14:textFill>
        </w:rPr>
        <w:t>50</w:t>
      </w:r>
      <w:r>
        <w:rPr>
          <w:rFonts w:hint="eastAsia" w:asciiTheme="minorEastAsia" w:hAnsiTheme="minorEastAsia" w:eastAsiaTheme="minorEastAsia" w:cstheme="minorEastAsia"/>
          <w:color w:val="000000" w:themeColor="text1"/>
          <w:sz w:val="24"/>
          <w:szCs w:val="24"/>
          <w:shd w:val="clear" w:color="auto" w:fill="FFFFFF"/>
          <w14:textFill>
            <w14:solidFill>
              <w14:schemeClr w14:val="tx1"/>
            </w14:solidFill>
          </w14:textFill>
        </w:rPr>
        <w:t>分。将每位</w:t>
      </w:r>
      <w:r>
        <w:rPr>
          <w:rFonts w:hint="eastAsia" w:asciiTheme="minorEastAsia" w:hAnsiTheme="minorEastAsia" w:eastAsiaTheme="minorEastAsia" w:cstheme="minorEastAsia"/>
          <w:sz w:val="24"/>
          <w:szCs w:val="24"/>
          <w:shd w:val="clear" w:color="auto" w:fill="FFFFFF"/>
        </w:rPr>
        <w:t>供应商的所有得分相加即为该供应商的总得分。初步评审附表及详细评审内容标准如下：</w:t>
      </w:r>
    </w:p>
    <w:p>
      <w:pPr>
        <w:pStyle w:val="26"/>
        <w:spacing w:line="360" w:lineRule="auto"/>
        <w:rPr>
          <w:rFonts w:asciiTheme="minorEastAsia" w:hAnsiTheme="minorEastAsia" w:eastAsiaTheme="minorEastAsia" w:cstheme="minorEastAsia"/>
          <w:szCs w:val="24"/>
        </w:rPr>
      </w:pPr>
    </w:p>
    <w:p>
      <w:pPr>
        <w:pStyle w:val="26"/>
        <w:spacing w:line="360" w:lineRule="auto"/>
        <w:rPr>
          <w:rFonts w:hint="default" w:asciiTheme="minorEastAsia" w:hAnsiTheme="minorEastAsia" w:eastAsiaTheme="minorEastAsia" w:cstheme="minorEastAsia"/>
          <w:szCs w:val="24"/>
        </w:rPr>
      </w:pPr>
      <w:r>
        <w:rPr>
          <w:rFonts w:asciiTheme="minorEastAsia" w:hAnsiTheme="minorEastAsia" w:eastAsiaTheme="minorEastAsia" w:cstheme="minorEastAsia"/>
          <w:szCs w:val="24"/>
        </w:rPr>
        <w:t>附表一：</w:t>
      </w:r>
    </w:p>
    <w:p>
      <w:pPr>
        <w:spacing w:line="360" w:lineRule="auto"/>
        <w:jc w:val="center"/>
        <w:rPr>
          <w:rFonts w:asciiTheme="minorEastAsia" w:hAnsiTheme="minorEastAsia" w:eastAsiaTheme="minorEastAsia" w:cstheme="minorEastAsia"/>
          <w:b/>
          <w:sz w:val="32"/>
          <w:szCs w:val="24"/>
        </w:rPr>
      </w:pPr>
      <w:bookmarkStart w:id="128" w:name="_Toc349573126"/>
      <w:bookmarkStart w:id="129" w:name="_Toc471489758"/>
      <w:bookmarkStart w:id="130" w:name="_Toc267301287"/>
      <w:bookmarkStart w:id="131" w:name="_Toc298240410"/>
      <w:bookmarkStart w:id="132" w:name="_Toc349637925"/>
      <w:bookmarkStart w:id="133" w:name="_Toc527642957"/>
      <w:bookmarkStart w:id="134" w:name="_Toc267301288"/>
      <w:r>
        <w:rPr>
          <w:rFonts w:hint="eastAsia" w:asciiTheme="minorEastAsia" w:hAnsiTheme="minorEastAsia" w:eastAsiaTheme="minorEastAsia" w:cstheme="minorEastAsia"/>
          <w:b/>
          <w:sz w:val="32"/>
          <w:szCs w:val="24"/>
          <w:lang w:val="zh-CN"/>
        </w:rPr>
        <w:t>（1）初步评审标准</w:t>
      </w:r>
      <w:r>
        <w:rPr>
          <w:rFonts w:hint="eastAsia" w:asciiTheme="minorEastAsia" w:hAnsiTheme="minorEastAsia" w:eastAsiaTheme="minorEastAsia" w:cstheme="minorEastAsia"/>
          <w:b/>
          <w:sz w:val="32"/>
          <w:szCs w:val="24"/>
        </w:rPr>
        <w:t>-</w:t>
      </w:r>
      <w:r>
        <w:rPr>
          <w:rFonts w:hint="eastAsia" w:asciiTheme="minorEastAsia" w:hAnsiTheme="minorEastAsia" w:eastAsiaTheme="minorEastAsia" w:cstheme="minorEastAsia"/>
          <w:b/>
          <w:sz w:val="32"/>
          <w:szCs w:val="24"/>
          <w:lang w:val="en-US" w:eastAsia="zh-CN"/>
        </w:rPr>
        <w:t>资格</w:t>
      </w:r>
      <w:r>
        <w:rPr>
          <w:rFonts w:hint="eastAsia" w:asciiTheme="minorEastAsia" w:hAnsiTheme="minorEastAsia" w:eastAsiaTheme="minorEastAsia" w:cstheme="minorEastAsia"/>
          <w:b/>
          <w:sz w:val="32"/>
          <w:szCs w:val="24"/>
        </w:rPr>
        <w:t>评审</w:t>
      </w:r>
    </w:p>
    <w:tbl>
      <w:tblPr>
        <w:tblStyle w:val="19"/>
        <w:tblW w:w="9645" w:type="dxa"/>
        <w:tblInd w:w="152"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90"/>
        <w:gridCol w:w="865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3"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序号</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center"/>
              <w:rPr>
                <w:rFonts w:hint="eastAsia" w:ascii="宋体" w:hAnsi="宋体" w:eastAsia="宋体" w:cs="宋体"/>
                <w:color w:val="000000"/>
                <w:sz w:val="28"/>
                <w:szCs w:val="28"/>
                <w:lang w:val="zh-CN"/>
              </w:rPr>
            </w:pPr>
            <w:r>
              <w:rPr>
                <w:rFonts w:hint="eastAsia" w:ascii="宋体" w:hAnsi="宋体" w:eastAsia="宋体" w:cs="宋体"/>
                <w:color w:val="000000"/>
                <w:sz w:val="28"/>
                <w:szCs w:val="28"/>
                <w:lang w:val="zh-CN"/>
              </w:rPr>
              <w:t>标  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8"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1</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b w:val="0"/>
                <w:bCs/>
                <w:sz w:val="24"/>
                <w:szCs w:val="24"/>
                <w:lang w:val="en-US" w:eastAsia="zh-CN"/>
              </w:rPr>
              <w:t>本次招标要求投标人须具备[施工总承包·建筑工程叁级] （含）以上资质，并在人员、设备、资金等方面具有相应的施工能力</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3"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2</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b w:val="0"/>
                <w:bCs/>
                <w:sz w:val="24"/>
                <w:szCs w:val="24"/>
                <w:lang w:val="en-US" w:eastAsia="zh-CN"/>
              </w:rPr>
              <w:t>有安全生产许可证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65"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lang w:val="zh-CN"/>
              </w:rPr>
              <w:t>3</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b w:val="0"/>
                <w:bCs/>
                <w:sz w:val="24"/>
                <w:szCs w:val="24"/>
                <w:lang w:val="en-US" w:eastAsia="zh-CN"/>
              </w:rPr>
              <w:t>外省企业已办理进疆建筑企业信息登记报送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16"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4</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b w:val="0"/>
                <w:bCs/>
                <w:sz w:val="24"/>
                <w:szCs w:val="24"/>
                <w:lang w:val="en-US" w:eastAsia="zh-CN"/>
              </w:rPr>
              <w:t>项目负责人须具备建筑工程专业二级注册建造师执业资格，具备有效的安全生产考核合格证书，且未担任其他在建工程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62"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color w:val="000000"/>
              </w:rPr>
              <w:t>5</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b w:val="0"/>
                <w:bCs/>
                <w:sz w:val="24"/>
                <w:szCs w:val="24"/>
                <w:lang w:val="en-US" w:eastAsia="zh-CN"/>
              </w:rPr>
              <w:t>在“信用中国”网站（www.creditchina.gov.cn）及中国政府采购网（www.ccgp.gov.cn）中被列入失信被执行人、重大税收违法案件当事人名单、政府采购严重违法失信行为记录名单的供应商，不得参加本次政府采购活动（附查询结果，且查询时间不能早于本项目采购公告发布之日）</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48"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6</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themeColor="text1"/>
                <w:sz w:val="24"/>
                <w:szCs w:val="24"/>
                <w:lang w:val="zh-CN"/>
                <w14:textFill>
                  <w14:solidFill>
                    <w14:schemeClr w14:val="tx1"/>
                  </w14:solidFill>
                </w14:textFill>
              </w:rPr>
            </w:pPr>
            <w:r>
              <w:rPr>
                <w:rFonts w:hint="eastAsia" w:asciiTheme="minorEastAsia" w:hAnsiTheme="minorEastAsia" w:eastAsiaTheme="minorEastAsia" w:cstheme="minorEastAsia"/>
                <w:color w:val="000000" w:themeColor="text1"/>
                <w:sz w:val="24"/>
                <w:szCs w:val="24"/>
                <w:lang w:val="zh-CN" w:eastAsia="zh-CN"/>
                <w14:textFill>
                  <w14:solidFill>
                    <w14:schemeClr w14:val="tx1"/>
                  </w14:solidFill>
                </w14:textFill>
              </w:rPr>
              <w:t>法定代表人身份证明或法定代表人授权委托原件、法定代表人或授权委托人身份证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7</w:t>
            </w:r>
          </w:p>
        </w:tc>
        <w:tc>
          <w:tcPr>
            <w:tcW w:w="8655" w:type="dxa"/>
            <w:tcBorders>
              <w:top w:val="single" w:color="auto" w:sz="4" w:space="0"/>
              <w:left w:val="single" w:color="auto" w:sz="4" w:space="0"/>
              <w:bottom w:val="single" w:color="auto" w:sz="4" w:space="0"/>
            </w:tcBorders>
            <w:vAlign w:val="center"/>
          </w:tcPr>
          <w:p>
            <w:pPr>
              <w:spacing w:line="360" w:lineRule="exact"/>
              <w:rPr>
                <w:rFonts w:asciiTheme="minorEastAsia" w:hAnsiTheme="minorEastAsia" w:eastAsiaTheme="minorEastAsia" w:cstheme="minorEastAsia"/>
                <w:color w:val="000000"/>
                <w:lang w:val="zh-CN"/>
              </w:rPr>
            </w:pPr>
            <w:r>
              <w:rPr>
                <w:rFonts w:hint="eastAsia" w:asciiTheme="minorEastAsia" w:hAnsiTheme="minorEastAsia" w:eastAsiaTheme="minorEastAsia" w:cstheme="minorEastAsia"/>
                <w:b w:val="0"/>
                <w:bCs/>
                <w:sz w:val="24"/>
                <w:szCs w:val="24"/>
                <w:lang w:val="en-US" w:eastAsia="zh-CN"/>
              </w:rPr>
              <w:t>单位负责人为同一人或者存在直接控股、管理关系的不同供应商，不得参加同一合同项下的政府采购活动</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7"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color w:val="000000"/>
              </w:rPr>
            </w:pPr>
            <w:r>
              <w:rPr>
                <w:rFonts w:hint="eastAsia" w:asciiTheme="minorEastAsia" w:hAnsiTheme="minorEastAsia" w:eastAsiaTheme="minorEastAsia" w:cstheme="minorEastAsia"/>
                <w:color w:val="000000"/>
              </w:rPr>
              <w:t>8</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asciiTheme="minorEastAsia" w:hAnsiTheme="minorEastAsia" w:eastAsiaTheme="minorEastAsia" w:cstheme="minorEastAsia"/>
                <w:color w:val="000000"/>
              </w:rPr>
            </w:pPr>
            <w:r>
              <w:rPr>
                <w:rFonts w:hint="eastAsia" w:asciiTheme="minorEastAsia" w:hAnsiTheme="minorEastAsia" w:eastAsiaTheme="minorEastAsia" w:cstheme="minorEastAsia"/>
                <w:b w:val="0"/>
                <w:bCs/>
                <w:sz w:val="24"/>
                <w:szCs w:val="24"/>
                <w:lang w:val="en-US" w:eastAsia="zh-CN"/>
              </w:rPr>
              <w:t>拟派建造师及上述项目班子人员在本单位近半年的社保证明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8"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eastAsia"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9</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项目所在地劳动部门出具的无拖欠农民工工资证明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10</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hint="eastAsia"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b w:val="0"/>
                <w:bCs/>
                <w:sz w:val="24"/>
                <w:szCs w:val="24"/>
                <w:lang w:val="en-US" w:eastAsia="zh-CN"/>
              </w:rPr>
              <w:t>出具近3个月依法纳税凭证或有电子专用章的完税证明、出具上一年度财务审计报告或银行出具的资信证明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27" w:hRule="atLeast"/>
        </w:trPr>
        <w:tc>
          <w:tcPr>
            <w:tcW w:w="990" w:type="dxa"/>
            <w:tcBorders>
              <w:top w:val="single" w:color="auto" w:sz="4" w:space="0"/>
              <w:bottom w:val="single" w:color="auto" w:sz="4" w:space="0"/>
              <w:right w:val="single" w:color="auto" w:sz="4" w:space="0"/>
            </w:tcBorders>
            <w:vAlign w:val="center"/>
          </w:tcPr>
          <w:p>
            <w:pPr>
              <w:autoSpaceDE w:val="0"/>
              <w:autoSpaceDN w:val="0"/>
              <w:adjustRightInd w:val="0"/>
              <w:spacing w:line="360" w:lineRule="exact"/>
              <w:jc w:val="center"/>
              <w:rPr>
                <w:rFonts w:hint="default" w:asciiTheme="minorEastAsia" w:hAnsiTheme="minorEastAsia" w:eastAsiaTheme="minorEastAsia" w:cstheme="minorEastAsia"/>
                <w:color w:val="000000"/>
                <w:lang w:val="en-US" w:eastAsia="zh-CN"/>
              </w:rPr>
            </w:pPr>
            <w:r>
              <w:rPr>
                <w:rFonts w:hint="eastAsia" w:asciiTheme="minorEastAsia" w:hAnsiTheme="minorEastAsia" w:eastAsiaTheme="minorEastAsia" w:cstheme="minorEastAsia"/>
                <w:color w:val="000000"/>
                <w:lang w:val="en-US" w:eastAsia="zh-CN"/>
              </w:rPr>
              <w:t>11</w:t>
            </w:r>
          </w:p>
        </w:tc>
        <w:tc>
          <w:tcPr>
            <w:tcW w:w="8655" w:type="dxa"/>
            <w:tcBorders>
              <w:top w:val="single" w:color="auto" w:sz="4" w:space="0"/>
              <w:left w:val="single" w:color="auto" w:sz="4" w:space="0"/>
              <w:bottom w:val="single" w:color="auto" w:sz="4" w:space="0"/>
            </w:tcBorders>
            <w:vAlign w:val="center"/>
          </w:tcPr>
          <w:p>
            <w:pPr>
              <w:autoSpaceDE w:val="0"/>
              <w:autoSpaceDN w:val="0"/>
              <w:adjustRightInd w:val="0"/>
              <w:spacing w:line="360" w:lineRule="exact"/>
              <w:jc w:val="left"/>
              <w:rPr>
                <w:rFonts w:hint="default" w:asciiTheme="minorEastAsia" w:hAnsiTheme="minorEastAsia" w:eastAsiaTheme="minorEastAsia" w:cstheme="minorEastAsia"/>
                <w:b w:val="0"/>
                <w:bCs/>
                <w:sz w:val="24"/>
                <w:szCs w:val="24"/>
                <w:lang w:val="en-US" w:eastAsia="zh-CN"/>
              </w:rPr>
            </w:pPr>
            <w:r>
              <w:rPr>
                <w:rFonts w:hint="eastAsia" w:asciiTheme="minorEastAsia" w:hAnsiTheme="minorEastAsia" w:eastAsiaTheme="minorEastAsia" w:cstheme="minorEastAsia"/>
                <w:sz w:val="24"/>
                <w:szCs w:val="24"/>
              </w:rPr>
              <w:t>投标保证金</w:t>
            </w:r>
            <w:r>
              <w:rPr>
                <w:rFonts w:hint="eastAsia" w:asciiTheme="minorEastAsia" w:hAnsiTheme="minorEastAsia" w:eastAsiaTheme="minorEastAsia" w:cstheme="minorEastAsia"/>
                <w:sz w:val="24"/>
                <w:szCs w:val="24"/>
                <w:lang w:val="en-US" w:eastAsia="zh-CN"/>
              </w:rPr>
              <w:t>/保函</w:t>
            </w:r>
            <w:r>
              <w:rPr>
                <w:rFonts w:hint="eastAsia" w:asciiTheme="minorEastAsia" w:hAnsiTheme="minorEastAsia" w:eastAsiaTheme="minorEastAsia" w:cstheme="minorEastAsia"/>
                <w:sz w:val="24"/>
                <w:szCs w:val="24"/>
              </w:rPr>
              <w:t>的缴纳主体与供应商不一致的，没有按照磋商文件要求提供投标担保</w:t>
            </w:r>
            <w:r>
              <w:rPr>
                <w:rFonts w:hint="eastAsia" w:asciiTheme="minorEastAsia" w:hAnsiTheme="minorEastAsia" w:eastAsiaTheme="minorEastAsia" w:cstheme="minorEastAsia"/>
                <w:sz w:val="24"/>
                <w:szCs w:val="24"/>
                <w:lang w:val="en-US" w:eastAsia="zh-CN"/>
              </w:rPr>
              <w:t>/保函</w:t>
            </w:r>
            <w:r>
              <w:rPr>
                <w:rFonts w:hint="eastAsia" w:asciiTheme="minorEastAsia" w:hAnsiTheme="minorEastAsia" w:eastAsiaTheme="minorEastAsia" w:cstheme="minorEastAsia"/>
                <w:sz w:val="24"/>
                <w:szCs w:val="24"/>
              </w:rPr>
              <w:t>，或者所提供的投标担保有瑕疵的</w:t>
            </w:r>
          </w:p>
        </w:tc>
      </w:tr>
    </w:tbl>
    <w:p>
      <w:pPr>
        <w:spacing w:line="360" w:lineRule="auto"/>
        <w:rPr>
          <w:rFonts w:asciiTheme="minorEastAsia" w:hAnsiTheme="minorEastAsia" w:eastAsiaTheme="minorEastAsia" w:cstheme="minorEastAsia"/>
          <w:color w:val="000000"/>
          <w:sz w:val="24"/>
          <w:szCs w:val="24"/>
          <w:lang w:val="zh-CN"/>
        </w:rPr>
      </w:pPr>
      <w:r>
        <w:rPr>
          <w:rFonts w:hint="eastAsia" w:asciiTheme="minorEastAsia" w:hAnsiTheme="minorEastAsia" w:eastAsiaTheme="minorEastAsia" w:cstheme="minorEastAsia"/>
          <w:color w:val="000000"/>
          <w:sz w:val="24"/>
          <w:szCs w:val="24"/>
          <w:lang w:val="zh-CN"/>
        </w:rPr>
        <w:t>备注：1、如果资格评审中有一项不满足审查标准的，磋商小组将认定该供应商不通过资格审查，不得进入下一阶段评审。并且不允许供应商通过修改或撤销其不符合要求的差异或保留，使之成为具有响应性的投标。</w:t>
      </w:r>
    </w:p>
    <w:p>
      <w:pPr>
        <w:pStyle w:val="26"/>
        <w:spacing w:line="360" w:lineRule="auto"/>
        <w:rPr>
          <w:rFonts w:asciiTheme="minorEastAsia" w:hAnsiTheme="minorEastAsia" w:eastAsiaTheme="minorEastAsia" w:cstheme="minorEastAsia"/>
          <w:szCs w:val="24"/>
        </w:rPr>
      </w:pPr>
    </w:p>
    <w:p>
      <w:pPr>
        <w:pStyle w:val="26"/>
        <w:spacing w:line="360" w:lineRule="auto"/>
        <w:rPr>
          <w:rFonts w:hint="default" w:asciiTheme="minorEastAsia" w:hAnsiTheme="minorEastAsia" w:eastAsiaTheme="minorEastAsia" w:cstheme="minorEastAsia"/>
          <w:color w:val="auto"/>
          <w:szCs w:val="24"/>
          <w:lang w:val="zh-CN"/>
        </w:rPr>
      </w:pPr>
      <w:r>
        <w:rPr>
          <w:rFonts w:asciiTheme="minorEastAsia" w:hAnsiTheme="minorEastAsia" w:eastAsiaTheme="minorEastAsia" w:cstheme="minorEastAsia"/>
          <w:szCs w:val="24"/>
        </w:rPr>
        <w:t>附表二：</w:t>
      </w:r>
    </w:p>
    <w:p>
      <w:pPr>
        <w:spacing w:line="360" w:lineRule="auto"/>
        <w:jc w:val="center"/>
        <w:rPr>
          <w:rFonts w:asciiTheme="minorEastAsia" w:hAnsiTheme="minorEastAsia" w:eastAsiaTheme="minorEastAsia" w:cstheme="minorEastAsia"/>
          <w:b/>
          <w:sz w:val="32"/>
          <w:szCs w:val="24"/>
        </w:rPr>
      </w:pPr>
      <w:r>
        <w:rPr>
          <w:rFonts w:hint="eastAsia" w:asciiTheme="minorEastAsia" w:hAnsiTheme="minorEastAsia" w:eastAsiaTheme="minorEastAsia" w:cstheme="minorEastAsia"/>
          <w:b/>
          <w:sz w:val="32"/>
          <w:szCs w:val="24"/>
        </w:rPr>
        <w:t>（2）初步评审标准-</w:t>
      </w:r>
      <w:r>
        <w:rPr>
          <w:rFonts w:hint="eastAsia" w:asciiTheme="minorEastAsia" w:hAnsiTheme="minorEastAsia" w:eastAsiaTheme="minorEastAsia" w:cstheme="minorEastAsia"/>
          <w:b/>
          <w:sz w:val="32"/>
          <w:szCs w:val="24"/>
          <w:lang w:val="en-US" w:eastAsia="zh-CN"/>
        </w:rPr>
        <w:t>符合</w:t>
      </w:r>
      <w:r>
        <w:rPr>
          <w:rFonts w:hint="eastAsia" w:asciiTheme="minorEastAsia" w:hAnsiTheme="minorEastAsia" w:eastAsiaTheme="minorEastAsia" w:cstheme="minorEastAsia"/>
          <w:b/>
          <w:sz w:val="32"/>
          <w:szCs w:val="24"/>
        </w:rPr>
        <w:t>性评审</w:t>
      </w:r>
    </w:p>
    <w:tbl>
      <w:tblPr>
        <w:tblStyle w:val="19"/>
        <w:tblpPr w:leftFromText="180" w:rightFromText="180" w:vertAnchor="text" w:horzAnchor="margin" w:tblpX="108" w:tblpY="158"/>
        <w:tblW w:w="965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0"/>
        <w:gridCol w:w="690"/>
        <w:gridCol w:w="6296"/>
        <w:gridCol w:w="17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3" w:hRule="atLeast"/>
        </w:trPr>
        <w:tc>
          <w:tcPr>
            <w:tcW w:w="900" w:type="dxa"/>
            <w:vMerge w:val="restart"/>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both"/>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w:t>
            </w:r>
          </w:p>
        </w:tc>
        <w:tc>
          <w:tcPr>
            <w:tcW w:w="6986" w:type="dxa"/>
            <w:gridSpan w:val="2"/>
            <w:vMerge w:val="restart"/>
            <w:tcBorders>
              <w:top w:val="single" w:color="auto" w:sz="12" w:space="0"/>
              <w:left w:val="single" w:color="auto" w:sz="6" w:space="0"/>
              <w:bottom w:val="single" w:color="auto" w:sz="4" w:space="0"/>
              <w:right w:val="single" w:color="auto" w:sz="6" w:space="0"/>
            </w:tcBorders>
            <w:vAlign w:val="center"/>
          </w:tcPr>
          <w:p>
            <w:pPr>
              <w:spacing w:line="360" w:lineRule="exact"/>
              <w:jc w:val="center"/>
              <w:rPr>
                <w:rFonts w:asciiTheme="minorEastAsia" w:hAnsiTheme="minorEastAsia" w:eastAsiaTheme="minorEastAsia" w:cstheme="minorEastAsia"/>
                <w:b/>
                <w:sz w:val="20"/>
                <w:szCs w:val="21"/>
              </w:rPr>
            </w:pPr>
            <w:r>
              <w:rPr>
                <w:rFonts w:hint="eastAsia" w:asciiTheme="minorEastAsia" w:hAnsiTheme="minorEastAsia" w:eastAsiaTheme="minorEastAsia" w:cstheme="minorEastAsia"/>
                <w:sz w:val="24"/>
                <w:szCs w:val="24"/>
              </w:rPr>
              <w:t>评审内容</w:t>
            </w:r>
          </w:p>
        </w:tc>
        <w:tc>
          <w:tcPr>
            <w:tcW w:w="1770" w:type="dxa"/>
            <w:tcBorders>
              <w:top w:val="single" w:color="auto" w:sz="12"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评审意见</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49" w:hRule="atLeast"/>
        </w:trPr>
        <w:tc>
          <w:tcPr>
            <w:tcW w:w="900" w:type="dxa"/>
            <w:vMerge w:val="continue"/>
            <w:tcBorders>
              <w:top w:val="single" w:color="auto" w:sz="12" w:space="0"/>
              <w:left w:val="single" w:color="auto" w:sz="12" w:space="0"/>
              <w:bottom w:val="single" w:color="auto" w:sz="4"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86" w:type="dxa"/>
            <w:gridSpan w:val="2"/>
            <w:vMerge w:val="continue"/>
            <w:tcBorders>
              <w:top w:val="single" w:color="auto" w:sz="12" w:space="0"/>
              <w:left w:val="single" w:color="auto" w:sz="6" w:space="0"/>
              <w:bottom w:val="single" w:color="auto" w:sz="4" w:space="0"/>
              <w:right w:val="single" w:color="auto" w:sz="6" w:space="0"/>
            </w:tcBorders>
            <w:vAlign w:val="center"/>
          </w:tcPr>
          <w:p>
            <w:pPr>
              <w:spacing w:line="360" w:lineRule="exact"/>
              <w:rPr>
                <w:rFonts w:asciiTheme="minorEastAsia" w:hAnsiTheme="minorEastAsia" w:eastAsiaTheme="minorEastAsia" w:cstheme="minorEastAsia"/>
                <w:sz w:val="20"/>
              </w:rPr>
            </w:pPr>
          </w:p>
        </w:tc>
        <w:tc>
          <w:tcPr>
            <w:tcW w:w="1770" w:type="dxa"/>
            <w:tcBorders>
              <w:top w:val="single" w:color="auto" w:sz="6" w:space="0"/>
              <w:left w:val="single" w:color="auto" w:sz="6" w:space="0"/>
              <w:bottom w:val="single" w:color="auto" w:sz="6" w:space="0"/>
              <w:right w:val="single" w:color="auto" w:sz="12"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（通过打√、不通过打×）</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12" w:hRule="atLeast"/>
        </w:trPr>
        <w:tc>
          <w:tcPr>
            <w:tcW w:w="900" w:type="dxa"/>
            <w:vMerge w:val="restart"/>
            <w:tcBorders>
              <w:top w:val="single" w:color="auto" w:sz="4" w:space="0"/>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审</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查</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标</w:t>
            </w:r>
          </w:p>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准</w:t>
            </w:r>
          </w:p>
        </w:tc>
        <w:tc>
          <w:tcPr>
            <w:tcW w:w="690" w:type="dxa"/>
            <w:tcBorders>
              <w:top w:val="single" w:color="auto" w:sz="4" w:space="0"/>
              <w:left w:val="single" w:color="auto" w:sz="6" w:space="0"/>
              <w:bottom w:val="single" w:color="auto" w:sz="6" w:space="0"/>
              <w:right w:val="single" w:color="auto" w:sz="4"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6296" w:type="dxa"/>
            <w:tcBorders>
              <w:top w:val="single" w:color="auto" w:sz="6" w:space="0"/>
              <w:left w:val="single" w:color="auto" w:sz="4" w:space="0"/>
              <w:bottom w:val="single" w:color="auto" w:sz="6" w:space="0"/>
              <w:right w:val="single" w:color="auto" w:sz="4" w:space="0"/>
            </w:tcBorders>
            <w:vAlign w:val="center"/>
          </w:tcPr>
          <w:p>
            <w:pPr>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投标报价高于设定的工程预算招标控制价（工程限额）的</w:t>
            </w:r>
          </w:p>
        </w:tc>
        <w:tc>
          <w:tcPr>
            <w:tcW w:w="1770" w:type="dxa"/>
            <w:tcBorders>
              <w:top w:val="single" w:color="auto" w:sz="6" w:space="0"/>
              <w:left w:val="single" w:color="auto" w:sz="4" w:space="0"/>
              <w:bottom w:val="single" w:color="auto" w:sz="6" w:space="0"/>
              <w:right w:val="single" w:color="auto" w:sz="12" w:space="0"/>
            </w:tcBorders>
          </w:tcPr>
          <w:p>
            <w:pPr>
              <w:autoSpaceDE w:val="0"/>
              <w:autoSpaceDN w:val="0"/>
              <w:adjustRightInd w:val="0"/>
              <w:spacing w:line="360" w:lineRule="exact"/>
              <w:jc w:val="left"/>
              <w:rPr>
                <w:rFonts w:asciiTheme="minorEastAsia" w:hAnsiTheme="minorEastAsia" w:eastAsiaTheme="minorEastAsia" w:cstheme="minorEastAsia"/>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1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6296" w:type="dxa"/>
            <w:tcBorders>
              <w:top w:val="nil"/>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未按磋商文件规定的格式填写，内容不全或关键字迹模糊、无法辨认的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50"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改变磋商文件提供的工程量清单中的计量单位、工程量的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406"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将工程排污费、社会保障费、住房公积金、危险作业意外伤害保险等规费和营业税、城市维护建设税、教育费附加等税金，以及安全文明施工费列入招标投标竞争性费用的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52"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5</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供应商之间或者供应商与采购人串通投标的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38"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项目负责人不是供应商的注册执业人员，或者不具备项目负责人资格条件的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7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7</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磋商响应文件没有投标单位法定代表人或其授权代表签字和加盖投标单位公章的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6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themeColor="text1"/>
                <w:sz w:val="24"/>
                <w:szCs w:val="24"/>
                <w14:textFill>
                  <w14:solidFill>
                    <w14:schemeClr w14:val="tx1"/>
                  </w14:solidFill>
                </w14:textFill>
              </w:rPr>
              <w:t>投标工程的完成期限超过磋商文件规定期限的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5" w:hRule="atLeast"/>
        </w:trPr>
        <w:tc>
          <w:tcPr>
            <w:tcW w:w="900" w:type="dxa"/>
            <w:vMerge w:val="continue"/>
            <w:tcBorders>
              <w:left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p>
        </w:tc>
        <w:tc>
          <w:tcPr>
            <w:tcW w:w="69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9</w:t>
            </w:r>
          </w:p>
        </w:tc>
        <w:tc>
          <w:tcPr>
            <w:tcW w:w="6296"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exact"/>
              <w:rPr>
                <w:rFonts w:hint="eastAsia" w:asciiTheme="minorEastAsia" w:hAnsiTheme="minorEastAsia" w:eastAsiaTheme="minorEastAsia" w:cstheme="minorEastAsia"/>
                <w:color w:val="000000" w:themeColor="text1"/>
                <w:sz w:val="24"/>
                <w:szCs w:val="24"/>
                <w14:textFill>
                  <w14:solidFill>
                    <w14:schemeClr w14:val="tx1"/>
                  </w14:solidFill>
                </w14:textFill>
              </w:rPr>
            </w:pPr>
            <w:r>
              <w:rPr>
                <w:rFonts w:hint="eastAsia" w:asciiTheme="minorEastAsia" w:hAnsiTheme="minorEastAsia" w:eastAsiaTheme="minorEastAsia" w:cstheme="minorEastAsia"/>
                <w:sz w:val="24"/>
                <w:szCs w:val="24"/>
              </w:rPr>
              <w:t>磋商文件附有招标人不能接受条件的</w:t>
            </w:r>
          </w:p>
        </w:tc>
        <w:tc>
          <w:tcPr>
            <w:tcW w:w="1770" w:type="dxa"/>
            <w:tcBorders>
              <w:top w:val="single" w:color="auto" w:sz="6" w:space="0"/>
              <w:left w:val="single" w:color="auto" w:sz="6" w:space="0"/>
              <w:bottom w:val="single" w:color="auto" w:sz="6" w:space="0"/>
              <w:right w:val="single" w:color="auto" w:sz="12" w:space="0"/>
            </w:tcBorders>
          </w:tcPr>
          <w:p>
            <w:pPr>
              <w:spacing w:line="360" w:lineRule="exact"/>
              <w:rPr>
                <w:rFonts w:asciiTheme="minorEastAsia" w:hAnsiTheme="minorEastAsia" w:eastAsiaTheme="minorEastAsia" w:cstheme="minorEastAsia"/>
                <w:sz w:val="2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4" w:hRule="atLeast"/>
        </w:trPr>
        <w:tc>
          <w:tcPr>
            <w:tcW w:w="900" w:type="dxa"/>
            <w:tcBorders>
              <w:top w:val="single" w:color="auto" w:sz="6" w:space="0"/>
              <w:left w:val="single" w:color="auto" w:sz="12" w:space="0"/>
              <w:bottom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结论：</w:t>
            </w:r>
          </w:p>
        </w:tc>
        <w:tc>
          <w:tcPr>
            <w:tcW w:w="6986" w:type="dxa"/>
            <w:gridSpan w:val="2"/>
            <w:tcBorders>
              <w:top w:val="single" w:color="auto" w:sz="6" w:space="0"/>
              <w:left w:val="single" w:color="auto" w:sz="6" w:space="0"/>
              <w:bottom w:val="single" w:color="auto" w:sz="12" w:space="0"/>
              <w:right w:val="single" w:color="auto" w:sz="6" w:space="0"/>
            </w:tcBorders>
            <w:vAlign w:val="center"/>
          </w:tcPr>
          <w:p>
            <w:pPr>
              <w:autoSpaceDE w:val="0"/>
              <w:autoSpaceDN w:val="0"/>
              <w:adjustRightInd w:val="0"/>
              <w:spacing w:line="360" w:lineRule="exact"/>
              <w:jc w:val="cente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是否通过评审（通过打√、不通过打×）</w:t>
            </w:r>
          </w:p>
        </w:tc>
        <w:tc>
          <w:tcPr>
            <w:tcW w:w="1770" w:type="dxa"/>
            <w:tcBorders>
              <w:top w:val="single" w:color="auto" w:sz="6" w:space="0"/>
              <w:left w:val="single" w:color="auto" w:sz="6" w:space="0"/>
              <w:bottom w:val="single" w:color="auto" w:sz="12" w:space="0"/>
              <w:right w:val="single" w:color="auto" w:sz="12" w:space="0"/>
            </w:tcBorders>
            <w:vAlign w:val="center"/>
          </w:tcPr>
          <w:p>
            <w:pPr>
              <w:spacing w:line="360" w:lineRule="exact"/>
              <w:jc w:val="center"/>
              <w:rPr>
                <w:rFonts w:asciiTheme="minorEastAsia" w:hAnsiTheme="minorEastAsia" w:eastAsiaTheme="minorEastAsia" w:cstheme="minorEastAsia"/>
                <w:sz w:val="20"/>
                <w:szCs w:val="21"/>
              </w:rPr>
            </w:pPr>
          </w:p>
        </w:tc>
      </w:tr>
    </w:tbl>
    <w:p>
      <w:pPr>
        <w:tabs>
          <w:tab w:val="left" w:pos="900"/>
        </w:tabs>
        <w:spacing w:line="360" w:lineRule="auto"/>
        <w:rPr>
          <w:rFonts w:asciiTheme="minorEastAsia" w:hAnsiTheme="minorEastAsia" w:eastAsiaTheme="minorEastAsia" w:cstheme="minorEastAsia"/>
          <w:szCs w:val="21"/>
        </w:rPr>
      </w:pPr>
    </w:p>
    <w:p>
      <w:pPr>
        <w:pStyle w:val="2"/>
      </w:pPr>
    </w:p>
    <w:p>
      <w:pPr>
        <w:pStyle w:val="2"/>
        <w:keepNext w:val="0"/>
        <w:keepLines w:val="0"/>
        <w:pageBreakBefore w:val="0"/>
        <w:widowControl w:val="0"/>
        <w:kinsoku/>
        <w:wordWrap/>
        <w:overflowPunct/>
        <w:topLinePunct w:val="0"/>
        <w:autoSpaceDE/>
        <w:autoSpaceDN/>
        <w:bidi w:val="0"/>
        <w:adjustRightInd/>
        <w:snapToGrid/>
        <w:spacing w:line="360" w:lineRule="exact"/>
        <w:ind w:firstLine="0" w:firstLineChars="0"/>
        <w:jc w:val="center"/>
        <w:textAlignment w:val="auto"/>
        <w:rPr>
          <w:rFonts w:asciiTheme="minorEastAsia" w:hAnsiTheme="minorEastAsia" w:eastAsiaTheme="minorEastAsia" w:cstheme="minorEastAsia"/>
          <w:b/>
          <w:sz w:val="32"/>
          <w:szCs w:val="24"/>
          <w:lang w:val="zh-CN"/>
        </w:rPr>
      </w:pPr>
      <w:r>
        <w:rPr>
          <w:rFonts w:hint="eastAsia" w:asciiTheme="minorEastAsia" w:hAnsiTheme="minorEastAsia" w:eastAsiaTheme="minorEastAsia" w:cstheme="minorEastAsia"/>
          <w:b/>
          <w:sz w:val="32"/>
          <w:szCs w:val="24"/>
          <w:lang w:val="zh-CN"/>
        </w:rPr>
        <w:t>详细评审内容标准</w:t>
      </w:r>
    </w:p>
    <w:tbl>
      <w:tblPr>
        <w:tblStyle w:val="19"/>
        <w:tblpPr w:leftFromText="180" w:rightFromText="180" w:vertAnchor="text" w:horzAnchor="page" w:tblpX="865" w:tblpY="208"/>
        <w:tblOverlap w:val="never"/>
        <w:tblW w:w="1027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256"/>
        <w:gridCol w:w="390"/>
        <w:gridCol w:w="675"/>
        <w:gridCol w:w="255"/>
        <w:gridCol w:w="539"/>
        <w:gridCol w:w="121"/>
        <w:gridCol w:w="614"/>
        <w:gridCol w:w="67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trPr>
        <w:tc>
          <w:tcPr>
            <w:tcW w:w="1321"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1469"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权重值%</w:t>
            </w:r>
          </w:p>
        </w:tc>
        <w:tc>
          <w:tcPr>
            <w:tcW w:w="7486" w:type="dxa"/>
            <w:gridSpan w:val="3"/>
            <w:vAlign w:val="center"/>
          </w:tcPr>
          <w:p>
            <w:pPr>
              <w:pageBreakBefore w:val="0"/>
              <w:kinsoku/>
              <w:wordWrap/>
              <w:overflowPunct/>
              <w:topLinePunct w:val="0"/>
              <w:autoSpaceDE/>
              <w:autoSpaceDN/>
              <w:bidi w:val="0"/>
              <w:adjustRightInd/>
              <w:snapToGrid w:val="0"/>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评分标准说明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9" w:hRule="atLeast"/>
        </w:trPr>
        <w:tc>
          <w:tcPr>
            <w:tcW w:w="10276" w:type="dxa"/>
            <w:gridSpan w:val="9"/>
            <w:vAlign w:val="center"/>
          </w:tcPr>
          <w:p>
            <w:pPr>
              <w:pageBreakBefore w:val="0"/>
              <w:numPr>
                <w:ilvl w:val="0"/>
                <w:numId w:val="5"/>
              </w:numPr>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经济标报价部分权重K1=</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0%；2、商务标权重K2=</w:t>
            </w:r>
            <w:r>
              <w:rPr>
                <w:rFonts w:hint="eastAsia" w:asciiTheme="minorEastAsia" w:hAnsiTheme="minorEastAsia" w:eastAsiaTheme="minorEastAsia" w:cstheme="minorEastAsia"/>
                <w:b/>
                <w:bCs/>
                <w:szCs w:val="21"/>
                <w:lang w:val="en-US" w:eastAsia="zh-CN"/>
              </w:rPr>
              <w:t>2</w:t>
            </w:r>
            <w:r>
              <w:rPr>
                <w:rFonts w:hint="eastAsia" w:asciiTheme="minorEastAsia" w:hAnsiTheme="minorEastAsia" w:eastAsiaTheme="minorEastAsia" w:cstheme="minorEastAsia"/>
                <w:b/>
                <w:bCs/>
                <w:szCs w:val="21"/>
              </w:rPr>
              <w:t>0%；3、技术标权重K2=50%；  K1+K2+K3</w:t>
            </w:r>
            <w:r>
              <w:rPr>
                <w:rFonts w:hint="eastAsia" w:asciiTheme="minorEastAsia" w:hAnsiTheme="minorEastAsia" w:eastAsiaTheme="minorEastAsia" w:cstheme="minorEastAsia"/>
                <w:b/>
                <w:bCs/>
                <w:szCs w:val="21"/>
                <w:lang w:val="en-US" w:eastAsia="zh-CN"/>
              </w:rPr>
              <w:t>=</w:t>
            </w:r>
            <w:r>
              <w:rPr>
                <w:rFonts w:hint="eastAsia" w:asciiTheme="minorEastAsia" w:hAnsiTheme="minorEastAsia" w:eastAsiaTheme="minorEastAsia" w:cstheme="minorEastAsia"/>
                <w:b/>
                <w:bCs/>
                <w:szCs w:val="21"/>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10276" w:type="dxa"/>
            <w:gridSpan w:val="9"/>
            <w:vAlign w:val="center"/>
          </w:tcPr>
          <w:p>
            <w:pPr>
              <w:pageBreakBefore w:val="0"/>
              <w:kinsoku/>
              <w:wordWrap/>
              <w:overflowPunct/>
              <w:topLinePunct w:val="0"/>
              <w:autoSpaceDE/>
              <w:autoSpaceDN/>
              <w:bidi w:val="0"/>
              <w:adjustRightInd/>
              <w:snapToGrid w:val="0"/>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一、经济标报价</w:t>
            </w:r>
            <w:r>
              <w:rPr>
                <w:rFonts w:hint="eastAsia" w:asciiTheme="minorEastAsia" w:hAnsiTheme="minorEastAsia" w:eastAsiaTheme="minorEastAsia" w:cstheme="minorEastAsia"/>
                <w:b/>
                <w:bCs/>
                <w:szCs w:val="21"/>
                <w:lang w:val="en-US" w:eastAsia="zh-CN"/>
              </w:rPr>
              <w:t>3</w:t>
            </w:r>
            <w:r>
              <w:rPr>
                <w:rFonts w:hint="eastAsia" w:asciiTheme="minorEastAsia" w:hAnsiTheme="minorEastAsia" w:eastAsiaTheme="minorEastAsia" w:cstheme="minorEastAsia"/>
                <w:b/>
                <w:bCs/>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83" w:hRule="atLeast"/>
        </w:trPr>
        <w:tc>
          <w:tcPr>
            <w:tcW w:w="931" w:type="dxa"/>
            <w:gridSpan w:val="2"/>
            <w:vAlign w:val="center"/>
          </w:tcPr>
          <w:p>
            <w:pPr>
              <w:pageBreakBefore w:val="0"/>
              <w:widowControl/>
              <w:kinsoku/>
              <w:wordWrap/>
              <w:overflowPunct/>
              <w:topLinePunct w:val="0"/>
              <w:autoSpaceDE/>
              <w:autoSpaceDN/>
              <w:bidi w:val="0"/>
              <w:adjustRightInd/>
              <w:spacing w:line="360" w:lineRule="exact"/>
              <w:ind w:left="630" w:hanging="630" w:hangingChars="300"/>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报价</w:t>
            </w:r>
          </w:p>
        </w:tc>
        <w:tc>
          <w:tcPr>
            <w:tcW w:w="1065" w:type="dxa"/>
            <w:gridSpan w:val="2"/>
            <w:vAlign w:val="center"/>
          </w:tcPr>
          <w:p>
            <w:pPr>
              <w:pageBreakBefore w:val="0"/>
              <w:kinsoku/>
              <w:wordWrap/>
              <w:overflowPunct/>
              <w:topLinePunct w:val="0"/>
              <w:autoSpaceDE/>
              <w:autoSpaceDN/>
              <w:bidi w:val="0"/>
              <w:adjustRightInd/>
              <w:spacing w:line="360" w:lineRule="exact"/>
              <w:contextualSpacing/>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30</w:t>
            </w:r>
            <w:r>
              <w:rPr>
                <w:rFonts w:hint="eastAsia" w:asciiTheme="minorEastAsia" w:hAnsiTheme="minorEastAsia" w:eastAsiaTheme="minorEastAsia" w:cstheme="minorEastAsia"/>
                <w:szCs w:val="21"/>
              </w:rPr>
              <w:t>分</w:t>
            </w:r>
          </w:p>
        </w:tc>
        <w:tc>
          <w:tcPr>
            <w:tcW w:w="8280" w:type="dxa"/>
            <w:gridSpan w:val="5"/>
            <w:vAlign w:val="center"/>
          </w:tcPr>
          <w:p>
            <w:pPr>
              <w:pageBreakBefore w:val="0"/>
              <w:kinsoku/>
              <w:wordWrap/>
              <w:overflowPunct/>
              <w:topLinePunct w:val="0"/>
              <w:autoSpaceDE/>
              <w:autoSpaceDN/>
              <w:bidi w:val="0"/>
              <w:adjustRightInd/>
              <w:spacing w:line="360" w:lineRule="exact"/>
              <w:ind w:firstLine="420" w:firstLineChars="200"/>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按照财政部《政府采购竞争性磋商采购方式管理暂行办法》（财库[2014]214 </w:t>
            </w:r>
            <w:r>
              <w:rPr>
                <w:rFonts w:hint="eastAsia" w:asciiTheme="minorEastAsia" w:hAnsiTheme="minorEastAsia" w:eastAsiaTheme="minorEastAsia" w:cstheme="minorEastAsia"/>
                <w:spacing w:val="-4"/>
                <w:szCs w:val="21"/>
              </w:rPr>
              <w:t>号）的有关规定：价格分采用低价优先法计算，即满足竞争</w:t>
            </w:r>
            <w:r>
              <w:rPr>
                <w:rFonts w:hint="eastAsia" w:asciiTheme="minorEastAsia" w:hAnsiTheme="minorEastAsia" w:eastAsiaTheme="minorEastAsia" w:cstheme="minorEastAsia"/>
                <w:spacing w:val="-117"/>
                <w:szCs w:val="21"/>
              </w:rPr>
              <w:t xml:space="preserve"> </w:t>
            </w:r>
            <w:r>
              <w:rPr>
                <w:rFonts w:hint="eastAsia" w:asciiTheme="minorEastAsia" w:hAnsiTheme="minorEastAsia" w:eastAsiaTheme="minorEastAsia" w:cstheme="minorEastAsia"/>
                <w:szCs w:val="21"/>
              </w:rPr>
              <w:t xml:space="preserve">性磋商文件要求且最后报价最低的供应商的价格为磋商基准价，其价格分为满分。其他供应商的价格分统一按照下列公式计算： 磋商报价得分=（磋商基准价/最后磋商报价）×价格权值×100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trPr>
        <w:tc>
          <w:tcPr>
            <w:tcW w:w="10276" w:type="dxa"/>
            <w:gridSpan w:val="9"/>
            <w:tcBorders>
              <w:top w:val="single" w:color="auto" w:sz="4" w:space="0"/>
              <w:left w:val="single" w:color="auto" w:sz="4" w:space="0"/>
              <w:bottom w:val="single" w:color="auto" w:sz="4" w:space="0"/>
              <w:right w:val="single" w:color="auto" w:sz="4" w:space="0"/>
            </w:tcBorders>
            <w:vAlign w:val="center"/>
          </w:tcPr>
          <w:p>
            <w:pPr>
              <w:keepNext/>
              <w:keepLines/>
              <w:pageBreakBefore w:val="0"/>
              <w:widowControl w:val="0"/>
              <w:kinsoku w:val="0"/>
              <w:wordWrap/>
              <w:overflowPunct w:val="0"/>
              <w:topLinePunct w:val="0"/>
              <w:autoSpaceDE w:val="0"/>
              <w:autoSpaceDN w:val="0"/>
              <w:bidi w:val="0"/>
              <w:adjustRightInd/>
              <w:snapToGrid/>
              <w:spacing w:before="0" w:after="0" w:line="360" w:lineRule="exact"/>
              <w:textAlignment w:val="auto"/>
              <w:outlineLvl w:val="9"/>
              <w:rPr>
                <w:rFonts w:asciiTheme="minorEastAsia" w:hAnsiTheme="minorEastAsia" w:eastAsiaTheme="minorEastAsia" w:cstheme="minorEastAsia"/>
                <w:sz w:val="21"/>
                <w:szCs w:val="21"/>
              </w:rPr>
            </w:pPr>
            <w:r>
              <w:rPr>
                <w:rFonts w:hint="eastAsia" w:asciiTheme="minorEastAsia" w:hAnsiTheme="minorEastAsia" w:eastAsiaTheme="minorEastAsia" w:cstheme="minorEastAsia"/>
                <w:b/>
                <w:bCs/>
                <w:kern w:val="2"/>
                <w:sz w:val="21"/>
                <w:szCs w:val="21"/>
                <w:lang w:val="en-US" w:eastAsia="zh-CN" w:bidi="ar-SA"/>
              </w:rPr>
              <w:t>二、商务标20分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5" w:hRule="atLeast"/>
        </w:trPr>
        <w:tc>
          <w:tcPr>
            <w:tcW w:w="675" w:type="dxa"/>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 w:val="21"/>
                <w:szCs w:val="21"/>
              </w:rPr>
              <w:t>序号</w:t>
            </w:r>
          </w:p>
        </w:tc>
        <w:tc>
          <w:tcPr>
            <w:tcW w:w="1576" w:type="dxa"/>
            <w:gridSpan w:val="4"/>
            <w:tcBorders>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ind w:left="227"/>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7365" w:type="dxa"/>
            <w:gridSpan w:val="2"/>
            <w:tcBorders>
              <w:top w:val="single" w:color="auto" w:sz="4" w:space="0"/>
              <w:left w:val="single" w:color="auto" w:sz="4" w:space="0"/>
              <w:right w:val="single" w:color="auto" w:sz="4" w:space="0"/>
            </w:tcBorders>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trPr>
        <w:tc>
          <w:tcPr>
            <w:tcW w:w="675" w:type="dxa"/>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p>
        </w:tc>
        <w:tc>
          <w:tcPr>
            <w:tcW w:w="1576" w:type="dxa"/>
            <w:gridSpan w:val="4"/>
            <w:tcBorders>
              <w:top w:val="single" w:color="auto" w:sz="4" w:space="0"/>
              <w:left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firstLine="210" w:firstLineChars="100"/>
              <w:jc w:val="both"/>
              <w:textAlignment w:val="auto"/>
              <w:rPr>
                <w:rFonts w:asciiTheme="minorEastAsia" w:hAnsiTheme="minorEastAsia" w:eastAsiaTheme="minorEastAsia" w:cstheme="minorEastAsia"/>
                <w:szCs w:val="18"/>
                <w:highlight w:val="none"/>
              </w:rPr>
            </w:pPr>
            <w:r>
              <w:rPr>
                <w:rFonts w:hint="eastAsia" w:asciiTheme="minorEastAsia" w:hAnsiTheme="minorEastAsia" w:eastAsiaTheme="minorEastAsia" w:cstheme="minorEastAsia"/>
                <w:szCs w:val="18"/>
                <w:highlight w:val="none"/>
              </w:rPr>
              <w:t>项目负责人</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Cs w:val="18"/>
                <w:highlight w:val="none"/>
              </w:rPr>
              <w:t>0-2</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61"/>
                <w:tab w:val="left" w:pos="1662"/>
                <w:tab w:val="left" w:pos="3363"/>
                <w:tab w:val="left" w:pos="3887"/>
                <w:tab w:val="left" w:pos="9649"/>
              </w:tabs>
              <w:kinsoku/>
              <w:wordWrap/>
              <w:overflowPunct/>
              <w:topLinePunct w:val="0"/>
              <w:autoSpaceDE/>
              <w:autoSpaceDN/>
              <w:bidi w:val="0"/>
              <w:adjustRightInd/>
              <w:spacing w:line="360" w:lineRule="exact"/>
              <w:ind w:left="43"/>
              <w:textAlignment w:val="auto"/>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szCs w:val="18"/>
                <w:highlight w:val="none"/>
              </w:rPr>
              <w:t>项目负责人注册建造师等级证书、职称证书复印件，证件齐全得2分，不全</w:t>
            </w:r>
            <w:r>
              <w:rPr>
                <w:rFonts w:hint="eastAsia" w:asciiTheme="minorEastAsia" w:hAnsiTheme="minorEastAsia" w:eastAsiaTheme="minorEastAsia" w:cstheme="minorEastAsia"/>
                <w:szCs w:val="18"/>
                <w:highlight w:val="none"/>
                <w:lang w:val="en-US" w:eastAsia="zh-CN"/>
              </w:rPr>
              <w:t>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5" w:hRule="atLeast"/>
        </w:trPr>
        <w:tc>
          <w:tcPr>
            <w:tcW w:w="675" w:type="dxa"/>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w:t>
            </w:r>
          </w:p>
        </w:tc>
        <w:tc>
          <w:tcPr>
            <w:tcW w:w="1576" w:type="dxa"/>
            <w:gridSpan w:val="4"/>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szCs w:val="18"/>
                <w:lang w:val="en-US" w:eastAsia="zh-CN"/>
              </w:rPr>
            </w:pPr>
            <w:r>
              <w:rPr>
                <w:rFonts w:hint="eastAsia" w:asciiTheme="minorEastAsia" w:hAnsiTheme="minorEastAsia" w:eastAsiaTheme="minorEastAsia" w:cstheme="minorEastAsia"/>
                <w:szCs w:val="18"/>
                <w:lang w:val="en-US" w:eastAsia="zh-CN"/>
              </w:rPr>
              <w:t>企业不良行为</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741"/>
                <w:tab w:val="left" w:pos="1642"/>
                <w:tab w:val="left" w:pos="3363"/>
                <w:tab w:val="left" w:pos="3887"/>
                <w:tab w:val="left" w:pos="9649"/>
              </w:tabs>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Cs w:val="18"/>
              </w:rPr>
              <w:t>0-</w:t>
            </w:r>
            <w:r>
              <w:rPr>
                <w:rFonts w:hint="eastAsia" w:asciiTheme="minorEastAsia" w:hAnsiTheme="minorEastAsia" w:eastAsiaTheme="minorEastAsia" w:cstheme="minorEastAsia"/>
                <w:szCs w:val="18"/>
                <w:lang w:val="en-US" w:eastAsia="zh-CN"/>
              </w:rPr>
              <w:t>6</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ageBreakBefore w:val="0"/>
              <w:tabs>
                <w:tab w:val="left" w:pos="1642"/>
                <w:tab w:val="left" w:pos="3363"/>
                <w:tab w:val="left" w:pos="3887"/>
                <w:tab w:val="left" w:pos="9649"/>
              </w:tabs>
              <w:kinsoku/>
              <w:wordWrap/>
              <w:overflowPunct/>
              <w:topLinePunct w:val="0"/>
              <w:autoSpaceDE/>
              <w:autoSpaceDN/>
              <w:bidi w:val="0"/>
              <w:adjustRightInd/>
              <w:spacing w:line="360" w:lineRule="exact"/>
              <w:ind w:left="43"/>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施工企业没有因发生安全事故、质量事故被县级及以上建设行政主管部门处罚或通报的；在招投标过程中没有因串标投标、围标等违规行为被县级及以上建设行政主管部门处罚或通报的。施工企业近一年没有发生上述行为的得6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trPr>
        <w:tc>
          <w:tcPr>
            <w:tcW w:w="67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57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val="en-US" w:eastAsia="zh-CN"/>
              </w:rPr>
              <w:t>无拖欠</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0-4</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提供不拖欠农民工工资承诺书得4分，否则不得分。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0" w:hRule="atLeast"/>
        </w:trPr>
        <w:tc>
          <w:tcPr>
            <w:tcW w:w="675" w:type="dxa"/>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w:t>
            </w:r>
          </w:p>
        </w:tc>
        <w:tc>
          <w:tcPr>
            <w:tcW w:w="1576" w:type="dxa"/>
            <w:gridSpan w:val="4"/>
            <w:tcBorders>
              <w:top w:val="single" w:color="auto" w:sz="4" w:space="0"/>
              <w:left w:val="single" w:color="auto" w:sz="4" w:space="0"/>
              <w:bottom w:val="single" w:color="auto" w:sz="4" w:space="0"/>
              <w:right w:val="single" w:color="auto" w:sz="4" w:space="0"/>
            </w:tcBorders>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业绩</w:t>
            </w:r>
          </w:p>
        </w:tc>
        <w:tc>
          <w:tcPr>
            <w:tcW w:w="660" w:type="dxa"/>
            <w:gridSpan w:val="2"/>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0-8</w:t>
            </w:r>
          </w:p>
        </w:tc>
        <w:tc>
          <w:tcPr>
            <w:tcW w:w="7365" w:type="dxa"/>
            <w:gridSpan w:val="2"/>
            <w:tcBorders>
              <w:top w:val="single" w:color="auto" w:sz="4" w:space="0"/>
              <w:left w:val="single" w:color="auto" w:sz="4" w:space="0"/>
              <w:bottom w:val="single" w:color="auto" w:sz="4" w:space="0"/>
              <w:right w:val="single" w:color="auto" w:sz="4" w:space="0"/>
            </w:tcBorders>
            <w:vAlign w:val="center"/>
          </w:tcPr>
          <w:p>
            <w:pPr>
              <w:pStyle w:val="27"/>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近</w:t>
            </w:r>
            <w:r>
              <w:rPr>
                <w:rFonts w:hint="eastAsia" w:asciiTheme="minorEastAsia" w:hAnsiTheme="minorEastAsia" w:eastAsiaTheme="minorEastAsia" w:cstheme="minorEastAsia"/>
                <w:sz w:val="21"/>
                <w:szCs w:val="21"/>
                <w:lang w:val="en-US" w:eastAsia="zh-CN"/>
              </w:rPr>
              <w:t>三</w:t>
            </w:r>
            <w:r>
              <w:rPr>
                <w:rFonts w:hint="eastAsia" w:asciiTheme="minorEastAsia" w:hAnsiTheme="minorEastAsia" w:eastAsiaTheme="minorEastAsia" w:cstheme="minorEastAsia"/>
                <w:sz w:val="21"/>
                <w:szCs w:val="21"/>
              </w:rPr>
              <w:t>年</w:t>
            </w:r>
            <w:r>
              <w:rPr>
                <w:rFonts w:hint="eastAsia" w:asciiTheme="minorEastAsia" w:hAnsiTheme="minorEastAsia" w:eastAsiaTheme="minorEastAsia" w:cstheme="minorEastAsia"/>
                <w:sz w:val="21"/>
                <w:szCs w:val="21"/>
                <w:lang w:val="en-US" w:eastAsia="zh-CN"/>
              </w:rPr>
              <w:t>以来承接过类似工程施工项目业绩，每个得4分，最多得8分。（以中标通知书或合同为准）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0276" w:type="dxa"/>
            <w:gridSpan w:val="9"/>
            <w:tcBorders>
              <w:top w:val="single" w:color="auto" w:sz="4" w:space="0"/>
              <w:left w:val="single" w:color="auto" w:sz="4" w:space="0"/>
              <w:bottom w:val="single" w:color="auto" w:sz="4" w:space="0"/>
              <w:right w:val="single" w:color="auto" w:sz="4" w:space="0"/>
            </w:tcBorders>
            <w:vAlign w:val="center"/>
          </w:tcPr>
          <w:p>
            <w:pPr>
              <w:pageBreakBefore w:val="0"/>
              <w:widowControl/>
              <w:kinsoku/>
              <w:wordWrap/>
              <w:overflowPunct/>
              <w:topLinePunct w:val="0"/>
              <w:autoSpaceDE/>
              <w:autoSpaceDN/>
              <w:bidi w:val="0"/>
              <w:adjustRightInd/>
              <w:spacing w:line="360" w:lineRule="exact"/>
              <w:contextualSpacing/>
              <w:jc w:val="lef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b/>
                <w:bCs/>
                <w:szCs w:val="21"/>
              </w:rPr>
              <w:t>三、技术标50分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3" w:hRule="atLeast"/>
          <w:tblHeader/>
        </w:trPr>
        <w:tc>
          <w:tcPr>
            <w:tcW w:w="675"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序号</w:t>
            </w:r>
          </w:p>
        </w:tc>
        <w:tc>
          <w:tcPr>
            <w:tcW w:w="2115" w:type="dxa"/>
            <w:gridSpan w:val="5"/>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评审项目</w:t>
            </w:r>
          </w:p>
        </w:tc>
        <w:tc>
          <w:tcPr>
            <w:tcW w:w="735" w:type="dxa"/>
            <w:gridSpan w:val="2"/>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分值</w:t>
            </w:r>
          </w:p>
        </w:tc>
        <w:tc>
          <w:tcPr>
            <w:tcW w:w="6751" w:type="dxa"/>
            <w:vAlign w:val="center"/>
          </w:tcPr>
          <w:p>
            <w:pPr>
              <w:pageBreakBefore w:val="0"/>
              <w:tabs>
                <w:tab w:val="left" w:pos="749"/>
                <w:tab w:val="left" w:pos="3346"/>
                <w:tab w:val="left" w:pos="3873"/>
                <w:tab w:val="left" w:pos="9611"/>
              </w:tabs>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5" w:hRule="atLeast"/>
          <w:tblHeader/>
        </w:trPr>
        <w:tc>
          <w:tcPr>
            <w:tcW w:w="675" w:type="dxa"/>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1</w:t>
            </w:r>
          </w:p>
        </w:tc>
        <w:tc>
          <w:tcPr>
            <w:tcW w:w="2115"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施工准备计划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4</w:t>
            </w:r>
          </w:p>
        </w:tc>
        <w:tc>
          <w:tcPr>
            <w:tcW w:w="6751"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施工现场</w:t>
            </w:r>
            <w:r>
              <w:rPr>
                <w:rFonts w:hint="eastAsia" w:asciiTheme="minorEastAsia" w:hAnsiTheme="minorEastAsia" w:eastAsiaTheme="minorEastAsia" w:cstheme="minorEastAsia"/>
                <w:szCs w:val="21"/>
                <w:lang w:val="en-US" w:eastAsia="zh-CN"/>
              </w:rPr>
              <w:t>的</w:t>
            </w:r>
            <w:r>
              <w:rPr>
                <w:rFonts w:hint="eastAsia" w:asciiTheme="minorEastAsia" w:hAnsiTheme="minorEastAsia" w:eastAsiaTheme="minorEastAsia" w:cstheme="minorEastAsia"/>
                <w:szCs w:val="21"/>
              </w:rPr>
              <w:t>物资与机械、队伍准备</w:t>
            </w:r>
            <w:r>
              <w:rPr>
                <w:rFonts w:hint="eastAsia" w:asciiTheme="minorEastAsia" w:hAnsiTheme="minorEastAsia" w:eastAsiaTheme="minorEastAsia" w:cstheme="minorEastAsia"/>
                <w:szCs w:val="21"/>
                <w:lang w:val="en-US" w:eastAsia="zh-CN"/>
              </w:rPr>
              <w:t>工作</w:t>
            </w:r>
            <w:r>
              <w:rPr>
                <w:rFonts w:hint="eastAsia" w:asciiTheme="minorEastAsia" w:hAnsiTheme="minorEastAsia" w:eastAsiaTheme="minorEastAsia" w:cstheme="minorEastAsia"/>
                <w:szCs w:val="21"/>
              </w:rPr>
              <w:t>计划</w:t>
            </w:r>
            <w:r>
              <w:rPr>
                <w:rFonts w:hint="eastAsia" w:asciiTheme="minorEastAsia" w:hAnsiTheme="minorEastAsia" w:eastAsiaTheme="minorEastAsia" w:cstheme="minorEastAsia"/>
                <w:szCs w:val="21"/>
                <w:lang w:val="en-US" w:eastAsia="zh-CN"/>
              </w:rPr>
              <w:t>能够充分满足</w:t>
            </w:r>
            <w:r>
              <w:rPr>
                <w:rFonts w:hint="eastAsia" w:asciiTheme="minorEastAsia" w:hAnsiTheme="minorEastAsia" w:eastAsiaTheme="minorEastAsia" w:cstheme="minorEastAsia"/>
                <w:szCs w:val="21"/>
              </w:rPr>
              <w:t>工程需要</w:t>
            </w:r>
            <w:r>
              <w:rPr>
                <w:rFonts w:hint="eastAsia" w:asciiTheme="minorEastAsia" w:hAnsiTheme="minorEastAsia" w:eastAsiaTheme="minorEastAsia" w:cstheme="minorEastAsia"/>
                <w:szCs w:val="21"/>
                <w:lang w:val="en-US" w:eastAsia="zh-CN"/>
              </w:rPr>
              <w:t>的</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en-US" w:eastAsia="zh-CN"/>
              </w:rPr>
              <w:t>前期准备工作不足，考虑欠缺的得2分，无施工准备工作计划的不得分。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tblHeader/>
        </w:trPr>
        <w:tc>
          <w:tcPr>
            <w:tcW w:w="675" w:type="dxa"/>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2</w:t>
            </w:r>
          </w:p>
        </w:tc>
        <w:tc>
          <w:tcPr>
            <w:tcW w:w="2115"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施工方案</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hint="default"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10</w:t>
            </w:r>
          </w:p>
        </w:tc>
        <w:tc>
          <w:tcPr>
            <w:tcW w:w="6751"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施工方案</w:t>
            </w:r>
            <w:r>
              <w:rPr>
                <w:rFonts w:hint="eastAsia" w:asciiTheme="minorEastAsia" w:hAnsiTheme="minorEastAsia" w:eastAsiaTheme="minorEastAsia" w:cstheme="minorEastAsia"/>
                <w:szCs w:val="21"/>
                <w:lang w:val="en-US" w:eastAsia="zh-CN"/>
              </w:rPr>
              <w:t>切实</w:t>
            </w:r>
            <w:r>
              <w:rPr>
                <w:rFonts w:hint="eastAsia" w:asciiTheme="minorEastAsia" w:hAnsiTheme="minorEastAsia" w:eastAsiaTheme="minorEastAsia" w:cstheme="minorEastAsia"/>
                <w:szCs w:val="21"/>
              </w:rPr>
              <w:t>符合工程</w:t>
            </w:r>
            <w:r>
              <w:rPr>
                <w:rFonts w:hint="eastAsia" w:asciiTheme="minorEastAsia" w:hAnsiTheme="minorEastAsia" w:eastAsiaTheme="minorEastAsia" w:cstheme="minorEastAsia"/>
                <w:szCs w:val="21"/>
                <w:lang w:val="en-US" w:eastAsia="zh-CN"/>
              </w:rPr>
              <w:t>的</w:t>
            </w:r>
            <w:r>
              <w:rPr>
                <w:rFonts w:hint="eastAsia" w:asciiTheme="minorEastAsia" w:hAnsiTheme="minorEastAsia" w:eastAsiaTheme="minorEastAsia" w:cstheme="minorEastAsia"/>
                <w:szCs w:val="21"/>
              </w:rPr>
              <w:t>实际情况，</w:t>
            </w:r>
            <w:r>
              <w:rPr>
                <w:rFonts w:hint="eastAsia" w:asciiTheme="minorEastAsia" w:hAnsiTheme="minorEastAsia" w:eastAsiaTheme="minorEastAsia" w:cstheme="minorEastAsia"/>
                <w:szCs w:val="21"/>
                <w:lang w:val="en-US" w:eastAsia="zh-CN"/>
              </w:rPr>
              <w:t>针对提高生产率</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缩短工期</w:t>
            </w:r>
            <w:r>
              <w:rPr>
                <w:rFonts w:hint="eastAsia" w:asciiTheme="minorEastAsia" w:hAnsiTheme="minorEastAsia" w:eastAsiaTheme="minorEastAsia" w:cstheme="minorEastAsia"/>
                <w:szCs w:val="21"/>
              </w:rPr>
              <w:t>、提高质量、降低</w:t>
            </w:r>
            <w:r>
              <w:rPr>
                <w:rFonts w:hint="eastAsia" w:asciiTheme="minorEastAsia" w:hAnsiTheme="minorEastAsia" w:eastAsiaTheme="minorEastAsia" w:cstheme="minorEastAsia"/>
                <w:szCs w:val="21"/>
                <w:lang w:val="en-US" w:eastAsia="zh-CN"/>
              </w:rPr>
              <w:t>消耗方面特点突出</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szCs w:val="21"/>
                <w:lang w:val="en-US" w:eastAsia="zh-CN"/>
              </w:rPr>
              <w:t>方案完善合理</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en-US" w:eastAsia="zh-CN"/>
              </w:rPr>
              <w:t>方案欠缺</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en-US" w:eastAsia="zh-CN"/>
              </w:rPr>
              <w:t>方案</w:t>
            </w:r>
            <w:r>
              <w:rPr>
                <w:rFonts w:hint="eastAsia" w:asciiTheme="minorEastAsia" w:hAnsiTheme="minorEastAsia" w:eastAsiaTheme="minorEastAsia" w:cstheme="minorEastAsia"/>
                <w:szCs w:val="21"/>
              </w:rPr>
              <w:t>差</w:t>
            </w:r>
            <w:r>
              <w:rPr>
                <w:rFonts w:hint="eastAsia" w:asciiTheme="minorEastAsia" w:hAnsiTheme="minorEastAsia" w:eastAsiaTheme="minorEastAsia" w:cstheme="minorEastAsia"/>
                <w:szCs w:val="21"/>
                <w:lang w:val="en-US" w:eastAsia="zh-CN"/>
              </w:rPr>
              <w:t>或无此方案得</w:t>
            </w:r>
            <w:r>
              <w:rPr>
                <w:rFonts w:hint="eastAsia" w:asciiTheme="minorEastAsia" w:hAnsiTheme="minorEastAsia" w:eastAsiaTheme="minorEastAsia" w:cstheme="minorEastAsia"/>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0" w:hRule="atLeast"/>
          <w:tblHeader/>
        </w:trPr>
        <w:tc>
          <w:tcPr>
            <w:tcW w:w="675" w:type="dxa"/>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3</w:t>
            </w:r>
          </w:p>
        </w:tc>
        <w:tc>
          <w:tcPr>
            <w:tcW w:w="2115"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施工进度计划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0-1</w:t>
            </w:r>
            <w:r>
              <w:rPr>
                <w:rFonts w:hint="eastAsia" w:asciiTheme="minorEastAsia" w:hAnsiTheme="minorEastAsia" w:eastAsiaTheme="minorEastAsia" w:cstheme="minorEastAsia"/>
                <w:bCs/>
                <w:szCs w:val="21"/>
                <w:lang w:val="en-US" w:eastAsia="zh-CN"/>
              </w:rPr>
              <w:t>0</w:t>
            </w:r>
          </w:p>
        </w:tc>
        <w:tc>
          <w:tcPr>
            <w:tcW w:w="6751"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lang w:val="en-US" w:eastAsia="zh-CN"/>
              </w:rPr>
              <w:t>施工</w:t>
            </w:r>
            <w:r>
              <w:rPr>
                <w:rFonts w:hint="eastAsia" w:asciiTheme="minorEastAsia" w:hAnsiTheme="minorEastAsia" w:eastAsiaTheme="minorEastAsia" w:cstheme="minorEastAsia"/>
                <w:szCs w:val="21"/>
              </w:rPr>
              <w:t>进度计划应在空间和时间上做合理的统筹安排且符合施工的科学规律，</w:t>
            </w:r>
            <w:r>
              <w:rPr>
                <w:rFonts w:hint="eastAsia" w:asciiTheme="minorEastAsia" w:hAnsiTheme="minorEastAsia" w:eastAsiaTheme="minorEastAsia" w:cstheme="minorEastAsia"/>
                <w:szCs w:val="21"/>
                <w:lang w:val="en-US" w:eastAsia="zh-CN"/>
              </w:rPr>
              <w:t>确保工程工期正常进行。计划完善可行</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en-US" w:eastAsia="zh-CN"/>
              </w:rPr>
              <w:t>计划欠缺</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en-US" w:eastAsia="zh-CN"/>
              </w:rPr>
              <w:t>计划</w:t>
            </w:r>
            <w:r>
              <w:rPr>
                <w:rFonts w:hint="eastAsia" w:asciiTheme="minorEastAsia" w:hAnsiTheme="minorEastAsia" w:eastAsiaTheme="minorEastAsia" w:cstheme="minorEastAsia"/>
                <w:szCs w:val="21"/>
              </w:rPr>
              <w:t>差</w:t>
            </w:r>
            <w:r>
              <w:rPr>
                <w:rFonts w:hint="eastAsia" w:asciiTheme="minorEastAsia" w:hAnsiTheme="minorEastAsia" w:eastAsiaTheme="minorEastAsia" w:cstheme="minorEastAsia"/>
                <w:szCs w:val="21"/>
                <w:lang w:val="en-US" w:eastAsia="zh-CN"/>
              </w:rPr>
              <w:t>或无此计划得</w:t>
            </w:r>
            <w:r>
              <w:rPr>
                <w:rFonts w:hint="eastAsia" w:asciiTheme="minorEastAsia" w:hAnsiTheme="minorEastAsia" w:eastAsiaTheme="minorEastAsia" w:cstheme="minorEastAsia"/>
                <w:szCs w:val="21"/>
              </w:rPr>
              <w:t>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75" w:type="dxa"/>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4</w:t>
            </w:r>
          </w:p>
        </w:tc>
        <w:tc>
          <w:tcPr>
            <w:tcW w:w="2115"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2</w:t>
            </w:r>
          </w:p>
        </w:tc>
        <w:tc>
          <w:tcPr>
            <w:tcW w:w="6751"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施工平面图应符合工程实际，布置紧凑，便于施工和管理并符合劳保、安全要求</w:t>
            </w:r>
            <w:r>
              <w:rPr>
                <w:rFonts w:hint="eastAsia" w:asciiTheme="minorEastAsia" w:hAnsiTheme="minorEastAsia" w:eastAsiaTheme="minorEastAsia" w:cstheme="minorEastAsia"/>
                <w:szCs w:val="21"/>
                <w:lang w:eastAsia="zh-CN"/>
              </w:rPr>
              <w:t>，</w:t>
            </w:r>
            <w:r>
              <w:rPr>
                <w:rFonts w:hint="eastAsia" w:asciiTheme="minorEastAsia" w:hAnsiTheme="minorEastAsia" w:eastAsiaTheme="minorEastAsia" w:cstheme="minorEastAsia"/>
                <w:szCs w:val="21"/>
                <w:lang w:val="en-US" w:eastAsia="zh-CN"/>
              </w:rPr>
              <w:t>合理得2分，否则0分。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trPr>
        <w:tc>
          <w:tcPr>
            <w:tcW w:w="675" w:type="dxa"/>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5</w:t>
            </w:r>
          </w:p>
        </w:tc>
        <w:tc>
          <w:tcPr>
            <w:tcW w:w="2115"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szCs w:val="21"/>
              </w:rPr>
              <w:t>劳动力需用量计划</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4</w:t>
            </w:r>
          </w:p>
        </w:tc>
        <w:tc>
          <w:tcPr>
            <w:tcW w:w="6751" w:type="dxa"/>
            <w:vAlign w:val="center"/>
          </w:tcPr>
          <w:p>
            <w:pPr>
              <w:pageBreakBefore w:val="0"/>
              <w:kinsoku/>
              <w:wordWrap/>
              <w:overflowPunct/>
              <w:topLinePunct w:val="0"/>
              <w:autoSpaceDE/>
              <w:autoSpaceDN/>
              <w:bidi w:val="0"/>
              <w:adjustRightInd/>
              <w:spacing w:line="360" w:lineRule="exact"/>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szCs w:val="21"/>
              </w:rPr>
              <w:t>需用量计划应是根据工程进度计划的安排计算，并与工程进度计划相一致。优得</w:t>
            </w:r>
            <w:r>
              <w:rPr>
                <w:rFonts w:hint="eastAsia" w:asciiTheme="minorEastAsia" w:hAnsiTheme="minorEastAsia" w:eastAsiaTheme="minorEastAsia" w:cstheme="minorEastAsia"/>
                <w:szCs w:val="21"/>
                <w:lang w:val="en-US" w:eastAsia="zh-CN"/>
              </w:rPr>
              <w:t>4</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en-US" w:eastAsia="zh-CN"/>
              </w:rPr>
              <w:t>欠缺</w:t>
            </w:r>
            <w:r>
              <w:rPr>
                <w:rFonts w:hint="eastAsia" w:asciiTheme="minorEastAsia" w:hAnsiTheme="minorEastAsia" w:eastAsiaTheme="minorEastAsia" w:cstheme="minorEastAsia"/>
                <w:szCs w:val="21"/>
              </w:rPr>
              <w:t>得2分，较差</w:t>
            </w:r>
            <w:r>
              <w:rPr>
                <w:rFonts w:hint="eastAsia" w:asciiTheme="minorEastAsia" w:hAnsiTheme="minorEastAsia" w:eastAsiaTheme="minorEastAsia" w:cstheme="minorEastAsia"/>
                <w:szCs w:val="21"/>
                <w:lang w:val="en-US" w:eastAsia="zh-CN"/>
              </w:rPr>
              <w:t>得0</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blHeader/>
        </w:trPr>
        <w:tc>
          <w:tcPr>
            <w:tcW w:w="675" w:type="dxa"/>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6</w:t>
            </w:r>
          </w:p>
        </w:tc>
        <w:tc>
          <w:tcPr>
            <w:tcW w:w="2115"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质量保证措施和体系</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5</w:t>
            </w:r>
          </w:p>
        </w:tc>
        <w:tc>
          <w:tcPr>
            <w:tcW w:w="6751"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工程项目的质保体系健全，制定了质量通病的防治措施、且措施可行</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en-US" w:eastAsia="zh-CN"/>
              </w:rPr>
              <w:t>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0" w:hRule="atLeast"/>
          <w:tblHeader/>
        </w:trPr>
        <w:tc>
          <w:tcPr>
            <w:tcW w:w="675" w:type="dxa"/>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7</w:t>
            </w:r>
          </w:p>
        </w:tc>
        <w:tc>
          <w:tcPr>
            <w:tcW w:w="2115"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安全保证措施和体系</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rPr>
              <w:t>0-</w:t>
            </w:r>
            <w:r>
              <w:rPr>
                <w:rFonts w:hint="eastAsia" w:asciiTheme="minorEastAsia" w:hAnsiTheme="minorEastAsia" w:eastAsiaTheme="minorEastAsia" w:cstheme="minorEastAsia"/>
                <w:bCs/>
                <w:szCs w:val="21"/>
                <w:lang w:val="en-US" w:eastAsia="zh-CN"/>
              </w:rPr>
              <w:t>5</w:t>
            </w:r>
          </w:p>
        </w:tc>
        <w:tc>
          <w:tcPr>
            <w:tcW w:w="6751"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lang w:val="en-US" w:eastAsia="zh-CN"/>
              </w:rPr>
              <w:t>安全保障体系健全，安全措施得力，</w:t>
            </w:r>
            <w:r>
              <w:rPr>
                <w:rFonts w:hint="eastAsia" w:asciiTheme="minorEastAsia" w:hAnsiTheme="minorEastAsia" w:eastAsiaTheme="minorEastAsia" w:cstheme="minorEastAsia"/>
                <w:szCs w:val="21"/>
              </w:rPr>
              <w:t>得</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r>
              <w:rPr>
                <w:rFonts w:hint="eastAsia" w:asciiTheme="minorEastAsia" w:hAnsiTheme="minorEastAsia" w:eastAsiaTheme="minorEastAsia" w:cstheme="minorEastAsia"/>
                <w:szCs w:val="21"/>
                <w:lang w:val="en-US" w:eastAsia="zh-CN"/>
              </w:rPr>
              <w:t>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5" w:hRule="atLeast"/>
          <w:tblHeader/>
        </w:trPr>
        <w:tc>
          <w:tcPr>
            <w:tcW w:w="675" w:type="dxa"/>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eastAsia="zh-CN"/>
              </w:rPr>
            </w:pPr>
            <w:r>
              <w:rPr>
                <w:rFonts w:hint="eastAsia" w:asciiTheme="minorEastAsia" w:hAnsiTheme="minorEastAsia" w:eastAsiaTheme="minorEastAsia" w:cstheme="minorEastAsia"/>
                <w:bCs/>
                <w:szCs w:val="21"/>
                <w:lang w:val="en-US" w:eastAsia="zh-CN"/>
              </w:rPr>
              <w:t>8</w:t>
            </w:r>
          </w:p>
        </w:tc>
        <w:tc>
          <w:tcPr>
            <w:tcW w:w="2115"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现场文明施工措施</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
                <w:szCs w:val="21"/>
                <w:lang w:eastAsia="zh-CN"/>
              </w:rPr>
            </w:pPr>
            <w:r>
              <w:rPr>
                <w:rFonts w:hint="eastAsia" w:asciiTheme="minorEastAsia" w:hAnsiTheme="minorEastAsia" w:eastAsiaTheme="minorEastAsia" w:cstheme="minorEastAsia"/>
                <w:szCs w:val="21"/>
              </w:rPr>
              <w:t>0-</w:t>
            </w:r>
            <w:r>
              <w:rPr>
                <w:rFonts w:hint="eastAsia" w:asciiTheme="minorEastAsia" w:hAnsiTheme="minorEastAsia" w:eastAsiaTheme="minorEastAsia" w:cstheme="minorEastAsia"/>
                <w:szCs w:val="21"/>
                <w:lang w:val="en-US" w:eastAsia="zh-CN"/>
              </w:rPr>
              <w:t>5</w:t>
            </w:r>
          </w:p>
        </w:tc>
        <w:tc>
          <w:tcPr>
            <w:tcW w:w="6751"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b/>
                <w:szCs w:val="21"/>
              </w:rPr>
            </w:pPr>
            <w:r>
              <w:rPr>
                <w:rFonts w:hint="eastAsia" w:asciiTheme="minorEastAsia" w:hAnsiTheme="minorEastAsia" w:eastAsiaTheme="minorEastAsia" w:cstheme="minorEastAsia"/>
                <w:szCs w:val="21"/>
                <w:lang w:val="en-US" w:eastAsia="zh-CN"/>
              </w:rPr>
              <w:t>文明施工措施得力得5分，否则酌情扣分。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2" w:hRule="atLeast"/>
          <w:tblHeader/>
        </w:trPr>
        <w:tc>
          <w:tcPr>
            <w:tcW w:w="675" w:type="dxa"/>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bCs/>
                <w:szCs w:val="21"/>
                <w:lang w:val="en-US" w:eastAsia="zh-CN"/>
              </w:rPr>
            </w:pPr>
            <w:r>
              <w:rPr>
                <w:rFonts w:hint="eastAsia" w:asciiTheme="minorEastAsia" w:hAnsiTheme="minorEastAsia" w:eastAsiaTheme="minorEastAsia" w:cstheme="minorEastAsia"/>
                <w:bCs/>
                <w:szCs w:val="21"/>
                <w:lang w:val="en-US" w:eastAsia="zh-CN"/>
              </w:rPr>
              <w:t>9</w:t>
            </w:r>
          </w:p>
        </w:tc>
        <w:tc>
          <w:tcPr>
            <w:tcW w:w="2115" w:type="dxa"/>
            <w:gridSpan w:val="5"/>
            <w:vAlign w:val="center"/>
          </w:tcPr>
          <w:p>
            <w:pPr>
              <w:pageBreakBefore w:val="0"/>
              <w:kinsoku/>
              <w:wordWrap/>
              <w:overflowPunct/>
              <w:topLinePunct w:val="0"/>
              <w:autoSpaceDE/>
              <w:autoSpaceDN/>
              <w:bidi w:val="0"/>
              <w:adjustRightInd/>
              <w:spacing w:line="360" w:lineRule="exact"/>
              <w:jc w:val="center"/>
              <w:textAlignment w:val="auto"/>
              <w:rPr>
                <w:rFonts w:asciiTheme="minorEastAsia" w:hAnsiTheme="minorEastAsia" w:eastAsiaTheme="minorEastAsia" w:cstheme="minorEastAsia"/>
                <w:bCs/>
                <w:szCs w:val="21"/>
              </w:rPr>
            </w:pPr>
            <w:r>
              <w:rPr>
                <w:rFonts w:hint="eastAsia" w:asciiTheme="minorEastAsia" w:hAnsiTheme="minorEastAsia" w:eastAsiaTheme="minorEastAsia" w:cstheme="minorEastAsia"/>
                <w:bCs/>
                <w:szCs w:val="21"/>
              </w:rPr>
              <w:t>承诺</w:t>
            </w:r>
          </w:p>
        </w:tc>
        <w:tc>
          <w:tcPr>
            <w:tcW w:w="735" w:type="dxa"/>
            <w:gridSpan w:val="2"/>
            <w:vAlign w:val="center"/>
          </w:tcPr>
          <w:p>
            <w:pPr>
              <w:pageBreakBefore w:val="0"/>
              <w:kinsoku/>
              <w:wordWrap/>
              <w:overflowPunct/>
              <w:topLinePunct w:val="0"/>
              <w:autoSpaceDE/>
              <w:autoSpaceDN/>
              <w:bidi w:val="0"/>
              <w:adjustRightInd/>
              <w:spacing w:line="360" w:lineRule="exact"/>
              <w:jc w:val="center"/>
              <w:textAlignment w:val="auto"/>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rPr>
              <w:t>0-</w:t>
            </w:r>
            <w:r>
              <w:rPr>
                <w:rFonts w:hint="eastAsia" w:asciiTheme="minorEastAsia" w:hAnsiTheme="minorEastAsia" w:eastAsiaTheme="minorEastAsia" w:cstheme="minorEastAsia"/>
                <w:szCs w:val="21"/>
                <w:lang w:val="en-US" w:eastAsia="zh-CN"/>
              </w:rPr>
              <w:t>5</w:t>
            </w:r>
          </w:p>
        </w:tc>
        <w:tc>
          <w:tcPr>
            <w:tcW w:w="6751" w:type="dxa"/>
            <w:vAlign w:val="center"/>
          </w:tcPr>
          <w:p>
            <w:pPr>
              <w:pageBreakBefore w:val="0"/>
              <w:kinsoku/>
              <w:wordWrap/>
              <w:overflowPunct/>
              <w:topLinePunct w:val="0"/>
              <w:autoSpaceDE/>
              <w:autoSpaceDN/>
              <w:bidi w:val="0"/>
              <w:adjustRightInd/>
              <w:spacing w:line="3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eastAsia="zh-CN"/>
              </w:rPr>
              <w:t>保修</w:t>
            </w:r>
            <w:r>
              <w:rPr>
                <w:rFonts w:hint="eastAsia" w:asciiTheme="minorEastAsia" w:hAnsiTheme="minorEastAsia" w:eastAsiaTheme="minorEastAsia" w:cstheme="minorEastAsia"/>
                <w:szCs w:val="21"/>
              </w:rPr>
              <w:t>有承诺、</w:t>
            </w:r>
            <w:r>
              <w:rPr>
                <w:rFonts w:hint="eastAsia" w:asciiTheme="minorEastAsia" w:hAnsiTheme="minorEastAsia" w:eastAsiaTheme="minorEastAsia" w:cstheme="minorEastAsia"/>
                <w:szCs w:val="21"/>
                <w:lang w:val="en-US" w:eastAsia="zh-CN"/>
              </w:rPr>
              <w:t>有</w:t>
            </w:r>
            <w:r>
              <w:rPr>
                <w:rFonts w:hint="eastAsia" w:asciiTheme="minorEastAsia" w:hAnsiTheme="minorEastAsia" w:eastAsiaTheme="minorEastAsia" w:cstheme="minorEastAsia"/>
                <w:szCs w:val="21"/>
              </w:rPr>
              <w:t>违约经济处罚且措施可行得</w:t>
            </w: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分，否则酌情扣分</w:t>
            </w:r>
          </w:p>
        </w:tc>
      </w:tr>
    </w:tbl>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lang w:val="zh-CN"/>
        </w:rPr>
        <w:t>注：1、各评委应认真了解本磋商文件和工程有关情况后，做出须自己负责的评审。</w:t>
      </w:r>
    </w:p>
    <w:p>
      <w:pPr>
        <w:pageBreakBefore w:val="0"/>
        <w:widowControl w:val="0"/>
        <w:kinsoku/>
        <w:wordWrap/>
        <w:overflowPunct/>
        <w:topLinePunct w:val="0"/>
        <w:autoSpaceDE/>
        <w:autoSpaceDN/>
        <w:bidi w:val="0"/>
        <w:snapToGrid/>
        <w:spacing w:line="460" w:lineRule="exact"/>
        <w:jc w:val="left"/>
        <w:textAlignment w:val="auto"/>
        <w:rPr>
          <w:rFonts w:asciiTheme="minorEastAsia" w:hAnsiTheme="minorEastAsia" w:eastAsiaTheme="minorEastAsia" w:cstheme="minorEastAsia"/>
          <w:color w:val="000000"/>
          <w:szCs w:val="21"/>
          <w:lang w:val="zh-CN"/>
        </w:rPr>
      </w:pPr>
      <w:r>
        <w:rPr>
          <w:rFonts w:hint="eastAsia" w:asciiTheme="minorEastAsia" w:hAnsiTheme="minorEastAsia" w:eastAsiaTheme="minorEastAsia" w:cstheme="minorEastAsia"/>
          <w:color w:val="000000"/>
          <w:szCs w:val="21"/>
        </w:rPr>
        <w:t>2、</w:t>
      </w:r>
      <w:r>
        <w:rPr>
          <w:rFonts w:hint="eastAsia" w:asciiTheme="minorEastAsia" w:hAnsiTheme="minorEastAsia" w:eastAsiaTheme="minorEastAsia" w:cstheme="minorEastAsia"/>
          <w:color w:val="000000"/>
          <w:szCs w:val="21"/>
          <w:lang w:val="zh-CN"/>
        </w:rPr>
        <w:t>技术标在进行汇总时，分项项目评分进行算术平均，计算结果值在小数点后保留两位小数，后余位数四舍五入计。项目评审过程中，不得去掉最后报价中的最高报价和最低报价。</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color w:val="000000"/>
          <w:szCs w:val="21"/>
        </w:rPr>
        <w:t>3、</w:t>
      </w:r>
      <w:r>
        <w:rPr>
          <w:rFonts w:hint="eastAsia" w:asciiTheme="minorEastAsia" w:hAnsiTheme="minorEastAsia" w:eastAsiaTheme="minorEastAsia" w:cstheme="minorEastAsia"/>
          <w:color w:val="000000"/>
          <w:szCs w:val="21"/>
          <w:lang w:val="zh-CN"/>
        </w:rPr>
        <w:t>商务标详细评审：供应商商务部分得分等于评委评分的算术平均值。</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szCs w:val="21"/>
          <w:lang w:val="zh-CN"/>
        </w:rPr>
        <w:t>、供应商请认真阅读和理解上述内容，避免投标文件中有违背上述审查标准之一的情况发生而造成废标；评标中各评委若发生意见分歧，通过书面表决形式，以少数服从多数为原则决定。</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zh-CN"/>
        </w:rPr>
        <w:t>5、磋商确定最终采购需求和提交最后报价的供应商后，价格得分的评分方法：采用低价优先法计算，即满足磋商文件要求且最后磋商报价最低的供应商的最后磋商报价为磋商基准价，其价格得分为满分。其他供应商的最后磋商报价得分统一按照下列公式计算：磋商报价得分=（磋商基准价/最后磋商报价）×</w:t>
      </w: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lang w:val="zh-CN"/>
        </w:rPr>
        <w:t xml:space="preserve">0%×100，如此类推，算出所有投标供应商的价格得分。          </w:t>
      </w:r>
      <w:r>
        <w:rPr>
          <w:rFonts w:hint="eastAsia" w:asciiTheme="minorEastAsia" w:hAnsiTheme="minorEastAsia" w:eastAsiaTheme="minorEastAsia" w:cstheme="minorEastAsia"/>
          <w:szCs w:val="21"/>
        </w:rPr>
        <w:t xml:space="preserve">                     </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评分分值计算结果值在小数点后均保留两位小数，后余位数四舍五入计。</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在报价评审中，若磋商小组发现供应商以明显低于市场或成本的价格投标，而供应商又未在投标文件中提供有力证据证明其报价合理的，磋商小组可以认定该投标以低于成本的价格投标。被认定为低于成本价格的投标将按废标处理。</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6、磋商小组应当根据综合评分情况，按照评审得分由高到低顺序推荐3名成交候选供应商。评审得分相同的，按照最终报价由低到高的顺序推荐。评审得分且最终报价相同的，按照技术指标优劣顺序推荐。</w:t>
      </w:r>
    </w:p>
    <w:p>
      <w:pPr>
        <w:pageBreakBefore w:val="0"/>
        <w:widowControl w:val="0"/>
        <w:tabs>
          <w:tab w:val="left" w:pos="741"/>
          <w:tab w:val="left" w:pos="1642"/>
          <w:tab w:val="left" w:pos="3363"/>
          <w:tab w:val="left" w:pos="3887"/>
          <w:tab w:val="left" w:pos="9649"/>
        </w:tabs>
        <w:kinsoku/>
        <w:wordWrap/>
        <w:overflowPunct/>
        <w:topLinePunct w:val="0"/>
        <w:autoSpaceDE/>
        <w:autoSpaceDN/>
        <w:bidi w:val="0"/>
        <w:snapToGrid/>
        <w:spacing w:line="460" w:lineRule="exact"/>
        <w:textAlignment w:val="auto"/>
        <w:rPr>
          <w:rFonts w:hint="eastAsia" w:asciiTheme="minorEastAsia" w:hAnsiTheme="minorEastAsia" w:eastAsiaTheme="minorEastAsia" w:cstheme="minorEastAsia"/>
          <w:szCs w:val="21"/>
          <w:lang w:val="zh-CN"/>
        </w:rPr>
      </w:pPr>
      <w:r>
        <w:rPr>
          <w:rFonts w:hint="eastAsia" w:asciiTheme="minorEastAsia" w:hAnsiTheme="minorEastAsia" w:eastAsiaTheme="minorEastAsia" w:cstheme="minorEastAsia"/>
          <w:szCs w:val="21"/>
          <w:lang w:val="zh-CN"/>
        </w:rPr>
        <w:t>7、采购人根据磋商小组推荐的成交候选供应商名单，根据相关法律法规的规定确定最终成交商。如果排名第一的成交候选供应商的实际情况与其磋商资料不相符，将取消其成交资格，由排名第二的成交候选供应商递补，以此类推。</w:t>
      </w:r>
    </w:p>
    <w:p>
      <w:pPr>
        <w:pStyle w:val="8"/>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F  授予合同</w:t>
      </w:r>
      <w:bookmarkEnd w:id="128"/>
      <w:bookmarkEnd w:id="129"/>
      <w:bookmarkEnd w:id="130"/>
      <w:bookmarkEnd w:id="131"/>
      <w:bookmarkEnd w:id="132"/>
      <w:bookmarkEnd w:id="133"/>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28．合同授予标准</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28.1</w:t>
      </w:r>
      <w:r>
        <w:rPr>
          <w:rFonts w:hint="eastAsia" w:asciiTheme="minorEastAsia" w:hAnsiTheme="minorEastAsia" w:eastAsiaTheme="minorEastAsia" w:cstheme="minorEastAsia"/>
          <w:bCs/>
          <w:sz w:val="24"/>
        </w:rPr>
        <w:t>合同将授予被确定为实质上响应磋商文件要求，符合招标需求、质量和服务相等且综合评分最高的供应商</w:t>
      </w:r>
      <w:r>
        <w:rPr>
          <w:rFonts w:hint="eastAsia" w:asciiTheme="minorEastAsia" w:hAnsiTheme="minorEastAsia" w:eastAsiaTheme="minorEastAsia" w:cstheme="minorEastAsia"/>
          <w:sz w:val="24"/>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28.2 最低报价不一定是被授予合同的保证。</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28.3排名第一的成交候选人放弃中标、因不可抗力不能履行合同、不按照磋商文件要求提交履约保证金，或者被查实存在影响中标结果的违法行为等情形，不符合成交条件的，采购人可以按照磋商小组提出的成交候选人名单排序依次确定其他中标候选人为成交供应商，也可以重新招标。</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29．接受和拒绝任何或所有磋商的权力</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29.1为维护国家利益，买方在授予合同之前仍有选择或拒绝任何全部磋商的权力，并对所采取的行为不作任何解释。</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30．成交通知书</w:t>
      </w:r>
    </w:p>
    <w:p>
      <w:pPr>
        <w:pageBreakBefore w:val="0"/>
        <w:widowControl w:val="0"/>
        <w:kinsoku/>
        <w:wordWrap/>
        <w:overflowPunct/>
        <w:topLinePunct w:val="0"/>
        <w:autoSpaceDE/>
        <w:autoSpaceDN/>
        <w:bidi w:val="0"/>
        <w:snapToGrid/>
        <w:spacing w:line="460" w:lineRule="exact"/>
        <w:ind w:left="552" w:hanging="552" w:hangingChars="23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30.1 成交公告期满后，招标代理机构将以书面形式发出《成交通知书》，但发出时间不超过磋商有效期，《成交通知书》一经发出即发生法律效力。</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30.2 《成交通知书》将作为签订合同的依据。</w:t>
      </w:r>
    </w:p>
    <w:p>
      <w:pPr>
        <w:pageBreakBefore w:val="0"/>
        <w:widowControl w:val="0"/>
        <w:kinsoku/>
        <w:wordWrap/>
        <w:overflowPunct/>
        <w:topLinePunct w:val="0"/>
        <w:autoSpaceDE/>
        <w:autoSpaceDN/>
        <w:bidi w:val="0"/>
        <w:snapToGrid/>
        <w:spacing w:line="460" w:lineRule="exact"/>
        <w:ind w:left="600" w:hanging="600" w:hangingChars="25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30.3 在成交通知书发出后五个工作日内退还未成交供应商的保证金，在采购合同签订后五个工作日内退还成交供应商的保证金。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31．签订合同</w:t>
      </w:r>
    </w:p>
    <w:p>
      <w:pPr>
        <w:pageBreakBefore w:val="0"/>
        <w:widowControl w:val="0"/>
        <w:kinsoku/>
        <w:wordWrap/>
        <w:overflowPunct/>
        <w:topLinePunct w:val="0"/>
        <w:autoSpaceDE/>
        <w:autoSpaceDN/>
        <w:bidi w:val="0"/>
        <w:snapToGrid/>
        <w:spacing w:line="460" w:lineRule="exact"/>
        <w:ind w:left="540" w:hanging="540" w:hangingChars="225"/>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31.1 供应商收到《成交通知书》后，按《成交通知书》中规定的时间地点与买方签订合同。买方和成交方不得再订立背离合同实质性内容的其他协议。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31.2如成交方拒签合同，则按违约处理。招标代理机构没收其磋商保证金。</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31.3磋商文件、成交方的磋商响应文件及其澄清文件等，均为签订经济合同的依据。</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32．履约保证金（如适用）</w:t>
      </w:r>
    </w:p>
    <w:p>
      <w:pPr>
        <w:pageBreakBefore w:val="0"/>
        <w:widowControl w:val="0"/>
        <w:kinsoku/>
        <w:wordWrap/>
        <w:overflowPunct/>
        <w:topLinePunct w:val="0"/>
        <w:autoSpaceDE/>
        <w:autoSpaceDN/>
        <w:bidi w:val="0"/>
        <w:snapToGrid/>
        <w:spacing w:line="460" w:lineRule="exact"/>
        <w:ind w:left="720" w:hanging="720"/>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32.1成交方应按合同规定的方式、时间和金额向买方提交履约保证金。</w:t>
      </w:r>
    </w:p>
    <w:p>
      <w:pPr>
        <w:pStyle w:val="2"/>
        <w:pageBreakBefore w:val="0"/>
        <w:widowControl w:val="0"/>
        <w:kinsoku/>
        <w:wordWrap/>
        <w:overflowPunct/>
        <w:topLinePunct w:val="0"/>
        <w:autoSpaceDE/>
        <w:autoSpaceDN/>
        <w:bidi w:val="0"/>
        <w:snapToGrid/>
        <w:spacing w:line="460" w:lineRule="exact"/>
        <w:ind w:firstLine="480"/>
        <w:textAlignment w:val="auto"/>
        <w:rPr>
          <w:rFonts w:eastAsiaTheme="minorEastAsia"/>
        </w:rPr>
      </w:pPr>
      <w:r>
        <w:rPr>
          <w:rFonts w:hint="eastAsia" w:asciiTheme="minorEastAsia" w:hAnsiTheme="minorEastAsia" w:eastAsiaTheme="minorEastAsia" w:cstheme="minorEastAsia"/>
        </w:rPr>
        <w:t>履约保证金为合同价款的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33．招标代理服务费</w:t>
      </w:r>
    </w:p>
    <w:p>
      <w:pPr>
        <w:pStyle w:val="11"/>
        <w:pageBreakBefore w:val="0"/>
        <w:widowControl w:val="0"/>
        <w:kinsoku/>
        <w:wordWrap/>
        <w:overflowPunct/>
        <w:topLinePunct w:val="0"/>
        <w:autoSpaceDE/>
        <w:autoSpaceDN/>
        <w:bidi w:val="0"/>
        <w:snapToGrid/>
        <w:spacing w:line="460" w:lineRule="exact"/>
        <w:textAlignment w:val="auto"/>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招标代理代理服务费由成交人向招标代理机构支付。</w:t>
      </w:r>
    </w:p>
    <w:p>
      <w:pPr>
        <w:pStyle w:val="8"/>
        <w:pageBreakBefore w:val="0"/>
        <w:widowControl w:val="0"/>
        <w:kinsoku/>
        <w:wordWrap/>
        <w:overflowPunct/>
        <w:topLinePunct w:val="0"/>
        <w:autoSpaceDE/>
        <w:autoSpaceDN/>
        <w:bidi w:val="0"/>
        <w:snapToGrid/>
        <w:spacing w:before="100" w:beforeAutospacing="1" w:after="100" w:afterAutospacing="1" w:line="460" w:lineRule="exact"/>
        <w:jc w:val="center"/>
        <w:textAlignment w:val="auto"/>
        <w:rPr>
          <w:rFonts w:asciiTheme="minorEastAsia" w:hAnsiTheme="minorEastAsia" w:eastAsiaTheme="minorEastAsia" w:cstheme="minorEastAsia"/>
          <w:bCs/>
          <w:sz w:val="24"/>
        </w:rPr>
      </w:pPr>
      <w:bookmarkStart w:id="135" w:name="_Toc471489759"/>
      <w:bookmarkStart w:id="136" w:name="_Toc527642958"/>
      <w:r>
        <w:rPr>
          <w:rFonts w:hint="eastAsia" w:asciiTheme="minorEastAsia" w:hAnsiTheme="minorEastAsia" w:eastAsiaTheme="minorEastAsia" w:cstheme="minorEastAsia"/>
          <w:sz w:val="28"/>
          <w:szCs w:val="28"/>
        </w:rPr>
        <w:t>G  磋商失败条件</w:t>
      </w:r>
      <w:bookmarkEnd w:id="135"/>
      <w:bookmarkEnd w:id="136"/>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34.出现影响招标公正的违法、违规行为的；</w:t>
      </w:r>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35.因重大变故，采购任务取消的；</w:t>
      </w:r>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36.磋商响应文件截止时间后，实际参与的供应商不足法定家数的；</w:t>
      </w:r>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37.最终报价均超过采购预算的；</w:t>
      </w:r>
    </w:p>
    <w:p>
      <w:pPr>
        <w:pStyle w:val="11"/>
        <w:pageBreakBefore w:val="0"/>
        <w:widowControl w:val="0"/>
        <w:tabs>
          <w:tab w:val="left" w:pos="720"/>
          <w:tab w:val="left" w:pos="900"/>
          <w:tab w:val="left" w:pos="1260"/>
        </w:tabs>
        <w:kinsoku/>
        <w:wordWrap/>
        <w:overflowPunct/>
        <w:topLinePunct w:val="0"/>
        <w:autoSpaceDE/>
        <w:autoSpaceDN/>
        <w:bidi w:val="0"/>
        <w:adjustRightInd w:val="0"/>
        <w:snapToGrid/>
        <w:spacing w:line="460" w:lineRule="exact"/>
        <w:ind w:left="720" w:hanging="720" w:hangingChars="300"/>
        <w:textAlignment w:val="auto"/>
        <w:rPr>
          <w:rFonts w:asciiTheme="minorEastAsia" w:hAnsiTheme="minorEastAsia" w:eastAsiaTheme="minorEastAsia" w:cstheme="minorEastAsia"/>
          <w:bCs/>
          <w:sz w:val="24"/>
        </w:rPr>
      </w:pPr>
      <w:r>
        <w:rPr>
          <w:rFonts w:hint="eastAsia" w:asciiTheme="minorEastAsia" w:hAnsiTheme="minorEastAsia" w:eastAsiaTheme="minorEastAsia" w:cstheme="minorEastAsia"/>
          <w:bCs/>
          <w:sz w:val="24"/>
        </w:rPr>
        <w:t>38.对磋商文件作出实质性响应的供应商不足法定家数的；</w:t>
      </w:r>
    </w:p>
    <w:p>
      <w:pPr>
        <w:jc w:val="both"/>
        <w:rPr>
          <w:rFonts w:hint="eastAsia"/>
        </w:rPr>
      </w:pPr>
      <w:bookmarkStart w:id="137" w:name="_Toc298240411"/>
      <w:bookmarkStart w:id="138" w:name="_Toc349573127"/>
      <w:bookmarkStart w:id="139" w:name="_Toc527642959"/>
      <w:bookmarkStart w:id="140" w:name="_Toc349637926"/>
    </w:p>
    <w:p>
      <w:pPr>
        <w:pStyle w:val="2"/>
        <w:rPr>
          <w:rFonts w:hint="eastAsia"/>
        </w:rPr>
      </w:pPr>
    </w:p>
    <w:p>
      <w:pPr>
        <w:rPr>
          <w:rFonts w:hint="eastAsia"/>
        </w:rPr>
      </w:pPr>
    </w:p>
    <w:p>
      <w:pPr>
        <w:pStyle w:val="7"/>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第三部分  技术要求</w:t>
      </w:r>
      <w:bookmarkEnd w:id="134"/>
      <w:bookmarkEnd w:id="137"/>
      <w:bookmarkEnd w:id="138"/>
      <w:bookmarkEnd w:id="139"/>
      <w:bookmarkEnd w:id="140"/>
    </w:p>
    <w:p>
      <w:pPr>
        <w:spacing w:line="360" w:lineRule="auto"/>
        <w:ind w:left="1680" w:hanging="1680" w:hangingChars="700"/>
        <w:jc w:val="left"/>
        <w:rPr>
          <w:rFonts w:hint="eastAsia" w:asciiTheme="minorEastAsia" w:hAnsiTheme="minorEastAsia" w:eastAsiaTheme="minorEastAsia" w:cstheme="minorEastAsia"/>
          <w:bCs/>
          <w:kern w:val="0"/>
          <w:sz w:val="24"/>
          <w:szCs w:val="22"/>
        </w:rPr>
      </w:pPr>
      <w:bookmarkStart w:id="141" w:name="_Toc267301295"/>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一、项目名称：见供应商须知附表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二、招标编号：见供应商须知附表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三、最高投标限价：见供应商须知附表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四、质量要求：见供应商须知附表</w:t>
      </w:r>
    </w:p>
    <w:p>
      <w:pPr>
        <w:spacing w:line="360" w:lineRule="auto"/>
        <w:ind w:left="1680" w:hanging="1680" w:hangingChars="700"/>
        <w:jc w:val="left"/>
        <w:rPr>
          <w:rFonts w:asciiTheme="minorEastAsia" w:hAnsiTheme="minorEastAsia" w:eastAsiaTheme="minorEastAsia" w:cstheme="minorEastAsia"/>
          <w:bCs/>
          <w:kern w:val="0"/>
          <w:sz w:val="24"/>
          <w:szCs w:val="22"/>
        </w:rPr>
      </w:pPr>
      <w:r>
        <w:rPr>
          <w:rFonts w:hint="eastAsia" w:asciiTheme="minorEastAsia" w:hAnsiTheme="minorEastAsia" w:eastAsiaTheme="minorEastAsia" w:cstheme="minorEastAsia"/>
          <w:bCs/>
          <w:kern w:val="0"/>
          <w:sz w:val="24"/>
          <w:szCs w:val="22"/>
        </w:rPr>
        <w:t>五、工期：见供应商须知附表</w:t>
      </w:r>
    </w:p>
    <w:p>
      <w:pPr>
        <w:spacing w:line="360" w:lineRule="auto"/>
        <w:ind w:firstLine="480" w:firstLineChars="200"/>
        <w:rPr>
          <w:rFonts w:asciiTheme="minorEastAsia" w:hAnsiTheme="minorEastAsia" w:eastAsiaTheme="minorEastAsia" w:cstheme="minorEastAsia"/>
          <w:snapToGrid w:val="0"/>
          <w:color w:val="FF0000"/>
          <w:sz w:val="24"/>
        </w:rPr>
      </w:pPr>
      <w:r>
        <w:rPr>
          <w:rFonts w:hint="eastAsia" w:asciiTheme="minorEastAsia" w:hAnsiTheme="minorEastAsia" w:eastAsiaTheme="minorEastAsia" w:cstheme="minorEastAsia"/>
          <w:snapToGrid w:val="0"/>
          <w:sz w:val="24"/>
          <w:lang w:val="zh-CN"/>
        </w:rPr>
        <w:t>招标范围：</w:t>
      </w:r>
      <w:r>
        <w:rPr>
          <w:rFonts w:hint="eastAsia" w:asciiTheme="minorEastAsia" w:hAnsiTheme="minorEastAsia" w:eastAsiaTheme="minorEastAsia" w:cstheme="minorEastAsia"/>
          <w:snapToGrid w:val="0"/>
          <w:color w:val="000000" w:themeColor="text1"/>
          <w:sz w:val="24"/>
          <w:lang w:val="zh-CN"/>
          <w14:textFill>
            <w14:solidFill>
              <w14:schemeClr w14:val="tx1"/>
            </w14:solidFill>
          </w14:textFill>
        </w:rPr>
        <w:t>本工程范围内的磋商文件及工程量清单，磋商文件补充范围内的全部施工内容（包括招标答疑等内容）。</w:t>
      </w:r>
    </w:p>
    <w:p>
      <w:pPr>
        <w:numPr>
          <w:ilvl w:val="0"/>
          <w:numId w:val="6"/>
        </w:numPr>
        <w:spacing w:line="360" w:lineRule="auto"/>
        <w:rPr>
          <w:rFonts w:hint="eastAsia" w:asciiTheme="minorEastAsia" w:hAnsiTheme="minorEastAsia" w:eastAsiaTheme="minorEastAsia" w:cstheme="minorEastAsia"/>
          <w:snapToGrid w:val="0"/>
          <w:sz w:val="24"/>
          <w:szCs w:val="22"/>
        </w:rPr>
      </w:pPr>
      <w:r>
        <w:rPr>
          <w:rFonts w:hint="eastAsia" w:asciiTheme="minorEastAsia" w:hAnsiTheme="minorEastAsia" w:eastAsiaTheme="minorEastAsia" w:cstheme="minorEastAsia"/>
          <w:snapToGrid w:val="0"/>
          <w:sz w:val="24"/>
          <w:szCs w:val="22"/>
        </w:rPr>
        <w:t>技术要求内容：(详见工程量清单)</w:t>
      </w:r>
      <w:bookmarkStart w:id="142" w:name="_Toc349637935"/>
      <w:bookmarkStart w:id="143" w:name="_Toc349573136"/>
    </w:p>
    <w:p>
      <w:pPr>
        <w:numPr>
          <w:ilvl w:val="0"/>
          <w:numId w:val="7"/>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本工程完成必须符合国家和地方现行相关质量评定标准和施工技术规范、施工图设计要求。</w:t>
      </w:r>
    </w:p>
    <w:p>
      <w:pPr>
        <w:numPr>
          <w:ilvl w:val="0"/>
          <w:numId w:val="0"/>
        </w:num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2、本工程的材料检验和质量、工艺试验按国家、地方现行相关规定执行。</w:t>
      </w:r>
    </w:p>
    <w:p>
      <w:pPr>
        <w:numPr>
          <w:ilvl w:val="0"/>
          <w:numId w:val="0"/>
        </w:numPr>
        <w:spacing w:line="360" w:lineRule="auto"/>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pPr>
      <w:r>
        <w:rPr>
          <w:rFonts w:hint="eastAsia" w:asciiTheme="minorEastAsia" w:hAnsiTheme="minorEastAsia" w:eastAsiaTheme="minorEastAsia" w:cstheme="minorEastAsia"/>
          <w:b/>
          <w:bCs/>
          <w:snapToGrid w:val="0"/>
          <w:color w:val="000000" w:themeColor="text1"/>
          <w:sz w:val="24"/>
          <w:szCs w:val="22"/>
          <w14:textFill>
            <w14:solidFill>
              <w14:schemeClr w14:val="tx1"/>
            </w14:solidFill>
          </w14:textFill>
        </w:rPr>
        <w:t>备注：若招标文件中附表表格格式与工程量清单中表格格式不一致的，以工程量清单表格格式为主。</w:t>
      </w:r>
      <w:bookmarkEnd w:id="141"/>
      <w:bookmarkEnd w:id="142"/>
      <w:bookmarkEnd w:id="143"/>
      <w:bookmarkStart w:id="144" w:name="_Toc527642960"/>
      <w:bookmarkStart w:id="145" w:name="_Toc507690271"/>
    </w:p>
    <w:p>
      <w:pPr>
        <w:rPr>
          <w:rFonts w:hint="eastAsia" w:asciiTheme="minorEastAsia" w:hAnsiTheme="minorEastAsia" w:eastAsiaTheme="minorEastAsia" w:cstheme="minorEastAsia"/>
          <w:sz w:val="32"/>
          <w:szCs w:val="32"/>
        </w:rPr>
      </w:pPr>
    </w:p>
    <w:p>
      <w:pPr>
        <w:pStyle w:val="2"/>
        <w:rPr>
          <w:rFonts w:hint="eastAsia"/>
        </w:rPr>
      </w:pPr>
    </w:p>
    <w:p>
      <w:pPr>
        <w:pStyle w:val="7"/>
        <w:numPr>
          <w:ilvl w:val="0"/>
          <w:numId w:val="0"/>
        </w:numPr>
        <w:spacing w:line="360" w:lineRule="auto"/>
        <w:jc w:val="center"/>
        <w:rPr>
          <w:rFonts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 xml:space="preserve">第四部分  </w:t>
      </w:r>
      <w:bookmarkEnd w:id="144"/>
      <w:bookmarkEnd w:id="145"/>
      <w:r>
        <w:rPr>
          <w:rFonts w:hint="eastAsia" w:asciiTheme="minorEastAsia" w:hAnsiTheme="minorEastAsia" w:eastAsiaTheme="minorEastAsia" w:cstheme="minorEastAsia"/>
          <w:sz w:val="32"/>
          <w:szCs w:val="32"/>
        </w:rPr>
        <w:t xml:space="preserve"> </w:t>
      </w:r>
      <w:r>
        <w:rPr>
          <w:rFonts w:hint="eastAsia" w:asciiTheme="minorEastAsia" w:hAnsiTheme="minorEastAsia" w:eastAsiaTheme="minorEastAsia" w:cstheme="minorEastAsia"/>
          <w:bCs/>
          <w:sz w:val="32"/>
          <w:szCs w:val="32"/>
        </w:rPr>
        <w:t>合同条款及格式</w:t>
      </w:r>
    </w:p>
    <w:p>
      <w:pPr>
        <w:pStyle w:val="9"/>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合同通用条款</w:t>
      </w:r>
    </w:p>
    <w:p>
      <w:pPr>
        <w:pStyle w:val="9"/>
        <w:spacing w:beforeLines="50" w:afterLines="50" w:line="360" w:lineRule="auto"/>
        <w:ind w:left="0" w:leftChars="0" w:firstLine="240" w:firstLineChars="100"/>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本工程通用条款采用建设工程施工合同示范文本（GF-2017-0201）中的通用条款。</w:t>
      </w:r>
    </w:p>
    <w:p>
      <w:pPr>
        <w:pStyle w:val="9"/>
        <w:spacing w:beforeLines="50" w:afterLines="50" w:line="360" w:lineRule="auto"/>
        <w:ind w:firstLine="482"/>
        <w:jc w:val="center"/>
        <w:rPr>
          <w:rFonts w:asciiTheme="minorEastAsia" w:hAnsiTheme="minorEastAsia" w:eastAsiaTheme="minorEastAsia" w:cstheme="minorEastAsia"/>
          <w:b/>
          <w:sz w:val="24"/>
        </w:rPr>
      </w:pPr>
      <w:r>
        <w:rPr>
          <w:rFonts w:hint="eastAsia" w:asciiTheme="minorEastAsia" w:hAnsiTheme="minorEastAsia" w:eastAsiaTheme="minorEastAsia" w:cstheme="minorEastAsia"/>
          <w:b/>
          <w:sz w:val="24"/>
        </w:rPr>
        <w:t>合同专用条款（具体以签订的合同为准）</w:t>
      </w:r>
    </w:p>
    <w:p>
      <w:pPr>
        <w:pStyle w:val="28"/>
        <w:spacing w:line="360" w:lineRule="auto"/>
        <w:ind w:right="0"/>
        <w:rPr>
          <w:rFonts w:asciiTheme="minorEastAsia" w:hAnsiTheme="minorEastAsia" w:eastAsiaTheme="minorEastAsia" w:cstheme="minorEastAsia"/>
          <w:b/>
          <w:bCs/>
        </w:rPr>
      </w:pPr>
      <w:bookmarkStart w:id="146" w:name="_Toc351203633"/>
      <w:r>
        <w:rPr>
          <w:rFonts w:hint="eastAsia" w:asciiTheme="minorEastAsia" w:hAnsiTheme="minorEastAsia" w:eastAsiaTheme="minorEastAsia" w:cstheme="minorEastAsia"/>
          <w:b/>
          <w:bCs/>
        </w:rPr>
        <w:t>1</w:t>
      </w:r>
      <w:bookmarkStart w:id="147" w:name="_Toc292559361"/>
      <w:bookmarkStart w:id="148" w:name="_Toc296347155"/>
      <w:bookmarkStart w:id="149" w:name="_Toc296503156"/>
      <w:bookmarkStart w:id="150" w:name="_Toc296890984"/>
      <w:bookmarkStart w:id="151" w:name="_Toc292559866"/>
      <w:bookmarkStart w:id="152" w:name="_Toc296891196"/>
      <w:bookmarkStart w:id="153" w:name="_Toc296346657"/>
      <w:bookmarkStart w:id="154" w:name="_Toc297048342"/>
      <w:bookmarkStart w:id="155" w:name="_Toc297120456"/>
      <w:bookmarkStart w:id="156" w:name="_Toc296944495"/>
      <w:r>
        <w:rPr>
          <w:rFonts w:hint="eastAsia" w:asciiTheme="minorEastAsia" w:hAnsiTheme="minorEastAsia" w:eastAsiaTheme="minorEastAsia" w:cstheme="minorEastAsia"/>
          <w:b/>
          <w:bCs/>
        </w:rPr>
        <w:t>. 一般约定</w:t>
      </w:r>
      <w:bookmarkEnd w:id="146"/>
    </w:p>
    <w:bookmarkEnd w:id="147"/>
    <w:bookmarkEnd w:id="148"/>
    <w:bookmarkEnd w:id="149"/>
    <w:bookmarkEnd w:id="150"/>
    <w:bookmarkEnd w:id="151"/>
    <w:bookmarkEnd w:id="152"/>
    <w:bookmarkEnd w:id="153"/>
    <w:bookmarkEnd w:id="154"/>
    <w:bookmarkEnd w:id="155"/>
    <w:bookmarkEnd w:id="156"/>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1.1 词语定义</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1.1.1</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合同</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其他合同文件包括：</w:t>
      </w:r>
      <w:r>
        <w:rPr>
          <w:rFonts w:hint="eastAsia" w:asciiTheme="minorEastAsia" w:hAnsiTheme="minorEastAsia" w:eastAsiaTheme="minorEastAsia" w:cstheme="minorEastAsia"/>
          <w:u w:val="single"/>
        </w:rPr>
        <w:t xml:space="preserve"> 其它有关本工程的洽商、变更等书面协议。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合同当事人及其他相关方</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1.1.4</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监理人：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1.1.5 设计人：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名    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资质类别和等级：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w:t>
      </w:r>
      <w:r>
        <w:rPr>
          <w:rFonts w:hint="eastAsia" w:asciiTheme="minorEastAsia" w:hAnsiTheme="minorEastAsia" w:eastAsiaTheme="minorEastAsia" w:cstheme="minorEastAsia"/>
          <w:lang w:val="en-US" w:eastAsia="zh-CN"/>
        </w:rPr>
        <w:t xml:space="preserve">6 </w:t>
      </w:r>
      <w:r>
        <w:rPr>
          <w:rFonts w:hint="eastAsia" w:asciiTheme="minorEastAsia" w:hAnsiTheme="minorEastAsia" w:eastAsiaTheme="minorEastAsia" w:cstheme="minorEastAsia"/>
        </w:rPr>
        <w:t>工程和设备</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1.1.7 作为施工现场组成部分的其他场所包括：</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 xml:space="preserve"> 永久占地包括：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1.1.</w:t>
      </w:r>
      <w:r>
        <w:rPr>
          <w:rFonts w:hint="eastAsia" w:asciiTheme="minorEastAsia" w:hAnsiTheme="minorEastAsia" w:eastAsiaTheme="minorEastAsia" w:cstheme="minorEastAsia"/>
          <w:lang w:val="en-US" w:eastAsia="zh-CN"/>
        </w:rPr>
        <w:t>9</w:t>
      </w:r>
      <w:r>
        <w:rPr>
          <w:rFonts w:hint="eastAsia" w:asciiTheme="minorEastAsia" w:hAnsiTheme="minorEastAsia" w:eastAsiaTheme="minorEastAsia" w:cstheme="minorEastAsia"/>
        </w:rPr>
        <w:t xml:space="preserve"> 临时占地包括：</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 xml:space="preserve">2 </w:t>
      </w:r>
      <w:r>
        <w:rPr>
          <w:rFonts w:hint="eastAsia" w:asciiTheme="minorEastAsia" w:hAnsiTheme="minorEastAsia" w:eastAsiaTheme="minorEastAsia" w:cstheme="minorEastAsia"/>
          <w:b/>
        </w:rPr>
        <w:t xml:space="preserve">法律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适用于合同的其他规范性文件：</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3</w:t>
      </w:r>
      <w:r>
        <w:rPr>
          <w:rFonts w:hint="eastAsia" w:asciiTheme="minorEastAsia" w:hAnsiTheme="minorEastAsia" w:eastAsiaTheme="minorEastAsia" w:cstheme="minorEastAsia"/>
          <w:b/>
        </w:rPr>
        <w:t xml:space="preserve"> 标准和规范</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适用于工程的标准规范包括：</w:t>
      </w:r>
      <w:r>
        <w:rPr>
          <w:rFonts w:hint="eastAsia" w:ascii="宋体" w:hAnsi="宋体"/>
          <w:u w:val="single"/>
        </w:rPr>
        <w:t>本工程项目的施工、材料及设备招标必须达到现行中华人民共和国及省、自治区、直辖市或行业的工程建设标准、规范的要求，如下述标准及规范有新出版者，以新出版者为准</w:t>
      </w:r>
      <w:r>
        <w:rPr>
          <w:rFonts w:ascii="宋体" w:hAnsi="宋体"/>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.2 发包人提供国外标准、规范的名称：</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发包人提供国外标准、规范的份数：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发包人提供国外标准、规范的名称：</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发包人对工程的技术标准和功能要求的特殊要求：</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4</w:t>
      </w:r>
      <w:r>
        <w:rPr>
          <w:rFonts w:hint="eastAsia" w:asciiTheme="minorEastAsia" w:hAnsiTheme="minorEastAsia" w:eastAsiaTheme="minorEastAsia" w:cstheme="minorEastAsia"/>
          <w:b/>
        </w:rPr>
        <w:t xml:space="preserve"> 合同文件的优先顺序</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合同文件组成及优先顺序为：</w:t>
      </w:r>
      <w:r>
        <w:rPr>
          <w:rFonts w:hint="eastAsia" w:asciiTheme="minorEastAsia" w:hAnsiTheme="minorEastAsia" w:eastAsiaTheme="minorEastAsia" w:cstheme="minorEastAsia"/>
          <w:u w:val="single"/>
        </w:rPr>
        <w:t>1、本合同协议书；2、中标通知书；3、商务标及其商务标附录；4、专用条款及其附件；5、通用合同条款；6、技术标准和要求；7、图纸 8、已标价的工程量清单；9、其他合同文件。</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5</w:t>
      </w:r>
      <w:r>
        <w:rPr>
          <w:rFonts w:hint="eastAsia" w:asciiTheme="minorEastAsia" w:hAnsiTheme="minorEastAsia" w:eastAsiaTheme="minorEastAsia" w:cstheme="minorEastAsia"/>
          <w:b/>
        </w:rPr>
        <w:t xml:space="preserve"> 图纸和承包人文件</w:t>
      </w:r>
      <w:r>
        <w:rPr>
          <w:rFonts w:hint="eastAsia" w:asciiTheme="minorEastAsia" w:hAnsiTheme="minorEastAsia" w:eastAsiaTheme="minorEastAsia" w:cstheme="minorEastAsia"/>
          <w:b/>
        </w:rPr>
        <w:tab/>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.1 图纸的提供</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发包人向承包人提供图纸的期限：</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发包人向承包人提供图纸的数量：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发包人向承包人提供图纸的内容：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承包人文件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需要由承包人提供的文件，包括：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承包人提供的文件的期限为：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承包人提供的文件的数量为：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承包人提供的文件的形式为：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发包人审批承包人文件的期限：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现场图纸准备</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关于现场图纸准备的约定：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6</w:t>
      </w:r>
      <w:r>
        <w:rPr>
          <w:rFonts w:hint="eastAsia" w:asciiTheme="minorEastAsia" w:hAnsiTheme="minorEastAsia" w:eastAsiaTheme="minorEastAsia" w:cstheme="minorEastAsia"/>
          <w:b/>
        </w:rPr>
        <w:t xml:space="preserve"> 联络</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.1发包人和承包人应当在</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天内将与合同有关的通知、批准、证明、证书、指示、指令、要求、请求、同意、意见、确定和决定等书面函件送达对方当事人。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6</w:t>
      </w:r>
      <w:r>
        <w:rPr>
          <w:rFonts w:hint="eastAsia" w:asciiTheme="minorEastAsia" w:hAnsiTheme="minorEastAsia" w:eastAsiaTheme="minorEastAsia" w:cstheme="minorEastAsia"/>
        </w:rPr>
        <w:t>.2 发包人接收文件的地点：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监理人接收文件的地点：</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监理人指定的接收人为：</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7</w:t>
      </w:r>
      <w:r>
        <w:rPr>
          <w:rFonts w:hint="eastAsia" w:asciiTheme="minorEastAsia" w:hAnsiTheme="minorEastAsia" w:eastAsiaTheme="minorEastAsia" w:cstheme="minorEastAsia"/>
          <w:b/>
        </w:rPr>
        <w:t>交通运输</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57" w:name="_Toc300934943"/>
      <w:bookmarkStart w:id="158" w:name="_Toc318581155"/>
      <w:bookmarkStart w:id="159" w:name="_Toc303539100"/>
      <w:bookmarkStart w:id="160" w:name="_Toc304295521"/>
      <w:bookmarkStart w:id="161" w:name="_Toc312677986"/>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.1 出入现场的权利</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关于出入现场的权利的约定：</w:t>
      </w:r>
      <w:r>
        <w:rPr>
          <w:rFonts w:hint="eastAsia" w:asciiTheme="minorEastAsia" w:hAnsiTheme="minorEastAsia" w:eastAsiaTheme="minorEastAsia" w:cstheme="minorEastAsia"/>
          <w:u w:val="single"/>
        </w:rPr>
        <w:t xml:space="preserve">                 /           。</w:t>
      </w:r>
    </w:p>
    <w:bookmarkEnd w:id="157"/>
    <w:bookmarkEnd w:id="158"/>
    <w:bookmarkEnd w:id="159"/>
    <w:bookmarkEnd w:id="160"/>
    <w:bookmarkEnd w:id="16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162" w:name="_Toc318581156"/>
      <w:bookmarkStart w:id="163" w:name="_Toc300934944"/>
      <w:bookmarkStart w:id="164" w:name="_Toc312677987"/>
      <w:bookmarkStart w:id="165" w:name="_Toc303539101"/>
      <w:bookmarkStart w:id="166" w:name="_Toc304295522"/>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场内交通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关于场外交通和场内交通的边界的约定：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关于发包人向承包人免费提供满足工程施工需要的场内道路和交通设施的约定：</w:t>
      </w:r>
      <w:bookmarkEnd w:id="162"/>
      <w:bookmarkEnd w:id="163"/>
      <w:bookmarkEnd w:id="164"/>
      <w:bookmarkEnd w:id="165"/>
      <w:bookmarkEnd w:id="166"/>
      <w:bookmarkStart w:id="167" w:name="_Toc318581157"/>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7</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超大件和超重件的运输</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运输超大件或超重件所需的道路和桥梁临时加固改造费用和其他有关费用由</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承担。</w:t>
      </w:r>
    </w:p>
    <w:bookmarkEnd w:id="16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8</w:t>
      </w:r>
      <w:r>
        <w:rPr>
          <w:rFonts w:hint="eastAsia" w:asciiTheme="minorEastAsia" w:hAnsiTheme="minorEastAsia" w:eastAsiaTheme="minorEastAsia" w:cstheme="minorEastAsia"/>
          <w:b/>
        </w:rPr>
        <w:t xml:space="preserve"> 知识产权</w:t>
      </w:r>
    </w:p>
    <w:p>
      <w:pPr>
        <w:pStyle w:val="28"/>
        <w:spacing w:before="0" w:after="0"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 xml:space="preserve">.1关于发包人提供给承包人的图纸、发包人为实施工程自行编制或委托编制的技术规范以及反映发包人关于合同要求或其他类似性质的文件的著作权的归属：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关于发包人提供的上述文件的使用限制的要求：</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.2 关于承包人为实施工程所编制文件的著作权的归属：</w:t>
      </w:r>
      <w:r>
        <w:rPr>
          <w:rFonts w:hint="eastAsia" w:asciiTheme="minorEastAsia" w:hAnsiTheme="minorEastAsia" w:eastAsiaTheme="minorEastAsia" w:cstheme="minorEastAsia"/>
          <w:sz w:val="24"/>
          <w:u w:val="single"/>
        </w:rPr>
        <w:t xml:space="preserve">                  。</w:t>
      </w:r>
    </w:p>
    <w:p>
      <w:pPr>
        <w:spacing w:line="360" w:lineRule="auto"/>
        <w:ind w:firstLine="360" w:firstLineChars="150"/>
        <w:jc w:val="lef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w:t>
      </w:r>
      <w:r>
        <w:rPr>
          <w:rFonts w:hint="eastAsia" w:asciiTheme="minorEastAsia" w:hAnsiTheme="minorEastAsia" w:eastAsiaTheme="minorEastAsia" w:cstheme="minorEastAsia"/>
          <w:sz w:val="24"/>
          <w:lang w:val="en-US" w:eastAsia="zh-CN"/>
        </w:rPr>
        <w:t>8</w:t>
      </w:r>
      <w:r>
        <w:rPr>
          <w:rFonts w:hint="eastAsia" w:asciiTheme="minorEastAsia" w:hAnsiTheme="minorEastAsia" w:eastAsiaTheme="minorEastAsia" w:cstheme="minorEastAsia"/>
          <w:sz w:val="24"/>
        </w:rPr>
        <w:t>.3关于承包人提供的上述文件的使用限制的要求：</w:t>
      </w:r>
      <w:r>
        <w:rPr>
          <w:rFonts w:hint="eastAsia" w:asciiTheme="minorEastAsia" w:hAnsiTheme="minorEastAsia" w:eastAsiaTheme="minorEastAsia" w:cstheme="minorEastAsia"/>
          <w:sz w:val="24"/>
          <w:u w:val="single"/>
        </w:rPr>
        <w:t xml:space="preserve">                       。</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.4 承包人在施工过程中所采用的专利、专有技术、技术秘密的使用费的承担方式：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9</w:t>
      </w:r>
      <w:r>
        <w:rPr>
          <w:rFonts w:hint="eastAsia" w:asciiTheme="minorEastAsia" w:hAnsiTheme="minorEastAsia" w:eastAsiaTheme="minorEastAsia" w:cstheme="minorEastAsia"/>
          <w:b/>
        </w:rPr>
        <w:t>工程量清单错误的修正</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出现工程量清单错误时，是否调整合同价格：</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允许调整合同价格的工程量偏差范围：</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bCs/>
        </w:rPr>
      </w:pPr>
      <w:bookmarkStart w:id="168" w:name="_Toc351203634"/>
      <w:r>
        <w:rPr>
          <w:rFonts w:hint="eastAsia" w:asciiTheme="minorEastAsia" w:hAnsiTheme="minorEastAsia" w:eastAsiaTheme="minorEastAsia" w:cstheme="minorEastAsia"/>
          <w:b/>
          <w:bCs/>
        </w:rPr>
        <w:t>2</w:t>
      </w:r>
      <w:bookmarkStart w:id="169" w:name="_Toc297048343"/>
      <w:bookmarkStart w:id="170" w:name="_Toc297120457"/>
      <w:bookmarkStart w:id="171" w:name="_Toc292559362"/>
      <w:bookmarkStart w:id="172" w:name="_Toc296891197"/>
      <w:bookmarkStart w:id="173" w:name="_Toc296890985"/>
      <w:bookmarkStart w:id="174" w:name="_Toc292559867"/>
      <w:bookmarkStart w:id="175" w:name="_Toc296944496"/>
      <w:bookmarkStart w:id="176" w:name="_Toc296503157"/>
      <w:bookmarkStart w:id="177" w:name="_Toc296347156"/>
      <w:bookmarkStart w:id="178" w:name="_Toc296346658"/>
      <w:r>
        <w:rPr>
          <w:rFonts w:hint="eastAsia" w:asciiTheme="minorEastAsia" w:hAnsiTheme="minorEastAsia" w:eastAsiaTheme="minorEastAsia" w:cstheme="minorEastAsia"/>
          <w:b/>
          <w:bCs/>
        </w:rPr>
        <w:t>. 发包人</w:t>
      </w:r>
      <w:bookmarkEnd w:id="168"/>
    </w:p>
    <w:bookmarkEnd w:id="169"/>
    <w:bookmarkEnd w:id="170"/>
    <w:bookmarkEnd w:id="171"/>
    <w:bookmarkEnd w:id="172"/>
    <w:bookmarkEnd w:id="173"/>
    <w:bookmarkEnd w:id="174"/>
    <w:bookmarkEnd w:id="175"/>
    <w:bookmarkEnd w:id="176"/>
    <w:bookmarkEnd w:id="177"/>
    <w:bookmarkEnd w:id="178"/>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w:t>
      </w:r>
      <w:r>
        <w:rPr>
          <w:rFonts w:hint="eastAsia" w:asciiTheme="minorEastAsia" w:hAnsiTheme="minorEastAsia" w:eastAsiaTheme="minorEastAsia" w:cstheme="minorEastAsia"/>
          <w:b/>
          <w:lang w:val="en-US" w:eastAsia="zh-CN"/>
        </w:rPr>
        <w:t>1</w:t>
      </w:r>
      <w:r>
        <w:rPr>
          <w:rFonts w:hint="eastAsia" w:asciiTheme="minorEastAsia" w:hAnsiTheme="minorEastAsia" w:eastAsiaTheme="minorEastAsia" w:cstheme="minorEastAsia"/>
          <w:b/>
        </w:rPr>
        <w:t xml:space="preserve"> 发包人代表</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发包人代表：</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职    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发包人对发包人代表的授权范围如下：</w:t>
      </w:r>
      <w:r>
        <w:rPr>
          <w:rFonts w:hint="eastAsia" w:asciiTheme="minorEastAsia" w:hAnsiTheme="minorEastAsia" w:eastAsiaTheme="minorEastAsia" w:cstheme="minorEastAsia"/>
          <w:u w:val="single"/>
        </w:rPr>
        <w:t>1、协调各有关单位工作；2、工程进度与工程量的确认；3、督促并控制好工程进度、质量、投资。</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w:t>
      </w:r>
      <w:r>
        <w:rPr>
          <w:rFonts w:hint="eastAsia" w:asciiTheme="minorEastAsia" w:hAnsiTheme="minorEastAsia" w:eastAsiaTheme="minorEastAsia" w:cstheme="minorEastAsia"/>
          <w:b/>
          <w:lang w:val="en-US" w:eastAsia="zh-CN"/>
        </w:rPr>
        <w:t>2</w:t>
      </w:r>
      <w:r>
        <w:rPr>
          <w:rFonts w:hint="eastAsia" w:asciiTheme="minorEastAsia" w:hAnsiTheme="minorEastAsia" w:eastAsiaTheme="minorEastAsia" w:cstheme="minorEastAsia"/>
          <w:b/>
        </w:rPr>
        <w:t xml:space="preserve"> 施工现场、施工条件和基础资料的提供</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.1 提供施工现场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关于发包人移交施工现场的期限要求：</w:t>
      </w:r>
      <w:r>
        <w:rPr>
          <w:rFonts w:hint="eastAsia" w:asciiTheme="minorEastAsia" w:hAnsiTheme="minorEastAsia" w:eastAsiaTheme="minorEastAsia" w:cstheme="minorEastAsia"/>
          <w:u w:val="single"/>
        </w:rPr>
        <w:t xml:space="preserve">开工前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.2 提供施工条件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关于发包人应负责提供施工所需要的条件，包括：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w:t>
      </w:r>
      <w:r>
        <w:rPr>
          <w:rFonts w:hint="eastAsia" w:asciiTheme="minorEastAsia" w:hAnsiTheme="minorEastAsia" w:eastAsiaTheme="minorEastAsia" w:cstheme="minorEastAsia"/>
          <w:b/>
          <w:lang w:val="en-US" w:eastAsia="zh-CN"/>
        </w:rPr>
        <w:t>3</w:t>
      </w:r>
      <w:r>
        <w:rPr>
          <w:rFonts w:hint="eastAsia" w:asciiTheme="minorEastAsia" w:hAnsiTheme="minorEastAsia" w:eastAsiaTheme="minorEastAsia" w:cstheme="minorEastAsia"/>
          <w:b/>
        </w:rPr>
        <w:t xml:space="preserve"> 资金来源证明及支付担保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发包人提供资金来源证明的期限要求：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发包人是否提供支付担保：</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发包人提供支付担保的形式：</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179" w:name="_Toc351203635"/>
      <w:r>
        <w:rPr>
          <w:rFonts w:hint="eastAsia" w:asciiTheme="minorEastAsia" w:hAnsiTheme="minorEastAsia" w:eastAsiaTheme="minorEastAsia" w:cstheme="minorEastAsia"/>
          <w:b/>
          <w:bCs/>
        </w:rPr>
        <w:t>3</w:t>
      </w:r>
      <w:bookmarkStart w:id="180" w:name="_Toc296944497"/>
      <w:bookmarkStart w:id="181" w:name="_Toc297120458"/>
      <w:bookmarkStart w:id="182" w:name="_Toc296891198"/>
      <w:bookmarkStart w:id="183" w:name="_Toc292559363"/>
      <w:bookmarkStart w:id="184" w:name="_Toc292559868"/>
      <w:bookmarkStart w:id="185" w:name="_Toc296347157"/>
      <w:bookmarkStart w:id="186" w:name="_Toc297048344"/>
      <w:bookmarkStart w:id="187" w:name="_Toc296346659"/>
      <w:bookmarkStart w:id="188" w:name="_Toc296503158"/>
      <w:bookmarkStart w:id="189" w:name="_Toc296890986"/>
      <w:r>
        <w:rPr>
          <w:rFonts w:hint="eastAsia" w:asciiTheme="minorEastAsia" w:hAnsiTheme="minorEastAsia" w:eastAsiaTheme="minorEastAsia" w:cstheme="minorEastAsia"/>
          <w:b/>
          <w:bCs/>
        </w:rPr>
        <w:t>. 承包人</w:t>
      </w:r>
      <w:bookmarkEnd w:id="179"/>
    </w:p>
    <w:bookmarkEnd w:id="180"/>
    <w:bookmarkEnd w:id="181"/>
    <w:bookmarkEnd w:id="182"/>
    <w:bookmarkEnd w:id="183"/>
    <w:bookmarkEnd w:id="184"/>
    <w:bookmarkEnd w:id="185"/>
    <w:bookmarkEnd w:id="186"/>
    <w:bookmarkEnd w:id="187"/>
    <w:bookmarkEnd w:id="188"/>
    <w:bookmarkEnd w:id="189"/>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3.1 承包人的一般义务</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）承包人提交的竣工资料的内容：</w:t>
      </w:r>
      <w:r>
        <w:rPr>
          <w:rFonts w:hint="eastAsia" w:asciiTheme="minorEastAsia" w:hAnsiTheme="minorEastAsia" w:eastAsiaTheme="minorEastAsia" w:cstheme="minorEastAsia"/>
          <w:u w:val="single"/>
        </w:rPr>
        <w:t xml:space="preserve">    /  。</w:t>
      </w:r>
    </w:p>
    <w:p>
      <w:pPr>
        <w:pStyle w:val="28"/>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承包人需要提交的竣工资料套数：</w:t>
      </w:r>
      <w:r>
        <w:rPr>
          <w:rFonts w:hint="eastAsia" w:asciiTheme="minorEastAsia" w:hAnsiTheme="minorEastAsia" w:eastAsiaTheme="minorEastAsia" w:cstheme="minorEastAsia"/>
          <w:u w:val="single"/>
        </w:rPr>
        <w:t xml:space="preserve">     /  。</w:t>
      </w:r>
    </w:p>
    <w:p>
      <w:pPr>
        <w:spacing w:line="360" w:lineRule="auto"/>
        <w:ind w:firstLine="360" w:firstLineChars="150"/>
        <w:rPr>
          <w:rFonts w:asciiTheme="minorEastAsia" w:hAnsiTheme="minorEastAsia" w:eastAsiaTheme="minorEastAsia" w:cstheme="minorEastAsia"/>
          <w:kern w:val="0"/>
          <w:sz w:val="24"/>
        </w:rPr>
      </w:pPr>
      <w:r>
        <w:rPr>
          <w:rFonts w:hint="eastAsia" w:asciiTheme="minorEastAsia" w:hAnsiTheme="minorEastAsia" w:eastAsiaTheme="minorEastAsia" w:cstheme="minorEastAsia"/>
          <w:kern w:val="0"/>
          <w:sz w:val="24"/>
        </w:rPr>
        <w:t>承包人提交的竣工资料的费用承担：</w:t>
      </w:r>
      <w:r>
        <w:rPr>
          <w:rFonts w:hint="eastAsia" w:asciiTheme="minorEastAsia" w:hAnsiTheme="minorEastAsia" w:eastAsiaTheme="minorEastAsia" w:cstheme="minorEastAsia"/>
          <w:kern w:val="0"/>
          <w:sz w:val="24"/>
          <w:u w:val="single"/>
        </w:rPr>
        <w:t xml:space="preserve">   /     </w:t>
      </w:r>
      <w:r>
        <w:rPr>
          <w:rFonts w:hint="eastAsia" w:asciiTheme="minorEastAsia" w:hAnsiTheme="minorEastAsia" w:eastAsiaTheme="minorEastAsia" w:cstheme="minorEastAsia"/>
          <w:kern w:val="0"/>
          <w:sz w:val="24"/>
        </w:rPr>
        <w:t>。</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承包人提交的竣工资料移交时间：</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承包人提交的竣工资料形式要求：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）承包人应履行的其他义务：</w:t>
      </w:r>
    </w:p>
    <w:p>
      <w:pPr>
        <w:pStyle w:val="28"/>
        <w:spacing w:line="360" w:lineRule="auto"/>
        <w:ind w:left="0" w:right="0"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1）承包人在施工时，必须全面协调好与周边环境关系，施工时承包人因自身原因未处理好周边环境关系而导致工程停工，发包人将不承担由此引起的工期延误及其他工程费用损失。</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3.2 项目经理</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3.2.1 项目经理：</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姓    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身份证号：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执业资格等级：</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注册证书号：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执业印章号：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安全生产考核合格证书号：</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联系电话：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电子信箱：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通信地址：</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承包人对项目经理的授权范围如下：</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关于项目经理每月在施工现场的时间要求：</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承包人未提交劳动合同，以及没有为项目经理缴纳社会保险证明的违约责任：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项目经理未经批准，擅自离开施工现场的违约责任：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承包人擅自更换项目经理的违约责任：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3.2.</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承包人无正当理由拒绝更换项目经理的违约责任：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3.3 承包人人员</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3.3.1 承包人提交项目管理机构及施工现场管理人员安排报告的期限：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承包人无正当理由拒绝撤换主要施工管理人员的违约责任：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承包人主要施工管理人员离开施工现场的批准要求： </w:t>
      </w:r>
      <w:r>
        <w:rPr>
          <w:rFonts w:hint="eastAsia" w:asciiTheme="minorEastAsia" w:hAnsiTheme="minorEastAsia" w:eastAsiaTheme="minorEastAsia" w:cstheme="minorEastAsia"/>
          <w:u w:val="single"/>
        </w:rPr>
        <w:t xml:space="preserve">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3.3.</w:t>
      </w:r>
      <w:r>
        <w:rPr>
          <w:rFonts w:hint="eastAsia"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rPr>
        <w:t>承包人擅自更换主要施工管理人员的违约责任：</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承包人主要施工管理人员擅自离开施工现场的违约责任：项目管理班子人员在施工现场时间必须与响应文件的承诺相一致。如未经工程师书面同意达不到承诺要求的，</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w:t>
      </w:r>
      <w:bookmarkStart w:id="190" w:name="_Toc296944498"/>
      <w:bookmarkStart w:id="191" w:name="_Toc297123492"/>
      <w:bookmarkStart w:id="192" w:name="_Toc303539102"/>
      <w:bookmarkStart w:id="193" w:name="_Toc296891199"/>
      <w:bookmarkStart w:id="194" w:name="_Toc304295523"/>
      <w:bookmarkStart w:id="195" w:name="_Toc292559869"/>
      <w:bookmarkStart w:id="196" w:name="_Toc297216151"/>
      <w:bookmarkStart w:id="197" w:name="_Toc296890987"/>
      <w:bookmarkStart w:id="198" w:name="_Toc296347158"/>
      <w:bookmarkStart w:id="199" w:name="_Toc296503159"/>
      <w:bookmarkStart w:id="200" w:name="_Toc296346660"/>
      <w:bookmarkStart w:id="201" w:name="_Toc292559364"/>
      <w:bookmarkStart w:id="202" w:name="_Toc297120459"/>
      <w:bookmarkStart w:id="203" w:name="_Toc297048345"/>
      <w:bookmarkStart w:id="204" w:name="_Toc300934945"/>
      <w:bookmarkStart w:id="205" w:name="_Toc312677988"/>
      <w:r>
        <w:rPr>
          <w:rFonts w:hint="eastAsia" w:asciiTheme="minorEastAsia" w:hAnsiTheme="minorEastAsia" w:eastAsiaTheme="minorEastAsia" w:cstheme="minorEastAsia"/>
          <w:b/>
        </w:rPr>
        <w:t>.</w:t>
      </w:r>
      <w:r>
        <w:rPr>
          <w:rFonts w:hint="eastAsia" w:asciiTheme="minorEastAsia" w:hAnsiTheme="minorEastAsia" w:eastAsiaTheme="minorEastAsia" w:cstheme="minorEastAsia"/>
          <w:b/>
          <w:lang w:val="en-US" w:eastAsia="zh-CN"/>
        </w:rPr>
        <w:t>4</w:t>
      </w:r>
      <w:r>
        <w:rPr>
          <w:rFonts w:hint="eastAsia" w:asciiTheme="minorEastAsia" w:hAnsiTheme="minorEastAsia" w:eastAsiaTheme="minorEastAsia" w:cstheme="minorEastAsia"/>
          <w:b/>
        </w:rPr>
        <w:t xml:space="preserve"> 分包</w:t>
      </w:r>
    </w:p>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06" w:name="_Toc292559365"/>
      <w:bookmarkStart w:id="207" w:name="_Toc297120460"/>
      <w:bookmarkStart w:id="208" w:name="_Toc296346661"/>
      <w:bookmarkStart w:id="209" w:name="_Toc292559870"/>
      <w:bookmarkStart w:id="210" w:name="_Toc297216152"/>
      <w:bookmarkStart w:id="211" w:name="_Toc304295524"/>
      <w:bookmarkStart w:id="212" w:name="_Toc296503160"/>
      <w:bookmarkStart w:id="213" w:name="_Toc297123493"/>
      <w:bookmarkStart w:id="214" w:name="_Toc297048346"/>
      <w:bookmarkStart w:id="215" w:name="_Toc296347159"/>
      <w:bookmarkStart w:id="216" w:name="_Toc303539103"/>
      <w:bookmarkStart w:id="217" w:name="_Toc300934946"/>
      <w:bookmarkStart w:id="218" w:name="_Toc296944499"/>
      <w:bookmarkStart w:id="219" w:name="_Toc296891200"/>
      <w:bookmarkStart w:id="220" w:name="_Toc296890988"/>
      <w:bookmarkStart w:id="221" w:name="_Toc312677989"/>
      <w:bookmarkStart w:id="222" w:name="_Toc318581158"/>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.1 分包的一般约定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禁止分包的工程包括：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主体结构、关键性工作的范围：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Start w:id="223" w:name="_Toc296346662"/>
      <w:bookmarkStart w:id="224" w:name="_Toc304295525"/>
      <w:bookmarkStart w:id="225" w:name="_Toc303539104"/>
      <w:bookmarkStart w:id="226" w:name="_Toc297120461"/>
      <w:bookmarkStart w:id="227" w:name="_Toc297123494"/>
      <w:bookmarkStart w:id="228" w:name="_Toc296503161"/>
      <w:bookmarkStart w:id="229" w:name="_Toc297048347"/>
      <w:bookmarkStart w:id="230" w:name="_Toc300934947"/>
      <w:bookmarkStart w:id="231" w:name="_Toc296890989"/>
      <w:bookmarkStart w:id="232" w:name="_Toc296891201"/>
      <w:bookmarkStart w:id="233" w:name="_Toc296944500"/>
      <w:bookmarkStart w:id="234" w:name="_Toc297216153"/>
      <w:bookmarkStart w:id="235" w:name="_Toc296347160"/>
    </w:p>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bookmarkStart w:id="236" w:name="_Toc318581159"/>
      <w:bookmarkStart w:id="237" w:name="_Toc312677990"/>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.2分包的确定</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允许分包的专业工程包括：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其他关于分包的约定：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分包合同价款</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关于分包合同价款支付的约定：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36"/>
    <w:bookmarkEnd w:id="23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w:t>
      </w:r>
      <w:r>
        <w:rPr>
          <w:rFonts w:hint="eastAsia" w:asciiTheme="minorEastAsia" w:hAnsiTheme="minorEastAsia" w:eastAsiaTheme="minorEastAsia" w:cstheme="minorEastAsia"/>
          <w:b/>
          <w:lang w:val="en-US" w:eastAsia="zh-CN"/>
        </w:rPr>
        <w:t>5</w:t>
      </w:r>
      <w:r>
        <w:rPr>
          <w:rFonts w:hint="eastAsia" w:asciiTheme="minorEastAsia" w:hAnsiTheme="minorEastAsia" w:eastAsiaTheme="minorEastAsia" w:cstheme="minorEastAsia"/>
          <w:b/>
        </w:rPr>
        <w:t xml:space="preserve"> 工程照管与成品、半成品保护</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承包人负责照管工程及工程相关的材料、工程设备的起始时间：</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3.</w:t>
      </w:r>
      <w:r>
        <w:rPr>
          <w:rFonts w:hint="eastAsia" w:asciiTheme="minorEastAsia" w:hAnsiTheme="minorEastAsia" w:eastAsiaTheme="minorEastAsia" w:cstheme="minorEastAsia"/>
          <w:b/>
          <w:lang w:val="en-US" w:eastAsia="zh-CN"/>
        </w:rPr>
        <w:t>6</w:t>
      </w:r>
      <w:r>
        <w:rPr>
          <w:rFonts w:hint="eastAsia" w:asciiTheme="minorEastAsia" w:hAnsiTheme="minorEastAsia" w:eastAsiaTheme="minorEastAsia" w:cstheme="minorEastAsia"/>
          <w:b/>
        </w:rPr>
        <w:t xml:space="preserve"> 履约担保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承包人是否提供履约担保：</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color w:val="0000FF"/>
        </w:rPr>
      </w:pPr>
      <w:r>
        <w:rPr>
          <w:rFonts w:hint="eastAsia" w:asciiTheme="minorEastAsia" w:hAnsiTheme="minorEastAsia" w:eastAsiaTheme="minorEastAsia" w:cstheme="minorEastAsia"/>
        </w:rPr>
        <w:t>承包人提供履约担保的形式、金额及期限的：</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238" w:name="_Toc351203636"/>
      <w:r>
        <w:rPr>
          <w:rFonts w:hint="eastAsia" w:asciiTheme="minorEastAsia" w:hAnsiTheme="minorEastAsia" w:eastAsiaTheme="minorEastAsia" w:cstheme="minorEastAsia"/>
          <w:b/>
          <w:bCs/>
        </w:rPr>
        <w:t>4</w:t>
      </w:r>
      <w:bookmarkStart w:id="239" w:name="_Toc267251413"/>
      <w:bookmarkStart w:id="240" w:name="_Toc296347161"/>
      <w:bookmarkStart w:id="241" w:name="_Toc297048348"/>
      <w:bookmarkStart w:id="242" w:name="_Toc296890990"/>
      <w:bookmarkStart w:id="243" w:name="_Toc296346663"/>
      <w:bookmarkStart w:id="244" w:name="_Toc296891202"/>
      <w:bookmarkStart w:id="245" w:name="_Toc296944501"/>
      <w:bookmarkStart w:id="246" w:name="_Toc292559871"/>
      <w:bookmarkStart w:id="247" w:name="_Toc292559366"/>
      <w:bookmarkStart w:id="248" w:name="_Toc297120462"/>
      <w:bookmarkStart w:id="249" w:name="_Toc296503162"/>
      <w:r>
        <w:rPr>
          <w:rFonts w:hint="eastAsia" w:asciiTheme="minorEastAsia" w:hAnsiTheme="minorEastAsia" w:eastAsiaTheme="minorEastAsia" w:cstheme="minorEastAsia"/>
          <w:b/>
          <w:bCs/>
        </w:rPr>
        <w:t>. 监</w:t>
      </w:r>
      <w:bookmarkEnd w:id="239"/>
      <w:bookmarkEnd w:id="240"/>
      <w:bookmarkEnd w:id="241"/>
      <w:bookmarkEnd w:id="242"/>
      <w:bookmarkEnd w:id="243"/>
      <w:bookmarkEnd w:id="244"/>
      <w:bookmarkEnd w:id="245"/>
      <w:bookmarkEnd w:id="246"/>
      <w:bookmarkEnd w:id="247"/>
      <w:bookmarkEnd w:id="248"/>
      <w:bookmarkEnd w:id="249"/>
      <w:r>
        <w:rPr>
          <w:rFonts w:hint="eastAsia" w:asciiTheme="minorEastAsia" w:hAnsiTheme="minorEastAsia" w:eastAsiaTheme="minorEastAsia" w:cstheme="minorEastAsia"/>
          <w:b/>
          <w:bCs/>
        </w:rPr>
        <w:t>理人</w:t>
      </w:r>
      <w:bookmarkEnd w:id="238"/>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4.1</w:t>
      </w:r>
      <w:r>
        <w:rPr>
          <w:rFonts w:hint="eastAsia" w:asciiTheme="minorEastAsia" w:hAnsiTheme="minorEastAsia" w:eastAsiaTheme="minorEastAsia" w:cstheme="minorEastAsia"/>
          <w:b/>
          <w:lang w:val="en-US" w:eastAsia="zh-CN"/>
        </w:rPr>
        <w:t xml:space="preserve"> </w:t>
      </w:r>
      <w:r>
        <w:rPr>
          <w:rFonts w:hint="eastAsia" w:asciiTheme="minorEastAsia" w:hAnsiTheme="minorEastAsia" w:eastAsiaTheme="minorEastAsia" w:cstheme="minorEastAsia"/>
          <w:b/>
        </w:rPr>
        <w:t>监理人的一般规定</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关于监理人的监理内容：</w:t>
      </w:r>
      <w:r>
        <w:rPr>
          <w:rFonts w:hint="eastAsia" w:asciiTheme="minorEastAsia" w:hAnsiTheme="minorEastAsia" w:eastAsiaTheme="minorEastAsia" w:cstheme="minorEastAsia"/>
          <w:u w:val="single"/>
        </w:rPr>
        <w:t>无</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关于监理人的监理权限：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spacing w:line="360" w:lineRule="auto"/>
        <w:ind w:firstLine="360" w:firstLineChars="150"/>
        <w:rPr>
          <w:rFonts w:asciiTheme="minorEastAsia" w:hAnsiTheme="minorEastAsia" w:eastAsiaTheme="minorEastAsia" w:cstheme="minorEastAsia"/>
          <w:sz w:val="24"/>
          <w:u w:val="single"/>
        </w:rPr>
      </w:pPr>
      <w:r>
        <w:rPr>
          <w:rFonts w:hint="eastAsia" w:asciiTheme="minorEastAsia" w:hAnsiTheme="minorEastAsia" w:eastAsiaTheme="minorEastAsia" w:cstheme="minorEastAsia"/>
          <w:sz w:val="24"/>
        </w:rPr>
        <w:t>关于监理人在施工现场的办公场所、生活场所的提供和费用承担的约定：</w:t>
      </w:r>
      <w:r>
        <w:rPr>
          <w:rFonts w:hint="eastAsia" w:asciiTheme="minorEastAsia" w:hAnsiTheme="minorEastAsia" w:eastAsiaTheme="minorEastAsia" w:cstheme="minorEastAsia"/>
          <w:sz w:val="24"/>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4.</w:t>
      </w:r>
      <w:r>
        <w:rPr>
          <w:rFonts w:hint="eastAsia" w:asciiTheme="minorEastAsia" w:hAnsiTheme="minorEastAsia" w:eastAsiaTheme="minorEastAsia" w:cstheme="minorEastAsia"/>
          <w:b/>
          <w:lang w:val="en-US" w:eastAsia="zh-CN"/>
        </w:rPr>
        <w:t>2</w:t>
      </w:r>
      <w:r>
        <w:rPr>
          <w:rFonts w:hint="eastAsia" w:asciiTheme="minorEastAsia" w:hAnsiTheme="minorEastAsia" w:eastAsiaTheme="minorEastAsia" w:cstheme="minorEastAsia"/>
          <w:b/>
        </w:rPr>
        <w:t xml:space="preserve"> 商定或确定</w:t>
      </w:r>
    </w:p>
    <w:p>
      <w:pPr>
        <w:pStyle w:val="28"/>
        <w:spacing w:line="360" w:lineRule="auto"/>
        <w:ind w:right="0"/>
        <w:rPr>
          <w:rFonts w:asciiTheme="minorEastAsia" w:hAnsiTheme="minorEastAsia" w:eastAsiaTheme="minorEastAsia" w:cstheme="minorEastAsia"/>
        </w:rPr>
      </w:pPr>
      <w:bookmarkStart w:id="250" w:name="_Toc267251418"/>
      <w:r>
        <w:rPr>
          <w:rFonts w:hint="eastAsia" w:asciiTheme="minorEastAsia" w:hAnsiTheme="minorEastAsia" w:eastAsiaTheme="minorEastAsia" w:cstheme="minorEastAsia"/>
        </w:rPr>
        <w:t>在发包人和承包人不能通过协商达成一致意见时，发包人授权监理人对以下事项进行确定：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251" w:name="_Toc351203637"/>
      <w:r>
        <w:rPr>
          <w:rFonts w:hint="eastAsia" w:asciiTheme="minorEastAsia" w:hAnsiTheme="minorEastAsia" w:eastAsiaTheme="minorEastAsia" w:cstheme="minorEastAsia"/>
          <w:b/>
          <w:bCs/>
        </w:rPr>
        <w:t>5</w:t>
      </w:r>
      <w:bookmarkEnd w:id="250"/>
      <w:bookmarkStart w:id="252" w:name="_Toc296347162"/>
      <w:bookmarkStart w:id="253" w:name="_Toc296346664"/>
      <w:bookmarkStart w:id="254" w:name="_Toc297120463"/>
      <w:bookmarkStart w:id="255" w:name="_Toc296944502"/>
      <w:bookmarkStart w:id="256" w:name="_Toc296503163"/>
      <w:bookmarkStart w:id="257" w:name="_Toc296891203"/>
      <w:bookmarkStart w:id="258" w:name="_Toc292559872"/>
      <w:bookmarkStart w:id="259" w:name="_Toc292559367"/>
      <w:bookmarkStart w:id="260" w:name="_Toc296890991"/>
      <w:bookmarkStart w:id="261" w:name="_Toc297048349"/>
      <w:r>
        <w:rPr>
          <w:rFonts w:hint="eastAsia" w:asciiTheme="minorEastAsia" w:hAnsiTheme="minorEastAsia" w:eastAsiaTheme="minorEastAsia" w:cstheme="minorEastAsia"/>
          <w:b/>
          <w:bCs/>
        </w:rPr>
        <w:t>. 工程质量</w:t>
      </w:r>
      <w:bookmarkEnd w:id="251"/>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5.1 质量要求</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w:t>
      </w:r>
      <w:bookmarkStart w:id="262" w:name="_Toc297123496"/>
      <w:bookmarkStart w:id="263" w:name="_Toc300934949"/>
      <w:bookmarkStart w:id="264" w:name="_Toc318581164"/>
      <w:bookmarkStart w:id="265" w:name="_Toc304295527"/>
      <w:bookmarkStart w:id="266" w:name="_Toc312677997"/>
      <w:bookmarkStart w:id="267" w:name="_Toc297216155"/>
      <w:bookmarkStart w:id="268" w:name="_Toc303539106"/>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特殊质量标准和要求：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关于工程奖项的约定：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5.</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隐蔽工程检查</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5.3</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承包人提前通知监理人隐蔽工程检查的期限的约定：</w:t>
      </w:r>
      <w:r>
        <w:rPr>
          <w:rFonts w:hint="eastAsia" w:asciiTheme="minorEastAsia" w:hAnsiTheme="minorEastAsia" w:eastAsiaTheme="minorEastAsia" w:cstheme="minorEastAsia"/>
          <w:u w:val="single"/>
        </w:rPr>
        <w:t xml:space="preserve">  执行通用条款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监理人不能按时进行检查时，应提前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8"/>
        <w:spacing w:line="360" w:lineRule="auto"/>
        <w:ind w:right="0"/>
        <w:rPr>
          <w:rFonts w:asciiTheme="minorEastAsia" w:hAnsiTheme="minorEastAsia" w:eastAsiaTheme="minorEastAsia" w:cstheme="minorEastAsia"/>
          <w:b/>
          <w:bCs/>
        </w:rPr>
      </w:pPr>
      <w:bookmarkStart w:id="269" w:name="_Toc351203638"/>
      <w:r>
        <w:rPr>
          <w:rFonts w:hint="eastAsia" w:asciiTheme="minorEastAsia" w:hAnsiTheme="minorEastAsia" w:eastAsiaTheme="minorEastAsia" w:cstheme="minorEastAsia"/>
          <w:b/>
          <w:bCs/>
        </w:rPr>
        <w:t>6. 安全文明施工与环境保护</w:t>
      </w:r>
      <w:bookmarkEnd w:id="269"/>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6.1安全文明施工</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6.1.1 项目安全生产的达标目标及相应事项的约定：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6.1.</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关于治安保卫的特别约定：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关于编制施工场地治安管理计划的约定：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文明施工</w:t>
      </w:r>
    </w:p>
    <w:p>
      <w:pPr>
        <w:pStyle w:val="28"/>
        <w:spacing w:line="360" w:lineRule="auto"/>
        <w:ind w:right="0"/>
        <w:rPr>
          <w:rFonts w:asciiTheme="minorEastAsia" w:hAnsiTheme="minorEastAsia" w:eastAsiaTheme="minorEastAsia" w:cstheme="minorEastAsia"/>
          <w:bCs/>
          <w:u w:val="single"/>
        </w:rPr>
      </w:pPr>
      <w:r>
        <w:rPr>
          <w:rFonts w:hint="eastAsia" w:asciiTheme="minorEastAsia" w:hAnsiTheme="minorEastAsia" w:eastAsiaTheme="minorEastAsia" w:cstheme="minorEastAsia"/>
        </w:rPr>
        <w:t>合同当事人对文明施工的要求：①</w:t>
      </w:r>
      <w:r>
        <w:rPr>
          <w:rFonts w:hint="eastAsia" w:asciiTheme="minorEastAsia" w:hAnsiTheme="minorEastAsia" w:eastAsiaTheme="minorEastAsia" w:cstheme="minorEastAsia"/>
          <w:u w:val="single"/>
        </w:rPr>
        <w:t>承包人必须按照规定进行施工现场文明施工管理，</w:t>
      </w:r>
      <w:r>
        <w:rPr>
          <w:rFonts w:hint="eastAsia" w:asciiTheme="minorEastAsia" w:hAnsiTheme="minorEastAsia" w:eastAsiaTheme="minorEastAsia" w:cstheme="minorEastAsia"/>
          <w:bCs/>
          <w:u w:val="single"/>
        </w:rPr>
        <w:t>所发生的费用由承包人承担。</w:t>
      </w:r>
      <w:r>
        <w:rPr>
          <w:rFonts w:hint="eastAsia" w:asciiTheme="minorEastAsia" w:hAnsiTheme="minorEastAsia" w:eastAsiaTheme="minorEastAsia" w:cstheme="minorEastAsia"/>
        </w:rPr>
        <w:t>②</w:t>
      </w:r>
      <w:r>
        <w:rPr>
          <w:rFonts w:hint="eastAsia" w:asciiTheme="minorEastAsia" w:hAnsiTheme="minorEastAsia" w:eastAsiaTheme="minorEastAsia" w:cstheme="minorEastAsia"/>
          <w:bCs/>
          <w:u w:val="single"/>
        </w:rPr>
        <w:t>承包人必须做好施工现场的安全围护栏（网）等防护性措施，并设置必要的警示牌，做到文明施工，安全施工，建立重大事故报告制，加强安全教育，采取必要的一切防护措施，必须消除一切不安全隐患的存在和发生，协调处理好和周围住户的关系。③乙方应根据《建筑施工安全检查标准》和《强制性条文》及有关建筑施工安全生产条例及甲方的有关管理要求，确保安全生产，同时做好社会治安综合治理工作，严格执行建设项目所在地文明施工、标准化管理规定，明确具体措施，积极落实各项安全生产工作，杜绝重大伤亡事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6.1.</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关于安全文明施工费支付比例和支付期限的约定：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62"/>
    <w:bookmarkEnd w:id="263"/>
    <w:bookmarkEnd w:id="264"/>
    <w:bookmarkEnd w:id="265"/>
    <w:bookmarkEnd w:id="266"/>
    <w:bookmarkEnd w:id="267"/>
    <w:bookmarkEnd w:id="268"/>
    <w:p>
      <w:pPr>
        <w:pStyle w:val="28"/>
        <w:spacing w:line="360" w:lineRule="auto"/>
        <w:ind w:right="0"/>
        <w:rPr>
          <w:rFonts w:asciiTheme="minorEastAsia" w:hAnsiTheme="minorEastAsia" w:eastAsiaTheme="minorEastAsia" w:cstheme="minorEastAsia"/>
          <w:b/>
          <w:bCs/>
        </w:rPr>
      </w:pPr>
      <w:bookmarkStart w:id="270" w:name="_Toc351203639"/>
      <w:r>
        <w:rPr>
          <w:rFonts w:hint="eastAsia" w:asciiTheme="minorEastAsia" w:hAnsiTheme="minorEastAsia" w:eastAsiaTheme="minorEastAsia" w:cstheme="minorEastAsia"/>
          <w:b/>
          <w:bCs/>
        </w:rPr>
        <w:t>7. 工期和进度</w:t>
      </w:r>
      <w:bookmarkEnd w:id="270"/>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7.1 施工组织设计</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7.1.1 合同当事人约定的施工组织设计应包括的其他内容：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7.1.2 施工组织设计的提交和修改</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承包人提交详细施工组织设计的期限的约定：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发包人和监理人在收到详细的施工组织设计后确认或提出修改意见的期限：</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71" w:name="_Toc297123514"/>
      <w:bookmarkStart w:id="272" w:name="_Toc304295541"/>
      <w:bookmarkStart w:id="273" w:name="_Toc303539123"/>
      <w:bookmarkStart w:id="274" w:name="_Toc300934966"/>
      <w:bookmarkStart w:id="275" w:name="_Toc312678005"/>
      <w:bookmarkStart w:id="276" w:name="_Toc297216173"/>
      <w:bookmarkStart w:id="277" w:name="_Toc312677479"/>
      <w:r>
        <w:rPr>
          <w:rFonts w:hint="eastAsia" w:asciiTheme="minorEastAsia" w:hAnsiTheme="minorEastAsia" w:eastAsiaTheme="minorEastAsia" w:cstheme="minorEastAsia"/>
          <w:b/>
        </w:rPr>
        <w:t>.2 施工进度计划</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7.2.</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 xml:space="preserve"> 施工进度计划的修订</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发包人和监理人在收到修订的施工进度计划后确认或提出修改意见的期限：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7.3 开工</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7.3.1 开工准备</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关于承包人提交工程开工报审表的期限：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关于发包人应完成的其他开工准备工作及期限：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关于承包人应完成的其他开工准备工作及期限：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7.3.2</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开工通知</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因发包人原因造成监理人未能在计划开工日期之日起</w:t>
      </w:r>
      <w:r>
        <w:rPr>
          <w:rFonts w:hint="eastAsia" w:asciiTheme="minorEastAsia" w:hAnsiTheme="minorEastAsia" w:eastAsiaTheme="minorEastAsia" w:cstheme="minorEastAsia"/>
          <w:u w:val="single"/>
        </w:rPr>
        <w:t xml:space="preserve"> 60</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天内发出开工通知的，承包人有权提出价格调整要求，或者解除合同。</w:t>
      </w:r>
    </w:p>
    <w:bookmarkEnd w:id="271"/>
    <w:bookmarkEnd w:id="272"/>
    <w:bookmarkEnd w:id="273"/>
    <w:bookmarkEnd w:id="274"/>
    <w:bookmarkEnd w:id="275"/>
    <w:bookmarkEnd w:id="276"/>
    <w:bookmarkEnd w:id="27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7.4 测量放线</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7.4.1</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发包人通过监理人向承包人提供测量基准点、基准线和水准点及其书面资料的期限：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78" w:name="_Toc304295546"/>
      <w:bookmarkStart w:id="279" w:name="_Toc312678010"/>
      <w:bookmarkStart w:id="280" w:name="_Toc297123516"/>
      <w:bookmarkStart w:id="281" w:name="_Toc303539125"/>
      <w:bookmarkStart w:id="282" w:name="_Toc297216175"/>
      <w:bookmarkStart w:id="283" w:name="_Toc300934968"/>
      <w:bookmarkStart w:id="284" w:name="_Toc312677484"/>
      <w:r>
        <w:rPr>
          <w:rFonts w:hint="eastAsia" w:asciiTheme="minorEastAsia" w:hAnsiTheme="minorEastAsia" w:eastAsiaTheme="minorEastAsia" w:cstheme="minorEastAsia"/>
          <w:b/>
        </w:rPr>
        <w:t>.5 工期延误</w:t>
      </w:r>
    </w:p>
    <w:bookmarkEnd w:id="278"/>
    <w:bookmarkEnd w:id="279"/>
    <w:bookmarkEnd w:id="280"/>
    <w:bookmarkEnd w:id="281"/>
    <w:bookmarkEnd w:id="282"/>
    <w:bookmarkEnd w:id="283"/>
    <w:bookmarkEnd w:id="284"/>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7.5.1 因发包人原因导致工期延误</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）因发包人原因导致工期延误的其他情形：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w:t>
      </w:r>
      <w:bookmarkStart w:id="285" w:name="_Toc318581169"/>
      <w:bookmarkStart w:id="286" w:name="_Toc312677486"/>
      <w:bookmarkStart w:id="287" w:name="_Toc312678012"/>
      <w:bookmarkStart w:id="288" w:name="_Toc303539127"/>
      <w:bookmarkStart w:id="289" w:name="_Toc297216177"/>
      <w:bookmarkStart w:id="290" w:name="_Toc297123518"/>
      <w:bookmarkStart w:id="291" w:name="_Toc300934970"/>
      <w:bookmarkStart w:id="292" w:name="_Toc304295548"/>
      <w:r>
        <w:rPr>
          <w:rFonts w:hint="eastAsia" w:asciiTheme="minorEastAsia" w:hAnsiTheme="minorEastAsia" w:eastAsiaTheme="minorEastAsia" w:cstheme="minorEastAsia"/>
        </w:rPr>
        <w:t>.5.2 因承包人原因导致工期延误</w:t>
      </w:r>
    </w:p>
    <w:bookmarkEnd w:id="285"/>
    <w:bookmarkEnd w:id="286"/>
    <w:bookmarkEnd w:id="287"/>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因</w:t>
      </w:r>
      <w:bookmarkStart w:id="293" w:name="_Toc312677487"/>
      <w:bookmarkStart w:id="294" w:name="_Toc312678013"/>
      <w:bookmarkStart w:id="295" w:name="_Toc318581170"/>
      <w:r>
        <w:rPr>
          <w:rFonts w:hint="eastAsia" w:asciiTheme="minorEastAsia" w:hAnsiTheme="minorEastAsia" w:eastAsiaTheme="minorEastAsia" w:cstheme="minorEastAsia"/>
        </w:rPr>
        <w:t>承包人原因造成工期延误，逾期竣工违约金的计算方法为：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288"/>
      <w:bookmarkEnd w:id="289"/>
      <w:bookmarkEnd w:id="290"/>
      <w:bookmarkEnd w:id="291"/>
      <w:bookmarkEnd w:id="292"/>
      <w:bookmarkEnd w:id="293"/>
      <w:bookmarkEnd w:id="294"/>
    </w:p>
    <w:bookmarkEnd w:id="29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因承包人原因造成工期延误，逾</w:t>
      </w:r>
      <w:bookmarkStart w:id="296" w:name="_Toc312678014"/>
      <w:bookmarkStart w:id="297" w:name="_Toc318581171"/>
      <w:r>
        <w:rPr>
          <w:rFonts w:hint="eastAsia" w:asciiTheme="minorEastAsia" w:hAnsiTheme="minorEastAsia" w:eastAsiaTheme="minorEastAsia" w:cstheme="minorEastAsia"/>
        </w:rPr>
        <w:t>期竣工违约金的上限：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296"/>
    <w:bookmarkEnd w:id="297"/>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298" w:name="_Toc300934971"/>
      <w:bookmarkStart w:id="299" w:name="_Toc304295549"/>
      <w:bookmarkStart w:id="300" w:name="_Toc297216178"/>
      <w:bookmarkStart w:id="301" w:name="_Toc312678015"/>
      <w:bookmarkStart w:id="302" w:name="_Toc303539128"/>
      <w:bookmarkStart w:id="303" w:name="_Toc297123519"/>
      <w:r>
        <w:rPr>
          <w:rFonts w:hint="eastAsia" w:asciiTheme="minorEastAsia" w:hAnsiTheme="minorEastAsia" w:eastAsiaTheme="minorEastAsia" w:cstheme="minorEastAsia"/>
          <w:b/>
        </w:rPr>
        <w:t>.6 不</w:t>
      </w:r>
      <w:bookmarkEnd w:id="298"/>
      <w:bookmarkEnd w:id="299"/>
      <w:bookmarkEnd w:id="300"/>
      <w:bookmarkEnd w:id="301"/>
      <w:bookmarkEnd w:id="302"/>
      <w:bookmarkEnd w:id="303"/>
      <w:r>
        <w:rPr>
          <w:rFonts w:hint="eastAsia" w:asciiTheme="minorEastAsia" w:hAnsiTheme="minorEastAsia" w:eastAsiaTheme="minorEastAsia" w:cstheme="minorEastAsia"/>
          <w:b/>
        </w:rPr>
        <w:t>利物质条件</w:t>
      </w:r>
    </w:p>
    <w:p>
      <w:pPr>
        <w:pStyle w:val="28"/>
        <w:spacing w:line="360" w:lineRule="auto"/>
        <w:ind w:right="0"/>
        <w:rPr>
          <w:rFonts w:asciiTheme="minorEastAsia" w:hAnsiTheme="minorEastAsia" w:eastAsiaTheme="minorEastAsia" w:cstheme="minorEastAsia"/>
          <w:u w:val="single"/>
        </w:rPr>
      </w:pPr>
      <w:bookmarkStart w:id="304" w:name="_Toc300934972"/>
      <w:bookmarkStart w:id="305" w:name="_Toc304295550"/>
      <w:bookmarkStart w:id="306" w:name="_Toc318581172"/>
      <w:bookmarkStart w:id="307" w:name="_Toc303539129"/>
      <w:bookmarkStart w:id="308" w:name="_Toc297216179"/>
      <w:bookmarkStart w:id="309" w:name="_Toc297123520"/>
      <w:bookmarkStart w:id="310" w:name="_Toc312678016"/>
      <w:r>
        <w:rPr>
          <w:rFonts w:hint="eastAsia" w:asciiTheme="minorEastAsia" w:hAnsiTheme="minorEastAsia" w:eastAsiaTheme="minorEastAsia" w:cstheme="minorEastAsia"/>
        </w:rPr>
        <w:t>不利物质条件的其他情形和有关约定：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04"/>
    <w:bookmarkEnd w:id="305"/>
    <w:bookmarkEnd w:id="306"/>
    <w:bookmarkEnd w:id="307"/>
    <w:bookmarkEnd w:id="308"/>
    <w:bookmarkEnd w:id="309"/>
    <w:bookmarkEnd w:id="310"/>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bookmarkStart w:id="311" w:name="_Toc300934973"/>
      <w:bookmarkStart w:id="312" w:name="_Toc304295551"/>
      <w:bookmarkStart w:id="313" w:name="_Toc297123521"/>
      <w:bookmarkStart w:id="314" w:name="_Toc297216180"/>
      <w:bookmarkStart w:id="315" w:name="_Toc312678017"/>
      <w:bookmarkStart w:id="316" w:name="_Toc303539130"/>
      <w:r>
        <w:rPr>
          <w:rFonts w:hint="eastAsia" w:asciiTheme="minorEastAsia" w:hAnsiTheme="minorEastAsia" w:eastAsiaTheme="minorEastAsia" w:cstheme="minorEastAsia"/>
          <w:b/>
        </w:rPr>
        <w:t>.7</w:t>
      </w:r>
      <w:r>
        <w:rPr>
          <w:rFonts w:hint="eastAsia" w:asciiTheme="minorEastAsia" w:hAnsiTheme="minorEastAsia" w:eastAsiaTheme="minorEastAsia" w:cstheme="minorEastAsia"/>
          <w:b/>
          <w:lang w:val="en-US" w:eastAsia="zh-CN"/>
        </w:rPr>
        <w:t xml:space="preserve"> </w:t>
      </w:r>
      <w:r>
        <w:rPr>
          <w:rFonts w:hint="eastAsia" w:asciiTheme="minorEastAsia" w:hAnsiTheme="minorEastAsia" w:eastAsiaTheme="minorEastAsia" w:cstheme="minorEastAsia"/>
          <w:b/>
        </w:rPr>
        <w:t>异常恶劣的气候条件</w:t>
      </w:r>
    </w:p>
    <w:bookmarkEnd w:id="311"/>
    <w:bookmarkEnd w:id="312"/>
    <w:bookmarkEnd w:id="313"/>
    <w:bookmarkEnd w:id="314"/>
    <w:bookmarkEnd w:id="315"/>
    <w:bookmarkEnd w:id="316"/>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发包人和承包人同意以下情形视为异常恶劣的气候条件：</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（1）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（2）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7.</w:t>
      </w:r>
      <w:r>
        <w:rPr>
          <w:rFonts w:hint="eastAsia" w:asciiTheme="minorEastAsia" w:hAnsiTheme="minorEastAsia" w:eastAsiaTheme="minorEastAsia" w:cstheme="minorEastAsia"/>
          <w:b/>
          <w:lang w:val="en-US" w:eastAsia="zh-CN"/>
        </w:rPr>
        <w:t>8</w:t>
      </w:r>
      <w:r>
        <w:rPr>
          <w:rFonts w:hint="eastAsia" w:asciiTheme="minorEastAsia" w:hAnsiTheme="minorEastAsia" w:eastAsiaTheme="minorEastAsia" w:cstheme="minorEastAsia"/>
          <w:b/>
        </w:rPr>
        <w:t xml:space="preserve"> 提前竣工的奖励</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w:t>
      </w:r>
      <w:r>
        <w:rPr>
          <w:rFonts w:hint="eastAsia" w:asciiTheme="minorEastAsia" w:hAnsiTheme="minorEastAsia" w:eastAsiaTheme="minorEastAsia" w:cstheme="minorEastAsia"/>
          <w:lang w:val="en-US" w:eastAsia="zh-CN"/>
        </w:rPr>
        <w:t>8</w:t>
      </w:r>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提前竣工的奖励：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317" w:name="_Toc351203640"/>
      <w:r>
        <w:rPr>
          <w:rFonts w:hint="eastAsia" w:asciiTheme="minorEastAsia" w:hAnsiTheme="minorEastAsia" w:eastAsiaTheme="minorEastAsia" w:cstheme="minorEastAsia"/>
          <w:b/>
          <w:bCs/>
        </w:rPr>
        <w:t>8. 材料与设备</w:t>
      </w:r>
      <w:bookmarkEnd w:id="317"/>
    </w:p>
    <w:bookmarkEnd w:id="252"/>
    <w:bookmarkEnd w:id="253"/>
    <w:bookmarkEnd w:id="254"/>
    <w:bookmarkEnd w:id="255"/>
    <w:bookmarkEnd w:id="256"/>
    <w:bookmarkEnd w:id="257"/>
    <w:bookmarkEnd w:id="258"/>
    <w:bookmarkEnd w:id="259"/>
    <w:bookmarkEnd w:id="260"/>
    <w:bookmarkEnd w:id="26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bookmarkStart w:id="318" w:name="_Toc292559372"/>
      <w:bookmarkStart w:id="319" w:name="_Toc296891207"/>
      <w:bookmarkStart w:id="320" w:name="_Toc297048353"/>
      <w:bookmarkStart w:id="321" w:name="_Toc300934979"/>
      <w:bookmarkStart w:id="322" w:name="_Toc304295556"/>
      <w:bookmarkStart w:id="323" w:name="_Toc312678019"/>
      <w:bookmarkStart w:id="324" w:name="_Toc312677493"/>
      <w:bookmarkStart w:id="325" w:name="_Toc296347166"/>
      <w:bookmarkStart w:id="326" w:name="_Toc296346668"/>
      <w:bookmarkStart w:id="327" w:name="_Toc296944506"/>
      <w:bookmarkStart w:id="328" w:name="_Toc280868654"/>
      <w:bookmarkStart w:id="329" w:name="_Toc296890995"/>
      <w:bookmarkStart w:id="330" w:name="_Toc297120467"/>
      <w:bookmarkStart w:id="331" w:name="_Toc297216186"/>
      <w:bookmarkStart w:id="332" w:name="_Toc303539136"/>
      <w:bookmarkStart w:id="333" w:name="_Toc292559877"/>
      <w:bookmarkStart w:id="334" w:name="_Toc296503167"/>
      <w:bookmarkStart w:id="335" w:name="_Toc297123527"/>
      <w:bookmarkStart w:id="336" w:name="_Toc280868655"/>
      <w:bookmarkStart w:id="337" w:name="_Toc267251424"/>
      <w:bookmarkStart w:id="338" w:name="_Toc280868656"/>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rPr>
        <w:t>材料与工程设备的保管与使用</w:t>
      </w:r>
    </w:p>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8</w:t>
      </w:r>
      <w:bookmarkStart w:id="339" w:name="_Toc292559373"/>
      <w:bookmarkStart w:id="340" w:name="_Toc292559878"/>
      <w:bookmarkStart w:id="341" w:name="_Toc318581173"/>
      <w:bookmarkStart w:id="342" w:name="_Toc297216187"/>
      <w:bookmarkStart w:id="343" w:name="_Toc297048354"/>
      <w:bookmarkStart w:id="344" w:name="_Toc297123528"/>
      <w:bookmarkStart w:id="345" w:name="_Toc296346669"/>
      <w:bookmarkStart w:id="346" w:name="_Toc304295557"/>
      <w:bookmarkStart w:id="347" w:name="_Toc296347167"/>
      <w:bookmarkStart w:id="348" w:name="_Toc312677494"/>
      <w:bookmarkStart w:id="349" w:name="_Toc296944507"/>
      <w:bookmarkStart w:id="350" w:name="_Toc296891208"/>
      <w:bookmarkStart w:id="351" w:name="_Toc300934980"/>
      <w:bookmarkStart w:id="352" w:name="_Toc296890996"/>
      <w:bookmarkStart w:id="353" w:name="_Toc312678020"/>
      <w:bookmarkStart w:id="354" w:name="_Toc297120468"/>
      <w:bookmarkStart w:id="355" w:name="_Toc303539137"/>
      <w:bookmarkStart w:id="356" w:name="_Toc296503168"/>
      <w:r>
        <w:rPr>
          <w:rFonts w:hint="eastAsia" w:asciiTheme="minorEastAsia" w:hAnsiTheme="minorEastAsia" w:eastAsiaTheme="minorEastAsia" w:cstheme="minorEastAsia"/>
        </w:rPr>
        <w:t>.</w:t>
      </w:r>
      <w:r>
        <w:rPr>
          <w:rFonts w:hint="eastAsia"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rPr>
        <w:t>发包人供应的材料设备的保管费用的承担：</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bookmarkEnd w:id="339"/>
      <w:bookmarkEnd w:id="340"/>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样品</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.1</w:t>
      </w:r>
      <w:r>
        <w:rPr>
          <w:rFonts w:hint="eastAsia" w:asciiTheme="minorEastAsia" w:hAnsiTheme="minorEastAsia" w:eastAsiaTheme="minorEastAsia" w:cstheme="minorEastAsia"/>
        </w:rPr>
        <w:tab/>
      </w:r>
      <w:r>
        <w:rPr>
          <w:rFonts w:hint="eastAsia" w:asciiTheme="minorEastAsia" w:hAnsiTheme="minorEastAsia" w:eastAsiaTheme="minorEastAsia" w:cstheme="minorEastAsia"/>
        </w:rPr>
        <w:t>样品的报送与封存</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需要承包人报送样品的材料或工程设备，样品的种类、名称、规格、数量要求：</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 xml:space="preserve"> 施工设备和临时设施</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8.</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.1 承包人提供的施工设备和临时设施</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关于修建临时设施费用承担的约定：</w:t>
      </w:r>
      <w:r>
        <w:rPr>
          <w:rFonts w:hint="eastAsia" w:asciiTheme="minorEastAsia" w:hAnsiTheme="minorEastAsia" w:eastAsiaTheme="minorEastAsia" w:cstheme="minorEastAsia"/>
          <w:u w:val="single"/>
        </w:rPr>
        <w:t xml:space="preserve">  /。</w:t>
      </w:r>
    </w:p>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p>
      <w:pPr>
        <w:pStyle w:val="28"/>
        <w:spacing w:line="360" w:lineRule="auto"/>
        <w:ind w:right="0"/>
        <w:rPr>
          <w:rFonts w:asciiTheme="minorEastAsia" w:hAnsiTheme="minorEastAsia" w:eastAsiaTheme="minorEastAsia" w:cstheme="minorEastAsia"/>
          <w:b/>
          <w:bCs/>
        </w:rPr>
      </w:pPr>
      <w:bookmarkStart w:id="357" w:name="_Toc351203641"/>
      <w:r>
        <w:rPr>
          <w:rFonts w:hint="eastAsia" w:asciiTheme="minorEastAsia" w:hAnsiTheme="minorEastAsia" w:eastAsiaTheme="minorEastAsia" w:cstheme="minorEastAsia"/>
          <w:b/>
          <w:bCs/>
        </w:rPr>
        <w:t>9</w:t>
      </w:r>
      <w:bookmarkEnd w:id="336"/>
      <w:bookmarkEnd w:id="337"/>
      <w:bookmarkEnd w:id="338"/>
      <w:bookmarkStart w:id="358" w:name="_Toc297216192"/>
      <w:bookmarkStart w:id="359" w:name="_Toc304295559"/>
      <w:bookmarkStart w:id="360" w:name="_Toc297123533"/>
      <w:bookmarkStart w:id="361" w:name="_Toc300934982"/>
      <w:bookmarkStart w:id="362" w:name="_Toc303539139"/>
      <w:bookmarkStart w:id="363" w:name="_Toc312677495"/>
      <w:bookmarkStart w:id="364" w:name="_Toc312678021"/>
      <w:bookmarkStart w:id="365" w:name="_Toc292559883"/>
      <w:bookmarkStart w:id="366" w:name="_Toc292559378"/>
      <w:bookmarkStart w:id="367" w:name="_Toc296503173"/>
      <w:bookmarkStart w:id="368" w:name="_Toc267251428"/>
      <w:bookmarkStart w:id="369" w:name="_Toc297120473"/>
      <w:bookmarkStart w:id="370" w:name="_Toc267251427"/>
      <w:bookmarkStart w:id="371" w:name="_Toc296891213"/>
      <w:bookmarkStart w:id="372" w:name="_Toc296347172"/>
      <w:bookmarkStart w:id="373" w:name="_Toc296944512"/>
      <w:bookmarkStart w:id="374" w:name="_Toc296891001"/>
      <w:bookmarkStart w:id="375" w:name="_Toc297048359"/>
      <w:bookmarkStart w:id="376" w:name="_Toc296346674"/>
      <w:r>
        <w:rPr>
          <w:rFonts w:hint="eastAsia" w:asciiTheme="minorEastAsia" w:hAnsiTheme="minorEastAsia" w:eastAsiaTheme="minorEastAsia" w:cstheme="minorEastAsia"/>
          <w:b/>
          <w:bCs/>
        </w:rPr>
        <w:t>. 试验与检验</w:t>
      </w:r>
      <w:bookmarkEnd w:id="357"/>
    </w:p>
    <w:bookmarkEnd w:id="358"/>
    <w:bookmarkEnd w:id="359"/>
    <w:bookmarkEnd w:id="360"/>
    <w:bookmarkEnd w:id="361"/>
    <w:bookmarkEnd w:id="362"/>
    <w:bookmarkEnd w:id="363"/>
    <w:bookmarkEnd w:id="364"/>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9</w:t>
      </w:r>
      <w:bookmarkStart w:id="377" w:name="_Toc312677496"/>
      <w:bookmarkStart w:id="378" w:name="_Toc304295560"/>
      <w:bookmarkStart w:id="379" w:name="_Toc312678022"/>
      <w:bookmarkStart w:id="380" w:name="_Toc297123534"/>
      <w:bookmarkStart w:id="381" w:name="_Toc297216193"/>
      <w:bookmarkStart w:id="382" w:name="_Toc300934983"/>
      <w:bookmarkStart w:id="383" w:name="_Toc303539140"/>
      <w:r>
        <w:rPr>
          <w:rFonts w:hint="eastAsia" w:asciiTheme="minorEastAsia" w:hAnsiTheme="minorEastAsia" w:eastAsiaTheme="minorEastAsia" w:cstheme="minorEastAsia"/>
          <w:b/>
        </w:rPr>
        <w:t>.1</w:t>
      </w:r>
      <w:r>
        <w:rPr>
          <w:rFonts w:hint="eastAsia" w:asciiTheme="minorEastAsia" w:hAnsiTheme="minorEastAsia" w:eastAsiaTheme="minorEastAsia" w:cstheme="minorEastAsia"/>
          <w:b/>
          <w:lang w:val="en-US" w:eastAsia="zh-CN"/>
        </w:rPr>
        <w:t xml:space="preserve"> </w:t>
      </w:r>
      <w:r>
        <w:rPr>
          <w:rFonts w:hint="eastAsia" w:asciiTheme="minorEastAsia" w:hAnsiTheme="minorEastAsia" w:eastAsiaTheme="minorEastAsia" w:cstheme="minorEastAsia"/>
          <w:b/>
        </w:rPr>
        <w:t>试验设备与试验人员</w:t>
      </w:r>
    </w:p>
    <w:bookmarkEnd w:id="377"/>
    <w:bookmarkEnd w:id="378"/>
    <w:bookmarkEnd w:id="379"/>
    <w:bookmarkEnd w:id="380"/>
    <w:bookmarkEnd w:id="381"/>
    <w:bookmarkEnd w:id="382"/>
    <w:bookmarkEnd w:id="383"/>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9</w:t>
      </w:r>
      <w:bookmarkStart w:id="384" w:name="_Toc297216194"/>
      <w:bookmarkStart w:id="385" w:name="_Toc300934984"/>
      <w:bookmarkStart w:id="386" w:name="_Toc312677497"/>
      <w:bookmarkStart w:id="387" w:name="_Toc304295561"/>
      <w:bookmarkStart w:id="388" w:name="_Toc312678023"/>
      <w:bookmarkStart w:id="389" w:name="_Toc303539141"/>
      <w:bookmarkStart w:id="390" w:name="_Toc297123535"/>
      <w:bookmarkStart w:id="391" w:name="_Toc318581174"/>
      <w:r>
        <w:rPr>
          <w:rFonts w:hint="eastAsia" w:asciiTheme="minorEastAsia" w:hAnsiTheme="minorEastAsia" w:eastAsiaTheme="minorEastAsia" w:cstheme="minorEastAsia"/>
        </w:rPr>
        <w:t>.1</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 xml:space="preserve"> 试验设备</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施工现场需要配置的试验场所：</w:t>
      </w:r>
      <w:bookmarkEnd w:id="384"/>
      <w:bookmarkEnd w:id="385"/>
      <w:bookmarkEnd w:id="386"/>
      <w:bookmarkEnd w:id="387"/>
      <w:bookmarkEnd w:id="388"/>
      <w:bookmarkEnd w:id="389"/>
      <w:bookmarkEnd w:id="390"/>
      <w:bookmarkStart w:id="392" w:name="_Toc297216195"/>
      <w:bookmarkStart w:id="393" w:name="_Toc297123536"/>
      <w:bookmarkStart w:id="394" w:name="_Toc312678024"/>
      <w:bookmarkStart w:id="395" w:name="_Toc303539142"/>
      <w:bookmarkStart w:id="396" w:name="_Toc300934985"/>
      <w:bookmarkStart w:id="397" w:name="_Toc304295562"/>
      <w:bookmarkStart w:id="398" w:name="_Toc312677498"/>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施工现场需要配备的试验设备：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施工现场需要具备的其他试验条件：</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9.</w:t>
      </w:r>
      <w:r>
        <w:rPr>
          <w:rFonts w:hint="eastAsia" w:asciiTheme="minorEastAsia" w:hAnsiTheme="minorEastAsia" w:eastAsiaTheme="minorEastAsia" w:cstheme="minorEastAsia"/>
          <w:lang w:val="en-US" w:eastAsia="zh-CN"/>
        </w:rPr>
        <w:t xml:space="preserve">1.2 </w:t>
      </w:r>
      <w:r>
        <w:rPr>
          <w:rFonts w:hint="eastAsia" w:asciiTheme="minorEastAsia" w:hAnsiTheme="minorEastAsia" w:eastAsiaTheme="minorEastAsia" w:cstheme="minorEastAsia"/>
        </w:rPr>
        <w:t xml:space="preserve">现场工艺试验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现场工艺试验的有关约定：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391"/>
    <w:bookmarkEnd w:id="392"/>
    <w:bookmarkEnd w:id="393"/>
    <w:bookmarkEnd w:id="394"/>
    <w:bookmarkEnd w:id="395"/>
    <w:bookmarkEnd w:id="396"/>
    <w:bookmarkEnd w:id="397"/>
    <w:bookmarkEnd w:id="398"/>
    <w:p>
      <w:pPr>
        <w:pStyle w:val="28"/>
        <w:spacing w:line="360" w:lineRule="auto"/>
        <w:ind w:right="0"/>
        <w:rPr>
          <w:rFonts w:asciiTheme="minorEastAsia" w:hAnsiTheme="minorEastAsia" w:eastAsiaTheme="minorEastAsia" w:cstheme="minorEastAsia"/>
          <w:b/>
          <w:bCs/>
        </w:rPr>
      </w:pPr>
      <w:bookmarkStart w:id="399" w:name="_Toc351203642"/>
      <w:r>
        <w:rPr>
          <w:rFonts w:hint="eastAsia" w:asciiTheme="minorEastAsia" w:hAnsiTheme="minorEastAsia" w:eastAsiaTheme="minorEastAsia" w:cstheme="minorEastAsia"/>
          <w:b/>
          <w:bCs/>
        </w:rPr>
        <w:t>1</w:t>
      </w:r>
      <w:bookmarkEnd w:id="365"/>
      <w:bookmarkEnd w:id="366"/>
      <w:bookmarkEnd w:id="367"/>
      <w:bookmarkEnd w:id="368"/>
      <w:bookmarkEnd w:id="369"/>
      <w:bookmarkEnd w:id="370"/>
      <w:bookmarkEnd w:id="371"/>
      <w:bookmarkEnd w:id="372"/>
      <w:bookmarkEnd w:id="373"/>
      <w:bookmarkEnd w:id="374"/>
      <w:bookmarkEnd w:id="375"/>
      <w:bookmarkEnd w:id="376"/>
      <w:bookmarkStart w:id="400" w:name="_Toc296346694"/>
      <w:bookmarkStart w:id="401" w:name="_Toc303539146"/>
      <w:bookmarkStart w:id="402" w:name="_Toc296944532"/>
      <w:bookmarkStart w:id="403" w:name="_Toc297216199"/>
      <w:bookmarkStart w:id="404" w:name="_Toc296347192"/>
      <w:bookmarkStart w:id="405" w:name="_Toc296891233"/>
      <w:bookmarkStart w:id="406" w:name="_Toc292559903"/>
      <w:bookmarkStart w:id="407" w:name="_Toc297048379"/>
      <w:bookmarkStart w:id="408" w:name="_Toc304295566"/>
      <w:bookmarkStart w:id="409" w:name="_Toc297120493"/>
      <w:bookmarkStart w:id="410" w:name="_Toc296503193"/>
      <w:bookmarkStart w:id="411" w:name="_Toc297123540"/>
      <w:bookmarkStart w:id="412" w:name="_Toc292559398"/>
      <w:bookmarkStart w:id="413" w:name="_Toc300934989"/>
      <w:bookmarkStart w:id="414" w:name="_Toc296891021"/>
      <w:bookmarkStart w:id="415" w:name="_Toc312678025"/>
      <w:bookmarkStart w:id="416" w:name="_Toc312677499"/>
      <w:bookmarkStart w:id="417" w:name="_Toc267251441"/>
      <w:bookmarkStart w:id="418" w:name="_Toc267251433"/>
      <w:bookmarkStart w:id="419" w:name="_Toc267251437"/>
      <w:bookmarkStart w:id="420" w:name="_Toc267251439"/>
      <w:bookmarkStart w:id="421" w:name="_Toc267251435"/>
      <w:bookmarkStart w:id="422" w:name="_Toc267251440"/>
      <w:bookmarkStart w:id="423" w:name="_Toc267251442"/>
      <w:r>
        <w:rPr>
          <w:rFonts w:hint="eastAsia" w:asciiTheme="minorEastAsia" w:hAnsiTheme="minorEastAsia" w:eastAsiaTheme="minorEastAsia" w:cstheme="minorEastAsia"/>
          <w:b/>
          <w:bCs/>
        </w:rPr>
        <w:t>0. 变更</w:t>
      </w:r>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p>
    <w:bookmarkEnd w:id="415"/>
    <w:bookmarkEnd w:id="416"/>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24" w:name="_Toc296347193"/>
      <w:bookmarkStart w:id="425" w:name="_Toc312678026"/>
      <w:bookmarkStart w:id="426" w:name="_Toc296503194"/>
      <w:bookmarkStart w:id="427" w:name="_Toc296944533"/>
      <w:bookmarkStart w:id="428" w:name="_Toc292559904"/>
      <w:bookmarkStart w:id="429" w:name="_Toc297048380"/>
      <w:bookmarkStart w:id="430" w:name="_Toc297216200"/>
      <w:bookmarkStart w:id="431" w:name="_Toc304295567"/>
      <w:bookmarkStart w:id="432" w:name="_Toc297120494"/>
      <w:bookmarkStart w:id="433" w:name="_Toc296346695"/>
      <w:bookmarkStart w:id="434" w:name="_Toc300934990"/>
      <w:bookmarkStart w:id="435" w:name="_Toc312677500"/>
      <w:bookmarkStart w:id="436" w:name="_Toc296891234"/>
      <w:bookmarkStart w:id="437" w:name="_Toc303539147"/>
      <w:bookmarkStart w:id="438" w:name="_Toc292559399"/>
      <w:bookmarkStart w:id="439" w:name="_Toc296891022"/>
      <w:bookmarkStart w:id="440" w:name="_Toc297123541"/>
      <w:r>
        <w:rPr>
          <w:rFonts w:hint="eastAsia" w:asciiTheme="minorEastAsia" w:hAnsiTheme="minorEastAsia" w:eastAsiaTheme="minorEastAsia" w:cstheme="minorEastAsia"/>
          <w:b/>
        </w:rPr>
        <w:t>0.1</w:t>
      </w:r>
      <w:r>
        <w:rPr>
          <w:rFonts w:hint="eastAsia" w:asciiTheme="minorEastAsia" w:hAnsiTheme="minorEastAsia" w:eastAsiaTheme="minorEastAsia" w:cstheme="minorEastAsia"/>
          <w:b/>
          <w:lang w:val="en-US" w:eastAsia="zh-CN"/>
        </w:rPr>
        <w:t xml:space="preserve"> </w:t>
      </w:r>
      <w:r>
        <w:rPr>
          <w:rFonts w:hint="eastAsia" w:asciiTheme="minorEastAsia" w:hAnsiTheme="minorEastAsia" w:eastAsiaTheme="minorEastAsia" w:cstheme="minorEastAsia"/>
          <w:b/>
        </w:rPr>
        <w:t>变更的范围</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关于变更的范围的约定：</w:t>
      </w:r>
      <w:r>
        <w:rPr>
          <w:rFonts w:hint="eastAsia" w:asciiTheme="minorEastAsia" w:hAnsiTheme="minorEastAsia" w:eastAsiaTheme="minorEastAsia" w:cstheme="minorEastAsia"/>
          <w:bCs/>
          <w:u w:val="single"/>
        </w:rPr>
        <w:t xml:space="preserve">                       </w:t>
      </w:r>
      <w:r>
        <w:rPr>
          <w:rFonts w:hint="eastAsia" w:asciiTheme="minorEastAsia" w:hAnsiTheme="minorEastAsia" w:eastAsiaTheme="minorEastAsia" w:cstheme="minorEastAsia"/>
          <w:u w:val="single"/>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变更估价</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w:t>
      </w:r>
      <w:r>
        <w:rPr>
          <w:rFonts w:hint="eastAsia" w:asciiTheme="minorEastAsia" w:hAnsiTheme="minorEastAsia" w:eastAsiaTheme="minorEastAsia" w:cstheme="minorEastAsia"/>
          <w:b/>
          <w:lang w:val="en-US" w:eastAsia="zh-CN"/>
        </w:rPr>
        <w:t>3</w:t>
      </w:r>
      <w:r>
        <w:rPr>
          <w:rFonts w:hint="eastAsia" w:asciiTheme="minorEastAsia" w:hAnsiTheme="minorEastAsia" w:eastAsiaTheme="minorEastAsia" w:cstheme="minorEastAsia"/>
          <w:b/>
        </w:rPr>
        <w:t xml:space="preserve"> 变更估价原则</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关于变更估价的约定: </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Start w:id="441" w:name="_Toc292559907"/>
      <w:bookmarkStart w:id="442" w:name="_Toc303539150"/>
      <w:bookmarkStart w:id="443" w:name="_Toc296347196"/>
      <w:bookmarkStart w:id="444" w:name="_Toc296346698"/>
      <w:bookmarkStart w:id="445" w:name="_Toc297048383"/>
      <w:bookmarkStart w:id="446" w:name="_Toc296891025"/>
      <w:bookmarkStart w:id="447" w:name="_Toc296891237"/>
      <w:bookmarkStart w:id="448" w:name="_Toc297120497"/>
      <w:bookmarkStart w:id="449" w:name="_Toc300934993"/>
      <w:bookmarkStart w:id="450" w:name="_Toc296503197"/>
      <w:bookmarkStart w:id="451" w:name="_Toc297216203"/>
      <w:bookmarkStart w:id="452" w:name="_Toc296944536"/>
      <w:bookmarkStart w:id="453" w:name="_Toc292559402"/>
      <w:bookmarkStart w:id="454" w:name="_Toc297123544"/>
      <w:bookmarkStart w:id="455" w:name="_Toc304295570"/>
      <w:bookmarkStart w:id="456" w:name="_Toc312677503"/>
      <w:bookmarkStart w:id="457" w:name="_Toc312678029"/>
      <w:r>
        <w:rPr>
          <w:rFonts w:hint="eastAsia" w:asciiTheme="minorEastAsia" w:hAnsiTheme="minorEastAsia" w:eastAsiaTheme="minorEastAsia" w:cstheme="minorEastAsia"/>
        </w:rPr>
        <w:t>0.</w:t>
      </w:r>
      <w:r>
        <w:rPr>
          <w:rFonts w:hint="eastAsia" w:asciiTheme="minorEastAsia" w:hAnsiTheme="minorEastAsia" w:eastAsiaTheme="minorEastAsia" w:cstheme="minorEastAsia"/>
          <w:lang w:val="en-US" w:eastAsia="zh-CN"/>
        </w:rPr>
        <w:t xml:space="preserve">4 </w:t>
      </w:r>
      <w:r>
        <w:rPr>
          <w:rFonts w:hint="eastAsia" w:asciiTheme="minorEastAsia" w:hAnsiTheme="minorEastAsia" w:eastAsiaTheme="minorEastAsia" w:cstheme="minorEastAsia"/>
        </w:rPr>
        <w:t>承</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Start w:id="458" w:name="_Toc296503203"/>
      <w:bookmarkStart w:id="459" w:name="_Toc303539151"/>
      <w:bookmarkStart w:id="460" w:name="_Toc292559913"/>
      <w:bookmarkStart w:id="461" w:name="_Toc296891031"/>
      <w:bookmarkStart w:id="462" w:name="_Toc297120503"/>
      <w:bookmarkStart w:id="463" w:name="_Toc296347202"/>
      <w:bookmarkStart w:id="464" w:name="_Toc297123545"/>
      <w:bookmarkStart w:id="465" w:name="_Toc292559408"/>
      <w:bookmarkStart w:id="466" w:name="_Toc297216204"/>
      <w:bookmarkStart w:id="467" w:name="_Toc297048389"/>
      <w:bookmarkStart w:id="468" w:name="_Toc296944542"/>
      <w:bookmarkStart w:id="469" w:name="_Toc296346704"/>
      <w:bookmarkStart w:id="470" w:name="_Toc296891243"/>
      <w:bookmarkStart w:id="471" w:name="_Toc300934994"/>
      <w:r>
        <w:rPr>
          <w:rFonts w:hint="eastAsia" w:asciiTheme="minorEastAsia" w:hAnsiTheme="minorEastAsia" w:eastAsiaTheme="minorEastAsia" w:cstheme="minorEastAsia"/>
        </w:rPr>
        <w:t>包人的合理化建议</w:t>
      </w:r>
    </w:p>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监理人审查承包人合理化建议的期限：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发包人审批承包人合理化建议的期限：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w:t>
      </w:r>
      <w:bookmarkStart w:id="472" w:name="_Toc297048390"/>
      <w:bookmarkStart w:id="473" w:name="_Toc296347203"/>
      <w:bookmarkStart w:id="474" w:name="_Toc296891244"/>
      <w:bookmarkStart w:id="475" w:name="_Toc304295571"/>
      <w:bookmarkStart w:id="476" w:name="_Toc303539152"/>
      <w:bookmarkStart w:id="477" w:name="_Toc312677504"/>
      <w:bookmarkStart w:id="478" w:name="_Toc296891032"/>
      <w:bookmarkStart w:id="479" w:name="_Toc296944543"/>
      <w:bookmarkStart w:id="480" w:name="_Toc292559914"/>
      <w:bookmarkStart w:id="481" w:name="_Toc292559409"/>
      <w:bookmarkStart w:id="482" w:name="_Toc296346705"/>
      <w:bookmarkStart w:id="483" w:name="_Toc297216205"/>
      <w:bookmarkStart w:id="484" w:name="_Toc318581175"/>
      <w:bookmarkStart w:id="485" w:name="_Toc312678030"/>
      <w:bookmarkStart w:id="486" w:name="_Toc297120504"/>
      <w:bookmarkStart w:id="487" w:name="_Toc300934995"/>
      <w:bookmarkStart w:id="488" w:name="_Toc297123546"/>
      <w:bookmarkStart w:id="489" w:name="_Toc296503204"/>
      <w:r>
        <w:rPr>
          <w:rFonts w:hint="eastAsia" w:asciiTheme="minorEastAsia" w:hAnsiTheme="minorEastAsia" w:eastAsiaTheme="minorEastAsia" w:cstheme="minorEastAsia"/>
        </w:rPr>
        <w:t>包人提出的合理化建议降低了合同价格或者提高了工程经济效益的奖励的方法和金额为：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w:t>
      </w:r>
      <w:bookmarkStart w:id="490" w:name="_Toc296346700"/>
      <w:bookmarkStart w:id="491" w:name="_Toc296891239"/>
      <w:bookmarkStart w:id="492" w:name="_Toc297048385"/>
      <w:bookmarkStart w:id="493" w:name="_Toc296891027"/>
      <w:bookmarkStart w:id="494" w:name="_Toc296347198"/>
      <w:bookmarkStart w:id="495" w:name="_Toc312678033"/>
      <w:bookmarkStart w:id="496" w:name="_Toc296503199"/>
      <w:bookmarkStart w:id="497" w:name="_Toc300934997"/>
      <w:bookmarkStart w:id="498" w:name="_Toc297123548"/>
      <w:bookmarkStart w:id="499" w:name="_Toc304295574"/>
      <w:bookmarkStart w:id="500" w:name="_Toc292559909"/>
      <w:bookmarkStart w:id="501" w:name="_Toc297216207"/>
      <w:bookmarkStart w:id="502" w:name="_Toc297120499"/>
      <w:bookmarkStart w:id="503" w:name="_Toc312677507"/>
      <w:bookmarkStart w:id="504" w:name="_Toc292559404"/>
      <w:bookmarkStart w:id="505" w:name="_Toc303539154"/>
      <w:bookmarkStart w:id="506" w:name="_Toc296944538"/>
      <w:r>
        <w:rPr>
          <w:rFonts w:hint="eastAsia" w:asciiTheme="minorEastAsia" w:hAnsiTheme="minorEastAsia" w:eastAsiaTheme="minorEastAsia" w:cstheme="minorEastAsia"/>
          <w:b/>
        </w:rPr>
        <w:t>0.</w:t>
      </w:r>
      <w:r>
        <w:rPr>
          <w:rFonts w:hint="eastAsia" w:asciiTheme="minorEastAsia" w:hAnsiTheme="minorEastAsia" w:eastAsiaTheme="minorEastAsia" w:cstheme="minorEastAsia"/>
          <w:b/>
          <w:lang w:val="en-US" w:eastAsia="zh-CN"/>
        </w:rPr>
        <w:t>5</w:t>
      </w:r>
      <w:r>
        <w:rPr>
          <w:rFonts w:hint="eastAsia" w:asciiTheme="minorEastAsia" w:hAnsiTheme="minorEastAsia" w:eastAsiaTheme="minorEastAsia" w:cstheme="minorEastAsia"/>
          <w:b/>
        </w:rPr>
        <w:t xml:space="preserve"> 暂估价</w:t>
      </w:r>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Start w:id="507" w:name="_Toc318581176"/>
      <w:bookmarkStart w:id="508" w:name="_Toc312677508"/>
      <w:bookmarkStart w:id="509" w:name="_Toc312678034"/>
    </w:p>
    <w:bookmarkEnd w:id="507"/>
    <w:bookmarkEnd w:id="508"/>
    <w:bookmarkEnd w:id="509"/>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Start w:id="510" w:name="_Toc312678035"/>
      <w:bookmarkStart w:id="511" w:name="_Toc318581177"/>
      <w:bookmarkStart w:id="512" w:name="_Toc312677509"/>
      <w:r>
        <w:rPr>
          <w:rFonts w:hint="eastAsia" w:asciiTheme="minorEastAsia" w:hAnsiTheme="minorEastAsia" w:eastAsiaTheme="minorEastAsia" w:cstheme="minorEastAsia"/>
        </w:rPr>
        <w:t>0.</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.1 依法必须招标的暂估价项目</w:t>
      </w:r>
    </w:p>
    <w:bookmarkEnd w:id="510"/>
    <w:bookmarkEnd w:id="511"/>
    <w:bookmarkEnd w:id="512"/>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对于依法必须招标的暂估价项目的确认和批准采取招标方式确定。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10.</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.2 不属于依法必须招标的暂估价项目</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对于不属于依法必须招标的暂估价项目的确认和批准采取直接实施方式确定。</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第3种方式：承包人直接实施的暂估价项目</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承包人直接实施的暂估价项目的约定：</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10.</w:t>
      </w:r>
      <w:r>
        <w:rPr>
          <w:rFonts w:hint="eastAsia" w:asciiTheme="minorEastAsia" w:hAnsiTheme="minorEastAsia" w:eastAsiaTheme="minorEastAsia" w:cstheme="minorEastAsia"/>
          <w:b/>
          <w:lang w:val="en-US" w:eastAsia="zh-CN"/>
        </w:rPr>
        <w:t xml:space="preserve">6 </w:t>
      </w:r>
      <w:r>
        <w:rPr>
          <w:rFonts w:hint="eastAsia" w:asciiTheme="minorEastAsia" w:hAnsiTheme="minorEastAsia" w:eastAsiaTheme="minorEastAsia" w:cstheme="minorEastAsia"/>
          <w:b/>
        </w:rPr>
        <w:t>暂列金额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合同当事人关于暂列金额使用的约定：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b/>
          <w:bCs/>
        </w:rPr>
        <w:t>。</w:t>
      </w:r>
    </w:p>
    <w:p>
      <w:pPr>
        <w:pStyle w:val="28"/>
        <w:spacing w:line="360" w:lineRule="auto"/>
        <w:ind w:right="0"/>
        <w:rPr>
          <w:rFonts w:asciiTheme="minorEastAsia" w:hAnsiTheme="minorEastAsia" w:eastAsiaTheme="minorEastAsia" w:cstheme="minorEastAsia"/>
          <w:b/>
          <w:bCs/>
        </w:rPr>
      </w:pPr>
      <w:bookmarkStart w:id="513" w:name="_Toc351203643"/>
      <w:r>
        <w:rPr>
          <w:rFonts w:hint="eastAsia" w:asciiTheme="minorEastAsia" w:hAnsiTheme="minorEastAsia" w:eastAsiaTheme="minorEastAsia" w:cstheme="minorEastAsia"/>
          <w:b/>
          <w:bCs/>
        </w:rPr>
        <w:t>11. 价格调整</w:t>
      </w:r>
      <w:bookmarkEnd w:id="513"/>
    </w:p>
    <w:p>
      <w:pPr>
        <w:pStyle w:val="28"/>
        <w:spacing w:line="360" w:lineRule="auto"/>
        <w:ind w:right="0"/>
        <w:rPr>
          <w:rFonts w:asciiTheme="minorEastAsia" w:hAnsiTheme="minorEastAsia" w:eastAsiaTheme="minorEastAsia" w:cstheme="minorEastAsia"/>
          <w:b/>
        </w:rPr>
      </w:pPr>
      <w:bookmarkStart w:id="514" w:name="_Toc296347200"/>
      <w:bookmarkStart w:id="515" w:name="_Toc296944540"/>
      <w:bookmarkStart w:id="516" w:name="_Toc304295577"/>
      <w:bookmarkStart w:id="517" w:name="_Toc297216209"/>
      <w:bookmarkStart w:id="518" w:name="_Toc296503201"/>
      <w:bookmarkStart w:id="519" w:name="_Toc296891241"/>
      <w:bookmarkStart w:id="520" w:name="_Toc292559911"/>
      <w:bookmarkStart w:id="521" w:name="_Toc303539157"/>
      <w:bookmarkStart w:id="522" w:name="_Toc300935000"/>
      <w:bookmarkStart w:id="523" w:name="_Toc297123550"/>
      <w:bookmarkStart w:id="524" w:name="_Toc296891029"/>
      <w:bookmarkStart w:id="525" w:name="_Toc292559406"/>
      <w:bookmarkStart w:id="526" w:name="_Toc312678039"/>
      <w:bookmarkStart w:id="527" w:name="_Toc297048387"/>
      <w:bookmarkStart w:id="528" w:name="_Toc297120501"/>
      <w:bookmarkStart w:id="529" w:name="_Toc296346702"/>
      <w:r>
        <w:rPr>
          <w:rFonts w:hint="eastAsia" w:asciiTheme="minorEastAsia" w:hAnsiTheme="minorEastAsia" w:eastAsiaTheme="minorEastAsia" w:cstheme="minorEastAsia"/>
          <w:b/>
        </w:rPr>
        <w:t>11.1 市场价格波动引起的调整</w:t>
      </w:r>
    </w:p>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p>
      <w:pPr>
        <w:pStyle w:val="28"/>
        <w:spacing w:line="360" w:lineRule="auto"/>
        <w:ind w:right="0"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（1）市场价格波动是否调整合同价格的约定：</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因市场价格波动调整合同价格，采用以下第</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种方式对合同价格进行调整：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第1种方式：采用价格指数进行价格调整。</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关于各可调因子、定值和变值权重，以及基本价格指数及其来源的约定：</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第2种方式：采用造价信息进行价格调整。</w:t>
      </w:r>
    </w:p>
    <w:p>
      <w:pPr>
        <w:pStyle w:val="28"/>
        <w:spacing w:line="360" w:lineRule="auto"/>
        <w:ind w:right="0" w:firstLine="240" w:firstLineChars="100"/>
        <w:rPr>
          <w:rFonts w:asciiTheme="minorEastAsia" w:hAnsiTheme="minorEastAsia" w:eastAsiaTheme="minorEastAsia" w:cstheme="minorEastAsia"/>
        </w:rPr>
      </w:pPr>
      <w:r>
        <w:rPr>
          <w:rFonts w:hint="eastAsia" w:asciiTheme="minorEastAsia" w:hAnsiTheme="minorEastAsia" w:eastAsiaTheme="minorEastAsia" w:cstheme="minorEastAsia"/>
        </w:rPr>
        <w:t>（2）关于基准价格的约定：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专用合同条款①承包人在已标价工程量清单或预算书中载明材料单价低于基准价格的：专用合同条款合同履行期间材料单价涨幅以基准价格为基础超过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时，或材料单价跌幅以在已标价工程量清单或预算书中载明材料单价为基础超过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时，其超过部分据实调整。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②承包人在已标价工程量清单或预算书中载明材料单价高于基准价格的：专用合同条款合同履行期间材料单价跌幅以基准价格为基础超过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时，材料单价涨幅以在已标价工程量清单或预算书中载明材料单价为基础超过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③承包人在已标价工程量清单或预算书中载明材料单价等于基准价格的：专用合同条款合同履行期间材料单价涨跌幅以基准价格为基础超过</w:t>
      </w:r>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时，其超过部分据实调整。</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第3种方式：其他价格调整方式：</w:t>
      </w:r>
      <w:r>
        <w:rPr>
          <w:rFonts w:hint="eastAsia" w:asciiTheme="minorEastAsia" w:hAnsiTheme="minorEastAsia" w:eastAsiaTheme="minorEastAsia" w:cstheme="minorEastAsia"/>
          <w:u w:val="single"/>
        </w:rPr>
        <w:t xml:space="preserve">   /         。</w:t>
      </w:r>
    </w:p>
    <w:bookmarkEnd w:id="417"/>
    <w:bookmarkEnd w:id="418"/>
    <w:bookmarkEnd w:id="419"/>
    <w:bookmarkEnd w:id="420"/>
    <w:bookmarkEnd w:id="421"/>
    <w:bookmarkEnd w:id="422"/>
    <w:p>
      <w:pPr>
        <w:pStyle w:val="28"/>
        <w:spacing w:line="360" w:lineRule="auto"/>
        <w:ind w:right="0"/>
        <w:rPr>
          <w:rFonts w:asciiTheme="minorEastAsia" w:hAnsiTheme="minorEastAsia" w:eastAsiaTheme="minorEastAsia" w:cstheme="minorEastAsia"/>
          <w:b/>
          <w:bCs/>
        </w:rPr>
      </w:pPr>
      <w:bookmarkStart w:id="530" w:name="_Toc296503205"/>
      <w:bookmarkStart w:id="531" w:name="_Toc296891245"/>
      <w:bookmarkStart w:id="532" w:name="_Toc297048391"/>
      <w:bookmarkStart w:id="533" w:name="_Toc296347204"/>
      <w:bookmarkStart w:id="534" w:name="_Toc297120505"/>
      <w:bookmarkStart w:id="535" w:name="_Toc296346706"/>
      <w:bookmarkStart w:id="536" w:name="_Toc296891033"/>
      <w:bookmarkStart w:id="537" w:name="_Toc292559915"/>
      <w:bookmarkStart w:id="538" w:name="_Toc292559410"/>
      <w:bookmarkStart w:id="539" w:name="_Toc296944544"/>
      <w:bookmarkStart w:id="540" w:name="_Toc351203644"/>
      <w:bookmarkStart w:id="541" w:name="_Toc300935002"/>
      <w:bookmarkStart w:id="542" w:name="_Toc312678040"/>
      <w:bookmarkStart w:id="543" w:name="_Toc303539159"/>
      <w:bookmarkStart w:id="544" w:name="_Toc304295579"/>
      <w:bookmarkStart w:id="545" w:name="_Toc297216211"/>
      <w:bookmarkStart w:id="546" w:name="_Toc297123552"/>
      <w:r>
        <w:rPr>
          <w:rFonts w:hint="eastAsia" w:asciiTheme="minorEastAsia" w:hAnsiTheme="minorEastAsia" w:eastAsiaTheme="minorEastAsia" w:cstheme="minorEastAsia"/>
          <w:b/>
          <w:bCs/>
        </w:rPr>
        <w:t xml:space="preserve">12. </w:t>
      </w:r>
      <w:bookmarkEnd w:id="530"/>
      <w:bookmarkEnd w:id="531"/>
      <w:bookmarkEnd w:id="532"/>
      <w:bookmarkEnd w:id="533"/>
      <w:bookmarkEnd w:id="534"/>
      <w:bookmarkEnd w:id="535"/>
      <w:bookmarkEnd w:id="536"/>
      <w:bookmarkEnd w:id="537"/>
      <w:bookmarkEnd w:id="538"/>
      <w:bookmarkEnd w:id="539"/>
      <w:r>
        <w:rPr>
          <w:rFonts w:hint="eastAsia" w:asciiTheme="minorEastAsia" w:hAnsiTheme="minorEastAsia" w:eastAsiaTheme="minorEastAsia" w:cstheme="minorEastAsia"/>
          <w:b/>
          <w:bCs/>
        </w:rPr>
        <w:t>合同价格、计量与支付</w:t>
      </w:r>
      <w:bookmarkEnd w:id="540"/>
      <w:r>
        <w:rPr>
          <w:rFonts w:hint="eastAsia" w:asciiTheme="minorEastAsia" w:hAnsiTheme="minorEastAsia" w:eastAsiaTheme="minorEastAsia" w:cstheme="minorEastAsia"/>
          <w:b/>
          <w:bCs/>
        </w:rPr>
        <w:t xml:space="preserve"> </w:t>
      </w:r>
    </w:p>
    <w:p>
      <w:pPr>
        <w:pStyle w:val="28"/>
        <w:spacing w:line="360" w:lineRule="auto"/>
        <w:ind w:right="0"/>
        <w:rPr>
          <w:rFonts w:asciiTheme="minorEastAsia" w:hAnsiTheme="minorEastAsia" w:eastAsiaTheme="minorEastAsia" w:cstheme="minorEastAsia"/>
          <w:color w:val="000000" w:themeColor="text1"/>
          <w:u w:val="single"/>
          <w14:textFill>
            <w14:solidFill>
              <w14:schemeClr w14:val="tx1"/>
            </w14:solidFill>
          </w14:textFill>
        </w:rPr>
      </w:pPr>
      <w:bookmarkStart w:id="547" w:name="_Toc292559916"/>
      <w:bookmarkStart w:id="548" w:name="_Toc267251461"/>
      <w:bookmarkStart w:id="549" w:name="_Toc292559411"/>
      <w:bookmarkStart w:id="550" w:name="_Toc296346707"/>
      <w:bookmarkStart w:id="551" w:name="_Toc296891246"/>
      <w:bookmarkStart w:id="552" w:name="_Toc297048392"/>
      <w:bookmarkStart w:id="553" w:name="_Toc297120506"/>
      <w:bookmarkStart w:id="554" w:name="_Toc296347205"/>
      <w:bookmarkStart w:id="555" w:name="_Toc296891034"/>
      <w:bookmarkStart w:id="556" w:name="_Toc296503206"/>
      <w:bookmarkStart w:id="557" w:name="_Toc296944545"/>
      <w:bookmarkStart w:id="558" w:name="_Toc312678041"/>
      <w:bookmarkStart w:id="559" w:name="_Toc303539160"/>
      <w:bookmarkStart w:id="560" w:name="_Toc300935003"/>
      <w:bookmarkStart w:id="561" w:name="_Toc297123553"/>
      <w:bookmarkStart w:id="562" w:name="_Toc304295580"/>
      <w:bookmarkStart w:id="563" w:name="_Toc297216212"/>
      <w:r>
        <w:rPr>
          <w:rFonts w:hint="eastAsia" w:asciiTheme="minorEastAsia" w:hAnsiTheme="minorEastAsia" w:eastAsiaTheme="minorEastAsia" w:cstheme="minorEastAsia"/>
          <w:b/>
          <w:color w:val="000000" w:themeColor="text1"/>
          <w14:textFill>
            <w14:solidFill>
              <w14:schemeClr w14:val="tx1"/>
            </w14:solidFill>
          </w14:textFill>
        </w:rPr>
        <w:t>12.1 合</w:t>
      </w:r>
      <w:bookmarkEnd w:id="547"/>
      <w:bookmarkEnd w:id="548"/>
      <w:bookmarkEnd w:id="549"/>
      <w:r>
        <w:rPr>
          <w:rFonts w:hint="eastAsia" w:asciiTheme="minorEastAsia" w:hAnsiTheme="minorEastAsia" w:eastAsiaTheme="minorEastAsia" w:cstheme="minorEastAsia"/>
          <w:b/>
          <w:color w:val="000000" w:themeColor="text1"/>
          <w14:textFill>
            <w14:solidFill>
              <w14:schemeClr w14:val="tx1"/>
            </w14:solidFill>
          </w14:textFill>
        </w:rPr>
        <w:t>同价</w:t>
      </w:r>
      <w:bookmarkEnd w:id="550"/>
      <w:bookmarkEnd w:id="551"/>
      <w:bookmarkEnd w:id="552"/>
      <w:bookmarkEnd w:id="553"/>
      <w:bookmarkEnd w:id="554"/>
      <w:bookmarkEnd w:id="555"/>
      <w:bookmarkEnd w:id="556"/>
      <w:bookmarkEnd w:id="557"/>
      <w:r>
        <w:rPr>
          <w:rFonts w:hint="eastAsia" w:asciiTheme="minorEastAsia" w:hAnsiTheme="minorEastAsia" w:eastAsiaTheme="minorEastAsia" w:cstheme="minorEastAsia"/>
          <w:b/>
          <w:color w:val="000000" w:themeColor="text1"/>
          <w14:textFill>
            <w14:solidFill>
              <w14:schemeClr w14:val="tx1"/>
            </w14:solidFill>
          </w14:textFill>
        </w:rPr>
        <w:t>格形式：</w:t>
      </w:r>
      <w:bookmarkEnd w:id="558"/>
      <w:bookmarkEnd w:id="559"/>
      <w:bookmarkEnd w:id="560"/>
      <w:bookmarkEnd w:id="561"/>
      <w:bookmarkEnd w:id="562"/>
      <w:bookmarkEnd w:id="563"/>
      <w:r>
        <w:rPr>
          <w:rFonts w:hint="eastAsia" w:asciiTheme="minorEastAsia" w:hAnsiTheme="minorEastAsia" w:eastAsiaTheme="minorEastAsia" w:cstheme="minorEastAsia"/>
          <w:b/>
          <w:color w:val="000000" w:themeColor="text1"/>
          <w:u w:val="single"/>
          <w14:textFill>
            <w14:solidFill>
              <w14:schemeClr w14:val="tx1"/>
            </w14:solidFill>
          </w14:textFill>
        </w:rPr>
        <w:t xml:space="preserve">    /   </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综合单价包含的风险范围： </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风险费用的计算方法：</w:t>
      </w:r>
      <w:r>
        <w:rPr>
          <w:rFonts w:hint="eastAsia" w:asciiTheme="minorEastAsia" w:hAnsiTheme="minorEastAsia" w:eastAsiaTheme="minorEastAsia" w:cstheme="minorEastAsia"/>
          <w:kern w:val="0"/>
          <w:sz w:val="24"/>
          <w:u w:val="single"/>
        </w:rPr>
        <w:t xml:space="preserve">    /  。</w:t>
      </w:r>
    </w:p>
    <w:p>
      <w:pPr>
        <w:spacing w:line="360" w:lineRule="auto"/>
        <w:ind w:firstLine="480" w:firstLineChars="200"/>
        <w:jc w:val="left"/>
        <w:rPr>
          <w:rFonts w:asciiTheme="minorEastAsia" w:hAnsiTheme="minorEastAsia" w:eastAsiaTheme="minorEastAsia" w:cstheme="minorEastAsia"/>
          <w:kern w:val="0"/>
          <w:sz w:val="24"/>
          <w:u w:val="single"/>
        </w:rPr>
      </w:pPr>
      <w:r>
        <w:rPr>
          <w:rFonts w:hint="eastAsia" w:asciiTheme="minorEastAsia" w:hAnsiTheme="minorEastAsia" w:eastAsiaTheme="minorEastAsia" w:cstheme="minorEastAsia"/>
          <w:kern w:val="0"/>
          <w:sz w:val="24"/>
        </w:rPr>
        <w:t xml:space="preserve">风险范围以外合同价格的调整方法：  </w:t>
      </w:r>
      <w:r>
        <w:rPr>
          <w:rFonts w:hint="eastAsia" w:asciiTheme="minorEastAsia" w:hAnsiTheme="minorEastAsia" w:eastAsiaTheme="minorEastAsia" w:cstheme="minorEastAsia"/>
          <w:kern w:val="0"/>
          <w:sz w:val="24"/>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总价包含的风险范围：</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风险费用的计算方法：</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风险范围以外合同价格的调整方法：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bookmarkEnd w:id="541"/>
    <w:bookmarkEnd w:id="542"/>
    <w:bookmarkEnd w:id="543"/>
    <w:bookmarkEnd w:id="544"/>
    <w:bookmarkEnd w:id="545"/>
    <w:bookmarkEnd w:id="546"/>
    <w:p>
      <w:pPr>
        <w:pStyle w:val="28"/>
        <w:spacing w:line="360" w:lineRule="auto"/>
        <w:ind w:right="0"/>
        <w:rPr>
          <w:rFonts w:asciiTheme="minorEastAsia" w:hAnsiTheme="minorEastAsia" w:eastAsiaTheme="minorEastAsia" w:cstheme="minorEastAsia"/>
          <w:b/>
        </w:rPr>
      </w:pPr>
      <w:bookmarkStart w:id="564" w:name="_Toc304295581"/>
      <w:bookmarkStart w:id="565" w:name="_Toc297123554"/>
      <w:bookmarkStart w:id="566" w:name="_Toc297216213"/>
      <w:bookmarkStart w:id="567" w:name="_Toc303539161"/>
      <w:bookmarkStart w:id="568" w:name="_Toc300935004"/>
      <w:bookmarkStart w:id="569" w:name="_Toc312678042"/>
      <w:bookmarkStart w:id="570" w:name="_Toc297048393"/>
      <w:bookmarkStart w:id="571" w:name="_Toc292559917"/>
      <w:bookmarkStart w:id="572" w:name="_Toc296891035"/>
      <w:bookmarkStart w:id="573" w:name="_Toc292559412"/>
      <w:bookmarkStart w:id="574" w:name="_Toc296944546"/>
      <w:bookmarkStart w:id="575" w:name="_Toc297120507"/>
      <w:bookmarkStart w:id="576" w:name="_Toc296503207"/>
      <w:bookmarkStart w:id="577" w:name="_Toc296347206"/>
      <w:bookmarkStart w:id="578" w:name="_Toc296346708"/>
      <w:bookmarkStart w:id="579" w:name="_Toc296891247"/>
      <w:r>
        <w:rPr>
          <w:rFonts w:hint="eastAsia" w:asciiTheme="minorEastAsia" w:hAnsiTheme="minorEastAsia" w:eastAsiaTheme="minorEastAsia" w:cstheme="minorEastAsia"/>
          <w:b/>
        </w:rPr>
        <w:t>12.2 预付款</w:t>
      </w:r>
    </w:p>
    <w:bookmarkEnd w:id="564"/>
    <w:bookmarkEnd w:id="565"/>
    <w:bookmarkEnd w:id="566"/>
    <w:bookmarkEnd w:id="567"/>
    <w:bookmarkEnd w:id="568"/>
    <w:bookmarkEnd w:id="569"/>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12.2.1 预付款的支付</w:t>
      </w:r>
    </w:p>
    <w:p>
      <w:pPr>
        <w:pStyle w:val="28"/>
        <w:spacing w:line="360" w:lineRule="auto"/>
        <w:ind w:right="0"/>
        <w:rPr>
          <w:rFonts w:hint="eastAsia" w:asciiTheme="minorEastAsia" w:hAnsiTheme="minorEastAsia" w:eastAsiaTheme="minorEastAsia" w:cstheme="minorEastAsia"/>
          <w:highlight w:val="yellow"/>
        </w:rPr>
      </w:pPr>
      <w:r>
        <w:rPr>
          <w:rFonts w:hint="eastAsia" w:asciiTheme="minorEastAsia" w:hAnsiTheme="minorEastAsia" w:eastAsiaTheme="minorEastAsia" w:cstheme="minorEastAsia"/>
          <w:highlight w:val="none"/>
        </w:rPr>
        <w:t>预付款支付比例或金额：</w:t>
      </w:r>
      <w:r>
        <w:rPr>
          <w:rFonts w:hint="eastAsia" w:asciiTheme="minorEastAsia" w:hAnsiTheme="minorEastAsia" w:eastAsiaTheme="minorEastAsia" w:cstheme="minorEastAsia"/>
          <w:highlight w:val="none"/>
          <w:u w:val="single"/>
        </w:rPr>
        <w:t xml:space="preserve">    /  </w:t>
      </w:r>
      <w:r>
        <w:rPr>
          <w:rFonts w:hint="eastAsia" w:asciiTheme="minorEastAsia" w:hAnsiTheme="minorEastAsia" w:eastAsiaTheme="minorEastAsia" w:cstheme="minorEastAsia"/>
          <w:highlight w:val="non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预付款支付期限：</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color w:val="000000" w:themeColor="text1"/>
          <w14:textFill>
            <w14:solidFill>
              <w14:schemeClr w14:val="tx1"/>
            </w14:solidFill>
          </w14:textFill>
        </w:rPr>
      </w:pPr>
      <w:r>
        <w:rPr>
          <w:rFonts w:hint="eastAsia" w:asciiTheme="minorEastAsia" w:hAnsiTheme="minorEastAsia" w:eastAsiaTheme="minorEastAsia" w:cstheme="minorEastAsia"/>
          <w:color w:val="000000" w:themeColor="text1"/>
          <w14:textFill>
            <w14:solidFill>
              <w14:schemeClr w14:val="tx1"/>
            </w14:solidFill>
          </w14:textFill>
        </w:rPr>
        <w:t>预付款扣回的方式：</w:t>
      </w:r>
      <w:r>
        <w:rPr>
          <w:rFonts w:hint="eastAsia" w:asciiTheme="minorEastAsia" w:hAnsiTheme="minorEastAsia" w:eastAsiaTheme="minorEastAsia" w:cstheme="minorEastAsia"/>
          <w:color w:val="000000" w:themeColor="text1"/>
          <w:u w:val="single"/>
          <w14:textFill>
            <w14:solidFill>
              <w14:schemeClr w14:val="tx1"/>
            </w14:solidFill>
          </w14:textFill>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12.2.2 预付款担保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承包人提交预付款担保的期限：</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预付款担保的形式为：</w:t>
      </w:r>
      <w:r>
        <w:rPr>
          <w:rFonts w:hint="eastAsia" w:asciiTheme="minorEastAsia" w:hAnsiTheme="minorEastAsia" w:eastAsiaTheme="minorEastAsia" w:cstheme="minorEastAsia"/>
          <w:u w:val="single"/>
        </w:rPr>
        <w:t xml:space="preserve">                 /            </w:t>
      </w:r>
    </w:p>
    <w:bookmarkEnd w:id="570"/>
    <w:bookmarkEnd w:id="571"/>
    <w:bookmarkEnd w:id="572"/>
    <w:bookmarkEnd w:id="573"/>
    <w:bookmarkEnd w:id="574"/>
    <w:bookmarkEnd w:id="575"/>
    <w:bookmarkEnd w:id="576"/>
    <w:bookmarkEnd w:id="577"/>
    <w:bookmarkEnd w:id="578"/>
    <w:bookmarkEnd w:id="579"/>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12.3 计量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12.3.1 计量原则</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工程量计算规则：</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12.3.2 计量周期</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关于计量周期的约定：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12.3.3 单价合同的计量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关于单价合同计量的约定：</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12.3.4 总价合同的计量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关于总价合同计量的约定：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12.3.5</w:t>
      </w:r>
      <w:r>
        <w:rPr>
          <w:rFonts w:hint="eastAsia" w:asciiTheme="minorEastAsia" w:hAnsiTheme="minorEastAsia" w:eastAsiaTheme="minorEastAsia" w:cstheme="minorEastAsia"/>
          <w:lang w:val="en-US" w:eastAsia="zh-CN"/>
        </w:rPr>
        <w:t xml:space="preserve"> </w:t>
      </w:r>
      <w:r>
        <w:rPr>
          <w:rFonts w:hint="eastAsia" w:asciiTheme="minorEastAsia" w:hAnsiTheme="minorEastAsia" w:eastAsiaTheme="minorEastAsia" w:cstheme="minorEastAsia"/>
        </w:rPr>
        <w:t>总价合同采用支付分解表计量支付的，是否适用第12.3.4 项〔总价合同的计量〕约定进行计量：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12.3.6 其他价格形式合同的计量</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其他价格形式的计量方式和程序：</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12.4 工程进度款支付</w:t>
      </w:r>
    </w:p>
    <w:p>
      <w:pPr>
        <w:pStyle w:val="28"/>
        <w:spacing w:line="360" w:lineRule="auto"/>
        <w:ind w:right="0"/>
        <w:rPr>
          <w:rFonts w:asciiTheme="minorEastAsia" w:hAnsiTheme="minorEastAsia" w:eastAsiaTheme="minorEastAsia" w:cstheme="minorEastAsia"/>
        </w:rPr>
      </w:pPr>
      <w:bookmarkStart w:id="580" w:name="_Toc303539163"/>
      <w:bookmarkStart w:id="581" w:name="_Toc292559921"/>
      <w:bookmarkStart w:id="582" w:name="_Toc292559416"/>
      <w:bookmarkStart w:id="583" w:name="_Toc296891251"/>
      <w:bookmarkStart w:id="584" w:name="_Toc296346712"/>
      <w:bookmarkStart w:id="585" w:name="_Toc297048397"/>
      <w:bookmarkStart w:id="586" w:name="_Toc297123556"/>
      <w:bookmarkStart w:id="587" w:name="_Toc297216215"/>
      <w:bookmarkStart w:id="588" w:name="_Toc297120511"/>
      <w:bookmarkStart w:id="589" w:name="_Toc300935006"/>
      <w:bookmarkStart w:id="590" w:name="_Toc296944550"/>
      <w:bookmarkStart w:id="591" w:name="_Toc296503211"/>
      <w:bookmarkStart w:id="592" w:name="_Toc296891039"/>
      <w:bookmarkStart w:id="593" w:name="_Toc296347210"/>
      <w:r>
        <w:rPr>
          <w:rFonts w:hint="eastAsia" w:asciiTheme="minorEastAsia" w:hAnsiTheme="minorEastAsia" w:eastAsiaTheme="minorEastAsia" w:cstheme="minorEastAsia"/>
        </w:rPr>
        <w:t>12.4.1 付款周期</w:t>
      </w:r>
    </w:p>
    <w:p>
      <w:pPr>
        <w:pStyle w:val="28"/>
        <w:spacing w:line="360" w:lineRule="auto"/>
        <w:ind w:left="0" w:right="0" w:firstLine="360" w:firstLineChars="150"/>
        <w:rPr>
          <w:rFonts w:asciiTheme="minorEastAsia" w:hAnsiTheme="minorEastAsia" w:eastAsiaTheme="minorEastAsia" w:cstheme="minorEastAsia"/>
          <w:color w:val="0000FF"/>
          <w:highlight w:val="none"/>
        </w:rPr>
      </w:pPr>
      <w:r>
        <w:rPr>
          <w:rFonts w:hint="eastAsia" w:asciiTheme="minorEastAsia" w:hAnsiTheme="minorEastAsia" w:eastAsiaTheme="minorEastAsia" w:cstheme="minorEastAsia"/>
          <w:highlight w:val="none"/>
        </w:rPr>
        <w:t>关于付款周期的约定：</w:t>
      </w:r>
      <w:r>
        <w:rPr>
          <w:rFonts w:hint="eastAsia" w:asciiTheme="minorEastAsia" w:hAnsiTheme="minorEastAsia" w:eastAsiaTheme="minorEastAsia" w:cstheme="minorEastAsia"/>
          <w:highlight w:val="none"/>
          <w:u w:val="single"/>
          <w:lang w:eastAsia="zh-CN"/>
        </w:rPr>
        <w:t>以双方签订合同约定为准</w:t>
      </w:r>
      <w:r>
        <w:rPr>
          <w:rFonts w:hint="eastAsia" w:asciiTheme="minorEastAsia" w:hAnsiTheme="minorEastAsia" w:eastAsiaTheme="minorEastAsia" w:cstheme="minorEastAsia"/>
          <w:color w:val="0000FF"/>
          <w:highlight w:val="none"/>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12.4.2 进度付款申请单的编制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关于进度付款申请单编制的约定：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r>
        <w:rPr>
          <w:rFonts w:hint="eastAsia" w:asciiTheme="minorEastAsia" w:hAnsiTheme="minorEastAsia" w:eastAsiaTheme="minorEastAsia" w:cstheme="minorEastAsia"/>
        </w:rPr>
        <w:t>2.4.3 进度付款申请单的提交</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（2）总价合同进度付款申请单提交的约定：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（3）其他价格形式合同进度付款申请单提交的约定：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12.4.4 进度款审核和支付</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（1）监理人审查并报送发包人的期限：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发包人完成审批并签发进度款支付证书的期限：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left="0" w:right="0" w:firstLine="360" w:firstLineChars="150"/>
        <w:rPr>
          <w:rFonts w:asciiTheme="minorEastAsia" w:hAnsiTheme="minorEastAsia" w:eastAsiaTheme="minorEastAsia" w:cstheme="minorEastAsia"/>
          <w:u w:val="single"/>
        </w:rPr>
      </w:pPr>
      <w:r>
        <w:rPr>
          <w:rFonts w:hint="eastAsia" w:asciiTheme="minorEastAsia" w:hAnsiTheme="minorEastAsia" w:eastAsiaTheme="minorEastAsia" w:cstheme="minorEastAsia"/>
        </w:rPr>
        <w:t>（2）发包人支付进度款的期限：</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发包人逾期支付进度款的违约金的计算方式：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12.4.</w:t>
      </w:r>
      <w:r>
        <w:rPr>
          <w:rFonts w:hint="eastAsia" w:asciiTheme="minorEastAsia" w:hAnsiTheme="minorEastAsia" w:eastAsiaTheme="minorEastAsia" w:cstheme="minorEastAsia"/>
          <w:lang w:val="en-US" w:eastAsia="zh-CN"/>
        </w:rPr>
        <w:t>5</w:t>
      </w:r>
      <w:r>
        <w:rPr>
          <w:rFonts w:hint="eastAsia" w:asciiTheme="minorEastAsia" w:hAnsiTheme="minorEastAsia" w:eastAsiaTheme="minorEastAsia" w:cstheme="minorEastAsia"/>
        </w:rPr>
        <w:t xml:space="preserve"> 支付分解表的编制</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2、总价合同支付分解表的编制与审批：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3、单价合同的总价项目支付分解表的编制与审批：</w:t>
      </w:r>
      <w:r>
        <w:rPr>
          <w:rFonts w:hint="eastAsia" w:asciiTheme="minorEastAsia" w:hAnsiTheme="minorEastAsia" w:eastAsiaTheme="minorEastAsia" w:cstheme="minorEastAsia"/>
          <w:u w:val="single"/>
        </w:rPr>
        <w:t xml:space="preserve">    无     </w:t>
      </w:r>
      <w:r>
        <w:rPr>
          <w:rFonts w:hint="eastAsia" w:asciiTheme="minorEastAsia" w:hAnsiTheme="minorEastAsia" w:eastAsiaTheme="minorEastAsia" w:cstheme="minorEastAsia"/>
        </w:rPr>
        <w:t>。</w:t>
      </w:r>
    </w:p>
    <w:bookmarkEnd w:id="423"/>
    <w:p>
      <w:pPr>
        <w:pStyle w:val="28"/>
        <w:spacing w:line="360" w:lineRule="auto"/>
        <w:ind w:right="0"/>
        <w:rPr>
          <w:rFonts w:asciiTheme="minorEastAsia" w:hAnsiTheme="minorEastAsia" w:eastAsiaTheme="minorEastAsia" w:cstheme="minorEastAsia"/>
          <w:b/>
          <w:bCs/>
        </w:rPr>
      </w:pPr>
      <w:bookmarkStart w:id="594" w:name="_Toc351203645"/>
      <w:bookmarkStart w:id="595" w:name="_Toc292559929"/>
      <w:bookmarkStart w:id="596" w:name="_Toc292559424"/>
      <w:bookmarkStart w:id="597" w:name="_Toc296503219"/>
      <w:bookmarkStart w:id="598" w:name="_Toc297048405"/>
      <w:bookmarkStart w:id="599" w:name="_Toc303539172"/>
      <w:bookmarkStart w:id="600" w:name="_Toc297123564"/>
      <w:bookmarkStart w:id="601" w:name="_Toc296944558"/>
      <w:bookmarkStart w:id="602" w:name="_Toc304295593"/>
      <w:bookmarkStart w:id="603" w:name="_Toc300935015"/>
      <w:bookmarkStart w:id="604" w:name="_Toc296891047"/>
      <w:bookmarkStart w:id="605" w:name="_Toc312678053"/>
      <w:bookmarkStart w:id="606" w:name="_Toc297216223"/>
      <w:bookmarkStart w:id="607" w:name="_Toc297120519"/>
      <w:bookmarkStart w:id="608" w:name="_Toc296347218"/>
      <w:bookmarkStart w:id="609" w:name="_Toc296891259"/>
      <w:bookmarkStart w:id="610" w:name="_Toc296346720"/>
      <w:r>
        <w:rPr>
          <w:rFonts w:hint="eastAsia" w:asciiTheme="minorEastAsia" w:hAnsiTheme="minorEastAsia" w:eastAsiaTheme="minorEastAsia" w:cstheme="minorEastAsia"/>
          <w:b/>
          <w:bCs/>
        </w:rPr>
        <w:t>13. 验收和工程试车</w:t>
      </w:r>
      <w:bookmarkEnd w:id="594"/>
    </w:p>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13.1 分部分项工程验收</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13.1.</w:t>
      </w:r>
      <w:r>
        <w:rPr>
          <w:rFonts w:hint="eastAsia"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rPr>
        <w:t>监理人不能按时进行验收时，应提前</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小时提交书面延期要求。</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rPr>
        <w:t>关于延期最长不得超过：</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小时。</w:t>
      </w:r>
    </w:p>
    <w:p>
      <w:pPr>
        <w:pStyle w:val="28"/>
        <w:spacing w:line="360" w:lineRule="auto"/>
        <w:ind w:right="0"/>
        <w:rPr>
          <w:rFonts w:asciiTheme="minorEastAsia" w:hAnsiTheme="minorEastAsia" w:eastAsiaTheme="minorEastAsia" w:cstheme="minorEastAsia"/>
        </w:rPr>
      </w:pPr>
      <w:bookmarkStart w:id="611" w:name="_Toc296346724"/>
      <w:bookmarkStart w:id="612" w:name="_Toc297048409"/>
      <w:bookmarkStart w:id="613" w:name="_Toc296944562"/>
      <w:bookmarkStart w:id="614" w:name="_Toc312678056"/>
      <w:bookmarkStart w:id="615" w:name="_Toc297120523"/>
      <w:bookmarkStart w:id="616" w:name="_Toc292559428"/>
      <w:bookmarkStart w:id="617" w:name="_Toc296891263"/>
      <w:bookmarkStart w:id="618" w:name="_Toc296891051"/>
      <w:bookmarkStart w:id="619" w:name="_Toc304295596"/>
      <w:bookmarkStart w:id="620" w:name="_Toc300935016"/>
      <w:bookmarkStart w:id="621" w:name="_Toc297123565"/>
      <w:bookmarkStart w:id="622" w:name="_Toc297216224"/>
      <w:bookmarkStart w:id="623" w:name="_Toc303539173"/>
      <w:bookmarkStart w:id="624" w:name="_Toc292559933"/>
      <w:bookmarkStart w:id="625" w:name="_Toc296347222"/>
      <w:bookmarkStart w:id="626" w:name="_Toc296503223"/>
      <w:bookmarkStart w:id="627" w:name="_Toc267251473"/>
      <w:bookmarkStart w:id="628" w:name="_Toc267251474"/>
      <w:bookmarkStart w:id="629" w:name="_Toc267251472"/>
      <w:bookmarkStart w:id="630" w:name="_Toc267251475"/>
      <w:bookmarkStart w:id="631" w:name="_Toc267251470"/>
      <w:bookmarkStart w:id="632" w:name="_Toc267251471"/>
      <w:bookmarkStart w:id="633" w:name="_Toc267251476"/>
      <w:r>
        <w:rPr>
          <w:rFonts w:hint="eastAsia" w:asciiTheme="minorEastAsia" w:hAnsiTheme="minorEastAsia" w:eastAsiaTheme="minorEastAsia" w:cstheme="minorEastAsia"/>
        </w:rPr>
        <w:t>13.2 竣工验收</w:t>
      </w:r>
    </w:p>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p>
      <w:pPr>
        <w:pStyle w:val="28"/>
        <w:spacing w:line="360" w:lineRule="auto"/>
        <w:ind w:right="0"/>
        <w:rPr>
          <w:rFonts w:asciiTheme="minorEastAsia" w:hAnsiTheme="minorEastAsia" w:eastAsiaTheme="minorEastAsia" w:cstheme="minorEastAsia"/>
        </w:rPr>
      </w:pPr>
      <w:bookmarkStart w:id="634" w:name="_Toc280868704"/>
      <w:bookmarkStart w:id="635" w:name="_Toc280868705"/>
      <w:bookmarkStart w:id="636" w:name="_Toc280868706"/>
      <w:bookmarkStart w:id="637" w:name="_Toc280868707"/>
      <w:bookmarkStart w:id="638" w:name="_Toc280868708"/>
      <w:bookmarkStart w:id="639" w:name="_Toc280868709"/>
      <w:r>
        <w:rPr>
          <w:rFonts w:hint="eastAsia" w:asciiTheme="minorEastAsia" w:hAnsiTheme="minorEastAsia" w:eastAsiaTheme="minorEastAsia" w:cstheme="minorEastAsia"/>
        </w:rPr>
        <w:t>13.2.</w:t>
      </w:r>
      <w:r>
        <w:rPr>
          <w:rFonts w:hint="eastAsia" w:asciiTheme="minorEastAsia" w:hAnsiTheme="minorEastAsia" w:eastAsiaTheme="minorEastAsia" w:cstheme="minorEastAsia"/>
          <w:lang w:val="en-US" w:eastAsia="zh-CN"/>
        </w:rPr>
        <w:t xml:space="preserve">1 </w:t>
      </w:r>
      <w:r>
        <w:rPr>
          <w:rFonts w:hint="eastAsia" w:asciiTheme="minorEastAsia" w:hAnsiTheme="minorEastAsia" w:eastAsiaTheme="minorEastAsia" w:cstheme="minorEastAsia"/>
        </w:rPr>
        <w:t>竣工验收程序</w:t>
      </w:r>
    </w:p>
    <w:bookmarkEnd w:id="634"/>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关于竣工验收程序的约定：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发包人不按照本项约定组织竣工验收、颁发工程接收证书的违约金的计算方法：</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35"/>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13.2.</w:t>
      </w:r>
      <w:r>
        <w:rPr>
          <w:rFonts w:hint="eastAsia" w:asciiTheme="minorEastAsia" w:hAnsiTheme="minorEastAsia" w:eastAsiaTheme="minorEastAsia" w:cstheme="minorEastAsia"/>
          <w:lang w:val="en-US" w:eastAsia="zh-CN"/>
        </w:rPr>
        <w:t xml:space="preserve">2 </w:t>
      </w:r>
      <w:r>
        <w:rPr>
          <w:rFonts w:hint="eastAsia" w:asciiTheme="minorEastAsia" w:hAnsiTheme="minorEastAsia" w:eastAsiaTheme="minorEastAsia" w:cstheme="minorEastAsia"/>
        </w:rPr>
        <w:t>移交、接收全部与部分工程</w:t>
      </w:r>
    </w:p>
    <w:bookmarkEnd w:id="636"/>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承包人向发包人移交工程的期限：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发包人未按本合同约定接收全部或部分工程的，违约金的计算方法为：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37"/>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承包人未按时移交工程的，违约金的计算方法为：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 工程试车</w:t>
      </w:r>
    </w:p>
    <w:bookmarkEnd w:id="638"/>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13.3.1 试车程序</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工程试车内容：</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（1）单机无负荷试车费用由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（2）无负荷联动试车费用由</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承担。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13.3.</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投料试车</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关于投料试车相关事项的约定：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13.</w:t>
      </w:r>
      <w:r>
        <w:rPr>
          <w:rFonts w:hint="eastAsia" w:asciiTheme="minorEastAsia" w:hAnsiTheme="minorEastAsia" w:eastAsiaTheme="minorEastAsia" w:cstheme="minorEastAsia"/>
          <w:b/>
          <w:lang w:val="en-US" w:eastAsia="zh-CN"/>
        </w:rPr>
        <w:t xml:space="preserve">4 </w:t>
      </w:r>
      <w:r>
        <w:rPr>
          <w:rFonts w:hint="eastAsia" w:asciiTheme="minorEastAsia" w:hAnsiTheme="minorEastAsia" w:eastAsiaTheme="minorEastAsia" w:cstheme="minorEastAsia"/>
          <w:b/>
        </w:rPr>
        <w:t>竣工退场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13.</w:t>
      </w:r>
      <w:r>
        <w:rPr>
          <w:rFonts w:hint="eastAsia" w:asciiTheme="minorEastAsia" w:hAnsiTheme="minorEastAsia" w:eastAsiaTheme="minorEastAsia" w:cstheme="minorEastAsia"/>
          <w:lang w:val="en-US" w:eastAsia="zh-CN"/>
        </w:rPr>
        <w:t>4</w:t>
      </w:r>
      <w:r>
        <w:rPr>
          <w:rFonts w:hint="eastAsia" w:asciiTheme="minorEastAsia" w:hAnsiTheme="minorEastAsia" w:eastAsiaTheme="minorEastAsia" w:cstheme="minorEastAsia"/>
        </w:rPr>
        <w:t>.1 竣工退场</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承包人完成竣工退场的期限：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640" w:name="_Toc351203646"/>
      <w:r>
        <w:rPr>
          <w:rFonts w:hint="eastAsia" w:asciiTheme="minorEastAsia" w:hAnsiTheme="minorEastAsia" w:eastAsiaTheme="minorEastAsia" w:cstheme="minorEastAsia"/>
          <w:b/>
          <w:bCs/>
        </w:rPr>
        <w:t>14. 竣工结算</w:t>
      </w:r>
      <w:bookmarkEnd w:id="640"/>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14.1 竣工付款申请</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承包人提交竣工付款申请单的期限：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竣工付款申请单应包括的内容：</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14.2 竣工结算审核</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发包人审批竣工付款申请单的期限：</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发包人完成竣工付款的期限：</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关于竣工付款证书异议部分复核的方式和程序</w:t>
      </w:r>
      <w:r>
        <w:rPr>
          <w:rFonts w:hint="eastAsia" w:asciiTheme="minorEastAsia" w:hAnsiTheme="minorEastAsia" w:eastAsiaTheme="minorEastAsia" w:cstheme="minorEastAsia"/>
          <w:u w:val="none"/>
        </w:rPr>
        <w:t>：</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14.</w:t>
      </w:r>
      <w:r>
        <w:rPr>
          <w:rFonts w:hint="eastAsia" w:asciiTheme="minorEastAsia" w:hAnsiTheme="minorEastAsia" w:eastAsiaTheme="minorEastAsia" w:cstheme="minorEastAsia"/>
          <w:b/>
          <w:lang w:val="en-US" w:eastAsia="zh-CN"/>
        </w:rPr>
        <w:t>3</w:t>
      </w:r>
      <w:r>
        <w:rPr>
          <w:rFonts w:hint="eastAsia" w:asciiTheme="minorEastAsia" w:hAnsiTheme="minorEastAsia" w:eastAsiaTheme="minorEastAsia" w:cstheme="minorEastAsia"/>
          <w:b/>
        </w:rPr>
        <w:t xml:space="preserve"> 最终结清</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.1 最终结清申请单</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承包人提交最终结清申请单的份数：</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承包人提交最终结算申请单的期限：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14.</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.2 最终结清证书和支付</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（1）发包人完成最终结清申请单的审批并颁发最终结清证书的期限：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（2）发包人完成支付的期限：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27"/>
    <w:bookmarkEnd w:id="628"/>
    <w:bookmarkEnd w:id="629"/>
    <w:bookmarkEnd w:id="630"/>
    <w:bookmarkEnd w:id="631"/>
    <w:bookmarkEnd w:id="632"/>
    <w:bookmarkEnd w:id="633"/>
    <w:bookmarkEnd w:id="639"/>
    <w:p>
      <w:pPr>
        <w:pStyle w:val="28"/>
        <w:spacing w:line="360" w:lineRule="auto"/>
        <w:ind w:right="0"/>
        <w:rPr>
          <w:rFonts w:asciiTheme="minorEastAsia" w:hAnsiTheme="minorEastAsia" w:eastAsiaTheme="minorEastAsia" w:cstheme="minorEastAsia"/>
          <w:b/>
          <w:bCs/>
        </w:rPr>
      </w:pPr>
      <w:bookmarkStart w:id="641" w:name="_Toc351203647"/>
      <w:bookmarkStart w:id="642" w:name="_Toc267251483"/>
      <w:bookmarkStart w:id="643" w:name="_Toc267251482"/>
      <w:bookmarkStart w:id="644" w:name="_Toc267251484"/>
      <w:bookmarkStart w:id="645" w:name="_Toc267251486"/>
      <w:bookmarkStart w:id="646" w:name="_Toc267251488"/>
      <w:bookmarkStart w:id="647" w:name="_Toc267251485"/>
      <w:bookmarkStart w:id="648" w:name="_Toc267251489"/>
      <w:bookmarkStart w:id="649" w:name="_Toc267251490"/>
      <w:bookmarkStart w:id="650" w:name="_Toc267251502"/>
      <w:bookmarkStart w:id="651" w:name="_Toc267251499"/>
      <w:bookmarkStart w:id="652" w:name="_Toc267251503"/>
      <w:bookmarkStart w:id="653" w:name="_Toc267251497"/>
      <w:bookmarkStart w:id="654" w:name="_Toc267251501"/>
      <w:bookmarkStart w:id="655" w:name="_Toc267251498"/>
      <w:bookmarkStart w:id="656" w:name="_Toc267251494"/>
      <w:bookmarkStart w:id="657" w:name="_Toc267251491"/>
      <w:bookmarkStart w:id="658" w:name="_Toc267251493"/>
      <w:bookmarkStart w:id="659" w:name="_Toc267251492"/>
      <w:bookmarkStart w:id="660" w:name="_Toc267251496"/>
      <w:bookmarkStart w:id="661" w:name="_Toc267251495"/>
      <w:bookmarkStart w:id="662" w:name="_Toc267251506"/>
      <w:bookmarkStart w:id="663" w:name="_Toc267251504"/>
      <w:bookmarkStart w:id="664" w:name="_Toc267251507"/>
      <w:bookmarkStart w:id="665" w:name="_Toc267251508"/>
      <w:bookmarkStart w:id="666" w:name="_Toc267251509"/>
      <w:bookmarkStart w:id="667" w:name="_Toc267251515"/>
      <w:bookmarkStart w:id="668" w:name="_Toc267251513"/>
      <w:bookmarkStart w:id="669" w:name="_Toc267251514"/>
      <w:bookmarkStart w:id="670" w:name="_Toc267251511"/>
      <w:bookmarkStart w:id="671" w:name="_Toc267251510"/>
      <w:r>
        <w:rPr>
          <w:rFonts w:hint="eastAsia" w:asciiTheme="minorEastAsia" w:hAnsiTheme="minorEastAsia" w:eastAsiaTheme="minorEastAsia" w:cstheme="minorEastAsia"/>
          <w:b/>
          <w:bCs/>
        </w:rPr>
        <w:t>15. 缺陷责任期与保修</w:t>
      </w:r>
      <w:bookmarkEnd w:id="641"/>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15.</w:t>
      </w:r>
      <w:r>
        <w:rPr>
          <w:rFonts w:hint="eastAsia" w:asciiTheme="minorEastAsia" w:hAnsiTheme="minorEastAsia" w:eastAsiaTheme="minorEastAsia" w:cstheme="minorEastAsia"/>
          <w:b/>
          <w:lang w:val="en-US" w:eastAsia="zh-CN"/>
        </w:rPr>
        <w:t xml:space="preserve">1 </w:t>
      </w:r>
      <w:r>
        <w:rPr>
          <w:rFonts w:hint="eastAsia" w:asciiTheme="minorEastAsia" w:hAnsiTheme="minorEastAsia" w:eastAsiaTheme="minorEastAsia" w:cstheme="minorEastAsia"/>
          <w:b/>
        </w:rPr>
        <w:t>缺陷责任期</w:t>
      </w:r>
      <w:bookmarkEnd w:id="642"/>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缺陷责任期的具体期限：</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b/>
          <w:u w:val="single"/>
        </w:rPr>
      </w:pPr>
      <w:r>
        <w:rPr>
          <w:rFonts w:hint="eastAsia" w:asciiTheme="minorEastAsia" w:hAnsiTheme="minorEastAsia" w:eastAsiaTheme="minorEastAsia" w:cstheme="minorEastAsia"/>
          <w:b/>
        </w:rPr>
        <w:t>15.</w:t>
      </w:r>
      <w:r>
        <w:rPr>
          <w:rFonts w:hint="eastAsia" w:asciiTheme="minorEastAsia" w:hAnsiTheme="minorEastAsia" w:eastAsiaTheme="minorEastAsia" w:cstheme="minorEastAsia"/>
          <w:b/>
          <w:lang w:val="en-US" w:eastAsia="zh-CN"/>
        </w:rPr>
        <w:t>2</w:t>
      </w:r>
      <w:r>
        <w:rPr>
          <w:rFonts w:hint="eastAsia" w:asciiTheme="minorEastAsia" w:hAnsiTheme="minorEastAsia" w:eastAsiaTheme="minorEastAsia" w:cstheme="minorEastAsia"/>
          <w:b/>
        </w:rPr>
        <w:t xml:space="preserve"> 质量保证金</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关于是否扣留质量保证金的约定：</w:t>
      </w:r>
      <w:r>
        <w:rPr>
          <w:rFonts w:hint="eastAsia" w:asciiTheme="minorEastAsia" w:hAnsiTheme="minorEastAsia" w:eastAsiaTheme="minorEastAsia" w:cstheme="minorEastAsia"/>
          <w:u w:val="single"/>
        </w:rPr>
        <w:t xml:space="preserve">      /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15.</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.1 承包人提供质量保证金的方式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质量保证金采用以下第</w:t>
      </w:r>
      <w:r>
        <w:rPr>
          <w:rFonts w:hint="eastAsia" w:asciiTheme="minorEastAsia" w:hAnsiTheme="minorEastAsia" w:eastAsiaTheme="minorEastAsia" w:cstheme="minorEastAsia"/>
          <w:u w:val="single"/>
        </w:rPr>
        <w:t xml:space="preserve">3  </w:t>
      </w:r>
      <w:r>
        <w:rPr>
          <w:rFonts w:hint="eastAsia" w:asciiTheme="minorEastAsia" w:hAnsiTheme="minorEastAsia" w:eastAsiaTheme="minorEastAsia" w:cstheme="minorEastAsia"/>
        </w:rPr>
        <w:t>种方式：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（1）质量保证金保函，保证金额为：</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的工程款；</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15.</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.2 质量保证金的扣留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质量保证金的扣留采取以下第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（1）在支付工程进度款时逐次扣留，在此情形下，质量保证金的计算基数不包括预付款的支付、扣回以及价格调整的金额；</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（2）工程竣工结算时一次性扣留质量保证金；</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（3）其他扣留方式: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hint="eastAsia" w:asciiTheme="minorEastAsia" w:hAnsiTheme="minorEastAsia" w:eastAsiaTheme="minorEastAsia" w:cstheme="minorEastAsia"/>
          <w:u w:val="single"/>
        </w:rPr>
      </w:pPr>
      <w:r>
        <w:rPr>
          <w:rFonts w:hint="eastAsia" w:asciiTheme="minorEastAsia" w:hAnsiTheme="minorEastAsia" w:eastAsiaTheme="minorEastAsia" w:cstheme="minorEastAsia"/>
        </w:rPr>
        <w:t>关于质量保证金的补充约定：</w:t>
      </w:r>
      <w:r>
        <w:rPr>
          <w:rFonts w:hint="eastAsia" w:asciiTheme="minorEastAsia" w:hAnsiTheme="minorEastAsia" w:eastAsiaTheme="minorEastAsia" w:cstheme="minorEastAsia"/>
          <w:u w:val="single"/>
        </w:rPr>
        <w:t xml:space="preserve">  </w:t>
      </w:r>
      <w:bookmarkEnd w:id="643"/>
      <w:bookmarkEnd w:id="644"/>
      <w:r>
        <w:rPr>
          <w:rFonts w:hint="eastAsia" w:asciiTheme="minorEastAsia" w:hAnsiTheme="minorEastAsia" w:eastAsiaTheme="minorEastAsia" w:cstheme="minorEastAsia"/>
          <w:u w:val="single"/>
        </w:rPr>
        <w:t xml:space="preserve">     。</w:t>
      </w:r>
      <w:bookmarkEnd w:id="645"/>
      <w:bookmarkEnd w:id="646"/>
      <w:bookmarkEnd w:id="647"/>
      <w:bookmarkEnd w:id="648"/>
      <w:bookmarkEnd w:id="649"/>
      <w:bookmarkStart w:id="672" w:name="_Toc351203648"/>
      <w:bookmarkStart w:id="673" w:name="_Toc280868717"/>
      <w:bookmarkStart w:id="674" w:name="_Toc280868718"/>
    </w:p>
    <w:p>
      <w:pPr>
        <w:pStyle w:val="28"/>
        <w:spacing w:line="360" w:lineRule="auto"/>
        <w:ind w:right="0"/>
        <w:rPr>
          <w:rFonts w:asciiTheme="minorEastAsia" w:hAnsiTheme="minorEastAsia" w:eastAsiaTheme="minorEastAsia" w:cstheme="minorEastAsia"/>
          <w:b/>
          <w:bCs/>
        </w:rPr>
      </w:pPr>
      <w:r>
        <w:rPr>
          <w:rFonts w:hint="eastAsia" w:asciiTheme="minorEastAsia" w:hAnsiTheme="minorEastAsia" w:eastAsiaTheme="minorEastAsia" w:cstheme="minorEastAsia"/>
          <w:b/>
          <w:bCs/>
        </w:rPr>
        <w:t>16. 违约</w:t>
      </w:r>
      <w:bookmarkEnd w:id="672"/>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16.1 发包人违约</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16.1.1发包人违约的情形</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发包人违约的其他情形：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left="0" w:right="0"/>
        <w:rPr>
          <w:rFonts w:asciiTheme="minorEastAsia" w:hAnsiTheme="minorEastAsia" w:eastAsiaTheme="minorEastAsia" w:cstheme="minorEastAsia"/>
        </w:rPr>
      </w:pPr>
      <w:r>
        <w:rPr>
          <w:rFonts w:hint="eastAsia" w:asciiTheme="minorEastAsia" w:hAnsiTheme="minorEastAsia" w:eastAsiaTheme="minorEastAsia" w:cstheme="minorEastAsia"/>
        </w:rPr>
        <w:t xml:space="preserve">   16.1.2 发包人违约的责任</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发包人违约责任的承担方式和计算方法：</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（1）因发包人原因未能在计划开工日期前7天内下达开工通知的违约责任：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（2）因发包人原因未能按合同约定支付合同价款的违约责任：</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（3）发包人违反第10.1款〔变更的范围〕第（2）项约定，自行实施被取消的工作或转由他人实施的违约责任：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（4）发包人提供的材料、工程设备的规格、数量或质量不符合合同约定，或因发包人原因导致交货日期延误或交货地点变更等情况的违约责任：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（5）因发包人违反合同约定造成暂停施工的违约责任：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（6）发包人无正当理由没有在约定期限内发出复工指示，导致承包人无法复工的违约责任：</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（7）其他：</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16.1.3 因发包人违约解除合同</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承包人按16.1.1项〔发包人违约的情形〕约定暂停施工满</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天后发包人仍不纠正其违约行为并致使合同目的不能实现的，承包人有权解除合同。</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16.2 承包人违约</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16.2.1 承包人违约的情形</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承包人违约的其他情形：</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16.2.2承包人违约的责任</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承包人违约责任的承担方式和计算方法：</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16.2.3 因承包人违约解除合同</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关于承包人违约解除合同的特别约定：</w:t>
      </w:r>
      <w:r>
        <w:rPr>
          <w:rFonts w:hint="eastAsia" w:asciiTheme="minorEastAsia" w:hAnsiTheme="minorEastAsia" w:eastAsiaTheme="minorEastAsia" w:cstheme="minorEastAsia"/>
          <w:u w:val="single"/>
        </w:rPr>
        <w:t xml:space="preserve">   /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发包人继续使用承包人在施工现场的材料、设备、临时工程、承包人文件和由承包人或以其名义编制的其他文件的费用承担方式：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bCs/>
        </w:rPr>
      </w:pPr>
      <w:bookmarkStart w:id="675" w:name="_Toc351203649"/>
      <w:r>
        <w:rPr>
          <w:rFonts w:hint="eastAsia" w:asciiTheme="minorEastAsia" w:hAnsiTheme="minorEastAsia" w:eastAsiaTheme="minorEastAsia" w:cstheme="minorEastAsia"/>
          <w:b/>
          <w:bCs/>
        </w:rPr>
        <w:t>17. 不可抗力</w:t>
      </w:r>
      <w:bookmarkEnd w:id="675"/>
      <w:r>
        <w:rPr>
          <w:rFonts w:hint="eastAsia" w:asciiTheme="minorEastAsia" w:hAnsiTheme="minorEastAsia" w:eastAsiaTheme="minorEastAsia" w:cstheme="minorEastAsia"/>
          <w:b/>
          <w:bCs/>
        </w:rPr>
        <w:t xml:space="preserve"> </w:t>
      </w:r>
      <w:bookmarkEnd w:id="673"/>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17.1 不可抗力的确认</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 xml:space="preserve">除通用合同条款约定的不可抗力事件之外，视为不可抗力的其他情形：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17.</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 因不可抗力解除合同</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合同解除后，发包人应在商定或确定发包人应支付款项后</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天内完成款项的支付。</w:t>
      </w:r>
    </w:p>
    <w:p>
      <w:pPr>
        <w:pStyle w:val="28"/>
        <w:spacing w:line="360" w:lineRule="auto"/>
        <w:ind w:right="0"/>
        <w:rPr>
          <w:rFonts w:asciiTheme="minorEastAsia" w:hAnsiTheme="minorEastAsia" w:eastAsiaTheme="minorEastAsia" w:cstheme="minorEastAsia"/>
          <w:b/>
          <w:bCs/>
        </w:rPr>
      </w:pPr>
      <w:bookmarkStart w:id="676" w:name="_Toc351203650"/>
      <w:r>
        <w:rPr>
          <w:rFonts w:hint="eastAsia" w:asciiTheme="minorEastAsia" w:hAnsiTheme="minorEastAsia" w:eastAsiaTheme="minorEastAsia" w:cstheme="minorEastAsia"/>
          <w:b/>
          <w:bCs/>
        </w:rPr>
        <w:t>18. 保险</w:t>
      </w:r>
      <w:bookmarkEnd w:id="676"/>
    </w:p>
    <w:bookmarkEnd w:id="674"/>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18.1 工程保险</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关于工程保险的特别约定：</w:t>
      </w:r>
      <w:r>
        <w:rPr>
          <w:rFonts w:hint="eastAsia" w:asciiTheme="minorEastAsia" w:hAnsiTheme="minorEastAsia" w:eastAsiaTheme="minorEastAsia" w:cstheme="minorEastAsia"/>
          <w:u w:val="single"/>
        </w:rPr>
        <w:t xml:space="preserve">                                 。</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18.</w:t>
      </w:r>
      <w:r>
        <w:rPr>
          <w:rFonts w:hint="eastAsia" w:asciiTheme="minorEastAsia" w:hAnsiTheme="minorEastAsia" w:eastAsiaTheme="minorEastAsia" w:cstheme="minorEastAsia"/>
          <w:b/>
          <w:lang w:val="en-US" w:eastAsia="zh-CN"/>
        </w:rPr>
        <w:t>2</w:t>
      </w:r>
      <w:r>
        <w:rPr>
          <w:rFonts w:hint="eastAsia" w:asciiTheme="minorEastAsia" w:hAnsiTheme="minorEastAsia" w:eastAsiaTheme="minorEastAsia" w:cstheme="minorEastAsia"/>
          <w:b/>
        </w:rPr>
        <w:t xml:space="preserve"> 其他保险</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关于其他保险的约定：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承包人是否应为其施工设备等办理财产保险：</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18.</w:t>
      </w:r>
      <w:r>
        <w:rPr>
          <w:rFonts w:hint="eastAsia" w:asciiTheme="minorEastAsia" w:hAnsiTheme="minorEastAsia" w:eastAsiaTheme="minorEastAsia" w:cstheme="minorEastAsia"/>
          <w:lang w:val="en-US" w:eastAsia="zh-CN"/>
        </w:rPr>
        <w:t>3</w:t>
      </w:r>
      <w:r>
        <w:rPr>
          <w:rFonts w:hint="eastAsia" w:asciiTheme="minorEastAsia" w:hAnsiTheme="minorEastAsia" w:eastAsiaTheme="minorEastAsia" w:cstheme="minorEastAsia"/>
        </w:rPr>
        <w:t xml:space="preserve"> 通知义务</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关于变更保险合同时的通知义务的约定：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bookmarkEnd w:id="650"/>
    <w:bookmarkEnd w:id="651"/>
    <w:bookmarkEnd w:id="652"/>
    <w:bookmarkEnd w:id="653"/>
    <w:bookmarkEnd w:id="654"/>
    <w:bookmarkEnd w:id="655"/>
    <w:bookmarkEnd w:id="656"/>
    <w:bookmarkEnd w:id="657"/>
    <w:bookmarkEnd w:id="658"/>
    <w:bookmarkEnd w:id="659"/>
    <w:bookmarkEnd w:id="660"/>
    <w:bookmarkEnd w:id="661"/>
    <w:p>
      <w:pPr>
        <w:pStyle w:val="28"/>
        <w:spacing w:line="360" w:lineRule="auto"/>
        <w:ind w:right="0"/>
        <w:rPr>
          <w:rFonts w:asciiTheme="minorEastAsia" w:hAnsiTheme="minorEastAsia" w:eastAsiaTheme="minorEastAsia" w:cstheme="minorEastAsia"/>
          <w:b/>
          <w:bCs/>
        </w:rPr>
      </w:pPr>
      <w:bookmarkStart w:id="677" w:name="_Toc351203651"/>
      <w:r>
        <w:rPr>
          <w:rFonts w:hint="eastAsia" w:asciiTheme="minorEastAsia" w:hAnsiTheme="minorEastAsia" w:eastAsiaTheme="minorEastAsia" w:cstheme="minorEastAsia"/>
          <w:b/>
          <w:bCs/>
        </w:rPr>
        <w:t>20. 争议解决</w:t>
      </w:r>
      <w:bookmarkEnd w:id="677"/>
    </w:p>
    <w:bookmarkEnd w:id="662"/>
    <w:bookmarkEnd w:id="663"/>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val="en-US" w:eastAsia="zh-CN"/>
        </w:rPr>
        <w:t>1</w:t>
      </w:r>
      <w:r>
        <w:rPr>
          <w:rFonts w:hint="eastAsia" w:asciiTheme="minorEastAsia" w:hAnsiTheme="minorEastAsia" w:eastAsiaTheme="minorEastAsia" w:cstheme="minorEastAsia"/>
          <w:b/>
        </w:rPr>
        <w:t xml:space="preserve"> 争</w:t>
      </w:r>
      <w:bookmarkEnd w:id="664"/>
      <w:r>
        <w:rPr>
          <w:rFonts w:hint="eastAsia" w:asciiTheme="minorEastAsia" w:hAnsiTheme="minorEastAsia" w:eastAsiaTheme="minorEastAsia" w:cstheme="minorEastAsia"/>
          <w:b/>
        </w:rPr>
        <w:t>议评审</w:t>
      </w:r>
    </w:p>
    <w:p>
      <w:pPr>
        <w:pStyle w:val="28"/>
        <w:spacing w:line="360" w:lineRule="auto"/>
        <w:ind w:left="0"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合同当事人是否同意将工程争议提交争议评审小组决定：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20.</w:t>
      </w:r>
      <w:r>
        <w:rPr>
          <w:rFonts w:hint="eastAsia" w:asciiTheme="minorEastAsia" w:hAnsiTheme="minorEastAsia" w:eastAsiaTheme="minorEastAsia" w:cstheme="minorEastAsia"/>
          <w:lang w:val="en-US" w:eastAsia="zh-CN"/>
        </w:rPr>
        <w:t>1</w:t>
      </w:r>
      <w:r>
        <w:rPr>
          <w:rFonts w:hint="eastAsia" w:asciiTheme="minorEastAsia" w:hAnsiTheme="minorEastAsia" w:eastAsiaTheme="minorEastAsia" w:cstheme="minorEastAsia"/>
        </w:rPr>
        <w:t>.1 争议评审小组的确定</w:t>
      </w:r>
    </w:p>
    <w:p>
      <w:pPr>
        <w:pStyle w:val="28"/>
        <w:spacing w:line="360" w:lineRule="auto"/>
        <w:ind w:right="0"/>
        <w:rPr>
          <w:rFonts w:asciiTheme="minorEastAsia" w:hAnsiTheme="minorEastAsia" w:eastAsiaTheme="minorEastAsia" w:cstheme="minorEastAsia"/>
          <w:u w:val="single"/>
        </w:rPr>
      </w:pPr>
      <w:r>
        <w:rPr>
          <w:rFonts w:hint="eastAsia" w:asciiTheme="minorEastAsia" w:hAnsiTheme="minorEastAsia" w:eastAsiaTheme="minorEastAsia" w:cstheme="minorEastAsia"/>
        </w:rPr>
        <w:t>争议评审小组成员的确定：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选定争议评审员的期限：</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争议评审小组成员的报酬承担方式：</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其他事项的约定：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20.</w:t>
      </w:r>
      <w:r>
        <w:rPr>
          <w:rFonts w:hint="eastAsia" w:asciiTheme="minorEastAsia" w:hAnsiTheme="minorEastAsia" w:eastAsiaTheme="minorEastAsia" w:cstheme="minorEastAsia"/>
          <w:lang w:val="en-US" w:eastAsia="zh-CN"/>
        </w:rPr>
        <w:t>2</w:t>
      </w:r>
      <w:r>
        <w:rPr>
          <w:rFonts w:hint="eastAsia" w:asciiTheme="minorEastAsia" w:hAnsiTheme="minorEastAsia" w:eastAsiaTheme="minorEastAsia" w:cstheme="minorEastAsia"/>
        </w:rPr>
        <w:t xml:space="preserve">.2 争议评审小组的决定  </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合同当事人关于本项的约定：</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w:t>
      </w:r>
    </w:p>
    <w:p>
      <w:pPr>
        <w:pStyle w:val="28"/>
        <w:spacing w:line="360" w:lineRule="auto"/>
        <w:ind w:right="0"/>
        <w:rPr>
          <w:rFonts w:asciiTheme="minorEastAsia" w:hAnsiTheme="minorEastAsia" w:eastAsiaTheme="minorEastAsia" w:cstheme="minorEastAsia"/>
          <w:b/>
        </w:rPr>
      </w:pPr>
      <w:r>
        <w:rPr>
          <w:rFonts w:hint="eastAsia" w:asciiTheme="minorEastAsia" w:hAnsiTheme="minorEastAsia" w:eastAsiaTheme="minorEastAsia" w:cstheme="minorEastAsia"/>
          <w:b/>
        </w:rPr>
        <w:t>20.</w:t>
      </w:r>
      <w:r>
        <w:rPr>
          <w:rFonts w:hint="eastAsia" w:asciiTheme="minorEastAsia" w:hAnsiTheme="minorEastAsia" w:eastAsiaTheme="minorEastAsia" w:cstheme="minorEastAsia"/>
          <w:b/>
          <w:lang w:val="en-US" w:eastAsia="zh-CN"/>
        </w:rPr>
        <w:t xml:space="preserve">2 </w:t>
      </w:r>
      <w:r>
        <w:rPr>
          <w:rFonts w:hint="eastAsia" w:asciiTheme="minorEastAsia" w:hAnsiTheme="minorEastAsia" w:eastAsiaTheme="minorEastAsia" w:cstheme="minorEastAsia"/>
          <w:b/>
        </w:rPr>
        <w:t>仲裁或诉讼</w:t>
      </w:r>
      <w:bookmarkEnd w:id="665"/>
    </w:p>
    <w:bookmarkEnd w:id="666"/>
    <w:bookmarkEnd w:id="667"/>
    <w:bookmarkEnd w:id="668"/>
    <w:bookmarkEnd w:id="669"/>
    <w:bookmarkEnd w:id="670"/>
    <w:bookmarkEnd w:id="671"/>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因合同及合同有关事项发生的争议，按下列第</w:t>
      </w:r>
      <w:r>
        <w:rPr>
          <w:rFonts w:hint="eastAsia" w:asciiTheme="minorEastAsia" w:hAnsiTheme="minorEastAsia" w:eastAsiaTheme="minorEastAsia" w:cstheme="minorEastAsia"/>
          <w:u w:val="single"/>
        </w:rPr>
        <w:t xml:space="preserve"> 2 </w:t>
      </w:r>
      <w:r>
        <w:rPr>
          <w:rFonts w:hint="eastAsia" w:asciiTheme="minorEastAsia" w:hAnsiTheme="minorEastAsia" w:eastAsiaTheme="minorEastAsia" w:cstheme="minorEastAsia"/>
        </w:rPr>
        <w:t>种方式解决：</w:t>
      </w:r>
    </w:p>
    <w:p>
      <w:pPr>
        <w:pStyle w:val="28"/>
        <w:spacing w:line="360" w:lineRule="auto"/>
        <w:ind w:right="0"/>
        <w:rPr>
          <w:rFonts w:asciiTheme="minorEastAsia" w:hAnsiTheme="minorEastAsia" w:eastAsiaTheme="minorEastAsia" w:cstheme="minorEastAsia"/>
        </w:rPr>
      </w:pPr>
      <w:r>
        <w:rPr>
          <w:rFonts w:hint="eastAsia" w:asciiTheme="minorEastAsia" w:hAnsiTheme="minorEastAsia" w:eastAsiaTheme="minorEastAsia" w:cstheme="minorEastAsia"/>
        </w:rPr>
        <w:t>第一种解决方式：双方达成仲裁协议，向</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仲裁委员会申请仲裁；</w:t>
      </w:r>
    </w:p>
    <w:p>
      <w:pPr>
        <w:pStyle w:val="28"/>
        <w:spacing w:line="360" w:lineRule="auto"/>
        <w:ind w:left="0" w:right="0" w:firstLine="360" w:firstLineChars="150"/>
        <w:rPr>
          <w:rFonts w:asciiTheme="minorEastAsia" w:hAnsiTheme="minorEastAsia" w:eastAsiaTheme="minorEastAsia" w:cstheme="minorEastAsia"/>
        </w:rPr>
      </w:pPr>
      <w:r>
        <w:rPr>
          <w:rFonts w:hint="eastAsia" w:asciiTheme="minorEastAsia" w:hAnsiTheme="minorEastAsia" w:eastAsiaTheme="minorEastAsia" w:cstheme="minorEastAsia"/>
        </w:rPr>
        <w:t>第二种解决方式：向</w:t>
      </w:r>
      <w:r>
        <w:rPr>
          <w:rFonts w:hint="eastAsia" w:asciiTheme="minorEastAsia" w:hAnsiTheme="minorEastAsia" w:eastAsiaTheme="minorEastAsia" w:cstheme="minorEastAsia"/>
          <w:u w:val="single"/>
        </w:rPr>
        <w:t>工程项目建设地</w:t>
      </w:r>
      <w:r>
        <w:rPr>
          <w:rFonts w:hint="eastAsia" w:asciiTheme="minorEastAsia" w:hAnsiTheme="minorEastAsia" w:eastAsiaTheme="minorEastAsia" w:cstheme="minorEastAsia"/>
        </w:rPr>
        <w:t>人民法院起诉。</w:t>
      </w:r>
    </w:p>
    <w:p>
      <w:pPr>
        <w:pStyle w:val="28"/>
        <w:spacing w:line="360" w:lineRule="auto"/>
        <w:ind w:left="0" w:right="0" w:firstLine="482" w:firstLineChars="200"/>
        <w:rPr>
          <w:rFonts w:asciiTheme="minorEastAsia" w:hAnsiTheme="minorEastAsia" w:eastAsiaTheme="minorEastAsia" w:cstheme="minorEastAsia"/>
          <w:b/>
        </w:rPr>
      </w:pPr>
      <w:r>
        <w:rPr>
          <w:rFonts w:hint="eastAsia" w:asciiTheme="minorEastAsia" w:hAnsiTheme="minorEastAsia" w:eastAsiaTheme="minorEastAsia" w:cstheme="minorEastAsia"/>
          <w:b/>
        </w:rPr>
        <w:t xml:space="preserve">21、补充条款 </w:t>
      </w:r>
    </w:p>
    <w:p>
      <w:pPr>
        <w:pStyle w:val="28"/>
        <w:spacing w:line="360" w:lineRule="auto"/>
        <w:ind w:left="0" w:right="0" w:firstLine="480" w:firstLineChars="200"/>
        <w:rPr>
          <w:rFonts w:asciiTheme="minorEastAsia" w:hAnsiTheme="minorEastAsia" w:eastAsiaTheme="minorEastAsia" w:cstheme="minorEastAsia"/>
          <w:u w:val="single"/>
        </w:rPr>
      </w:pPr>
      <w:r>
        <w:rPr>
          <w:rFonts w:hint="eastAsia" w:asciiTheme="minorEastAsia" w:hAnsiTheme="minorEastAsia" w:eastAsiaTheme="minorEastAsia" w:cstheme="minorEastAsia"/>
          <w:u w:val="single"/>
        </w:rPr>
        <w:t xml:space="preserve">    无   </w:t>
      </w: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hint="eastAsia" w:asciiTheme="minorEastAsia" w:hAnsiTheme="minorEastAsia" w:eastAsiaTheme="minorEastAsia" w:cstheme="minorEastAsia"/>
          <w:sz w:val="28"/>
        </w:rPr>
      </w:pPr>
    </w:p>
    <w:p>
      <w:pPr>
        <w:pStyle w:val="28"/>
        <w:spacing w:line="360" w:lineRule="auto"/>
        <w:ind w:left="0" w:leftChars="0" w:right="720" w:firstLine="560" w:firstLineChars="200"/>
        <w:rPr>
          <w:rFonts w:asciiTheme="minorEastAsia" w:hAnsiTheme="minorEastAsia" w:eastAsiaTheme="minorEastAsia" w:cstheme="minorEastAsia"/>
          <w:sz w:val="28"/>
        </w:rPr>
      </w:pPr>
      <w:r>
        <w:rPr>
          <w:rFonts w:hint="eastAsia" w:asciiTheme="minorEastAsia" w:hAnsiTheme="minorEastAsia" w:eastAsiaTheme="minorEastAsia" w:cstheme="minorEastAsia"/>
          <w:sz w:val="28"/>
        </w:rPr>
        <w:t>附件1：</w:t>
      </w:r>
    </w:p>
    <w:p>
      <w:pPr>
        <w:pStyle w:val="28"/>
        <w:spacing w:line="360" w:lineRule="auto"/>
        <w:ind w:left="0" w:right="720"/>
        <w:jc w:val="center"/>
        <w:rPr>
          <w:rFonts w:asciiTheme="minorEastAsia" w:hAnsiTheme="minorEastAsia" w:eastAsiaTheme="minorEastAsia" w:cstheme="minorEastAsia"/>
          <w:b/>
          <w:sz w:val="28"/>
          <w:szCs w:val="28"/>
        </w:rPr>
      </w:pPr>
      <w:r>
        <w:rPr>
          <w:rFonts w:hint="eastAsia" w:asciiTheme="minorEastAsia" w:hAnsiTheme="minorEastAsia" w:eastAsiaTheme="minorEastAsia" w:cstheme="minorEastAsia"/>
          <w:b/>
          <w:sz w:val="28"/>
          <w:szCs w:val="28"/>
        </w:rPr>
        <w:t>工  程  质  量  保  修  书</w:t>
      </w:r>
    </w:p>
    <w:p>
      <w:pPr>
        <w:pStyle w:val="28"/>
        <w:spacing w:line="360" w:lineRule="auto"/>
        <w:ind w:left="0" w:right="720" w:firstLine="480" w:firstLineChars="200"/>
        <w:rPr>
          <w:rFonts w:asciiTheme="minorEastAsia" w:hAnsiTheme="minorEastAsia" w:eastAsiaTheme="minorEastAsia" w:cstheme="minorEastAsia"/>
        </w:rPr>
      </w:pPr>
    </w:p>
    <w:p>
      <w:pPr>
        <w:pStyle w:val="29"/>
        <w:spacing w:line="360" w:lineRule="auto"/>
        <w:ind w:left="420" w:leftChars="200" w:right="720"/>
        <w:rPr>
          <w:rFonts w:hint="eastAsia"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发包人（全称）：</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u w:val="single"/>
        </w:rPr>
        <w:t xml:space="preserve">                </w:t>
      </w:r>
    </w:p>
    <w:p>
      <w:pPr>
        <w:pStyle w:val="29"/>
        <w:spacing w:line="360" w:lineRule="auto"/>
        <w:ind w:left="420" w:leftChars="200" w:right="72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承包人（全称）：</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single"/>
          <w:lang w:val="en-US" w:eastAsia="zh-CN"/>
        </w:rPr>
        <w:t xml:space="preserve">  </w:t>
      </w:r>
      <w:r>
        <w:rPr>
          <w:rFonts w:hint="eastAsia" w:asciiTheme="minorEastAsia" w:hAnsiTheme="minorEastAsia" w:eastAsiaTheme="minorEastAsia" w:cstheme="minorEastAsia"/>
          <w:szCs w:val="24"/>
          <w:u w:val="single"/>
        </w:rPr>
        <w:t xml:space="preserve">     </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为保证</w:t>
      </w:r>
      <w:r>
        <w:rPr>
          <w:rFonts w:hint="eastAsia" w:asciiTheme="minorEastAsia" w:hAnsiTheme="minorEastAsia" w:eastAsiaTheme="minorEastAsia" w:cstheme="minorEastAsia"/>
          <w:bCs/>
          <w:szCs w:val="24"/>
          <w:u w:val="single"/>
        </w:rPr>
        <w:t xml:space="preserve">                                               </w:t>
      </w:r>
      <w:r>
        <w:rPr>
          <w:rFonts w:hint="eastAsia" w:asciiTheme="minorEastAsia" w:hAnsiTheme="minorEastAsia" w:eastAsiaTheme="minorEastAsia" w:cstheme="minorEastAsia"/>
          <w:szCs w:val="24"/>
        </w:rPr>
        <w:t>（工程名称）在合理使用期限内正常使用，发包人承包人协商一致签订工程质量保修书。承包人在质量保修期内按照有关管理规定及双方约定承担工程质量保修责任。</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一、工程质量保修范围和内容</w:t>
      </w:r>
    </w:p>
    <w:p>
      <w:pPr>
        <w:pStyle w:val="29"/>
        <w:spacing w:line="360" w:lineRule="auto"/>
        <w:ind w:left="0" w:right="720" w:firstLine="480" w:firstLineChars="200"/>
        <w:rPr>
          <w:rFonts w:hint="eastAsia"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质量保修范围包括装修工程施工等项目。具体质量保修内容双方约定如</w:t>
      </w:r>
    </w:p>
    <w:p>
      <w:pPr>
        <w:pStyle w:val="29"/>
        <w:spacing w:line="360" w:lineRule="auto"/>
        <w:ind w:left="0" w:leftChars="0" w:right="720" w:firstLine="0" w:firstLineChars="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下：</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u w:val="none"/>
        </w:rPr>
        <w:t>。</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二、质量保修期</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质量保修期从工程实际竣工之日算起。分单项竣工验收的工程，按单项工程分别计算质量保修期。</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双方根据国家有关规定，结合具体工程约定质量保修期如下：</w:t>
      </w:r>
    </w:p>
    <w:p>
      <w:pPr>
        <w:pStyle w:val="3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1、地基基础工程和主体结构工程为设计文件规定的该工程合理使用年限；</w:t>
      </w:r>
    </w:p>
    <w:p>
      <w:pPr>
        <w:pStyle w:val="30"/>
        <w:spacing w:line="360" w:lineRule="auto"/>
        <w:ind w:firstLine="480" w:firstLineChars="200"/>
        <w:rPr>
          <w:rFonts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2、</w:t>
      </w:r>
      <w:r>
        <w:rPr>
          <w:rFonts w:hint="eastAsia" w:asciiTheme="minorEastAsia" w:hAnsiTheme="minorEastAsia" w:eastAsiaTheme="minorEastAsia" w:cstheme="minorEastAsia"/>
          <w:color w:val="000000" w:themeColor="text1"/>
          <w:sz w:val="24"/>
          <w:szCs w:val="24"/>
          <w14:textFill>
            <w14:solidFill>
              <w14:schemeClr w14:val="tx1"/>
            </w14:solidFill>
          </w14:textFill>
        </w:rPr>
        <w:t>质保期为</w:t>
      </w:r>
      <w:r>
        <w:rPr>
          <w:rFonts w:hint="eastAsia" w:asciiTheme="minorEastAsia" w:hAnsiTheme="minorEastAsia" w:eastAsiaTheme="minorEastAsia" w:cstheme="minorEastAsia"/>
          <w:color w:val="000000" w:themeColor="text1"/>
          <w:sz w:val="24"/>
          <w:szCs w:val="24"/>
          <w:u w:val="single"/>
          <w14:textFill>
            <w14:solidFill>
              <w14:schemeClr w14:val="tx1"/>
            </w14:solidFill>
          </w14:textFill>
        </w:rPr>
        <w:t xml:space="preserve">       </w:t>
      </w:r>
      <w:r>
        <w:rPr>
          <w:rFonts w:hint="eastAsia" w:asciiTheme="minorEastAsia" w:hAnsiTheme="minorEastAsia" w:eastAsiaTheme="minorEastAsia" w:cstheme="minorEastAsia"/>
          <w:color w:val="000000" w:themeColor="text1"/>
          <w:sz w:val="24"/>
          <w:szCs w:val="24"/>
          <w14:textFill>
            <w14:solidFill>
              <w14:schemeClr w14:val="tx1"/>
            </w14:solidFill>
          </w14:textFill>
        </w:rPr>
        <w:t>年；</w:t>
      </w:r>
    </w:p>
    <w:p>
      <w:pPr>
        <w:pStyle w:val="3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3、整体工程质保期为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p>
    <w:p>
      <w:pPr>
        <w:pStyle w:val="30"/>
        <w:spacing w:line="360" w:lineRule="auto"/>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4、其他项目保修期限约定如下：</w:t>
      </w:r>
      <w:r>
        <w:rPr>
          <w:rFonts w:hint="eastAsia" w:asciiTheme="minorEastAsia" w:hAnsiTheme="minorEastAsia" w:eastAsiaTheme="minorEastAsia" w:cstheme="minorEastAsia"/>
          <w:sz w:val="24"/>
          <w:szCs w:val="24"/>
          <w:u w:val="single"/>
        </w:rPr>
        <w:t xml:space="preserve">   年</w:t>
      </w:r>
      <w:r>
        <w:rPr>
          <w:rFonts w:hint="eastAsia" w:asciiTheme="minorEastAsia" w:hAnsiTheme="minorEastAsia" w:eastAsiaTheme="minorEastAsia" w:cstheme="minorEastAsia"/>
          <w:sz w:val="24"/>
          <w:szCs w:val="24"/>
        </w:rPr>
        <w:t>；</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5、质量保修期自工程竣工验收合格签字之日起计算。</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三、质量保修责任</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1、 属于保修范围和内容的项目， 承包人应在接到修理通知之后7天内派人修理。承包人不在约定期限内派人修理，发包人可委托其他人员修理，保修费用从质量保修金内扣除。</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2、 发生须紧急抢修事故，承包人接到事故通知后，应立即到达事故现场抢修。非承包人施工质量引起的事故，抢修费用由发包人承担。</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3、 在国家规定的工程合理使用期限内，承包人确保地基基础工程和主体结构的质量。因承包人原因致使工程在合理使用期限内造成人身和财产损害的，承包人应承担损害赔偿责任。</w:t>
      </w:r>
    </w:p>
    <w:p>
      <w:pPr>
        <w:pStyle w:val="29"/>
        <w:spacing w:line="360" w:lineRule="auto"/>
        <w:ind w:left="0" w:right="720" w:firstLine="480" w:firstLineChars="200"/>
        <w:rPr>
          <w:rFonts w:asciiTheme="minorEastAsia" w:hAnsiTheme="minorEastAsia" w:eastAsiaTheme="minorEastAsia" w:cstheme="minorEastAsia"/>
          <w:color w:val="0000FF"/>
          <w:szCs w:val="24"/>
          <w:highlight w:val="none"/>
        </w:rPr>
      </w:pPr>
      <w:r>
        <w:rPr>
          <w:rFonts w:hint="eastAsia" w:asciiTheme="minorEastAsia" w:hAnsiTheme="minorEastAsia" w:eastAsiaTheme="minorEastAsia" w:cstheme="minorEastAsia"/>
          <w:szCs w:val="24"/>
        </w:rPr>
        <w:t>四、质量保修金的支付：</w:t>
      </w:r>
      <w:r>
        <w:rPr>
          <w:rFonts w:hint="eastAsia" w:asciiTheme="minorEastAsia" w:hAnsiTheme="minorEastAsia" w:eastAsiaTheme="minorEastAsia" w:cstheme="minorEastAsia"/>
          <w:highlight w:val="none"/>
          <w:u w:val="single"/>
          <w:lang w:eastAsia="zh-CN"/>
        </w:rPr>
        <w:t>以双方签订合同约定为准</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五、质量保修金的返还：发包人在质量保修期满无质量问题后14天内，将剩余保修金无息返还剩余质量保修金。</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六、其他</w:t>
      </w:r>
    </w:p>
    <w:p>
      <w:pPr>
        <w:pStyle w:val="29"/>
        <w:spacing w:line="360" w:lineRule="auto"/>
        <w:ind w:left="0" w:right="720" w:firstLine="480" w:firstLineChars="200"/>
        <w:rPr>
          <w:rFonts w:asciiTheme="minorEastAsia" w:hAnsiTheme="minorEastAsia" w:eastAsiaTheme="minorEastAsia" w:cstheme="minorEastAsia"/>
          <w:szCs w:val="24"/>
          <w:u w:val="single"/>
        </w:rPr>
      </w:pPr>
      <w:r>
        <w:rPr>
          <w:rFonts w:hint="eastAsia" w:asciiTheme="minorEastAsia" w:hAnsiTheme="minorEastAsia" w:eastAsiaTheme="minorEastAsia" w:cstheme="minorEastAsia"/>
          <w:szCs w:val="24"/>
        </w:rPr>
        <w:t>双方约定的其他工程质量保修事项：</w:t>
      </w:r>
      <w:r>
        <w:rPr>
          <w:rFonts w:hint="eastAsia" w:asciiTheme="minorEastAsia" w:hAnsiTheme="minorEastAsia" w:eastAsiaTheme="minorEastAsia" w:cstheme="minorEastAsia"/>
          <w:szCs w:val="24"/>
          <w:u w:val="single"/>
        </w:rPr>
        <w:t xml:space="preserve"> 承包人负责保修期间收集整理完整工程资料。  </w:t>
      </w:r>
    </w:p>
    <w:p>
      <w:pPr>
        <w:pStyle w:val="29"/>
        <w:spacing w:line="360" w:lineRule="auto"/>
        <w:ind w:left="0" w:right="720" w:firstLine="480" w:firstLineChars="200"/>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本工程质量保修书作为施工合同附件，由施工合同发包人承包人双方共同签署。</w:t>
      </w:r>
    </w:p>
    <w:p>
      <w:pPr>
        <w:pStyle w:val="29"/>
        <w:spacing w:line="360" w:lineRule="auto"/>
        <w:ind w:left="0" w:right="720" w:firstLine="409" w:firstLineChars="133"/>
        <w:rPr>
          <w:rFonts w:asciiTheme="minorEastAsia" w:hAnsiTheme="minorEastAsia" w:eastAsiaTheme="minorEastAsia" w:cstheme="minorEastAsia"/>
          <w:szCs w:val="24"/>
        </w:rPr>
      </w:pPr>
      <w:r>
        <w:rPr>
          <w:rFonts w:hint="eastAsia" w:asciiTheme="minorEastAsia" w:hAnsiTheme="minorEastAsia" w:eastAsiaTheme="minorEastAsia" w:cstheme="minorEastAsia"/>
          <w:spacing w:val="34"/>
          <w:szCs w:val="24"/>
        </w:rPr>
        <w:t>发包人（公章）</w:t>
      </w:r>
      <w:r>
        <w:rPr>
          <w:rFonts w:hint="eastAsia" w:asciiTheme="minorEastAsia" w:hAnsiTheme="minorEastAsia" w:eastAsiaTheme="minorEastAsia" w:cstheme="minorEastAsia"/>
          <w:szCs w:val="24"/>
        </w:rPr>
        <w:t xml:space="preserve">：              </w:t>
      </w:r>
      <w:r>
        <w:rPr>
          <w:rFonts w:hint="eastAsia" w:asciiTheme="minorEastAsia" w:hAnsiTheme="minorEastAsia" w:eastAsiaTheme="minorEastAsia" w:cstheme="minorEastAsia"/>
          <w:spacing w:val="34"/>
          <w:szCs w:val="24"/>
        </w:rPr>
        <w:t>承包人（公章）</w:t>
      </w:r>
      <w:r>
        <w:rPr>
          <w:rFonts w:hint="eastAsia" w:asciiTheme="minorEastAsia" w:hAnsiTheme="minorEastAsia" w:eastAsiaTheme="minorEastAsia" w:cstheme="minorEastAsia"/>
          <w:szCs w:val="24"/>
        </w:rPr>
        <w:t>：</w:t>
      </w:r>
    </w:p>
    <w:p>
      <w:pPr>
        <w:pStyle w:val="29"/>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rPr>
        <w:t>法定代表人（签字）：              法定代表人（签字）：</w:t>
      </w:r>
    </w:p>
    <w:p>
      <w:pPr>
        <w:pStyle w:val="29"/>
        <w:spacing w:line="360" w:lineRule="auto"/>
        <w:ind w:left="0" w:right="720" w:firstLine="424" w:firstLineChars="177"/>
        <w:rPr>
          <w:rFonts w:asciiTheme="minorEastAsia" w:hAnsiTheme="minorEastAsia" w:eastAsiaTheme="minorEastAsia" w:cstheme="minorEastAsia"/>
          <w:szCs w:val="24"/>
        </w:rPr>
      </w:pP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 xml:space="preserve">日             </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年</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月</w:t>
      </w:r>
      <w:r>
        <w:rPr>
          <w:rFonts w:hint="eastAsia" w:asciiTheme="minorEastAsia" w:hAnsiTheme="minorEastAsia" w:eastAsiaTheme="minorEastAsia" w:cstheme="minorEastAsia"/>
          <w:szCs w:val="24"/>
          <w:u w:val="single"/>
        </w:rPr>
        <w:t xml:space="preserve">     </w:t>
      </w:r>
      <w:r>
        <w:rPr>
          <w:rFonts w:hint="eastAsia" w:asciiTheme="minorEastAsia" w:hAnsiTheme="minorEastAsia" w:eastAsiaTheme="minorEastAsia" w:cstheme="minorEastAsia"/>
          <w:szCs w:val="24"/>
        </w:rPr>
        <w:t>日</w:t>
      </w:r>
    </w:p>
    <w:p>
      <w:pPr>
        <w:autoSpaceDE w:val="0"/>
        <w:autoSpaceDN w:val="0"/>
        <w:adjustRightInd w:val="0"/>
        <w:spacing w:line="360" w:lineRule="auto"/>
        <w:jc w:val="center"/>
        <w:rPr>
          <w:rFonts w:hint="eastAsia" w:asciiTheme="minorEastAsia" w:hAnsiTheme="minorEastAsia" w:eastAsiaTheme="minorEastAsia" w:cstheme="minorEastAsia"/>
          <w:b/>
          <w:sz w:val="32"/>
          <w:szCs w:val="32"/>
        </w:rPr>
      </w:pPr>
      <w:bookmarkStart w:id="678" w:name="_Toc298240429"/>
      <w:bookmarkStart w:id="679" w:name="_Toc349637943"/>
      <w:bookmarkStart w:id="680" w:name="_Toc507690272"/>
      <w:bookmarkStart w:id="681" w:name="_Toc527642969"/>
      <w:bookmarkStart w:id="682" w:name="_Toc349573144"/>
    </w:p>
    <w:p>
      <w:pPr>
        <w:autoSpaceDE w:val="0"/>
        <w:autoSpaceDN w:val="0"/>
        <w:adjustRightInd w:val="0"/>
        <w:spacing w:line="360" w:lineRule="auto"/>
        <w:jc w:val="center"/>
        <w:rPr>
          <w:rFonts w:hint="eastAsia" w:asciiTheme="minorEastAsia" w:hAnsiTheme="minorEastAsia" w:eastAsiaTheme="minorEastAsia" w:cstheme="minorEastAsia"/>
          <w:b/>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36"/>
          <w:szCs w:val="36"/>
          <w:lang w:val="zh-CN"/>
        </w:rPr>
      </w:pPr>
      <w:r>
        <w:rPr>
          <w:rFonts w:hint="eastAsia" w:asciiTheme="minorEastAsia" w:hAnsiTheme="minorEastAsia" w:eastAsiaTheme="minorEastAsia" w:cstheme="minorEastAsia"/>
          <w:b/>
          <w:sz w:val="32"/>
          <w:szCs w:val="32"/>
        </w:rPr>
        <w:t>第五部分　</w:t>
      </w:r>
      <w:bookmarkEnd w:id="678"/>
      <w:bookmarkEnd w:id="679"/>
      <w:bookmarkEnd w:id="680"/>
      <w:bookmarkEnd w:id="681"/>
      <w:bookmarkEnd w:id="682"/>
      <w:r>
        <w:rPr>
          <w:rFonts w:hint="eastAsia" w:asciiTheme="minorEastAsia" w:hAnsiTheme="minorEastAsia" w:eastAsiaTheme="minorEastAsia" w:cstheme="minorEastAsia"/>
          <w:b/>
          <w:sz w:val="32"/>
          <w:szCs w:val="32"/>
          <w:lang w:val="zh-CN"/>
        </w:rPr>
        <w:t>响应文件格式</w:t>
      </w:r>
    </w:p>
    <w:p>
      <w:pPr>
        <w:spacing w:line="360" w:lineRule="auto"/>
        <w:jc w:val="center"/>
        <w:rPr>
          <w:rFonts w:asciiTheme="minorEastAsia" w:hAnsiTheme="minorEastAsia" w:eastAsiaTheme="minorEastAsia" w:cstheme="minorEastAsia"/>
          <w:sz w:val="32"/>
          <w:szCs w:val="32"/>
        </w:rPr>
      </w:pPr>
    </w:p>
    <w:p>
      <w:pPr>
        <w:autoSpaceDE w:val="0"/>
        <w:autoSpaceDN w:val="0"/>
        <w:adjustRightInd w:val="0"/>
        <w:spacing w:line="360" w:lineRule="auto"/>
        <w:jc w:val="center"/>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 w:val="24"/>
          <w:szCs w:val="24"/>
          <w:lang w:val="zh-CN"/>
        </w:rPr>
        <w:t>注：为了便于查找，标注目录及页码</w:t>
      </w:r>
    </w:p>
    <w:p>
      <w:pPr>
        <w:autoSpaceDE w:val="0"/>
        <w:autoSpaceDN w:val="0"/>
        <w:adjustRightInd w:val="0"/>
        <w:spacing w:line="360" w:lineRule="auto"/>
        <w:jc w:val="center"/>
        <w:rPr>
          <w:rFonts w:asciiTheme="minorEastAsia" w:hAnsiTheme="minorEastAsia" w:eastAsiaTheme="minorEastAsia" w:cstheme="minorEastAsia"/>
          <w:sz w:val="24"/>
          <w:szCs w:val="24"/>
          <w:lang w:val="zh-CN"/>
        </w:rPr>
      </w:pPr>
      <w:r>
        <w:rPr>
          <w:rFonts w:hint="eastAsia" w:asciiTheme="minorEastAsia" w:hAnsiTheme="minorEastAsia" w:eastAsiaTheme="minorEastAsia" w:cstheme="minorEastAsia"/>
          <w:sz w:val="24"/>
          <w:szCs w:val="24"/>
          <w:lang w:val="zh-CN"/>
        </w:rPr>
        <w:t>（以下内容需按要求提供相应证明材料）</w:t>
      </w:r>
    </w:p>
    <w:p>
      <w:pPr>
        <w:autoSpaceDE w:val="0"/>
        <w:autoSpaceDN w:val="0"/>
        <w:adjustRightInd w:val="0"/>
        <w:spacing w:line="360" w:lineRule="auto"/>
        <w:jc w:val="center"/>
        <w:rPr>
          <w:rFonts w:asciiTheme="minorEastAsia" w:hAnsiTheme="minorEastAsia" w:eastAsiaTheme="minorEastAsia" w:cstheme="minorEastAsia"/>
          <w:b/>
          <w:bCs/>
          <w:sz w:val="32"/>
          <w:szCs w:val="32"/>
          <w:lang w:val="zh-CN"/>
        </w:rPr>
      </w:pPr>
    </w:p>
    <w:p>
      <w:pPr>
        <w:autoSpaceDE w:val="0"/>
        <w:autoSpaceDN w:val="0"/>
        <w:adjustRightInd w:val="0"/>
        <w:spacing w:line="360" w:lineRule="auto"/>
        <w:rPr>
          <w:rFonts w:asciiTheme="minorEastAsia" w:hAnsiTheme="minorEastAsia" w:eastAsiaTheme="minorEastAsia" w:cstheme="minorEastAsia"/>
          <w:b/>
          <w:bCs/>
          <w:sz w:val="32"/>
          <w:szCs w:val="32"/>
          <w:lang w:val="zh-CN"/>
        </w:rPr>
      </w:pPr>
    </w:p>
    <w:p>
      <w:pPr>
        <w:pStyle w:val="8"/>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b w:val="0"/>
          <w:bCs/>
          <w:sz w:val="24"/>
          <w:szCs w:val="24"/>
          <w:lang w:val="zh-CN"/>
        </w:rPr>
        <w:br w:type="page"/>
      </w:r>
      <w:bookmarkStart w:id="683" w:name="_Toc414108641"/>
      <w:bookmarkStart w:id="684" w:name="_Toc383102810"/>
      <w:r>
        <w:rPr>
          <w:rFonts w:hint="eastAsia" w:asciiTheme="minorEastAsia" w:hAnsiTheme="minorEastAsia" w:eastAsiaTheme="minorEastAsia" w:cstheme="minorEastAsia"/>
          <w:lang w:val="zh-CN"/>
        </w:rPr>
        <w:t>商</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83"/>
      <w:bookmarkEnd w:id="684"/>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响应文件商务标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2"/>
        <w:spacing w:line="360" w:lineRule="auto"/>
        <w:ind w:firstLine="480"/>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采购人：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lang w:val="en-US" w:eastAsia="zh-CN"/>
        </w:rPr>
        <w:t xml:space="preserve">     </w:t>
      </w: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autoSpaceDE w:val="0"/>
        <w:autoSpaceDN w:val="0"/>
        <w:adjustRightInd w:val="0"/>
        <w:spacing w:line="360" w:lineRule="auto"/>
        <w:jc w:val="center"/>
        <w:rPr>
          <w:rFonts w:hint="eastAsia" w:asciiTheme="minorEastAsia" w:hAnsiTheme="minorEastAsia" w:eastAsiaTheme="minorEastAsia" w:cstheme="minorEastAsia"/>
          <w:lang w:val="zh-CN"/>
        </w:rPr>
      </w:pPr>
    </w:p>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商务标目录</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1、投标承诺书（一）</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2、投标承诺书（二）</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3、投标承诺书（三）</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4、法定代表人身份证明书</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5、法定代表人授权委托书</w:t>
      </w:r>
    </w:p>
    <w:p>
      <w:pPr>
        <w:autoSpaceDE w:val="0"/>
        <w:autoSpaceDN w:val="0"/>
        <w:adjustRightInd w:val="0"/>
        <w:spacing w:line="360" w:lineRule="auto"/>
        <w:ind w:left="420" w:leftChars="1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6、供应商概况（企业营业执照副本复印件、资质证书副本复印件、安全生产许可证复印件、注册建造师证书复印件）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7、项目管理人员</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参加政府采购活动前三年内在经营活动中没有重大违法记录的书面声明。</w:t>
      </w:r>
    </w:p>
    <w:p>
      <w:pPr>
        <w:autoSpaceDE w:val="0"/>
        <w:autoSpaceDN w:val="0"/>
        <w:adjustRightInd w:val="0"/>
        <w:spacing w:line="360" w:lineRule="auto"/>
        <w:ind w:left="210" w:leftChars="100"/>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9、中小企业声明函 (服务)、残疾人福利性单位声明函 、监狱企业证明</w:t>
      </w:r>
    </w:p>
    <w:p>
      <w:pPr>
        <w:autoSpaceDE w:val="0"/>
        <w:autoSpaceDN w:val="0"/>
        <w:adjustRightInd w:val="0"/>
        <w:spacing w:line="360" w:lineRule="auto"/>
        <w:ind w:firstLine="210" w:firstLine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、投标保证金收据复印件</w:t>
      </w:r>
    </w:p>
    <w:p>
      <w:pPr>
        <w:autoSpaceDE w:val="0"/>
        <w:autoSpaceDN w:val="0"/>
        <w:adjustRightInd w:val="0"/>
        <w:spacing w:line="360" w:lineRule="auto"/>
        <w:ind w:left="210" w:leftChars="1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11</w:t>
      </w:r>
      <w:r>
        <w:rPr>
          <w:rFonts w:hint="eastAsia" w:asciiTheme="minorEastAsia" w:hAnsiTheme="minorEastAsia" w:eastAsiaTheme="minorEastAsia" w:cstheme="minorEastAsia"/>
          <w:szCs w:val="21"/>
        </w:rPr>
        <w:t>、磋商文件要求的其他证明材料</w:t>
      </w:r>
    </w:p>
    <w:p>
      <w:pPr>
        <w:pStyle w:val="5"/>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注：为了便于查找，请按上述顺序编排商务标内容，并在目录中标明每项内容的起始页码。</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5"/>
        <w:spacing w:line="360" w:lineRule="auto"/>
        <w:jc w:val="center"/>
        <w:rPr>
          <w:rFonts w:asciiTheme="minorEastAsia" w:hAnsiTheme="minorEastAsia" w:eastAsiaTheme="minorEastAsia" w:cstheme="minorEastAsia"/>
        </w:rPr>
      </w:pPr>
      <w:bookmarkStart w:id="685" w:name="_Toc414108642"/>
      <w:r>
        <w:rPr>
          <w:rFonts w:hint="eastAsia" w:asciiTheme="minorEastAsia" w:hAnsiTheme="minorEastAsia" w:eastAsiaTheme="minorEastAsia" w:cstheme="minorEastAsia"/>
          <w:lang w:val="zh-CN"/>
        </w:rPr>
        <w:t>投标承诺书（一）</w:t>
      </w:r>
      <w:bookmarkEnd w:id="685"/>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招标人：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、根据已收到的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工程的磋商文件，我单位经考察现场和研究贵方的磋商文件后，将接受该工程磋商文件中各条款内容并且以经济标中所报投标价格承包本招标范围内的工程。</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、如果我方中标，非业主原因，我方保证将在下列日期内组织施工。</w:t>
      </w:r>
    </w:p>
    <w:p>
      <w:pPr>
        <w:adjustRightInd w:val="0"/>
        <w:snapToGri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、如果我方中标，非业主原因，我方保证将按下列质量等级完成本工程。</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质量等级：</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r>
        <w:rPr>
          <w:rFonts w:hint="eastAsia" w:asciiTheme="minorEastAsia" w:hAnsiTheme="minorEastAsia" w:eastAsiaTheme="minorEastAsia" w:cstheme="minorEastAsia"/>
          <w:lang w:val="zh-CN"/>
        </w:rPr>
        <w:t>、如果我方中标，我方将按磋商文件规定的时间内签订承包合同。如果我方违约，除履约保证金外，我方还将以中标价</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作为赔偿金，同时贵方有权终止我方中标并选择其它中标人。</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r>
        <w:rPr>
          <w:rFonts w:hint="eastAsia" w:asciiTheme="minorEastAsia" w:hAnsiTheme="minorEastAsia" w:eastAsiaTheme="minorEastAsia" w:cstheme="minorEastAsia"/>
          <w:lang w:val="zh-CN"/>
        </w:rPr>
        <w:t>、贵方的磋商文件、中标通知书、我方的响应文件将构成约束双方的合同一部分。</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r>
        <w:rPr>
          <w:rFonts w:hint="eastAsia" w:asciiTheme="minorEastAsia" w:hAnsiTheme="minorEastAsia" w:eastAsiaTheme="minorEastAsia" w:cstheme="minorEastAsia"/>
          <w:lang w:val="zh-CN"/>
        </w:rPr>
        <w:t>、如果我方未中标，贵方没有必要对我方做出任何解释和说明，我方将充分尊重和理解贵方的选择。</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5"/>
        <w:spacing w:line="360" w:lineRule="auto"/>
        <w:jc w:val="center"/>
        <w:rPr>
          <w:rFonts w:asciiTheme="minorEastAsia" w:hAnsiTheme="minorEastAsia" w:eastAsiaTheme="minorEastAsia" w:cstheme="minorEastAsia"/>
        </w:rPr>
      </w:pPr>
      <w:bookmarkStart w:id="686" w:name="_Toc414108643"/>
      <w:r>
        <w:rPr>
          <w:rFonts w:hint="eastAsia" w:asciiTheme="minorEastAsia" w:hAnsiTheme="minorEastAsia" w:eastAsiaTheme="minorEastAsia" w:cstheme="minorEastAsia"/>
          <w:lang w:val="zh-CN"/>
        </w:rPr>
        <w:t>投标承诺书（二）</w:t>
      </w:r>
      <w:bookmarkEnd w:id="686"/>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采购人：</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如果我方中标，施工项目负责人为：</w:t>
      </w:r>
    </w:p>
    <w:tbl>
      <w:tblPr>
        <w:tblStyle w:val="19"/>
        <w:tblW w:w="9105"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 w:type="dxa"/>
          <w:bottom w:w="0" w:type="dxa"/>
          <w:right w:w="10" w:type="dxa"/>
        </w:tblCellMar>
      </w:tblPr>
      <w:tblGrid>
        <w:gridCol w:w="2278"/>
        <w:gridCol w:w="2274"/>
        <w:gridCol w:w="2279"/>
        <w:gridCol w:w="227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46"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姓名</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职称</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493"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注册建造师等级</w:t>
            </w:r>
          </w:p>
        </w:tc>
        <w:tc>
          <w:tcPr>
            <w:tcW w:w="227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c>
          <w:tcPr>
            <w:tcW w:w="2279"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注册建造师证书编号</w:t>
            </w:r>
          </w:p>
        </w:tc>
        <w:tc>
          <w:tcPr>
            <w:tcW w:w="2274" w:type="dxa"/>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 w:type="dxa"/>
            <w:bottom w:w="0" w:type="dxa"/>
            <w:right w:w="10" w:type="dxa"/>
          </w:tblCellMar>
        </w:tblPrEx>
        <w:trPr>
          <w:trHeight w:val="542" w:hRule="atLeast"/>
        </w:trPr>
        <w:tc>
          <w:tcPr>
            <w:tcW w:w="2278" w:type="dxa"/>
            <w:tcBorders>
              <w:top w:val="single" w:color="auto" w:sz="4" w:space="0"/>
              <w:bottom w:val="single" w:color="auto" w:sz="4" w:space="0"/>
              <w:right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身份证号码</w:t>
            </w:r>
          </w:p>
        </w:tc>
        <w:tc>
          <w:tcPr>
            <w:tcW w:w="6827" w:type="dxa"/>
            <w:gridSpan w:val="3"/>
            <w:tcBorders>
              <w:top w:val="single" w:color="auto" w:sz="4" w:space="0"/>
              <w:left w:val="single" w:color="auto" w:sz="4" w:space="0"/>
              <w:bottom w:val="single" w:color="auto" w:sz="4" w:space="0"/>
            </w:tcBorders>
            <w:vAlign w:val="center"/>
          </w:tcPr>
          <w:p>
            <w:pPr>
              <w:autoSpaceDE w:val="0"/>
              <w:autoSpaceDN w:val="0"/>
              <w:adjustRightInd w:val="0"/>
              <w:spacing w:line="360" w:lineRule="auto"/>
              <w:jc w:val="center"/>
              <w:rPr>
                <w:rFonts w:asciiTheme="minorEastAsia" w:hAnsiTheme="minorEastAsia" w:eastAsiaTheme="minorEastAsia" w:cstheme="minorEastAsia"/>
                <w:szCs w:val="21"/>
                <w:u w:val="single"/>
              </w:rPr>
            </w:pPr>
          </w:p>
        </w:tc>
      </w:tr>
    </w:tbl>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firstLineChars="20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中标后，若由于特殊原因须更换施工项目负责人时，我方将以资质以及信誉不低于此注册建造师的人员替换，并报业主审查。经审查通过后，方可更换。若未经业主批准，我方擅自更换施工项目负责人，我方愿以合同价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w:t>
      </w:r>
      <w:r>
        <w:rPr>
          <w:rFonts w:hint="eastAsia" w:asciiTheme="minorEastAsia" w:hAnsiTheme="minorEastAsia" w:eastAsiaTheme="minorEastAsia" w:cstheme="minorEastAsia"/>
          <w:lang w:val="zh-CN"/>
        </w:rPr>
        <w:t>作为赔偿金。</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法定代表人或委托代理人：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ind w:left="424"/>
        <w:jc w:val="center"/>
        <w:rPr>
          <w:rFonts w:hint="eastAsia" w:asciiTheme="minorEastAsia" w:hAnsiTheme="minorEastAsia" w:eastAsiaTheme="minorEastAsia" w:cstheme="minorEastAsia"/>
          <w:b/>
          <w:bCs/>
          <w:sz w:val="32"/>
          <w:szCs w:val="32"/>
          <w:lang w:val="zh-CN"/>
        </w:rPr>
      </w:pPr>
      <w:bookmarkStart w:id="687" w:name="_Toc414108644"/>
    </w:p>
    <w:p>
      <w:pPr>
        <w:spacing w:line="360" w:lineRule="auto"/>
        <w:ind w:left="424"/>
        <w:jc w:val="center"/>
        <w:rPr>
          <w:rFonts w:asciiTheme="minorEastAsia" w:hAnsiTheme="minorEastAsia" w:eastAsiaTheme="minorEastAsia" w:cstheme="minorEastAsia"/>
          <w:b/>
          <w:bCs/>
          <w:sz w:val="32"/>
          <w:szCs w:val="32"/>
          <w:lang w:val="zh-CN"/>
        </w:rPr>
      </w:pPr>
      <w:r>
        <w:rPr>
          <w:rFonts w:hint="eastAsia" w:asciiTheme="minorEastAsia" w:hAnsiTheme="minorEastAsia" w:eastAsiaTheme="minorEastAsia" w:cstheme="minorEastAsia"/>
          <w:b/>
          <w:bCs/>
          <w:sz w:val="32"/>
          <w:szCs w:val="32"/>
          <w:lang w:val="zh-CN"/>
        </w:rPr>
        <w:t>投标承诺书（三）</w:t>
      </w:r>
    </w:p>
    <w:p>
      <w:pPr>
        <w:spacing w:line="360" w:lineRule="auto"/>
        <w:ind w:left="424"/>
        <w:jc w:val="center"/>
        <w:rPr>
          <w:rFonts w:asciiTheme="minorEastAsia" w:hAnsiTheme="minorEastAsia" w:eastAsiaTheme="minorEastAsia" w:cstheme="minorEastAsia"/>
          <w:b/>
          <w:kern w:val="1"/>
          <w:szCs w:val="21"/>
        </w:rPr>
      </w:pPr>
    </w:p>
    <w:p>
      <w:pPr>
        <w:spacing w:line="360" w:lineRule="auto"/>
        <w:rPr>
          <w:rFonts w:asciiTheme="minorEastAsia" w:hAnsiTheme="minorEastAsia" w:eastAsiaTheme="minorEastAsia" w:cstheme="minorEastAsia"/>
          <w:szCs w:val="21"/>
          <w:u w:val="single"/>
        </w:rPr>
      </w:pPr>
      <w:r>
        <w:rPr>
          <w:rFonts w:hint="eastAsia" w:asciiTheme="minorEastAsia" w:hAnsiTheme="minorEastAsia" w:eastAsiaTheme="minorEastAsia" w:cstheme="minorEastAsia"/>
          <w:szCs w:val="21"/>
        </w:rPr>
        <w:t>致：</w:t>
      </w:r>
      <w:r>
        <w:rPr>
          <w:rFonts w:hint="eastAsia" w:asciiTheme="minorEastAsia" w:hAnsiTheme="minorEastAsia" w:eastAsiaTheme="minorEastAsia" w:cstheme="minorEastAsia"/>
          <w:szCs w:val="21"/>
          <w:u w:val="single"/>
        </w:rPr>
        <w:t xml:space="preserve"> （招标人）     </w:t>
      </w:r>
    </w:p>
    <w:p>
      <w:pPr>
        <w:spacing w:line="360" w:lineRule="auto"/>
        <w:rPr>
          <w:rFonts w:asciiTheme="minorEastAsia" w:hAnsiTheme="minorEastAsia" w:eastAsiaTheme="minorEastAsia" w:cstheme="minorEastAsia"/>
          <w:szCs w:val="21"/>
          <w:u w:val="single"/>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w:t>
      </w:r>
      <w:r>
        <w:rPr>
          <w:rFonts w:hint="eastAsia" w:asciiTheme="minorEastAsia" w:hAnsiTheme="minorEastAsia" w:eastAsiaTheme="minorEastAsia" w:cstheme="minorEastAsia"/>
          <w:szCs w:val="21"/>
          <w:u w:val="single"/>
        </w:rPr>
        <w:t xml:space="preserve">    （供应商名称）       </w:t>
      </w:r>
      <w:r>
        <w:rPr>
          <w:rFonts w:hint="eastAsia" w:asciiTheme="minorEastAsia" w:hAnsiTheme="minorEastAsia" w:eastAsiaTheme="minorEastAsia" w:cstheme="minorEastAsia"/>
          <w:szCs w:val="21"/>
        </w:rPr>
        <w:t>作为</w:t>
      </w:r>
      <w:r>
        <w:rPr>
          <w:rFonts w:hint="eastAsia" w:asciiTheme="minorEastAsia" w:hAnsiTheme="minorEastAsia" w:eastAsiaTheme="minorEastAsia" w:cstheme="minorEastAsia"/>
          <w:szCs w:val="21"/>
          <w:u w:val="single"/>
        </w:rPr>
        <w:t xml:space="preserve">      （项目名称） </w:t>
      </w:r>
      <w:r>
        <w:rPr>
          <w:rFonts w:hint="eastAsia" w:asciiTheme="minorEastAsia" w:hAnsiTheme="minorEastAsia" w:eastAsiaTheme="minorEastAsia" w:cstheme="minorEastAsia"/>
          <w:i/>
          <w:szCs w:val="21"/>
          <w:u w:val="single"/>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项目（以下简称“本项目”）的供应商在此郑重承诺。</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我公司承诺我方没有违反现行法律、法规及有关文件规定而被限制投标情形或者没有被有关行政监督部门限制或取消投标资格情形；近三年内在经营活动中没有重大违法记录、未因不良记录行为受行政监督管理机关处罚或通报等情况，否则若中标也将被取消中标资格，并且投标过程中我公司提供的所有书面材料都是真实可靠的，如发现有虚假情况，我公司愿自动退出本次招标活动并承担一切法律后果。</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特此承诺！</w:t>
      </w:r>
    </w:p>
    <w:p>
      <w:pPr>
        <w:spacing w:line="360" w:lineRule="auto"/>
        <w:rPr>
          <w:rFonts w:asciiTheme="minorEastAsia" w:hAnsiTheme="minorEastAsia" w:eastAsiaTheme="minorEastAsia" w:cstheme="minorEastAsia"/>
          <w:szCs w:val="21"/>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供应商名称：（公章）</w:t>
      </w:r>
    </w:p>
    <w:p>
      <w:pPr>
        <w:pStyle w:val="18"/>
        <w:tabs>
          <w:tab w:val="left" w:pos="630"/>
        </w:tabs>
        <w:spacing w:line="360" w:lineRule="auto"/>
        <w:ind w:firstLine="210"/>
        <w:rPr>
          <w:rFonts w:asciiTheme="minorEastAsia" w:hAnsiTheme="minorEastAsia" w:eastAsiaTheme="minorEastAsia" w:cstheme="minorEastAsia"/>
        </w:rPr>
      </w:pP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法定代表人：（盖章）</w:t>
      </w:r>
    </w:p>
    <w:p>
      <w:pPr>
        <w:spacing w:line="360" w:lineRule="auto"/>
        <w:ind w:firstLine="403" w:firstLineChars="192"/>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w:t>
      </w:r>
    </w:p>
    <w:p>
      <w:pPr>
        <w:spacing w:line="360" w:lineRule="auto"/>
        <w:jc w:val="right"/>
        <w:rPr>
          <w:rFonts w:asciiTheme="minorEastAsia" w:hAnsiTheme="minorEastAsia" w:eastAsiaTheme="minorEastAsia" w:cstheme="minorEastAsia"/>
          <w:b/>
          <w:bCs/>
          <w:sz w:val="24"/>
          <w:szCs w:val="24"/>
          <w:lang w:val="zh-CN"/>
        </w:rPr>
      </w:pP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kern w:val="1"/>
          <w:szCs w:val="21"/>
        </w:rPr>
        <w:t>日期：</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年</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月</w:t>
      </w:r>
      <w:r>
        <w:rPr>
          <w:rFonts w:hint="eastAsia" w:asciiTheme="minorEastAsia" w:hAnsiTheme="minorEastAsia" w:eastAsiaTheme="minorEastAsia" w:cstheme="minorEastAsia"/>
          <w:kern w:val="1"/>
          <w:szCs w:val="21"/>
          <w:u w:val="single"/>
        </w:rPr>
        <w:t xml:space="preserve">    </w:t>
      </w:r>
      <w:r>
        <w:rPr>
          <w:rFonts w:hint="eastAsia" w:asciiTheme="minorEastAsia" w:hAnsiTheme="minorEastAsia" w:eastAsiaTheme="minorEastAsia" w:cstheme="minorEastAsia"/>
          <w:kern w:val="1"/>
          <w:szCs w:val="21"/>
        </w:rPr>
        <w:t>日</w:t>
      </w:r>
    </w:p>
    <w:p>
      <w:pPr>
        <w:pStyle w:val="5"/>
        <w:spacing w:line="360" w:lineRule="auto"/>
        <w:rPr>
          <w:rFonts w:asciiTheme="minorEastAsia" w:hAnsiTheme="minorEastAsia" w:eastAsiaTheme="minorEastAsia" w:cstheme="minorEastAsia"/>
          <w:lang w:val="zh-CN"/>
        </w:rPr>
      </w:pPr>
    </w:p>
    <w:p>
      <w:pPr>
        <w:spacing w:line="360" w:lineRule="auto"/>
        <w:rPr>
          <w:rFonts w:asciiTheme="minorEastAsia" w:hAnsiTheme="minorEastAsia" w:eastAsiaTheme="minorEastAsia" w:cstheme="minorEastAsia"/>
          <w:lang w:val="zh-CN"/>
        </w:rPr>
      </w:pPr>
    </w:p>
    <w:p>
      <w:pPr>
        <w:pStyle w:val="31"/>
        <w:ind w:firstLine="420"/>
        <w:rPr>
          <w:rFonts w:asciiTheme="minorEastAsia" w:hAnsiTheme="minorEastAsia" w:eastAsiaTheme="minorEastAsia" w:cstheme="minorEastAsia"/>
        </w:rPr>
      </w:pPr>
    </w:p>
    <w:p>
      <w:pPr>
        <w:pStyle w:val="31"/>
        <w:ind w:firstLine="420"/>
        <w:rPr>
          <w:rFonts w:asciiTheme="minorEastAsia" w:hAnsiTheme="minorEastAsia" w:eastAsiaTheme="minorEastAsia" w:cstheme="minorEastAsia"/>
        </w:rPr>
      </w:pPr>
    </w:p>
    <w:p>
      <w:pPr>
        <w:pStyle w:val="31"/>
        <w:ind w:firstLine="420"/>
        <w:rPr>
          <w:rFonts w:asciiTheme="minorEastAsia" w:hAnsiTheme="minorEastAsia" w:eastAsiaTheme="minorEastAsia" w:cstheme="minorEastAsia"/>
        </w:rPr>
      </w:pPr>
    </w:p>
    <w:p>
      <w:pPr>
        <w:pStyle w:val="5"/>
        <w:spacing w:line="360" w:lineRule="auto"/>
        <w:jc w:val="center"/>
        <w:rPr>
          <w:rFonts w:asciiTheme="minorEastAsia" w:hAnsiTheme="minorEastAsia" w:eastAsiaTheme="minorEastAsia" w:cstheme="minorEastAsia"/>
        </w:rPr>
      </w:pPr>
      <w:r>
        <w:rPr>
          <w:rFonts w:hint="eastAsia" w:asciiTheme="minorEastAsia" w:hAnsiTheme="minorEastAsia" w:eastAsiaTheme="minorEastAsia" w:cstheme="minorEastAsia"/>
          <w:lang w:val="zh-CN"/>
        </w:rPr>
        <w:t>法定代表人身份证明书</w:t>
      </w:r>
      <w:bookmarkEnd w:id="687"/>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企业名称：</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u w:val="single"/>
        </w:rPr>
      </w:pPr>
      <w:r>
        <w:rPr>
          <w:rFonts w:hint="eastAsia" w:asciiTheme="minorEastAsia" w:hAnsiTheme="minorEastAsia" w:eastAsiaTheme="minorEastAsia" w:cstheme="minorEastAsia"/>
          <w:lang w:val="zh-CN"/>
        </w:rPr>
        <w:t>企业类型：</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地</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址：</w:t>
      </w:r>
      <w:r>
        <w:rPr>
          <w:rFonts w:hint="eastAsia" w:asciiTheme="minorEastAsia" w:hAnsiTheme="minorEastAsia" w:eastAsiaTheme="minorEastAsia" w:cstheme="minorEastAsia"/>
          <w:szCs w:val="21"/>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营业期限：</w:t>
      </w:r>
      <w:r>
        <w:rPr>
          <w:rFonts w:hint="eastAsia" w:asciiTheme="minorEastAsia" w:hAnsiTheme="minorEastAsia" w:eastAsiaTheme="minorEastAsia" w:cstheme="minorEastAsia"/>
          <w:u w:val="single"/>
        </w:rPr>
        <w:t xml:space="preserve">                                                   </w:t>
      </w:r>
    </w:p>
    <w:p>
      <w:pPr>
        <w:autoSpaceDE w:val="0"/>
        <w:autoSpaceDN w:val="0"/>
        <w:adjustRightInd w:val="0"/>
        <w:spacing w:line="400" w:lineRule="exact"/>
        <w:rPr>
          <w:rFonts w:asciiTheme="minorEastAsia" w:hAnsiTheme="minorEastAsia" w:eastAsiaTheme="minorEastAsia" w:cstheme="minorEastAsia"/>
          <w:szCs w:val="21"/>
        </w:rPr>
      </w:pPr>
    </w:p>
    <w:p>
      <w:pPr>
        <w:autoSpaceDE w:val="0"/>
        <w:autoSpaceDN w:val="0"/>
        <w:adjustRightInd w:val="0"/>
        <w:spacing w:line="400" w:lineRule="exact"/>
        <w:rPr>
          <w:rFonts w:asciiTheme="minorEastAsia" w:hAnsiTheme="minorEastAsia" w:eastAsiaTheme="minorEastAsia" w:cstheme="minorEastAsia"/>
        </w:rPr>
      </w:pPr>
      <w:r>
        <w:rPr>
          <w:rFonts w:hint="eastAsia" w:asciiTheme="minorEastAsia" w:hAnsiTheme="minorEastAsia" w:eastAsiaTheme="minorEastAsia" w:cstheme="minorEastAsia"/>
          <w:lang w:val="zh-CN"/>
        </w:rPr>
        <w:t>成立时间：</w:t>
      </w:r>
      <w:r>
        <w:rPr>
          <w:rFonts w:hint="eastAsia" w:asciiTheme="minorEastAsia" w:hAnsiTheme="minorEastAsia" w:eastAsiaTheme="minorEastAsia" w:cstheme="minorEastAsia"/>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姓名：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的法定代表人。</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特此证明。</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r>
        <w:rPr>
          <w:rFonts w:hint="eastAsia" w:asciiTheme="minorEastAsia" w:hAnsiTheme="minorEastAsia" w:eastAsiaTheme="minorEastAsia" w:cstheme="minorEastAsia"/>
          <w:lang w:val="zh-CN"/>
        </w:rPr>
        <w:t>日</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（附法定代表人身份证复印件）</w:t>
      </w:r>
      <w:r>
        <w:rPr>
          <w:rFonts w:hint="eastAsia" w:asciiTheme="minorEastAsia" w:hAnsiTheme="minorEastAsia" w:eastAsiaTheme="minorEastAsia" w:cstheme="minorEastAsia"/>
          <w:lang w:val="zh-CN"/>
        </w:rPr>
        <w:br w:type="page"/>
      </w:r>
    </w:p>
    <w:p>
      <w:pPr>
        <w:pStyle w:val="5"/>
        <w:spacing w:line="360" w:lineRule="auto"/>
        <w:jc w:val="center"/>
        <w:rPr>
          <w:rFonts w:asciiTheme="minorEastAsia" w:hAnsiTheme="minorEastAsia" w:eastAsiaTheme="minorEastAsia" w:cstheme="minorEastAsia"/>
          <w:szCs w:val="21"/>
        </w:rPr>
      </w:pPr>
      <w:bookmarkStart w:id="688" w:name="_Toc414108645"/>
      <w:r>
        <w:rPr>
          <w:rFonts w:hint="eastAsia" w:asciiTheme="minorEastAsia" w:hAnsiTheme="minorEastAsia" w:eastAsiaTheme="minorEastAsia" w:cstheme="minorEastAsia"/>
          <w:lang w:val="zh-CN"/>
        </w:rPr>
        <w:t>法定代表人授权委托书</w:t>
      </w:r>
      <w:bookmarkEnd w:id="688"/>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本授权委托书声明：我</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（姓名）系</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（供应商名称）的法定代表人，现授权委托</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（供应商名称）的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（姓名）为我公司代理人，以本公司的名义参加</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（采购人）的</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招标工程的投标活动。代理人签署的响应文件和参加整个工程招标投标活动中所签署的一切文件和处理与之有关的一切事物，我均予以承认。</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代理人：</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性别：</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年龄：</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单</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位：</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部门：</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职务：</w:t>
      </w:r>
      <w:r>
        <w:rPr>
          <w:rFonts w:hint="eastAsia" w:asciiTheme="minorEastAsia" w:hAnsiTheme="minorEastAsia" w:eastAsiaTheme="minorEastAsia" w:cstheme="minorEastAsia"/>
          <w:szCs w:val="21"/>
          <w:u w:val="single"/>
        </w:rPr>
        <w:t xml:space="preserve">             </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代理人无转委权。特此委托。</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lang w:val="zh-CN"/>
        </w:rPr>
      </w:pP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供应商：</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法定代表人：</w:t>
      </w:r>
      <w:r>
        <w:rPr>
          <w:rFonts w:hint="eastAsia" w:asciiTheme="minorEastAsia" w:hAnsiTheme="minorEastAsia" w:eastAsiaTheme="minorEastAsia" w:cstheme="minorEastAsia"/>
          <w:u w:val="single"/>
          <w:lang w:val="zh-CN"/>
        </w:rPr>
        <w:t xml:space="preserve">          </w:t>
      </w:r>
      <w:r>
        <w:rPr>
          <w:rFonts w:hint="eastAsia" w:asciiTheme="minorEastAsia" w:hAnsiTheme="minorEastAsia" w:eastAsiaTheme="minorEastAsia" w:cstheme="minorEastAsia"/>
          <w:lang w:val="zh-CN"/>
        </w:rPr>
        <w:t>（盖章）</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日期：</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年</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月</w:t>
      </w:r>
      <w:r>
        <w:rPr>
          <w:rFonts w:hint="eastAsia" w:asciiTheme="minorEastAsia" w:hAnsiTheme="minorEastAsia" w:eastAsiaTheme="minorEastAsia" w:cstheme="minorEastAsia"/>
          <w:szCs w:val="21"/>
          <w:u w:val="single"/>
        </w:rPr>
        <w:t xml:space="preserve">    </w:t>
      </w:r>
      <w:r>
        <w:rPr>
          <w:rFonts w:hint="eastAsia" w:asciiTheme="minorEastAsia" w:hAnsiTheme="minorEastAsia" w:eastAsiaTheme="minorEastAsia" w:cstheme="minorEastAsia"/>
          <w:lang w:val="zh-CN"/>
        </w:rPr>
        <w:t>日</w:t>
      </w:r>
    </w:p>
    <w:p>
      <w:pPr>
        <w:autoSpaceDE w:val="0"/>
        <w:autoSpaceDN w:val="0"/>
        <w:adjustRightInd w:val="0"/>
        <w:spacing w:line="360" w:lineRule="auto"/>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（附被授权人身份证复印件）</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pStyle w:val="5"/>
        <w:spacing w:line="360" w:lineRule="auto"/>
        <w:jc w:val="center"/>
        <w:rPr>
          <w:rFonts w:asciiTheme="minorEastAsia" w:hAnsiTheme="minorEastAsia" w:eastAsiaTheme="minorEastAsia" w:cstheme="minorEastAsia"/>
        </w:rPr>
      </w:pPr>
      <w:bookmarkStart w:id="689" w:name="_Toc414108646"/>
      <w:r>
        <w:rPr>
          <w:rFonts w:hint="eastAsia" w:asciiTheme="minorEastAsia" w:hAnsiTheme="minorEastAsia" w:eastAsiaTheme="minorEastAsia" w:cstheme="minorEastAsia"/>
          <w:lang w:val="zh-CN"/>
        </w:rPr>
        <w:t>供应商概况</w:t>
      </w:r>
      <w:bookmarkEnd w:id="689"/>
    </w:p>
    <w:p>
      <w:pPr>
        <w:spacing w:line="360" w:lineRule="auto"/>
        <w:jc w:val="center"/>
        <w:rPr>
          <w:rFonts w:asciiTheme="minorEastAsia" w:hAnsiTheme="minorEastAsia" w:eastAsiaTheme="minorEastAsia" w:cstheme="minorEastAsia"/>
          <w:b/>
        </w:rPr>
      </w:pPr>
      <w:r>
        <w:rPr>
          <w:rFonts w:hint="eastAsia" w:asciiTheme="minorEastAsia" w:hAnsiTheme="minorEastAsia" w:eastAsiaTheme="minorEastAsia" w:cstheme="minorEastAsia"/>
          <w:b/>
        </w:rPr>
        <w:t>供应商概况表</w:t>
      </w:r>
    </w:p>
    <w:tbl>
      <w:tblPr>
        <w:tblStyle w:val="19"/>
        <w:tblW w:w="95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95"/>
        <w:gridCol w:w="897"/>
        <w:gridCol w:w="1019"/>
        <w:gridCol w:w="992"/>
        <w:gridCol w:w="283"/>
        <w:gridCol w:w="194"/>
        <w:gridCol w:w="1244"/>
        <w:gridCol w:w="261"/>
        <w:gridCol w:w="707"/>
        <w:gridCol w:w="13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注册地址</w:t>
            </w:r>
          </w:p>
        </w:tc>
        <w:tc>
          <w:tcPr>
            <w:tcW w:w="3385" w:type="dxa"/>
            <w:gridSpan w:val="5"/>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邮政编码</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联系方式</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  话</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Merge w:val="continue"/>
            <w:vAlign w:val="center"/>
          </w:tcPr>
          <w:p>
            <w:pPr>
              <w:spacing w:line="360" w:lineRule="auto"/>
              <w:jc w:val="center"/>
              <w:rPr>
                <w:rFonts w:asciiTheme="minorEastAsia" w:hAnsiTheme="minorEastAsia" w:eastAsiaTheme="minorEastAsia" w:cstheme="minorEastAsia"/>
                <w:szCs w:val="21"/>
              </w:rPr>
            </w:pP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传  真</w:t>
            </w:r>
          </w:p>
        </w:tc>
        <w:tc>
          <w:tcPr>
            <w:tcW w:w="2488" w:type="dxa"/>
            <w:gridSpan w:val="4"/>
            <w:vAlign w:val="center"/>
          </w:tcPr>
          <w:p>
            <w:pPr>
              <w:spacing w:line="360" w:lineRule="auto"/>
              <w:jc w:val="center"/>
              <w:rPr>
                <w:rFonts w:asciiTheme="minorEastAsia" w:hAnsiTheme="minorEastAsia" w:eastAsiaTheme="minorEastAsia" w:cstheme="minorEastAsia"/>
                <w:szCs w:val="21"/>
              </w:rPr>
            </w:pPr>
          </w:p>
        </w:tc>
        <w:tc>
          <w:tcPr>
            <w:tcW w:w="1244"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网  址</w:t>
            </w:r>
          </w:p>
        </w:tc>
        <w:tc>
          <w:tcPr>
            <w:tcW w:w="2268" w:type="dxa"/>
            <w:gridSpan w:val="3"/>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组织结构</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技术负责人</w:t>
            </w:r>
          </w:p>
        </w:tc>
        <w:tc>
          <w:tcPr>
            <w:tcW w:w="89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姓名</w:t>
            </w:r>
          </w:p>
        </w:tc>
        <w:tc>
          <w:tcPr>
            <w:tcW w:w="1019" w:type="dxa"/>
            <w:vAlign w:val="center"/>
          </w:tcPr>
          <w:p>
            <w:pPr>
              <w:spacing w:line="360" w:lineRule="auto"/>
              <w:jc w:val="center"/>
              <w:rPr>
                <w:rFonts w:asciiTheme="minorEastAsia" w:hAnsiTheme="minorEastAsia" w:eastAsiaTheme="minorEastAsia" w:cstheme="minorEastAsia"/>
                <w:szCs w:val="21"/>
              </w:rPr>
            </w:pPr>
          </w:p>
        </w:tc>
        <w:tc>
          <w:tcPr>
            <w:tcW w:w="1275" w:type="dxa"/>
            <w:gridSpan w:val="2"/>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技术职称</w:t>
            </w:r>
          </w:p>
        </w:tc>
        <w:tc>
          <w:tcPr>
            <w:tcW w:w="1699" w:type="dxa"/>
            <w:gridSpan w:val="3"/>
            <w:vAlign w:val="center"/>
          </w:tcPr>
          <w:p>
            <w:pPr>
              <w:spacing w:line="360" w:lineRule="auto"/>
              <w:jc w:val="center"/>
              <w:rPr>
                <w:rFonts w:asciiTheme="minorEastAsia" w:hAnsiTheme="minorEastAsia" w:eastAsiaTheme="minorEastAsia" w:cstheme="minorEastAsia"/>
                <w:szCs w:val="21"/>
              </w:rPr>
            </w:pPr>
          </w:p>
        </w:tc>
        <w:tc>
          <w:tcPr>
            <w:tcW w:w="707"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电话</w:t>
            </w:r>
          </w:p>
        </w:tc>
        <w:tc>
          <w:tcPr>
            <w:tcW w:w="1300" w:type="dxa"/>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成立时间</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4981" w:type="dxa"/>
            <w:gridSpan w:val="7"/>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企业资质等级</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restart"/>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其中</w:t>
            </w: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项目负责人</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营业执照号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高级职称人员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注册资金</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中级职称人员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开户银行</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初级职称人员</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账号</w:t>
            </w:r>
          </w:p>
        </w:tc>
        <w:tc>
          <w:tcPr>
            <w:tcW w:w="1916" w:type="dxa"/>
            <w:gridSpan w:val="2"/>
            <w:vAlign w:val="center"/>
          </w:tcPr>
          <w:p>
            <w:pPr>
              <w:spacing w:line="360" w:lineRule="auto"/>
              <w:jc w:val="center"/>
              <w:rPr>
                <w:rFonts w:asciiTheme="minorEastAsia" w:hAnsiTheme="minorEastAsia" w:eastAsiaTheme="minorEastAsia" w:cstheme="minorEastAsia"/>
                <w:szCs w:val="21"/>
              </w:rPr>
            </w:pPr>
          </w:p>
        </w:tc>
        <w:tc>
          <w:tcPr>
            <w:tcW w:w="992" w:type="dxa"/>
            <w:vMerge w:val="continue"/>
            <w:vAlign w:val="center"/>
          </w:tcPr>
          <w:p>
            <w:pPr>
              <w:spacing w:line="360" w:lineRule="auto"/>
              <w:jc w:val="center"/>
              <w:rPr>
                <w:rFonts w:asciiTheme="minorEastAsia" w:hAnsiTheme="minorEastAsia" w:eastAsiaTheme="minorEastAsia" w:cstheme="minorEastAsia"/>
                <w:szCs w:val="21"/>
              </w:rPr>
            </w:pPr>
          </w:p>
        </w:tc>
        <w:tc>
          <w:tcPr>
            <w:tcW w:w="1982" w:type="dxa"/>
            <w:gridSpan w:val="4"/>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技  工</w:t>
            </w:r>
          </w:p>
        </w:tc>
        <w:tc>
          <w:tcPr>
            <w:tcW w:w="2007" w:type="dxa"/>
            <w:gridSpan w:val="2"/>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经营范围</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695" w:type="dxa"/>
            <w:vAlign w:val="center"/>
          </w:tcPr>
          <w:p>
            <w:pPr>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w:t>
            </w:r>
          </w:p>
        </w:tc>
        <w:tc>
          <w:tcPr>
            <w:tcW w:w="6897" w:type="dxa"/>
            <w:gridSpan w:val="9"/>
            <w:vAlign w:val="center"/>
          </w:tcPr>
          <w:p>
            <w:pPr>
              <w:spacing w:line="360" w:lineRule="auto"/>
              <w:jc w:val="center"/>
              <w:rPr>
                <w:rFonts w:asciiTheme="minorEastAsia" w:hAnsiTheme="minorEastAsia" w:eastAsiaTheme="minorEastAsia" w:cstheme="minorEastAsia"/>
                <w:szCs w:val="21"/>
              </w:rPr>
            </w:pPr>
          </w:p>
        </w:tc>
      </w:tr>
    </w:tbl>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备注：本表后应附企业法人营业执照的证明材料、企业资质证书副本、安全生产许可证、等材料的复印件。</w:t>
      </w:r>
    </w:p>
    <w:p>
      <w:pPr>
        <w:autoSpaceDE w:val="0"/>
        <w:autoSpaceDN w:val="0"/>
        <w:adjustRightInd w:val="0"/>
        <w:spacing w:line="360" w:lineRule="auto"/>
        <w:ind w:left="210" w:left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br w:type="page"/>
      </w:r>
    </w:p>
    <w:p>
      <w:pPr>
        <w:pStyle w:val="5"/>
        <w:spacing w:line="360" w:lineRule="auto"/>
        <w:jc w:val="center"/>
        <w:rPr>
          <w:rFonts w:asciiTheme="minorEastAsia" w:hAnsiTheme="minorEastAsia" w:eastAsiaTheme="minorEastAsia" w:cstheme="minorEastAsia"/>
        </w:rPr>
      </w:pPr>
      <w:bookmarkStart w:id="690" w:name="_Toc414108648"/>
      <w:r>
        <w:rPr>
          <w:rFonts w:hint="eastAsia" w:asciiTheme="minorEastAsia" w:hAnsiTheme="minorEastAsia" w:eastAsiaTheme="minorEastAsia" w:cstheme="minorEastAsia"/>
          <w:lang w:val="zh-CN"/>
        </w:rPr>
        <w:t>项目负责人简历</w:t>
      </w:r>
      <w:bookmarkEnd w:id="690"/>
    </w:p>
    <w:p>
      <w:pPr>
        <w:spacing w:line="360" w:lineRule="auto"/>
        <w:ind w:left="210" w:hanging="210" w:hangingChars="100"/>
        <w:rPr>
          <w:rFonts w:asciiTheme="minorEastAsia" w:hAnsiTheme="minorEastAsia" w:eastAsiaTheme="minorEastAsia" w:cstheme="minorEastAsia"/>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w:t>
      </w:r>
      <w:r>
        <w:rPr>
          <w:rFonts w:hint="eastAsia" w:asciiTheme="minorEastAsia" w:hAnsiTheme="minorEastAsia" w:eastAsiaTheme="minorEastAsia" w:cstheme="minorEastAsia"/>
        </w:rPr>
        <w:t>项目负责人介绍应包括：姓名、性别、年龄、职称、学历、参加工作时间、从事项目管理年限、注册建造师（项目负责人）证书编号以及其他内容。</w:t>
      </w:r>
    </w:p>
    <w:p>
      <w:pPr>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rPr>
        <w:t>2、项目负责人简历相关证明材料（注册建造师（项目负责人）证书、职称证书复印件）。</w:t>
      </w:r>
    </w:p>
    <w:p>
      <w:p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拟派项目负责人资格一览表</w:t>
      </w:r>
    </w:p>
    <w:tbl>
      <w:tblPr>
        <w:tblStyle w:val="19"/>
        <w:tblW w:w="9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4"/>
        <w:gridCol w:w="1030"/>
        <w:gridCol w:w="2123"/>
        <w:gridCol w:w="2141"/>
        <w:gridCol w:w="2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2144" w:type="dxa"/>
            <w:gridSpan w:val="2"/>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2123" w:type="dxa"/>
            <w:vAlign w:val="center"/>
          </w:tcPr>
          <w:p>
            <w:pPr>
              <w:pStyle w:val="3"/>
              <w:spacing w:line="360" w:lineRule="auto"/>
              <w:jc w:val="center"/>
              <w:rPr>
                <w:rFonts w:asciiTheme="minorEastAsia" w:hAnsiTheme="minorEastAsia" w:eastAsiaTheme="minorEastAsia" w:cstheme="minorEastAsia"/>
                <w:szCs w:val="30"/>
              </w:rPr>
            </w:pPr>
          </w:p>
        </w:tc>
        <w:tc>
          <w:tcPr>
            <w:tcW w:w="2141"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年  龄</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2144" w:type="dxa"/>
            <w:gridSpan w:val="2"/>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学  历</w:t>
            </w:r>
          </w:p>
        </w:tc>
        <w:tc>
          <w:tcPr>
            <w:tcW w:w="2123" w:type="dxa"/>
            <w:vAlign w:val="center"/>
          </w:tcPr>
          <w:p>
            <w:pPr>
              <w:pStyle w:val="3"/>
              <w:spacing w:line="360" w:lineRule="auto"/>
              <w:jc w:val="center"/>
              <w:rPr>
                <w:rFonts w:asciiTheme="minorEastAsia" w:hAnsiTheme="minorEastAsia" w:eastAsiaTheme="minorEastAsia" w:cstheme="minorEastAsia"/>
                <w:szCs w:val="30"/>
              </w:rPr>
            </w:pPr>
          </w:p>
        </w:tc>
        <w:tc>
          <w:tcPr>
            <w:tcW w:w="2141"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务</w:t>
            </w:r>
          </w:p>
        </w:tc>
        <w:tc>
          <w:tcPr>
            <w:tcW w:w="2951"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3" w:hRule="atLeast"/>
        </w:trPr>
        <w:tc>
          <w:tcPr>
            <w:tcW w:w="4267" w:type="dxa"/>
            <w:gridSpan w:val="3"/>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从事相关工作年限</w:t>
            </w:r>
          </w:p>
        </w:tc>
        <w:tc>
          <w:tcPr>
            <w:tcW w:w="5092" w:type="dxa"/>
            <w:gridSpan w:val="2"/>
            <w:vAlign w:val="center"/>
          </w:tcPr>
          <w:p>
            <w:pPr>
              <w:pStyle w:val="3"/>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9" w:hRule="atLeast"/>
        </w:trPr>
        <w:tc>
          <w:tcPr>
            <w:tcW w:w="4267" w:type="dxa"/>
            <w:gridSpan w:val="3"/>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在本项目中拟担任的职务</w:t>
            </w:r>
          </w:p>
        </w:tc>
        <w:tc>
          <w:tcPr>
            <w:tcW w:w="5092" w:type="dxa"/>
            <w:gridSpan w:val="2"/>
            <w:vAlign w:val="center"/>
          </w:tcPr>
          <w:p>
            <w:pPr>
              <w:pStyle w:val="3"/>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37" w:hRule="atLeast"/>
        </w:trPr>
        <w:tc>
          <w:tcPr>
            <w:tcW w:w="2144" w:type="dxa"/>
            <w:gridSpan w:val="2"/>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联系方式</w:t>
            </w:r>
          </w:p>
        </w:tc>
        <w:tc>
          <w:tcPr>
            <w:tcW w:w="7215" w:type="dxa"/>
            <w:gridSpan w:val="3"/>
            <w:vAlign w:val="center"/>
          </w:tcPr>
          <w:p>
            <w:pPr>
              <w:pStyle w:val="3"/>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2" w:hRule="atLeast"/>
        </w:trPr>
        <w:tc>
          <w:tcPr>
            <w:tcW w:w="1114" w:type="dxa"/>
            <w:vAlign w:val="center"/>
          </w:tcPr>
          <w:p>
            <w:pPr>
              <w:pStyle w:val="3"/>
              <w:spacing w:line="360" w:lineRule="auto"/>
              <w:rPr>
                <w:rFonts w:asciiTheme="minorEastAsia" w:hAnsiTheme="minorEastAsia" w:eastAsiaTheme="minorEastAsia" w:cstheme="minorEastAsia"/>
                <w:szCs w:val="30"/>
              </w:rPr>
            </w:pPr>
          </w:p>
        </w:tc>
        <w:tc>
          <w:tcPr>
            <w:tcW w:w="8245" w:type="dxa"/>
            <w:gridSpan w:val="4"/>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类似工作经历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6" w:hRule="atLeast"/>
        </w:trPr>
        <w:tc>
          <w:tcPr>
            <w:tcW w:w="1114"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工作</w:t>
            </w:r>
          </w:p>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经历</w:t>
            </w:r>
          </w:p>
        </w:tc>
        <w:tc>
          <w:tcPr>
            <w:tcW w:w="8245" w:type="dxa"/>
            <w:gridSpan w:val="4"/>
          </w:tcPr>
          <w:p>
            <w:pPr>
              <w:pStyle w:val="3"/>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（单位、担任职务、工作时间）</w:t>
            </w:r>
          </w:p>
        </w:tc>
      </w:tr>
    </w:tbl>
    <w:p>
      <w:pPr>
        <w:pStyle w:val="3"/>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参选单位：（盖章）</w:t>
      </w:r>
    </w:p>
    <w:p>
      <w:pPr>
        <w:pStyle w:val="3"/>
        <w:spacing w:line="360" w:lineRule="auto"/>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法定代表人或委托代理人：（签字）</w:t>
      </w:r>
    </w:p>
    <w:p>
      <w:pPr>
        <w:spacing w:line="360" w:lineRule="auto"/>
        <w:jc w:val="right"/>
        <w:rPr>
          <w:rFonts w:hint="eastAsia" w:asciiTheme="minorEastAsia" w:hAnsiTheme="minorEastAsia" w:eastAsiaTheme="minorEastAsia" w:cstheme="minorEastAsia"/>
          <w:sz w:val="24"/>
          <w:szCs w:val="30"/>
        </w:rPr>
      </w:pPr>
      <w:r>
        <w:rPr>
          <w:rFonts w:hint="eastAsia" w:asciiTheme="minorEastAsia" w:hAnsiTheme="minorEastAsia" w:eastAsiaTheme="minorEastAsia" w:cstheme="minorEastAsia"/>
          <w:sz w:val="24"/>
          <w:szCs w:val="30"/>
        </w:rPr>
        <w:t>日期：     年  月  日</w:t>
      </w:r>
      <w:bookmarkStart w:id="691" w:name="_Toc414108649"/>
    </w:p>
    <w:p>
      <w:pPr>
        <w:pStyle w:val="5"/>
        <w:jc w:val="both"/>
        <w:rPr>
          <w:rFonts w:hint="eastAsia"/>
          <w:lang w:val="zh-CN"/>
        </w:rPr>
      </w:pPr>
    </w:p>
    <w:bookmarkEnd w:id="691"/>
    <w:p>
      <w:pPr>
        <w:autoSpaceDE w:val="0"/>
        <w:autoSpaceDN w:val="0"/>
        <w:adjustRightInd w:val="0"/>
        <w:spacing w:line="360" w:lineRule="auto"/>
        <w:ind w:left="630" w:leftChars="200" w:hanging="210" w:hangingChars="100"/>
        <w:rPr>
          <w:rFonts w:hint="eastAsia" w:asciiTheme="minorEastAsia" w:hAnsiTheme="minorEastAsia" w:eastAsiaTheme="minorEastAsia" w:cstheme="minorEastAsia"/>
          <w:szCs w:val="21"/>
        </w:rPr>
      </w:pPr>
    </w:p>
    <w:p>
      <w:pPr>
        <w:autoSpaceDE w:val="0"/>
        <w:autoSpaceDN w:val="0"/>
        <w:adjustRightInd w:val="0"/>
        <w:spacing w:line="360" w:lineRule="auto"/>
        <w:ind w:left="630" w:leftChars="200" w:hanging="210" w:hangingChars="100"/>
        <w:rPr>
          <w:rFonts w:hint="eastAsia" w:asciiTheme="minorEastAsia" w:hAnsiTheme="minorEastAsia" w:eastAsiaTheme="minorEastAsia" w:cstheme="minorEastAsia"/>
          <w:szCs w:val="21"/>
        </w:rPr>
      </w:pPr>
    </w:p>
    <w:p>
      <w:pPr>
        <w:autoSpaceDE w:val="0"/>
        <w:autoSpaceDN w:val="0"/>
        <w:adjustRightInd w:val="0"/>
        <w:spacing w:line="360" w:lineRule="auto"/>
        <w:ind w:left="781" w:leftChars="200" w:hanging="361" w:hangingChars="100"/>
        <w:jc w:val="center"/>
        <w:rPr>
          <w:rFonts w:hint="default" w:asciiTheme="minorEastAsia" w:hAnsiTheme="minorEastAsia" w:eastAsiaTheme="minorEastAsia" w:cstheme="minorEastAsia"/>
          <w:b/>
          <w:bCs/>
          <w:sz w:val="36"/>
          <w:szCs w:val="36"/>
          <w:lang w:val="en-US" w:eastAsia="zh-CN"/>
        </w:rPr>
      </w:pPr>
      <w:r>
        <w:rPr>
          <w:rFonts w:hint="eastAsia" w:asciiTheme="minorEastAsia" w:hAnsiTheme="minorEastAsia" w:eastAsiaTheme="minorEastAsia" w:cstheme="minorEastAsia"/>
          <w:b/>
          <w:bCs/>
          <w:sz w:val="36"/>
          <w:szCs w:val="36"/>
          <w:lang w:val="en-US" w:eastAsia="zh-CN"/>
        </w:rPr>
        <w:t>项目管理人员</w:t>
      </w:r>
    </w:p>
    <w:p>
      <w:pPr>
        <w:autoSpaceDE w:val="0"/>
        <w:autoSpaceDN w:val="0"/>
        <w:adjustRightInd w:val="0"/>
        <w:spacing w:line="360" w:lineRule="auto"/>
        <w:ind w:left="630" w:leftChars="200" w:hanging="210" w:hangingChars="10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r>
        <w:rPr>
          <w:rFonts w:hint="eastAsia" w:asciiTheme="minorEastAsia" w:hAnsiTheme="minorEastAsia" w:eastAsiaTheme="minorEastAsia" w:cstheme="minorEastAsia"/>
          <w:lang w:val="zh-CN"/>
        </w:rPr>
        <w:t>、项目管理人员应包括：项目工程师、质量管理员、施工管理员、材料管理员、安全管理员、资料员等和项目项目负责人需要配备的其他关键人员</w:t>
      </w:r>
    </w:p>
    <w:p>
      <w:pPr>
        <w:autoSpaceDE w:val="0"/>
        <w:autoSpaceDN w:val="0"/>
        <w:adjustRightInd w:val="0"/>
        <w:spacing w:line="360" w:lineRule="auto"/>
        <w:ind w:firstLine="420"/>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r>
        <w:rPr>
          <w:rFonts w:hint="eastAsia" w:asciiTheme="minorEastAsia" w:hAnsiTheme="minorEastAsia" w:eastAsiaTheme="minorEastAsia" w:cstheme="minorEastAsia"/>
          <w:lang w:val="zh-CN"/>
        </w:rPr>
        <w:t>、上述人员简历介绍应包括姓名、职称等基本信息</w:t>
      </w:r>
    </w:p>
    <w:p>
      <w:pPr>
        <w:autoSpaceDE w:val="0"/>
        <w:autoSpaceDN w:val="0"/>
        <w:adjustRightInd w:val="0"/>
        <w:spacing w:line="360" w:lineRule="auto"/>
        <w:ind w:firstLine="420"/>
        <w:rPr>
          <w:rFonts w:asciiTheme="minorEastAsia" w:hAnsiTheme="minorEastAsia" w:eastAsiaTheme="minorEastAsia" w:cstheme="minorEastAsia"/>
          <w:lang w:val="zh-CN"/>
        </w:rPr>
      </w:pPr>
      <w:r>
        <w:rPr>
          <w:rFonts w:hint="eastAsia" w:asciiTheme="minorEastAsia" w:hAnsiTheme="minorEastAsia" w:eastAsiaTheme="minorEastAsia" w:cstheme="minorEastAsia"/>
          <w:szCs w:val="21"/>
        </w:rPr>
        <w:t>3</w:t>
      </w:r>
      <w:r>
        <w:rPr>
          <w:rFonts w:hint="eastAsia" w:asciiTheme="minorEastAsia" w:hAnsiTheme="minorEastAsia" w:eastAsiaTheme="minorEastAsia" w:cstheme="minorEastAsia"/>
          <w:lang w:val="zh-CN"/>
        </w:rPr>
        <w:t>、项目管理人员简历中应付职称证书或上岗证书复印件</w:t>
      </w:r>
    </w:p>
    <w:p>
      <w:pPr>
        <w:widowControl/>
        <w:spacing w:line="360" w:lineRule="auto"/>
        <w:ind w:firstLine="600"/>
        <w:jc w:val="center"/>
        <w:rPr>
          <w:rFonts w:asciiTheme="minorEastAsia" w:hAnsiTheme="minorEastAsia" w:eastAsiaTheme="minorEastAsia" w:cstheme="minorEastAsia"/>
          <w:b/>
          <w:kern w:val="0"/>
          <w:sz w:val="30"/>
          <w:szCs w:val="30"/>
        </w:rPr>
      </w:pPr>
      <w:r>
        <w:rPr>
          <w:rFonts w:hint="eastAsia" w:asciiTheme="minorEastAsia" w:hAnsiTheme="minorEastAsia" w:eastAsiaTheme="minorEastAsia" w:cstheme="minorEastAsia"/>
          <w:b/>
          <w:kern w:val="0"/>
          <w:sz w:val="30"/>
          <w:szCs w:val="30"/>
        </w:rPr>
        <w:t>拟派项目作业人员一览表</w:t>
      </w:r>
    </w:p>
    <w:tbl>
      <w:tblPr>
        <w:tblStyle w:val="19"/>
        <w:tblpPr w:leftFromText="180" w:rightFromText="180" w:vertAnchor="text" w:horzAnchor="page" w:tblpX="1153" w:tblpY="723"/>
        <w:tblOverlap w:val="never"/>
        <w:tblW w:w="1023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04"/>
        <w:gridCol w:w="1709"/>
        <w:gridCol w:w="1875"/>
        <w:gridCol w:w="2475"/>
        <w:gridCol w:w="30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trPr>
        <w:tc>
          <w:tcPr>
            <w:tcW w:w="1104"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姓 名</w:t>
            </w:r>
          </w:p>
        </w:tc>
        <w:tc>
          <w:tcPr>
            <w:tcW w:w="1709"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职 称</w:t>
            </w:r>
          </w:p>
        </w:tc>
        <w:tc>
          <w:tcPr>
            <w:tcW w:w="1875" w:type="dxa"/>
            <w:vAlign w:val="center"/>
          </w:tcPr>
          <w:p>
            <w:pPr>
              <w:pStyle w:val="3"/>
              <w:spacing w:line="360" w:lineRule="auto"/>
              <w:ind w:firstLine="0"/>
              <w:jc w:val="center"/>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建议职务</w:t>
            </w:r>
          </w:p>
        </w:tc>
        <w:tc>
          <w:tcPr>
            <w:tcW w:w="2475" w:type="dxa"/>
            <w:vAlign w:val="center"/>
          </w:tcPr>
          <w:p>
            <w:pPr>
              <w:pStyle w:val="3"/>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从事相关工作年限</w:t>
            </w:r>
          </w:p>
        </w:tc>
        <w:tc>
          <w:tcPr>
            <w:tcW w:w="3075" w:type="dxa"/>
            <w:vAlign w:val="center"/>
          </w:tcPr>
          <w:p>
            <w:pPr>
              <w:pStyle w:val="3"/>
              <w:spacing w:line="360" w:lineRule="auto"/>
              <w:ind w:left="-128" w:leftChars="-61" w:firstLine="22" w:firstLineChars="11"/>
              <w:jc w:val="center"/>
              <w:rPr>
                <w:rFonts w:asciiTheme="minorEastAsia" w:hAnsiTheme="minorEastAsia" w:eastAsiaTheme="minorEastAsia" w:cstheme="minorEastAsia"/>
                <w:spacing w:val="-20"/>
                <w:szCs w:val="30"/>
              </w:rPr>
            </w:pPr>
            <w:r>
              <w:rPr>
                <w:rFonts w:hint="eastAsia" w:asciiTheme="minorEastAsia" w:hAnsiTheme="minorEastAsia" w:eastAsiaTheme="minorEastAsia" w:cstheme="minorEastAsia"/>
                <w:spacing w:val="-20"/>
                <w:szCs w:val="30"/>
              </w:rPr>
              <w:t>在本项目中负责的内容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1" w:hRule="atLeast"/>
        </w:trPr>
        <w:tc>
          <w:tcPr>
            <w:tcW w:w="1104" w:type="dxa"/>
            <w:vMerge w:val="continue"/>
            <w:vAlign w:val="center"/>
          </w:tcPr>
          <w:p>
            <w:pPr>
              <w:pStyle w:val="3"/>
              <w:spacing w:line="360" w:lineRule="auto"/>
              <w:jc w:val="center"/>
              <w:rPr>
                <w:rFonts w:asciiTheme="minorEastAsia" w:hAnsiTheme="minorEastAsia" w:eastAsiaTheme="minorEastAsia" w:cstheme="minorEastAsia"/>
                <w:szCs w:val="30"/>
              </w:rPr>
            </w:pPr>
          </w:p>
        </w:tc>
        <w:tc>
          <w:tcPr>
            <w:tcW w:w="1709" w:type="dxa"/>
            <w:vAlign w:val="center"/>
          </w:tcPr>
          <w:p>
            <w:pPr>
              <w:pStyle w:val="3"/>
              <w:spacing w:line="360" w:lineRule="auto"/>
              <w:jc w:val="center"/>
              <w:rPr>
                <w:rFonts w:asciiTheme="minorEastAsia" w:hAnsiTheme="minorEastAsia" w:eastAsiaTheme="minorEastAsia" w:cstheme="minorEastAsia"/>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pStyle w:val="3"/>
              <w:spacing w:line="360" w:lineRule="auto"/>
              <w:jc w:val="center"/>
              <w:rPr>
                <w:rFonts w:asciiTheme="minorEastAsia" w:hAnsiTheme="minorEastAsia" w:eastAsiaTheme="minorEastAsia" w:cstheme="minorEastAsia"/>
                <w:szCs w:val="30"/>
              </w:rPr>
            </w:pPr>
          </w:p>
        </w:tc>
        <w:tc>
          <w:tcPr>
            <w:tcW w:w="3075" w:type="dxa"/>
            <w:vAlign w:val="center"/>
          </w:tcPr>
          <w:p>
            <w:pPr>
              <w:pStyle w:val="3"/>
              <w:spacing w:line="360" w:lineRule="auto"/>
              <w:jc w:val="center"/>
              <w:rPr>
                <w:rFonts w:asciiTheme="minorEastAsia" w:hAnsiTheme="minorEastAsia" w:eastAsiaTheme="minorEastAsia" w:cstheme="minorEastAsia"/>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12"/>
              <w:spacing w:line="360" w:lineRule="auto"/>
              <w:ind w:left="-5" w:leftChars="-22" w:hanging="41" w:hangingChars="15"/>
              <w:jc w:val="center"/>
              <w:rPr>
                <w:rFonts w:asciiTheme="minorEastAsia" w:hAnsiTheme="minorEastAsia" w:eastAsiaTheme="minorEastAsia" w:cstheme="minorEastAsia"/>
                <w:spacing w:val="-12"/>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12"/>
              <w:spacing w:line="360" w:lineRule="auto"/>
              <w:jc w:val="center"/>
              <w:rPr>
                <w:rFonts w:asciiTheme="minorEastAsia" w:hAnsiTheme="minorEastAsia" w:eastAsiaTheme="minorEastAsia" w:cstheme="minorEastAsia"/>
                <w:sz w:val="30"/>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104" w:type="dxa"/>
            <w:vAlign w:val="center"/>
          </w:tcPr>
          <w:p>
            <w:pPr>
              <w:spacing w:line="360" w:lineRule="auto"/>
              <w:jc w:val="center"/>
              <w:rPr>
                <w:rFonts w:asciiTheme="minorEastAsia" w:hAnsiTheme="minorEastAsia" w:eastAsiaTheme="minorEastAsia" w:cstheme="minorEastAsia"/>
                <w:sz w:val="30"/>
                <w:szCs w:val="30"/>
              </w:rPr>
            </w:pPr>
          </w:p>
        </w:tc>
        <w:tc>
          <w:tcPr>
            <w:tcW w:w="1709" w:type="dxa"/>
            <w:vAlign w:val="center"/>
          </w:tcPr>
          <w:p>
            <w:pPr>
              <w:pStyle w:val="12"/>
              <w:spacing w:line="360" w:lineRule="auto"/>
              <w:jc w:val="center"/>
              <w:rPr>
                <w:rFonts w:asciiTheme="minorEastAsia" w:hAnsiTheme="minorEastAsia" w:eastAsiaTheme="minorEastAsia" w:cstheme="minorEastAsia"/>
                <w:sz w:val="30"/>
                <w:szCs w:val="30"/>
              </w:rPr>
            </w:pPr>
          </w:p>
        </w:tc>
        <w:tc>
          <w:tcPr>
            <w:tcW w:w="1875" w:type="dxa"/>
            <w:vAlign w:val="center"/>
          </w:tcPr>
          <w:p>
            <w:pPr>
              <w:pStyle w:val="3"/>
              <w:spacing w:line="360" w:lineRule="auto"/>
              <w:jc w:val="center"/>
              <w:rPr>
                <w:rFonts w:asciiTheme="minorEastAsia" w:hAnsiTheme="minorEastAsia" w:eastAsiaTheme="minorEastAsia" w:cstheme="minorEastAsia"/>
                <w:szCs w:val="30"/>
              </w:rPr>
            </w:pPr>
          </w:p>
        </w:tc>
        <w:tc>
          <w:tcPr>
            <w:tcW w:w="2475" w:type="dxa"/>
            <w:vAlign w:val="center"/>
          </w:tcPr>
          <w:p>
            <w:pPr>
              <w:spacing w:line="360" w:lineRule="auto"/>
              <w:jc w:val="center"/>
              <w:rPr>
                <w:rFonts w:asciiTheme="minorEastAsia" w:hAnsiTheme="minorEastAsia" w:eastAsiaTheme="minorEastAsia" w:cstheme="minorEastAsia"/>
                <w:sz w:val="30"/>
                <w:szCs w:val="30"/>
              </w:rPr>
            </w:pPr>
          </w:p>
        </w:tc>
        <w:tc>
          <w:tcPr>
            <w:tcW w:w="3075" w:type="dxa"/>
            <w:vAlign w:val="center"/>
          </w:tcPr>
          <w:p>
            <w:pPr>
              <w:spacing w:line="360" w:lineRule="auto"/>
              <w:jc w:val="center"/>
              <w:rPr>
                <w:rFonts w:asciiTheme="minorEastAsia" w:hAnsiTheme="minorEastAsia" w:eastAsiaTheme="minorEastAsia" w:cstheme="minorEastAsia"/>
                <w:sz w:val="30"/>
                <w:szCs w:val="30"/>
              </w:rPr>
            </w:pPr>
          </w:p>
        </w:tc>
      </w:tr>
    </w:tbl>
    <w:p>
      <w:pPr>
        <w:pStyle w:val="3"/>
        <w:spacing w:line="360" w:lineRule="auto"/>
        <w:jc w:val="left"/>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供应商：（盖章）</w:t>
      </w:r>
    </w:p>
    <w:p>
      <w:pPr>
        <w:pStyle w:val="3"/>
        <w:wordWrap w:val="0"/>
        <w:spacing w:line="360" w:lineRule="auto"/>
        <w:ind w:firstLine="0"/>
        <w:rPr>
          <w:rFonts w:asciiTheme="minorEastAsia" w:hAnsiTheme="minorEastAsia" w:eastAsiaTheme="minorEastAsia" w:cstheme="minorEastAsia"/>
          <w:szCs w:val="30"/>
        </w:rPr>
      </w:pPr>
    </w:p>
    <w:p>
      <w:pPr>
        <w:pStyle w:val="3"/>
        <w:wordWrap w:val="0"/>
        <w:spacing w:line="360" w:lineRule="auto"/>
        <w:ind w:firstLine="0"/>
        <w:rPr>
          <w:rFonts w:asciiTheme="minorEastAsia" w:hAnsiTheme="minorEastAsia" w:eastAsiaTheme="minorEastAsia" w:cstheme="minorEastAsia"/>
          <w:szCs w:val="30"/>
        </w:rPr>
      </w:pPr>
      <w:r>
        <w:rPr>
          <w:rFonts w:hint="eastAsia" w:asciiTheme="minorEastAsia" w:hAnsiTheme="minorEastAsia" w:eastAsiaTheme="minorEastAsia" w:cstheme="minorEastAsia"/>
          <w:szCs w:val="30"/>
        </w:rPr>
        <w:t xml:space="preserve">法定代表人或委托代理人：（签字或盖章）                               </w:t>
      </w:r>
    </w:p>
    <w:p>
      <w:pPr>
        <w:pStyle w:val="3"/>
        <w:wordWrap w:val="0"/>
        <w:spacing w:line="360" w:lineRule="auto"/>
        <w:ind w:firstLine="511" w:firstLineChars="213"/>
        <w:jc w:val="right"/>
        <w:rPr>
          <w:rFonts w:asciiTheme="minorEastAsia" w:hAnsiTheme="minorEastAsia" w:eastAsiaTheme="minorEastAsia" w:cstheme="minorEastAsia"/>
          <w:szCs w:val="30"/>
        </w:rPr>
      </w:pPr>
    </w:p>
    <w:p>
      <w:pPr>
        <w:pStyle w:val="3"/>
        <w:wordWrap w:val="0"/>
        <w:spacing w:line="360" w:lineRule="auto"/>
        <w:ind w:firstLine="511" w:firstLineChars="213"/>
        <w:jc w:val="right"/>
        <w:rPr>
          <w:rFonts w:asciiTheme="minorEastAsia" w:hAnsiTheme="minorEastAsia" w:eastAsiaTheme="minorEastAsia" w:cstheme="minorEastAsia"/>
          <w:szCs w:val="30"/>
        </w:rPr>
      </w:pPr>
    </w:p>
    <w:p>
      <w:pPr>
        <w:pStyle w:val="3"/>
        <w:wordWrap w:val="0"/>
        <w:spacing w:line="360" w:lineRule="auto"/>
        <w:ind w:firstLine="511" w:firstLineChars="213"/>
        <w:jc w:val="right"/>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szCs w:val="30"/>
        </w:rPr>
        <w:t>日期：    年  月   日</w:t>
      </w:r>
      <w:bookmarkStart w:id="692" w:name="_Toc414108650"/>
    </w:p>
    <w:p>
      <w:pPr>
        <w:pStyle w:val="11"/>
        <w:spacing w:line="360" w:lineRule="auto"/>
        <w:jc w:val="center"/>
        <w:rPr>
          <w:rFonts w:hint="eastAsia" w:ascii="仿宋" w:hAnsi="仿宋" w:eastAsia="仿宋"/>
          <w:b/>
          <w:sz w:val="32"/>
          <w:szCs w:val="32"/>
        </w:rPr>
      </w:pPr>
    </w:p>
    <w:p>
      <w:pPr>
        <w:pStyle w:val="11"/>
        <w:spacing w:line="360" w:lineRule="auto"/>
        <w:jc w:val="center"/>
        <w:rPr>
          <w:rFonts w:ascii="仿宋" w:hAnsi="仿宋" w:eastAsia="仿宋"/>
          <w:b/>
          <w:sz w:val="32"/>
          <w:szCs w:val="32"/>
        </w:rPr>
      </w:pPr>
      <w:r>
        <w:rPr>
          <w:rFonts w:hint="eastAsia" w:ascii="仿宋" w:hAnsi="仿宋" w:eastAsia="仿宋"/>
          <w:b/>
          <w:sz w:val="32"/>
          <w:szCs w:val="32"/>
        </w:rPr>
        <w:t>参加政府采购活动前三年内在经营活动中</w:t>
      </w:r>
    </w:p>
    <w:p>
      <w:pPr>
        <w:pStyle w:val="11"/>
        <w:spacing w:line="360" w:lineRule="auto"/>
        <w:jc w:val="center"/>
        <w:rPr>
          <w:rFonts w:ascii="仿宋" w:hAnsi="仿宋" w:eastAsia="仿宋"/>
          <w:b/>
          <w:sz w:val="32"/>
          <w:szCs w:val="32"/>
        </w:rPr>
      </w:pPr>
      <w:r>
        <w:rPr>
          <w:rFonts w:hint="eastAsia" w:ascii="仿宋" w:hAnsi="仿宋" w:eastAsia="仿宋"/>
          <w:b/>
          <w:sz w:val="32"/>
          <w:szCs w:val="32"/>
        </w:rPr>
        <w:t>没有重大违法记录的书面声明</w:t>
      </w:r>
    </w:p>
    <w:p>
      <w:pPr>
        <w:pStyle w:val="11"/>
        <w:spacing w:line="360" w:lineRule="auto"/>
        <w:rPr>
          <w:rFonts w:hint="eastAsia" w:ascii="仿宋" w:hAnsi="仿宋" w:eastAsia="仿宋"/>
          <w:sz w:val="28"/>
          <w:szCs w:val="28"/>
        </w:rPr>
      </w:pPr>
    </w:p>
    <w:p>
      <w:pPr>
        <w:pStyle w:val="11"/>
        <w:spacing w:line="360" w:lineRule="auto"/>
        <w:rPr>
          <w:rFonts w:ascii="仿宋" w:hAnsi="仿宋" w:eastAsia="仿宋" w:cs="MingLiU_HKSCS"/>
          <w:sz w:val="28"/>
          <w:szCs w:val="28"/>
        </w:rPr>
      </w:pPr>
      <w:r>
        <w:rPr>
          <w:rFonts w:hint="eastAsia" w:ascii="仿宋" w:hAnsi="仿宋" w:eastAsia="仿宋"/>
          <w:sz w:val="28"/>
          <w:szCs w:val="28"/>
        </w:rPr>
        <w:t>致</w:t>
      </w:r>
      <w:r>
        <w:rPr>
          <w:rFonts w:ascii="仿宋" w:hAnsi="仿宋" w:eastAsia="仿宋"/>
          <w:sz w:val="28"/>
          <w:szCs w:val="28"/>
        </w:rPr>
        <w:t>____________(</w:t>
      </w:r>
      <w:r>
        <w:rPr>
          <w:rFonts w:hint="eastAsia" w:ascii="仿宋" w:hAnsi="仿宋" w:eastAsia="仿宋"/>
          <w:sz w:val="28"/>
          <w:szCs w:val="28"/>
        </w:rPr>
        <w:t>采购人或采购代理机构</w:t>
      </w:r>
      <w:r>
        <w:rPr>
          <w:rFonts w:ascii="仿宋" w:hAnsi="仿宋" w:eastAsia="仿宋"/>
          <w:sz w:val="28"/>
          <w:szCs w:val="28"/>
        </w:rPr>
        <w:t>)</w:t>
      </w:r>
      <w:r>
        <w:rPr>
          <w:rFonts w:hint="eastAsia" w:ascii="仿宋" w:hAnsi="仿宋" w:eastAsia="仿宋"/>
          <w:sz w:val="28"/>
          <w:szCs w:val="28"/>
        </w:rPr>
        <w:t>：</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我单位在参加采购活动前三年内在经营活动中没有《政府采购法》第二十二条第一款第</w:t>
      </w:r>
      <w:r>
        <w:rPr>
          <w:rFonts w:ascii="仿宋" w:hAnsi="仿宋" w:eastAsia="仿宋"/>
          <w:sz w:val="28"/>
          <w:szCs w:val="28"/>
        </w:rPr>
        <w:t>(</w:t>
      </w:r>
      <w:r>
        <w:rPr>
          <w:rFonts w:hint="eastAsia" w:ascii="仿宋" w:hAnsi="仿宋" w:eastAsia="仿宋"/>
          <w:sz w:val="28"/>
          <w:szCs w:val="28"/>
        </w:rPr>
        <w:t>五</w:t>
      </w:r>
      <w:r>
        <w:rPr>
          <w:rFonts w:ascii="仿宋" w:hAnsi="仿宋" w:eastAsia="仿宋"/>
          <w:sz w:val="28"/>
          <w:szCs w:val="28"/>
        </w:rPr>
        <w:t>)</w:t>
      </w:r>
      <w:r>
        <w:rPr>
          <w:rFonts w:hint="eastAsia" w:ascii="仿宋" w:hAnsi="仿宋" w:eastAsia="仿宋"/>
          <w:sz w:val="28"/>
          <w:szCs w:val="28"/>
        </w:rPr>
        <w:t>项所称重大违法记录</w:t>
      </w:r>
      <w:r>
        <w:rPr>
          <w:rFonts w:hint="eastAsia" w:ascii="仿宋" w:hAnsi="仿宋" w:eastAsia="仿宋" w:cs="MingLiU_HKSCS"/>
          <w:sz w:val="28"/>
          <w:szCs w:val="28"/>
        </w:rPr>
        <w:t>，</w:t>
      </w:r>
      <w:r>
        <w:rPr>
          <w:rFonts w:hint="eastAsia" w:ascii="仿宋" w:hAnsi="仿宋" w:eastAsia="仿宋" w:cs="仿宋_GB2312"/>
          <w:sz w:val="28"/>
          <w:szCs w:val="28"/>
        </w:rPr>
        <w:t>包括：</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我单位或者其法定代表人、董事、监事、高级管理人员未因经营活动中的违法行为受到刑事处罚或者</w:t>
      </w:r>
      <w:r>
        <w:rPr>
          <w:rFonts w:hint="eastAsia" w:ascii="仿宋" w:hAnsi="仿宋" w:eastAsia="仿宋"/>
          <w:sz w:val="28"/>
          <w:szCs w:val="28"/>
        </w:rPr>
        <w:t>责令停产停业、吊销许可证或者执照、较大数额罚款等行政处罚。</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特此声明！</w:t>
      </w:r>
    </w:p>
    <w:p>
      <w:pPr>
        <w:pStyle w:val="11"/>
        <w:spacing w:line="360" w:lineRule="auto"/>
        <w:ind w:firstLine="560" w:firstLineChars="200"/>
        <w:rPr>
          <w:rFonts w:ascii="仿宋" w:hAnsi="仿宋" w:eastAsia="仿宋" w:cs="MingLiU_HKSCS"/>
          <w:sz w:val="28"/>
          <w:szCs w:val="28"/>
        </w:rPr>
      </w:pPr>
    </w:p>
    <w:p>
      <w:pPr>
        <w:pStyle w:val="11"/>
        <w:spacing w:line="360" w:lineRule="auto"/>
        <w:ind w:firstLine="560" w:firstLineChars="200"/>
        <w:rPr>
          <w:rFonts w:ascii="仿宋" w:hAnsi="仿宋" w:eastAsia="仿宋" w:cs="MingLiU_HKSCS"/>
          <w:sz w:val="28"/>
          <w:szCs w:val="28"/>
        </w:rPr>
      </w:pPr>
      <w:r>
        <w:rPr>
          <w:rFonts w:hint="eastAsia" w:ascii="仿宋" w:hAnsi="仿宋" w:eastAsia="仿宋" w:cs="仿宋_GB2312"/>
          <w:sz w:val="28"/>
          <w:szCs w:val="28"/>
        </w:rPr>
        <w:t>供应商名称</w:t>
      </w:r>
      <w:r>
        <w:rPr>
          <w:rFonts w:ascii="仿宋" w:hAnsi="仿宋" w:eastAsia="仿宋" w:cs="仿宋_GB2312"/>
          <w:sz w:val="28"/>
          <w:szCs w:val="28"/>
        </w:rPr>
        <w:t>(</w:t>
      </w:r>
      <w:r>
        <w:rPr>
          <w:rFonts w:hint="eastAsia" w:ascii="仿宋" w:hAnsi="仿宋" w:eastAsia="仿宋" w:cs="仿宋_GB2312"/>
          <w:sz w:val="28"/>
          <w:szCs w:val="28"/>
        </w:rPr>
        <w:t>公章</w:t>
      </w:r>
      <w:r>
        <w:rPr>
          <w:rFonts w:ascii="仿宋" w:hAnsi="仿宋" w:eastAsia="仿宋" w:cs="仿宋_GB2312"/>
          <w:sz w:val="28"/>
          <w:szCs w:val="28"/>
        </w:rPr>
        <w:t>)</w:t>
      </w:r>
      <w:r>
        <w:rPr>
          <w:rFonts w:hint="eastAsia" w:ascii="仿宋" w:hAnsi="仿宋" w:eastAsia="仿宋" w:cs="仿宋_GB2312"/>
          <w:sz w:val="28"/>
          <w:szCs w:val="28"/>
        </w:rPr>
        <w:t>：</w:t>
      </w:r>
      <w:r>
        <w:rPr>
          <w:rFonts w:ascii="仿宋" w:hAnsi="仿宋" w:eastAsia="仿宋"/>
          <w:sz w:val="28"/>
          <w:szCs w:val="28"/>
        </w:rPr>
        <w:t>________________</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法定代表人</w:t>
      </w:r>
      <w:r>
        <w:rPr>
          <w:rFonts w:ascii="仿宋" w:hAnsi="仿宋" w:eastAsia="仿宋"/>
          <w:sz w:val="28"/>
          <w:szCs w:val="28"/>
        </w:rPr>
        <w:t>(</w:t>
      </w:r>
      <w:r>
        <w:rPr>
          <w:rFonts w:hint="eastAsia" w:ascii="仿宋" w:hAnsi="仿宋" w:eastAsia="仿宋"/>
          <w:sz w:val="28"/>
          <w:szCs w:val="28"/>
        </w:rPr>
        <w:t>签字或盖章</w:t>
      </w:r>
      <w:r>
        <w:rPr>
          <w:rFonts w:ascii="仿宋" w:hAnsi="仿宋" w:eastAsia="仿宋"/>
          <w:sz w:val="28"/>
          <w:szCs w:val="28"/>
        </w:rPr>
        <w:t>)</w:t>
      </w:r>
      <w:r>
        <w:rPr>
          <w:rFonts w:hint="eastAsia" w:ascii="仿宋" w:hAnsi="仿宋" w:eastAsia="仿宋"/>
          <w:sz w:val="28"/>
          <w:szCs w:val="28"/>
        </w:rPr>
        <w:t>：</w:t>
      </w:r>
      <w:r>
        <w:rPr>
          <w:rFonts w:ascii="仿宋" w:hAnsi="仿宋" w:eastAsia="仿宋"/>
          <w:sz w:val="28"/>
          <w:szCs w:val="28"/>
        </w:rPr>
        <w:t>________________</w:t>
      </w:r>
    </w:p>
    <w:p>
      <w:pPr>
        <w:pStyle w:val="11"/>
        <w:spacing w:line="360" w:lineRule="auto"/>
        <w:ind w:firstLine="560" w:firstLineChars="200"/>
        <w:rPr>
          <w:rFonts w:ascii="仿宋" w:hAnsi="仿宋" w:eastAsia="仿宋" w:cs="MingLiU_HKSCS"/>
          <w:sz w:val="28"/>
          <w:szCs w:val="28"/>
        </w:rPr>
      </w:pPr>
      <w:r>
        <w:rPr>
          <w:rFonts w:hint="eastAsia" w:ascii="仿宋" w:hAnsi="仿宋" w:eastAsia="仿宋"/>
          <w:sz w:val="28"/>
          <w:szCs w:val="28"/>
        </w:rPr>
        <w:t>日期：</w:t>
      </w:r>
      <w:r>
        <w:rPr>
          <w:rFonts w:ascii="仿宋" w:hAnsi="仿宋" w:eastAsia="仿宋"/>
          <w:sz w:val="28"/>
          <w:szCs w:val="28"/>
        </w:rPr>
        <w:t>______</w:t>
      </w:r>
      <w:r>
        <w:rPr>
          <w:rFonts w:hint="eastAsia" w:ascii="仿宋" w:hAnsi="仿宋" w:eastAsia="仿宋"/>
          <w:sz w:val="28"/>
          <w:szCs w:val="28"/>
        </w:rPr>
        <w:t>年</w:t>
      </w:r>
      <w:r>
        <w:rPr>
          <w:rFonts w:ascii="仿宋" w:hAnsi="仿宋" w:eastAsia="仿宋"/>
          <w:sz w:val="28"/>
          <w:szCs w:val="28"/>
        </w:rPr>
        <w:t>______</w:t>
      </w:r>
      <w:r>
        <w:rPr>
          <w:rFonts w:hint="eastAsia" w:ascii="仿宋" w:hAnsi="仿宋" w:eastAsia="仿宋"/>
          <w:sz w:val="28"/>
          <w:szCs w:val="28"/>
        </w:rPr>
        <w:t>月</w:t>
      </w:r>
      <w:r>
        <w:rPr>
          <w:rFonts w:ascii="仿宋" w:hAnsi="仿宋" w:eastAsia="仿宋"/>
          <w:sz w:val="28"/>
          <w:szCs w:val="28"/>
        </w:rPr>
        <w:t>______</w:t>
      </w:r>
      <w:r>
        <w:rPr>
          <w:rFonts w:hint="eastAsia" w:ascii="仿宋" w:hAnsi="仿宋" w:eastAsia="仿宋"/>
          <w:sz w:val="28"/>
          <w:szCs w:val="28"/>
        </w:rPr>
        <w:t>日</w:t>
      </w:r>
    </w:p>
    <w:p>
      <w:pPr>
        <w:pStyle w:val="11"/>
        <w:spacing w:line="360" w:lineRule="auto"/>
        <w:ind w:firstLine="560" w:firstLineChars="200"/>
        <w:rPr>
          <w:rFonts w:hint="eastAsia" w:ascii="仿宋" w:hAnsi="仿宋" w:eastAsia="仿宋"/>
          <w:sz w:val="28"/>
          <w:szCs w:val="28"/>
        </w:rPr>
      </w:pPr>
      <w:r>
        <w:rPr>
          <w:rFonts w:hint="eastAsia" w:ascii="仿宋" w:hAnsi="仿宋" w:eastAsia="仿宋"/>
          <w:sz w:val="28"/>
          <w:szCs w:val="28"/>
        </w:rPr>
        <w:t>说明：授权用招标专用章的</w:t>
      </w:r>
      <w:r>
        <w:rPr>
          <w:rFonts w:hint="eastAsia" w:ascii="仿宋" w:hAnsi="仿宋" w:eastAsia="仿宋" w:cs="MingLiU_HKSCS"/>
          <w:sz w:val="28"/>
          <w:szCs w:val="28"/>
        </w:rPr>
        <w:t>，</w:t>
      </w:r>
      <w:r>
        <w:rPr>
          <w:rFonts w:hint="eastAsia" w:ascii="仿宋" w:hAnsi="仿宋" w:eastAsia="仿宋"/>
          <w:sz w:val="28"/>
          <w:szCs w:val="28"/>
        </w:rPr>
        <w:t>与公章具有相同法律效力。</w:t>
      </w: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spacing w:line="360" w:lineRule="auto"/>
        <w:ind w:firstLine="560" w:firstLineChars="200"/>
        <w:rPr>
          <w:rFonts w:hint="eastAsia" w:ascii="仿宋" w:hAnsi="仿宋" w:eastAsia="仿宋"/>
          <w:sz w:val="28"/>
          <w:szCs w:val="28"/>
        </w:rPr>
      </w:pPr>
    </w:p>
    <w:p>
      <w:pPr>
        <w:pStyle w:val="11"/>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“信用中国”网（www.creditchina.gov.cn）、中国政府采购网（www.ccgp.gov.cn）无违法违规行为的查询记录结果截图。</w:t>
      </w:r>
    </w:p>
    <w:p>
      <w:pPr>
        <w:spacing w:line="360" w:lineRule="auto"/>
        <w:jc w:val="left"/>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2"/>
        <w:spacing w:line="360" w:lineRule="auto"/>
        <w:ind w:firstLine="640"/>
        <w:rPr>
          <w:rFonts w:ascii="黑体" w:hAnsi="黑体" w:eastAsia="黑体" w:cs="黑体"/>
          <w:sz w:val="32"/>
          <w:szCs w:val="32"/>
        </w:rPr>
      </w:pPr>
    </w:p>
    <w:p>
      <w:pPr>
        <w:pStyle w:val="11"/>
        <w:numPr>
          <w:ilvl w:val="0"/>
          <w:numId w:val="0"/>
        </w:numPr>
        <w:spacing w:line="360" w:lineRule="auto"/>
        <w:jc w:val="center"/>
        <w:rPr>
          <w:rFonts w:asciiTheme="minorEastAsia" w:hAnsiTheme="minorEastAsia" w:eastAsiaTheme="minorEastAsia" w:cstheme="minorEastAsia"/>
          <w:b/>
          <w:bCs/>
          <w:sz w:val="30"/>
          <w:szCs w:val="30"/>
        </w:rPr>
      </w:pPr>
      <w:r>
        <w:rPr>
          <w:rFonts w:hint="eastAsia" w:asciiTheme="minorEastAsia" w:hAnsiTheme="minorEastAsia" w:eastAsiaTheme="minorEastAsia" w:cstheme="minorEastAsia"/>
          <w:b/>
          <w:bCs/>
          <w:sz w:val="30"/>
          <w:szCs w:val="30"/>
        </w:rPr>
        <w:t>中标服务费承诺书</w:t>
      </w:r>
    </w:p>
    <w:p>
      <w:pPr>
        <w:widowControl/>
        <w:autoSpaceDE w:val="0"/>
        <w:autoSpaceDN w:val="0"/>
        <w:adjustRightInd w:val="0"/>
        <w:spacing w:line="360" w:lineRule="auto"/>
        <w:rPr>
          <w:rFonts w:hint="eastAsia" w:ascii="宋体" w:hAnsi="宋体" w:cs="宋体"/>
          <w:bCs/>
          <w:sz w:val="24"/>
          <w:szCs w:val="24"/>
          <w:lang w:val="en-US" w:eastAsia="zh-CN"/>
        </w:rPr>
      </w:pPr>
    </w:p>
    <w:p>
      <w:pPr>
        <w:widowControl/>
        <w:autoSpaceDE w:val="0"/>
        <w:autoSpaceDN w:val="0"/>
        <w:adjustRightInd w:val="0"/>
        <w:spacing w:line="360" w:lineRule="auto"/>
        <w:rPr>
          <w:rFonts w:ascii="宋体" w:hAnsi="宋体"/>
          <w:sz w:val="24"/>
          <w:szCs w:val="24"/>
        </w:rPr>
      </w:pPr>
      <w:r>
        <w:rPr>
          <w:rFonts w:hint="eastAsia" w:ascii="宋体" w:hAnsi="宋体" w:cs="宋体"/>
          <w:bCs/>
          <w:sz w:val="24"/>
          <w:szCs w:val="24"/>
          <w:lang w:val="en-US" w:eastAsia="zh-CN"/>
        </w:rPr>
        <w:t>新疆伊筑</w:t>
      </w:r>
      <w:r>
        <w:rPr>
          <w:rFonts w:hint="eastAsia" w:ascii="宋体" w:hAnsi="宋体" w:cs="宋体"/>
          <w:bCs/>
          <w:sz w:val="24"/>
          <w:szCs w:val="24"/>
          <w:lang w:val="zh-CN" w:eastAsia="zh-CN"/>
        </w:rPr>
        <w:t>工程管理</w:t>
      </w:r>
      <w:r>
        <w:rPr>
          <w:rFonts w:hint="eastAsia" w:ascii="宋体" w:hAnsi="宋体" w:cs="宋体"/>
          <w:bCs/>
          <w:sz w:val="24"/>
          <w:szCs w:val="24"/>
          <w:lang w:val="zh-CN"/>
        </w:rPr>
        <w:t>有限公司</w:t>
      </w:r>
      <w:r>
        <w:rPr>
          <w:rFonts w:hint="eastAsia" w:ascii="宋体" w:hAnsi="宋体"/>
          <w:sz w:val="24"/>
          <w:szCs w:val="24"/>
        </w:rPr>
        <w:t>：</w:t>
      </w:r>
    </w:p>
    <w:p>
      <w:pPr>
        <w:widowControl/>
        <w:autoSpaceDE w:val="0"/>
        <w:autoSpaceDN w:val="0"/>
        <w:adjustRightInd w:val="0"/>
        <w:spacing w:line="360" w:lineRule="auto"/>
        <w:ind w:firstLine="480" w:firstLineChars="200"/>
        <w:rPr>
          <w:rFonts w:ascii="宋体" w:hAnsi="宋体"/>
          <w:sz w:val="24"/>
          <w:szCs w:val="24"/>
        </w:rPr>
      </w:pPr>
      <w:r>
        <w:rPr>
          <w:rFonts w:hint="eastAsia" w:ascii="宋体" w:hAnsi="宋体"/>
          <w:sz w:val="24"/>
          <w:szCs w:val="24"/>
        </w:rPr>
        <w:t>我公司在贵公司组织的</w:t>
      </w:r>
      <w:r>
        <w:rPr>
          <w:rFonts w:hint="eastAsia" w:ascii="宋体" w:hAnsi="宋体"/>
          <w:sz w:val="24"/>
          <w:szCs w:val="24"/>
          <w:u w:val="single"/>
        </w:rPr>
        <w:t xml:space="preserve">         (项目名称）       （项目编号）</w:t>
      </w:r>
      <w:r>
        <w:rPr>
          <w:rFonts w:hint="eastAsia" w:ascii="宋体" w:hAnsi="宋体"/>
          <w:sz w:val="24"/>
          <w:szCs w:val="24"/>
        </w:rPr>
        <w:t>招标中若获中标，我公司承诺，保证在领取中标通知书前按招标书有关规定，电汇或贵公司认可的其他方式向贵公司支付中标服务费。</w:t>
      </w:r>
    </w:p>
    <w:p>
      <w:pPr>
        <w:widowControl/>
        <w:autoSpaceDE w:val="0"/>
        <w:autoSpaceDN w:val="0"/>
        <w:adjustRightInd w:val="0"/>
        <w:spacing w:line="360" w:lineRule="auto"/>
        <w:ind w:firstLine="480"/>
        <w:rPr>
          <w:rFonts w:ascii="宋体" w:hAnsi="宋体"/>
          <w:sz w:val="24"/>
          <w:szCs w:val="24"/>
        </w:rPr>
      </w:pPr>
      <w:r>
        <w:rPr>
          <w:rFonts w:hint="eastAsia" w:ascii="宋体" w:hAnsi="宋体"/>
          <w:sz w:val="24"/>
          <w:szCs w:val="24"/>
        </w:rPr>
        <w:t>特此承诺。</w:t>
      </w: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firstLine="480"/>
        <w:rPr>
          <w:rFonts w:ascii="宋体" w:hAnsi="宋体"/>
          <w:sz w:val="24"/>
          <w:szCs w:val="24"/>
        </w:rPr>
      </w:pPr>
    </w:p>
    <w:p>
      <w:pPr>
        <w:widowControl/>
        <w:autoSpaceDE w:val="0"/>
        <w:autoSpaceDN w:val="0"/>
        <w:adjustRightInd w:val="0"/>
        <w:spacing w:line="360" w:lineRule="auto"/>
        <w:ind w:right="-481"/>
        <w:jc w:val="center"/>
        <w:rPr>
          <w:rFonts w:hint="eastAsia" w:ascii="宋体" w:hAnsi="宋体"/>
          <w:sz w:val="24"/>
          <w:szCs w:val="24"/>
        </w:rPr>
      </w:pPr>
      <w:r>
        <w:rPr>
          <w:rFonts w:hint="eastAsia" w:ascii="宋体" w:hAnsi="宋体"/>
          <w:sz w:val="24"/>
          <w:szCs w:val="24"/>
        </w:rPr>
        <w:t xml:space="preserve">                   </w:t>
      </w: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lang w:val="en-US" w:eastAsia="zh-CN"/>
        </w:rPr>
        <w:t xml:space="preserve">                    </w:t>
      </w:r>
      <w:r>
        <w:rPr>
          <w:rFonts w:hint="eastAsia" w:ascii="宋体" w:hAnsi="宋体"/>
          <w:sz w:val="24"/>
          <w:szCs w:val="24"/>
        </w:rPr>
        <w:t xml:space="preserve">   供应商名称(盖公章)：</w:t>
      </w:r>
    </w:p>
    <w:p>
      <w:pPr>
        <w:widowControl/>
        <w:autoSpaceDE w:val="0"/>
        <w:autoSpaceDN w:val="0"/>
        <w:adjustRightInd w:val="0"/>
        <w:spacing w:line="360" w:lineRule="auto"/>
        <w:ind w:right="-481"/>
        <w:jc w:val="center"/>
        <w:rPr>
          <w:rFonts w:ascii="宋体" w:hAnsi="宋体"/>
          <w:sz w:val="24"/>
          <w:szCs w:val="24"/>
        </w:rPr>
      </w:pPr>
      <w:r>
        <w:rPr>
          <w:rFonts w:hint="eastAsia" w:ascii="宋体" w:hAnsi="宋体"/>
          <w:sz w:val="24"/>
          <w:szCs w:val="24"/>
        </w:rPr>
        <w:t xml:space="preserve">                       法定代表人（签字）：</w:t>
      </w:r>
    </w:p>
    <w:p>
      <w:pPr>
        <w:widowControl/>
        <w:autoSpaceDE w:val="0"/>
        <w:autoSpaceDN w:val="0"/>
        <w:adjustRightInd w:val="0"/>
        <w:spacing w:line="360" w:lineRule="auto"/>
        <w:ind w:right="-481" w:firstLine="720"/>
        <w:jc w:val="center"/>
        <w:rPr>
          <w:rFonts w:ascii="宋体" w:hAnsi="宋体"/>
          <w:sz w:val="24"/>
          <w:szCs w:val="24"/>
        </w:rPr>
      </w:pPr>
      <w:r>
        <w:rPr>
          <w:rFonts w:hint="eastAsia" w:ascii="宋体" w:hAnsi="宋体"/>
          <w:color w:val="C00000"/>
          <w:szCs w:val="21"/>
        </w:rPr>
        <w:t xml:space="preserve">            </w:t>
      </w:r>
      <w:r>
        <w:rPr>
          <w:rFonts w:hint="eastAsia" w:ascii="宋体" w:hAnsi="宋体"/>
          <w:sz w:val="24"/>
          <w:szCs w:val="24"/>
        </w:rPr>
        <w:t>年   月   日</w:t>
      </w: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pStyle w:val="9"/>
        <w:spacing w:line="360" w:lineRule="auto"/>
        <w:ind w:left="0" w:leftChars="0" w:firstLine="0" w:firstLineChars="0"/>
        <w:rPr>
          <w:rFonts w:ascii="宋体" w:hAnsi="宋体"/>
          <w:sz w:val="24"/>
        </w:rPr>
      </w:pPr>
    </w:p>
    <w:p>
      <w:pPr>
        <w:pStyle w:val="9"/>
        <w:spacing w:line="360" w:lineRule="auto"/>
        <w:ind w:firstLine="480"/>
        <w:rPr>
          <w:rFonts w:ascii="宋体" w:hAnsi="宋体"/>
          <w:sz w:val="24"/>
        </w:rPr>
      </w:pPr>
    </w:p>
    <w:p>
      <w:pPr>
        <w:pStyle w:val="9"/>
        <w:spacing w:line="360" w:lineRule="auto"/>
        <w:ind w:firstLine="480"/>
        <w:rPr>
          <w:rFonts w:ascii="宋体" w:hAnsi="宋体"/>
          <w:sz w:val="24"/>
        </w:rPr>
      </w:pPr>
    </w:p>
    <w:p>
      <w:pPr>
        <w:numPr>
          <w:ilvl w:val="0"/>
          <w:numId w:val="0"/>
        </w:numPr>
        <w:spacing w:line="480" w:lineRule="exact"/>
        <w:jc w:val="center"/>
        <w:rPr>
          <w:rFonts w:hint="eastAsia" w:ascii="黑体" w:hAnsi="黑体" w:eastAsia="黑体" w:cs="黑体"/>
          <w:sz w:val="32"/>
          <w:szCs w:val="32"/>
        </w:rPr>
      </w:pPr>
    </w:p>
    <w:p>
      <w:pPr>
        <w:numPr>
          <w:ilvl w:val="0"/>
          <w:numId w:val="0"/>
        </w:numPr>
        <w:spacing w:line="480" w:lineRule="exact"/>
        <w:jc w:val="center"/>
        <w:rPr>
          <w:rFonts w:hint="eastAsia" w:ascii="黑体" w:hAnsi="黑体" w:eastAsia="黑体" w:cs="黑体"/>
          <w:sz w:val="32"/>
          <w:szCs w:val="32"/>
        </w:rPr>
      </w:pPr>
    </w:p>
    <w:p>
      <w:pPr>
        <w:numPr>
          <w:ilvl w:val="0"/>
          <w:numId w:val="0"/>
        </w:numPr>
        <w:spacing w:line="480" w:lineRule="exact"/>
        <w:jc w:val="center"/>
        <w:rPr>
          <w:rFonts w:ascii="黑体" w:hAnsi="黑体" w:eastAsia="黑体" w:cs="黑体"/>
          <w:sz w:val="32"/>
          <w:szCs w:val="32"/>
        </w:rPr>
      </w:pPr>
      <w:r>
        <w:rPr>
          <w:rFonts w:hint="eastAsia" w:ascii="黑体" w:hAnsi="黑体" w:eastAsia="黑体" w:cs="黑体"/>
          <w:sz w:val="32"/>
          <w:szCs w:val="32"/>
        </w:rPr>
        <w:t>投标保证金（投标保证金收据复印件）</w:t>
      </w:r>
    </w:p>
    <w:p>
      <w:pPr>
        <w:spacing w:line="360" w:lineRule="auto"/>
      </w:pPr>
    </w:p>
    <w:p>
      <w:pPr>
        <w:pStyle w:val="31"/>
        <w:ind w:firstLine="420"/>
      </w:pPr>
    </w:p>
    <w:p>
      <w:pPr>
        <w:pStyle w:val="31"/>
        <w:ind w:firstLine="420"/>
      </w:pPr>
    </w:p>
    <w:p>
      <w:pPr>
        <w:pStyle w:val="8"/>
        <w:spacing w:line="360" w:lineRule="auto"/>
        <w:jc w:val="center"/>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lang w:val="zh-CN"/>
        </w:rPr>
      </w:pPr>
    </w:p>
    <w:p>
      <w:pPr>
        <w:pStyle w:val="2"/>
        <w:rPr>
          <w:rFonts w:hint="eastAsia" w:asciiTheme="minorEastAsia" w:hAnsiTheme="minorEastAsia" w:eastAsiaTheme="minorEastAsia" w:cstheme="minorEastAsia"/>
          <w:lang w:val="zh-CN"/>
        </w:rPr>
      </w:pPr>
    </w:p>
    <w:p>
      <w:pPr>
        <w:rPr>
          <w:rFonts w:hint="eastAsia" w:asciiTheme="minorEastAsia" w:hAnsiTheme="minorEastAsia" w:eastAsiaTheme="minorEastAsia" w:cstheme="minorEastAsia"/>
          <w:lang w:val="zh-CN"/>
        </w:rPr>
      </w:pPr>
    </w:p>
    <w:p>
      <w:pPr>
        <w:pStyle w:val="2"/>
        <w:rPr>
          <w:rFonts w:hint="eastAsia"/>
          <w:lang w:val="zh-CN"/>
        </w:rPr>
      </w:pPr>
    </w:p>
    <w:p>
      <w:pPr>
        <w:pStyle w:val="8"/>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磋商文件要求的其他证明材料</w:t>
      </w:r>
      <w:bookmarkEnd w:id="692"/>
      <w:r>
        <w:rPr>
          <w:rFonts w:hint="eastAsia" w:asciiTheme="minorEastAsia" w:hAnsiTheme="minorEastAsia" w:eastAsiaTheme="minorEastAsia" w:cstheme="minorEastAsia"/>
          <w:lang w:val="zh-CN"/>
        </w:rPr>
        <w:br w:type="page"/>
      </w:r>
      <w:r>
        <w:rPr>
          <w:rFonts w:hint="eastAsia" w:asciiTheme="minorEastAsia" w:hAnsiTheme="minorEastAsia" w:eastAsiaTheme="minorEastAsia" w:cstheme="minorEastAsia"/>
          <w:lang w:val="zh-CN"/>
        </w:rPr>
        <w:t>技</w:t>
      </w: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lang w:val="zh-CN"/>
        </w:rPr>
        <w:t>术</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p>
    <w:p>
      <w:pPr>
        <w:autoSpaceDE w:val="0"/>
        <w:autoSpaceDN w:val="0"/>
        <w:adjustRightInd w:val="0"/>
        <w:spacing w:line="360" w:lineRule="auto"/>
        <w:rPr>
          <w:rFonts w:asciiTheme="minorEastAsia" w:hAnsiTheme="minorEastAsia" w:eastAsiaTheme="minorEastAsia" w:cstheme="minorEastAsia"/>
        </w:rPr>
      </w:pPr>
      <w:r>
        <w:rPr>
          <w:rFonts w:hint="eastAsia" w:asciiTheme="minorEastAsia" w:hAnsiTheme="minorEastAsia" w:eastAsiaTheme="minorEastAsia" w:cstheme="minorEastAsia"/>
          <w:lang w:val="zh-CN"/>
        </w:rPr>
        <w:t>技术标封面示例</w:t>
      </w:r>
    </w:p>
    <w:p>
      <w:pPr>
        <w:autoSpaceDE w:val="0"/>
        <w:autoSpaceDN w:val="0"/>
        <w:adjustRightInd w:val="0"/>
        <w:spacing w:line="360" w:lineRule="auto"/>
        <w:ind w:firstLine="6720" w:firstLineChars="2400"/>
        <w:jc w:val="right"/>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 xml:space="preserve"> 正本/副本</w:t>
      </w:r>
    </w:p>
    <w:p>
      <w:pPr>
        <w:autoSpaceDE w:val="0"/>
        <w:autoSpaceDN w:val="0"/>
        <w:adjustRightInd w:val="0"/>
        <w:spacing w:line="360" w:lineRule="auto"/>
        <w:rPr>
          <w:rFonts w:asciiTheme="minorEastAsia" w:hAnsiTheme="minorEastAsia" w:eastAsiaTheme="minorEastAsia" w:cstheme="minorEastAsia"/>
          <w:szCs w:val="21"/>
        </w:rPr>
      </w:pPr>
    </w:p>
    <w:p>
      <w:pPr>
        <w:spacing w:line="360" w:lineRule="auto"/>
        <w:jc w:val="center"/>
        <w:rPr>
          <w:rFonts w:asciiTheme="minorEastAsia" w:hAnsiTheme="minorEastAsia" w:eastAsiaTheme="minorEastAsia" w:cstheme="minorEastAsia"/>
          <w:b/>
          <w:bCs/>
          <w:lang w:val="zh-CN"/>
        </w:rPr>
      </w:pPr>
    </w:p>
    <w:p>
      <w:pPr>
        <w:spacing w:line="360" w:lineRule="auto"/>
        <w:jc w:val="center"/>
        <w:rPr>
          <w:rFonts w:asciiTheme="minorEastAsia" w:hAnsiTheme="minorEastAsia" w:eastAsiaTheme="minorEastAsia" w:cstheme="minorEastAsia"/>
          <w:b/>
          <w:bCs/>
          <w:sz w:val="48"/>
          <w:szCs w:val="48"/>
        </w:rPr>
      </w:pPr>
      <w:r>
        <w:rPr>
          <w:rFonts w:hint="eastAsia" w:asciiTheme="minorEastAsia" w:hAnsiTheme="minorEastAsia" w:eastAsiaTheme="minorEastAsia" w:cstheme="minorEastAsia"/>
          <w:b/>
          <w:bCs/>
          <w:sz w:val="48"/>
          <w:szCs w:val="48"/>
          <w:lang w:val="zh-CN"/>
        </w:rPr>
        <w:t>响应文件技术标</w:t>
      </w: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p>
    <w:p>
      <w:pPr>
        <w:pStyle w:val="2"/>
        <w:spacing w:line="360" w:lineRule="auto"/>
        <w:ind w:firstLine="480"/>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360" w:lineRule="auto"/>
        <w:jc w:val="left"/>
        <w:rPr>
          <w:rFonts w:asciiTheme="minorEastAsia" w:hAnsiTheme="minorEastAsia" w:eastAsiaTheme="minorEastAsia" w:cstheme="minorEastAsia"/>
          <w:szCs w:val="21"/>
        </w:rPr>
      </w:pPr>
    </w:p>
    <w:p>
      <w:pPr>
        <w:autoSpaceDE w:val="0"/>
        <w:autoSpaceDN w:val="0"/>
        <w:adjustRightInd w:val="0"/>
        <w:spacing w:line="360" w:lineRule="auto"/>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spacing w:line="480" w:lineRule="exact"/>
        <w:jc w:val="center"/>
        <w:rPr>
          <w:rFonts w:hint="eastAsia" w:asciiTheme="minorEastAsia" w:hAnsiTheme="minorEastAsia" w:eastAsiaTheme="minorEastAsia" w:cstheme="minorEastAsia"/>
          <w:b/>
          <w:bCs/>
          <w:sz w:val="24"/>
        </w:rPr>
      </w:pPr>
    </w:p>
    <w:p>
      <w:pPr>
        <w:spacing w:line="480" w:lineRule="exact"/>
        <w:jc w:val="center"/>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目 录</w:t>
      </w:r>
    </w:p>
    <w:p>
      <w:pPr>
        <w:topLinePunct/>
        <w:spacing w:line="480" w:lineRule="exact"/>
        <w:ind w:firstLine="240" w:firstLineChars="100"/>
        <w:rPr>
          <w:rFonts w:hint="eastAsia" w:asciiTheme="minorEastAsia" w:hAnsiTheme="minorEastAsia" w:eastAsiaTheme="minorEastAsia" w:cstheme="minorEastAsia"/>
          <w:color w:val="000000" w:themeColor="text1"/>
          <w:sz w:val="24"/>
          <w14:textFill>
            <w14:solidFill>
              <w14:schemeClr w14:val="tx1"/>
            </w14:solidFill>
          </w14:textFill>
        </w:rPr>
      </w:pPr>
      <w:bookmarkStart w:id="693" w:name="_Toc414108653"/>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1、工程概况及特点</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2、施工准备计划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3、施工方案</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4、施工进度计划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5、施工平面图</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6、劳动力需用量计划</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7、质量保证措施和体系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14:textFill>
            <w14:solidFill>
              <w14:schemeClr w14:val="tx1"/>
            </w14:solidFill>
          </w14:textFill>
        </w:rPr>
      </w:pPr>
      <w:r>
        <w:rPr>
          <w:rFonts w:hint="eastAsia" w:asciiTheme="minorEastAsia" w:hAnsiTheme="minorEastAsia" w:eastAsiaTheme="minorEastAsia" w:cstheme="minorEastAsia"/>
          <w:color w:val="000000" w:themeColor="text1"/>
          <w:sz w:val="24"/>
          <w14:textFill>
            <w14:solidFill>
              <w14:schemeClr w14:val="tx1"/>
            </w14:solidFill>
          </w14:textFill>
        </w:rPr>
        <w:t>8、工期保证措施和体系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9、安全保证措施和体系</w:t>
      </w:r>
    </w:p>
    <w:p>
      <w:pPr>
        <w:topLinePunct/>
        <w:spacing w:line="480" w:lineRule="exact"/>
        <w:ind w:firstLine="240" w:firstLineChars="100"/>
        <w:rPr>
          <w:rFonts w:asciiTheme="minorEastAsia" w:hAnsiTheme="minorEastAsia" w:eastAsiaTheme="minorEastAsia" w:cstheme="minorEastAsia"/>
          <w:color w:val="000000" w:themeColor="text1"/>
          <w:sz w:val="24"/>
          <w:szCs w:val="22"/>
          <w14:textFill>
            <w14:solidFill>
              <w14:schemeClr w14:val="tx1"/>
            </w14:solidFill>
          </w14:textFill>
        </w:rPr>
      </w:pPr>
      <w:r>
        <w:rPr>
          <w:rFonts w:hint="eastAsia" w:asciiTheme="minorEastAsia" w:hAnsiTheme="minorEastAsia" w:eastAsiaTheme="minorEastAsia" w:cstheme="minorEastAsia"/>
          <w:color w:val="000000" w:themeColor="text1"/>
          <w:sz w:val="24"/>
          <w:szCs w:val="22"/>
          <w14:textFill>
            <w14:solidFill>
              <w14:schemeClr w14:val="tx1"/>
            </w14:solidFill>
          </w14:textFill>
        </w:rPr>
        <w:t>10、现场文明施工措施</w:t>
      </w:r>
    </w:p>
    <w:p>
      <w:pPr>
        <w:topLinePunct/>
        <w:spacing w:line="480" w:lineRule="exact"/>
        <w:ind w:firstLine="240" w:firstLineChars="100"/>
        <w:rPr>
          <w:rFonts w:asciiTheme="minorEastAsia" w:hAnsiTheme="minorEastAsia" w:eastAsiaTheme="minorEastAsia" w:cstheme="minorEastAsia"/>
          <w:sz w:val="24"/>
          <w:szCs w:val="22"/>
        </w:rPr>
      </w:pPr>
      <w:r>
        <w:rPr>
          <w:rFonts w:hint="eastAsia" w:asciiTheme="minorEastAsia" w:hAnsiTheme="minorEastAsia" w:eastAsiaTheme="minorEastAsia" w:cstheme="minorEastAsia"/>
          <w:sz w:val="24"/>
          <w:szCs w:val="22"/>
        </w:rPr>
        <w:t>11、承诺</w:t>
      </w:r>
    </w:p>
    <w:p>
      <w:pPr>
        <w:topLinePunct/>
        <w:spacing w:line="480" w:lineRule="exact"/>
        <w:rPr>
          <w:rFonts w:asciiTheme="minorEastAsia" w:hAnsiTheme="minorEastAsia" w:eastAsiaTheme="minorEastAsia" w:cstheme="minorEastAsia"/>
          <w:kern w:val="0"/>
          <w:sz w:val="24"/>
          <w:szCs w:val="28"/>
        </w:rPr>
      </w:pPr>
      <w:r>
        <w:rPr>
          <w:rFonts w:hint="eastAsia" w:asciiTheme="minorEastAsia" w:hAnsiTheme="minorEastAsia" w:eastAsiaTheme="minorEastAsia" w:cstheme="minorEastAsia"/>
          <w:sz w:val="24"/>
        </w:rPr>
        <w:t>注：</w:t>
      </w:r>
      <w:r>
        <w:rPr>
          <w:rFonts w:hint="eastAsia" w:asciiTheme="minorEastAsia" w:hAnsiTheme="minorEastAsia" w:eastAsiaTheme="minorEastAsia" w:cstheme="minorEastAsia"/>
          <w:kern w:val="0"/>
          <w:sz w:val="24"/>
        </w:rPr>
        <w:t>投标文件须按技术标格式目录顺序编写</w:t>
      </w:r>
    </w:p>
    <w:p>
      <w:pPr>
        <w:topLinePunct/>
        <w:spacing w:line="480" w:lineRule="exact"/>
        <w:rPr>
          <w:rFonts w:asciiTheme="minorEastAsia" w:hAnsiTheme="minorEastAsia" w:eastAsiaTheme="minorEastAsia" w:cstheme="minorEastAsia"/>
          <w:b/>
          <w:lang w:val="zh-CN"/>
        </w:rPr>
      </w:pPr>
    </w:p>
    <w:p>
      <w:pPr>
        <w:pStyle w:val="5"/>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5"/>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5"/>
        <w:spacing w:line="360" w:lineRule="auto"/>
        <w:rPr>
          <w:rFonts w:asciiTheme="minorEastAsia" w:hAnsiTheme="minorEastAsia" w:eastAsiaTheme="minorEastAsia" w:cstheme="minorEastAsia"/>
          <w:sz w:val="21"/>
          <w:lang w:val="zh-CN"/>
        </w:rPr>
      </w:pPr>
    </w:p>
    <w:p>
      <w:pPr>
        <w:spacing w:line="360" w:lineRule="auto"/>
        <w:rPr>
          <w:rFonts w:asciiTheme="minorEastAsia" w:hAnsiTheme="minorEastAsia" w:eastAsiaTheme="minorEastAsia" w:cstheme="minorEastAsia"/>
          <w:b/>
          <w:lang w:val="zh-CN"/>
        </w:rPr>
      </w:pPr>
    </w:p>
    <w:p>
      <w:pPr>
        <w:pStyle w:val="31"/>
        <w:ind w:firstLine="420"/>
      </w:pPr>
    </w:p>
    <w:p>
      <w:pPr>
        <w:pStyle w:val="31"/>
        <w:ind w:firstLine="420"/>
      </w:pPr>
    </w:p>
    <w:p>
      <w:pPr>
        <w:pStyle w:val="8"/>
        <w:spacing w:line="360" w:lineRule="auto"/>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lang w:val="zh-CN"/>
        </w:rPr>
        <w:t>经</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济</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标</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格</w:t>
      </w:r>
      <w:r>
        <w:rPr>
          <w:rFonts w:hint="eastAsia" w:asciiTheme="minorEastAsia" w:hAnsiTheme="minorEastAsia" w:eastAsiaTheme="minorEastAsia" w:cstheme="minorEastAsia"/>
          <w:szCs w:val="21"/>
        </w:rPr>
        <w:t xml:space="preserve"> </w:t>
      </w:r>
      <w:r>
        <w:rPr>
          <w:rFonts w:hint="eastAsia" w:asciiTheme="minorEastAsia" w:hAnsiTheme="minorEastAsia" w:eastAsiaTheme="minorEastAsia" w:cstheme="minorEastAsia"/>
          <w:lang w:val="zh-CN"/>
        </w:rPr>
        <w:t>式</w:t>
      </w:r>
      <w:bookmarkEnd w:id="693"/>
    </w:p>
    <w:p>
      <w:pPr>
        <w:autoSpaceDE w:val="0"/>
        <w:autoSpaceDN w:val="0"/>
        <w:adjustRightInd w:val="0"/>
        <w:spacing w:line="360" w:lineRule="auto"/>
        <w:rPr>
          <w:rFonts w:asciiTheme="minorEastAsia" w:hAnsiTheme="minorEastAsia" w:eastAsiaTheme="minorEastAsia" w:cstheme="minorEastAsia"/>
          <w:color w:val="000000"/>
          <w:sz w:val="28"/>
        </w:rPr>
      </w:pPr>
      <w:r>
        <w:rPr>
          <w:rFonts w:hint="eastAsia" w:asciiTheme="minorEastAsia" w:hAnsiTheme="minorEastAsia" w:eastAsiaTheme="minorEastAsia" w:cstheme="minorEastAsia"/>
        </w:rPr>
        <w:t xml:space="preserve">经济标封面示例                                 </w:t>
      </w:r>
      <w:r>
        <w:rPr>
          <w:rFonts w:hint="eastAsia" w:asciiTheme="minorEastAsia" w:hAnsiTheme="minorEastAsia" w:eastAsiaTheme="minorEastAsia" w:cstheme="minorEastAsia"/>
          <w:color w:val="000000"/>
          <w:sz w:val="28"/>
        </w:rPr>
        <w:t xml:space="preserve"> </w:t>
      </w:r>
    </w:p>
    <w:p>
      <w:pPr>
        <w:autoSpaceDE w:val="0"/>
        <w:autoSpaceDN w:val="0"/>
        <w:adjustRightInd w:val="0"/>
        <w:spacing w:line="360" w:lineRule="auto"/>
        <w:ind w:firstLine="7560" w:firstLineChars="2700"/>
        <w:rPr>
          <w:rFonts w:asciiTheme="minorEastAsia" w:hAnsiTheme="minorEastAsia" w:eastAsiaTheme="minorEastAsia" w:cstheme="minorEastAsia"/>
        </w:rPr>
      </w:pPr>
      <w:r>
        <w:rPr>
          <w:rFonts w:hint="eastAsia" w:asciiTheme="minorEastAsia" w:hAnsiTheme="minorEastAsia" w:eastAsiaTheme="minorEastAsia" w:cstheme="minorEastAsia"/>
          <w:color w:val="000000"/>
          <w:sz w:val="28"/>
        </w:rPr>
        <w:t>正本/副本</w:t>
      </w: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rPr>
          <w:rFonts w:asciiTheme="minorEastAsia" w:hAnsiTheme="minorEastAsia" w:eastAsiaTheme="minorEastAsia" w:cstheme="minorEastAsia"/>
        </w:rPr>
      </w:pPr>
    </w:p>
    <w:p>
      <w:pPr>
        <w:spacing w:line="360" w:lineRule="auto"/>
        <w:jc w:val="center"/>
        <w:rPr>
          <w:rFonts w:asciiTheme="minorEastAsia" w:hAnsiTheme="minorEastAsia" w:eastAsiaTheme="minorEastAsia" w:cstheme="minorEastAsia"/>
          <w:b/>
          <w:sz w:val="44"/>
          <w:szCs w:val="44"/>
        </w:rPr>
      </w:pPr>
      <w:r>
        <w:rPr>
          <w:rFonts w:hint="eastAsia" w:asciiTheme="minorEastAsia" w:hAnsiTheme="minorEastAsia" w:eastAsiaTheme="minorEastAsia" w:cstheme="minorEastAsia"/>
          <w:b/>
          <w:sz w:val="44"/>
          <w:szCs w:val="44"/>
        </w:rPr>
        <w:t>响应文件经济标</w:t>
      </w:r>
    </w:p>
    <w:p>
      <w:pPr>
        <w:spacing w:line="360" w:lineRule="auto"/>
        <w:rPr>
          <w:rFonts w:asciiTheme="minorEastAsia" w:hAnsiTheme="minorEastAsia" w:eastAsiaTheme="minorEastAsia" w:cstheme="minorEastAsia"/>
          <w:sz w:val="28"/>
          <w:szCs w:val="28"/>
        </w:rPr>
      </w:pPr>
    </w:p>
    <w:p>
      <w:pPr>
        <w:pStyle w:val="32"/>
        <w:spacing w:line="360" w:lineRule="auto"/>
        <w:ind w:firstLine="0" w:firstLineChars="0"/>
        <w:rPr>
          <w:rFonts w:asciiTheme="minorEastAsia" w:hAnsiTheme="minorEastAsia" w:eastAsiaTheme="minorEastAsia" w:cstheme="minorEastAsia"/>
          <w:sz w:val="28"/>
          <w:szCs w:val="28"/>
        </w:rPr>
      </w:pPr>
    </w:p>
    <w:p>
      <w:pPr>
        <w:pStyle w:val="32"/>
        <w:spacing w:line="360" w:lineRule="auto"/>
        <w:ind w:firstLine="0" w:firstLineChars="0"/>
        <w:rPr>
          <w:rFonts w:asciiTheme="minorEastAsia" w:hAnsiTheme="minorEastAsia" w:eastAsiaTheme="minorEastAsia" w:cstheme="minorEastAsia"/>
          <w:sz w:val="28"/>
          <w:szCs w:val="28"/>
        </w:rPr>
      </w:pPr>
    </w:p>
    <w:p>
      <w:pPr>
        <w:pStyle w:val="32"/>
        <w:spacing w:line="480" w:lineRule="exact"/>
        <w:ind w:firstLine="0" w:firstLineChars="0"/>
        <w:rPr>
          <w:rFonts w:asciiTheme="minorEastAsia" w:hAnsiTheme="minorEastAsia" w:eastAsiaTheme="minorEastAsia" w:cstheme="minorEastAsia"/>
          <w:sz w:val="28"/>
          <w:szCs w:val="28"/>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项目名称：</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项目编号：</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招标人：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供应商名称：（盖章）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法定代表人或被授权代理人：（盖章）</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单位地址：</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联系人：</w:t>
      </w: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联系电话：</w:t>
      </w:r>
    </w:p>
    <w:p>
      <w:pPr>
        <w:autoSpaceDE w:val="0"/>
        <w:autoSpaceDN w:val="0"/>
        <w:adjustRightInd w:val="0"/>
        <w:spacing w:line="480" w:lineRule="exact"/>
        <w:jc w:val="left"/>
        <w:rPr>
          <w:rFonts w:asciiTheme="minorEastAsia" w:hAnsiTheme="minorEastAsia" w:eastAsiaTheme="minorEastAsia" w:cstheme="minorEastAsia"/>
          <w:szCs w:val="21"/>
        </w:rPr>
      </w:pPr>
    </w:p>
    <w:p>
      <w:pPr>
        <w:autoSpaceDE w:val="0"/>
        <w:autoSpaceDN w:val="0"/>
        <w:adjustRightInd w:val="0"/>
        <w:spacing w:line="480" w:lineRule="exact"/>
        <w:jc w:val="left"/>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 xml:space="preserve">                                年      月       日</w:t>
      </w:r>
    </w:p>
    <w:p>
      <w:pPr>
        <w:autoSpaceDE w:val="0"/>
        <w:autoSpaceDN w:val="0"/>
        <w:adjustRightInd w:val="0"/>
        <w:spacing w:line="360" w:lineRule="auto"/>
        <w:jc w:val="left"/>
        <w:rPr>
          <w:rFonts w:asciiTheme="minorEastAsia" w:hAnsiTheme="minorEastAsia" w:eastAsiaTheme="minorEastAsia" w:cstheme="minorEastAsia"/>
          <w:lang w:val="zh-CN"/>
        </w:rPr>
      </w:pPr>
    </w:p>
    <w:p>
      <w:pPr>
        <w:pStyle w:val="32"/>
        <w:spacing w:line="360" w:lineRule="auto"/>
        <w:ind w:firstLine="0" w:firstLineChars="0"/>
        <w:jc w:val="center"/>
        <w:rPr>
          <w:rFonts w:hint="eastAsia" w:asciiTheme="minorEastAsia" w:hAnsiTheme="minorEastAsia" w:eastAsiaTheme="minorEastAsia" w:cstheme="minorEastAsia"/>
          <w:b/>
        </w:rPr>
      </w:pPr>
    </w:p>
    <w:p>
      <w:pPr>
        <w:pStyle w:val="32"/>
        <w:spacing w:line="360" w:lineRule="auto"/>
        <w:ind w:firstLine="0" w:firstLineChars="0"/>
        <w:jc w:val="center"/>
        <w:rPr>
          <w:rFonts w:hint="eastAsia" w:asciiTheme="minorEastAsia" w:hAnsiTheme="minorEastAsia" w:eastAsiaTheme="minorEastAsia" w:cstheme="minorEastAsia"/>
          <w:b/>
          <w:lang w:val="en-US" w:eastAsia="zh-CN"/>
        </w:rPr>
      </w:pPr>
      <w:r>
        <w:rPr>
          <w:rFonts w:hint="eastAsia" w:asciiTheme="minorEastAsia" w:hAnsiTheme="minorEastAsia" w:eastAsiaTheme="minorEastAsia" w:cstheme="minorEastAsia"/>
          <w:b/>
        </w:rPr>
        <w:t>经济标目</w:t>
      </w:r>
      <w:r>
        <w:rPr>
          <w:rFonts w:hint="eastAsia" w:asciiTheme="minorEastAsia" w:hAnsiTheme="minorEastAsia" w:eastAsiaTheme="minorEastAsia" w:cstheme="minorEastAsia"/>
          <w:b/>
          <w:lang w:val="en-US" w:eastAsia="zh-CN"/>
        </w:rPr>
        <w:t>录</w:t>
      </w:r>
    </w:p>
    <w:p>
      <w:pPr>
        <w:spacing w:line="360" w:lineRule="auto"/>
        <w:ind w:firstLine="420" w:firstLineChars="200"/>
        <w:rPr>
          <w:rFonts w:asciiTheme="minorEastAsia" w:hAnsiTheme="minorEastAsia" w:eastAsiaTheme="minorEastAsia" w:cstheme="minorEastAsia"/>
        </w:rPr>
      </w:pPr>
      <w:r>
        <w:rPr>
          <w:rFonts w:hint="eastAsia" w:asciiTheme="minorEastAsia" w:hAnsiTheme="minorEastAsia" w:eastAsiaTheme="minorEastAsia" w:cstheme="minorEastAsia"/>
        </w:rPr>
        <w:t>注：以工程量清单为依据编制</w:t>
      </w:r>
    </w:p>
    <w:p>
      <w:pPr>
        <w:pStyle w:val="32"/>
        <w:spacing w:line="480" w:lineRule="exact"/>
        <w:ind w:firstLine="0" w:firstLineChars="0"/>
        <w:jc w:val="center"/>
        <w:rPr>
          <w:rFonts w:asciiTheme="minorEastAsia" w:hAnsiTheme="minorEastAsia" w:eastAsiaTheme="minorEastAsia" w:cstheme="minorEastAsia"/>
          <w:b/>
        </w:rPr>
      </w:pPr>
      <w:r>
        <w:rPr>
          <w:rFonts w:hint="eastAsia" w:asciiTheme="minorEastAsia" w:hAnsiTheme="minorEastAsia" w:eastAsiaTheme="minorEastAsia" w:cstheme="minorEastAsia"/>
        </w:rPr>
        <w:t xml:space="preserve"> </w:t>
      </w: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rPr>
        <w:t>投 标 总 价</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招     标    人：</w:t>
      </w:r>
      <w:r>
        <w:rPr>
          <w:rFonts w:hint="eastAsia" w:asciiTheme="minorEastAsia" w:hAnsiTheme="minorEastAsia" w:eastAsiaTheme="minorEastAsia" w:cstheme="minorEastAsia"/>
          <w:u w:val="single"/>
        </w:rPr>
        <w:t xml:space="preserve">                                                         </w:t>
      </w: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工   程  名  称：</w:t>
      </w:r>
      <w:r>
        <w:rPr>
          <w:rFonts w:hint="eastAsia" w:asciiTheme="minorEastAsia" w:hAnsiTheme="minorEastAsia" w:eastAsiaTheme="minorEastAsia" w:cstheme="minorEastAsia"/>
          <w:u w:val="single"/>
        </w:rPr>
        <w:t xml:space="preserve">                                                         </w:t>
      </w: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投标总价（小写）：</w:t>
      </w:r>
      <w:r>
        <w:rPr>
          <w:rFonts w:hint="eastAsia" w:asciiTheme="minorEastAsia" w:hAnsiTheme="minorEastAsia" w:eastAsiaTheme="minorEastAsia" w:cstheme="minorEastAsia"/>
          <w:u w:val="single"/>
        </w:rPr>
        <w:t xml:space="preserve">                                                         </w:t>
      </w:r>
    </w:p>
    <w:p>
      <w:pPr>
        <w:pStyle w:val="32"/>
        <w:spacing w:line="480" w:lineRule="exact"/>
        <w:ind w:left="840"/>
        <w:rPr>
          <w:rFonts w:asciiTheme="minorEastAsia" w:hAnsiTheme="minorEastAsia" w:eastAsiaTheme="minorEastAsia" w:cstheme="minorEastAsia"/>
        </w:rPr>
      </w:pPr>
      <w:r>
        <w:rPr>
          <w:rFonts w:hint="eastAsia" w:asciiTheme="minorEastAsia" w:hAnsiTheme="minorEastAsia" w:eastAsiaTheme="minorEastAsia" w:cstheme="minorEastAsia"/>
        </w:rPr>
        <w:t xml:space="preserve">（大写） </w:t>
      </w:r>
      <w:r>
        <w:rPr>
          <w:rFonts w:hint="eastAsia" w:asciiTheme="minorEastAsia" w:hAnsiTheme="minorEastAsia" w:eastAsiaTheme="minorEastAsia" w:cstheme="minorEastAsia"/>
          <w:u w:val="single"/>
        </w:rPr>
        <w:t xml:space="preserve">                                                         </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投    标    人：</w:t>
      </w:r>
      <w:r>
        <w:rPr>
          <w:rFonts w:hint="eastAsia" w:asciiTheme="minorEastAsia" w:hAnsiTheme="minorEastAsia" w:eastAsiaTheme="minorEastAsia" w:cstheme="minorEastAsia"/>
          <w:u w:val="single"/>
        </w:rPr>
        <w:t xml:space="preserve">                                                          </w:t>
      </w:r>
    </w:p>
    <w:p>
      <w:pPr>
        <w:spacing w:line="480" w:lineRule="exact"/>
        <w:ind w:firstLine="525" w:firstLineChars="250"/>
        <w:jc w:val="left"/>
        <w:rPr>
          <w:rFonts w:asciiTheme="minorEastAsia" w:hAnsiTheme="minorEastAsia" w:eastAsiaTheme="minorEastAsia" w:cstheme="minorEastAsia"/>
        </w:rPr>
      </w:pPr>
      <w:r>
        <w:rPr>
          <w:rFonts w:hint="eastAsia" w:asciiTheme="minorEastAsia" w:hAnsiTheme="minorEastAsia" w:eastAsiaTheme="minorEastAsia" w:cstheme="minorEastAsia"/>
        </w:rPr>
        <w:t>（单位盖章）</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法定代表人或其授权人：</w:t>
      </w:r>
      <w:r>
        <w:rPr>
          <w:rFonts w:hint="eastAsia" w:asciiTheme="minorEastAsia" w:hAnsiTheme="minorEastAsia" w:eastAsiaTheme="minorEastAsia" w:cstheme="minorEastAsia"/>
          <w:u w:val="single"/>
        </w:rPr>
        <w:t xml:space="preserve">                                                    </w:t>
      </w:r>
    </w:p>
    <w:p>
      <w:pPr>
        <w:pStyle w:val="32"/>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（签字或盖章）</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编    制    人：</w:t>
      </w:r>
      <w:r>
        <w:rPr>
          <w:rFonts w:hint="eastAsia" w:asciiTheme="minorEastAsia" w:hAnsiTheme="minorEastAsia" w:eastAsiaTheme="minorEastAsia" w:cstheme="minorEastAsia"/>
          <w:u w:val="single"/>
        </w:rPr>
        <w:t xml:space="preserve">                                                          </w:t>
      </w:r>
    </w:p>
    <w:p>
      <w:pPr>
        <w:pStyle w:val="32"/>
        <w:spacing w:line="480" w:lineRule="exact"/>
        <w:ind w:firstLine="525" w:firstLineChars="250"/>
        <w:rPr>
          <w:rFonts w:asciiTheme="minorEastAsia" w:hAnsiTheme="minorEastAsia" w:eastAsiaTheme="minorEastAsia" w:cstheme="minorEastAsia"/>
        </w:rPr>
      </w:pPr>
      <w:r>
        <w:rPr>
          <w:rFonts w:hint="eastAsia" w:asciiTheme="minorEastAsia" w:hAnsiTheme="minorEastAsia" w:eastAsiaTheme="minorEastAsia" w:cstheme="minorEastAsia"/>
        </w:rPr>
        <w:t>（造价人员签字并盖专用章）</w:t>
      </w: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p>
    <w:p>
      <w:pPr>
        <w:pStyle w:val="32"/>
        <w:spacing w:line="480" w:lineRule="exact"/>
        <w:rPr>
          <w:rFonts w:asciiTheme="minorEastAsia" w:hAnsiTheme="minorEastAsia" w:eastAsiaTheme="minorEastAsia" w:cstheme="minorEastAsia"/>
        </w:rPr>
      </w:pPr>
      <w:r>
        <w:rPr>
          <w:rFonts w:hint="eastAsia" w:asciiTheme="minorEastAsia" w:hAnsiTheme="minorEastAsia" w:eastAsiaTheme="minorEastAsia" w:cstheme="minorEastAsia"/>
        </w:rPr>
        <w:t xml:space="preserve">编 制 时 间: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 xml:space="preserve"> 年</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日</w:t>
      </w:r>
    </w:p>
    <w:p>
      <w:pPr>
        <w:autoSpaceDE w:val="0"/>
        <w:autoSpaceDN w:val="0"/>
        <w:adjustRightInd w:val="0"/>
        <w:spacing w:line="360" w:lineRule="auto"/>
        <w:ind w:firstLine="630" w:firstLineChars="300"/>
        <w:jc w:val="center"/>
        <w:rPr>
          <w:rFonts w:asciiTheme="minorEastAsia" w:hAnsiTheme="minorEastAsia" w:eastAsiaTheme="minorEastAsia" w:cstheme="minorEastAsia"/>
          <w:b/>
          <w:bCs/>
          <w:sz w:val="44"/>
          <w:szCs w:val="44"/>
          <w:lang w:val="zh-CN"/>
        </w:rPr>
      </w:pPr>
      <w:r>
        <w:rPr>
          <w:rFonts w:hint="eastAsia" w:asciiTheme="minorEastAsia" w:hAnsiTheme="minorEastAsia" w:eastAsiaTheme="minorEastAsia" w:cstheme="minorEastAsia"/>
        </w:rPr>
        <w:br w:type="page"/>
      </w:r>
      <w:r>
        <w:rPr>
          <w:rFonts w:hint="eastAsia" w:asciiTheme="minorEastAsia" w:hAnsiTheme="minorEastAsia" w:eastAsiaTheme="minorEastAsia" w:cstheme="minorEastAsia"/>
          <w:b/>
          <w:bCs/>
          <w:sz w:val="32"/>
          <w:szCs w:val="32"/>
        </w:rPr>
        <w:t>第六章  补充条款</w:t>
      </w:r>
    </w:p>
    <w:p>
      <w:pPr>
        <w:pStyle w:val="5"/>
        <w:spacing w:line="360" w:lineRule="auto"/>
        <w:rPr>
          <w:sz w:val="30"/>
          <w:szCs w:val="30"/>
        </w:rPr>
      </w:pPr>
      <w:bookmarkStart w:id="694" w:name="_Toc28554"/>
      <w:bookmarkStart w:id="695" w:name="_Toc13390"/>
      <w:bookmarkStart w:id="696" w:name="_Toc2229"/>
      <w:bookmarkStart w:id="697" w:name="_Toc9314_WPSOffice_Level1"/>
      <w:bookmarkStart w:id="698" w:name="_Toc12061"/>
      <w:r>
        <w:rPr>
          <w:rFonts w:hint="eastAsia"/>
          <w:sz w:val="30"/>
          <w:szCs w:val="30"/>
        </w:rPr>
        <w:t>附表1：</w:t>
      </w:r>
      <w:bookmarkStart w:id="699" w:name="_Toc10406"/>
      <w:r>
        <w:rPr>
          <w:rFonts w:hint="eastAsia"/>
          <w:sz w:val="30"/>
          <w:szCs w:val="30"/>
        </w:rPr>
        <w:t>磋商响应二次报价表</w:t>
      </w:r>
      <w:bookmarkEnd w:id="694"/>
      <w:bookmarkEnd w:id="695"/>
      <w:bookmarkEnd w:id="696"/>
      <w:bookmarkEnd w:id="697"/>
      <w:bookmarkEnd w:id="698"/>
      <w:bookmarkEnd w:id="699"/>
    </w:p>
    <w:p>
      <w:pPr>
        <w:autoSpaceDE w:val="0"/>
        <w:autoSpaceDN w:val="0"/>
        <w:spacing w:line="360" w:lineRule="auto"/>
        <w:rPr>
          <w:rFonts w:ascii="宋体" w:hAnsi="宋体" w:cs="宋体"/>
          <w:sz w:val="24"/>
          <w:szCs w:val="24"/>
          <w:lang w:val="zh-CN"/>
        </w:rPr>
      </w:pPr>
      <w:r>
        <w:rPr>
          <w:rFonts w:hint="eastAsia" w:ascii="宋体" w:hAnsi="宋体" w:cs="宋体"/>
          <w:sz w:val="24"/>
          <w:szCs w:val="24"/>
        </w:rPr>
        <w:t xml:space="preserve">项目名称：                 </w:t>
      </w:r>
      <w:r>
        <w:rPr>
          <w:rFonts w:hint="eastAsia" w:ascii="宋体" w:hAnsi="宋体" w:cs="宋体"/>
          <w:sz w:val="24"/>
          <w:szCs w:val="24"/>
          <w:lang w:val="zh-CN"/>
        </w:rPr>
        <w:t>招标编号：</w:t>
      </w:r>
      <w:r>
        <w:rPr>
          <w:rFonts w:hint="eastAsia" w:ascii="宋体" w:hAnsi="宋体" w:cs="宋体"/>
          <w:sz w:val="24"/>
          <w:szCs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1"/>
        <w:gridCol w:w="2106"/>
        <w:gridCol w:w="57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序号</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条款名称</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内</w:t>
            </w:r>
            <w:r>
              <w:rPr>
                <w:rFonts w:hint="eastAsia" w:ascii="宋体" w:hAnsi="宋体" w:cs="宋体"/>
                <w:sz w:val="24"/>
                <w:szCs w:val="24"/>
              </w:rPr>
              <w:t xml:space="preserve">  </w:t>
            </w:r>
            <w:r>
              <w:rPr>
                <w:rFonts w:hint="eastAsia" w:ascii="宋体" w:hAnsi="宋体" w:cs="宋体"/>
                <w:sz w:val="24"/>
                <w:szCs w:val="24"/>
                <w:lang w:val="zh-CN"/>
              </w:rPr>
              <w:t>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1</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质量目标</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2</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lang w:val="zh-CN"/>
              </w:rPr>
              <w:t>项目负责人</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r>
              <w:rPr>
                <w:rFonts w:hint="eastAsia" w:ascii="宋体" w:hAnsi="宋体" w:cs="宋体"/>
                <w:sz w:val="24"/>
                <w:szCs w:val="24"/>
              </w:rPr>
              <w:t>3</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rPr>
            </w:pPr>
            <w:r>
              <w:rPr>
                <w:rFonts w:hint="eastAsia" w:ascii="宋体" w:hAnsi="宋体" w:cs="宋体"/>
                <w:sz w:val="24"/>
                <w:szCs w:val="24"/>
              </w:rPr>
              <w:t>计划工期</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4</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highlight w:val="yellow"/>
                <w:lang w:val="zh-CN"/>
              </w:rPr>
            </w:pPr>
            <w:r>
              <w:rPr>
                <w:rFonts w:hint="eastAsia" w:ascii="宋体" w:hAnsi="宋体" w:cs="宋体"/>
                <w:sz w:val="24"/>
                <w:szCs w:val="24"/>
                <w:lang w:val="en-US" w:eastAsia="zh-CN"/>
              </w:rPr>
              <w:t>项目</w:t>
            </w:r>
            <w:r>
              <w:rPr>
                <w:rFonts w:hint="eastAsia" w:ascii="宋体" w:hAnsi="宋体" w:cs="宋体"/>
                <w:sz w:val="24"/>
                <w:szCs w:val="24"/>
              </w:rPr>
              <w:t>地点</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1"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rPr>
              <w:t>5</w:t>
            </w:r>
          </w:p>
        </w:tc>
        <w:tc>
          <w:tcPr>
            <w:tcW w:w="2106"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sz w:val="24"/>
                <w:szCs w:val="24"/>
                <w:lang w:val="zh-CN"/>
              </w:rPr>
              <w:t>投标总价</w:t>
            </w:r>
          </w:p>
        </w:tc>
        <w:tc>
          <w:tcPr>
            <w:tcW w:w="5752"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left"/>
              <w:rPr>
                <w:rFonts w:ascii="宋体" w:hAnsi="宋体" w:cs="宋体"/>
                <w:sz w:val="24"/>
                <w:szCs w:val="24"/>
                <w:lang w:val="zh-CN"/>
              </w:rPr>
            </w:pPr>
            <w:r>
              <w:rPr>
                <w:rFonts w:hint="eastAsia" w:hAnsi="宋体" w:cs="宋体"/>
                <w:sz w:val="24"/>
                <w:szCs w:val="24"/>
              </w:rPr>
              <w:t>大写：</w:t>
            </w:r>
            <w:r>
              <w:rPr>
                <w:rFonts w:hint="eastAsia" w:hAnsi="宋体" w:cs="宋体"/>
                <w:sz w:val="24"/>
                <w:szCs w:val="24"/>
                <w:u w:val="single"/>
              </w:rPr>
              <w:t xml:space="preserve">                               </w:t>
            </w:r>
          </w:p>
          <w:p>
            <w:pPr>
              <w:autoSpaceDE w:val="0"/>
              <w:autoSpaceDN w:val="0"/>
              <w:spacing w:line="360" w:lineRule="auto"/>
              <w:jc w:val="left"/>
              <w:rPr>
                <w:rFonts w:ascii="宋体" w:hAnsi="宋体" w:cs="宋体"/>
                <w:sz w:val="24"/>
                <w:szCs w:val="24"/>
                <w:lang w:val="zh-CN"/>
              </w:rPr>
            </w:pPr>
            <w:r>
              <w:rPr>
                <w:rFonts w:hint="eastAsia" w:hAnsi="宋体" w:cs="宋体"/>
                <w:sz w:val="24"/>
                <w:szCs w:val="24"/>
              </w:rPr>
              <w:t>小写：</w:t>
            </w:r>
            <w:r>
              <w:rPr>
                <w:rFonts w:hint="eastAsia" w:hAnsi="宋体" w:cs="宋体"/>
                <w:sz w:val="24"/>
                <w:szCs w:val="24"/>
                <w:u w:val="single"/>
              </w:rPr>
              <w:t xml:space="preserve">                              </w:t>
            </w:r>
            <w:r>
              <w:rPr>
                <w:rFonts w:hint="eastAsia" w:hAnsi="宋体" w:cs="宋体"/>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2" w:hRule="atLeast"/>
          <w:jc w:val="center"/>
        </w:trPr>
        <w:tc>
          <w:tcPr>
            <w:tcW w:w="1301" w:type="dxa"/>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ascii="宋体" w:hAnsi="宋体" w:cs="宋体"/>
                <w:sz w:val="24"/>
                <w:szCs w:val="24"/>
              </w:rPr>
            </w:pPr>
            <w:r>
              <w:rPr>
                <w:rFonts w:hint="eastAsia" w:ascii="宋体" w:hAnsi="宋体" w:cs="宋体"/>
                <w:color w:val="000000"/>
                <w:kern w:val="0"/>
                <w:sz w:val="24"/>
              </w:rPr>
              <w:t>其他承诺（及答疑）事项：</w:t>
            </w:r>
            <w:r>
              <w:rPr>
                <w:rFonts w:hint="eastAsia" w:ascii="宋体" w:hAnsi="宋体" w:cs="宋体"/>
                <w:sz w:val="24"/>
                <w:szCs w:val="24"/>
              </w:rPr>
              <w:t xml:space="preserve"> </w:t>
            </w:r>
          </w:p>
        </w:tc>
        <w:tc>
          <w:tcPr>
            <w:tcW w:w="7857"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spacing w:line="360" w:lineRule="auto"/>
              <w:jc w:val="center"/>
              <w:rPr>
                <w:rFonts w:hAnsi="宋体" w:cs="宋体"/>
                <w:sz w:val="24"/>
                <w:szCs w:val="24"/>
              </w:rPr>
            </w:pPr>
          </w:p>
        </w:tc>
      </w:tr>
    </w:tbl>
    <w:p>
      <w:pPr>
        <w:spacing w:line="360" w:lineRule="auto"/>
        <w:ind w:firstLine="480" w:firstLineChars="200"/>
        <w:jc w:val="left"/>
        <w:rPr>
          <w:rFonts w:ascii="宋体" w:hAnsi="宋体" w:cs="宋体"/>
          <w:sz w:val="24"/>
          <w:szCs w:val="24"/>
        </w:rPr>
      </w:pPr>
      <w:r>
        <w:rPr>
          <w:rFonts w:hint="eastAsia" w:ascii="宋体" w:hAnsi="宋体" w:cs="宋体"/>
          <w:sz w:val="24"/>
          <w:szCs w:val="24"/>
        </w:rPr>
        <w:t>投标单位（公章）：</w:t>
      </w:r>
    </w:p>
    <w:p>
      <w:pPr>
        <w:pStyle w:val="15"/>
        <w:spacing w:line="360" w:lineRule="auto"/>
      </w:pPr>
    </w:p>
    <w:p>
      <w:pPr>
        <w:spacing w:line="360" w:lineRule="auto"/>
        <w:ind w:firstLine="480" w:firstLineChars="200"/>
        <w:jc w:val="left"/>
        <w:rPr>
          <w:rFonts w:ascii="宋体" w:hAnsi="宋体" w:cs="宋体"/>
          <w:sz w:val="24"/>
          <w:szCs w:val="24"/>
        </w:rPr>
      </w:pPr>
      <w:r>
        <w:rPr>
          <w:rFonts w:hint="eastAsia" w:ascii="宋体" w:hAnsi="宋体" w:cs="宋体"/>
          <w:sz w:val="24"/>
          <w:szCs w:val="24"/>
        </w:rPr>
        <w:t>法定代表人（或授权委托人）签字：</w:t>
      </w:r>
    </w:p>
    <w:p>
      <w:pPr>
        <w:spacing w:line="360" w:lineRule="auto"/>
        <w:ind w:firstLine="480" w:firstLineChars="200"/>
        <w:jc w:val="right"/>
        <w:rPr>
          <w:rFonts w:ascii="宋体" w:hAnsi="宋体" w:cs="宋体"/>
          <w:bCs/>
          <w:kern w:val="44"/>
          <w:sz w:val="24"/>
          <w:szCs w:val="24"/>
        </w:rPr>
      </w:pPr>
      <w:r>
        <w:rPr>
          <w:rFonts w:hint="eastAsia" w:ascii="宋体" w:hAnsi="宋体" w:cs="宋体"/>
          <w:bCs/>
          <w:kern w:val="44"/>
          <w:sz w:val="24"/>
          <w:szCs w:val="24"/>
        </w:rPr>
        <w:t>年  月  日</w:t>
      </w:r>
    </w:p>
    <w:p>
      <w:pPr>
        <w:pageBreakBefore w:val="0"/>
        <w:widowControl w:val="0"/>
        <w:kinsoku/>
        <w:wordWrap/>
        <w:overflowPunct/>
        <w:topLinePunct w:val="0"/>
        <w:bidi w:val="0"/>
        <w:spacing w:line="400" w:lineRule="exact"/>
        <w:textAlignment w:val="auto"/>
        <w:rPr>
          <w:rFonts w:hint="eastAsia" w:ascii="宋体" w:hAnsi="宋体" w:cs="Times New Roman"/>
          <w:b/>
          <w:bCs/>
          <w:sz w:val="24"/>
        </w:rPr>
      </w:pPr>
      <w:r>
        <w:rPr>
          <w:rFonts w:hint="eastAsia" w:ascii="宋体" w:hAnsi="宋体"/>
          <w:b/>
          <w:bCs/>
          <w:sz w:val="24"/>
        </w:rPr>
        <w:t>1、上述报价为提供本次</w:t>
      </w:r>
      <w:r>
        <w:rPr>
          <w:rFonts w:hint="eastAsia" w:ascii="宋体" w:hAnsi="宋体"/>
          <w:b/>
          <w:bCs/>
          <w:sz w:val="24"/>
          <w:szCs w:val="22"/>
        </w:rPr>
        <w:t>项目所有内容的总价格</w:t>
      </w:r>
      <w:r>
        <w:rPr>
          <w:rFonts w:hint="eastAsia" w:ascii="宋体" w:hAnsi="宋体" w:cs="宋体"/>
          <w:b/>
          <w:bCs/>
          <w:kern w:val="44"/>
          <w:sz w:val="24"/>
          <w:szCs w:val="24"/>
        </w:rPr>
        <w:t>（含税金、运费、配合验收和后续服务费等的全部费用）</w:t>
      </w:r>
      <w:r>
        <w:rPr>
          <w:rFonts w:hint="eastAsia" w:ascii="宋体" w:hAnsi="宋体"/>
          <w:b/>
          <w:bCs/>
          <w:sz w:val="24"/>
          <w:szCs w:val="22"/>
        </w:rPr>
        <w:t>；</w:t>
      </w:r>
    </w:p>
    <w:p>
      <w:pPr>
        <w:pageBreakBefore w:val="0"/>
        <w:widowControl w:val="0"/>
        <w:kinsoku/>
        <w:wordWrap/>
        <w:overflowPunct/>
        <w:topLinePunct w:val="0"/>
        <w:bidi w:val="0"/>
        <w:spacing w:line="400" w:lineRule="exact"/>
        <w:textAlignment w:val="auto"/>
        <w:rPr>
          <w:rFonts w:hint="eastAsia" w:ascii="宋体" w:hAnsi="宋体" w:cs="Times New Roman"/>
          <w:b/>
          <w:bCs/>
          <w:sz w:val="24"/>
        </w:rPr>
      </w:pPr>
      <w:r>
        <w:rPr>
          <w:rFonts w:hint="eastAsia" w:ascii="宋体" w:hAnsi="宋体" w:cs="Times New Roman"/>
          <w:b/>
          <w:bCs/>
          <w:sz w:val="24"/>
        </w:rPr>
        <w:t>2、竞争性磋商采用两次报价的方式。</w:t>
      </w:r>
    </w:p>
    <w:p>
      <w:pPr>
        <w:pageBreakBefore w:val="0"/>
        <w:widowControl w:val="0"/>
        <w:kinsoku/>
        <w:wordWrap/>
        <w:overflowPunct/>
        <w:topLinePunct w:val="0"/>
        <w:bidi w:val="0"/>
        <w:spacing w:line="400" w:lineRule="exact"/>
        <w:textAlignment w:val="auto"/>
      </w:pPr>
      <w:r>
        <w:rPr>
          <w:rFonts w:hint="eastAsia" w:ascii="宋体" w:hAnsi="宋体" w:cs="Times New Roman"/>
          <w:b/>
          <w:bCs/>
          <w:sz w:val="24"/>
          <w:lang w:val="en-US" w:eastAsia="zh-CN"/>
        </w:rPr>
        <w:t>开启第二轮报价环节后，各供应商应尽快在政采云系统提交各自的二轮报价，超过30分钟（自代理机构开启第二轮报价环节起计算）未提交二轮报价的视为放弃投标。敬请注意！！！整个开标环节需要供应商在系统确认的报价等信息最长时限均为30分钟。敬请注意！！！</w:t>
      </w:r>
    </w:p>
    <w:sectPr>
      <w:footerReference r:id="rId8" w:type="first"/>
      <w:footerReference r:id="rId7" w:type="default"/>
      <w:pgSz w:w="11907" w:h="16840"/>
      <w:pgMar w:top="930" w:right="1366" w:bottom="930" w:left="1366" w:header="851" w:footer="680" w:gutter="0"/>
      <w:pgNumType w:fmt="decimal" w:start="1"/>
      <w:cols w:space="0" w:num="1"/>
      <w:titlePg/>
      <w:rtlGutter w:val="0"/>
      <w:docGrid w:type="lines" w:linePitch="40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2020500000000000000"/>
    <w:charset w:val="88"/>
    <w:family w:val="roman"/>
    <w:pitch w:val="default"/>
    <w:sig w:usb0="00000000" w:usb1="00000000" w:usb2="00000016" w:usb3="00000000" w:csb0="00100001" w:csb1="00000000"/>
  </w:font>
  <w:font w:name="仿宋_GB2312">
    <w:altName w:val="仿宋"/>
    <w:panose1 w:val="02010609030101010101"/>
    <w:charset w:val="86"/>
    <w:family w:val="modern"/>
    <w:pitch w:val="default"/>
    <w:sig w:usb0="00000000" w:usb1="00000000" w:usb2="00000010" w:usb3="00000000" w:csb0="00040000" w:csb1="00000000"/>
  </w:font>
  <w:font w:name="PMingLiU-ExtB">
    <w:panose1 w:val="02020500000000000000"/>
    <w:charset w:val="88"/>
    <w:family w:val="auto"/>
    <w:pitch w:val="default"/>
    <w:sig w:usb0="8000002F" w:usb1="02000008" w:usb2="00000000"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bowdo4AgAAbwQAAA4AAABkcnMvZTJvRG9jLnhtbK1UzY7TMBC+I/EO&#10;lu80bVes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6u3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9ujB2j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right="360"/>
      <w:jc w:val="right"/>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hMuFczgCAABvBAAADgAAAAAAAAABACAAAAAfAQAAZHJzL2Uyb0RvYy54&#10;bWxQSwUGAAAAAAYABgBZAQAAyQU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3</w:t>
                    </w:r>
                    <w:r>
                      <w:fldChar w:fldCharType="end"/>
                    </w:r>
                  </w:p>
                </w:txbxContent>
              </v:textbox>
            </v:shape>
          </w:pict>
        </mc:Fallback>
      </mc:AlternateContent>
    </w:r>
    <w:r>
      <w:rPr>
        <w:lang w:val="zh-CN"/>
      </w:rPr>
      <w:t xml:space="preserve">  </w:t>
    </w:r>
  </w:p>
  <w:p>
    <w:pPr>
      <w:pStyle w:val="12"/>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rPr>
        <w:sz w:val="21"/>
      </w:rPr>
    </w:pPr>
    <w:r>
      <w:rPr>
        <w:rFonts w:hint="eastAsia"/>
        <w:sz w:val="21"/>
        <w:szCs w:val="22"/>
      </w:rPr>
      <w:t xml:space="preserve">    </w:t>
    </w:r>
    <w:r>
      <w:rPr>
        <w:rFonts w:hint="eastAsia"/>
        <w:sz w:val="21"/>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32019B3"/>
    <w:multiLevelType w:val="singleLevel"/>
    <w:tmpl w:val="D32019B3"/>
    <w:lvl w:ilvl="0" w:tentative="0">
      <w:start w:val="1"/>
      <w:numFmt w:val="decimal"/>
      <w:suff w:val="nothing"/>
      <w:lvlText w:val="%1、"/>
      <w:lvlJc w:val="left"/>
    </w:lvl>
  </w:abstractNum>
  <w:abstractNum w:abstractNumId="1">
    <w:nsid w:val="15812A10"/>
    <w:multiLevelType w:val="multilevel"/>
    <w:tmpl w:val="15812A10"/>
    <w:lvl w:ilvl="0" w:tentative="0">
      <w:start w:val="1"/>
      <w:numFmt w:val="upperLetter"/>
      <w:pStyle w:val="7"/>
      <w:lvlText w:val="%1、"/>
      <w:lvlJc w:val="left"/>
      <w:pPr>
        <w:tabs>
          <w:tab w:val="left" w:pos="360"/>
        </w:tabs>
        <w:ind w:left="-150" w:hanging="360"/>
      </w:pPr>
      <w:rPr>
        <w:rFonts w:hint="eastAsia"/>
      </w:rPr>
    </w:lvl>
    <w:lvl w:ilvl="1" w:tentative="0">
      <w:start w:val="1"/>
      <w:numFmt w:val="decimal"/>
      <w:lvlText w:val="%2."/>
      <w:lvlJc w:val="left"/>
      <w:pPr>
        <w:tabs>
          <w:tab w:val="left" w:pos="780"/>
        </w:tabs>
        <w:ind w:left="270" w:hanging="360"/>
      </w:pPr>
      <w:rPr>
        <w:rFonts w:hint="eastAsia"/>
      </w:rPr>
    </w:lvl>
    <w:lvl w:ilvl="2" w:tentative="0">
      <w:start w:val="1"/>
      <w:numFmt w:val="lowerRoman"/>
      <w:lvlText w:val="%3."/>
      <w:lvlJc w:val="right"/>
      <w:pPr>
        <w:tabs>
          <w:tab w:val="left" w:pos="1260"/>
        </w:tabs>
        <w:ind w:left="750" w:hanging="420"/>
      </w:pPr>
    </w:lvl>
    <w:lvl w:ilvl="3" w:tentative="0">
      <w:start w:val="1"/>
      <w:numFmt w:val="decimal"/>
      <w:lvlText w:val="%4."/>
      <w:lvlJc w:val="left"/>
      <w:pPr>
        <w:tabs>
          <w:tab w:val="left" w:pos="1680"/>
        </w:tabs>
        <w:ind w:left="1170" w:hanging="420"/>
      </w:pPr>
    </w:lvl>
    <w:lvl w:ilvl="4" w:tentative="0">
      <w:start w:val="1"/>
      <w:numFmt w:val="lowerLetter"/>
      <w:lvlText w:val="%5)"/>
      <w:lvlJc w:val="left"/>
      <w:pPr>
        <w:tabs>
          <w:tab w:val="left" w:pos="2100"/>
        </w:tabs>
        <w:ind w:left="1590" w:hanging="420"/>
      </w:pPr>
    </w:lvl>
    <w:lvl w:ilvl="5" w:tentative="0">
      <w:start w:val="1"/>
      <w:numFmt w:val="lowerRoman"/>
      <w:lvlText w:val="%6."/>
      <w:lvlJc w:val="right"/>
      <w:pPr>
        <w:tabs>
          <w:tab w:val="left" w:pos="2520"/>
        </w:tabs>
        <w:ind w:left="2010" w:hanging="420"/>
      </w:pPr>
    </w:lvl>
    <w:lvl w:ilvl="6" w:tentative="0">
      <w:start w:val="1"/>
      <w:numFmt w:val="decimal"/>
      <w:lvlText w:val="%7."/>
      <w:lvlJc w:val="left"/>
      <w:pPr>
        <w:tabs>
          <w:tab w:val="left" w:pos="2940"/>
        </w:tabs>
        <w:ind w:left="2430" w:hanging="420"/>
      </w:pPr>
    </w:lvl>
    <w:lvl w:ilvl="7" w:tentative="0">
      <w:start w:val="1"/>
      <w:numFmt w:val="lowerLetter"/>
      <w:lvlText w:val="%8)"/>
      <w:lvlJc w:val="left"/>
      <w:pPr>
        <w:tabs>
          <w:tab w:val="left" w:pos="3360"/>
        </w:tabs>
        <w:ind w:left="2850" w:hanging="420"/>
      </w:pPr>
    </w:lvl>
    <w:lvl w:ilvl="8" w:tentative="0">
      <w:start w:val="1"/>
      <w:numFmt w:val="lowerRoman"/>
      <w:lvlText w:val="%9."/>
      <w:lvlJc w:val="right"/>
      <w:pPr>
        <w:tabs>
          <w:tab w:val="left" w:pos="3780"/>
        </w:tabs>
        <w:ind w:left="3270" w:hanging="420"/>
      </w:pPr>
    </w:lvl>
  </w:abstractNum>
  <w:abstractNum w:abstractNumId="2">
    <w:nsid w:val="38E72660"/>
    <w:multiLevelType w:val="multilevel"/>
    <w:tmpl w:val="38E72660"/>
    <w:lvl w:ilvl="0" w:tentative="0">
      <w:start w:val="1"/>
      <w:numFmt w:val="decimal"/>
      <w:lvlText w:val="%1"/>
      <w:lvlJc w:val="left"/>
      <w:pPr>
        <w:tabs>
          <w:tab w:val="left" w:pos="360"/>
        </w:tabs>
        <w:ind w:left="360" w:hanging="360"/>
      </w:pPr>
      <w:rPr>
        <w:rFonts w:hint="default"/>
      </w:rPr>
    </w:lvl>
    <w:lvl w:ilvl="1" w:tentative="0">
      <w:start w:val="1"/>
      <w:numFmt w:val="decimal"/>
      <w:lvlText w:val="%1.%2"/>
      <w:lvlJc w:val="left"/>
      <w:pPr>
        <w:tabs>
          <w:tab w:val="left" w:pos="360"/>
        </w:tabs>
        <w:ind w:left="360" w:hanging="360"/>
      </w:pPr>
      <w:rPr>
        <w:rFonts w:hint="default"/>
      </w:rPr>
    </w:lvl>
    <w:lvl w:ilvl="2" w:tentative="0">
      <w:start w:val="1"/>
      <w:numFmt w:val="decimal"/>
      <w:lvlText w:val="%1.%2.%3"/>
      <w:lvlJc w:val="left"/>
      <w:pPr>
        <w:tabs>
          <w:tab w:val="left" w:pos="720"/>
        </w:tabs>
        <w:ind w:left="720" w:hanging="720"/>
      </w:pPr>
      <w:rPr>
        <w:rFonts w:hint="default"/>
      </w:rPr>
    </w:lvl>
    <w:lvl w:ilvl="3" w:tentative="0">
      <w:start w:val="1"/>
      <w:numFmt w:val="decimal"/>
      <w:lvlText w:val="%1.%2.%3.%4"/>
      <w:lvlJc w:val="left"/>
      <w:pPr>
        <w:tabs>
          <w:tab w:val="left" w:pos="1080"/>
        </w:tabs>
        <w:ind w:left="1080" w:hanging="1080"/>
      </w:pPr>
      <w:rPr>
        <w:rFonts w:hint="default"/>
      </w:rPr>
    </w:lvl>
    <w:lvl w:ilvl="4" w:tentative="0">
      <w:start w:val="1"/>
      <w:numFmt w:val="decimal"/>
      <w:lvlText w:val="%1.%2.%3.%4.%5"/>
      <w:lvlJc w:val="left"/>
      <w:pPr>
        <w:tabs>
          <w:tab w:val="left" w:pos="1080"/>
        </w:tabs>
        <w:ind w:left="1080" w:hanging="1080"/>
      </w:pPr>
      <w:rPr>
        <w:rFonts w:hint="default"/>
      </w:rPr>
    </w:lvl>
    <w:lvl w:ilvl="5" w:tentative="0">
      <w:start w:val="1"/>
      <w:numFmt w:val="decimal"/>
      <w:lvlText w:val="%1.%2.%3.%4.%5.%6"/>
      <w:lvlJc w:val="left"/>
      <w:pPr>
        <w:tabs>
          <w:tab w:val="left" w:pos="1440"/>
        </w:tabs>
        <w:ind w:left="1440" w:hanging="1440"/>
      </w:pPr>
      <w:rPr>
        <w:rFonts w:hint="default"/>
      </w:rPr>
    </w:lvl>
    <w:lvl w:ilvl="6" w:tentative="0">
      <w:start w:val="1"/>
      <w:numFmt w:val="decimal"/>
      <w:lvlText w:val="%1.%2.%3.%4.%5.%6.%7"/>
      <w:lvlJc w:val="left"/>
      <w:pPr>
        <w:tabs>
          <w:tab w:val="left" w:pos="1440"/>
        </w:tabs>
        <w:ind w:left="1440" w:hanging="1440"/>
      </w:pPr>
      <w:rPr>
        <w:rFonts w:hint="default"/>
      </w:rPr>
    </w:lvl>
    <w:lvl w:ilvl="7" w:tentative="0">
      <w:start w:val="1"/>
      <w:numFmt w:val="decimal"/>
      <w:lvlText w:val="%1.%2.%3.%4.%5.%6.%7.%8"/>
      <w:lvlJc w:val="left"/>
      <w:pPr>
        <w:tabs>
          <w:tab w:val="left" w:pos="1800"/>
        </w:tabs>
        <w:ind w:left="1800" w:hanging="1800"/>
      </w:pPr>
      <w:rPr>
        <w:rFonts w:hint="default"/>
      </w:rPr>
    </w:lvl>
    <w:lvl w:ilvl="8" w:tentative="0">
      <w:start w:val="1"/>
      <w:numFmt w:val="decimal"/>
      <w:lvlText w:val="%1.%2.%3.%4.%5.%6.%7.%8.%9"/>
      <w:lvlJc w:val="left"/>
      <w:pPr>
        <w:tabs>
          <w:tab w:val="left" w:pos="1800"/>
        </w:tabs>
        <w:ind w:left="1800" w:hanging="1800"/>
      </w:pPr>
      <w:rPr>
        <w:rFonts w:hint="default"/>
      </w:rPr>
    </w:lvl>
  </w:abstractNum>
  <w:abstractNum w:abstractNumId="3">
    <w:nsid w:val="44503749"/>
    <w:multiLevelType w:val="singleLevel"/>
    <w:tmpl w:val="44503749"/>
    <w:lvl w:ilvl="0" w:tentative="0">
      <w:start w:val="20"/>
      <w:numFmt w:val="decimal"/>
      <w:suff w:val="space"/>
      <w:lvlText w:val="%1."/>
      <w:lvlJc w:val="left"/>
    </w:lvl>
  </w:abstractNum>
  <w:abstractNum w:abstractNumId="4">
    <w:nsid w:val="5D006C46"/>
    <w:multiLevelType w:val="singleLevel"/>
    <w:tmpl w:val="5D006C46"/>
    <w:lvl w:ilvl="0" w:tentative="0">
      <w:start w:val="1"/>
      <w:numFmt w:val="decimal"/>
      <w:suff w:val="nothing"/>
      <w:lvlText w:val="%1、"/>
      <w:lvlJc w:val="left"/>
    </w:lvl>
  </w:abstractNum>
  <w:abstractNum w:abstractNumId="5">
    <w:nsid w:val="77062BAF"/>
    <w:multiLevelType w:val="singleLevel"/>
    <w:tmpl w:val="77062BAF"/>
    <w:lvl w:ilvl="0" w:tentative="0">
      <w:start w:val="2"/>
      <w:numFmt w:val="decimal"/>
      <w:suff w:val="nothing"/>
      <w:lvlText w:val="%1、"/>
      <w:lvlJc w:val="left"/>
    </w:lvl>
  </w:abstractNum>
  <w:abstractNum w:abstractNumId="6">
    <w:nsid w:val="788C03E3"/>
    <w:multiLevelType w:val="singleLevel"/>
    <w:tmpl w:val="788C03E3"/>
    <w:lvl w:ilvl="0" w:tentative="0">
      <w:start w:val="6"/>
      <w:numFmt w:val="chineseCounting"/>
      <w:suff w:val="space"/>
      <w:lvlText w:val="%1、"/>
      <w:lvlJc w:val="left"/>
      <w:rPr>
        <w:rFonts w:hint="eastAsia"/>
      </w:rPr>
    </w:lvl>
  </w:abstractNum>
  <w:num w:numId="1">
    <w:abstractNumId w:val="1"/>
  </w:num>
  <w:num w:numId="2">
    <w:abstractNumId w:val="5"/>
  </w:num>
  <w:num w:numId="3">
    <w:abstractNumId w:val="2"/>
  </w:num>
  <w:num w:numId="4">
    <w:abstractNumId w:val="3"/>
  </w:num>
  <w:num w:numId="5">
    <w:abstractNumId w:val="4"/>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A5NjBhMDYzY2Y1YjMyYWUzZWViNTM4MGU4NmE2N2QifQ=="/>
  </w:docVars>
  <w:rsids>
    <w:rsidRoot w:val="00000000"/>
    <w:rsid w:val="00101AE9"/>
    <w:rsid w:val="00165FDE"/>
    <w:rsid w:val="00311A5F"/>
    <w:rsid w:val="003B183C"/>
    <w:rsid w:val="003E0508"/>
    <w:rsid w:val="003F62F5"/>
    <w:rsid w:val="004D4AEB"/>
    <w:rsid w:val="004E2611"/>
    <w:rsid w:val="00742040"/>
    <w:rsid w:val="0075194C"/>
    <w:rsid w:val="00920750"/>
    <w:rsid w:val="00994C3E"/>
    <w:rsid w:val="00A12741"/>
    <w:rsid w:val="00AF5F44"/>
    <w:rsid w:val="00C823C4"/>
    <w:rsid w:val="00CC340A"/>
    <w:rsid w:val="00E33EC1"/>
    <w:rsid w:val="00E40880"/>
    <w:rsid w:val="00E740F6"/>
    <w:rsid w:val="00F9257D"/>
    <w:rsid w:val="010D427B"/>
    <w:rsid w:val="011B0BBC"/>
    <w:rsid w:val="01255120"/>
    <w:rsid w:val="012C503B"/>
    <w:rsid w:val="01311D17"/>
    <w:rsid w:val="01341539"/>
    <w:rsid w:val="013E77C3"/>
    <w:rsid w:val="01415CD2"/>
    <w:rsid w:val="014A7C57"/>
    <w:rsid w:val="014B5201"/>
    <w:rsid w:val="016F0A91"/>
    <w:rsid w:val="0192652E"/>
    <w:rsid w:val="019B3634"/>
    <w:rsid w:val="01A7022B"/>
    <w:rsid w:val="01B36BD0"/>
    <w:rsid w:val="01C506B1"/>
    <w:rsid w:val="01DD1E9F"/>
    <w:rsid w:val="01F4536F"/>
    <w:rsid w:val="020834AC"/>
    <w:rsid w:val="02315D47"/>
    <w:rsid w:val="027345B1"/>
    <w:rsid w:val="02897931"/>
    <w:rsid w:val="028B5457"/>
    <w:rsid w:val="028B5A2B"/>
    <w:rsid w:val="02A91D26"/>
    <w:rsid w:val="02AE3C35"/>
    <w:rsid w:val="02B97AB2"/>
    <w:rsid w:val="02CD3CC1"/>
    <w:rsid w:val="02D768EE"/>
    <w:rsid w:val="02E903CF"/>
    <w:rsid w:val="03046E59"/>
    <w:rsid w:val="030B6166"/>
    <w:rsid w:val="03280EF8"/>
    <w:rsid w:val="032A4C70"/>
    <w:rsid w:val="033124A2"/>
    <w:rsid w:val="03451AAA"/>
    <w:rsid w:val="03597146"/>
    <w:rsid w:val="035B4572"/>
    <w:rsid w:val="03655CA8"/>
    <w:rsid w:val="03697D60"/>
    <w:rsid w:val="036A59B4"/>
    <w:rsid w:val="036F6B27"/>
    <w:rsid w:val="037162A7"/>
    <w:rsid w:val="03767C8E"/>
    <w:rsid w:val="03795BF7"/>
    <w:rsid w:val="03817737"/>
    <w:rsid w:val="039F1373"/>
    <w:rsid w:val="03AC1B29"/>
    <w:rsid w:val="03D90444"/>
    <w:rsid w:val="04082AD7"/>
    <w:rsid w:val="040E189C"/>
    <w:rsid w:val="040E4592"/>
    <w:rsid w:val="042479C8"/>
    <w:rsid w:val="04455AD9"/>
    <w:rsid w:val="044E0E32"/>
    <w:rsid w:val="04695E91"/>
    <w:rsid w:val="047006EA"/>
    <w:rsid w:val="048B3E34"/>
    <w:rsid w:val="048C257D"/>
    <w:rsid w:val="04B769D7"/>
    <w:rsid w:val="04F76DD4"/>
    <w:rsid w:val="05180BFB"/>
    <w:rsid w:val="053973EC"/>
    <w:rsid w:val="053A13B6"/>
    <w:rsid w:val="0543590B"/>
    <w:rsid w:val="05545FD4"/>
    <w:rsid w:val="055A55B4"/>
    <w:rsid w:val="056326BB"/>
    <w:rsid w:val="056563D9"/>
    <w:rsid w:val="059960DD"/>
    <w:rsid w:val="05BE5B43"/>
    <w:rsid w:val="05CF7D50"/>
    <w:rsid w:val="05DD246D"/>
    <w:rsid w:val="05E33B33"/>
    <w:rsid w:val="05F41565"/>
    <w:rsid w:val="05F67F28"/>
    <w:rsid w:val="0607573C"/>
    <w:rsid w:val="063E04EE"/>
    <w:rsid w:val="06744454"/>
    <w:rsid w:val="06826B71"/>
    <w:rsid w:val="068943A3"/>
    <w:rsid w:val="06897EFF"/>
    <w:rsid w:val="06930D7E"/>
    <w:rsid w:val="06A905A2"/>
    <w:rsid w:val="06C71043"/>
    <w:rsid w:val="06EB0BBA"/>
    <w:rsid w:val="06FC6923"/>
    <w:rsid w:val="070B6B66"/>
    <w:rsid w:val="072E6CF9"/>
    <w:rsid w:val="07397B77"/>
    <w:rsid w:val="073E518E"/>
    <w:rsid w:val="074924D2"/>
    <w:rsid w:val="075449B1"/>
    <w:rsid w:val="07585B24"/>
    <w:rsid w:val="07702E6D"/>
    <w:rsid w:val="077D5121"/>
    <w:rsid w:val="0784165E"/>
    <w:rsid w:val="07966D78"/>
    <w:rsid w:val="079E16BE"/>
    <w:rsid w:val="07BC5F66"/>
    <w:rsid w:val="07DB29DD"/>
    <w:rsid w:val="07F71FEB"/>
    <w:rsid w:val="086504F8"/>
    <w:rsid w:val="086A69F3"/>
    <w:rsid w:val="086C3CFF"/>
    <w:rsid w:val="088C69DE"/>
    <w:rsid w:val="089E3A0A"/>
    <w:rsid w:val="08A50147"/>
    <w:rsid w:val="08BD0334"/>
    <w:rsid w:val="08EE3C25"/>
    <w:rsid w:val="08F63846"/>
    <w:rsid w:val="0900752E"/>
    <w:rsid w:val="091F2F0A"/>
    <w:rsid w:val="092A5C4E"/>
    <w:rsid w:val="09475E50"/>
    <w:rsid w:val="096E7880"/>
    <w:rsid w:val="098B21E0"/>
    <w:rsid w:val="09AF6451"/>
    <w:rsid w:val="09DC6BE1"/>
    <w:rsid w:val="09F77BDA"/>
    <w:rsid w:val="0A14667A"/>
    <w:rsid w:val="0A2054EB"/>
    <w:rsid w:val="0A244E54"/>
    <w:rsid w:val="0A40121D"/>
    <w:rsid w:val="0A4505E1"/>
    <w:rsid w:val="0A8F3F52"/>
    <w:rsid w:val="0A8F7782"/>
    <w:rsid w:val="0A935528"/>
    <w:rsid w:val="0A956F8C"/>
    <w:rsid w:val="0A982E07"/>
    <w:rsid w:val="0AAE262A"/>
    <w:rsid w:val="0AAF1EFF"/>
    <w:rsid w:val="0AFD1774"/>
    <w:rsid w:val="0B1D50BA"/>
    <w:rsid w:val="0B3A20D5"/>
    <w:rsid w:val="0B8909A2"/>
    <w:rsid w:val="0B9B661D"/>
    <w:rsid w:val="0BB92D4D"/>
    <w:rsid w:val="0BCB0FBA"/>
    <w:rsid w:val="0BE22702"/>
    <w:rsid w:val="0BE61950"/>
    <w:rsid w:val="0C252478"/>
    <w:rsid w:val="0C2801BA"/>
    <w:rsid w:val="0C2A3F33"/>
    <w:rsid w:val="0C477D9B"/>
    <w:rsid w:val="0C550884"/>
    <w:rsid w:val="0C665DD1"/>
    <w:rsid w:val="0CA57A5D"/>
    <w:rsid w:val="0CA75583"/>
    <w:rsid w:val="0CAF1F34"/>
    <w:rsid w:val="0CB832EC"/>
    <w:rsid w:val="0CD45C4C"/>
    <w:rsid w:val="0CEE31B2"/>
    <w:rsid w:val="0CEE6D0E"/>
    <w:rsid w:val="0CF307C8"/>
    <w:rsid w:val="0CF54541"/>
    <w:rsid w:val="0CF602B9"/>
    <w:rsid w:val="0CF85DDF"/>
    <w:rsid w:val="0D2070E4"/>
    <w:rsid w:val="0D307327"/>
    <w:rsid w:val="0D350DE1"/>
    <w:rsid w:val="0D4B360C"/>
    <w:rsid w:val="0D532E09"/>
    <w:rsid w:val="0D562B05"/>
    <w:rsid w:val="0D674D12"/>
    <w:rsid w:val="0D815DD4"/>
    <w:rsid w:val="0D817B82"/>
    <w:rsid w:val="0D8458C4"/>
    <w:rsid w:val="0D870F11"/>
    <w:rsid w:val="0D8C4B4C"/>
    <w:rsid w:val="0D98311E"/>
    <w:rsid w:val="0DA47D15"/>
    <w:rsid w:val="0DC67C8B"/>
    <w:rsid w:val="0DF77E44"/>
    <w:rsid w:val="0E0D7668"/>
    <w:rsid w:val="0E386C82"/>
    <w:rsid w:val="0E3A6219"/>
    <w:rsid w:val="0E466D50"/>
    <w:rsid w:val="0E4C574A"/>
    <w:rsid w:val="0E502A89"/>
    <w:rsid w:val="0E63718C"/>
    <w:rsid w:val="0E6C1257"/>
    <w:rsid w:val="0E9733D5"/>
    <w:rsid w:val="0E9D61FB"/>
    <w:rsid w:val="0EA224A6"/>
    <w:rsid w:val="0ED32660"/>
    <w:rsid w:val="0ED805F3"/>
    <w:rsid w:val="0ED9579C"/>
    <w:rsid w:val="0EDD0CFE"/>
    <w:rsid w:val="0EEA5BFB"/>
    <w:rsid w:val="0EF64702"/>
    <w:rsid w:val="0EFD592E"/>
    <w:rsid w:val="0F1E15DB"/>
    <w:rsid w:val="0F26343A"/>
    <w:rsid w:val="0F264E85"/>
    <w:rsid w:val="0F4826A6"/>
    <w:rsid w:val="0F490B74"/>
    <w:rsid w:val="0F59068B"/>
    <w:rsid w:val="0F6239E3"/>
    <w:rsid w:val="0F6A2898"/>
    <w:rsid w:val="0F6C4862"/>
    <w:rsid w:val="0F7F3ACD"/>
    <w:rsid w:val="0FA1450C"/>
    <w:rsid w:val="0FDE23D0"/>
    <w:rsid w:val="0FE4089C"/>
    <w:rsid w:val="0FF52AA9"/>
    <w:rsid w:val="10060813"/>
    <w:rsid w:val="100B5E29"/>
    <w:rsid w:val="10797237"/>
    <w:rsid w:val="10991687"/>
    <w:rsid w:val="10D66437"/>
    <w:rsid w:val="10D80401"/>
    <w:rsid w:val="10E357C8"/>
    <w:rsid w:val="11090198"/>
    <w:rsid w:val="111725AC"/>
    <w:rsid w:val="111927C8"/>
    <w:rsid w:val="1122167C"/>
    <w:rsid w:val="11396B7C"/>
    <w:rsid w:val="114F61E9"/>
    <w:rsid w:val="117B1F59"/>
    <w:rsid w:val="11B30526"/>
    <w:rsid w:val="11CE2EA1"/>
    <w:rsid w:val="11D34725"/>
    <w:rsid w:val="11ED785C"/>
    <w:rsid w:val="1204448A"/>
    <w:rsid w:val="122145F3"/>
    <w:rsid w:val="122B028A"/>
    <w:rsid w:val="123F625E"/>
    <w:rsid w:val="12443874"/>
    <w:rsid w:val="12594C06"/>
    <w:rsid w:val="126D0054"/>
    <w:rsid w:val="126E2FA3"/>
    <w:rsid w:val="12745F08"/>
    <w:rsid w:val="127952CC"/>
    <w:rsid w:val="12837F21"/>
    <w:rsid w:val="12A71DD0"/>
    <w:rsid w:val="12C549B5"/>
    <w:rsid w:val="12E05BA7"/>
    <w:rsid w:val="12EF558E"/>
    <w:rsid w:val="12F2507E"/>
    <w:rsid w:val="12F92BE7"/>
    <w:rsid w:val="130F4A91"/>
    <w:rsid w:val="131B6383"/>
    <w:rsid w:val="13477178"/>
    <w:rsid w:val="134A4EBA"/>
    <w:rsid w:val="137A50AD"/>
    <w:rsid w:val="13BF7187"/>
    <w:rsid w:val="14052375"/>
    <w:rsid w:val="14104F23"/>
    <w:rsid w:val="14172FEE"/>
    <w:rsid w:val="142B7C44"/>
    <w:rsid w:val="143B080B"/>
    <w:rsid w:val="144813FA"/>
    <w:rsid w:val="144933C4"/>
    <w:rsid w:val="144B2C98"/>
    <w:rsid w:val="144C2135"/>
    <w:rsid w:val="14524026"/>
    <w:rsid w:val="14537D9F"/>
    <w:rsid w:val="147E12BF"/>
    <w:rsid w:val="14901F58"/>
    <w:rsid w:val="149F1820"/>
    <w:rsid w:val="14B30CFC"/>
    <w:rsid w:val="14B940A6"/>
    <w:rsid w:val="14DC167C"/>
    <w:rsid w:val="14DC1B42"/>
    <w:rsid w:val="14E629C1"/>
    <w:rsid w:val="14F275B8"/>
    <w:rsid w:val="14F72E20"/>
    <w:rsid w:val="14F72E4B"/>
    <w:rsid w:val="15347BD0"/>
    <w:rsid w:val="153951E6"/>
    <w:rsid w:val="155E69FB"/>
    <w:rsid w:val="15683ADB"/>
    <w:rsid w:val="15703F37"/>
    <w:rsid w:val="157543DA"/>
    <w:rsid w:val="157A2AA0"/>
    <w:rsid w:val="15842905"/>
    <w:rsid w:val="15866A40"/>
    <w:rsid w:val="15875F52"/>
    <w:rsid w:val="15955FDF"/>
    <w:rsid w:val="15977552"/>
    <w:rsid w:val="1598015F"/>
    <w:rsid w:val="15A56870"/>
    <w:rsid w:val="15A87DA9"/>
    <w:rsid w:val="15C26F8A"/>
    <w:rsid w:val="15CF00F6"/>
    <w:rsid w:val="160E6673"/>
    <w:rsid w:val="162B123C"/>
    <w:rsid w:val="163A1216"/>
    <w:rsid w:val="16571DC8"/>
    <w:rsid w:val="165D4F05"/>
    <w:rsid w:val="165E3157"/>
    <w:rsid w:val="16690B60"/>
    <w:rsid w:val="16704C38"/>
    <w:rsid w:val="16726C02"/>
    <w:rsid w:val="167C74F9"/>
    <w:rsid w:val="169A7F07"/>
    <w:rsid w:val="16A9014A"/>
    <w:rsid w:val="16D251F1"/>
    <w:rsid w:val="16DF21A4"/>
    <w:rsid w:val="16F45869"/>
    <w:rsid w:val="16F75359"/>
    <w:rsid w:val="16F92E7F"/>
    <w:rsid w:val="17244A62"/>
    <w:rsid w:val="172607E9"/>
    <w:rsid w:val="17285CFC"/>
    <w:rsid w:val="17377504"/>
    <w:rsid w:val="173B7154"/>
    <w:rsid w:val="1740285C"/>
    <w:rsid w:val="174C7453"/>
    <w:rsid w:val="177026D1"/>
    <w:rsid w:val="177644D0"/>
    <w:rsid w:val="17771FF6"/>
    <w:rsid w:val="17880B43"/>
    <w:rsid w:val="178A613A"/>
    <w:rsid w:val="17AA23CB"/>
    <w:rsid w:val="17AF79E2"/>
    <w:rsid w:val="17FC2D33"/>
    <w:rsid w:val="182A43C3"/>
    <w:rsid w:val="1844012A"/>
    <w:rsid w:val="184B770B"/>
    <w:rsid w:val="188624F1"/>
    <w:rsid w:val="18BA744E"/>
    <w:rsid w:val="18DF7E53"/>
    <w:rsid w:val="18E216F1"/>
    <w:rsid w:val="18EE6DBA"/>
    <w:rsid w:val="19076B19"/>
    <w:rsid w:val="19121D33"/>
    <w:rsid w:val="193C34F7"/>
    <w:rsid w:val="19636CD6"/>
    <w:rsid w:val="1969163D"/>
    <w:rsid w:val="196F567B"/>
    <w:rsid w:val="1989663F"/>
    <w:rsid w:val="19AC3FDB"/>
    <w:rsid w:val="19B94B48"/>
    <w:rsid w:val="19B96B20"/>
    <w:rsid w:val="19D35C0A"/>
    <w:rsid w:val="1A330456"/>
    <w:rsid w:val="1A361CF4"/>
    <w:rsid w:val="1A587EBD"/>
    <w:rsid w:val="1A5D1977"/>
    <w:rsid w:val="1A6D2496"/>
    <w:rsid w:val="1A7B1DFD"/>
    <w:rsid w:val="1A7C7171"/>
    <w:rsid w:val="1AA475A6"/>
    <w:rsid w:val="1AA834A5"/>
    <w:rsid w:val="1ADF725C"/>
    <w:rsid w:val="1AE14356"/>
    <w:rsid w:val="1B0342CC"/>
    <w:rsid w:val="1B26620D"/>
    <w:rsid w:val="1B283D33"/>
    <w:rsid w:val="1B3C7D16"/>
    <w:rsid w:val="1B4E5E97"/>
    <w:rsid w:val="1B9F3FD2"/>
    <w:rsid w:val="1BB13D28"/>
    <w:rsid w:val="1BB77A15"/>
    <w:rsid w:val="1C0D6A01"/>
    <w:rsid w:val="1C1147C7"/>
    <w:rsid w:val="1C1327B8"/>
    <w:rsid w:val="1C1B73F4"/>
    <w:rsid w:val="1C2105F5"/>
    <w:rsid w:val="1C250273"/>
    <w:rsid w:val="1C3E30E2"/>
    <w:rsid w:val="1C3F7FCB"/>
    <w:rsid w:val="1C60574F"/>
    <w:rsid w:val="1C632B49"/>
    <w:rsid w:val="1C7B4336"/>
    <w:rsid w:val="1C8147CC"/>
    <w:rsid w:val="1C9D42AD"/>
    <w:rsid w:val="1CDD6D9F"/>
    <w:rsid w:val="1D300C7D"/>
    <w:rsid w:val="1D314A2B"/>
    <w:rsid w:val="1D3421EE"/>
    <w:rsid w:val="1D37200B"/>
    <w:rsid w:val="1D3F35B6"/>
    <w:rsid w:val="1D464944"/>
    <w:rsid w:val="1D6D58FA"/>
    <w:rsid w:val="1DA84CB7"/>
    <w:rsid w:val="1DAA4ED3"/>
    <w:rsid w:val="1DBE272D"/>
    <w:rsid w:val="1DD55EB7"/>
    <w:rsid w:val="1DF13F4F"/>
    <w:rsid w:val="1E1E766F"/>
    <w:rsid w:val="1E262080"/>
    <w:rsid w:val="1E28137E"/>
    <w:rsid w:val="1E4C1AE7"/>
    <w:rsid w:val="1E6432D4"/>
    <w:rsid w:val="1E6C3F37"/>
    <w:rsid w:val="1E953657"/>
    <w:rsid w:val="1E982F7E"/>
    <w:rsid w:val="1EB31B66"/>
    <w:rsid w:val="1ED21B2F"/>
    <w:rsid w:val="1EE43097"/>
    <w:rsid w:val="1EF53F2C"/>
    <w:rsid w:val="1F111D05"/>
    <w:rsid w:val="1F391BC9"/>
    <w:rsid w:val="1F3D58D3"/>
    <w:rsid w:val="1F5275D0"/>
    <w:rsid w:val="1FB5190D"/>
    <w:rsid w:val="1FC3227C"/>
    <w:rsid w:val="1FC658C9"/>
    <w:rsid w:val="1FCA53B9"/>
    <w:rsid w:val="1FE3647B"/>
    <w:rsid w:val="1FE521F3"/>
    <w:rsid w:val="1FED72F9"/>
    <w:rsid w:val="1FF24910"/>
    <w:rsid w:val="1FF73CD4"/>
    <w:rsid w:val="20436F19"/>
    <w:rsid w:val="20531852"/>
    <w:rsid w:val="20582329"/>
    <w:rsid w:val="205D7A1F"/>
    <w:rsid w:val="206770AC"/>
    <w:rsid w:val="20690F63"/>
    <w:rsid w:val="20784E15"/>
    <w:rsid w:val="20C77B4A"/>
    <w:rsid w:val="20CA3197"/>
    <w:rsid w:val="20CC6F0F"/>
    <w:rsid w:val="20D858B3"/>
    <w:rsid w:val="20F87D04"/>
    <w:rsid w:val="210A7A37"/>
    <w:rsid w:val="211F1734"/>
    <w:rsid w:val="21415A21"/>
    <w:rsid w:val="214265B0"/>
    <w:rsid w:val="215414C1"/>
    <w:rsid w:val="21701F90"/>
    <w:rsid w:val="217A2E0F"/>
    <w:rsid w:val="219D7284"/>
    <w:rsid w:val="21AF1BD8"/>
    <w:rsid w:val="21B979E0"/>
    <w:rsid w:val="21CE01EE"/>
    <w:rsid w:val="21D20555"/>
    <w:rsid w:val="21EA7F94"/>
    <w:rsid w:val="21F66A4C"/>
    <w:rsid w:val="22034BB2"/>
    <w:rsid w:val="221C3EC6"/>
    <w:rsid w:val="22680EB9"/>
    <w:rsid w:val="22765384"/>
    <w:rsid w:val="228026A7"/>
    <w:rsid w:val="22813D29"/>
    <w:rsid w:val="22943A5C"/>
    <w:rsid w:val="22A75E85"/>
    <w:rsid w:val="22BE6D2B"/>
    <w:rsid w:val="22DF73CD"/>
    <w:rsid w:val="232272BA"/>
    <w:rsid w:val="232E1AE7"/>
    <w:rsid w:val="233A2855"/>
    <w:rsid w:val="237D6BE6"/>
    <w:rsid w:val="23BF71FF"/>
    <w:rsid w:val="23C30A9D"/>
    <w:rsid w:val="23D6056F"/>
    <w:rsid w:val="241E3F25"/>
    <w:rsid w:val="241F1A4B"/>
    <w:rsid w:val="24307F23"/>
    <w:rsid w:val="243C084F"/>
    <w:rsid w:val="24561911"/>
    <w:rsid w:val="246102B6"/>
    <w:rsid w:val="247B4ED4"/>
    <w:rsid w:val="24DB0068"/>
    <w:rsid w:val="24DE5462"/>
    <w:rsid w:val="24F37160"/>
    <w:rsid w:val="24F84776"/>
    <w:rsid w:val="24FC7E99"/>
    <w:rsid w:val="251B2213"/>
    <w:rsid w:val="251F61A7"/>
    <w:rsid w:val="25207829"/>
    <w:rsid w:val="25393B54"/>
    <w:rsid w:val="2551263E"/>
    <w:rsid w:val="2564005E"/>
    <w:rsid w:val="257775B9"/>
    <w:rsid w:val="257945CF"/>
    <w:rsid w:val="25A62424"/>
    <w:rsid w:val="25B032A3"/>
    <w:rsid w:val="25C805EC"/>
    <w:rsid w:val="25E46AA9"/>
    <w:rsid w:val="264A1001"/>
    <w:rsid w:val="26B83713"/>
    <w:rsid w:val="26C012C4"/>
    <w:rsid w:val="26C863CA"/>
    <w:rsid w:val="26D7227A"/>
    <w:rsid w:val="26EB3E67"/>
    <w:rsid w:val="26EC20B9"/>
    <w:rsid w:val="26F7280B"/>
    <w:rsid w:val="273253EF"/>
    <w:rsid w:val="27400656"/>
    <w:rsid w:val="276A58A5"/>
    <w:rsid w:val="279369D8"/>
    <w:rsid w:val="27E2170E"/>
    <w:rsid w:val="28094EEC"/>
    <w:rsid w:val="28243AD4"/>
    <w:rsid w:val="283C2BCC"/>
    <w:rsid w:val="284101E2"/>
    <w:rsid w:val="284B72B3"/>
    <w:rsid w:val="28776398"/>
    <w:rsid w:val="28895A4D"/>
    <w:rsid w:val="289742A6"/>
    <w:rsid w:val="28B210E0"/>
    <w:rsid w:val="28CD1A76"/>
    <w:rsid w:val="28D3158F"/>
    <w:rsid w:val="28E60D8A"/>
    <w:rsid w:val="28EB63A0"/>
    <w:rsid w:val="28F17E5A"/>
    <w:rsid w:val="29102A4A"/>
    <w:rsid w:val="29231FDE"/>
    <w:rsid w:val="29713789"/>
    <w:rsid w:val="29824F56"/>
    <w:rsid w:val="29842A7C"/>
    <w:rsid w:val="298D6234"/>
    <w:rsid w:val="29C85605"/>
    <w:rsid w:val="29CB06AB"/>
    <w:rsid w:val="29D11A3A"/>
    <w:rsid w:val="29E43A51"/>
    <w:rsid w:val="29E45839"/>
    <w:rsid w:val="2A0140CD"/>
    <w:rsid w:val="2A1E1198"/>
    <w:rsid w:val="2A24790B"/>
    <w:rsid w:val="2A2974FC"/>
    <w:rsid w:val="2A2B2EF8"/>
    <w:rsid w:val="2A385615"/>
    <w:rsid w:val="2A417659"/>
    <w:rsid w:val="2A585CB7"/>
    <w:rsid w:val="2A5A7BB4"/>
    <w:rsid w:val="2A6E1037"/>
    <w:rsid w:val="2A7725E1"/>
    <w:rsid w:val="2A7D63F8"/>
    <w:rsid w:val="2A843144"/>
    <w:rsid w:val="2A9767DF"/>
    <w:rsid w:val="2AD17BD0"/>
    <w:rsid w:val="2AFD73C3"/>
    <w:rsid w:val="2B3E6C5B"/>
    <w:rsid w:val="2B51698E"/>
    <w:rsid w:val="2B522706"/>
    <w:rsid w:val="2B5446D0"/>
    <w:rsid w:val="2B724A18"/>
    <w:rsid w:val="2B856638"/>
    <w:rsid w:val="2BB5468D"/>
    <w:rsid w:val="2BBB258B"/>
    <w:rsid w:val="2BC52ED8"/>
    <w:rsid w:val="2BDE3F9A"/>
    <w:rsid w:val="2BF33EE9"/>
    <w:rsid w:val="2C047EA4"/>
    <w:rsid w:val="2C131E96"/>
    <w:rsid w:val="2C3342E6"/>
    <w:rsid w:val="2C576226"/>
    <w:rsid w:val="2C6170A5"/>
    <w:rsid w:val="2C82701B"/>
    <w:rsid w:val="2CBC67C8"/>
    <w:rsid w:val="2CC12D1A"/>
    <w:rsid w:val="2CCE5566"/>
    <w:rsid w:val="2CD42279"/>
    <w:rsid w:val="2CF2794B"/>
    <w:rsid w:val="2D1C7470"/>
    <w:rsid w:val="2D2D342B"/>
    <w:rsid w:val="2D3447B9"/>
    <w:rsid w:val="2D3A16A4"/>
    <w:rsid w:val="2D52377C"/>
    <w:rsid w:val="2D5474BF"/>
    <w:rsid w:val="2D597D7C"/>
    <w:rsid w:val="2D7746A6"/>
    <w:rsid w:val="2D79041E"/>
    <w:rsid w:val="2D793E38"/>
    <w:rsid w:val="2D880661"/>
    <w:rsid w:val="2D883DB7"/>
    <w:rsid w:val="2D9139BA"/>
    <w:rsid w:val="2DA749EF"/>
    <w:rsid w:val="2DA76D39"/>
    <w:rsid w:val="2DAA682A"/>
    <w:rsid w:val="2DAD1E76"/>
    <w:rsid w:val="2DBE22D5"/>
    <w:rsid w:val="2DE25FC3"/>
    <w:rsid w:val="2DF67CC1"/>
    <w:rsid w:val="2E0979E2"/>
    <w:rsid w:val="2E206AEC"/>
    <w:rsid w:val="2E627104"/>
    <w:rsid w:val="2E67296D"/>
    <w:rsid w:val="2E8250B1"/>
    <w:rsid w:val="2EAE3554"/>
    <w:rsid w:val="2EC456C9"/>
    <w:rsid w:val="2F4607D4"/>
    <w:rsid w:val="2F715851"/>
    <w:rsid w:val="2F776BDF"/>
    <w:rsid w:val="2FA005EA"/>
    <w:rsid w:val="2FEE6EA1"/>
    <w:rsid w:val="2FF40230"/>
    <w:rsid w:val="2FFB15BE"/>
    <w:rsid w:val="300B57C0"/>
    <w:rsid w:val="300D645F"/>
    <w:rsid w:val="30112B90"/>
    <w:rsid w:val="301301EB"/>
    <w:rsid w:val="305667F5"/>
    <w:rsid w:val="307373A7"/>
    <w:rsid w:val="30901D07"/>
    <w:rsid w:val="30A612CD"/>
    <w:rsid w:val="30B005FB"/>
    <w:rsid w:val="30C542F1"/>
    <w:rsid w:val="30FF50DE"/>
    <w:rsid w:val="31061FC9"/>
    <w:rsid w:val="310B75DF"/>
    <w:rsid w:val="311335FB"/>
    <w:rsid w:val="313B4368"/>
    <w:rsid w:val="315947EF"/>
    <w:rsid w:val="31723B02"/>
    <w:rsid w:val="317258B0"/>
    <w:rsid w:val="31855A18"/>
    <w:rsid w:val="318C4BC4"/>
    <w:rsid w:val="319A0963"/>
    <w:rsid w:val="319E48F7"/>
    <w:rsid w:val="31AA0DEF"/>
    <w:rsid w:val="31CA56EC"/>
    <w:rsid w:val="31CC3212"/>
    <w:rsid w:val="31D102A1"/>
    <w:rsid w:val="32340DB8"/>
    <w:rsid w:val="324C4353"/>
    <w:rsid w:val="32917264"/>
    <w:rsid w:val="32A0083F"/>
    <w:rsid w:val="32AB107A"/>
    <w:rsid w:val="32BB5035"/>
    <w:rsid w:val="32BC3287"/>
    <w:rsid w:val="32C1519A"/>
    <w:rsid w:val="32DA195F"/>
    <w:rsid w:val="32E9224B"/>
    <w:rsid w:val="32F17840"/>
    <w:rsid w:val="33016EEC"/>
    <w:rsid w:val="33092244"/>
    <w:rsid w:val="332B21BB"/>
    <w:rsid w:val="33492641"/>
    <w:rsid w:val="334D0383"/>
    <w:rsid w:val="33777A59"/>
    <w:rsid w:val="33D04B10"/>
    <w:rsid w:val="33D11655"/>
    <w:rsid w:val="33DC34B5"/>
    <w:rsid w:val="33E67E90"/>
    <w:rsid w:val="34005E9A"/>
    <w:rsid w:val="349F69BC"/>
    <w:rsid w:val="34EC3BCC"/>
    <w:rsid w:val="34F94E29"/>
    <w:rsid w:val="351A6043"/>
    <w:rsid w:val="351D644B"/>
    <w:rsid w:val="353262EF"/>
    <w:rsid w:val="35637F9E"/>
    <w:rsid w:val="35670F33"/>
    <w:rsid w:val="35812566"/>
    <w:rsid w:val="358362DE"/>
    <w:rsid w:val="35A149B6"/>
    <w:rsid w:val="35AB75E3"/>
    <w:rsid w:val="35CF1523"/>
    <w:rsid w:val="360B1E2F"/>
    <w:rsid w:val="360C4FA4"/>
    <w:rsid w:val="362B590F"/>
    <w:rsid w:val="3637105C"/>
    <w:rsid w:val="36435A6D"/>
    <w:rsid w:val="3647730B"/>
    <w:rsid w:val="365C1966"/>
    <w:rsid w:val="36653C36"/>
    <w:rsid w:val="36736147"/>
    <w:rsid w:val="3676374D"/>
    <w:rsid w:val="368F3245"/>
    <w:rsid w:val="369D33CF"/>
    <w:rsid w:val="36A04C6E"/>
    <w:rsid w:val="36F124CE"/>
    <w:rsid w:val="36F60DE4"/>
    <w:rsid w:val="370C70D2"/>
    <w:rsid w:val="372431A9"/>
    <w:rsid w:val="37270EEB"/>
    <w:rsid w:val="3784633D"/>
    <w:rsid w:val="37B450A7"/>
    <w:rsid w:val="37B81B43"/>
    <w:rsid w:val="37D41D47"/>
    <w:rsid w:val="37D84C6F"/>
    <w:rsid w:val="37DF17C6"/>
    <w:rsid w:val="37E21120"/>
    <w:rsid w:val="37E64902"/>
    <w:rsid w:val="37F3137E"/>
    <w:rsid w:val="37FA5987"/>
    <w:rsid w:val="38084878"/>
    <w:rsid w:val="380B6117"/>
    <w:rsid w:val="380D1E8F"/>
    <w:rsid w:val="38196A86"/>
    <w:rsid w:val="38327B47"/>
    <w:rsid w:val="38401466"/>
    <w:rsid w:val="38471845"/>
    <w:rsid w:val="385E6B8E"/>
    <w:rsid w:val="38BC00E5"/>
    <w:rsid w:val="38C22C79"/>
    <w:rsid w:val="38CF183A"/>
    <w:rsid w:val="38DF7CCF"/>
    <w:rsid w:val="38E47094"/>
    <w:rsid w:val="38FF2E4A"/>
    <w:rsid w:val="39131D9F"/>
    <w:rsid w:val="3930052B"/>
    <w:rsid w:val="396401D4"/>
    <w:rsid w:val="39B102D8"/>
    <w:rsid w:val="39B36A66"/>
    <w:rsid w:val="39CD7B28"/>
    <w:rsid w:val="39D864E6"/>
    <w:rsid w:val="3A045513"/>
    <w:rsid w:val="3A0926D8"/>
    <w:rsid w:val="3A280D4B"/>
    <w:rsid w:val="3A367C43"/>
    <w:rsid w:val="3A5974CE"/>
    <w:rsid w:val="3A744447"/>
    <w:rsid w:val="3A751F6D"/>
    <w:rsid w:val="3A936FCA"/>
    <w:rsid w:val="3A992100"/>
    <w:rsid w:val="3A9B5E78"/>
    <w:rsid w:val="3ACA227E"/>
    <w:rsid w:val="3AD62A0C"/>
    <w:rsid w:val="3AD65492"/>
    <w:rsid w:val="3ADD4106"/>
    <w:rsid w:val="3B1654FE"/>
    <w:rsid w:val="3B181276"/>
    <w:rsid w:val="3B1B0D67"/>
    <w:rsid w:val="3B20012B"/>
    <w:rsid w:val="3B2A2D58"/>
    <w:rsid w:val="3B351E28"/>
    <w:rsid w:val="3B372CF3"/>
    <w:rsid w:val="3B4B164C"/>
    <w:rsid w:val="3B4B2824"/>
    <w:rsid w:val="3B6C15C2"/>
    <w:rsid w:val="3B6E70E8"/>
    <w:rsid w:val="3B7010B2"/>
    <w:rsid w:val="3B714E2B"/>
    <w:rsid w:val="3B7F4E52"/>
    <w:rsid w:val="3B800CEA"/>
    <w:rsid w:val="3BB30F9F"/>
    <w:rsid w:val="3BEC625F"/>
    <w:rsid w:val="3BED2703"/>
    <w:rsid w:val="3BFF5012"/>
    <w:rsid w:val="3C0812EB"/>
    <w:rsid w:val="3C277FE9"/>
    <w:rsid w:val="3C2E09DB"/>
    <w:rsid w:val="3C3245BA"/>
    <w:rsid w:val="3C3D4EB5"/>
    <w:rsid w:val="3C550487"/>
    <w:rsid w:val="3C636521"/>
    <w:rsid w:val="3C767331"/>
    <w:rsid w:val="3C8007EB"/>
    <w:rsid w:val="3C893318"/>
    <w:rsid w:val="3CB52AF5"/>
    <w:rsid w:val="3CCF0ACF"/>
    <w:rsid w:val="3CD80929"/>
    <w:rsid w:val="3CF950D8"/>
    <w:rsid w:val="3D335711"/>
    <w:rsid w:val="3D606F05"/>
    <w:rsid w:val="3D687B67"/>
    <w:rsid w:val="3D6C012E"/>
    <w:rsid w:val="3D900C11"/>
    <w:rsid w:val="3D992C23"/>
    <w:rsid w:val="3DB53026"/>
    <w:rsid w:val="3DBA03C3"/>
    <w:rsid w:val="3DBF1CD5"/>
    <w:rsid w:val="3DD1570D"/>
    <w:rsid w:val="3DE11DF4"/>
    <w:rsid w:val="3DE35957"/>
    <w:rsid w:val="3DE9514C"/>
    <w:rsid w:val="3DEE2762"/>
    <w:rsid w:val="3E0C4997"/>
    <w:rsid w:val="3E3D0FF4"/>
    <w:rsid w:val="3E3F6B1A"/>
    <w:rsid w:val="3E5E797D"/>
    <w:rsid w:val="3E6A0B75"/>
    <w:rsid w:val="3E8957D0"/>
    <w:rsid w:val="3E8E35FE"/>
    <w:rsid w:val="3E8F7AA2"/>
    <w:rsid w:val="3E9C5D1B"/>
    <w:rsid w:val="3EA846BF"/>
    <w:rsid w:val="3EB219E2"/>
    <w:rsid w:val="3EBD7BD3"/>
    <w:rsid w:val="3EC15D58"/>
    <w:rsid w:val="3EC833E6"/>
    <w:rsid w:val="3ED20B5B"/>
    <w:rsid w:val="3ED454B4"/>
    <w:rsid w:val="3EDF3E59"/>
    <w:rsid w:val="3EEA4CD8"/>
    <w:rsid w:val="3F2A1578"/>
    <w:rsid w:val="3F473D44"/>
    <w:rsid w:val="3F8213B4"/>
    <w:rsid w:val="3F843D6F"/>
    <w:rsid w:val="3FCE45FA"/>
    <w:rsid w:val="3FD17C46"/>
    <w:rsid w:val="3FD31C10"/>
    <w:rsid w:val="3FFD4D91"/>
    <w:rsid w:val="40185875"/>
    <w:rsid w:val="4033445D"/>
    <w:rsid w:val="4037219F"/>
    <w:rsid w:val="40442B0E"/>
    <w:rsid w:val="40741DAD"/>
    <w:rsid w:val="40B86B4F"/>
    <w:rsid w:val="410A78B3"/>
    <w:rsid w:val="4115300B"/>
    <w:rsid w:val="411E6115"/>
    <w:rsid w:val="41202C33"/>
    <w:rsid w:val="414F4CC6"/>
    <w:rsid w:val="415B1EBD"/>
    <w:rsid w:val="41861190"/>
    <w:rsid w:val="41A1134F"/>
    <w:rsid w:val="41C54AA2"/>
    <w:rsid w:val="41E579D9"/>
    <w:rsid w:val="41F67E38"/>
    <w:rsid w:val="420267DC"/>
    <w:rsid w:val="420C4B3B"/>
    <w:rsid w:val="42206C63"/>
    <w:rsid w:val="4231537C"/>
    <w:rsid w:val="423C1CEE"/>
    <w:rsid w:val="4253528A"/>
    <w:rsid w:val="42571E2C"/>
    <w:rsid w:val="425E7120"/>
    <w:rsid w:val="425F5C86"/>
    <w:rsid w:val="42671B20"/>
    <w:rsid w:val="4278084D"/>
    <w:rsid w:val="428B0580"/>
    <w:rsid w:val="428E0070"/>
    <w:rsid w:val="42B75819"/>
    <w:rsid w:val="42E87780"/>
    <w:rsid w:val="42F06635"/>
    <w:rsid w:val="433724B6"/>
    <w:rsid w:val="43394480"/>
    <w:rsid w:val="433F136A"/>
    <w:rsid w:val="43601A0D"/>
    <w:rsid w:val="43657023"/>
    <w:rsid w:val="439711A6"/>
    <w:rsid w:val="439D20AF"/>
    <w:rsid w:val="439D67BD"/>
    <w:rsid w:val="43AD4526"/>
    <w:rsid w:val="43AF4742"/>
    <w:rsid w:val="43B81849"/>
    <w:rsid w:val="440305EA"/>
    <w:rsid w:val="440F51E1"/>
    <w:rsid w:val="44156301"/>
    <w:rsid w:val="4427077C"/>
    <w:rsid w:val="44307631"/>
    <w:rsid w:val="4439244C"/>
    <w:rsid w:val="444C1F91"/>
    <w:rsid w:val="4466626A"/>
    <w:rsid w:val="447B63D2"/>
    <w:rsid w:val="44872FC9"/>
    <w:rsid w:val="44974BC1"/>
    <w:rsid w:val="44C9538F"/>
    <w:rsid w:val="44D83825"/>
    <w:rsid w:val="44ED72D0"/>
    <w:rsid w:val="44FB0F63"/>
    <w:rsid w:val="45027796"/>
    <w:rsid w:val="45230F44"/>
    <w:rsid w:val="45232CF2"/>
    <w:rsid w:val="4530380C"/>
    <w:rsid w:val="454A4722"/>
    <w:rsid w:val="45596713"/>
    <w:rsid w:val="455E01CE"/>
    <w:rsid w:val="457504FE"/>
    <w:rsid w:val="45856974"/>
    <w:rsid w:val="45A03BD9"/>
    <w:rsid w:val="45B41DE4"/>
    <w:rsid w:val="45DD5596"/>
    <w:rsid w:val="45DF7DE6"/>
    <w:rsid w:val="45E854E6"/>
    <w:rsid w:val="45F91CA4"/>
    <w:rsid w:val="46184820"/>
    <w:rsid w:val="46405B25"/>
    <w:rsid w:val="46677DE3"/>
    <w:rsid w:val="4668770C"/>
    <w:rsid w:val="46804174"/>
    <w:rsid w:val="468C0D6B"/>
    <w:rsid w:val="46AE0CE1"/>
    <w:rsid w:val="46D908E9"/>
    <w:rsid w:val="472F7CCC"/>
    <w:rsid w:val="474260C5"/>
    <w:rsid w:val="47430630"/>
    <w:rsid w:val="47513EDE"/>
    <w:rsid w:val="475A000C"/>
    <w:rsid w:val="47775577"/>
    <w:rsid w:val="478101A3"/>
    <w:rsid w:val="47853152"/>
    <w:rsid w:val="47C702AC"/>
    <w:rsid w:val="47D12ED9"/>
    <w:rsid w:val="47DA3E25"/>
    <w:rsid w:val="47EA5D49"/>
    <w:rsid w:val="47F72214"/>
    <w:rsid w:val="48396CD0"/>
    <w:rsid w:val="484418FD"/>
    <w:rsid w:val="48684EBF"/>
    <w:rsid w:val="487B2E45"/>
    <w:rsid w:val="489B7043"/>
    <w:rsid w:val="48A405ED"/>
    <w:rsid w:val="48AA7910"/>
    <w:rsid w:val="48D12A65"/>
    <w:rsid w:val="48F21359"/>
    <w:rsid w:val="48FA020D"/>
    <w:rsid w:val="48FF5824"/>
    <w:rsid w:val="49090450"/>
    <w:rsid w:val="49145370"/>
    <w:rsid w:val="496B2532"/>
    <w:rsid w:val="496E1CD3"/>
    <w:rsid w:val="497A75A0"/>
    <w:rsid w:val="49942410"/>
    <w:rsid w:val="49995C78"/>
    <w:rsid w:val="49EE1919"/>
    <w:rsid w:val="49F033BE"/>
    <w:rsid w:val="49F22BC1"/>
    <w:rsid w:val="49FA5FEB"/>
    <w:rsid w:val="4A070E34"/>
    <w:rsid w:val="4A102A7D"/>
    <w:rsid w:val="4A215F63"/>
    <w:rsid w:val="4A3115EB"/>
    <w:rsid w:val="4A3D4856"/>
    <w:rsid w:val="4A421E6C"/>
    <w:rsid w:val="4A5E2A1E"/>
    <w:rsid w:val="4A71599D"/>
    <w:rsid w:val="4ADD3943"/>
    <w:rsid w:val="4AF853EF"/>
    <w:rsid w:val="4B1A06F3"/>
    <w:rsid w:val="4B2A67E8"/>
    <w:rsid w:val="4B2E235D"/>
    <w:rsid w:val="4B321EE0"/>
    <w:rsid w:val="4B3622DA"/>
    <w:rsid w:val="4B38501D"/>
    <w:rsid w:val="4B3A6FE7"/>
    <w:rsid w:val="4B49722A"/>
    <w:rsid w:val="4B4B6AFE"/>
    <w:rsid w:val="4B4E2A92"/>
    <w:rsid w:val="4B645E12"/>
    <w:rsid w:val="4B685902"/>
    <w:rsid w:val="4B7F2C4C"/>
    <w:rsid w:val="4B9A1834"/>
    <w:rsid w:val="4C0D0258"/>
    <w:rsid w:val="4C261319"/>
    <w:rsid w:val="4C2832E3"/>
    <w:rsid w:val="4C3B4DC5"/>
    <w:rsid w:val="4C3E48B5"/>
    <w:rsid w:val="4C433C79"/>
    <w:rsid w:val="4C6F4A6E"/>
    <w:rsid w:val="4C771B75"/>
    <w:rsid w:val="4C800A2A"/>
    <w:rsid w:val="4C9B5537"/>
    <w:rsid w:val="4C9E35A6"/>
    <w:rsid w:val="4CB91D57"/>
    <w:rsid w:val="4CC4300C"/>
    <w:rsid w:val="4CE74F4D"/>
    <w:rsid w:val="4CEF072B"/>
    <w:rsid w:val="4CF80F08"/>
    <w:rsid w:val="4CFE5DF2"/>
    <w:rsid w:val="4D135D42"/>
    <w:rsid w:val="4D4759EB"/>
    <w:rsid w:val="4D7560B4"/>
    <w:rsid w:val="4DAF1B61"/>
    <w:rsid w:val="4DC05945"/>
    <w:rsid w:val="4DC40DEA"/>
    <w:rsid w:val="4DC86B2C"/>
    <w:rsid w:val="4DF705E5"/>
    <w:rsid w:val="4E000207"/>
    <w:rsid w:val="4E0538DC"/>
    <w:rsid w:val="4E0C3561"/>
    <w:rsid w:val="4E1F3FAE"/>
    <w:rsid w:val="4E232905"/>
    <w:rsid w:val="4E257ADB"/>
    <w:rsid w:val="4E395334"/>
    <w:rsid w:val="4E451F2B"/>
    <w:rsid w:val="4E4A12EF"/>
    <w:rsid w:val="4E75637E"/>
    <w:rsid w:val="4E757880"/>
    <w:rsid w:val="4E914C57"/>
    <w:rsid w:val="4EBB3F9B"/>
    <w:rsid w:val="4ED4505D"/>
    <w:rsid w:val="4EEE4370"/>
    <w:rsid w:val="4EFF657E"/>
    <w:rsid w:val="4F0E6752"/>
    <w:rsid w:val="4F532425"/>
    <w:rsid w:val="4F602D94"/>
    <w:rsid w:val="4F6665FD"/>
    <w:rsid w:val="4F7D56F4"/>
    <w:rsid w:val="4F9111A0"/>
    <w:rsid w:val="4FE439C5"/>
    <w:rsid w:val="50194573"/>
    <w:rsid w:val="502344EE"/>
    <w:rsid w:val="50324731"/>
    <w:rsid w:val="50640E69"/>
    <w:rsid w:val="507C775A"/>
    <w:rsid w:val="507E7976"/>
    <w:rsid w:val="509C7DFC"/>
    <w:rsid w:val="50A867A1"/>
    <w:rsid w:val="50B45146"/>
    <w:rsid w:val="50F6575E"/>
    <w:rsid w:val="510A5F90"/>
    <w:rsid w:val="51215BBC"/>
    <w:rsid w:val="514E559A"/>
    <w:rsid w:val="519F7883"/>
    <w:rsid w:val="51B80C66"/>
    <w:rsid w:val="51BA25B0"/>
    <w:rsid w:val="51BF3DA2"/>
    <w:rsid w:val="51C25640"/>
    <w:rsid w:val="51D11D27"/>
    <w:rsid w:val="51D75590"/>
    <w:rsid w:val="51F6353C"/>
    <w:rsid w:val="51F90505"/>
    <w:rsid w:val="52080C13"/>
    <w:rsid w:val="522462FB"/>
    <w:rsid w:val="5257222D"/>
    <w:rsid w:val="526A01B2"/>
    <w:rsid w:val="52972F71"/>
    <w:rsid w:val="529D22EE"/>
    <w:rsid w:val="52CC2C1B"/>
    <w:rsid w:val="52CD6993"/>
    <w:rsid w:val="52DF2F67"/>
    <w:rsid w:val="52E77A54"/>
    <w:rsid w:val="52F97788"/>
    <w:rsid w:val="52FB0AFC"/>
    <w:rsid w:val="52FC4B82"/>
    <w:rsid w:val="536630DC"/>
    <w:rsid w:val="537D549B"/>
    <w:rsid w:val="53980D4F"/>
    <w:rsid w:val="53B67B2A"/>
    <w:rsid w:val="53D77AC9"/>
    <w:rsid w:val="53DC50DF"/>
    <w:rsid w:val="53F2245D"/>
    <w:rsid w:val="540A0C26"/>
    <w:rsid w:val="54342333"/>
    <w:rsid w:val="54462559"/>
    <w:rsid w:val="54556C40"/>
    <w:rsid w:val="547E70D6"/>
    <w:rsid w:val="54A35BFD"/>
    <w:rsid w:val="54B0031A"/>
    <w:rsid w:val="54D745DB"/>
    <w:rsid w:val="54EF7F76"/>
    <w:rsid w:val="55004DFD"/>
    <w:rsid w:val="55020B76"/>
    <w:rsid w:val="55124B31"/>
    <w:rsid w:val="551E34D6"/>
    <w:rsid w:val="5572737D"/>
    <w:rsid w:val="55894DF3"/>
    <w:rsid w:val="559612BE"/>
    <w:rsid w:val="559A69A6"/>
    <w:rsid w:val="55BB2AD2"/>
    <w:rsid w:val="55BB6F76"/>
    <w:rsid w:val="55D87B28"/>
    <w:rsid w:val="561B7A15"/>
    <w:rsid w:val="56290384"/>
    <w:rsid w:val="566D64C3"/>
    <w:rsid w:val="567333AD"/>
    <w:rsid w:val="568D446F"/>
    <w:rsid w:val="569F0646"/>
    <w:rsid w:val="56B04601"/>
    <w:rsid w:val="56D11E5E"/>
    <w:rsid w:val="56D55E16"/>
    <w:rsid w:val="56E23B63"/>
    <w:rsid w:val="574F3CC8"/>
    <w:rsid w:val="5762199F"/>
    <w:rsid w:val="577F0A74"/>
    <w:rsid w:val="57C9597B"/>
    <w:rsid w:val="57E427B4"/>
    <w:rsid w:val="57FF75EE"/>
    <w:rsid w:val="58134E48"/>
    <w:rsid w:val="58353010"/>
    <w:rsid w:val="58466FCB"/>
    <w:rsid w:val="58726012"/>
    <w:rsid w:val="588E731E"/>
    <w:rsid w:val="58AB67AF"/>
    <w:rsid w:val="58B058B2"/>
    <w:rsid w:val="58B8779D"/>
    <w:rsid w:val="58E3295A"/>
    <w:rsid w:val="58EB7B73"/>
    <w:rsid w:val="58ED38EB"/>
    <w:rsid w:val="5903310E"/>
    <w:rsid w:val="59154BEF"/>
    <w:rsid w:val="592D3CE7"/>
    <w:rsid w:val="593777F1"/>
    <w:rsid w:val="59464DA9"/>
    <w:rsid w:val="5960230F"/>
    <w:rsid w:val="597933D0"/>
    <w:rsid w:val="598531B1"/>
    <w:rsid w:val="599B50C6"/>
    <w:rsid w:val="599B6EA3"/>
    <w:rsid w:val="59B42952"/>
    <w:rsid w:val="59D32AE1"/>
    <w:rsid w:val="59DE3233"/>
    <w:rsid w:val="5A1923C8"/>
    <w:rsid w:val="5A225816"/>
    <w:rsid w:val="5A3105E0"/>
    <w:rsid w:val="5A5F25C6"/>
    <w:rsid w:val="5A836C53"/>
    <w:rsid w:val="5A985AAF"/>
    <w:rsid w:val="5AC62645"/>
    <w:rsid w:val="5AE900E2"/>
    <w:rsid w:val="5B062A42"/>
    <w:rsid w:val="5B0F5D9A"/>
    <w:rsid w:val="5B38719E"/>
    <w:rsid w:val="5B3A6B8F"/>
    <w:rsid w:val="5B3F5E3F"/>
    <w:rsid w:val="5B465534"/>
    <w:rsid w:val="5B4D6A37"/>
    <w:rsid w:val="5B651682"/>
    <w:rsid w:val="5B70610D"/>
    <w:rsid w:val="5BCA1CC1"/>
    <w:rsid w:val="5BD90156"/>
    <w:rsid w:val="5BE95971"/>
    <w:rsid w:val="5BFB00CD"/>
    <w:rsid w:val="5C15797A"/>
    <w:rsid w:val="5C205374"/>
    <w:rsid w:val="5C321615"/>
    <w:rsid w:val="5C49708A"/>
    <w:rsid w:val="5C4B1054"/>
    <w:rsid w:val="5C4C1C2E"/>
    <w:rsid w:val="5C5F065B"/>
    <w:rsid w:val="5C602626"/>
    <w:rsid w:val="5C8B76A2"/>
    <w:rsid w:val="5C9E45E6"/>
    <w:rsid w:val="5CEB6393"/>
    <w:rsid w:val="5CFE60C6"/>
    <w:rsid w:val="5D1538E2"/>
    <w:rsid w:val="5D196DAD"/>
    <w:rsid w:val="5D403FF9"/>
    <w:rsid w:val="5D485594"/>
    <w:rsid w:val="5D852344"/>
    <w:rsid w:val="5D9F2CDA"/>
    <w:rsid w:val="5DC25A71"/>
    <w:rsid w:val="5DD92690"/>
    <w:rsid w:val="5DEA59CB"/>
    <w:rsid w:val="5E0A0A9B"/>
    <w:rsid w:val="5E0A7399"/>
    <w:rsid w:val="5E2751A9"/>
    <w:rsid w:val="5E2E3482"/>
    <w:rsid w:val="5E5E4943"/>
    <w:rsid w:val="5E8E1902"/>
    <w:rsid w:val="5E9C765F"/>
    <w:rsid w:val="5EA04F5B"/>
    <w:rsid w:val="5EA42C9D"/>
    <w:rsid w:val="5EB076AF"/>
    <w:rsid w:val="5EE147BC"/>
    <w:rsid w:val="5EE412EC"/>
    <w:rsid w:val="5F296CFF"/>
    <w:rsid w:val="5F334021"/>
    <w:rsid w:val="5F5F0972"/>
    <w:rsid w:val="5F622211"/>
    <w:rsid w:val="5F623DF0"/>
    <w:rsid w:val="5F8828C1"/>
    <w:rsid w:val="5F8F36CE"/>
    <w:rsid w:val="5FBA204D"/>
    <w:rsid w:val="5FCD7FD2"/>
    <w:rsid w:val="5FE61094"/>
    <w:rsid w:val="60255718"/>
    <w:rsid w:val="602D6EC7"/>
    <w:rsid w:val="603B38D2"/>
    <w:rsid w:val="60583D40"/>
    <w:rsid w:val="607E307A"/>
    <w:rsid w:val="608B5E00"/>
    <w:rsid w:val="608C5797"/>
    <w:rsid w:val="60956D42"/>
    <w:rsid w:val="60997EB4"/>
    <w:rsid w:val="60B3541A"/>
    <w:rsid w:val="60B63707"/>
    <w:rsid w:val="60BE157F"/>
    <w:rsid w:val="60C34F31"/>
    <w:rsid w:val="60C54A41"/>
    <w:rsid w:val="60D40EEC"/>
    <w:rsid w:val="60F577E0"/>
    <w:rsid w:val="61097C04"/>
    <w:rsid w:val="617526CF"/>
    <w:rsid w:val="61845F36"/>
    <w:rsid w:val="61895A68"/>
    <w:rsid w:val="618C204E"/>
    <w:rsid w:val="61952D71"/>
    <w:rsid w:val="61BC3E5A"/>
    <w:rsid w:val="61CE1DDF"/>
    <w:rsid w:val="61D2367E"/>
    <w:rsid w:val="620B3EDA"/>
    <w:rsid w:val="624125B1"/>
    <w:rsid w:val="62416092"/>
    <w:rsid w:val="626D76EE"/>
    <w:rsid w:val="629628FD"/>
    <w:rsid w:val="629923ED"/>
    <w:rsid w:val="62B31701"/>
    <w:rsid w:val="62BC7E8A"/>
    <w:rsid w:val="62D17DD9"/>
    <w:rsid w:val="62D578C9"/>
    <w:rsid w:val="62D80898"/>
    <w:rsid w:val="62EE1292"/>
    <w:rsid w:val="62F24C15"/>
    <w:rsid w:val="62F3133E"/>
    <w:rsid w:val="62F975B9"/>
    <w:rsid w:val="63235B67"/>
    <w:rsid w:val="63253C81"/>
    <w:rsid w:val="633F4EB4"/>
    <w:rsid w:val="637D1D0F"/>
    <w:rsid w:val="63972DD1"/>
    <w:rsid w:val="63BE627A"/>
    <w:rsid w:val="63CB7C67"/>
    <w:rsid w:val="63D12955"/>
    <w:rsid w:val="63D3192F"/>
    <w:rsid w:val="63DA4A6C"/>
    <w:rsid w:val="63E37DC4"/>
    <w:rsid w:val="63E91153"/>
    <w:rsid w:val="640815D9"/>
    <w:rsid w:val="64155AA4"/>
    <w:rsid w:val="641C11C6"/>
    <w:rsid w:val="641C1FBB"/>
    <w:rsid w:val="643C5726"/>
    <w:rsid w:val="645A5BAC"/>
    <w:rsid w:val="647E7AED"/>
    <w:rsid w:val="64B41F93"/>
    <w:rsid w:val="64B4350F"/>
    <w:rsid w:val="64D911C7"/>
    <w:rsid w:val="64DB0A9B"/>
    <w:rsid w:val="64F46001"/>
    <w:rsid w:val="652A2EC0"/>
    <w:rsid w:val="652C579B"/>
    <w:rsid w:val="652F34E8"/>
    <w:rsid w:val="657C227E"/>
    <w:rsid w:val="65B03CD6"/>
    <w:rsid w:val="65B732B6"/>
    <w:rsid w:val="65BA6903"/>
    <w:rsid w:val="65D8322D"/>
    <w:rsid w:val="666024CC"/>
    <w:rsid w:val="668D4017"/>
    <w:rsid w:val="668F4A03"/>
    <w:rsid w:val="669058B5"/>
    <w:rsid w:val="66A355E9"/>
    <w:rsid w:val="66B15F58"/>
    <w:rsid w:val="66D02156"/>
    <w:rsid w:val="66DC0AFB"/>
    <w:rsid w:val="66E87218"/>
    <w:rsid w:val="66FC4926"/>
    <w:rsid w:val="671958AB"/>
    <w:rsid w:val="672C55DE"/>
    <w:rsid w:val="67700F1C"/>
    <w:rsid w:val="678215D1"/>
    <w:rsid w:val="67A71109"/>
    <w:rsid w:val="67B11F87"/>
    <w:rsid w:val="67E61C31"/>
    <w:rsid w:val="68060525"/>
    <w:rsid w:val="68273FF7"/>
    <w:rsid w:val="683055A2"/>
    <w:rsid w:val="68350B43"/>
    <w:rsid w:val="68456D65"/>
    <w:rsid w:val="685017A0"/>
    <w:rsid w:val="686139AD"/>
    <w:rsid w:val="687D30E0"/>
    <w:rsid w:val="68802085"/>
    <w:rsid w:val="68B3036C"/>
    <w:rsid w:val="68B7181F"/>
    <w:rsid w:val="68C107F1"/>
    <w:rsid w:val="68E87C2B"/>
    <w:rsid w:val="690773A8"/>
    <w:rsid w:val="698C4A5A"/>
    <w:rsid w:val="69913E1E"/>
    <w:rsid w:val="69BF6FFE"/>
    <w:rsid w:val="69D00DEB"/>
    <w:rsid w:val="69D32689"/>
    <w:rsid w:val="69DD3507"/>
    <w:rsid w:val="69E239ED"/>
    <w:rsid w:val="69F30635"/>
    <w:rsid w:val="6A0E36C1"/>
    <w:rsid w:val="6A4E3ABD"/>
    <w:rsid w:val="6A627569"/>
    <w:rsid w:val="6A7E0847"/>
    <w:rsid w:val="6A995680"/>
    <w:rsid w:val="6A9A31A7"/>
    <w:rsid w:val="6ABA55F7"/>
    <w:rsid w:val="6AD456E6"/>
    <w:rsid w:val="6AD67E3E"/>
    <w:rsid w:val="6B2018FE"/>
    <w:rsid w:val="6B451364"/>
    <w:rsid w:val="6B476E8A"/>
    <w:rsid w:val="6B487D05"/>
    <w:rsid w:val="6B5670CE"/>
    <w:rsid w:val="6B6F4633"/>
    <w:rsid w:val="6B8E66B2"/>
    <w:rsid w:val="6B945E48"/>
    <w:rsid w:val="6BAB6B04"/>
    <w:rsid w:val="6BC13889"/>
    <w:rsid w:val="6BC73B27"/>
    <w:rsid w:val="6BDD4A92"/>
    <w:rsid w:val="6BE648F5"/>
    <w:rsid w:val="6BF1329A"/>
    <w:rsid w:val="6BF6265F"/>
    <w:rsid w:val="6C865790"/>
    <w:rsid w:val="6C89702F"/>
    <w:rsid w:val="6C951E77"/>
    <w:rsid w:val="6C983716"/>
    <w:rsid w:val="6C9B67E8"/>
    <w:rsid w:val="6C9C393D"/>
    <w:rsid w:val="6CB247D7"/>
    <w:rsid w:val="6CBC7404"/>
    <w:rsid w:val="6CC24780"/>
    <w:rsid w:val="6CD81D64"/>
    <w:rsid w:val="6CDC5332"/>
    <w:rsid w:val="6CF21078"/>
    <w:rsid w:val="6D162E92"/>
    <w:rsid w:val="6D1E1E6D"/>
    <w:rsid w:val="6D2515B1"/>
    <w:rsid w:val="6D5E670D"/>
    <w:rsid w:val="6D6D6950"/>
    <w:rsid w:val="6D765805"/>
    <w:rsid w:val="6D8554A4"/>
    <w:rsid w:val="6D8A12B0"/>
    <w:rsid w:val="6D9B10E0"/>
    <w:rsid w:val="6D9D7236"/>
    <w:rsid w:val="6DA0764D"/>
    <w:rsid w:val="6DB85357"/>
    <w:rsid w:val="6DCD73EF"/>
    <w:rsid w:val="6DD30EA9"/>
    <w:rsid w:val="6E5D0773"/>
    <w:rsid w:val="6E7206C2"/>
    <w:rsid w:val="6E79627E"/>
    <w:rsid w:val="6E8B3532"/>
    <w:rsid w:val="6E9543B1"/>
    <w:rsid w:val="6E9817AB"/>
    <w:rsid w:val="6ED24CBD"/>
    <w:rsid w:val="6EF966EE"/>
    <w:rsid w:val="6EFC61DE"/>
    <w:rsid w:val="6F24508A"/>
    <w:rsid w:val="6F255735"/>
    <w:rsid w:val="6F392607"/>
    <w:rsid w:val="6F5049CD"/>
    <w:rsid w:val="6F613704"/>
    <w:rsid w:val="6F92269E"/>
    <w:rsid w:val="6FA30F35"/>
    <w:rsid w:val="6FA80114"/>
    <w:rsid w:val="6FEA4288"/>
    <w:rsid w:val="6FF177DB"/>
    <w:rsid w:val="700E61C9"/>
    <w:rsid w:val="704F058F"/>
    <w:rsid w:val="70553DF8"/>
    <w:rsid w:val="706A20CB"/>
    <w:rsid w:val="706F7FE7"/>
    <w:rsid w:val="7073427E"/>
    <w:rsid w:val="709F4D6D"/>
    <w:rsid w:val="71265794"/>
    <w:rsid w:val="713322EB"/>
    <w:rsid w:val="7137174F"/>
    <w:rsid w:val="713752AB"/>
    <w:rsid w:val="71520337"/>
    <w:rsid w:val="71711F25"/>
    <w:rsid w:val="71722787"/>
    <w:rsid w:val="718A5D23"/>
    <w:rsid w:val="718C01E4"/>
    <w:rsid w:val="71970440"/>
    <w:rsid w:val="71A2231B"/>
    <w:rsid w:val="71A5708A"/>
    <w:rsid w:val="71B11502"/>
    <w:rsid w:val="71D376CA"/>
    <w:rsid w:val="72012F64"/>
    <w:rsid w:val="721374F8"/>
    <w:rsid w:val="72161365"/>
    <w:rsid w:val="721D52DF"/>
    <w:rsid w:val="723637B5"/>
    <w:rsid w:val="723932A5"/>
    <w:rsid w:val="7249173A"/>
    <w:rsid w:val="725F3B9F"/>
    <w:rsid w:val="726D4BA8"/>
    <w:rsid w:val="72952BD1"/>
    <w:rsid w:val="729F36D4"/>
    <w:rsid w:val="72A66B8C"/>
    <w:rsid w:val="72BF7C4E"/>
    <w:rsid w:val="72DC028D"/>
    <w:rsid w:val="72F51D2C"/>
    <w:rsid w:val="730B4C41"/>
    <w:rsid w:val="733028FA"/>
    <w:rsid w:val="73614861"/>
    <w:rsid w:val="73BB5A1A"/>
    <w:rsid w:val="73FC5756"/>
    <w:rsid w:val="746C6F28"/>
    <w:rsid w:val="74827185"/>
    <w:rsid w:val="74DA5A88"/>
    <w:rsid w:val="75041948"/>
    <w:rsid w:val="75345775"/>
    <w:rsid w:val="755E7FBF"/>
    <w:rsid w:val="75AF5D58"/>
    <w:rsid w:val="75CB03A6"/>
    <w:rsid w:val="75CD0053"/>
    <w:rsid w:val="75CD7253"/>
    <w:rsid w:val="75EA3234"/>
    <w:rsid w:val="762C55FB"/>
    <w:rsid w:val="7634625D"/>
    <w:rsid w:val="76417BE2"/>
    <w:rsid w:val="76452218"/>
    <w:rsid w:val="765B1A3C"/>
    <w:rsid w:val="76910CDB"/>
    <w:rsid w:val="769F401E"/>
    <w:rsid w:val="76B456AD"/>
    <w:rsid w:val="76D35A76"/>
    <w:rsid w:val="76FD0D45"/>
    <w:rsid w:val="776B5CAF"/>
    <w:rsid w:val="7778661E"/>
    <w:rsid w:val="77A85155"/>
    <w:rsid w:val="77D870BC"/>
    <w:rsid w:val="77E65C7D"/>
    <w:rsid w:val="77F008AA"/>
    <w:rsid w:val="77F75794"/>
    <w:rsid w:val="781E5417"/>
    <w:rsid w:val="781E71C5"/>
    <w:rsid w:val="783C3AEF"/>
    <w:rsid w:val="785962B6"/>
    <w:rsid w:val="787828F7"/>
    <w:rsid w:val="788C7064"/>
    <w:rsid w:val="78970D25"/>
    <w:rsid w:val="78A22EEC"/>
    <w:rsid w:val="78B8517A"/>
    <w:rsid w:val="78CC6C21"/>
    <w:rsid w:val="78D94A0F"/>
    <w:rsid w:val="78EF2FD1"/>
    <w:rsid w:val="78F477F3"/>
    <w:rsid w:val="78FF0C55"/>
    <w:rsid w:val="791B7A8F"/>
    <w:rsid w:val="79490272"/>
    <w:rsid w:val="794B223C"/>
    <w:rsid w:val="795135CA"/>
    <w:rsid w:val="796B468C"/>
    <w:rsid w:val="797F6788"/>
    <w:rsid w:val="79AD6A52"/>
    <w:rsid w:val="79BC0A44"/>
    <w:rsid w:val="79F857F4"/>
    <w:rsid w:val="79FF6B82"/>
    <w:rsid w:val="7A044199"/>
    <w:rsid w:val="7A0700F9"/>
    <w:rsid w:val="7A255FC5"/>
    <w:rsid w:val="7A505630"/>
    <w:rsid w:val="7A6D7F90"/>
    <w:rsid w:val="7A8012C4"/>
    <w:rsid w:val="7AB7745D"/>
    <w:rsid w:val="7AC259B8"/>
    <w:rsid w:val="7ACC115A"/>
    <w:rsid w:val="7AE75F94"/>
    <w:rsid w:val="7B007056"/>
    <w:rsid w:val="7B0F1047"/>
    <w:rsid w:val="7B1B5C3E"/>
    <w:rsid w:val="7B1D5512"/>
    <w:rsid w:val="7B4927AB"/>
    <w:rsid w:val="7B5D0B54"/>
    <w:rsid w:val="7B6969A9"/>
    <w:rsid w:val="7B711D02"/>
    <w:rsid w:val="7B7A6E08"/>
    <w:rsid w:val="7BA23C69"/>
    <w:rsid w:val="7BA45C33"/>
    <w:rsid w:val="7BD83B2F"/>
    <w:rsid w:val="7C013E40"/>
    <w:rsid w:val="7C134B67"/>
    <w:rsid w:val="7C683105"/>
    <w:rsid w:val="7C68506E"/>
    <w:rsid w:val="7C6D071B"/>
    <w:rsid w:val="7C725D31"/>
    <w:rsid w:val="7C792C1C"/>
    <w:rsid w:val="7C8B294F"/>
    <w:rsid w:val="7C9C4B5C"/>
    <w:rsid w:val="7CB974BC"/>
    <w:rsid w:val="7CF77FE5"/>
    <w:rsid w:val="7D0A7D18"/>
    <w:rsid w:val="7D507EF4"/>
    <w:rsid w:val="7D5D2E53"/>
    <w:rsid w:val="7D73539E"/>
    <w:rsid w:val="7D9F4904"/>
    <w:rsid w:val="7DA3248E"/>
    <w:rsid w:val="7DAE0FEB"/>
    <w:rsid w:val="7DBD5782"/>
    <w:rsid w:val="7DCB394B"/>
    <w:rsid w:val="7DD16A88"/>
    <w:rsid w:val="7DDA1DE0"/>
    <w:rsid w:val="7DE0333D"/>
    <w:rsid w:val="7DEB5D9B"/>
    <w:rsid w:val="7DF2712A"/>
    <w:rsid w:val="7DFF3643"/>
    <w:rsid w:val="7E002EC9"/>
    <w:rsid w:val="7E040C0B"/>
    <w:rsid w:val="7E2547CF"/>
    <w:rsid w:val="7E3C65F7"/>
    <w:rsid w:val="7E3F7040"/>
    <w:rsid w:val="7E4E00D8"/>
    <w:rsid w:val="7E8D0C00"/>
    <w:rsid w:val="7E9C0E44"/>
    <w:rsid w:val="7ECD54A1"/>
    <w:rsid w:val="7EDA7510"/>
    <w:rsid w:val="7EF667A6"/>
    <w:rsid w:val="7F052E8D"/>
    <w:rsid w:val="7F423F91"/>
    <w:rsid w:val="7F653D5E"/>
    <w:rsid w:val="7F871AF4"/>
    <w:rsid w:val="7F891012"/>
    <w:rsid w:val="7FD96B77"/>
    <w:rsid w:val="7FE84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7">
    <w:name w:val="heading 1"/>
    <w:basedOn w:val="1"/>
    <w:next w:val="1"/>
    <w:qFormat/>
    <w:uiPriority w:val="0"/>
    <w:pPr>
      <w:keepNext/>
      <w:numPr>
        <w:ilvl w:val="0"/>
        <w:numId w:val="1"/>
      </w:numPr>
      <w:outlineLvl w:val="0"/>
    </w:pPr>
    <w:rPr>
      <w:b/>
    </w:rPr>
  </w:style>
  <w:style w:type="paragraph" w:styleId="8">
    <w:name w:val="heading 2"/>
    <w:basedOn w:val="1"/>
    <w:next w:val="1"/>
    <w:qFormat/>
    <w:uiPriority w:val="0"/>
    <w:pPr>
      <w:keepNext/>
      <w:keepLines/>
      <w:spacing w:before="260" w:after="260" w:line="416" w:lineRule="auto"/>
      <w:outlineLvl w:val="1"/>
    </w:pPr>
    <w:rPr>
      <w:rFonts w:ascii="Arial" w:hAnsi="Arial" w:eastAsia="黑体"/>
      <w:b/>
      <w:sz w:val="32"/>
    </w:rPr>
  </w:style>
  <w:style w:type="paragraph" w:styleId="5">
    <w:name w:val="heading 3"/>
    <w:basedOn w:val="1"/>
    <w:next w:val="1"/>
    <w:qFormat/>
    <w:uiPriority w:val="0"/>
    <w:pPr>
      <w:keepNext/>
      <w:keepLines/>
      <w:spacing w:before="260" w:after="260" w:line="416" w:lineRule="auto"/>
      <w:outlineLvl w:val="2"/>
    </w:pPr>
    <w:rPr>
      <w:b/>
      <w:bCs/>
      <w:sz w:val="32"/>
      <w:szCs w:val="32"/>
    </w:rPr>
  </w:style>
  <w:style w:type="paragraph" w:styleId="4">
    <w:name w:val="heading 4"/>
    <w:basedOn w:val="5"/>
    <w:next w:val="6"/>
    <w:qFormat/>
    <w:uiPriority w:val="0"/>
    <w:pPr>
      <w:keepNext/>
      <w:keepLines/>
      <w:spacing w:before="280" w:after="290" w:line="376" w:lineRule="auto"/>
      <w:outlineLvl w:val="3"/>
    </w:pPr>
    <w:rPr>
      <w:rFonts w:ascii="Arial" w:hAnsi="Arial" w:eastAsia="黑体"/>
      <w:sz w:val="28"/>
      <w:szCs w:val="28"/>
    </w:rPr>
  </w:style>
  <w:style w:type="character" w:default="1" w:styleId="21">
    <w:name w:val="Default Paragraph Font"/>
    <w:semiHidden/>
    <w:qFormat/>
    <w:uiPriority w:val="0"/>
  </w:style>
  <w:style w:type="table" w:default="1" w:styleId="19">
    <w:name w:val="Normal Table"/>
    <w:semiHidden/>
    <w:qFormat/>
    <w:uiPriority w:val="0"/>
    <w:tblPr>
      <w:tblCellMar>
        <w:top w:w="0" w:type="dxa"/>
        <w:left w:w="108" w:type="dxa"/>
        <w:bottom w:w="0" w:type="dxa"/>
        <w:right w:w="108" w:type="dxa"/>
      </w:tblCellMar>
    </w:tblPr>
  </w:style>
  <w:style w:type="paragraph" w:styleId="2">
    <w:name w:val="Body Text First Indent 2"/>
    <w:basedOn w:val="3"/>
    <w:next w:val="1"/>
    <w:unhideWhenUsed/>
    <w:qFormat/>
    <w:uiPriority w:val="99"/>
    <w:pPr>
      <w:ind w:firstLine="420" w:firstLineChars="200"/>
    </w:pPr>
  </w:style>
  <w:style w:type="paragraph" w:styleId="3">
    <w:name w:val="Body Text Indent"/>
    <w:basedOn w:val="1"/>
    <w:next w:val="4"/>
    <w:qFormat/>
    <w:uiPriority w:val="0"/>
    <w:pPr>
      <w:ind w:firstLine="480"/>
    </w:pPr>
    <w:rPr>
      <w:rFonts w:ascii="宋体" w:hAnsi="宋体"/>
      <w:sz w:val="24"/>
    </w:rPr>
  </w:style>
  <w:style w:type="paragraph" w:customStyle="1" w:styleId="6">
    <w:name w:val="天创内容"/>
    <w:basedOn w:val="1"/>
    <w:qFormat/>
    <w:uiPriority w:val="0"/>
    <w:pPr>
      <w:ind w:firstLine="200" w:firstLineChars="200"/>
    </w:pPr>
    <w:rPr>
      <w:rFonts w:ascii="Times New Roman" w:hAnsi="Times New Roman" w:eastAsia="宋体"/>
    </w:rPr>
  </w:style>
  <w:style w:type="paragraph" w:styleId="9">
    <w:name w:val="Normal Indent"/>
    <w:basedOn w:val="1"/>
    <w:qFormat/>
    <w:uiPriority w:val="0"/>
    <w:pPr>
      <w:ind w:firstLine="420" w:firstLineChars="200"/>
    </w:pPr>
    <w:rPr>
      <w:szCs w:val="24"/>
    </w:rPr>
  </w:style>
  <w:style w:type="paragraph" w:styleId="10">
    <w:name w:val="Body Text"/>
    <w:basedOn w:val="1"/>
    <w:qFormat/>
    <w:uiPriority w:val="0"/>
    <w:rPr>
      <w:rFonts w:ascii="Arial" w:hAnsi="Arial"/>
      <w:sz w:val="24"/>
    </w:rPr>
  </w:style>
  <w:style w:type="paragraph" w:styleId="11">
    <w:name w:val="Plain Text"/>
    <w:basedOn w:val="1"/>
    <w:qFormat/>
    <w:uiPriority w:val="0"/>
    <w:rPr>
      <w:rFonts w:ascii="宋体" w:hAnsi="Courier New"/>
    </w:rPr>
  </w:style>
  <w:style w:type="paragraph" w:styleId="12">
    <w:name w:val="footer"/>
    <w:basedOn w:val="1"/>
    <w:qFormat/>
    <w:uiPriority w:val="99"/>
    <w:pPr>
      <w:tabs>
        <w:tab w:val="center" w:pos="4153"/>
        <w:tab w:val="right" w:pos="8306"/>
      </w:tabs>
      <w:snapToGrid w:val="0"/>
      <w:jc w:val="left"/>
    </w:pPr>
    <w:rPr>
      <w:sz w:val="18"/>
    </w:rPr>
  </w:style>
  <w:style w:type="paragraph" w:styleId="13">
    <w:name w:val="header"/>
    <w:basedOn w:val="1"/>
    <w:qFormat/>
    <w:uiPriority w:val="0"/>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39"/>
  </w:style>
  <w:style w:type="paragraph" w:styleId="15">
    <w:name w:val="footnote text"/>
    <w:basedOn w:val="1"/>
    <w:qFormat/>
    <w:uiPriority w:val="0"/>
    <w:pPr>
      <w:snapToGrid w:val="0"/>
      <w:jc w:val="left"/>
    </w:pPr>
    <w:rPr>
      <w:sz w:val="18"/>
    </w:rPr>
  </w:style>
  <w:style w:type="paragraph" w:styleId="16">
    <w:name w:val="toc 2"/>
    <w:basedOn w:val="1"/>
    <w:next w:val="1"/>
    <w:qFormat/>
    <w:uiPriority w:val="39"/>
    <w:pPr>
      <w:ind w:left="420" w:leftChars="200"/>
    </w:pPr>
  </w:style>
  <w:style w:type="paragraph" w:styleId="17">
    <w:name w:val="Normal (Web)"/>
    <w:basedOn w:val="1"/>
    <w:qFormat/>
    <w:uiPriority w:val="0"/>
    <w:pPr>
      <w:widowControl/>
      <w:spacing w:before="100" w:beforeAutospacing="1" w:after="100" w:afterAutospacing="1"/>
      <w:jc w:val="left"/>
    </w:pPr>
    <w:rPr>
      <w:rFonts w:ascii="Arial Unicode MS" w:hAnsi="Arial Unicode MS" w:eastAsia="Arial Unicode MS" w:cs="Arial Unicode MS"/>
      <w:kern w:val="0"/>
      <w:sz w:val="24"/>
      <w:szCs w:val="24"/>
    </w:rPr>
  </w:style>
  <w:style w:type="paragraph" w:styleId="18">
    <w:name w:val="Body Text First Indent"/>
    <w:basedOn w:val="10"/>
    <w:qFormat/>
    <w:uiPriority w:val="0"/>
    <w:pPr>
      <w:spacing w:after="120"/>
      <w:ind w:firstLine="420" w:firstLineChars="100"/>
    </w:pPr>
    <w:rPr>
      <w:rFonts w:ascii="Times New Roman" w:hAnsi="Times New Roman"/>
      <w:sz w:val="21"/>
    </w:rPr>
  </w:style>
  <w:style w:type="table" w:styleId="20">
    <w:name w:val="Table Grid"/>
    <w:basedOn w:val="1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Hyperlink"/>
    <w:qFormat/>
    <w:uiPriority w:val="99"/>
    <w:rPr>
      <w:color w:val="0000FF"/>
      <w:u w:val="single"/>
    </w:rPr>
  </w:style>
  <w:style w:type="character" w:styleId="23">
    <w:name w:val="HTML Sample"/>
    <w:basedOn w:val="21"/>
    <w:unhideWhenUsed/>
    <w:qFormat/>
    <w:uiPriority w:val="0"/>
    <w:rPr>
      <w:rFonts w:ascii="宋体" w:hAnsi="宋体" w:eastAsia="宋体" w:cs="宋体"/>
    </w:rPr>
  </w:style>
  <w:style w:type="paragraph" w:styleId="24">
    <w:name w:val="List Paragraph"/>
    <w:basedOn w:val="1"/>
    <w:unhideWhenUsed/>
    <w:qFormat/>
    <w:uiPriority w:val="99"/>
    <w:pPr>
      <w:ind w:firstLine="420" w:firstLineChars="200"/>
    </w:pPr>
  </w:style>
  <w:style w:type="paragraph" w:customStyle="1" w:styleId="25">
    <w:name w:val="样式 标题 3 + (中文) 黑体 小四 非加粗 段前: 7.8 磅 段后: 0 磅 行距: 固定值 20 磅"/>
    <w:basedOn w:val="5"/>
    <w:qFormat/>
    <w:uiPriority w:val="0"/>
    <w:pPr>
      <w:spacing w:before="0" w:after="0" w:line="400" w:lineRule="exact"/>
    </w:pPr>
    <w:rPr>
      <w:rFonts w:eastAsia="黑体" w:cs="宋体"/>
      <w:sz w:val="24"/>
      <w:szCs w:val="20"/>
    </w:rPr>
  </w:style>
  <w:style w:type="paragraph" w:customStyle="1" w:styleId="26">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paragraph" w:customStyle="1" w:styleId="27">
    <w:name w:val="WPS Plain"/>
    <w:qFormat/>
    <w:uiPriority w:val="0"/>
    <w:rPr>
      <w:rFonts w:ascii="Times New Roman" w:hAnsi="Times New Roman" w:eastAsia="宋体" w:cs="Times New Roman"/>
      <w:lang w:val="en-US" w:eastAsia="zh-CN" w:bidi="ar-SA"/>
    </w:rPr>
  </w:style>
  <w:style w:type="paragraph" w:customStyle="1" w:styleId="28">
    <w:name w:val="Blockquote"/>
    <w:basedOn w:val="1"/>
    <w:qFormat/>
    <w:uiPriority w:val="0"/>
    <w:pPr>
      <w:autoSpaceDE w:val="0"/>
      <w:autoSpaceDN w:val="0"/>
      <w:adjustRightInd w:val="0"/>
      <w:spacing w:before="100" w:after="100"/>
      <w:ind w:left="360" w:right="360"/>
      <w:jc w:val="left"/>
    </w:pPr>
    <w:rPr>
      <w:kern w:val="0"/>
      <w:sz w:val="24"/>
    </w:rPr>
  </w:style>
  <w:style w:type="paragraph" w:customStyle="1" w:styleId="29">
    <w:name w:val="Blockquote_0"/>
    <w:basedOn w:val="30"/>
    <w:qFormat/>
    <w:uiPriority w:val="0"/>
    <w:pPr>
      <w:autoSpaceDE w:val="0"/>
      <w:autoSpaceDN w:val="0"/>
      <w:adjustRightInd w:val="0"/>
      <w:spacing w:before="100" w:after="100"/>
      <w:ind w:left="360" w:right="360"/>
      <w:jc w:val="left"/>
    </w:pPr>
    <w:rPr>
      <w:rFonts w:ascii="Times New Roman" w:hAnsi="Times New Roman"/>
      <w:kern w:val="0"/>
      <w:sz w:val="24"/>
      <w:szCs w:val="20"/>
    </w:rPr>
  </w:style>
  <w:style w:type="paragraph" w:customStyle="1" w:styleId="30">
    <w:name w:val="正文_0"/>
    <w:qFormat/>
    <w:uiPriority w:val="0"/>
    <w:pPr>
      <w:widowControl w:val="0"/>
      <w:jc w:val="both"/>
    </w:pPr>
    <w:rPr>
      <w:rFonts w:ascii="Calibri" w:hAnsi="Calibri" w:eastAsia="宋体" w:cs="Times New Roman"/>
      <w:kern w:val="2"/>
      <w:sz w:val="21"/>
      <w:szCs w:val="22"/>
      <w:lang w:val="en-US" w:eastAsia="zh-CN" w:bidi="ar-SA"/>
    </w:rPr>
  </w:style>
  <w:style w:type="paragraph" w:customStyle="1" w:styleId="31">
    <w:name w:val="首行缩进"/>
    <w:basedOn w:val="1"/>
    <w:qFormat/>
    <w:uiPriority w:val="0"/>
    <w:pPr>
      <w:ind w:firstLine="480" w:firstLineChars="200"/>
    </w:pPr>
    <w:rPr>
      <w:lang w:val="zh-CN"/>
    </w:rPr>
  </w:style>
  <w:style w:type="paragraph" w:customStyle="1" w:styleId="32">
    <w:name w:val="GZTB段落样式"/>
    <w:basedOn w:val="1"/>
    <w:qFormat/>
    <w:uiPriority w:val="0"/>
    <w:pPr>
      <w:spacing w:after="200" w:line="440" w:lineRule="exact"/>
      <w:ind w:firstLine="420" w:firstLineChars="200"/>
    </w:pPr>
    <w:rPr>
      <w:rFonts w:ascii="新宋体" w:hAnsi="新宋体" w:eastAsia="新宋体"/>
      <w:szCs w:val="22"/>
    </w:rPr>
  </w:style>
  <w:style w:type="paragraph" w:customStyle="1" w:styleId="33">
    <w:name w:val="正文_1_0_0"/>
    <w:basedOn w:val="34"/>
    <w:qFormat/>
    <w:uiPriority w:val="0"/>
    <w:rPr>
      <w:rFonts w:ascii="Calibri" w:hAnsi="Calibri" w:cs="宋体"/>
      <w:szCs w:val="21"/>
    </w:rPr>
  </w:style>
  <w:style w:type="paragraph" w:customStyle="1" w:styleId="34">
    <w:name w:val="正文_1_1"/>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35">
    <w:name w:val="正文_1_0"/>
    <w:basedOn w:val="36"/>
    <w:next w:val="37"/>
    <w:qFormat/>
    <w:uiPriority w:val="0"/>
    <w:rPr>
      <w:rFonts w:ascii="Calibri" w:hAnsi="Calibri" w:cs="宋体"/>
      <w:szCs w:val="21"/>
    </w:rPr>
  </w:style>
  <w:style w:type="paragraph" w:customStyle="1" w:styleId="36">
    <w:name w:val="正文_1"/>
    <w:qFormat/>
    <w:uiPriority w:val="0"/>
    <w:pPr>
      <w:widowControl w:val="0"/>
      <w:jc w:val="both"/>
    </w:pPr>
    <w:rPr>
      <w:rFonts w:ascii="Calibri" w:hAnsi="Calibri" w:eastAsia="宋体" w:cs="Times New Roman"/>
      <w:kern w:val="2"/>
      <w:sz w:val="21"/>
      <w:szCs w:val="22"/>
      <w:lang w:val="en-US" w:eastAsia="zh-CN" w:bidi="ar-SA"/>
    </w:rPr>
  </w:style>
  <w:style w:type="paragraph" w:customStyle="1" w:styleId="37">
    <w:name w:val="正文首行缩进1"/>
    <w:basedOn w:val="38"/>
    <w:qFormat/>
    <w:uiPriority w:val="99"/>
    <w:pPr>
      <w:ind w:firstLine="420" w:firstLineChars="100"/>
    </w:pPr>
  </w:style>
  <w:style w:type="paragraph" w:customStyle="1" w:styleId="38">
    <w:name w:val="正文文本_0_0"/>
    <w:basedOn w:val="39"/>
    <w:qFormat/>
    <w:uiPriority w:val="0"/>
    <w:pPr>
      <w:spacing w:after="120"/>
    </w:pPr>
    <w:rPr>
      <w:kern w:val="0"/>
      <w:sz w:val="20"/>
    </w:rPr>
  </w:style>
  <w:style w:type="paragraph" w:customStyle="1" w:styleId="39">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40">
    <w:name w:val="Table Paragraph"/>
    <w:basedOn w:val="1"/>
    <w:qFormat/>
    <w:uiPriority w:val="1"/>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68</Pages>
  <Words>27222</Words>
  <Characters>29688</Characters>
  <Lines>0</Lines>
  <Paragraphs>0</Paragraphs>
  <TotalTime>65</TotalTime>
  <ScaleCrop>false</ScaleCrop>
  <LinksUpToDate>false</LinksUpToDate>
  <CharactersWithSpaces>35790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2022-05-13T03:34:00Z</dcterms:created>
  <dc:creator>Administrator</dc:creator>
  <cp:lastModifiedBy>A0000</cp:lastModifiedBy>
  <cp:lastPrinted>2022-06-06T02:17:00Z</cp:lastPrinted>
  <dcterms:modified xsi:type="dcterms:W3CDTF">2023-07-03T08:44:25Z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64C822343B3443D2B3E06E505AC39E1B</vt:lpwstr>
  </property>
</Properties>
</file>