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asciiTheme="minorEastAsia" w:hAnsiTheme="minorEastAsia" w:eastAsiaTheme="minorEastAsia" w:cstheme="minorEastAsia"/>
          <w:sz w:val="48"/>
          <w:szCs w:val="48"/>
        </w:rPr>
      </w:pPr>
    </w:p>
    <w:p>
      <w:pPr>
        <w:jc w:val="center"/>
        <w:rPr>
          <w:rFonts w:hint="eastAsia" w:asciiTheme="minorEastAsia" w:hAnsiTheme="minorEastAsia" w:eastAsiaTheme="minorEastAsia" w:cstheme="minorEastAsia"/>
          <w:b/>
          <w:bCs/>
          <w:kern w:val="0"/>
          <w:sz w:val="44"/>
          <w:szCs w:val="44"/>
          <w:lang w:eastAsia="zh-CN"/>
        </w:rPr>
      </w:pPr>
      <w:r>
        <w:rPr>
          <w:rFonts w:hint="eastAsia" w:asciiTheme="minorEastAsia" w:hAnsiTheme="minorEastAsia" w:eastAsiaTheme="minorEastAsia" w:cstheme="minorEastAsia"/>
          <w:b/>
          <w:bCs/>
          <w:kern w:val="0"/>
          <w:sz w:val="44"/>
          <w:szCs w:val="44"/>
          <w:lang w:eastAsia="zh-CN"/>
        </w:rPr>
        <w:t>阿拉套山雪豹专项调查项目</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kern w:val="0"/>
          <w:sz w:val="44"/>
          <w:szCs w:val="44"/>
        </w:rPr>
        <w:t>竞争性磋商文件</w:t>
      </w:r>
    </w:p>
    <w:p>
      <w:pPr>
        <w:pStyle w:val="22"/>
        <w:spacing w:line="240" w:lineRule="auto"/>
        <w:rPr>
          <w:rFonts w:asciiTheme="minorEastAsia" w:hAnsiTheme="minorEastAsia" w:eastAsiaTheme="minorEastAsia" w:cstheme="minorEastAsia"/>
          <w:sz w:val="32"/>
          <w:szCs w:val="32"/>
          <w:lang w:eastAsia="zh-CN"/>
        </w:rPr>
      </w:pPr>
    </w:p>
    <w:p>
      <w:pPr>
        <w:pStyle w:val="22"/>
        <w:spacing w:line="240" w:lineRule="auto"/>
        <w:rPr>
          <w:rFonts w:hint="eastAsia" w:asciiTheme="minorEastAsia" w:hAnsiTheme="minorEastAsia" w:eastAsiaTheme="minorEastAsia" w:cstheme="minorEastAsia"/>
          <w:b/>
          <w:bCs/>
          <w:color w:val="000000"/>
          <w:kern w:val="2"/>
          <w:sz w:val="28"/>
          <w:szCs w:val="28"/>
          <w:lang w:val="zh-CN" w:eastAsia="zh-CN"/>
        </w:rPr>
      </w:pPr>
    </w:p>
    <w:p>
      <w:pPr>
        <w:pStyle w:val="22"/>
        <w:spacing w:line="240" w:lineRule="auto"/>
        <w:rPr>
          <w:rFonts w:hint="eastAsia" w:asciiTheme="minorEastAsia" w:hAnsiTheme="minorEastAsia" w:eastAsiaTheme="minorEastAsia" w:cstheme="minorEastAsia"/>
          <w:b/>
          <w:bCs/>
          <w:color w:val="000000"/>
          <w:kern w:val="2"/>
          <w:sz w:val="28"/>
          <w:szCs w:val="28"/>
          <w:lang w:val="zh-CN" w:eastAsia="zh-CN"/>
        </w:rPr>
      </w:pPr>
    </w:p>
    <w:p>
      <w:pPr>
        <w:pStyle w:val="22"/>
        <w:spacing w:line="240" w:lineRule="auto"/>
        <w:rPr>
          <w:rFonts w:asciiTheme="minorEastAsia" w:hAnsiTheme="minorEastAsia" w:eastAsiaTheme="minorEastAsia" w:cstheme="minorEastAsia"/>
          <w:b/>
          <w:bCs/>
          <w:color w:val="000000"/>
          <w:kern w:val="2"/>
          <w:sz w:val="28"/>
          <w:szCs w:val="28"/>
          <w:lang w:eastAsia="zh-CN"/>
        </w:rPr>
      </w:pPr>
      <w:r>
        <w:rPr>
          <w:rFonts w:hint="eastAsia" w:asciiTheme="minorEastAsia" w:hAnsiTheme="minorEastAsia" w:eastAsiaTheme="minorEastAsia" w:cstheme="minorEastAsia"/>
          <w:b/>
          <w:bCs/>
          <w:color w:val="000000"/>
          <w:kern w:val="2"/>
          <w:sz w:val="28"/>
          <w:szCs w:val="28"/>
          <w:lang w:val="zh-CN" w:eastAsia="zh-CN"/>
        </w:rPr>
        <w:t>项目编号：HHRXCS2023-002</w:t>
      </w:r>
    </w:p>
    <w:p>
      <w:pPr>
        <w:ind w:left="1405" w:hanging="1405" w:hangingChars="500"/>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项目名称：</w:t>
      </w:r>
      <w:r>
        <w:rPr>
          <w:rFonts w:hint="eastAsia" w:asciiTheme="minorEastAsia" w:hAnsiTheme="minorEastAsia" w:eastAsiaTheme="minorEastAsia" w:cstheme="minorEastAsia"/>
          <w:b/>
          <w:bCs/>
          <w:color w:val="000000"/>
          <w:sz w:val="28"/>
          <w:szCs w:val="28"/>
          <w:lang w:val="zh-CN"/>
        </w:rPr>
        <w:t>阿拉套山雪豹专项调查项目</w:t>
      </w:r>
    </w:p>
    <w:p>
      <w:pP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采购单位：博尔塔拉蒙古自治州林业和草原局</w:t>
      </w:r>
    </w:p>
    <w:p>
      <w:pPr>
        <w:spacing w:line="700" w:lineRule="exact"/>
        <w:rPr>
          <w:rFonts w:asciiTheme="minorEastAsia" w:hAnsiTheme="minorEastAsia" w:eastAsiaTheme="minorEastAsia" w:cstheme="minorEastAsia"/>
          <w:b/>
          <w:bCs/>
          <w:color w:val="000000"/>
          <w:sz w:val="32"/>
          <w:szCs w:val="32"/>
          <w:lang w:val="zh-CN"/>
        </w:rPr>
      </w:pPr>
      <w:r>
        <w:rPr>
          <w:rFonts w:hint="eastAsia" w:asciiTheme="minorEastAsia" w:hAnsiTheme="minorEastAsia" w:eastAsiaTheme="minorEastAsia" w:cstheme="minorEastAsia"/>
          <w:b/>
          <w:bCs/>
          <w:color w:val="000000"/>
          <w:sz w:val="28"/>
          <w:szCs w:val="28"/>
          <w:lang w:val="zh-CN"/>
        </w:rPr>
        <w:t>招标代理机构：</w:t>
      </w:r>
      <w:r>
        <w:rPr>
          <w:rFonts w:hint="eastAsia" w:asciiTheme="minorEastAsia" w:hAnsiTheme="minorEastAsia" w:eastAsiaTheme="minorEastAsia" w:cstheme="minorEastAsia"/>
          <w:b/>
          <w:bCs/>
          <w:color w:val="000000"/>
          <w:sz w:val="28"/>
          <w:szCs w:val="28"/>
        </w:rPr>
        <w:t>新疆宏浩瑞祥项目管理咨询有限责任公司</w:t>
      </w:r>
    </w:p>
    <w:p>
      <w:pPr>
        <w:spacing w:line="700" w:lineRule="exact"/>
        <w:rPr>
          <w:rFonts w:asciiTheme="minorEastAsia" w:hAnsiTheme="minorEastAsia" w:eastAsiaTheme="minorEastAsia" w:cstheme="minorEastAsia"/>
          <w:color w:val="000000"/>
          <w:sz w:val="28"/>
          <w:szCs w:val="28"/>
        </w:rPr>
      </w:pPr>
    </w:p>
    <w:p>
      <w:pPr>
        <w:rPr>
          <w:rFonts w:asciiTheme="minorEastAsia" w:hAnsiTheme="minorEastAsia" w:eastAsiaTheme="minorEastAsia" w:cstheme="minorEastAsia"/>
          <w:b/>
          <w:bCs/>
          <w:color w:val="000000"/>
          <w:sz w:val="32"/>
          <w:szCs w:val="32"/>
        </w:rPr>
      </w:pPr>
    </w:p>
    <w:p>
      <w:pPr>
        <w:pStyle w:val="2"/>
      </w:pPr>
    </w:p>
    <w:p/>
    <w:p>
      <w:pPr>
        <w:pStyle w:val="2"/>
      </w:pPr>
    </w:p>
    <w:p/>
    <w:p>
      <w:pPr>
        <w:jc w:val="center"/>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新疆宏浩瑞祥项目管理咨询有限责任公司</w:t>
      </w:r>
    </w:p>
    <w:p>
      <w:pPr>
        <w:spacing w:line="520" w:lineRule="exact"/>
        <w:jc w:val="center"/>
        <w:rPr>
          <w:rFonts w:asciiTheme="minorEastAsia" w:hAnsiTheme="minorEastAsia" w:eastAsiaTheme="minorEastAsia" w:cstheme="minorEastAsia"/>
          <w:b/>
          <w:bCs/>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cstheme="minorEastAsia"/>
          <w:b/>
          <w:bCs/>
          <w:color w:val="000000"/>
          <w:sz w:val="32"/>
          <w:szCs w:val="32"/>
        </w:rPr>
        <w:t>2023年</w:t>
      </w:r>
      <w:r>
        <w:rPr>
          <w:rFonts w:hint="eastAsia" w:asciiTheme="minorEastAsia" w:hAnsiTheme="minorEastAsia" w:eastAsiaTheme="minorEastAsia" w:cstheme="minorEastAsia"/>
          <w:b/>
          <w:bCs/>
          <w:color w:val="000000"/>
          <w:sz w:val="32"/>
          <w:szCs w:val="32"/>
          <w:lang w:val="en-US" w:eastAsia="zh-CN"/>
        </w:rPr>
        <w:t>7</w:t>
      </w:r>
      <w:r>
        <w:rPr>
          <w:rFonts w:hint="eastAsia" w:asciiTheme="minorEastAsia" w:hAnsiTheme="minorEastAsia" w:eastAsiaTheme="minorEastAsia" w:cstheme="minorEastAsia"/>
          <w:b/>
          <w:bCs/>
          <w:color w:val="000000"/>
          <w:sz w:val="32"/>
          <w:szCs w:val="32"/>
        </w:rPr>
        <w:t>月</w:t>
      </w:r>
    </w:p>
    <w:p>
      <w:pPr>
        <w:pStyle w:val="16"/>
        <w:tabs>
          <w:tab w:val="right" w:leader="dot" w:pos="8541"/>
        </w:tabs>
        <w:spacing w:line="480" w:lineRule="auto"/>
        <w:rPr>
          <w:rFonts w:asciiTheme="minorEastAsia" w:hAnsiTheme="minorEastAsia" w:eastAsiaTheme="minorEastAsia" w:cstheme="minorEastAsia"/>
          <w:sz w:val="28"/>
          <w:szCs w:val="28"/>
        </w:rPr>
      </w:pPr>
    </w:p>
    <w:sdt>
      <w:sdtPr>
        <w:rPr>
          <w:rFonts w:hint="eastAsia" w:asciiTheme="minorEastAsia" w:hAnsiTheme="minorEastAsia" w:eastAsiaTheme="minorEastAsia" w:cstheme="minorEastAsia"/>
          <w:b/>
          <w:bCs/>
          <w:kern w:val="0"/>
          <w:sz w:val="28"/>
          <w:szCs w:val="28"/>
        </w:rPr>
        <w:id w:val="147478570"/>
        <w:docPartObj>
          <w:docPartGallery w:val="Table of Contents"/>
          <w:docPartUnique/>
        </w:docPartObj>
      </w:sdtPr>
      <w:sdtEndPr>
        <w:rPr>
          <w:rFonts w:hint="eastAsia" w:asciiTheme="minorEastAsia" w:hAnsiTheme="minorEastAsia" w:eastAsiaTheme="minorEastAsia" w:cstheme="minorEastAsia"/>
          <w:b/>
          <w:bCs/>
          <w:kern w:val="0"/>
          <w:sz w:val="28"/>
          <w:szCs w:val="28"/>
        </w:rPr>
      </w:sdtEndPr>
      <w:sdtContent>
        <w:p>
          <w:pPr>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目录</w:t>
          </w:r>
        </w:p>
        <w:p>
          <w:pPr>
            <w:pStyle w:val="23"/>
            <w:tabs>
              <w:tab w:val="right" w:leader="dot" w:pos="8312"/>
            </w:tabs>
            <w:spacing w:line="840" w:lineRule="exact"/>
            <w:rPr>
              <w:rFonts w:asciiTheme="minorEastAsia" w:hAnsiTheme="minorEastAsia" w:eastAsiaTheme="minorEastAsia" w:cstheme="minorEastAsia"/>
              <w:sz w:val="28"/>
              <w:szCs w:val="28"/>
            </w:rPr>
          </w:pPr>
          <w:r>
            <w:fldChar w:fldCharType="begin"/>
          </w:r>
          <w:r>
            <w:instrText xml:space="preserve"> HYPERLINK \l "_Toc22794_WPSOffice_Level1" </w:instrText>
          </w:r>
          <w:r>
            <w:fldChar w:fldCharType="separate"/>
          </w:r>
          <w:r>
            <w:rPr>
              <w:rFonts w:hint="eastAsia" w:asciiTheme="minorEastAsia" w:hAnsiTheme="minorEastAsia" w:eastAsiaTheme="minorEastAsia" w:cstheme="minorEastAsia"/>
              <w:sz w:val="28"/>
              <w:szCs w:val="28"/>
            </w:rPr>
            <w:t>第一部分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23"/>
            <w:tabs>
              <w:tab w:val="right" w:leader="dot" w:pos="8312"/>
            </w:tabs>
            <w:spacing w:line="840" w:lineRule="exact"/>
            <w:rPr>
              <w:rFonts w:asciiTheme="minorEastAsia" w:hAnsiTheme="minorEastAsia" w:eastAsiaTheme="minorEastAsia" w:cstheme="minorEastAsia"/>
              <w:sz w:val="28"/>
              <w:szCs w:val="28"/>
            </w:rPr>
          </w:pPr>
          <w:r>
            <w:fldChar w:fldCharType="begin"/>
          </w:r>
          <w:r>
            <w:instrText xml:space="preserve"> HYPERLINK \l "_Toc9092_WPSOffice_Level1" </w:instrText>
          </w:r>
          <w:r>
            <w:fldChar w:fldCharType="separate"/>
          </w:r>
          <w:r>
            <w:rPr>
              <w:rFonts w:hint="eastAsia" w:asciiTheme="minorEastAsia" w:hAnsiTheme="minorEastAsia" w:eastAsiaTheme="minorEastAsia" w:cstheme="minorEastAsia"/>
              <w:sz w:val="28"/>
              <w:szCs w:val="28"/>
            </w:rPr>
            <w:t>第二部分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23"/>
            <w:tabs>
              <w:tab w:val="right" w:leader="dot" w:pos="8312"/>
            </w:tabs>
            <w:spacing w:line="84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"_Toc3943_WPSOffice_Level1" </w:instrText>
          </w:r>
          <w:r>
            <w:fldChar w:fldCharType="separate"/>
          </w:r>
          <w:r>
            <w:rPr>
              <w:rFonts w:hint="eastAsia" w:asciiTheme="minorEastAsia" w:hAnsiTheme="minorEastAsia" w:eastAsiaTheme="minorEastAsia" w:cstheme="minorEastAsia"/>
              <w:sz w:val="28"/>
              <w:szCs w:val="28"/>
            </w:rPr>
            <w:t>第三部分 技术要求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6</w:t>
          </w:r>
        </w:p>
        <w:p>
          <w:pPr>
            <w:pStyle w:val="23"/>
            <w:tabs>
              <w:tab w:val="right" w:leader="dot" w:pos="8312"/>
            </w:tabs>
            <w:spacing w:line="84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"_Toc17758_WPSOffice_Level1" </w:instrText>
          </w:r>
          <w:r>
            <w:fldChar w:fldCharType="separate"/>
          </w:r>
          <w:r>
            <w:rPr>
              <w:rFonts w:hint="eastAsia" w:asciiTheme="minorEastAsia" w:hAnsiTheme="minorEastAsia" w:eastAsiaTheme="minorEastAsia" w:cstheme="minorEastAsia"/>
              <w:sz w:val="28"/>
              <w:szCs w:val="28"/>
            </w:rPr>
            <w:t>第四部分 通用合同条款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23"/>
            <w:tabs>
              <w:tab w:val="right" w:leader="dot" w:pos="8312"/>
            </w:tabs>
            <w:spacing w:line="84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"_Toc5960_WPSOffice_Level1" </w:instrText>
          </w:r>
          <w:r>
            <w:fldChar w:fldCharType="separate"/>
          </w:r>
          <w:r>
            <w:rPr>
              <w:rFonts w:hint="eastAsia" w:asciiTheme="minorEastAsia" w:hAnsiTheme="minorEastAsia" w:eastAsiaTheme="minorEastAsia" w:cstheme="minorEastAsia"/>
              <w:sz w:val="28"/>
              <w:szCs w:val="28"/>
            </w:rPr>
            <w:t>第五部分 范本格式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4</w:t>
          </w:r>
        </w:p>
        <w:p>
          <w:pPr>
            <w:pStyle w:val="23"/>
            <w:tabs>
              <w:tab w:val="right" w:leader="dot" w:pos="8312"/>
            </w:tabs>
            <w:rPr>
              <w:rFonts w:asciiTheme="minorEastAsia" w:hAnsiTheme="minorEastAsia" w:eastAsiaTheme="minorEastAsia" w:cstheme="minorEastAsia"/>
              <w:sz w:val="28"/>
              <w:szCs w:val="28"/>
            </w:rPr>
          </w:pPr>
        </w:p>
      </w:sdtContent>
    </w:sdt>
    <w:p>
      <w:pPr>
        <w:pStyle w:val="3"/>
        <w:spacing w:line="400" w:lineRule="atLeast"/>
        <w:ind w:left="0" w:firstLine="0"/>
        <w:jc w:val="center"/>
        <w:rPr>
          <w:rFonts w:hint="eastAsia" w:asciiTheme="minorEastAsia" w:hAnsiTheme="minorEastAsia" w:eastAsiaTheme="minorEastAsia" w:cstheme="minorEastAsia"/>
          <w:sz w:val="28"/>
          <w:szCs w:val="28"/>
        </w:rPr>
        <w:sectPr>
          <w:footerReference r:id="rId6" w:type="default"/>
          <w:pgSz w:w="11900" w:h="16840"/>
          <w:pgMar w:top="1440" w:right="1800" w:bottom="1440" w:left="1800" w:header="0" w:footer="0" w:gutter="0"/>
          <w:pgNumType w:fmt="decimal" w:start="1"/>
          <w:cols w:space="720" w:num="1"/>
        </w:sectPr>
      </w:pPr>
      <w:bookmarkStart w:id="0" w:name="_Toc22794_WPSOffice_Level1"/>
    </w:p>
    <w:p>
      <w:pPr>
        <w:pStyle w:val="3"/>
        <w:spacing w:line="400" w:lineRule="atLeast"/>
        <w:ind w:left="0" w:firstLine="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第一部分竞争性磋商公告</w:t>
      </w:r>
      <w:bookmarkEnd w:id="0"/>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1" locked="0" layoutInCell="1" allowOverlap="1">
                <wp:simplePos x="0" y="0"/>
                <wp:positionH relativeFrom="page">
                  <wp:posOffset>1071245</wp:posOffset>
                </wp:positionH>
                <wp:positionV relativeFrom="paragraph">
                  <wp:posOffset>205105</wp:posOffset>
                </wp:positionV>
                <wp:extent cx="5419090" cy="1251585"/>
                <wp:effectExtent l="4445" t="4445" r="5715" b="20320"/>
                <wp:wrapTopAndBottom/>
                <wp:docPr id="1" name="文本框 1"/>
                <wp:cNvGraphicFramePr/>
                <a:graphic xmlns:a="http://schemas.openxmlformats.org/drawingml/2006/main">
                  <a:graphicData uri="http://schemas.microsoft.com/office/word/2010/wordprocessingShape">
                    <wps:wsp>
                      <wps:cNvSpPr txBox="1"/>
                      <wps:spPr>
                        <a:xfrm>
                          <a:off x="0" y="0"/>
                          <a:ext cx="5419090" cy="1251585"/>
                        </a:xfrm>
                        <a:prstGeom prst="rect">
                          <a:avLst/>
                        </a:prstGeom>
                        <a:noFill/>
                        <a:ln w="6096" cap="flat" cmpd="sng">
                          <a:solidFill>
                            <a:srgbClr val="000000"/>
                          </a:solidFill>
                          <a:prstDash val="solid"/>
                          <a:miter/>
                          <a:headEnd type="none" w="med" len="med"/>
                          <a:tailEnd type="none" w="med" len="med"/>
                        </a:ln>
                      </wps:spPr>
                      <wps:txbx>
                        <w:txbxContent>
                          <w:p>
                            <w:pPr>
                              <w:pStyle w:val="4"/>
                              <w:spacing w:before="163"/>
                              <w:ind w:left="587"/>
                              <w:rPr>
                                <w:b/>
                                <w:bCs/>
                                <w:sz w:val="28"/>
                                <w:szCs w:val="28"/>
                              </w:rPr>
                            </w:pPr>
                            <w:r>
                              <w:rPr>
                                <w:b/>
                                <w:bCs/>
                                <w:sz w:val="28"/>
                                <w:szCs w:val="28"/>
                              </w:rPr>
                              <w:t xml:space="preserve">项目概况 </w:t>
                            </w:r>
                          </w:p>
                          <w:p>
                            <w:pPr>
                              <w:spacing w:line="360" w:lineRule="exact"/>
                              <w:ind w:firstLine="560" w:firstLineChars="200"/>
                              <w:rPr>
                                <w:rFonts w:ascii="宋体" w:hAnsi="宋体" w:cs="宋体"/>
                                <w:sz w:val="28"/>
                                <w:szCs w:val="28"/>
                                <w:lang w:val="zh-CN"/>
                              </w:rPr>
                            </w:pPr>
                            <w:r>
                              <w:rPr>
                                <w:rFonts w:hint="eastAsia" w:ascii="宋体" w:hAnsi="宋体" w:cs="宋体"/>
                                <w:sz w:val="28"/>
                                <w:szCs w:val="28"/>
                                <w:u w:val="single"/>
                                <w:lang w:eastAsia="zh-CN"/>
                              </w:rPr>
                              <w:t>阿拉套山雪豹专项调查项目</w:t>
                            </w:r>
                            <w:r>
                              <w:rPr>
                                <w:rFonts w:hint="eastAsia" w:ascii="宋体" w:hAnsi="宋体" w:cs="宋体"/>
                                <w:sz w:val="28"/>
                                <w:szCs w:val="28"/>
                              </w:rPr>
                              <w:t>招标项目的潜在投标人应在新疆政府采购网政采云平台（http://www.ccgp-xinjiang.gov.cn/）获取采购文件，并于</w:t>
                            </w:r>
                            <w:r>
                              <w:rPr>
                                <w:rFonts w:hint="eastAsia" w:ascii="宋体" w:hAnsi="宋体" w:cs="宋体"/>
                                <w:color w:val="auto"/>
                                <w:sz w:val="28"/>
                                <w:szCs w:val="28"/>
                                <w:u w:val="single"/>
                              </w:rPr>
                              <w:t>2023年</w:t>
                            </w:r>
                            <w:r>
                              <w:rPr>
                                <w:rFonts w:hint="eastAsia" w:ascii="宋体" w:hAnsi="宋体" w:cs="宋体"/>
                                <w:color w:val="auto"/>
                                <w:sz w:val="28"/>
                                <w:szCs w:val="28"/>
                                <w:u w:val="single"/>
                                <w:lang w:val="en-US" w:eastAsia="zh-CN"/>
                              </w:rPr>
                              <w:t>07</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日11</w:t>
                            </w:r>
                            <w:r>
                              <w:rPr>
                                <w:rFonts w:hint="eastAsia" w:ascii="宋体" w:hAnsi="宋体" w:cs="宋体"/>
                                <w:bCs/>
                                <w:color w:val="auto"/>
                                <w:sz w:val="28"/>
                                <w:szCs w:val="28"/>
                                <w:u w:val="single"/>
                              </w:rPr>
                              <w:t>点00分</w:t>
                            </w:r>
                            <w:r>
                              <w:rPr>
                                <w:rFonts w:hint="eastAsia" w:ascii="宋体" w:hAnsi="宋体" w:cs="宋体"/>
                                <w:bCs/>
                                <w:color w:val="auto"/>
                                <w:sz w:val="28"/>
                                <w:szCs w:val="28"/>
                              </w:rPr>
                              <w:t>（北京时间）</w:t>
                            </w:r>
                            <w:r>
                              <w:rPr>
                                <w:rFonts w:hint="eastAsia" w:ascii="宋体" w:hAnsi="宋体" w:cs="宋体"/>
                                <w:bCs/>
                                <w:sz w:val="28"/>
                                <w:szCs w:val="28"/>
                              </w:rPr>
                              <w:t>前提交响应文件</w:t>
                            </w:r>
                            <w:r>
                              <w:rPr>
                                <w:rFonts w:hint="eastAsia" w:ascii="宋体" w:hAnsi="宋体" w:cs="宋体"/>
                                <w:sz w:val="28"/>
                                <w:szCs w:val="28"/>
                                <w:lang w:val="zh-CN"/>
                              </w:rPr>
                              <w:t>。</w:t>
                            </w:r>
                          </w:p>
                          <w:p>
                            <w:pPr>
                              <w:pStyle w:val="4"/>
                              <w:spacing w:before="2" w:line="480" w:lineRule="atLeast"/>
                              <w:ind w:left="108" w:right="108" w:firstLine="479"/>
                            </w:pPr>
                            <w:r>
                              <w:t xml:space="preserve"> </w:t>
                            </w:r>
                          </w:p>
                        </w:txbxContent>
                      </wps:txbx>
                      <wps:bodyPr lIns="0" tIns="0" rIns="0" bIns="0" upright="1"/>
                    </wps:wsp>
                  </a:graphicData>
                </a:graphic>
              </wp:anchor>
            </w:drawing>
          </mc:Choice>
          <mc:Fallback>
            <w:pict>
              <v:shape id="_x0000_s1026" o:spid="_x0000_s1026" o:spt="202" type="#_x0000_t202" style="position:absolute;left:0pt;margin-left:84.35pt;margin-top:16.15pt;height:98.55pt;width:426.7pt;mso-position-horizontal-relative:page;mso-wrap-distance-bottom:0pt;mso-wrap-distance-top:0pt;z-index:-251657216;mso-width-relative:page;mso-height-relative:page;" filled="f" stroked="t" coordsize="21600,21600" o:gfxdata="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ZAJmdgAAAALAQAADwAAAAAA&#10;AAABACAAAAAiAAAAZHJzL2Rvd25yZXYueG1sUEsBAhQAFAAAAAgAh07iQOS9djYTAgAAMgQAAA4A&#10;AAAAAAAAAQAgAAAAJwEAAGRycy9lMm9Eb2MueG1sUEsFBgAAAAAGAAYAWQEAAKwFAAAAAA==&#10;">
                <v:fill on="f" focussize="0,0"/>
                <v:stroke weight="0.48pt" color="#000000" joinstyle="miter"/>
                <v:imagedata o:title=""/>
                <o:lock v:ext="edit" aspectratio="f"/>
                <v:textbox inset="0mm,0mm,0mm,0mm">
                  <w:txbxContent>
                    <w:p>
                      <w:pPr>
                        <w:pStyle w:val="4"/>
                        <w:spacing w:before="163"/>
                        <w:ind w:left="587"/>
                        <w:rPr>
                          <w:b/>
                          <w:bCs/>
                          <w:sz w:val="28"/>
                          <w:szCs w:val="28"/>
                        </w:rPr>
                      </w:pPr>
                      <w:r>
                        <w:rPr>
                          <w:b/>
                          <w:bCs/>
                          <w:sz w:val="28"/>
                          <w:szCs w:val="28"/>
                        </w:rPr>
                        <w:t xml:space="preserve">项目概况 </w:t>
                      </w:r>
                    </w:p>
                    <w:p>
                      <w:pPr>
                        <w:spacing w:line="360" w:lineRule="exact"/>
                        <w:ind w:firstLine="560" w:firstLineChars="200"/>
                        <w:rPr>
                          <w:rFonts w:ascii="宋体" w:hAnsi="宋体" w:cs="宋体"/>
                          <w:sz w:val="28"/>
                          <w:szCs w:val="28"/>
                          <w:lang w:val="zh-CN"/>
                        </w:rPr>
                      </w:pPr>
                      <w:r>
                        <w:rPr>
                          <w:rFonts w:hint="eastAsia" w:ascii="宋体" w:hAnsi="宋体" w:cs="宋体"/>
                          <w:sz w:val="28"/>
                          <w:szCs w:val="28"/>
                          <w:u w:val="single"/>
                          <w:lang w:eastAsia="zh-CN"/>
                        </w:rPr>
                        <w:t>阿拉套山雪豹专项调查项目</w:t>
                      </w:r>
                      <w:r>
                        <w:rPr>
                          <w:rFonts w:hint="eastAsia" w:ascii="宋体" w:hAnsi="宋体" w:cs="宋体"/>
                          <w:sz w:val="28"/>
                          <w:szCs w:val="28"/>
                        </w:rPr>
                        <w:t>招标项目的潜在投标人应在新疆政府采购网政采云平台（http://www.ccgp-xinjiang.gov.cn/）获取采购文件，并于</w:t>
                      </w:r>
                      <w:r>
                        <w:rPr>
                          <w:rFonts w:hint="eastAsia" w:ascii="宋体" w:hAnsi="宋体" w:cs="宋体"/>
                          <w:color w:val="auto"/>
                          <w:sz w:val="28"/>
                          <w:szCs w:val="28"/>
                          <w:u w:val="single"/>
                        </w:rPr>
                        <w:t>2023年</w:t>
                      </w:r>
                      <w:r>
                        <w:rPr>
                          <w:rFonts w:hint="eastAsia" w:ascii="宋体" w:hAnsi="宋体" w:cs="宋体"/>
                          <w:color w:val="auto"/>
                          <w:sz w:val="28"/>
                          <w:szCs w:val="28"/>
                          <w:u w:val="single"/>
                          <w:lang w:val="en-US" w:eastAsia="zh-CN"/>
                        </w:rPr>
                        <w:t>07</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14</w:t>
                      </w:r>
                      <w:r>
                        <w:rPr>
                          <w:rFonts w:hint="eastAsia" w:ascii="宋体" w:hAnsi="宋体" w:cs="宋体"/>
                          <w:color w:val="auto"/>
                          <w:sz w:val="28"/>
                          <w:szCs w:val="28"/>
                          <w:u w:val="single"/>
                        </w:rPr>
                        <w:t>日11</w:t>
                      </w:r>
                      <w:r>
                        <w:rPr>
                          <w:rFonts w:hint="eastAsia" w:ascii="宋体" w:hAnsi="宋体" w:cs="宋体"/>
                          <w:bCs/>
                          <w:color w:val="auto"/>
                          <w:sz w:val="28"/>
                          <w:szCs w:val="28"/>
                          <w:u w:val="single"/>
                        </w:rPr>
                        <w:t>点00分</w:t>
                      </w:r>
                      <w:r>
                        <w:rPr>
                          <w:rFonts w:hint="eastAsia" w:ascii="宋体" w:hAnsi="宋体" w:cs="宋体"/>
                          <w:bCs/>
                          <w:color w:val="auto"/>
                          <w:sz w:val="28"/>
                          <w:szCs w:val="28"/>
                        </w:rPr>
                        <w:t>（北京时间）</w:t>
                      </w:r>
                      <w:r>
                        <w:rPr>
                          <w:rFonts w:hint="eastAsia" w:ascii="宋体" w:hAnsi="宋体" w:cs="宋体"/>
                          <w:bCs/>
                          <w:sz w:val="28"/>
                          <w:szCs w:val="28"/>
                        </w:rPr>
                        <w:t>前提交响应文件</w:t>
                      </w:r>
                      <w:r>
                        <w:rPr>
                          <w:rFonts w:hint="eastAsia" w:ascii="宋体" w:hAnsi="宋体" w:cs="宋体"/>
                          <w:sz w:val="28"/>
                          <w:szCs w:val="28"/>
                          <w:lang w:val="zh-CN"/>
                        </w:rPr>
                        <w:t>。</w:t>
                      </w:r>
                    </w:p>
                    <w:p>
                      <w:pPr>
                        <w:pStyle w:val="4"/>
                        <w:spacing w:before="2" w:line="480" w:lineRule="atLeast"/>
                        <w:ind w:left="108" w:right="108" w:firstLine="479"/>
                      </w:pPr>
                      <w:r>
                        <w:t xml:space="preserve"> </w:t>
                      </w:r>
                    </w:p>
                  </w:txbxContent>
                </v:textbox>
                <w10:wrap type="topAndBottom"/>
              </v:shape>
            </w:pict>
          </mc:Fallback>
        </mc:AlternateContent>
      </w:r>
    </w:p>
    <w:p>
      <w:pPr>
        <w:rPr>
          <w:rFonts w:asciiTheme="minorEastAsia" w:hAnsiTheme="minorEastAsia" w:eastAsiaTheme="minorEastAsia" w:cstheme="minorEastAsia"/>
          <w:b/>
          <w:bCs/>
          <w:sz w:val="28"/>
          <w:szCs w:val="28"/>
        </w:rPr>
      </w:pPr>
      <w:bookmarkStart w:id="1" w:name="_Toc28359089"/>
      <w:bookmarkStart w:id="2" w:name="_Toc28359012"/>
      <w:bookmarkStart w:id="3" w:name="_Toc35393798"/>
      <w:bookmarkStart w:id="4" w:name="_Toc35393629"/>
      <w:r>
        <w:rPr>
          <w:rFonts w:hint="eastAsia" w:asciiTheme="minorEastAsia" w:hAnsiTheme="minorEastAsia" w:eastAsiaTheme="minorEastAsia" w:cstheme="minorEastAsia"/>
          <w:b/>
          <w:bCs/>
          <w:sz w:val="28"/>
          <w:szCs w:val="28"/>
        </w:rPr>
        <w:t>一、项目基本情况</w:t>
      </w:r>
      <w:bookmarkEnd w:id="1"/>
      <w:bookmarkEnd w:id="2"/>
      <w:bookmarkEnd w:id="3"/>
      <w:bookmarkEnd w:id="4"/>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HHRXCS2023-002</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阿拉套山雪豹专项调查项目</w:t>
      </w: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采购方式</w:t>
      </w:r>
      <w:r>
        <w:rPr>
          <w:rFonts w:hint="eastAsia" w:asciiTheme="minorEastAsia" w:hAnsiTheme="minorEastAsia" w:eastAsiaTheme="minorEastAsia" w:cstheme="minorEastAsia"/>
          <w:color w:val="auto"/>
          <w:sz w:val="28"/>
          <w:szCs w:val="28"/>
        </w:rPr>
        <w:t xml:space="preserve">：竞争性磋商 </w:t>
      </w: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预算金额（元）</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902000</w:t>
      </w:r>
      <w:r>
        <w:rPr>
          <w:rFonts w:hint="eastAsia" w:asciiTheme="minorEastAsia" w:hAnsiTheme="minorEastAsia" w:eastAsiaTheme="minorEastAsia" w:cstheme="minorEastAsia"/>
          <w:color w:val="auto"/>
          <w:sz w:val="28"/>
          <w:szCs w:val="28"/>
        </w:rPr>
        <w:t>.00</w:t>
      </w: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最高限价（元）</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902000</w:t>
      </w:r>
      <w:r>
        <w:rPr>
          <w:rFonts w:hint="eastAsia" w:asciiTheme="minorEastAsia" w:hAnsiTheme="minorEastAsia" w:eastAsiaTheme="minorEastAsia" w:cstheme="minorEastAsia"/>
          <w:color w:val="auto"/>
          <w:sz w:val="28"/>
          <w:szCs w:val="28"/>
        </w:rPr>
        <w:t>.00</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采购需求</w:t>
      </w:r>
      <w:r>
        <w:rPr>
          <w:rFonts w:hint="eastAsia" w:asciiTheme="minorEastAsia" w:hAnsiTheme="minorEastAsia" w:eastAsiaTheme="minorEastAsia" w:cstheme="minorEastAsia"/>
          <w:sz w:val="28"/>
          <w:szCs w:val="28"/>
        </w:rPr>
        <w:t>：1、种群分布数量：调查监测区域内雪豹及其主要猎物等种群分布和数量，推算主要调查对象雪豹的种群密度；2. 栖息地状况：雪豹等主要调查对象物种的核心栖息地、潜在栖息地和生态廊道判别；</w:t>
      </w:r>
      <w:bookmarkStart w:id="226" w:name="_GoBack"/>
      <w:bookmarkEnd w:id="226"/>
      <w:r>
        <w:rPr>
          <w:rFonts w:hint="eastAsia" w:asciiTheme="minorEastAsia" w:hAnsiTheme="minorEastAsia" w:eastAsiaTheme="minorEastAsia" w:cstheme="minorEastAsia"/>
          <w:sz w:val="28"/>
          <w:szCs w:val="28"/>
        </w:rPr>
        <w:t>3. 受威胁状况：对象物种在调查区域内的受威胁因素和程度。</w:t>
      </w:r>
    </w:p>
    <w:p>
      <w:pPr>
        <w:rPr>
          <w:rFonts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b/>
          <w:bCs/>
          <w:sz w:val="28"/>
          <w:szCs w:val="28"/>
        </w:rPr>
        <w:t>合同履行期限</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2023年07月-2024年0</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rPr>
        <w:t>。</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b/>
          <w:bCs/>
          <w:sz w:val="28"/>
          <w:szCs w:val="28"/>
        </w:rPr>
        <w:t>不接受</w:t>
      </w:r>
      <w:r>
        <w:rPr>
          <w:rFonts w:hint="eastAsia" w:asciiTheme="minorEastAsia" w:hAnsiTheme="minorEastAsia" w:eastAsiaTheme="minorEastAsia" w:cstheme="minorEastAsia"/>
          <w:sz w:val="28"/>
          <w:szCs w:val="28"/>
        </w:rPr>
        <w:t>联合体投标。</w:t>
      </w:r>
    </w:p>
    <w:p>
      <w:pPr>
        <w:rPr>
          <w:rFonts w:asciiTheme="minorEastAsia" w:hAnsiTheme="minorEastAsia" w:eastAsiaTheme="minorEastAsia" w:cstheme="minorEastAsia"/>
          <w:sz w:val="28"/>
          <w:szCs w:val="28"/>
        </w:rPr>
      </w:pPr>
      <w:bookmarkStart w:id="5" w:name="_Toc28359090"/>
      <w:bookmarkStart w:id="6" w:name="_Toc35393799"/>
      <w:bookmarkStart w:id="7" w:name="_Toc35393630"/>
      <w:bookmarkStart w:id="8" w:name="_Toc28359013"/>
      <w:r>
        <w:rPr>
          <w:rFonts w:hint="eastAsia" w:asciiTheme="minorEastAsia" w:hAnsiTheme="minorEastAsia" w:eastAsiaTheme="minorEastAsia" w:cstheme="minorEastAsia"/>
          <w:b/>
          <w:bCs/>
          <w:sz w:val="28"/>
          <w:szCs w:val="28"/>
        </w:rPr>
        <w:t>二、申请人的资格要求</w:t>
      </w:r>
      <w:r>
        <w:rPr>
          <w:rFonts w:hint="eastAsia" w:asciiTheme="minorEastAsia" w:hAnsiTheme="minorEastAsia" w:eastAsiaTheme="minorEastAsia" w:cstheme="minorEastAsia"/>
          <w:sz w:val="28"/>
          <w:szCs w:val="28"/>
        </w:rPr>
        <w:t>：</w:t>
      </w:r>
      <w:bookmarkEnd w:id="5"/>
      <w:bookmarkEnd w:id="6"/>
      <w:bookmarkEnd w:id="7"/>
      <w:bookmarkEnd w:id="8"/>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1.满足《中华人民共和国政府采购法》第二十二条规定。</w:t>
      </w:r>
    </w:p>
    <w:p>
      <w:pPr>
        <w:rPr>
          <w:rFonts w:asciiTheme="minorEastAsia" w:hAnsiTheme="minorEastAsia" w:eastAsiaTheme="minorEastAsia" w:cstheme="minorEastAsia"/>
          <w:sz w:val="28"/>
          <w:szCs w:val="28"/>
        </w:rPr>
      </w:pPr>
      <w:bookmarkStart w:id="9" w:name="_Toc28359091"/>
      <w:bookmarkStart w:id="10" w:name="_Toc28359014"/>
      <w:r>
        <w:rPr>
          <w:rFonts w:hint="eastAsia" w:asciiTheme="minorEastAsia" w:hAnsiTheme="minorEastAsia" w:eastAsiaTheme="minorEastAsia" w:cstheme="minorEastAsia"/>
          <w:b/>
          <w:bCs/>
          <w:sz w:val="28"/>
          <w:szCs w:val="28"/>
        </w:rPr>
        <w:t>2.落实政府采购政策需满足的资格要求：</w:t>
      </w:r>
      <w:r>
        <w:rPr>
          <w:rFonts w:hint="eastAsia" w:asciiTheme="minorEastAsia" w:hAnsiTheme="minorEastAsia" w:eastAsiaTheme="minorEastAsia" w:cstheme="minorEastAsia"/>
          <w:sz w:val="28"/>
          <w:szCs w:val="28"/>
        </w:rPr>
        <w:t>供应商为中小企业1、《财政部 国家发展改革委关于印发〈节能产品政府采购实施意见〉的通知》（财库〔2004〕185号）；2、《财政部 环保总局关于环境标志产品政府采购实施的意见》（财库〔2006〕90号）；3、《政府采购促进中小企业发展暂行办法》（财库〔2020〕46号）；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spacing w:before="49" w:line="329" w:lineRule="auto"/>
        <w:ind w:left="122" w:right="25" w:firstLine="3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3.本项目的特定资格要求</w:t>
      </w:r>
      <w:r>
        <w:rPr>
          <w:rFonts w:hint="eastAsia" w:asciiTheme="minorEastAsia" w:hAnsiTheme="minorEastAsia" w:eastAsiaTheme="minorEastAsia" w:cstheme="minorEastAsia"/>
          <w:sz w:val="28"/>
          <w:szCs w:val="28"/>
        </w:rPr>
        <w:t>：</w:t>
      </w:r>
      <w:bookmarkStart w:id="11" w:name="_Toc35393631"/>
      <w:bookmarkStart w:id="12" w:name="_Toc35393800"/>
      <w:r>
        <w:rPr>
          <w:rFonts w:hint="eastAsia" w:asciiTheme="minorEastAsia" w:hAnsiTheme="minorEastAsia" w:eastAsiaTheme="minorEastAsia" w:cstheme="minorEastAsia"/>
          <w:sz w:val="28"/>
          <w:szCs w:val="28"/>
        </w:rPr>
        <w:t>投标人须能够独立承担民事责任能力和良好诚信的合法经营单位或证明；近三年有类似的业绩并在人员、设备、资金等方面具有相应的响应能力；单位负责人为同一人或者存在直接控股、管理关系的不同供应商不得参加本项目同一包的投标。项目负责人相关专业中级（及以上）职称证书或所在单位人事部门出具的职称证明；参加本项目投标的企业必须在“信用中国”、中国政府采购网(www.ccgp.gov.cn)、网站 (www.creditchina.gov.cn) 网站中没有被列入失信被执行人、重大税收违法案件当事人名单、 政府采购不良行为记录名单、未被列入经营异常名录或严重违法失信企业黑名单，否则将否决其投标。</w:t>
      </w:r>
    </w:p>
    <w:p>
      <w:pPr>
        <w:spacing w:before="49" w:line="329" w:lineRule="auto"/>
        <w:ind w:right="25"/>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三、获取采购文件</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时 间</w:t>
      </w:r>
      <w:r>
        <w:rPr>
          <w:rFonts w:hint="eastAsia" w:asciiTheme="minorEastAsia" w:hAnsiTheme="minorEastAsia" w:eastAsiaTheme="minorEastAsia" w:cstheme="minorEastAsia"/>
          <w:sz w:val="28"/>
          <w:szCs w:val="28"/>
        </w:rPr>
        <w:t>：2023年07月04日至2023年07月11日，每天上午00:00至14:00，下午14:00至23:59（北京时间，法定节假日除外）</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4"/>
          <w:szCs w:val="24"/>
        </w:rPr>
        <w:t>新疆政府采购网政采云平台（http://www.ccgp-xinjiang.gov.cn/）</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方式</w:t>
      </w:r>
      <w:r>
        <w:rPr>
          <w:rFonts w:hint="eastAsia" w:asciiTheme="minorEastAsia" w:hAnsiTheme="minorEastAsia" w:eastAsiaTheme="minorEastAsia" w:cstheme="minorEastAsia"/>
          <w:sz w:val="28"/>
          <w:szCs w:val="28"/>
        </w:rPr>
        <w:t>：供应商登录政采云平台在线申请获取采购文件（进入“项目采购”应用，在获取采购文件菜单中选择项目，申请获取采购文件）</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售价（元）</w:t>
      </w:r>
      <w:r>
        <w:rPr>
          <w:rFonts w:hint="eastAsia" w:asciiTheme="minorEastAsia" w:hAnsiTheme="minorEastAsia" w:eastAsiaTheme="minorEastAsia" w:cstheme="minorEastAsia"/>
          <w:sz w:val="28"/>
          <w:szCs w:val="28"/>
        </w:rPr>
        <w:t>：/</w:t>
      </w:r>
    </w:p>
    <w:p>
      <w:pPr>
        <w:rPr>
          <w:rFonts w:asciiTheme="minorEastAsia" w:hAnsiTheme="minorEastAsia" w:eastAsiaTheme="minorEastAsia" w:cstheme="minorEastAsia"/>
          <w:b/>
          <w:bCs/>
          <w:sz w:val="28"/>
          <w:szCs w:val="28"/>
        </w:rPr>
      </w:pPr>
      <w:bookmarkStart w:id="13" w:name="_Toc28359015"/>
      <w:bookmarkStart w:id="14" w:name="_Toc35393632"/>
      <w:bookmarkStart w:id="15" w:name="_Toc28359092"/>
      <w:bookmarkStart w:id="16" w:name="_Toc35393801"/>
      <w:r>
        <w:rPr>
          <w:rFonts w:hint="eastAsia" w:asciiTheme="minorEastAsia" w:hAnsiTheme="minorEastAsia" w:eastAsiaTheme="minorEastAsia" w:cstheme="minorEastAsia"/>
          <w:b/>
          <w:bCs/>
          <w:sz w:val="28"/>
          <w:szCs w:val="28"/>
        </w:rPr>
        <w:t>四、响应文件提交</w:t>
      </w:r>
      <w:bookmarkEnd w:id="13"/>
      <w:bookmarkEnd w:id="14"/>
      <w:bookmarkEnd w:id="15"/>
      <w:bookmarkEnd w:id="16"/>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截止时间：</w:t>
      </w:r>
      <w:r>
        <w:rPr>
          <w:rFonts w:hint="eastAsia" w:asciiTheme="minorEastAsia" w:hAnsiTheme="minorEastAsia" w:eastAsiaTheme="minorEastAsia" w:cstheme="minorEastAsia"/>
          <w:color w:val="auto"/>
          <w:sz w:val="28"/>
          <w:szCs w:val="28"/>
        </w:rPr>
        <w:t>2023年</w:t>
      </w:r>
      <w:r>
        <w:rPr>
          <w:rFonts w:hint="eastAsia" w:asciiTheme="minorEastAsia" w:hAnsiTheme="minorEastAsia" w:eastAsia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点00分（北京时间）</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w:t>
      </w:r>
      <w:bookmarkStart w:id="17" w:name="_Toc35393802"/>
      <w:bookmarkStart w:id="18" w:name="_Toc28359093"/>
      <w:bookmarkStart w:id="19" w:name="_Toc35393633"/>
      <w:bookmarkStart w:id="20" w:name="_Toc28359016"/>
      <w:r>
        <w:rPr>
          <w:rFonts w:hint="eastAsia" w:asciiTheme="minorEastAsia" w:hAnsiTheme="minorEastAsia" w:eastAsiaTheme="minorEastAsia" w:cstheme="minorEastAsia"/>
          <w:sz w:val="28"/>
          <w:szCs w:val="28"/>
        </w:rPr>
        <w:t>请使用CA数字证书登录政采云平台（http://www.ccgp-xinjiang.gov.cn/）上传加密版投标文件。</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五、响应开启</w:t>
      </w:r>
      <w:bookmarkEnd w:id="17"/>
      <w:bookmarkEnd w:id="18"/>
      <w:bookmarkEnd w:id="19"/>
      <w:bookmarkEnd w:id="20"/>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auto"/>
          <w:sz w:val="28"/>
          <w:szCs w:val="28"/>
        </w:rPr>
        <w:t>2023年</w:t>
      </w:r>
      <w:r>
        <w:rPr>
          <w:rFonts w:hint="eastAsia" w:asciiTheme="minorEastAsia" w:hAnsiTheme="minorEastAsia" w:eastAsia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日1</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点00分（北京时间）</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w:t>
      </w:r>
      <w:bookmarkStart w:id="21" w:name="_Toc35393634"/>
      <w:bookmarkStart w:id="22" w:name="_Toc35393803"/>
      <w:bookmarkStart w:id="23" w:name="_Toc28359017"/>
      <w:bookmarkStart w:id="24" w:name="_Toc28359094"/>
      <w:r>
        <w:rPr>
          <w:rFonts w:hint="eastAsia" w:asciiTheme="minorEastAsia" w:hAnsiTheme="minorEastAsia" w:eastAsiaTheme="minorEastAsia" w:cstheme="minorEastAsia"/>
          <w:sz w:val="24"/>
          <w:szCs w:val="24"/>
        </w:rPr>
        <w:t>新疆政府采购网政采云平台（http://www.ccgp-xinjiang.gov.cn/）</w:t>
      </w:r>
      <w:r>
        <w:rPr>
          <w:rFonts w:hint="eastAsia" w:asciiTheme="minorEastAsia" w:hAnsiTheme="minorEastAsia" w:eastAsiaTheme="minorEastAsia" w:cstheme="minorEastAsia"/>
          <w:sz w:val="28"/>
          <w:szCs w:val="28"/>
        </w:rPr>
        <w:t> </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六、公告期限</w:t>
      </w:r>
      <w:bookmarkEnd w:id="21"/>
      <w:bookmarkEnd w:id="22"/>
      <w:bookmarkEnd w:id="23"/>
      <w:bookmarkEnd w:id="24"/>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w:t>
      </w:r>
    </w:p>
    <w:p>
      <w:pPr>
        <w:rPr>
          <w:rFonts w:asciiTheme="minorEastAsia" w:hAnsiTheme="minorEastAsia" w:eastAsiaTheme="minorEastAsia" w:cstheme="minorEastAsia"/>
          <w:b/>
          <w:bCs/>
          <w:sz w:val="28"/>
          <w:szCs w:val="28"/>
        </w:rPr>
      </w:pPr>
      <w:bookmarkStart w:id="25" w:name="_Toc35393635"/>
      <w:bookmarkStart w:id="26" w:name="_Toc35393804"/>
      <w:r>
        <w:rPr>
          <w:rFonts w:hint="eastAsia" w:asciiTheme="minorEastAsia" w:hAnsiTheme="minorEastAsia" w:eastAsiaTheme="minorEastAsia" w:cstheme="minorEastAsia"/>
          <w:b/>
          <w:bCs/>
          <w:sz w:val="28"/>
          <w:szCs w:val="28"/>
        </w:rPr>
        <w:t>七、其他补充事宜</w:t>
      </w:r>
      <w:bookmarkEnd w:id="25"/>
      <w:bookmarkEnd w:id="26"/>
    </w:p>
    <w:p>
      <w:pPr>
        <w:rPr>
          <w:rFonts w:asciiTheme="minorEastAsia" w:hAnsiTheme="minorEastAsia" w:eastAsiaTheme="minorEastAsia" w:cstheme="minorEastAsia"/>
          <w:sz w:val="28"/>
          <w:szCs w:val="28"/>
        </w:rPr>
      </w:pPr>
      <w:bookmarkStart w:id="27" w:name="_Toc28359018"/>
      <w:bookmarkStart w:id="28" w:name="_Toc35393636"/>
      <w:bookmarkStart w:id="29" w:name="_Toc35393805"/>
      <w:bookmarkStart w:id="30" w:name="_Toc28359095"/>
      <w:r>
        <w:rPr>
          <w:rFonts w:hint="eastAsia" w:asciiTheme="minorEastAsia" w:hAnsiTheme="minorEastAsia" w:eastAsiaTheme="minorEastAsia" w:cstheme="minorEastAsia"/>
          <w:sz w:val="28"/>
          <w:szCs w:val="28"/>
        </w:rPr>
        <w:t>1、本次采购采用电子招投标，电子交易平台为“政府采购云平台（www.zcygov.cn）”。供应商参与本项目电子交易活动前，应注册成为政府采购云平台供应商。编制电子投标文件前还需申领CA证书并绑定帐号，因未注册入库、未办理CA数字证书等原因造成无法投标或投标失败等后果由供应商自行承担。</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特别提示：1.超过200万元的货物和服务采购项目、超过400万元的工程采购项目中适宜由中小企业提供的，预留该部分采购项目预算总额的40%以上专门面向中小企业采购，其中预留给小微企业的比例不低于70%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八、凡对本次采购提出询问，请按以下方式联系。</w:t>
      </w:r>
      <w:bookmarkEnd w:id="27"/>
      <w:bookmarkEnd w:id="28"/>
      <w:bookmarkEnd w:id="29"/>
      <w:bookmarkEnd w:id="30"/>
    </w:p>
    <w:p>
      <w:pPr>
        <w:rPr>
          <w:rFonts w:asciiTheme="minorEastAsia" w:hAnsiTheme="minorEastAsia" w:eastAsiaTheme="minorEastAsia" w:cstheme="minorEastAsia"/>
          <w:b/>
          <w:bCs/>
          <w:sz w:val="28"/>
          <w:szCs w:val="28"/>
        </w:rPr>
      </w:pPr>
      <w:bookmarkStart w:id="31" w:name="_Toc28359019"/>
      <w:bookmarkStart w:id="32" w:name="_Toc35393637"/>
      <w:bookmarkStart w:id="33" w:name="_Toc28359096"/>
      <w:bookmarkStart w:id="34" w:name="_Toc35393806"/>
      <w:r>
        <w:rPr>
          <w:rFonts w:hint="eastAsia" w:asciiTheme="minorEastAsia" w:hAnsiTheme="minorEastAsia" w:eastAsiaTheme="minorEastAsia" w:cstheme="minorEastAsia"/>
          <w:b/>
          <w:bCs/>
          <w:sz w:val="28"/>
          <w:szCs w:val="28"/>
        </w:rPr>
        <w:t>1.采购人信息</w:t>
      </w:r>
      <w:bookmarkEnd w:id="31"/>
      <w:bookmarkEnd w:id="32"/>
      <w:bookmarkEnd w:id="33"/>
      <w:bookmarkEnd w:id="34"/>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称：博尔塔拉蒙古自治州林业和草原局</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址：博乐市北京南路4号　　　　  　</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 系人：克德尔汗            </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5" w:name="_Toc35393638"/>
      <w:bookmarkStart w:id="36" w:name="_Toc35393807"/>
      <w:bookmarkStart w:id="37" w:name="_Toc28359020"/>
      <w:bookmarkStart w:id="38" w:name="_Toc28359097"/>
      <w:r>
        <w:rPr>
          <w:rFonts w:hint="eastAsia" w:asciiTheme="minorEastAsia" w:hAnsiTheme="minorEastAsia" w:eastAsiaTheme="minorEastAsia" w:cstheme="minorEastAsia"/>
          <w:sz w:val="28"/>
          <w:szCs w:val="28"/>
        </w:rPr>
        <w:t>18809090881</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2.采购代理机构信息</w:t>
      </w:r>
      <w:bookmarkEnd w:id="35"/>
      <w:bookmarkEnd w:id="36"/>
      <w:bookmarkEnd w:id="37"/>
      <w:bookmarkEnd w:id="38"/>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称：新疆宏浩瑞祥项目管理咨询有限责任公司　</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址：博乐市青得里街道友谊路北东港明珠8-04B号</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lang w:eastAsia="zh-CN"/>
        </w:rPr>
        <w:t>许祥见</w:t>
      </w:r>
      <w:r>
        <w:rPr>
          <w:rFonts w:hint="eastAsia" w:asciiTheme="minorEastAsia" w:hAnsiTheme="minorEastAsia" w:eastAsiaTheme="minorEastAsia" w:cstheme="minorEastAsia"/>
          <w:sz w:val="28"/>
          <w:szCs w:val="28"/>
        </w:rPr>
        <w:t xml:space="preserve">　              </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联系方式：19609092045</w:t>
      </w:r>
    </w:p>
    <w:p>
      <w:pPr>
        <w:pStyle w:val="5"/>
        <w:sectPr>
          <w:footerReference r:id="rId7" w:type="default"/>
          <w:pgSz w:w="11900" w:h="16840"/>
          <w:pgMar w:top="1440" w:right="1800" w:bottom="1440" w:left="1800" w:header="0" w:footer="0" w:gutter="0"/>
          <w:pgNumType w:fmt="decimal" w:start="1"/>
          <w:cols w:space="720" w:num="1"/>
        </w:sectPr>
      </w:pPr>
    </w:p>
    <w:bookmarkEnd w:id="9"/>
    <w:bookmarkEnd w:id="10"/>
    <w:bookmarkEnd w:id="11"/>
    <w:bookmarkEnd w:id="12"/>
    <w:p>
      <w:pPr>
        <w:jc w:val="center"/>
        <w:rPr>
          <w:rFonts w:asciiTheme="minorEastAsia" w:hAnsiTheme="minorEastAsia" w:eastAsiaTheme="minorEastAsia" w:cstheme="minorEastAsia"/>
          <w:b/>
          <w:sz w:val="28"/>
          <w:szCs w:val="28"/>
        </w:rPr>
      </w:pPr>
      <w:bookmarkStart w:id="39" w:name="_Toc12532071"/>
      <w:bookmarkStart w:id="40" w:name="_Toc25003"/>
      <w:bookmarkStart w:id="41" w:name="_Toc9092_WPSOffice_Level1"/>
      <w:r>
        <w:rPr>
          <w:rFonts w:hint="eastAsia" w:asciiTheme="minorEastAsia" w:hAnsiTheme="minorEastAsia" w:eastAsiaTheme="minorEastAsia" w:cstheme="minorEastAsia"/>
          <w:b/>
          <w:sz w:val="28"/>
          <w:szCs w:val="28"/>
        </w:rPr>
        <w:t>第二部分供应商须知</w:t>
      </w:r>
      <w:bookmarkEnd w:id="39"/>
      <w:bookmarkEnd w:id="40"/>
      <w:bookmarkEnd w:id="41"/>
    </w:p>
    <w:p>
      <w:pPr>
        <w:pStyle w:val="7"/>
        <w:spacing w:before="0" w:after="100" w:afterAutospacing="1" w:line="400" w:lineRule="atLeast"/>
        <w:jc w:val="center"/>
        <w:rPr>
          <w:rFonts w:asciiTheme="minorEastAsia" w:hAnsiTheme="minorEastAsia" w:eastAsiaTheme="minorEastAsia" w:cstheme="minorEastAsia"/>
          <w:sz w:val="28"/>
          <w:szCs w:val="28"/>
        </w:rPr>
      </w:pPr>
      <w:bookmarkStart w:id="42" w:name="_Toc298240404"/>
      <w:bookmarkStart w:id="43" w:name="_Toc10287"/>
      <w:bookmarkStart w:id="44" w:name="_Toc9171"/>
      <w:bookmarkStart w:id="45" w:name="_Toc267301281"/>
      <w:bookmarkStart w:id="46" w:name="_Toc349573120"/>
      <w:bookmarkStart w:id="47" w:name="_Toc349637919"/>
      <w:bookmarkStart w:id="48" w:name="_Toc12532072"/>
      <w:r>
        <w:rPr>
          <w:rFonts w:hint="eastAsia" w:asciiTheme="minorEastAsia" w:hAnsiTheme="minorEastAsia" w:eastAsiaTheme="minorEastAsia" w:cstheme="minorEastAsia"/>
          <w:sz w:val="28"/>
          <w:szCs w:val="28"/>
        </w:rPr>
        <w:t>供应商须知附表</w:t>
      </w:r>
      <w:bookmarkEnd w:id="42"/>
      <w:bookmarkEnd w:id="43"/>
      <w:bookmarkEnd w:id="44"/>
      <w:bookmarkEnd w:id="45"/>
      <w:bookmarkEnd w:id="46"/>
      <w:bookmarkEnd w:id="47"/>
      <w:bookmarkEnd w:id="48"/>
    </w:p>
    <w:tbl>
      <w:tblPr>
        <w:tblStyle w:val="18"/>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3086"/>
        <w:gridCol w:w="60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阿拉套山雪豹专项调查项目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HHRXCS2023-002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招标人名称：博尔塔拉蒙古自治州林业和草原局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招标代理机构名称：新疆宏浩瑞祥项目管理咨询有限责任公司</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单位地址：博乐市青得里街道友谊路北东港明珠8-04B号　</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电话：19609092045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磋商响应有效期：45天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投标保证金：不收取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磋商内容：</w:t>
            </w:r>
            <w:r>
              <w:rPr>
                <w:rFonts w:hint="eastAsia" w:asciiTheme="minorEastAsia" w:hAnsiTheme="minorEastAsia" w:eastAsiaTheme="minorEastAsia" w:cstheme="minorEastAsia"/>
                <w:sz w:val="28"/>
                <w:szCs w:val="28"/>
                <w:lang w:eastAsia="zh-CN"/>
              </w:rPr>
              <w:t>阿拉套山雪豹专项调查项目</w:t>
            </w:r>
            <w:r>
              <w:rPr>
                <w:rFonts w:hint="eastAsia" w:asciiTheme="minorEastAsia" w:hAnsiTheme="minorEastAsia" w:eastAsiaTheme="minorEastAsia" w:cstheme="minorEastAsia"/>
                <w:sz w:val="28"/>
                <w:szCs w:val="28"/>
              </w:rPr>
              <w:t>招标。详见第三部分的技术要求。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项目最高限价：</w:t>
            </w:r>
            <w:r>
              <w:rPr>
                <w:rFonts w:hint="eastAsia" w:asciiTheme="minorEastAsia" w:hAnsiTheme="minorEastAsia" w:eastAsiaTheme="minorEastAsia" w:cstheme="minorEastAsia"/>
                <w:sz w:val="28"/>
                <w:szCs w:val="28"/>
                <w:lang w:val="en-US" w:eastAsia="zh-CN"/>
              </w:rPr>
              <w:t>902000</w:t>
            </w:r>
            <w:r>
              <w:rPr>
                <w:rFonts w:hint="eastAsia" w:asciiTheme="minorEastAsia" w:hAnsiTheme="minorEastAsia" w:eastAsiaTheme="minorEastAsia" w:cstheme="minorEastAsia"/>
                <w:sz w:val="28"/>
                <w:szCs w:val="28"/>
              </w:rPr>
              <w:t>.00元，</w:t>
            </w:r>
            <w:r>
              <w:rPr>
                <w:rFonts w:hint="eastAsia" w:asciiTheme="minorEastAsia" w:hAnsiTheme="minorEastAsia" w:eastAsiaTheme="minorEastAsia" w:cstheme="minorEastAsia"/>
                <w:b/>
                <w:bCs/>
                <w:sz w:val="28"/>
                <w:szCs w:val="28"/>
              </w:rPr>
              <w:t>各供应商的商务报价如超过最高限价，则该供应商的响应文件作无效响应处理。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磋商响应文件的编制和递交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rPr>
              <w:t>9</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供</w:t>
            </w:r>
            <w:r>
              <w:rPr>
                <w:rFonts w:hint="eastAsia" w:asciiTheme="minorEastAsia" w:hAnsiTheme="minorEastAsia" w:eastAsiaTheme="minorEastAsia" w:cstheme="minorEastAsia"/>
                <w:sz w:val="28"/>
                <w:szCs w:val="28"/>
              </w:rPr>
              <w:t>应商资格标准：</w:t>
            </w:r>
          </w:p>
          <w:p>
            <w:pPr>
              <w:pStyle w:val="17"/>
              <w:spacing w:before="75" w:beforeAutospacing="0" w:after="75" w:afterAutospacing="0" w:line="300" w:lineRule="atLeas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1.投标人须符合《政府采购法》第二十二条规定条件；</w:t>
            </w:r>
          </w:p>
          <w:p>
            <w:pPr>
              <w:pStyle w:val="17"/>
              <w:spacing w:before="75" w:beforeAutospacing="0" w:after="75" w:afterAutospacing="0" w:line="300" w:lineRule="atLeas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2.独立承担民事责任能力和良好诚信的合法经营单位</w:t>
            </w:r>
            <w:r>
              <w:rPr>
                <w:rFonts w:hint="eastAsia" w:asciiTheme="minorEastAsia" w:hAnsiTheme="minorEastAsia" w:eastAsiaTheme="minorEastAsia" w:cstheme="minorEastAsia"/>
                <w:sz w:val="28"/>
                <w:szCs w:val="28"/>
              </w:rPr>
              <w:t>或证明</w:t>
            </w:r>
            <w:r>
              <w:rPr>
                <w:rFonts w:hint="eastAsia" w:asciiTheme="minorEastAsia" w:hAnsiTheme="minorEastAsia" w:eastAsiaTheme="minorEastAsia" w:cstheme="minorEastAsia"/>
                <w:sz w:val="28"/>
                <w:szCs w:val="28"/>
                <w:lang w:val="zh-CN"/>
              </w:rPr>
              <w:t>；</w:t>
            </w:r>
          </w:p>
          <w:p>
            <w:pPr>
              <w:pStyle w:val="17"/>
              <w:spacing w:before="75" w:beforeAutospacing="0" w:after="75" w:afterAutospacing="0" w:line="300" w:lineRule="atLeas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3.法人授权委托书（原件），被授权人身份证或法人身份证（投标代表为法人时）（原件）；</w:t>
            </w:r>
          </w:p>
          <w:p>
            <w:pPr>
              <w:pStyle w:val="17"/>
              <w:spacing w:before="75" w:beforeAutospacing="0" w:after="75" w:afterAutospacing="0" w:line="300" w:lineRule="atLeast"/>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val="zh-CN" w:eastAsia="zh-CN"/>
              </w:rPr>
              <w:t>.</w:t>
            </w:r>
            <w:r>
              <w:rPr>
                <w:rFonts w:hint="eastAsia" w:asciiTheme="minorEastAsia" w:hAnsiTheme="minorEastAsia" w:eastAsiaTheme="minorEastAsia" w:cstheme="minorEastAsia"/>
                <w:sz w:val="28"/>
                <w:szCs w:val="28"/>
                <w:lang w:val="en-US" w:eastAsia="zh-CN"/>
              </w:rPr>
              <w:t>项目负责人相关专业中级（及以上）职称证书或所在单位人事部门出具的职称证明；</w:t>
            </w:r>
          </w:p>
          <w:p>
            <w:pPr>
              <w:pStyle w:val="17"/>
              <w:spacing w:before="75" w:beforeAutospacing="0" w:after="75" w:afterAutospacing="0" w:line="300" w:lineRule="atLeast"/>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rPr>
              <w:t>.</w:t>
            </w:r>
            <w:r>
              <w:rPr>
                <w:rFonts w:hint="eastAsia" w:asciiTheme="minorEastAsia" w:hAnsiTheme="minorEastAsia" w:eastAsiaTheme="minorEastAsia" w:cstheme="minorEastAsia"/>
                <w:sz w:val="28"/>
                <w:szCs w:val="28"/>
              </w:rPr>
              <w:t>近三年类似业绩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已签订合同为准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rPr>
              <w:t>；</w:t>
            </w:r>
          </w:p>
          <w:p>
            <w:pPr>
              <w:pStyle w:val="17"/>
              <w:spacing w:before="75" w:beforeAutospacing="0" w:after="75" w:afterAutospacing="0" w:line="300" w:lineRule="atLeast"/>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rPr>
              <w:t>.</w:t>
            </w:r>
            <w:r>
              <w:rPr>
                <w:rFonts w:hint="eastAsia" w:asciiTheme="minorEastAsia" w:hAnsiTheme="minorEastAsia" w:eastAsiaTheme="minorEastAsia" w:cstheme="minorEastAsia"/>
                <w:sz w:val="28"/>
                <w:szCs w:val="28"/>
                <w:lang w:val="zh-CN"/>
              </w:rPr>
              <w:t>投标人须提供在</w:t>
            </w:r>
            <w:r>
              <w:rPr>
                <w:rFonts w:hint="eastAsia" w:asciiTheme="minorEastAsia" w:hAnsiTheme="minorEastAsia" w:eastAsiaTheme="minorEastAsia" w:cstheme="minorEastAsia"/>
                <w:sz w:val="28"/>
                <w:szCs w:val="28"/>
                <w:lang w:val="en-US"/>
              </w:rPr>
              <w:t>“</w:t>
            </w:r>
            <w:r>
              <w:rPr>
                <w:rFonts w:hint="eastAsia" w:asciiTheme="minorEastAsia" w:hAnsiTheme="minorEastAsia" w:eastAsiaTheme="minorEastAsia" w:cstheme="minorEastAsia"/>
                <w:sz w:val="28"/>
                <w:szCs w:val="28"/>
                <w:lang w:val="zh-CN"/>
              </w:rPr>
              <w:t>信用中国</w:t>
            </w:r>
            <w:r>
              <w:rPr>
                <w:rFonts w:hint="eastAsia" w:asciiTheme="minorEastAsia" w:hAnsiTheme="minorEastAsia" w:eastAsiaTheme="minorEastAsia" w:cstheme="minorEastAsia"/>
                <w:sz w:val="28"/>
                <w:szCs w:val="28"/>
                <w:lang w:val="en-US"/>
              </w:rPr>
              <w:t>”（www.creditchina.gov.cn）</w:t>
            </w:r>
            <w:r>
              <w:rPr>
                <w:rFonts w:hint="eastAsia" w:asciiTheme="minorEastAsia" w:hAnsiTheme="minorEastAsia" w:eastAsiaTheme="minorEastAsia" w:cstheme="minorEastAsia"/>
                <w:sz w:val="28"/>
                <w:szCs w:val="28"/>
                <w:lang w:val="zh-CN"/>
              </w:rPr>
              <w:t>和中国政府采购网</w:t>
            </w:r>
            <w:r>
              <w:rPr>
                <w:rFonts w:hint="eastAsia" w:asciiTheme="minorEastAsia" w:hAnsiTheme="minorEastAsia" w:eastAsiaTheme="minorEastAsia" w:cstheme="minorEastAsia"/>
                <w:sz w:val="28"/>
                <w:szCs w:val="28"/>
                <w:lang w:val="en-US"/>
              </w:rPr>
              <w:t>（www.ccgp.gov.cn）</w:t>
            </w:r>
            <w:r>
              <w:rPr>
                <w:rFonts w:hint="eastAsia" w:asciiTheme="minorEastAsia" w:hAnsiTheme="minorEastAsia" w:eastAsiaTheme="minorEastAsia" w:cstheme="minorEastAsia"/>
                <w:sz w:val="28"/>
                <w:szCs w:val="28"/>
                <w:lang w:val="zh-CN"/>
              </w:rPr>
              <w:t>网站上未被列入失信被执行人、重大税收违法案件当事人名单以及政府采购严重违法失信行为记录名单的网页打印件</w:t>
            </w:r>
            <w:r>
              <w:rPr>
                <w:rFonts w:hint="eastAsia" w:asciiTheme="minorEastAsia" w:hAnsiTheme="minorEastAsia" w:eastAsiaTheme="minorEastAsia" w:cstheme="minorEastAsia"/>
                <w:sz w:val="28"/>
                <w:szCs w:val="28"/>
                <w:lang w:val="en-US"/>
              </w:rPr>
              <w:t>（</w:t>
            </w:r>
            <w:r>
              <w:rPr>
                <w:rFonts w:hint="eastAsia" w:asciiTheme="minorEastAsia" w:hAnsiTheme="minorEastAsia" w:eastAsiaTheme="minorEastAsia" w:cstheme="minorEastAsia"/>
                <w:sz w:val="28"/>
                <w:szCs w:val="28"/>
                <w:lang w:val="zh-CN"/>
              </w:rPr>
              <w:t>网页打印件须自招标文件发布之日起至首次提交投标文件截止时间内从上述网站中打印</w:t>
            </w:r>
            <w:r>
              <w:rPr>
                <w:rFonts w:hint="eastAsia" w:asciiTheme="minorEastAsia" w:hAnsiTheme="minorEastAsia" w:eastAsiaTheme="minorEastAsia" w:cstheme="minorEastAsia"/>
                <w:sz w:val="28"/>
                <w:szCs w:val="28"/>
                <w:lang w:val="en-US"/>
              </w:rPr>
              <w:t>）；</w:t>
            </w:r>
          </w:p>
          <w:p>
            <w:pPr>
              <w:spacing w:line="420" w:lineRule="exac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*注：以上资格条</w:t>
            </w:r>
            <w:r>
              <w:rPr>
                <w:rFonts w:hint="eastAsia" w:asciiTheme="minorEastAsia" w:hAnsiTheme="minorEastAsia" w:eastAsiaTheme="minorEastAsia" w:cstheme="minorEastAsia"/>
                <w:bCs/>
                <w:sz w:val="28"/>
                <w:szCs w:val="28"/>
              </w:rPr>
              <w:t>件供应商必须满足，否则将取消其投标资格。</w:t>
            </w:r>
          </w:p>
          <w:p>
            <w:pPr>
              <w:tabs>
                <w:tab w:val="left" w:pos="252"/>
                <w:tab w:val="left" w:pos="671"/>
              </w:tabs>
              <w:spacing w:line="420" w:lineRule="exact"/>
              <w:rPr>
                <w:rFonts w:asciiTheme="minorEastAsia" w:hAnsiTheme="minorEastAsia" w:eastAsiaTheme="minorEastAsia" w:cstheme="minorEastAsia"/>
                <w:b/>
                <w:spacing w:val="8"/>
                <w:sz w:val="28"/>
                <w:szCs w:val="28"/>
              </w:rPr>
            </w:pPr>
            <w:r>
              <w:rPr>
                <w:rFonts w:hint="eastAsia" w:asciiTheme="minorEastAsia" w:hAnsiTheme="minorEastAsia" w:eastAsiaTheme="minorEastAsia" w:cstheme="minorEastAsia"/>
                <w:bCs/>
                <w:sz w:val="28"/>
                <w:szCs w:val="28"/>
              </w:rPr>
              <w:t>业主方保留对报名供应商实际情况考察的权利。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评审办法：综合评分法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“不见面”电子开评标：</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1、本项目采用电子开评标，电子交易平台为“政府采购云平台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(www.zcygov.cn) ”，投标企业须使用 CA 数字证书登录政采云平台 (http://www.ccgp-xinjiang.gov.cn/) 上传加密版投标文件。并应于投标截止时间之前上传加密版投标文件，开标时须携带制作投标文件的 CA 锁参加开标会。</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注：供应商参与本项目电子交易活动前，应注册成为政府采购云平台供应商。编制电子投标文件前还需申领 CA 数字证书并绑定帐号，因未注册入库、未办理CA数字证书等原因造成无法投标或投标失败等后果由供应商自行承担。</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在开标时须使用制作加密电子投标响应文件所使用的CA锁及电脑，电脑须提前配置好浏览器等相关配套设置，以便开标时正常使用。如因供应商自身原因导致在规定时间内无法正常解密的，采购代理机构不予异常处理，视为供应商自动弃标。</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color w:val="00B0F0"/>
                <w:sz w:val="28"/>
                <w:szCs w:val="28"/>
              </w:rPr>
            </w:pPr>
            <w:r>
              <w:rPr>
                <w:rFonts w:hint="eastAsia" w:asciiTheme="minorEastAsia" w:hAnsiTheme="minorEastAsia" w:eastAsiaTheme="minorEastAsia" w:cstheme="minorEastAsia"/>
                <w:sz w:val="28"/>
                <w:szCs w:val="28"/>
              </w:rPr>
              <w:t>磋商日期：</w:t>
            </w:r>
            <w:r>
              <w:rPr>
                <w:rFonts w:hint="eastAsia" w:asciiTheme="minorEastAsia" w:hAnsiTheme="minorEastAsia" w:eastAsiaTheme="minorEastAsia" w:cstheme="minorEastAsia"/>
                <w:color w:val="auto"/>
                <w:sz w:val="28"/>
                <w:szCs w:val="28"/>
              </w:rPr>
              <w:t>2023年</w:t>
            </w:r>
            <w:r>
              <w:rPr>
                <w:rFonts w:hint="eastAsia" w:asciiTheme="minorEastAsia" w:hAnsiTheme="minorEastAsia" w:eastAsia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u w:val="single"/>
              </w:rPr>
              <w:t>1</w:t>
            </w:r>
            <w:r>
              <w:rPr>
                <w:rFonts w:hint="eastAsia" w:asciiTheme="minorEastAsia" w:hAnsiTheme="minorEastAsia" w:eastAsiaTheme="minorEastAsia" w:cstheme="minorEastAsia"/>
                <w:color w:val="auto"/>
                <w:sz w:val="28"/>
                <w:szCs w:val="28"/>
                <w:u w:val="single"/>
                <w:lang w:val="en-US" w:eastAsia="zh-CN"/>
              </w:rPr>
              <w:t>1</w:t>
            </w:r>
            <w:r>
              <w:rPr>
                <w:rFonts w:hint="eastAsia" w:asciiTheme="minorEastAsia" w:hAnsiTheme="minorEastAsia" w:eastAsiaTheme="minorEastAsia" w:cstheme="minorEastAsia"/>
                <w:color w:val="auto"/>
                <w:sz w:val="28"/>
                <w:szCs w:val="28"/>
                <w:u w:val="single"/>
              </w:rPr>
              <w:t>：00</w:t>
            </w:r>
            <w:r>
              <w:rPr>
                <w:rFonts w:hint="eastAsia" w:asciiTheme="minorEastAsia" w:hAnsiTheme="minorEastAsia" w:eastAsiaTheme="minorEastAsia" w:cstheme="minorEastAsia"/>
                <w:color w:val="auto"/>
                <w:sz w:val="28"/>
                <w:szCs w:val="28"/>
              </w:rPr>
              <w:t>时（北京时间）</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磋商地点：政采云平台https://www.zcygov.cn/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公示期1个工作日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308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付款方式</w:t>
            </w:r>
          </w:p>
        </w:tc>
        <w:tc>
          <w:tcPr>
            <w:tcW w:w="605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以跟甲方签订的合同为准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308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rPr>
              <w:t>磋商轮数和最后报价的其他要求</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asciiTheme="minorEastAsia" w:hAnsiTheme="minorEastAsia" w:eastAsiaTheme="minorEastAsia" w:cstheme="minorEastAsia"/>
                <w:bCs/>
                <w:color w:val="auto"/>
                <w:kern w:val="0"/>
                <w:sz w:val="28"/>
                <w:szCs w:val="28"/>
                <w:lang w:val="zh-CN"/>
              </w:rPr>
            </w:pPr>
            <w:r>
              <w:rPr>
                <w:rFonts w:hint="eastAsia" w:asciiTheme="minorEastAsia" w:hAnsiTheme="minorEastAsia" w:eastAsiaTheme="minorEastAsia" w:cstheme="minorEastAsia"/>
                <w:bCs/>
                <w:color w:val="auto"/>
                <w:kern w:val="0"/>
                <w:sz w:val="28"/>
                <w:szCs w:val="28"/>
                <w:lang w:val="zh-CN"/>
              </w:rPr>
              <w:t>1、磋商轮数:二次或二次以上；</w:t>
            </w: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kern w:val="0"/>
                <w:sz w:val="28"/>
                <w:szCs w:val="28"/>
                <w:lang w:val="zh-CN"/>
              </w:rPr>
              <w:t>2、最后一轮磋商结束后，所有仍在参加磋商的供应商按照磋商小组的要求做最后报价（含修正的响应文件，如有）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308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中标服务费</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 xml:space="preserve">中标服务费收取标准：本项目代理服务费用参照[2002]1980号《招标代理服务收费管理暂行办法》附表有关规定计取，由中标企业在领取中标通知书前，一次性向代理机构付清。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308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专家评审组成</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color w:val="auto"/>
                <w:sz w:val="28"/>
                <w:szCs w:val="28"/>
              </w:rPr>
              <w:t>业主代表为1人，专家抽取为2人。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308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落实政府采购政策</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政府采购政策功能落实：</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（1）本项目对小型和微型企业产品给予10%的扣除价格，用扣除后的价格参与评审。</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（2）供应商需按照采购文件的要求提供相应的《企业声明函》。</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（3）企业标准请参照《关于印发中小企业划型标准规定的通知》（工信部联企业[2011]300号）文件规定自行填写。</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2、残疾人福利单位价格扣除</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（1）本项目对残疾人福利性单位视同小型、微型企业，给予10%的价格扣除，用扣除后的价格参与评审。</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（2）残疾人福利单位需按照采购文件的要求提供《残疾人福利性单位声明函》。</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（3）残疾人福利单位标准请参照《关于促进残疾人就业政府采购政策的通知》（财库〔2017〕141号）。</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3、监狱和戒毒企业价格扣除</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（1）本项目对监狱和戒毒企业（简称监狱企业）视同小型、微型企业，给予10%的价格扣除，用扣除后的价格参与评审。</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（2）监狱企业参加政府采购活动时，需提供由省级以上监狱管理局、戒毒管理局(含新疆生产建设兵团)出具的属于监狱企业的证明文件。供应商如不提供上述证明文件，价格将不做相应扣除。</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（3）监狱企业标准请参照《关于政府采购支持监狱企业发展有关问题的通知》（财库[2014]68号）。</w:t>
            </w:r>
          </w:p>
          <w:p>
            <w:pPr>
              <w:jc w:val="left"/>
              <w:rPr>
                <w:rFonts w:eastAsiaTheme="minorEastAsia"/>
              </w:rPr>
            </w:pPr>
            <w:r>
              <w:rPr>
                <w:rFonts w:hint="eastAsia" w:asciiTheme="minorEastAsia" w:hAnsiTheme="minorEastAsia" w:eastAsiaTheme="minorEastAsia" w:cstheme="minorEastAsia"/>
                <w:bCs/>
                <w:sz w:val="28"/>
                <w:szCs w:val="28"/>
              </w:rPr>
              <w:t>4、残疾人福利单位、监狱企业属于小型、微型企业的，不重复享受政策。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308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注意事项</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1.投标人需办理政采云 CA 投标锁，在新疆政府采购网下载专区下载进入“新疆维吾尔自治区全流程电子招投标项目管理系统-供应商客户端”，了解学习投标文件的制作，制作投标文件，递交电子加密投标书 ，投 标 企 业 须 通 过 政 采 云 平 台 </w:t>
            </w:r>
            <w:r>
              <w:rPr>
                <w:rFonts w:hint="eastAsia" w:asciiTheme="minorEastAsia" w:hAnsiTheme="minorEastAsia" w:eastAsiaTheme="minorEastAsia" w:cstheme="minorEastAsia"/>
                <w:bCs/>
                <w:sz w:val="24"/>
                <w:szCs w:val="24"/>
              </w:rPr>
              <w:t>(</w:t>
            </w:r>
            <w:r>
              <w:fldChar w:fldCharType="begin"/>
            </w:r>
            <w:r>
              <w:instrText xml:space="preserve"> HYPERLINK "http://www.ccgp-xinjiang.gov.cn/" </w:instrText>
            </w:r>
            <w:r>
              <w:fldChar w:fldCharType="separate"/>
            </w:r>
            <w:r>
              <w:rPr>
                <w:rFonts w:hint="eastAsia" w:asciiTheme="minorEastAsia" w:hAnsiTheme="minorEastAsia" w:eastAsiaTheme="minorEastAsia" w:cstheme="minorEastAsia"/>
                <w:bCs/>
                <w:sz w:val="24"/>
                <w:szCs w:val="24"/>
              </w:rPr>
              <w:t>http://www.ccgp-xinjiang.gov.cn/</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8"/>
                <w:szCs w:val="28"/>
              </w:rPr>
              <w:t xml:space="preserve"> 上传电子投标文件。</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2.采购文件中要求在线投标的项目，必须下载投标客户端进行投标文件的编制。并按照本采购文件和投标客户端的要求编制并加密投标文件在左侧菜单【投标文件上传】页面进行上传。未按规定 加密的投标文件，投标文件将被拒收。逾期上传或者未上传指定地点的响应文件，采购人不予受理。“电子招投标供应商客户端”请供应商自行前往“新疆政府采购网—下载专区—新疆维吾尔自治区全流程电子招投标项目管理系统-电子招投标供应商客户端”版块获取。投标文件开启当日，供应商需通过政采云平台“不见面”开 标大厅完成远程解密、开标 (磋商) 、澄清、在线多轮报价、结果 公布等交互环节。供应商必须使用能正确解密响应文件的“CA 锁”在规定的时间内完成远程解密，因供应商原因未能解密、解密失败或解密超时，视为供应商撤销其响应文件。务必使用生成投标文件 的那把锁解密，请在互联网网络环境较稳定的电脑端登录，因投标 人网络环境或硬件配备不达标等原因影响开标的，造成的后果由投标人自行承担。</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3.投标人将政采云电子交易客户端下载、安装完成后，可通过账号密码或CA登录客户端进行投标响应文件制作。在使用政采云投标客户端时，建议使用WIN7 及以上操作系统。客户端请至政采云平台 </w:t>
            </w:r>
            <w:r>
              <w:rPr>
                <w:rFonts w:hint="eastAsia" w:asciiTheme="minorEastAsia" w:hAnsiTheme="minorEastAsia" w:eastAsiaTheme="minorEastAsia" w:cstheme="minorEastAsia"/>
                <w:bCs/>
                <w:sz w:val="24"/>
                <w:szCs w:val="24"/>
              </w:rPr>
              <w:t>(</w:t>
            </w:r>
            <w:r>
              <w:fldChar w:fldCharType="begin"/>
            </w:r>
            <w:r>
              <w:instrText xml:space="preserve"> HYPERLINK "http://www.ccgp-xinjiang.gov.cn/" </w:instrText>
            </w:r>
            <w:r>
              <w:fldChar w:fldCharType="separate"/>
            </w:r>
            <w:r>
              <w:rPr>
                <w:rFonts w:hint="eastAsia" w:asciiTheme="minorEastAsia" w:hAnsiTheme="minorEastAsia" w:eastAsiaTheme="minorEastAsia" w:cstheme="minorEastAsia"/>
                <w:bCs/>
                <w:sz w:val="24"/>
                <w:szCs w:val="24"/>
              </w:rPr>
              <w:t>http://www.ccgp-xinjiang.gov.cn/</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Cs/>
                <w:sz w:val="28"/>
                <w:szCs w:val="28"/>
              </w:rPr>
              <w:t>下载专区查看，如有问题 可拨打政采云客户服务热线95763 进行咨询。供应商应当在投标截止时间前，将“电子招投标供应商客户端”生成的“电子加密投标文件”上传电子交易平台。</w:t>
            </w:r>
          </w:p>
        </w:tc>
      </w:tr>
    </w:tbl>
    <w:p>
      <w:pPr>
        <w:pStyle w:val="7"/>
        <w:spacing w:before="100" w:beforeAutospacing="1" w:after="100" w:afterAutospacing="1" w:line="48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bookmarkStart w:id="49" w:name="_Toc12532073"/>
      <w:bookmarkStart w:id="50" w:name="_Toc349573121"/>
      <w:bookmarkStart w:id="51" w:name="_Toc349637920"/>
      <w:bookmarkStart w:id="52" w:name="_Toc6313"/>
      <w:bookmarkStart w:id="53" w:name="_Toc298240405"/>
      <w:bookmarkStart w:id="54" w:name="_Toc9288"/>
      <w:bookmarkStart w:id="55" w:name="_Toc267301282"/>
      <w:r>
        <w:rPr>
          <w:rFonts w:hint="eastAsia" w:asciiTheme="minorEastAsia" w:hAnsiTheme="minorEastAsia" w:eastAsiaTheme="minorEastAsia" w:cstheme="minorEastAsia"/>
          <w:sz w:val="28"/>
          <w:szCs w:val="28"/>
        </w:rPr>
        <w:t>A  说明</w:t>
      </w:r>
      <w:bookmarkEnd w:id="49"/>
      <w:bookmarkEnd w:id="50"/>
      <w:bookmarkEnd w:id="51"/>
      <w:bookmarkEnd w:id="52"/>
      <w:bookmarkEnd w:id="53"/>
      <w:bookmarkEnd w:id="54"/>
      <w:bookmarkEnd w:id="55"/>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 适用范围</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本磋商文件仅适用于本次投标邀请中所叙述项目的货物及服务采购。</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2．定义</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2.1 “招标代理机构”系指新疆宏浩瑞祥项目管理咨询有限责任公司；</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 “买方”系指博尔塔拉蒙古自治州林业和草原局；</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 “磋商供应商”系指向招标代理机构提交磋商响应文件的制造商或代理商；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2.4 “成交方”系指在本次项目中将被授予合同的供应商。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3．合格的供应商：详见供应商须知前附表第9条。</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4．磋商费用</w:t>
      </w:r>
    </w:p>
    <w:p>
      <w:pPr>
        <w:pStyle w:val="5"/>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rPr>
        <w:t>4.1无论磋商过程中的作法和结果如何，供应商将自行承担所有与参加磋商有关的全部费用。</w:t>
      </w:r>
    </w:p>
    <w:p>
      <w:pPr>
        <w:spacing w:line="420" w:lineRule="exact"/>
        <w:ind w:left="480" w:hanging="480"/>
        <w:rPr>
          <w:rFonts w:asciiTheme="minorEastAsia" w:hAnsiTheme="minorEastAsia" w:eastAsiaTheme="minorEastAsia" w:cstheme="minorEastAsia"/>
          <w:sz w:val="28"/>
          <w:szCs w:val="28"/>
        </w:rPr>
      </w:pPr>
    </w:p>
    <w:p>
      <w:pPr>
        <w:pStyle w:val="7"/>
        <w:spacing w:before="100" w:beforeAutospacing="1" w:after="100" w:afterAutospacing="1" w:line="420" w:lineRule="exact"/>
        <w:jc w:val="center"/>
        <w:rPr>
          <w:rFonts w:asciiTheme="minorEastAsia" w:hAnsiTheme="minorEastAsia" w:eastAsiaTheme="minorEastAsia" w:cstheme="minorEastAsia"/>
          <w:sz w:val="28"/>
          <w:szCs w:val="28"/>
        </w:rPr>
      </w:pPr>
      <w:bookmarkStart w:id="56" w:name="_Toc267301283"/>
      <w:bookmarkStart w:id="57" w:name="_Toc32342"/>
      <w:bookmarkStart w:id="58" w:name="_Toc298240406"/>
      <w:bookmarkStart w:id="59" w:name="_Toc10687"/>
      <w:bookmarkStart w:id="60" w:name="_Toc349637921"/>
      <w:bookmarkStart w:id="61" w:name="_Toc349573122"/>
      <w:bookmarkStart w:id="62" w:name="_Toc12532074"/>
      <w:r>
        <w:rPr>
          <w:rFonts w:hint="eastAsia" w:asciiTheme="minorEastAsia" w:hAnsiTheme="minorEastAsia" w:eastAsiaTheme="minorEastAsia" w:cstheme="minorEastAsia"/>
          <w:sz w:val="28"/>
          <w:szCs w:val="28"/>
        </w:rPr>
        <w:t>B  磋商文件</w:t>
      </w:r>
      <w:bookmarkEnd w:id="56"/>
      <w:bookmarkEnd w:id="57"/>
      <w:bookmarkEnd w:id="58"/>
      <w:bookmarkEnd w:id="59"/>
      <w:bookmarkEnd w:id="60"/>
      <w:bookmarkEnd w:id="61"/>
      <w:bookmarkEnd w:id="62"/>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5．磋商文件构成</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5.1磋商文件包括：</w:t>
      </w:r>
    </w:p>
    <w:p>
      <w:pPr>
        <w:spacing w:line="420" w:lineRule="exact"/>
        <w:ind w:firstLine="24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⑴磋商公告；</w:t>
      </w:r>
    </w:p>
    <w:p>
      <w:pPr>
        <w:spacing w:line="420" w:lineRule="exact"/>
        <w:ind w:firstLine="24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⑵供应商须知；</w:t>
      </w:r>
    </w:p>
    <w:p>
      <w:pPr>
        <w:spacing w:line="420" w:lineRule="exact"/>
        <w:ind w:firstLine="24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⑶技术要求；</w:t>
      </w:r>
    </w:p>
    <w:p>
      <w:pPr>
        <w:spacing w:line="420" w:lineRule="exact"/>
        <w:ind w:firstLine="24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⑷通用合同条款；</w:t>
      </w:r>
    </w:p>
    <w:p>
      <w:pPr>
        <w:spacing w:line="420" w:lineRule="exact"/>
        <w:ind w:firstLine="24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⑸范本格式；</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6.2 磋商文件以中文编写。</w:t>
      </w:r>
    </w:p>
    <w:p>
      <w:pPr>
        <w:spacing w:line="420" w:lineRule="exact"/>
        <w:ind w:left="420" w:hanging="420" w:hangingChars="150"/>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7．磋商文件澄清</w:t>
      </w:r>
    </w:p>
    <w:p>
      <w:pPr>
        <w:spacing w:line="420" w:lineRule="exact"/>
        <w:ind w:left="480" w:hanging="4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7.1 供应商对磋商文件有疑问的，可以向招标代理机构提出询问，招标代理机构将及时做出答复；</w:t>
      </w:r>
    </w:p>
    <w:p>
      <w:pPr>
        <w:spacing w:line="420" w:lineRule="exact"/>
        <w:ind w:left="480" w:hanging="4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7.2 供应商对磋商文件有质疑，须在磋商响应文件递交截止时间5日以前，以书面形式向招标机构提出质疑；招标机构在收到书面质疑后尽快做出答复，并以书面形式通知质疑供应商。</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  磋商文件的修改</w:t>
      </w:r>
    </w:p>
    <w:p>
      <w:pPr>
        <w:spacing w:line="420" w:lineRule="exact"/>
        <w:ind w:left="480" w:hanging="4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8.1 对磋商文件进行必要的修改，招标代理机构将在投标截止时间2日前以书面形式通知所有购买磋商文件的供应商。该修改的内容为磋商文件的组成部分；</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8.2 供应商在规定的时间内未对磋商文件提出澄清要求的，招标代理机构将视其为同意。</w:t>
      </w:r>
    </w:p>
    <w:p>
      <w:pPr>
        <w:spacing w:line="420" w:lineRule="exact"/>
        <w:ind w:left="480" w:hanging="48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8.3在投标截止时间前，招标机构可视具体情况延长磋商截止时间，并将变更时间书面通知所有购买磋商文件的供应商。</w:t>
      </w:r>
    </w:p>
    <w:p>
      <w:pPr>
        <w:pStyle w:val="7"/>
        <w:spacing w:before="100" w:beforeAutospacing="1" w:after="100" w:afterAutospacing="1" w:line="420" w:lineRule="exact"/>
        <w:jc w:val="center"/>
        <w:rPr>
          <w:rFonts w:asciiTheme="minorEastAsia" w:hAnsiTheme="minorEastAsia" w:eastAsiaTheme="minorEastAsia" w:cstheme="minorEastAsia"/>
          <w:bCs/>
          <w:kern w:val="0"/>
          <w:sz w:val="28"/>
          <w:szCs w:val="28"/>
        </w:rPr>
      </w:pPr>
      <w:bookmarkStart w:id="63" w:name="_Toc12532075"/>
      <w:bookmarkStart w:id="64" w:name="_Toc24175"/>
      <w:bookmarkStart w:id="65" w:name="_Toc5062"/>
      <w:bookmarkStart w:id="66" w:name="_Toc298240407"/>
      <w:bookmarkStart w:id="67" w:name="_Toc349637922"/>
      <w:bookmarkStart w:id="68" w:name="_Toc349573123"/>
      <w:bookmarkStart w:id="69" w:name="_Toc267301284"/>
      <w:r>
        <w:rPr>
          <w:rFonts w:hint="eastAsia" w:asciiTheme="minorEastAsia" w:hAnsiTheme="minorEastAsia" w:eastAsiaTheme="minorEastAsia" w:cstheme="minorEastAsia"/>
          <w:bCs/>
          <w:kern w:val="0"/>
          <w:sz w:val="28"/>
          <w:szCs w:val="28"/>
        </w:rPr>
        <w:t>C  磋商响应文件的编写</w:t>
      </w:r>
      <w:bookmarkEnd w:id="63"/>
      <w:bookmarkEnd w:id="64"/>
      <w:bookmarkEnd w:id="65"/>
      <w:bookmarkEnd w:id="66"/>
      <w:bookmarkEnd w:id="67"/>
      <w:bookmarkEnd w:id="68"/>
      <w:bookmarkEnd w:id="69"/>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9．要求</w:t>
      </w:r>
    </w:p>
    <w:p>
      <w:pPr>
        <w:spacing w:line="420" w:lineRule="exact"/>
        <w:ind w:left="420" w:hanging="420" w:hangingChars="15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9.1 供应商应仔细阅读磋商文件的所有内容，按磋商文件的要求提供磋商响应文件，并保证所提供的全部资料的真实性，以使其磋商响应对磋商文件作出实质性响应，否则，其磋商可能被拒绝。</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10．磋商语言</w:t>
      </w:r>
    </w:p>
    <w:p>
      <w:pPr>
        <w:spacing w:line="420" w:lineRule="exact"/>
        <w:ind w:left="700" w:hanging="700" w:hangingChars="25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11．磋商响应文件的构成</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11.1 供应商编写的磋商响应文件应包括下列内容：</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11.1.1、磋商响应文件内容：</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（1）投标承诺书</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（2）开标一览表</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（3）分项报价表</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（4）法定代表人授权委托书</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（5）中小企业声明函</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（6）投标人企业简介[包括独立承担民事责任能力和良好诚信的合法经营单位或证明等）</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（7）类似业绩</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（8）投标人服务方案、工期承诺、售后服务承诺等</w:t>
      </w:r>
    </w:p>
    <w:p>
      <w:pPr>
        <w:spacing w:line="420" w:lineRule="exac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（9）磋商文件规定及供应商认为需要提供的其他资料</w:t>
      </w:r>
    </w:p>
    <w:p>
      <w:pPr>
        <w:spacing w:line="420" w:lineRule="exact"/>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lang w:val="en-US" w:eastAsia="zh-CN"/>
        </w:rPr>
        <w:t>（10）项目负责人相关专业中级（及以上）职称证书或所在单位人事部门出具的职称证明。</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11.2 供应商应将磋商响应文件装订成册，并填写文件资料清单。</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12．磋商响应文件格式</w:t>
      </w:r>
    </w:p>
    <w:p>
      <w:pPr>
        <w:spacing w:line="420" w:lineRule="exact"/>
        <w:ind w:left="700" w:hanging="700" w:hangingChars="25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12.1 供应商应按磋商文件的范本格式中提供的文件格式编制磋商响应文件。</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13．磋商报价</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13.1供应商应按附表格式提供分项报价表，如果供应商不提供分项报价，招标人将视为没有实质性响应磋商文件。</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13.2供应商应在磋商报价表上标明单价和总价。单价和总价要相符。小写和大写要相符。供应商应在磋商报价表中标明其提供的所有货物及其相关工作范围内所有费用的总价，不接受有任何选择性磋商报价。</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13.3算术性修正。算术性修正是指对磋商响应文件的报价明细进行校核，并对其算术上和运算上的差错给予修正。修正的原则如下：</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13.3.1 当以数字表示的金额与文字表示的金额有差异时，以文字表示的金额为准；</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13.3.2 当单价与数量相乘不等于合价时，以单价计算为准。如果单价有明显的小数点位置差错，应以标出的合价为准，同时对单价予以修正；</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13.3.3 当各明细部分的价格累计不等于合价时，应以各明细的累计计数为准，修正合价。</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13.3.4 按以上原则对算术性差错修正，应取得供应商的同意，并确认修正后最终磋商报价。如果供应商拒绝确认，则其磋商响应文件将不予以评审并按废标处理，没收其投标担保。</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14．磋商货币</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14.1人民币报价。</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15．供应商的证明文件：</w:t>
      </w:r>
    </w:p>
    <w:p>
      <w:pPr>
        <w:spacing w:line="420" w:lineRule="exact"/>
        <w:ind w:firstLine="560" w:firstLineChars="20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供应商必须提交证明其有资格进行磋商和有能力履行合同的文件（范本格式），作为磋商响应文件的一部分。</w:t>
      </w:r>
    </w:p>
    <w:p>
      <w:pPr>
        <w:spacing w:line="420" w:lineRule="exact"/>
        <w:ind w:firstLine="495" w:firstLineChars="177"/>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注：所有资格证明文件必须满足磋商文件要求，否则将导致废标。</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16符合磋商文件规定的技术响应文件</w:t>
      </w:r>
    </w:p>
    <w:p>
      <w:pPr>
        <w:adjustRightInd w:val="0"/>
        <w:spacing w:line="420" w:lineRule="exact"/>
        <w:ind w:left="630" w:hanging="630" w:hangingChars="225"/>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16.1 供应商须提交证明拟供货物和服务符合磋商文件规定的技术磋商响应文件，作为磋商响应文件的一部分。</w:t>
      </w:r>
    </w:p>
    <w:p>
      <w:pPr>
        <w:adjustRightInd w:val="0"/>
        <w:spacing w:line="420" w:lineRule="exact"/>
        <w:ind w:left="630" w:hanging="630" w:hangingChars="225"/>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16.2上述文件可以是文字资料、图纸和数据，并提供：</w:t>
      </w:r>
    </w:p>
    <w:p>
      <w:pPr>
        <w:adjustRightInd w:val="0"/>
        <w:spacing w:line="420" w:lineRule="exact"/>
        <w:ind w:firstLine="48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（1）主要技术及性能特点的详细描述；</w:t>
      </w:r>
    </w:p>
    <w:p>
      <w:pPr>
        <w:adjustRightInd w:val="0"/>
        <w:spacing w:line="420" w:lineRule="exact"/>
        <w:ind w:firstLine="280" w:firstLineChars="100"/>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 （2）一份在技术规格中规定的保证货物正常和连续运转期间需要的维护清单包括价格及供货来源信息；没有按要求提供资料或提供资料不完全，将是对本次评标采购未作出实质性响应，其风险由供应商自行承担。</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17．磋商的有效期</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17.1磋商响应文件从磋商之日起，投标有效期为45天。（如不满足将导致废标）</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17.2 在特殊情况下，招标代理机构可与供应商商量延长磋商响应文件的有效期。</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18．磋商响应文件的书写要求。</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18.1 磋商响应文件须打印。</w:t>
      </w:r>
    </w:p>
    <w:p>
      <w:pPr>
        <w:spacing w:line="420" w:lineRule="exac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18.2 磋商响应文件应清楚工整，修改处应由磋商供应商全权代表签章。</w:t>
      </w:r>
    </w:p>
    <w:p>
      <w:pPr>
        <w:spacing w:line="420" w:lineRule="exact"/>
        <w:ind w:left="700" w:hanging="700" w:hangingChars="25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18.3磋商响应文件由法人代表或法人授权代表在规定位置签署并加盖单位公章。</w:t>
      </w:r>
    </w:p>
    <w:p>
      <w:pPr>
        <w:spacing w:line="4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rPr>
        <w:t>18.4电报、电话、传真形式的投标概不接受。</w:t>
      </w:r>
    </w:p>
    <w:p>
      <w:pPr>
        <w:pStyle w:val="7"/>
        <w:spacing w:before="100" w:beforeAutospacing="1" w:after="100" w:afterAutospacing="1" w:line="420" w:lineRule="exact"/>
        <w:jc w:val="center"/>
        <w:rPr>
          <w:rFonts w:asciiTheme="minorEastAsia" w:hAnsiTheme="minorEastAsia" w:eastAsiaTheme="minorEastAsia" w:cstheme="minorEastAsia"/>
          <w:sz w:val="28"/>
          <w:szCs w:val="28"/>
        </w:rPr>
      </w:pPr>
      <w:bookmarkStart w:id="70" w:name="_Toc267301285"/>
      <w:bookmarkStart w:id="71" w:name="_Toc298240408"/>
      <w:bookmarkStart w:id="72" w:name="_Toc31135"/>
      <w:bookmarkStart w:id="73" w:name="_Toc12532076"/>
      <w:bookmarkStart w:id="74" w:name="_Toc349573124"/>
      <w:bookmarkStart w:id="75" w:name="_Toc10103"/>
      <w:bookmarkStart w:id="76" w:name="_Toc349637923"/>
      <w:r>
        <w:rPr>
          <w:rFonts w:hint="eastAsia" w:asciiTheme="minorEastAsia" w:hAnsiTheme="minorEastAsia" w:eastAsiaTheme="minorEastAsia" w:cstheme="minorEastAsia"/>
          <w:sz w:val="28"/>
          <w:szCs w:val="28"/>
        </w:rPr>
        <w:t>D  磋商响应文件的递交</w:t>
      </w:r>
      <w:bookmarkEnd w:id="70"/>
      <w:bookmarkEnd w:id="71"/>
      <w:bookmarkEnd w:id="72"/>
      <w:bookmarkEnd w:id="73"/>
      <w:bookmarkEnd w:id="74"/>
      <w:bookmarkEnd w:id="75"/>
      <w:bookmarkEnd w:id="76"/>
    </w:p>
    <w:p>
      <w:pPr>
        <w:spacing w:line="420" w:lineRule="exact"/>
        <w:jc w:val="left"/>
        <w:rPr>
          <w:rFonts w:asciiTheme="minorEastAsia" w:hAnsiTheme="minorEastAsia" w:eastAsiaTheme="minorEastAsia" w:cstheme="minorEastAsia"/>
          <w:bCs/>
          <w:kern w:val="0"/>
          <w:sz w:val="28"/>
          <w:szCs w:val="28"/>
        </w:rPr>
      </w:pPr>
      <w:bookmarkStart w:id="77" w:name="_Toc12532077"/>
      <w:bookmarkStart w:id="78" w:name="_Toc349573125"/>
      <w:bookmarkStart w:id="79" w:name="_Toc25270"/>
      <w:bookmarkStart w:id="80" w:name="_Toc298240409"/>
      <w:bookmarkStart w:id="81" w:name="_Toc31320"/>
      <w:bookmarkStart w:id="82" w:name="_Toc349637924"/>
      <w:bookmarkStart w:id="83" w:name="_Toc267301286"/>
      <w:r>
        <w:rPr>
          <w:rFonts w:hint="eastAsia" w:asciiTheme="minorEastAsia" w:hAnsiTheme="minorEastAsia" w:eastAsiaTheme="minorEastAsia" w:cstheme="minorEastAsia"/>
          <w:bCs/>
          <w:kern w:val="0"/>
          <w:sz w:val="28"/>
          <w:szCs w:val="28"/>
        </w:rPr>
        <w:t>19 响应文件的密封和标记</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19.1、本项目采用不见面开标，投标人需要递交电子投标文件，加密的电子投标文件 ，在投标截止时间前通过政采云平台 (www.zcygov.cn) 上传到指定位置。无需递交纸质文件。</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19.2、本项目采用远程不见面交易的模式。开标当日，投标人无需到达开标现场 ，仅需在任意地点通过政采云平台 (www.zcygov.cn) 平台完成远程解密、答疑澄清、开标 唱标、结果公布等交互环节。投标人必须使用能正确解密投标文件的“CA 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 (友情提示：若投标人已领取副锁(含多把副锁) 请注意正副锁的使用差别，务必使用生成投标文件的那把锁解密) 。</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19.3、本项目采用不见面开标。只需将加密电子投标文件在投标截止时间前通过政采云平台上传完成。上传时必须得到电脑“上传成功”的确认回复后方为上传成功。逾期上传的或者未上传到平台的投标文件，采购人不予受理。</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19.4、电子版投标文件制作要求</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 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Theme="minorEastAsia" w:hAnsiTheme="minorEastAsia" w:eastAsiaTheme="minorEastAsia" w:cstheme="minorEastAsia"/>
          <w:bCs/>
          <w:kern w:val="0"/>
          <w:sz w:val="28"/>
          <w:szCs w:val="28"/>
        </w:rPr>
        <w:t>http://www.ccgp-xinjiang.gov.cn/</w:t>
      </w:r>
      <w:r>
        <w:rPr>
          <w:rFonts w:hint="eastAsia" w:asciiTheme="minorEastAsia" w:hAnsiTheme="minorEastAsia" w:eastAsiaTheme="minorEastAsia" w:cstheme="minorEastAsia"/>
          <w:bCs/>
          <w:kern w:val="0"/>
          <w:sz w:val="28"/>
          <w:szCs w:val="28"/>
        </w:rPr>
        <w:fldChar w:fldCharType="end"/>
      </w:r>
      <w:r>
        <w:rPr>
          <w:rFonts w:hint="eastAsia" w:asciiTheme="minorEastAsia" w:hAnsiTheme="minorEastAsia" w:eastAsiaTheme="minorEastAsia" w:cstheme="minorEastAsia"/>
          <w:bCs/>
          <w:kern w:val="0"/>
          <w:sz w:val="28"/>
          <w:szCs w:val="28"/>
        </w:rPr>
        <w:t>)下载专区查看，如有问题可拨打政采云客户服务热线95763进行咨询。</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有意向参与新疆区域电子开评标的供应商，可访问新疆数字证书认证中心官方网站(</w:t>
      </w:r>
      <w:r>
        <w:fldChar w:fldCharType="begin"/>
      </w:r>
      <w:r>
        <w:instrText xml:space="preserve"> HYPERLINK "https://www.xjca.com.cn/" </w:instrText>
      </w:r>
      <w:r>
        <w:fldChar w:fldCharType="separate"/>
      </w:r>
      <w:r>
        <w:rPr>
          <w:rFonts w:hint="eastAsia" w:asciiTheme="minorEastAsia" w:hAnsiTheme="minorEastAsia" w:eastAsiaTheme="minorEastAsia" w:cstheme="minorEastAsia"/>
          <w:bCs/>
          <w:kern w:val="0"/>
          <w:sz w:val="28"/>
          <w:szCs w:val="28"/>
        </w:rPr>
        <w:t>https://www.xjca.com.cn/</w:t>
      </w:r>
      <w:r>
        <w:rPr>
          <w:rFonts w:hint="eastAsia" w:asciiTheme="minorEastAsia" w:hAnsiTheme="minorEastAsia" w:eastAsiaTheme="minorEastAsia" w:cstheme="minorEastAsia"/>
          <w:bCs/>
          <w:kern w:val="0"/>
          <w:sz w:val="28"/>
          <w:szCs w:val="28"/>
        </w:rPr>
        <w:fldChar w:fldCharType="end"/>
      </w:r>
      <w:r>
        <w:rPr>
          <w:rFonts w:hint="eastAsia" w:asciiTheme="minorEastAsia" w:hAnsiTheme="minorEastAsia" w:eastAsiaTheme="minorEastAsia" w:cstheme="minorEastAsia"/>
          <w:bCs/>
          <w:kern w:val="0"/>
          <w:sz w:val="28"/>
          <w:szCs w:val="28"/>
        </w:rPr>
        <w:t>) 或下载“新疆政务通”APP自行进行申领。如需咨询，请联系新疆CA服务热线</w:t>
      </w:r>
      <w:r>
        <w:rPr>
          <w:rFonts w:hint="eastAsia" w:asciiTheme="minorEastAsia" w:hAnsiTheme="minorEastAsia" w:eastAsiaTheme="minorEastAsia" w:cstheme="minorEastAsia"/>
          <w:bCs/>
          <w:kern w:val="0"/>
          <w:sz w:val="24"/>
          <w:szCs w:val="24"/>
        </w:rPr>
        <w:t>0991-2819290</w:t>
      </w:r>
      <w:r>
        <w:rPr>
          <w:rFonts w:hint="eastAsia" w:asciiTheme="minorEastAsia" w:hAnsiTheme="minorEastAsia" w:eastAsiaTheme="minorEastAsia" w:cstheme="minorEastAsia"/>
          <w:bCs/>
          <w:kern w:val="0"/>
          <w:sz w:val="28"/>
          <w:szCs w:val="28"/>
        </w:rPr>
        <w:t>。</w:t>
      </w:r>
    </w:p>
    <w:p>
      <w:pPr>
        <w:spacing w:line="420" w:lineRule="exact"/>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
          <w:kern w:val="0"/>
          <w:sz w:val="28"/>
          <w:szCs w:val="28"/>
        </w:rPr>
        <w:t>特别提示：</w:t>
      </w:r>
      <w:r>
        <w:rPr>
          <w:rFonts w:hint="eastAsia" w:asciiTheme="minorEastAsia" w:hAnsiTheme="minorEastAsia" w:eastAsiaTheme="minorEastAsia" w:cstheme="minorEastAsia"/>
          <w:bCs/>
          <w:kern w:val="0"/>
          <w:sz w:val="28"/>
          <w:szCs w:val="28"/>
        </w:rPr>
        <w:t>请于投标截止时间前上传加密版投标文件，进行递交投标文件。投标人上传电子投标文件的时间不得迟于招标公告中规定的投标截止时间。投标人应充分考虑到网络环境、网络带宽等风险因素，如因投标人自身原因造成的电子投标文件上传不成功由投标人自行承担全部责任。代理机构拒绝接收在其规定的投标截止时间后上传的任何投标文件。</w:t>
      </w:r>
    </w:p>
    <w:p>
      <w:pPr>
        <w:pStyle w:val="7"/>
        <w:spacing w:before="100" w:beforeAutospacing="1" w:after="100" w:afterAutospacing="1" w:line="4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  竞争性磋商程序</w:t>
      </w:r>
    </w:p>
    <w:p>
      <w:pPr>
        <w:widowControl/>
        <w:spacing w:line="360" w:lineRule="auto"/>
        <w:ind w:firstLine="560" w:firstLineChars="200"/>
        <w:textAlignment w:val="baseline"/>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 xml:space="preserve">22 </w:t>
      </w:r>
      <w:r>
        <w:rPr>
          <w:rFonts w:hint="eastAsia" w:asciiTheme="minorEastAsia" w:hAnsiTheme="minorEastAsia" w:eastAsiaTheme="minorEastAsia" w:cstheme="minorEastAsia"/>
          <w:bCs/>
          <w:sz w:val="28"/>
          <w:szCs w:val="28"/>
        </w:rPr>
        <w:t>磋商小组的组成</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Theme="minorEastAsia" w:hAnsiTheme="minorEastAsia" w:eastAsiaTheme="minorEastAsia" w:cstheme="minorEastAsia"/>
          <w:bCs/>
          <w:kern w:val="0"/>
          <w:sz w:val="28"/>
          <w:szCs w:val="28"/>
        </w:rPr>
        <w:t>供应商须知前附表</w:t>
      </w:r>
      <w:r>
        <w:rPr>
          <w:rFonts w:hint="eastAsia" w:asciiTheme="minorEastAsia" w:hAnsiTheme="minorEastAsia" w:eastAsiaTheme="minorEastAsia" w:cstheme="minorEastAsia"/>
          <w:bCs/>
          <w:kern w:val="0"/>
          <w:sz w:val="28"/>
          <w:szCs w:val="28"/>
        </w:rPr>
        <w:fldChar w:fldCharType="end"/>
      </w:r>
      <w:r>
        <w:rPr>
          <w:rFonts w:hint="eastAsia" w:asciiTheme="minorEastAsia" w:hAnsiTheme="minorEastAsia" w:eastAsiaTheme="minorEastAsia" w:cstheme="minorEastAsia"/>
          <w:bCs/>
          <w:kern w:val="0"/>
          <w:sz w:val="28"/>
          <w:szCs w:val="28"/>
        </w:rPr>
        <w:t>。</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22.2磋商方法</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22.2.1磋商小组将按照磋商文件确定的评审方法进行评审。磋商小组对响应文件的评审分为响应文件初审、澄清有关问题、比较与评价响应文件、推荐中标候选人名单。</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22.2.1项目评审方法详见磋商文件“第四章 评审方法、步骤及标准”。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22.3响应文件的初审</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初审分为资格性检查和符合性检查。</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22.3.1资格性检查</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（1）磋商小组根据评审办法前附表规定的评审因素和评审标准，对供应商的响应文件进行资格评审。资格性检查不合格的供应商的响应文件作无效文件处理。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（2）磋商小组在进行资格检查时，不得改变磋商文件中已载明的资格条件、标准和办法。资格性检查不合格的供应商的响应文件作无效文件处理。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（3）供应商在递交响应文件的同时，应逐项对照上述资格性检查要求提交相应的原件和资格证明文件供磋商小组核查，否则评委将不予采信。</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（4）磋商小组在评审中必要时可按供应商提供的联系方式就有关问题进行查询核实，或要求供应商做出书面澄清，查询及澄清结果将作为审查的依据。</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（5）通过全部资格性检查条件合格的供应商才能通过资格检查，其响应文件方可进入下一个检查阶段。</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22.3.2符合性检查</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磋商小组根据评审办法前附表规定的评审因素和评审标准，对供应商的响应文件进行符合性检查。符合性检查不合格的供应商的响应文件作无效文件处理。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22.4违法违规行为 </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22.4.1在评审过程中，磋商小组发现供应商有下列情形之一的，作无效文件处理：</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（1）属于同一集团、协会、商会等组织成员的供应商按照该组织要求协同投标；</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（2）不同供应商的响应文件由同一单位或者个人编制；</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（3）不同供应商委托同一单位或者个人办理投标事宜；</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（4）不同供应商的响应文件载明的项目管理成员为同一人；</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（5）不同供应商的响应文件异常一致或者投标报价呈规律性差异；</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（6）不同供应商的响应文件相互混装；</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（7）不同供应商的投标保证金从同一单位或者个人的账户转出；</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（8）使用伪造、变造的行政许可证件；</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（9）提供虚假的财务状况或者业绩；</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（10）提供虚假的项目负责人或者主要技术人员简历、劳动关系证明；</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（11）提供虚假的信用状况；</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（12）其他弄虚作假的行为。</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22.5 磋商小组审查响应文件是否完整、有无计算上的错误等。</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22.5.1 响应文件的修正及澄清</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（1）磋商小组对确定为实质上响应磋商文件要求的响应文件进行校核，看其是否有计算或表达上的错误，算术错误将按以下方法更正：</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360" w:lineRule="auto"/>
        <w:ind w:firstLine="56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22.5.3实质上没有响应磋商文件要求的响应文件将被视为无效文件。供应商不得通过修正或撤销不合要求的偏离从而使其成为实质上响应的文件。</w:t>
      </w:r>
    </w:p>
    <w:p>
      <w:pPr>
        <w:pStyle w:val="10"/>
        <w:spacing w:line="360" w:lineRule="auto"/>
        <w:ind w:firstLine="560" w:firstLineChars="200"/>
        <w:contextualSpacing/>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22.5.4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kern w:val="0"/>
          <w:sz w:val="28"/>
          <w:szCs w:val="28"/>
        </w:rPr>
        <w:t>22.5.5供应商的澄清文件是其响应文件</w:t>
      </w:r>
      <w:r>
        <w:rPr>
          <w:rFonts w:hint="eastAsia" w:asciiTheme="minorEastAsia" w:hAnsiTheme="minorEastAsia" w:eastAsiaTheme="minorEastAsia" w:cstheme="minorEastAsia"/>
          <w:bCs/>
          <w:sz w:val="28"/>
          <w:szCs w:val="28"/>
        </w:rPr>
        <w:t>的组成部分。</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22.6磋商</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22.6.1磋商小组所有成员应当集中与单一供应商分别进行磋商，并给予所有参加磋商的供应商平等的磋商机会。</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22.6.2在磋商过程中，磋商小组可以根据磋商文件和磋商情况实质性变动采购需求中的技术、服务要求以及合同草案条款，但不得变动磋商文件中的其他内容。实质性变动的内容，须经采购人代表确认。</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22.6.3对磋商文件作出的实质性变动是磋商文件的有效组成部分，磋商小组应当及时以书面形式同时通知所有参加磋商的供应商。</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22.6.5磋商文件能够详细列明采购标的的技术、服务要求的，磋商结束后，磋商小组应当要求所有实质性响应的供应商在规定时间内提交最后报价，提交最后报价的供应商不得少于2家。</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22.6.7已提交响应文件的供应商，在提交最后报价之前，可以根据磋商情况退出磋商。其磋商保证金将予以退还。</w:t>
      </w:r>
    </w:p>
    <w:p>
      <w:pPr>
        <w:widowControl/>
        <w:spacing w:line="360" w:lineRule="auto"/>
        <w:ind w:firstLine="560" w:firstLineChars="200"/>
        <w:textAlignment w:val="baseline"/>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22.6.8最后报价是供应商响应文件的有效组成部分。符合本办法第三条第四项情形的，提交最后报价的供应商可以为2家。</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22.6.9经磋商确定最终采购需求和提交最后报价的供应商后，由磋商小组采用综合评分法对提交最后报价的供应商的响应文件和最后报价进行综合评分。</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22.6.10采购结果确认</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0"/>
        <w:adjustRightInd w:val="0"/>
        <w:snapToGrid w:val="0"/>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22.7.公示或公告</w:t>
      </w:r>
    </w:p>
    <w:p>
      <w:pPr>
        <w:tabs>
          <w:tab w:val="left" w:pos="1875"/>
        </w:tabs>
        <w:adjustRightInd w:val="0"/>
        <w:snapToGrid w:val="0"/>
        <w:spacing w:line="360" w:lineRule="auto"/>
        <w:ind w:firstLine="560" w:firstLineChars="20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8"/>
          <w:szCs w:val="28"/>
        </w:rPr>
        <w:t>22.7.1成交供应商确定后，采购代理机构将在政府采购监管部门指定的媒体上发布成交公告，同时向成交供应商发出《成交通知书》。《成交通知书》是合同的组成部分,对成交供应商和采购人具有同等法律效力。</w:t>
      </w:r>
    </w:p>
    <w:p>
      <w:pPr>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对磋商响应文件的评估和比较分为两步进行，磋商小组按照磋商文件要求对磋商响应文件中的供应商资格、供应商资格证明文件、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10分，商务因素占30分，技术因素占60分。将每位供应商的价格得分、技术得分、商务得分相加即为该供应商的总得分。</w:t>
      </w:r>
    </w:p>
    <w:p>
      <w:pPr>
        <w:spacing w:line="360" w:lineRule="exact"/>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color w:val="0C0C0C"/>
          <w:kern w:val="0"/>
          <w:sz w:val="28"/>
          <w:szCs w:val="28"/>
        </w:rPr>
        <w:t>《资格审查标准》</w:t>
      </w:r>
    </w:p>
    <w:p>
      <w:pPr>
        <w:pStyle w:val="5"/>
        <w:ind w:firstLine="560"/>
        <w:rPr>
          <w:rFonts w:asciiTheme="minorEastAsia" w:hAnsiTheme="minorEastAsia" w:eastAsiaTheme="minorEastAsia" w:cstheme="minorEastAsia"/>
          <w:bCs/>
          <w:sz w:val="28"/>
          <w:szCs w:val="28"/>
        </w:rPr>
      </w:pPr>
    </w:p>
    <w:tbl>
      <w:tblPr>
        <w:tblStyle w:val="18"/>
        <w:tblW w:w="9571"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2837"/>
        <w:gridCol w:w="57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39" w:type="dxa"/>
            <w:vAlign w:val="center"/>
          </w:tcPr>
          <w:p>
            <w:pPr>
              <w:spacing w:before="24"/>
              <w:ind w:left="665"/>
              <w:jc w:val="center"/>
              <w:rPr>
                <w:rFonts w:ascii="微软雅黑" w:hAnsi="宋体" w:eastAsia="微软雅黑" w:cs="宋体"/>
                <w:b/>
                <w:sz w:val="28"/>
                <w:szCs w:val="28"/>
                <w:lang w:val="zh-CN" w:bidi="zh-CN"/>
              </w:rPr>
            </w:pPr>
          </w:p>
        </w:tc>
        <w:tc>
          <w:tcPr>
            <w:tcW w:w="2837" w:type="dxa"/>
            <w:vAlign w:val="center"/>
          </w:tcPr>
          <w:p>
            <w:pPr>
              <w:spacing w:before="24"/>
              <w:jc w:val="center"/>
              <w:rPr>
                <w:rFonts w:ascii="微软雅黑" w:hAnsi="宋体" w:eastAsia="微软雅黑" w:cs="宋体"/>
                <w:b/>
                <w:sz w:val="28"/>
                <w:szCs w:val="28"/>
                <w:lang w:val="zh-CN" w:bidi="zh-CN"/>
              </w:rPr>
            </w:pPr>
            <w:r>
              <w:rPr>
                <w:rFonts w:hint="eastAsia" w:ascii="微软雅黑" w:hAnsi="宋体" w:eastAsia="微软雅黑" w:cs="宋体"/>
                <w:b/>
                <w:sz w:val="28"/>
                <w:szCs w:val="28"/>
                <w:lang w:val="zh-CN" w:bidi="zh-CN"/>
              </w:rPr>
              <w:t>检查内容</w:t>
            </w:r>
          </w:p>
        </w:tc>
        <w:tc>
          <w:tcPr>
            <w:tcW w:w="5795" w:type="dxa"/>
            <w:vAlign w:val="center"/>
          </w:tcPr>
          <w:p>
            <w:pPr>
              <w:spacing w:before="24"/>
              <w:ind w:right="2281"/>
              <w:jc w:val="center"/>
              <w:rPr>
                <w:rFonts w:ascii="微软雅黑" w:hAnsi="宋体" w:eastAsia="微软雅黑" w:cs="宋体"/>
                <w:b/>
                <w:sz w:val="28"/>
                <w:szCs w:val="28"/>
                <w:lang w:bidi="zh-CN"/>
              </w:rPr>
            </w:pPr>
            <w:r>
              <w:rPr>
                <w:rFonts w:hint="eastAsia" w:ascii="微软雅黑" w:hAnsi="宋体" w:eastAsia="微软雅黑" w:cs="宋体"/>
                <w:b/>
                <w:sz w:val="28"/>
                <w:szCs w:val="28"/>
                <w:lang w:bidi="zh-CN"/>
              </w:rPr>
              <w:t>检查标准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39" w:type="dxa"/>
            <w:vMerge w:val="restart"/>
            <w:vAlign w:val="center"/>
          </w:tcPr>
          <w:p>
            <w:pPr>
              <w:spacing w:before="210"/>
              <w:rPr>
                <w:rFonts w:ascii="宋体" w:hAnsi="宋体" w:cs="宋体"/>
                <w:sz w:val="28"/>
                <w:szCs w:val="28"/>
                <w:lang w:val="zh-CN" w:bidi="zh-CN"/>
              </w:rPr>
            </w:pPr>
            <w:r>
              <w:rPr>
                <w:rFonts w:ascii="宋体" w:hAnsi="宋体" w:cs="宋体"/>
                <w:sz w:val="28"/>
                <w:szCs w:val="28"/>
                <w:lang w:val="zh-CN" w:bidi="zh-CN"/>
              </w:rPr>
              <w:t>资格性审查</w:t>
            </w:r>
          </w:p>
        </w:tc>
        <w:tc>
          <w:tcPr>
            <w:tcW w:w="2837" w:type="dxa"/>
            <w:vAlign w:val="center"/>
          </w:tcPr>
          <w:p>
            <w:pPr>
              <w:spacing w:before="98"/>
              <w:ind w:left="108"/>
              <w:jc w:val="center"/>
              <w:rPr>
                <w:rFonts w:ascii="宋体" w:hAnsi="宋体" w:cs="宋体"/>
                <w:sz w:val="28"/>
                <w:szCs w:val="28"/>
                <w:lang w:val="zh-CN" w:bidi="zh-CN"/>
              </w:rPr>
            </w:pPr>
            <w:r>
              <w:rPr>
                <w:rFonts w:hint="eastAsia" w:asciiTheme="minorEastAsia" w:hAnsiTheme="minorEastAsia" w:eastAsiaTheme="minorEastAsia" w:cstheme="minorEastAsia"/>
                <w:sz w:val="28"/>
                <w:szCs w:val="28"/>
                <w:lang w:val="zh-CN"/>
              </w:rPr>
              <w:t>合法经营单位</w:t>
            </w:r>
            <w:r>
              <w:rPr>
                <w:rFonts w:hint="eastAsia" w:asciiTheme="minorEastAsia" w:hAnsiTheme="minorEastAsia" w:eastAsiaTheme="minorEastAsia" w:cstheme="minorEastAsia"/>
                <w:sz w:val="28"/>
                <w:szCs w:val="28"/>
              </w:rPr>
              <w:t>或证明</w:t>
            </w:r>
          </w:p>
        </w:tc>
        <w:tc>
          <w:tcPr>
            <w:tcW w:w="5795" w:type="dxa"/>
            <w:vAlign w:val="center"/>
          </w:tcPr>
          <w:p>
            <w:pPr>
              <w:spacing w:before="98"/>
              <w:ind w:left="108"/>
              <w:jc w:val="left"/>
              <w:rPr>
                <w:rFonts w:ascii="宋体" w:hAnsi="宋体" w:cs="宋体"/>
                <w:sz w:val="28"/>
                <w:szCs w:val="28"/>
                <w:lang w:val="zh-CN" w:bidi="zh-CN"/>
              </w:rPr>
            </w:pPr>
            <w:r>
              <w:rPr>
                <w:rFonts w:hint="eastAsia" w:ascii="宋体" w:hAnsi="宋体" w:cs="宋体"/>
                <w:sz w:val="28"/>
                <w:szCs w:val="28"/>
                <w:lang w:val="zh-CN" w:bidi="zh-CN"/>
              </w:rPr>
              <w:t>独立承担民事责任能力和良好诚信的合法经营单位或证明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39" w:type="dxa"/>
            <w:vMerge w:val="continue"/>
            <w:vAlign w:val="center"/>
          </w:tcPr>
          <w:p>
            <w:pPr>
              <w:jc w:val="center"/>
              <w:rPr>
                <w:sz w:val="28"/>
                <w:szCs w:val="28"/>
              </w:rPr>
            </w:pPr>
          </w:p>
        </w:tc>
        <w:tc>
          <w:tcPr>
            <w:tcW w:w="2837" w:type="dxa"/>
            <w:vAlign w:val="center"/>
          </w:tcPr>
          <w:p>
            <w:pPr>
              <w:spacing w:before="100"/>
              <w:ind w:left="108"/>
              <w:jc w:val="center"/>
              <w:rPr>
                <w:rFonts w:ascii="宋体" w:hAnsi="宋体" w:cs="宋体"/>
                <w:sz w:val="28"/>
                <w:szCs w:val="28"/>
                <w:lang w:bidi="zh-CN"/>
              </w:rPr>
            </w:pPr>
            <w:r>
              <w:rPr>
                <w:rFonts w:hint="eastAsia" w:ascii="宋体" w:hAnsi="宋体" w:cs="宋体"/>
                <w:sz w:val="28"/>
                <w:szCs w:val="28"/>
                <w:lang w:bidi="zh-CN"/>
              </w:rPr>
              <w:t>企业资质</w:t>
            </w:r>
          </w:p>
        </w:tc>
        <w:tc>
          <w:tcPr>
            <w:tcW w:w="5795" w:type="dxa"/>
            <w:vAlign w:val="center"/>
          </w:tcPr>
          <w:p>
            <w:pPr>
              <w:spacing w:before="100"/>
              <w:ind w:left="108"/>
              <w:jc w:val="left"/>
              <w:rPr>
                <w:rFonts w:ascii="宋体" w:hAnsi="宋体" w:cs="宋体"/>
                <w:sz w:val="28"/>
                <w:szCs w:val="28"/>
                <w:lang w:val="zh-CN" w:bidi="zh-CN"/>
              </w:rPr>
            </w:pPr>
            <w:r>
              <w:rPr>
                <w:rFonts w:ascii="宋体" w:hAnsi="宋体" w:cs="宋体"/>
                <w:sz w:val="28"/>
                <w:szCs w:val="28"/>
                <w:lang w:val="zh-CN" w:bidi="zh-CN"/>
              </w:rPr>
              <w:t>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39" w:type="dxa"/>
            <w:vMerge w:val="continue"/>
            <w:vAlign w:val="center"/>
          </w:tcPr>
          <w:p>
            <w:pPr>
              <w:jc w:val="center"/>
              <w:rPr>
                <w:sz w:val="28"/>
                <w:szCs w:val="28"/>
              </w:rPr>
            </w:pPr>
          </w:p>
        </w:tc>
        <w:tc>
          <w:tcPr>
            <w:tcW w:w="2837" w:type="dxa"/>
            <w:vAlign w:val="center"/>
          </w:tcPr>
          <w:p>
            <w:pPr>
              <w:spacing w:before="98"/>
              <w:ind w:left="108"/>
              <w:jc w:val="center"/>
              <w:rPr>
                <w:rFonts w:hint="default" w:ascii="宋体" w:hAnsi="宋体" w:cs="宋体"/>
                <w:sz w:val="28"/>
                <w:szCs w:val="28"/>
                <w:lang w:val="en-US" w:bidi="zh-CN"/>
              </w:rPr>
            </w:pPr>
            <w:r>
              <w:rPr>
                <w:rFonts w:hint="eastAsia" w:ascii="宋体" w:hAnsi="宋体" w:cs="宋体"/>
                <w:sz w:val="28"/>
                <w:szCs w:val="28"/>
                <w:lang w:bidi="zh-CN"/>
              </w:rPr>
              <w:t>项目负责人职称证书或所在单位人事部门出具的职称证明</w:t>
            </w:r>
          </w:p>
        </w:tc>
        <w:tc>
          <w:tcPr>
            <w:tcW w:w="5795" w:type="dxa"/>
            <w:vAlign w:val="center"/>
          </w:tcPr>
          <w:p>
            <w:pPr>
              <w:spacing w:before="98"/>
              <w:ind w:left="108"/>
              <w:jc w:val="left"/>
              <w:rPr>
                <w:rFonts w:ascii="宋体" w:hAnsi="宋体" w:cs="宋体"/>
                <w:sz w:val="28"/>
                <w:szCs w:val="28"/>
                <w:lang w:val="zh-CN" w:bidi="zh-CN"/>
              </w:rPr>
            </w:pPr>
            <w:r>
              <w:rPr>
                <w:rFonts w:ascii="宋体" w:hAnsi="宋体" w:cs="宋体"/>
                <w:sz w:val="28"/>
                <w:szCs w:val="28"/>
                <w:lang w:val="zh-CN" w:bidi="zh-CN"/>
              </w:rPr>
              <w:t>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39" w:type="dxa"/>
            <w:vMerge w:val="continue"/>
            <w:vAlign w:val="center"/>
          </w:tcPr>
          <w:p>
            <w:pPr>
              <w:jc w:val="center"/>
              <w:rPr>
                <w:sz w:val="28"/>
                <w:szCs w:val="28"/>
              </w:rPr>
            </w:pPr>
          </w:p>
        </w:tc>
        <w:tc>
          <w:tcPr>
            <w:tcW w:w="2837" w:type="dxa"/>
            <w:vAlign w:val="center"/>
          </w:tcPr>
          <w:p>
            <w:pPr>
              <w:spacing w:before="100"/>
              <w:ind w:left="108"/>
              <w:jc w:val="center"/>
              <w:rPr>
                <w:rFonts w:ascii="宋体" w:hAnsi="宋体" w:cs="宋体"/>
                <w:sz w:val="28"/>
                <w:szCs w:val="28"/>
                <w:lang w:val="zh-CN" w:bidi="zh-CN"/>
              </w:rPr>
            </w:pPr>
            <w:r>
              <w:rPr>
                <w:rFonts w:ascii="宋体" w:hAnsi="宋体" w:cs="宋体"/>
                <w:sz w:val="28"/>
                <w:szCs w:val="28"/>
                <w:lang w:val="zh-CN" w:bidi="zh-CN"/>
              </w:rPr>
              <w:t>法人和授权代表资格</w:t>
            </w:r>
          </w:p>
        </w:tc>
        <w:tc>
          <w:tcPr>
            <w:tcW w:w="5795" w:type="dxa"/>
            <w:vAlign w:val="center"/>
          </w:tcPr>
          <w:p>
            <w:pPr>
              <w:spacing w:before="100"/>
              <w:ind w:left="108"/>
              <w:jc w:val="left"/>
              <w:rPr>
                <w:rFonts w:ascii="宋体" w:hAnsi="宋体" w:cs="宋体"/>
                <w:sz w:val="28"/>
                <w:szCs w:val="28"/>
                <w:lang w:val="zh-CN" w:bidi="zh-CN"/>
              </w:rPr>
            </w:pPr>
            <w:r>
              <w:rPr>
                <w:rFonts w:ascii="宋体" w:hAnsi="宋体" w:cs="宋体"/>
                <w:sz w:val="28"/>
                <w:szCs w:val="28"/>
                <w:lang w:val="zh-CN" w:bidi="zh-CN"/>
              </w:rPr>
              <w:t>具有法定代表人资格证明和法定代表人授权委托书</w:t>
            </w:r>
            <w:r>
              <w:rPr>
                <w:rFonts w:hint="eastAsia" w:ascii="宋体" w:hAnsi="宋体" w:cs="宋体"/>
                <w:sz w:val="28"/>
                <w:szCs w:val="28"/>
                <w:lang w:bidi="zh-CN"/>
              </w:rPr>
              <w:t>及投标代表身份证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39" w:type="dxa"/>
            <w:vMerge w:val="continue"/>
            <w:vAlign w:val="center"/>
          </w:tcPr>
          <w:p>
            <w:pPr>
              <w:jc w:val="center"/>
              <w:rPr>
                <w:sz w:val="28"/>
                <w:szCs w:val="28"/>
              </w:rPr>
            </w:pPr>
          </w:p>
        </w:tc>
        <w:tc>
          <w:tcPr>
            <w:tcW w:w="2837" w:type="dxa"/>
            <w:vAlign w:val="center"/>
          </w:tcPr>
          <w:p>
            <w:pPr>
              <w:spacing w:before="100"/>
              <w:ind w:left="108"/>
              <w:jc w:val="center"/>
              <w:rPr>
                <w:rFonts w:ascii="宋体" w:hAnsi="宋体" w:cs="宋体"/>
                <w:sz w:val="28"/>
                <w:szCs w:val="28"/>
                <w:lang w:bidi="zh-CN"/>
              </w:rPr>
            </w:pPr>
            <w:r>
              <w:rPr>
                <w:rFonts w:hint="eastAsia" w:ascii="宋体" w:hAnsi="宋体" w:cs="宋体"/>
                <w:sz w:val="28"/>
                <w:szCs w:val="28"/>
                <w:lang w:bidi="zh-CN"/>
              </w:rPr>
              <w:t>企业近三年类似业绩</w:t>
            </w:r>
          </w:p>
        </w:tc>
        <w:tc>
          <w:tcPr>
            <w:tcW w:w="5795" w:type="dxa"/>
            <w:vAlign w:val="center"/>
          </w:tcPr>
          <w:p>
            <w:pPr>
              <w:spacing w:before="100"/>
              <w:ind w:left="108"/>
              <w:jc w:val="left"/>
              <w:rPr>
                <w:rFonts w:ascii="宋体" w:hAnsi="宋体" w:cs="宋体"/>
                <w:sz w:val="28"/>
                <w:szCs w:val="28"/>
                <w:lang w:val="zh-CN" w:bidi="zh-CN"/>
              </w:rPr>
            </w:pPr>
            <w:r>
              <w:rPr>
                <w:rFonts w:ascii="宋体" w:hAnsi="宋体" w:cs="宋体"/>
                <w:sz w:val="28"/>
                <w:szCs w:val="28"/>
                <w:lang w:val="zh-CN" w:bidi="zh-CN"/>
              </w:rPr>
              <w:t>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39" w:type="dxa"/>
            <w:vMerge w:val="continue"/>
            <w:vAlign w:val="center"/>
          </w:tcPr>
          <w:p>
            <w:pPr>
              <w:jc w:val="center"/>
              <w:rPr>
                <w:sz w:val="28"/>
                <w:szCs w:val="28"/>
              </w:rPr>
            </w:pPr>
          </w:p>
        </w:tc>
        <w:tc>
          <w:tcPr>
            <w:tcW w:w="2837" w:type="dxa"/>
            <w:vAlign w:val="center"/>
          </w:tcPr>
          <w:p>
            <w:pPr>
              <w:spacing w:before="100"/>
              <w:ind w:left="108"/>
              <w:jc w:val="center"/>
              <w:rPr>
                <w:rFonts w:ascii="宋体" w:hAnsi="宋体" w:cs="宋体"/>
                <w:sz w:val="28"/>
                <w:szCs w:val="28"/>
                <w:lang w:bidi="zh-CN"/>
              </w:rPr>
            </w:pPr>
            <w:r>
              <w:rPr>
                <w:rFonts w:hint="eastAsia" w:ascii="宋体" w:hAnsi="宋体" w:cs="宋体"/>
                <w:sz w:val="28"/>
                <w:szCs w:val="28"/>
                <w:lang w:bidi="zh-CN"/>
              </w:rPr>
              <w:t>信用截图</w:t>
            </w:r>
          </w:p>
        </w:tc>
        <w:tc>
          <w:tcPr>
            <w:tcW w:w="5795" w:type="dxa"/>
            <w:vAlign w:val="center"/>
          </w:tcPr>
          <w:p>
            <w:pPr>
              <w:spacing w:before="100"/>
              <w:ind w:left="108"/>
              <w:jc w:val="left"/>
              <w:rPr>
                <w:rFonts w:ascii="宋体" w:hAnsi="宋体" w:cs="宋体"/>
                <w:sz w:val="28"/>
                <w:szCs w:val="28"/>
                <w:lang w:bidi="zh-CN"/>
              </w:rPr>
            </w:pPr>
            <w:r>
              <w:rPr>
                <w:rFonts w:hint="eastAsia" w:asciiTheme="minorEastAsia" w:hAnsiTheme="minorEastAsia" w:eastAsiaTheme="minorEastAsia" w:cstheme="minorEastAsia"/>
                <w:sz w:val="28"/>
                <w:szCs w:val="28"/>
              </w:rPr>
              <w:t>在“信用中国”、中国政府采购网，网站中没有被列入失信被执行人、重大税收违法案件当事人名单、 政府采购不良行为记录名单、未被列入经营异常名录或严重违法失信企业黑名单截图</w:t>
            </w:r>
          </w:p>
        </w:tc>
      </w:tr>
    </w:tbl>
    <w:p>
      <w:pPr>
        <w:pStyle w:val="40"/>
        <w:spacing w:line="440" w:lineRule="exact"/>
        <w:ind w:firstLine="0"/>
        <w:jc w:val="center"/>
        <w:outlineLvl w:val="1"/>
        <w:rPr>
          <w:rFonts w:asciiTheme="minorEastAsia" w:hAnsiTheme="minorEastAsia" w:eastAsiaTheme="minorEastAsia" w:cstheme="minorEastAsia"/>
          <w:b/>
          <w:color w:val="0C0C0C"/>
          <w:sz w:val="28"/>
          <w:szCs w:val="28"/>
        </w:rPr>
      </w:pPr>
      <w:r>
        <w:rPr>
          <w:rFonts w:hint="eastAsia" w:asciiTheme="minorEastAsia" w:hAnsiTheme="minorEastAsia" w:eastAsiaTheme="minorEastAsia" w:cstheme="minorEastAsia"/>
          <w:b/>
          <w:color w:val="0C0C0C"/>
          <w:sz w:val="28"/>
          <w:szCs w:val="28"/>
        </w:rPr>
        <w:t>《符合性审查标准》</w:t>
      </w:r>
    </w:p>
    <w:tbl>
      <w:tblPr>
        <w:tblStyle w:val="18"/>
        <w:tblW w:w="9556"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2005"/>
        <w:gridCol w:w="6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4" w:type="dxa"/>
            <w:vMerge w:val="restart"/>
          </w:tcPr>
          <w:p>
            <w:pPr>
              <w:pStyle w:val="42"/>
              <w:rPr>
                <w:sz w:val="28"/>
                <w:szCs w:val="28"/>
              </w:rPr>
            </w:pPr>
          </w:p>
          <w:p>
            <w:pPr>
              <w:pStyle w:val="42"/>
              <w:rPr>
                <w:sz w:val="28"/>
                <w:szCs w:val="28"/>
              </w:rPr>
            </w:pPr>
          </w:p>
          <w:p>
            <w:pPr>
              <w:pStyle w:val="42"/>
              <w:spacing w:before="5"/>
              <w:rPr>
                <w:sz w:val="28"/>
                <w:szCs w:val="28"/>
              </w:rPr>
            </w:pPr>
          </w:p>
          <w:p>
            <w:pPr>
              <w:pStyle w:val="42"/>
              <w:ind w:left="132"/>
              <w:rPr>
                <w:sz w:val="28"/>
                <w:szCs w:val="28"/>
              </w:rPr>
            </w:pPr>
            <w:r>
              <w:rPr>
                <w:sz w:val="28"/>
                <w:szCs w:val="28"/>
              </w:rPr>
              <w:t xml:space="preserve">符合性审查 </w:t>
            </w:r>
          </w:p>
        </w:tc>
        <w:tc>
          <w:tcPr>
            <w:tcW w:w="2005" w:type="dxa"/>
          </w:tcPr>
          <w:p>
            <w:pPr>
              <w:pStyle w:val="42"/>
              <w:spacing w:before="101"/>
              <w:ind w:left="108"/>
              <w:rPr>
                <w:sz w:val="28"/>
                <w:szCs w:val="28"/>
              </w:rPr>
            </w:pPr>
            <w:r>
              <w:rPr>
                <w:sz w:val="28"/>
                <w:szCs w:val="28"/>
              </w:rPr>
              <w:t xml:space="preserve">投标人名称 </w:t>
            </w:r>
          </w:p>
        </w:tc>
        <w:tc>
          <w:tcPr>
            <w:tcW w:w="6627" w:type="dxa"/>
          </w:tcPr>
          <w:p>
            <w:pPr>
              <w:pStyle w:val="42"/>
              <w:spacing w:before="101"/>
              <w:ind w:left="108"/>
              <w:rPr>
                <w:sz w:val="28"/>
                <w:szCs w:val="28"/>
              </w:rPr>
            </w:pPr>
            <w:r>
              <w:rPr>
                <w:rFonts w:hint="eastAsia" w:asciiTheme="minorEastAsia" w:hAnsiTheme="minorEastAsia" w:eastAsiaTheme="minorEastAsia" w:cstheme="minorEastAsia"/>
                <w:sz w:val="28"/>
                <w:szCs w:val="28"/>
              </w:rPr>
              <w:t>独立承担民事责任能力和良好诚信的合法经营单位</w:t>
            </w:r>
            <w:r>
              <w:rPr>
                <w:rFonts w:hint="eastAsia" w:asciiTheme="minorEastAsia" w:hAnsiTheme="minorEastAsia" w:eastAsiaTheme="minorEastAsia" w:cstheme="minorEastAsia"/>
                <w:sz w:val="28"/>
                <w:szCs w:val="28"/>
                <w:lang w:val="en-US"/>
              </w:rPr>
              <w:t>或证明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4" w:type="dxa"/>
            <w:vMerge w:val="continue"/>
          </w:tcPr>
          <w:p>
            <w:pPr>
              <w:rPr>
                <w:sz w:val="28"/>
                <w:szCs w:val="28"/>
              </w:rPr>
            </w:pPr>
          </w:p>
        </w:tc>
        <w:tc>
          <w:tcPr>
            <w:tcW w:w="2005" w:type="dxa"/>
          </w:tcPr>
          <w:p>
            <w:pPr>
              <w:pStyle w:val="42"/>
              <w:spacing w:before="100"/>
              <w:ind w:left="108"/>
              <w:rPr>
                <w:sz w:val="28"/>
                <w:szCs w:val="28"/>
              </w:rPr>
            </w:pPr>
            <w:r>
              <w:rPr>
                <w:rFonts w:hint="eastAsia"/>
                <w:sz w:val="28"/>
                <w:szCs w:val="28"/>
                <w:lang w:val="en-US"/>
              </w:rPr>
              <w:t>响应</w:t>
            </w:r>
            <w:r>
              <w:rPr>
                <w:sz w:val="28"/>
                <w:szCs w:val="28"/>
              </w:rPr>
              <w:t xml:space="preserve">文件签署 </w:t>
            </w:r>
          </w:p>
        </w:tc>
        <w:tc>
          <w:tcPr>
            <w:tcW w:w="6627" w:type="dxa"/>
          </w:tcPr>
          <w:p>
            <w:pPr>
              <w:pStyle w:val="42"/>
              <w:spacing w:before="100"/>
              <w:ind w:left="108"/>
              <w:rPr>
                <w:sz w:val="28"/>
                <w:szCs w:val="28"/>
              </w:rPr>
            </w:pPr>
            <w:r>
              <w:rPr>
                <w:sz w:val="28"/>
                <w:szCs w:val="28"/>
              </w:rPr>
              <w:t xml:space="preserve">符合招标文件要求在规定区域加盖单位电子公章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4" w:type="dxa"/>
            <w:vMerge w:val="continue"/>
          </w:tcPr>
          <w:p>
            <w:pPr>
              <w:rPr>
                <w:sz w:val="28"/>
                <w:szCs w:val="28"/>
              </w:rPr>
            </w:pPr>
          </w:p>
        </w:tc>
        <w:tc>
          <w:tcPr>
            <w:tcW w:w="2005" w:type="dxa"/>
          </w:tcPr>
          <w:p>
            <w:pPr>
              <w:pStyle w:val="42"/>
              <w:spacing w:before="100"/>
              <w:ind w:left="108"/>
              <w:rPr>
                <w:sz w:val="28"/>
                <w:szCs w:val="28"/>
              </w:rPr>
            </w:pPr>
            <w:r>
              <w:rPr>
                <w:sz w:val="28"/>
                <w:szCs w:val="28"/>
              </w:rPr>
              <w:t xml:space="preserve">投标有效期 </w:t>
            </w:r>
          </w:p>
        </w:tc>
        <w:tc>
          <w:tcPr>
            <w:tcW w:w="6627" w:type="dxa"/>
          </w:tcPr>
          <w:p>
            <w:pPr>
              <w:pStyle w:val="42"/>
              <w:spacing w:before="100"/>
              <w:ind w:left="108"/>
              <w:rPr>
                <w:sz w:val="28"/>
                <w:szCs w:val="28"/>
              </w:rPr>
            </w:pPr>
            <w:r>
              <w:rPr>
                <w:sz w:val="28"/>
                <w:szCs w:val="28"/>
              </w:rPr>
              <w:t xml:space="preserve">符合投标人须知前附表的规定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4" w:type="dxa"/>
            <w:vMerge w:val="continue"/>
          </w:tcPr>
          <w:p>
            <w:pPr>
              <w:rPr>
                <w:sz w:val="28"/>
                <w:szCs w:val="28"/>
              </w:rPr>
            </w:pPr>
          </w:p>
        </w:tc>
        <w:tc>
          <w:tcPr>
            <w:tcW w:w="2005" w:type="dxa"/>
          </w:tcPr>
          <w:p>
            <w:pPr>
              <w:pStyle w:val="42"/>
              <w:spacing w:before="100"/>
              <w:ind w:left="108"/>
              <w:rPr>
                <w:sz w:val="28"/>
                <w:szCs w:val="28"/>
              </w:rPr>
            </w:pPr>
            <w:r>
              <w:rPr>
                <w:sz w:val="28"/>
                <w:szCs w:val="28"/>
              </w:rPr>
              <w:t xml:space="preserve">投标报价 </w:t>
            </w:r>
          </w:p>
        </w:tc>
        <w:tc>
          <w:tcPr>
            <w:tcW w:w="6627" w:type="dxa"/>
          </w:tcPr>
          <w:p>
            <w:pPr>
              <w:pStyle w:val="42"/>
              <w:spacing w:before="100"/>
              <w:ind w:left="108"/>
              <w:rPr>
                <w:sz w:val="28"/>
                <w:szCs w:val="28"/>
              </w:rPr>
            </w:pPr>
            <w:r>
              <w:rPr>
                <w:sz w:val="28"/>
                <w:szCs w:val="28"/>
              </w:rPr>
              <w:t>只有一个有效报价且未超过</w:t>
            </w:r>
            <w:r>
              <w:rPr>
                <w:rFonts w:hint="eastAsia"/>
                <w:sz w:val="28"/>
                <w:szCs w:val="28"/>
                <w:lang w:val="en-US"/>
              </w:rPr>
              <w:t>项目最高限价</w:t>
            </w:r>
            <w:r>
              <w:rPr>
                <w:sz w:val="28"/>
                <w:szCs w:val="28"/>
              </w:rPr>
              <w:t xml:space="preserve">金额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4" w:type="dxa"/>
            <w:vMerge w:val="continue"/>
          </w:tcPr>
          <w:p>
            <w:pPr>
              <w:rPr>
                <w:sz w:val="28"/>
                <w:szCs w:val="28"/>
              </w:rPr>
            </w:pPr>
          </w:p>
        </w:tc>
        <w:tc>
          <w:tcPr>
            <w:tcW w:w="2005" w:type="dxa"/>
          </w:tcPr>
          <w:p>
            <w:pPr>
              <w:pStyle w:val="42"/>
              <w:spacing w:before="100"/>
              <w:ind w:left="108"/>
              <w:rPr>
                <w:sz w:val="28"/>
                <w:szCs w:val="28"/>
              </w:rPr>
            </w:pPr>
            <w:r>
              <w:rPr>
                <w:sz w:val="28"/>
                <w:szCs w:val="28"/>
              </w:rPr>
              <w:t>服务期限</w:t>
            </w:r>
          </w:p>
        </w:tc>
        <w:tc>
          <w:tcPr>
            <w:tcW w:w="6627" w:type="dxa"/>
          </w:tcPr>
          <w:p>
            <w:pPr>
              <w:pStyle w:val="42"/>
              <w:spacing w:before="100"/>
              <w:ind w:left="108"/>
              <w:rPr>
                <w:sz w:val="28"/>
                <w:szCs w:val="28"/>
              </w:rPr>
            </w:pPr>
            <w:r>
              <w:rPr>
                <w:sz w:val="28"/>
                <w:szCs w:val="28"/>
              </w:rPr>
              <w:t>投标服务期限是否满足招标文件规定的期限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4" w:type="dxa"/>
            <w:vMerge w:val="continue"/>
          </w:tcPr>
          <w:p>
            <w:pPr>
              <w:rPr>
                <w:sz w:val="28"/>
                <w:szCs w:val="28"/>
              </w:rPr>
            </w:pPr>
          </w:p>
        </w:tc>
        <w:tc>
          <w:tcPr>
            <w:tcW w:w="2005" w:type="dxa"/>
          </w:tcPr>
          <w:p>
            <w:pPr>
              <w:pStyle w:val="42"/>
              <w:spacing w:before="100"/>
              <w:ind w:left="108"/>
              <w:rPr>
                <w:sz w:val="28"/>
                <w:szCs w:val="28"/>
              </w:rPr>
            </w:pPr>
            <w:r>
              <w:rPr>
                <w:sz w:val="28"/>
                <w:szCs w:val="28"/>
              </w:rPr>
              <w:t>投标方案</w:t>
            </w:r>
          </w:p>
        </w:tc>
        <w:tc>
          <w:tcPr>
            <w:tcW w:w="6627" w:type="dxa"/>
          </w:tcPr>
          <w:p>
            <w:pPr>
              <w:pStyle w:val="42"/>
              <w:spacing w:before="100"/>
              <w:ind w:left="108"/>
              <w:rPr>
                <w:sz w:val="28"/>
                <w:szCs w:val="28"/>
              </w:rPr>
            </w:pPr>
            <w:r>
              <w:rPr>
                <w:sz w:val="28"/>
                <w:szCs w:val="28"/>
              </w:rPr>
              <w:t>只有一个方案投标</w:t>
            </w:r>
          </w:p>
        </w:tc>
      </w:tr>
    </w:tbl>
    <w:p>
      <w:pPr>
        <w:pStyle w:val="6"/>
        <w:ind w:firstLine="0"/>
        <w:sectPr>
          <w:pgSz w:w="11900" w:h="16840"/>
          <w:pgMar w:top="1440" w:right="1800" w:bottom="1440" w:left="1800" w:header="0" w:footer="0" w:gutter="0"/>
          <w:pgNumType w:fmt="decimal"/>
          <w:cols w:space="720" w:num="1"/>
        </w:sectPr>
      </w:pPr>
      <w:r>
        <w:rPr>
          <w:rFonts w:hint="eastAsia" w:asciiTheme="minorEastAsia" w:hAnsiTheme="minorEastAsia" w:eastAsiaTheme="minorEastAsia" w:cstheme="minorEastAsia"/>
          <w:bCs/>
          <w:sz w:val="28"/>
          <w:szCs w:val="28"/>
        </w:rPr>
        <w:t>评标委员会将对投标人递交的磋商文件按《响应文件完备性及符合性审查标准》进行审查。如果响应文件中有一项未通过审查标准，评标委员会将认定该响应文件不响应磋商文件而予以废标，并且不允许投标人通过修改或撤销其不符合要求的差异或保留，使之成为具有响应性的投标。</w:t>
      </w:r>
    </w:p>
    <w:bookmarkEnd w:id="77"/>
    <w:bookmarkEnd w:id="78"/>
    <w:bookmarkEnd w:id="79"/>
    <w:bookmarkEnd w:id="80"/>
    <w:bookmarkEnd w:id="81"/>
    <w:bookmarkEnd w:id="82"/>
    <w:bookmarkEnd w:id="83"/>
    <w:p>
      <w:pPr>
        <w:spacing w:line="420" w:lineRule="exact"/>
        <w:rPr>
          <w:rFonts w:asciiTheme="minorEastAsia" w:hAnsiTheme="minorEastAsia" w:eastAsiaTheme="minorEastAsia" w:cstheme="minorEastAsia"/>
          <w:bCs/>
          <w:sz w:val="28"/>
          <w:szCs w:val="28"/>
        </w:rPr>
      </w:pPr>
    </w:p>
    <w:p/>
    <w:tbl>
      <w:tblPr>
        <w:tblStyle w:val="18"/>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17"/>
        <w:gridCol w:w="669"/>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272"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zh-CN"/>
              </w:rPr>
              <w:t>具体项目及评分细则</w:t>
            </w:r>
            <w:r>
              <w:rPr>
                <w:rFonts w:hint="eastAsia" w:ascii="宋体" w:hAnsi="宋体" w:eastAsia="宋体" w:cs="宋体"/>
                <w:bCs/>
                <w:sz w:val="24"/>
                <w:szCs w:val="24"/>
              </w:rPr>
              <w:t>：类别</w:t>
            </w: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项目</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满分 分值</w:t>
            </w:r>
          </w:p>
        </w:tc>
        <w:tc>
          <w:tcPr>
            <w:tcW w:w="6218" w:type="dxa"/>
            <w:vAlign w:val="center"/>
          </w:tcPr>
          <w:p>
            <w:pPr>
              <w:spacing w:line="360" w:lineRule="auto"/>
              <w:ind w:firstLine="420" w:firstLineChars="175"/>
              <w:jc w:val="center"/>
              <w:rPr>
                <w:rFonts w:hint="eastAsia" w:ascii="宋体" w:hAnsi="宋体" w:eastAsia="宋体" w:cs="宋体"/>
                <w:bCs/>
                <w:sz w:val="24"/>
                <w:szCs w:val="24"/>
              </w:rPr>
            </w:pPr>
            <w:r>
              <w:rPr>
                <w:rFonts w:hint="eastAsia" w:ascii="宋体" w:hAnsi="宋体" w:eastAsia="宋体" w:cs="宋体"/>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272"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报价</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报价分</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6218" w:type="dxa"/>
            <w:vAlign w:val="center"/>
          </w:tcPr>
          <w:p>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报价基准值=各投标人针对该项目最后报价最低的投标人的价格为报价基准价。</w:t>
            </w:r>
          </w:p>
          <w:p>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报价得分=（报价基准价/投标人报价）×价格权值（</w:t>
            </w:r>
            <w:r>
              <w:rPr>
                <w:rFonts w:hint="eastAsia" w:ascii="宋体" w:hAnsi="宋体" w:eastAsia="宋体" w:cs="宋体"/>
                <w:bCs/>
                <w:sz w:val="24"/>
                <w:szCs w:val="24"/>
              </w:rPr>
              <w:t>1</w:t>
            </w:r>
            <w:r>
              <w:rPr>
                <w:rFonts w:hint="eastAsia" w:ascii="宋体" w:hAnsi="宋体" w:eastAsia="宋体" w:cs="宋体"/>
                <w:bCs/>
                <w:sz w:val="24"/>
                <w:szCs w:val="24"/>
                <w:lang w:val="zh-CN"/>
              </w:rPr>
              <w:t>0%）×100（四舍五入后保留小数点后两位）。</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lang w:val="zh-CN"/>
              </w:rPr>
              <w:t>根据《政府采购促进中小企业发展暂行办法》的相关规定，对小型和微型企业制造（生产）产品的价格给予10%的扣除，用扣除后的价格参与评审。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2" w:type="dxa"/>
            <w:vMerge w:val="restar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商务</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部分</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（30）</w:t>
            </w: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类似</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6218"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color w:val="auto"/>
                <w:sz w:val="24"/>
                <w:szCs w:val="24"/>
                <w:u w:val="none"/>
              </w:rPr>
              <w:t>近</w:t>
            </w:r>
            <w:r>
              <w:rPr>
                <w:rFonts w:hint="eastAsia" w:ascii="宋体" w:hAnsi="宋体" w:eastAsia="宋体" w:cs="宋体"/>
                <w:bCs/>
                <w:color w:val="auto"/>
                <w:sz w:val="24"/>
                <w:szCs w:val="24"/>
                <w:u w:val="none"/>
                <w:lang w:val="en-US" w:eastAsia="zh-CN"/>
              </w:rPr>
              <w:t>3</w:t>
            </w:r>
            <w:r>
              <w:rPr>
                <w:rFonts w:hint="eastAsia" w:ascii="宋体" w:hAnsi="宋体" w:eastAsia="宋体" w:cs="宋体"/>
                <w:bCs/>
                <w:sz w:val="24"/>
                <w:szCs w:val="24"/>
              </w:rPr>
              <w:t>年来，供应商每提供1项类似业绩证明材料得3分,满分15分，不提供不得分。(须提供供货合同或中标通知书的扫描或复印件</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以合同签订为主</w:t>
            </w: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272" w:type="dxa"/>
            <w:vMerge w:val="continue"/>
            <w:vAlign w:val="center"/>
          </w:tcPr>
          <w:p>
            <w:pPr>
              <w:spacing w:line="360" w:lineRule="auto"/>
              <w:jc w:val="center"/>
              <w:rPr>
                <w:rFonts w:hint="eastAsia" w:ascii="宋体" w:hAnsi="宋体" w:eastAsia="宋体" w:cs="宋体"/>
                <w:bCs/>
                <w:sz w:val="24"/>
                <w:szCs w:val="24"/>
              </w:rPr>
            </w:pP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售后服务方案</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6218"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针对该项目须有详尽的后期管护、配送、验收、售后等方面的服务能力。售后服务方案制定全面、可行且有明确的质量问题反馈渠道、解决方案、解决时限的得9分；整体方案制定笼统涵盖面缺少且方案基本可行得5分，只提供笼统方案且内容模糊、不详尽的得3分，未提供者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72" w:type="dxa"/>
            <w:vMerge w:val="continue"/>
            <w:vAlign w:val="center"/>
          </w:tcPr>
          <w:p>
            <w:pPr>
              <w:spacing w:line="360" w:lineRule="auto"/>
              <w:jc w:val="center"/>
              <w:rPr>
                <w:rFonts w:hint="eastAsia" w:ascii="宋体" w:hAnsi="宋体" w:eastAsia="宋体" w:cs="宋体"/>
                <w:bCs/>
                <w:sz w:val="24"/>
                <w:szCs w:val="24"/>
              </w:rPr>
            </w:pP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标函</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质量</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6218"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投标文件按照招标文件格式编写，内容详实严谨、结构合理、应答明确，对招标文件响应程度高，相对比较酌情0-3赋分。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72" w:type="dxa"/>
            <w:vMerge w:val="continue"/>
            <w:vAlign w:val="center"/>
          </w:tcPr>
          <w:p>
            <w:pPr>
              <w:spacing w:line="360" w:lineRule="auto"/>
              <w:jc w:val="center"/>
              <w:rPr>
                <w:rFonts w:hint="eastAsia" w:ascii="宋体" w:hAnsi="宋体" w:eastAsia="宋体" w:cs="宋体"/>
                <w:bCs/>
                <w:sz w:val="24"/>
                <w:szCs w:val="24"/>
              </w:rPr>
            </w:pP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质量、进度、保密等保证</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措施</w:t>
            </w:r>
          </w:p>
        </w:tc>
        <w:tc>
          <w:tcPr>
            <w:tcW w:w="66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6218"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根据质量保证措施的全面性、进度保证措施的合理性以及保密措施的有效性酌情赋分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2"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质量</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部分</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（60）</w:t>
            </w:r>
          </w:p>
        </w:tc>
        <w:tc>
          <w:tcPr>
            <w:tcW w:w="1117"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服务</w:t>
            </w:r>
          </w:p>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zh-CN"/>
              </w:rPr>
              <w:t>方案</w:t>
            </w:r>
          </w:p>
        </w:tc>
        <w:tc>
          <w:tcPr>
            <w:tcW w:w="669"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25</w:t>
            </w:r>
          </w:p>
        </w:tc>
        <w:tc>
          <w:tcPr>
            <w:tcW w:w="6218" w:type="dxa"/>
            <w:vAlign w:val="center"/>
          </w:tcPr>
          <w:p>
            <w:pPr>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 xml:space="preserve">结合本项目特点制定服务方案，且方案内容设置合理详尽，项目实施进度安排合理、对项目理解透彻的得10分，服务方案设置合理性一般或有轻微瑕疵，实施方案详尽、项目进度安排较合理的得6分，服务方案设置合理性一般或有瑕疵，实施方案描述不全面的得3分，没有不得分； </w:t>
            </w:r>
          </w:p>
          <w:p>
            <w:pPr>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项目调查方法是否全面、分析是否透彻的得5分，对调查方法不到位的得2分，不提供不得分。</w:t>
            </w:r>
          </w:p>
          <w:p>
            <w:pPr>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对陆生野生动物的种群数量、相对密度或分布地点、栖息地类型、栖息地面积及分布面积等进行统计，根据是否具有针对性和合理程度打分，合理程度高的、针对性强的得5分，合理程度针对性一般的得2分，不提供不得分。</w:t>
            </w:r>
          </w:p>
          <w:p>
            <w:pPr>
              <w:spacing w:line="360" w:lineRule="auto"/>
              <w:ind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依据现状调查结果，针对阿拉套山雪豹及其猎物种群和栖息地进行系统调查和评估。全面、合理、符合现状、可行性强的得 5 分，较为合理、可行性差的得2分，不提供不得分。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2" w:type="dxa"/>
            <w:vAlign w:val="center"/>
          </w:tcPr>
          <w:p>
            <w:pPr>
              <w:spacing w:line="360" w:lineRule="auto"/>
              <w:jc w:val="center"/>
              <w:rPr>
                <w:rFonts w:hint="eastAsia" w:ascii="宋体" w:hAnsi="宋体" w:eastAsia="宋体" w:cs="宋体"/>
                <w:bCs/>
                <w:sz w:val="24"/>
                <w:szCs w:val="24"/>
              </w:rPr>
            </w:pPr>
          </w:p>
        </w:tc>
        <w:tc>
          <w:tcPr>
            <w:tcW w:w="1117" w:type="dxa"/>
            <w:vAlign w:val="center"/>
          </w:tcPr>
          <w:p>
            <w:pPr>
              <w:spacing w:line="360" w:lineRule="auto"/>
              <w:jc w:val="center"/>
              <w:rPr>
                <w:rFonts w:hint="eastAsia" w:ascii="宋体" w:hAnsi="宋体" w:eastAsia="宋体" w:cs="宋体"/>
                <w:bCs/>
                <w:sz w:val="24"/>
                <w:szCs w:val="24"/>
                <w:lang w:val="zh-CN"/>
              </w:rPr>
            </w:pPr>
            <w:r>
              <w:rPr>
                <w:rFonts w:hint="eastAsia" w:ascii="宋体" w:hAnsi="宋体" w:eastAsia="宋体" w:cs="宋体"/>
                <w:bCs/>
                <w:sz w:val="22"/>
                <w:szCs w:val="22"/>
              </w:rPr>
              <w:t>质量保障措施方案</w:t>
            </w:r>
          </w:p>
        </w:tc>
        <w:tc>
          <w:tcPr>
            <w:tcW w:w="669" w:type="dxa"/>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bCs/>
                <w:sz w:val="22"/>
                <w:szCs w:val="22"/>
              </w:rPr>
              <w:t>10</w:t>
            </w:r>
          </w:p>
        </w:tc>
        <w:tc>
          <w:tcPr>
            <w:tcW w:w="6218" w:type="dxa"/>
            <w:vAlign w:val="center"/>
          </w:tcPr>
          <w:p>
            <w:pPr>
              <w:spacing w:line="360" w:lineRule="auto"/>
              <w:ind w:firstLine="385" w:firstLineChars="175"/>
              <w:jc w:val="left"/>
              <w:rPr>
                <w:rFonts w:hint="eastAsia" w:ascii="宋体" w:hAnsi="宋体" w:eastAsia="宋体" w:cs="宋体"/>
                <w:bCs/>
                <w:sz w:val="24"/>
                <w:szCs w:val="24"/>
              </w:rPr>
            </w:pPr>
            <w:r>
              <w:rPr>
                <w:rFonts w:hint="eastAsia" w:ascii="宋体" w:hAnsi="宋体" w:eastAsia="宋体" w:cs="宋体"/>
                <w:bCs/>
                <w:sz w:val="22"/>
                <w:szCs w:val="22"/>
              </w:rPr>
              <w:t>依据各投标人针对该项目实际特点制定的“服务质量保证措施”内容全面完整、措施合理得当的得10分；针对该项目实际特点制定的“服务质量保证措施”内容全面完整、措施可行的得6分；服务质量保证措施不完备的得3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2" w:type="dxa"/>
            <w:vAlign w:val="center"/>
          </w:tcPr>
          <w:p>
            <w:pPr>
              <w:spacing w:line="360" w:lineRule="auto"/>
              <w:jc w:val="center"/>
              <w:rPr>
                <w:rFonts w:hint="eastAsia" w:ascii="宋体" w:hAnsi="宋体" w:eastAsia="宋体" w:cs="宋体"/>
                <w:bCs/>
                <w:sz w:val="24"/>
                <w:szCs w:val="24"/>
              </w:rPr>
            </w:pPr>
          </w:p>
        </w:tc>
        <w:tc>
          <w:tcPr>
            <w:tcW w:w="1117" w:type="dxa"/>
            <w:vAlign w:val="center"/>
          </w:tcPr>
          <w:p>
            <w:pPr>
              <w:spacing w:line="360" w:lineRule="auto"/>
              <w:jc w:val="center"/>
              <w:rPr>
                <w:rFonts w:hint="eastAsia" w:ascii="宋体" w:hAnsi="宋体" w:eastAsia="宋体" w:cs="宋体"/>
                <w:bCs/>
                <w:sz w:val="22"/>
                <w:szCs w:val="22"/>
                <w:lang w:val="zh-CN"/>
              </w:rPr>
            </w:pPr>
            <w:r>
              <w:rPr>
                <w:rFonts w:hint="eastAsia" w:ascii="宋体" w:hAnsi="宋体" w:eastAsia="宋体" w:cs="宋体"/>
                <w:bCs/>
                <w:sz w:val="22"/>
                <w:szCs w:val="22"/>
                <w:lang w:val="zh-CN"/>
              </w:rPr>
              <w:t>人员</w:t>
            </w:r>
          </w:p>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lang w:val="zh-CN"/>
              </w:rPr>
              <w:t>配备</w:t>
            </w:r>
          </w:p>
        </w:tc>
        <w:tc>
          <w:tcPr>
            <w:tcW w:w="669" w:type="dxa"/>
            <w:vAlign w:val="center"/>
          </w:tcPr>
          <w:p>
            <w:pPr>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25</w:t>
            </w:r>
          </w:p>
        </w:tc>
        <w:tc>
          <w:tcPr>
            <w:tcW w:w="6218" w:type="dxa"/>
            <w:vAlign w:val="center"/>
          </w:tcPr>
          <w:p>
            <w:pPr>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 xml:space="preserve">人员配备:项目负责人相关专业中级（及以上）职称证书或所在单位人事部门出具的职称证明。调查团队具备野生动物野外调查科研能力，要求提供团队成员毕业证、职称证等相关证明材料。团队成员毕业于林学相关学科专业者不少于5人。优秀者得10分，良好者得7分，一般者得4分，差者得2分，不提供不得分；（上述证件材料须提供复印件加盖投标人公章）。 </w:t>
            </w:r>
          </w:p>
          <w:p>
            <w:pPr>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提供项目负责人员参与过的类似业绩材料，每提供一项得3分，满分9分。（须提供委托文件或合同的扫描或复印件，合同需包含合同首页、合同内容及金额所在页、签字盖章页）注：此项项目负责人业绩与供应商类似业绩不可重复加分）</w:t>
            </w:r>
          </w:p>
          <w:p>
            <w:pPr>
              <w:spacing w:line="360" w:lineRule="auto"/>
              <w:ind w:firstLine="385" w:firstLineChars="175"/>
              <w:jc w:val="left"/>
              <w:rPr>
                <w:rFonts w:hint="eastAsia" w:ascii="宋体" w:hAnsi="宋体" w:eastAsia="宋体" w:cs="宋体"/>
                <w:bCs/>
                <w:sz w:val="22"/>
                <w:szCs w:val="22"/>
              </w:rPr>
            </w:pPr>
            <w:r>
              <w:rPr>
                <w:rFonts w:hint="eastAsia" w:ascii="宋体" w:hAnsi="宋体" w:eastAsia="宋体" w:cs="宋体"/>
                <w:bCs/>
                <w:sz w:val="22"/>
                <w:szCs w:val="22"/>
              </w:rPr>
              <w:t>提供项目负责人发表过得相关专业的论文、著作、专利等。每提供一项得6分；满分6分。不提供不得分。</w:t>
            </w:r>
          </w:p>
        </w:tc>
      </w:tr>
    </w:tbl>
    <w:p>
      <w:pPr>
        <w:spacing w:line="360" w:lineRule="auto"/>
        <w:ind w:firstLine="385" w:firstLineChars="175"/>
        <w:jc w:val="center"/>
        <w:rPr>
          <w:rFonts w:hint="eastAsia" w:ascii="宋体" w:hAnsi="宋体" w:eastAsia="宋体" w:cs="宋体"/>
          <w:bCs/>
          <w:sz w:val="22"/>
          <w:szCs w:val="22"/>
        </w:rPr>
        <w:sectPr>
          <w:headerReference r:id="rId10" w:type="first"/>
          <w:headerReference r:id="rId8" w:type="default"/>
          <w:footerReference r:id="rId11" w:type="default"/>
          <w:headerReference r:id="rId9" w:type="even"/>
          <w:pgSz w:w="11906" w:h="16838"/>
          <w:pgMar w:top="1440" w:right="1797" w:bottom="1440" w:left="1797" w:header="851" w:footer="992" w:gutter="0"/>
          <w:pgNumType w:fmt="decimal"/>
          <w:cols w:space="720" w:num="1"/>
          <w:docGrid w:linePitch="312" w:charSpace="0"/>
        </w:sect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注：（1）如供应商为小微企业，需提供《小微企业声明函》及相关证明文件，对小型和微型企业产品的价格给予10%的扣除，用扣除后的价格参与评审。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0000FF"/>
          <w:sz w:val="28"/>
          <w:szCs w:val="28"/>
        </w:rPr>
        <w:t xml:space="preserve"> </w:t>
      </w:r>
      <w:r>
        <w:rPr>
          <w:rFonts w:hint="eastAsia" w:asciiTheme="minorEastAsia" w:hAnsiTheme="minorEastAsia" w:eastAsiaTheme="minorEastAsia" w:cstheme="minorEastAsia"/>
          <w:sz w:val="28"/>
          <w:szCs w:val="28"/>
        </w:rPr>
        <w:t xml:space="preserve">                              </w:t>
      </w:r>
    </w:p>
    <w:p>
      <w:pPr>
        <w:spacing w:line="42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22.8磋商小组应当根据综合评分情况，按照评审得分由高到低顺序推荐</w:t>
      </w: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bCs/>
          <w:sz w:val="28"/>
          <w:szCs w:val="28"/>
        </w:rPr>
        <w:t>名成交候选供应商。评审得分相同的，按照最后报价由低到高的顺序推荐。评审得分且最后报价相同的，按照技术指标优劣顺序推荐。</w:t>
      </w:r>
    </w:p>
    <w:p>
      <w:pPr>
        <w:spacing w:line="42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22.9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2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23．磋商过程的保密性</w:t>
      </w:r>
    </w:p>
    <w:p>
      <w:pPr>
        <w:spacing w:line="42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2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23.2 供应商在磋商过程中，所进行的力图影响磋商结果的，不符合《政府采购法》及本次磋商中有关规定的活动，将被取消其磋商资格。</w:t>
      </w:r>
    </w:p>
    <w:p>
      <w:pPr>
        <w:spacing w:line="420" w:lineRule="exact"/>
        <w:ind w:left="644" w:hanging="644" w:hangingChars="230"/>
        <w:rPr>
          <w:rFonts w:asciiTheme="minorEastAsia" w:hAnsiTheme="minorEastAsia" w:eastAsiaTheme="minorEastAsia" w:cstheme="minorEastAsia"/>
          <w:sz w:val="28"/>
          <w:szCs w:val="28"/>
        </w:rPr>
      </w:pPr>
    </w:p>
    <w:p>
      <w:pPr>
        <w:pStyle w:val="7"/>
        <w:spacing w:before="100" w:beforeAutospacing="1" w:after="100" w:afterAutospacing="1" w:line="420" w:lineRule="exact"/>
        <w:jc w:val="center"/>
        <w:rPr>
          <w:rFonts w:asciiTheme="minorEastAsia" w:hAnsiTheme="minorEastAsia" w:eastAsiaTheme="minorEastAsia" w:cstheme="minorEastAsia"/>
          <w:sz w:val="28"/>
          <w:szCs w:val="28"/>
        </w:rPr>
      </w:pPr>
      <w:bookmarkStart w:id="84" w:name="_Toc349573126"/>
      <w:bookmarkStart w:id="85" w:name="_Toc267301287"/>
      <w:bookmarkStart w:id="86" w:name="_Toc12532078"/>
      <w:bookmarkStart w:id="87" w:name="_Toc349637925"/>
      <w:bookmarkStart w:id="88" w:name="_Toc298240410"/>
      <w:bookmarkStart w:id="89" w:name="_Toc31222"/>
      <w:bookmarkStart w:id="90" w:name="_Toc1080"/>
      <w:r>
        <w:rPr>
          <w:rFonts w:hint="eastAsia" w:asciiTheme="minorEastAsia" w:hAnsiTheme="minorEastAsia" w:eastAsiaTheme="minorEastAsia" w:cstheme="minorEastAsia"/>
          <w:sz w:val="28"/>
          <w:szCs w:val="28"/>
        </w:rPr>
        <w:t>F  授予合同</w:t>
      </w:r>
      <w:bookmarkEnd w:id="84"/>
      <w:bookmarkEnd w:id="85"/>
      <w:bookmarkEnd w:id="86"/>
      <w:bookmarkEnd w:id="87"/>
      <w:bookmarkEnd w:id="88"/>
      <w:bookmarkEnd w:id="89"/>
      <w:bookmarkEnd w:id="90"/>
    </w:p>
    <w:p>
      <w:pPr>
        <w:pStyle w:val="10"/>
        <w:adjustRightInd w:val="0"/>
        <w:snapToGrid w:val="0"/>
        <w:spacing w:line="360" w:lineRule="auto"/>
        <w:ind w:firstLine="562" w:firstLineChars="200"/>
        <w:rPr>
          <w:rFonts w:asciiTheme="minorEastAsia" w:hAnsiTheme="minorEastAsia" w:eastAsiaTheme="minorEastAsia" w:cstheme="minorEastAsia"/>
          <w:bCs/>
          <w:sz w:val="28"/>
          <w:szCs w:val="28"/>
        </w:rPr>
      </w:pPr>
      <w:bookmarkStart w:id="91" w:name="_Toc12532079"/>
      <w:bookmarkStart w:id="92" w:name="_Toc267301288"/>
      <w:r>
        <w:rPr>
          <w:rFonts w:hint="eastAsia" w:asciiTheme="minorEastAsia" w:hAnsiTheme="minorEastAsia" w:eastAsiaTheme="minorEastAsia" w:cstheme="minorEastAsia"/>
          <w:b/>
          <w:sz w:val="28"/>
          <w:szCs w:val="28"/>
        </w:rPr>
        <w:t xml:space="preserve">24.1 </w:t>
      </w:r>
      <w:r>
        <w:rPr>
          <w:rFonts w:hint="eastAsia" w:asciiTheme="minorEastAsia" w:hAnsiTheme="minorEastAsia" w:eastAsiaTheme="minorEastAsia" w:cstheme="minorEastAsia"/>
          <w:bCs/>
          <w:sz w:val="28"/>
          <w:szCs w:val="28"/>
        </w:rPr>
        <w:t>签订合同</w:t>
      </w:r>
    </w:p>
    <w:p>
      <w:pPr>
        <w:tabs>
          <w:tab w:val="left" w:pos="1875"/>
        </w:tabs>
        <w:adjustRightInd w:val="0"/>
        <w:snapToGrid w:val="0"/>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24.1.1采购人应在成交通知书发出后30日内，根据成交结果和磋商文件、响应文件及有关补遗文件签订合同。</w:t>
      </w:r>
    </w:p>
    <w:p>
      <w:pPr>
        <w:tabs>
          <w:tab w:val="left" w:pos="1875"/>
        </w:tabs>
        <w:adjustRightInd w:val="0"/>
        <w:snapToGrid w:val="0"/>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24.1.3采购人应在《中标通知书》发出之日起30天内与中标人签订合同。签订政府采购合同后7个工作日内，采购人应将报相关部门和政府采购代理机构备案。</w:t>
      </w:r>
    </w:p>
    <w:bookmarkEnd w:id="91"/>
    <w:p>
      <w:pPr>
        <w:pStyle w:val="7"/>
        <w:jc w:val="center"/>
        <w:rPr>
          <w:rFonts w:asciiTheme="minorEastAsia" w:hAnsiTheme="minorEastAsia" w:eastAsiaTheme="minorEastAsia" w:cstheme="minorEastAsia"/>
          <w:sz w:val="28"/>
          <w:szCs w:val="28"/>
        </w:rPr>
      </w:pPr>
      <w:bookmarkStart w:id="93" w:name="_Toc293738997"/>
      <w:bookmarkStart w:id="94" w:name="_Toc293736059"/>
      <w:bookmarkStart w:id="95" w:name="_Toc446599316"/>
      <w:bookmarkStart w:id="96" w:name="_Toc293736016"/>
      <w:bookmarkStart w:id="97" w:name="_Toc19404"/>
      <w:bookmarkStart w:id="98" w:name="_Toc30278"/>
      <w:bookmarkStart w:id="99" w:name="_Toc17233"/>
      <w:bookmarkStart w:id="100" w:name="_Toc1819"/>
      <w:r>
        <w:rPr>
          <w:rFonts w:hint="eastAsia" w:asciiTheme="minorEastAsia" w:hAnsiTheme="minorEastAsia" w:eastAsiaTheme="minorEastAsia" w:cstheme="minorEastAsia"/>
          <w:sz w:val="28"/>
          <w:szCs w:val="28"/>
        </w:rPr>
        <w:t>G、质疑</w:t>
      </w:r>
      <w:bookmarkEnd w:id="93"/>
      <w:bookmarkEnd w:id="94"/>
      <w:bookmarkEnd w:id="95"/>
      <w:bookmarkEnd w:id="96"/>
      <w:r>
        <w:rPr>
          <w:rFonts w:hint="eastAsia" w:asciiTheme="minorEastAsia" w:hAnsiTheme="minorEastAsia" w:eastAsiaTheme="minorEastAsia" w:cstheme="minorEastAsia"/>
          <w:sz w:val="28"/>
          <w:szCs w:val="28"/>
        </w:rPr>
        <w:t>和投诉</w:t>
      </w:r>
      <w:bookmarkEnd w:id="97"/>
      <w:bookmarkEnd w:id="98"/>
      <w:bookmarkEnd w:id="99"/>
      <w:bookmarkEnd w:id="100"/>
    </w:p>
    <w:p>
      <w:pPr>
        <w:wordWrap w:val="0"/>
        <w:spacing w:line="360" w:lineRule="auto"/>
        <w:ind w:firstLine="560" w:firstLineChars="200"/>
        <w:rPr>
          <w:rFonts w:asciiTheme="minorEastAsia" w:hAnsiTheme="minorEastAsia" w:eastAsiaTheme="minorEastAsia" w:cstheme="minorEastAsia"/>
          <w:bCs/>
          <w:sz w:val="28"/>
          <w:szCs w:val="28"/>
        </w:rPr>
      </w:pPr>
      <w:bookmarkStart w:id="101" w:name="_Toc294515577"/>
      <w:bookmarkStart w:id="102" w:name="_Toc446599317"/>
      <w:bookmarkStart w:id="103" w:name="_Toc293738998"/>
      <w:bookmarkStart w:id="104" w:name="_Toc293736060"/>
      <w:bookmarkStart w:id="105" w:name="_Toc293736017"/>
      <w:r>
        <w:rPr>
          <w:rFonts w:hint="eastAsia" w:asciiTheme="minorEastAsia" w:hAnsiTheme="minorEastAsia" w:eastAsiaTheme="minorEastAsia" w:cstheme="minorEastAsia"/>
          <w:bCs/>
          <w:sz w:val="28"/>
          <w:szCs w:val="28"/>
        </w:rPr>
        <w:t>25.1质疑</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25.1.1供应商提出质疑应当符合以下条件：</w:t>
      </w:r>
    </w:p>
    <w:p>
      <w:pPr>
        <w:pStyle w:val="5"/>
        <w:wordWrap w:val="0"/>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（1）质疑人的名称、地址、电话等；</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（2）质疑人法人签章和单位公章；</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（3）具体的质疑事项及事实依据；</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（4）明确的请求和必要（合法来源）的证明材料；</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（5）以联合体形式参与资格预审的，则必须联合体各方共同签署、盖章；</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（6）提起质疑的日期。</w:t>
      </w:r>
    </w:p>
    <w:p>
      <w:pPr>
        <w:pStyle w:val="5"/>
        <w:wordWrap w:val="0"/>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特注：未按上述程序规定的必备内容进行质疑的，采购人或代理机构将不予以受理。</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25.1.2质疑人为自然人的，应当由本人签字并附有效身份证明；质疑人为法人或者其他组织的，应当由法定代表人或者主要负责人签字并加盖单位公章，同时一并提交营业执照或事业单位法人证书和法定代表人或者主要负责人有效身份证明。无法提供证件原件的，应当提供真实有效的复印件，并签字或者盖章。</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25.1.4被质疑人应当在受理质疑后7个工作日内作出答复，并以书面形式通知质疑人和其他有关供应商，答复内容仅限于供应商所质疑的内容，不得涉及国家秘密和商业秘密。</w:t>
      </w:r>
    </w:p>
    <w:p>
      <w:pPr>
        <w:spacing w:line="360" w:lineRule="auto"/>
        <w:ind w:firstLine="560" w:firstLineChars="200"/>
        <w:rPr>
          <w:rFonts w:asciiTheme="minorEastAsia" w:hAnsiTheme="minorEastAsia" w:eastAsiaTheme="minorEastAsia" w:cstheme="minorEastAsia"/>
          <w:bCs/>
          <w:sz w:val="28"/>
          <w:szCs w:val="28"/>
        </w:rPr>
      </w:pPr>
      <w:bookmarkStart w:id="106" w:name="_Toc9365"/>
      <w:bookmarkStart w:id="107" w:name="_Toc456336161"/>
      <w:bookmarkStart w:id="108" w:name="_Toc450546725"/>
      <w:bookmarkStart w:id="109" w:name="_Toc483174929"/>
      <w:r>
        <w:rPr>
          <w:rFonts w:hint="eastAsia" w:asciiTheme="minorEastAsia" w:hAnsiTheme="minorEastAsia" w:eastAsiaTheme="minorEastAsia" w:cstheme="minorEastAsia"/>
          <w:bCs/>
          <w:sz w:val="28"/>
          <w:szCs w:val="28"/>
        </w:rPr>
        <w:t>26.2投诉</w:t>
      </w:r>
      <w:bookmarkEnd w:id="106"/>
      <w:bookmarkEnd w:id="107"/>
      <w:bookmarkEnd w:id="108"/>
      <w:bookmarkEnd w:id="109"/>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26.2.2投诉人提起投诉应符合以下条件：</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(1)投诉人应是参与项目的供应商；</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(2)投诉前已依法进行质疑；</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(3)投诉书内容符合中华人民共和国财政部20号令《政府采购供应商投诉处理办法》的规定；</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(4)在投诉有效期内；</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(5)同一投诉事项未经处理的；</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GB"/>
        </w:rPr>
        <w:t>(6)</w:t>
      </w:r>
      <w:r>
        <w:rPr>
          <w:rFonts w:hint="eastAsia" w:asciiTheme="minorEastAsia" w:hAnsiTheme="minorEastAsia" w:eastAsiaTheme="minorEastAsia" w:cstheme="minorEastAsia"/>
          <w:bCs/>
          <w:sz w:val="28"/>
          <w:szCs w:val="28"/>
        </w:rPr>
        <w:t>相关法律、法规和省级以上人民政府财政部门规定的其他条件。</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26.2.3供应商投诉时，应当当面提交投诉书，投诉书应当包括下列主要内容：</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(1)投诉人的姓名或者名称、住所、联系方式及相关证明；</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(2)被投诉人的名称、住所、联系方式；</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(3)具体的投诉事项、事实根据和法律依据；</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(4)质疑和质疑答复情况及相关证明材料；</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(5)提起投诉的日期。</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26.2.5投诉人不符合上述规定提起的投诉，政府采购监督部门不予受理。</w:t>
      </w:r>
    </w:p>
    <w:p>
      <w:pPr>
        <w:pStyle w:val="7"/>
        <w:jc w:val="center"/>
        <w:rPr>
          <w:rFonts w:asciiTheme="minorEastAsia" w:hAnsiTheme="minorEastAsia" w:eastAsiaTheme="minorEastAsia" w:cstheme="minorEastAsia"/>
          <w:b w:val="0"/>
          <w:bCs/>
          <w:kern w:val="0"/>
          <w:sz w:val="28"/>
          <w:szCs w:val="28"/>
        </w:rPr>
      </w:pPr>
      <w:bookmarkStart w:id="110" w:name="_Toc11609"/>
      <w:bookmarkStart w:id="111" w:name="_Toc30694"/>
      <w:bookmarkStart w:id="112" w:name="_Toc18608"/>
      <w:bookmarkStart w:id="113" w:name="_Toc21328"/>
      <w:r>
        <w:rPr>
          <w:rFonts w:hint="eastAsia" w:asciiTheme="minorEastAsia" w:hAnsiTheme="minorEastAsia" w:eastAsiaTheme="minorEastAsia" w:cstheme="minorEastAsia"/>
          <w:sz w:val="28"/>
          <w:szCs w:val="28"/>
        </w:rPr>
        <w:t>H、项目验收</w:t>
      </w:r>
      <w:bookmarkEnd w:id="101"/>
      <w:bookmarkEnd w:id="102"/>
      <w:bookmarkEnd w:id="103"/>
      <w:bookmarkEnd w:id="104"/>
      <w:bookmarkEnd w:id="105"/>
      <w:bookmarkEnd w:id="110"/>
      <w:bookmarkEnd w:id="111"/>
      <w:bookmarkEnd w:id="112"/>
      <w:bookmarkEnd w:id="113"/>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27.1采购单位按照政府采购合同规定的技术、服务、安全标准对供应商履约情况进行验收，并出具验收书。验收书包括每一项技术、服务、安全标准的履约情况。</w:t>
      </w:r>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27.2验收标准:磋商文件、响应文件、政府采购合同规定的标准。</w:t>
      </w:r>
    </w:p>
    <w:p>
      <w:pPr>
        <w:pStyle w:val="7"/>
        <w:jc w:val="center"/>
        <w:rPr>
          <w:rFonts w:asciiTheme="minorEastAsia" w:hAnsiTheme="minorEastAsia" w:eastAsiaTheme="minorEastAsia" w:cstheme="minorEastAsia"/>
          <w:sz w:val="28"/>
          <w:szCs w:val="28"/>
        </w:rPr>
      </w:pPr>
      <w:bookmarkStart w:id="114" w:name="_Toc293736018"/>
      <w:bookmarkStart w:id="115" w:name="_Toc29378"/>
      <w:bookmarkStart w:id="116" w:name="_Toc293736061"/>
      <w:bookmarkStart w:id="117" w:name="_Toc16262"/>
      <w:bookmarkStart w:id="118" w:name="_Toc446599318"/>
      <w:bookmarkStart w:id="119" w:name="_Toc293738999"/>
      <w:bookmarkStart w:id="120" w:name="_Toc694"/>
      <w:bookmarkStart w:id="121" w:name="_Toc5044"/>
      <w:r>
        <w:rPr>
          <w:rFonts w:hint="eastAsia" w:asciiTheme="minorEastAsia" w:hAnsiTheme="minorEastAsia" w:eastAsiaTheme="minorEastAsia" w:cstheme="minorEastAsia"/>
          <w:sz w:val="28"/>
          <w:szCs w:val="28"/>
        </w:rPr>
        <w:t>I、适用法律</w:t>
      </w:r>
      <w:bookmarkEnd w:id="114"/>
      <w:bookmarkEnd w:id="115"/>
      <w:bookmarkEnd w:id="116"/>
      <w:bookmarkEnd w:id="117"/>
      <w:bookmarkEnd w:id="118"/>
      <w:bookmarkEnd w:id="119"/>
      <w:bookmarkEnd w:id="120"/>
      <w:bookmarkEnd w:id="121"/>
    </w:p>
    <w:p>
      <w:pPr>
        <w:wordWrap w:val="0"/>
        <w:topLinePunct/>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27.1招标采购单位和供应商的一切招标投标活动均适用于《政府采购法》、《政府采购实施条例》、《政府采购竞争性磋商采购方式管理办法》等相关规定。</w:t>
      </w:r>
    </w:p>
    <w:p>
      <w:pPr>
        <w:autoSpaceDE w:val="0"/>
        <w:autoSpaceDN w:val="0"/>
        <w:spacing w:line="360" w:lineRule="auto"/>
        <w:ind w:firstLine="560" w:firstLineChars="200"/>
        <w:contextualSpacing/>
        <w:rPr>
          <w:rFonts w:asciiTheme="minorEastAsia" w:hAnsiTheme="minorEastAsia" w:eastAsiaTheme="minorEastAsia" w:cstheme="minorEastAsia"/>
          <w:bCs/>
          <w:sz w:val="28"/>
          <w:szCs w:val="28"/>
        </w:rPr>
      </w:pPr>
    </w:p>
    <w:p>
      <w:pPr>
        <w:pStyle w:val="7"/>
        <w:numPr>
          <w:ilvl w:val="0"/>
          <w:numId w:val="1"/>
        </w:numPr>
        <w:jc w:val="center"/>
        <w:rPr>
          <w:rFonts w:asciiTheme="minorEastAsia" w:hAnsiTheme="minorEastAsia" w:eastAsiaTheme="minorEastAsia" w:cstheme="minorEastAsia"/>
          <w:sz w:val="28"/>
          <w:szCs w:val="28"/>
        </w:rPr>
      </w:pPr>
      <w:bookmarkStart w:id="122" w:name="_Toc52"/>
      <w:bookmarkStart w:id="123" w:name="_Toc446599319"/>
      <w:bookmarkStart w:id="124" w:name="_Toc278891599"/>
      <w:bookmarkStart w:id="125" w:name="_Toc437611460"/>
      <w:bookmarkStart w:id="126" w:name="_Toc27632"/>
      <w:bookmarkStart w:id="127" w:name="_Toc23207"/>
      <w:bookmarkStart w:id="128" w:name="_Toc272247702"/>
      <w:bookmarkStart w:id="129" w:name="_Toc4393"/>
      <w:r>
        <w:rPr>
          <w:rFonts w:hint="eastAsia" w:asciiTheme="minorEastAsia" w:hAnsiTheme="minorEastAsia" w:eastAsiaTheme="minorEastAsia" w:cstheme="minorEastAsia"/>
          <w:sz w:val="28"/>
          <w:szCs w:val="28"/>
        </w:rPr>
        <w:t>磋商文件的解释权</w:t>
      </w:r>
      <w:bookmarkEnd w:id="122"/>
      <w:bookmarkEnd w:id="123"/>
      <w:bookmarkEnd w:id="124"/>
      <w:bookmarkEnd w:id="125"/>
      <w:bookmarkEnd w:id="126"/>
      <w:bookmarkEnd w:id="127"/>
      <w:bookmarkEnd w:id="128"/>
      <w:bookmarkEnd w:id="129"/>
    </w:p>
    <w:p>
      <w:pPr>
        <w:pStyle w:val="7"/>
        <w:rPr>
          <w:rFonts w:asciiTheme="minorEastAsia" w:hAnsiTheme="minorEastAsia" w:eastAsiaTheme="minorEastAsia" w:cstheme="minorEastAsia"/>
          <w:b w:val="0"/>
          <w:bCs/>
          <w:sz w:val="28"/>
          <w:szCs w:val="28"/>
        </w:rPr>
      </w:pPr>
      <w:bookmarkStart w:id="130" w:name="_Toc18752"/>
      <w:bookmarkStart w:id="131" w:name="_Toc21146"/>
      <w:r>
        <w:rPr>
          <w:rFonts w:hint="eastAsia" w:asciiTheme="minorEastAsia" w:hAnsiTheme="minorEastAsia" w:eastAsiaTheme="minorEastAsia" w:cstheme="minorEastAsia"/>
          <w:b w:val="0"/>
          <w:bCs/>
          <w:sz w:val="28"/>
          <w:szCs w:val="28"/>
        </w:rPr>
        <w:t>28.1本项目磋商文件的最终解释权为采购单位所有。</w:t>
      </w:r>
      <w:bookmarkEnd w:id="130"/>
      <w:bookmarkEnd w:id="131"/>
    </w:p>
    <w:p>
      <w:pPr>
        <w:pStyle w:val="7"/>
        <w:jc w:val="center"/>
        <w:rPr>
          <w:rFonts w:asciiTheme="minorEastAsia" w:hAnsiTheme="minorEastAsia" w:eastAsiaTheme="minorEastAsia" w:cstheme="minorEastAsia"/>
          <w:sz w:val="28"/>
          <w:szCs w:val="28"/>
        </w:rPr>
      </w:pPr>
      <w:bookmarkStart w:id="132" w:name="_Toc21111"/>
      <w:bookmarkStart w:id="133" w:name="_Toc446599320"/>
      <w:bookmarkStart w:id="134" w:name="_Toc10117"/>
      <w:bookmarkStart w:id="135" w:name="_Toc7049"/>
      <w:bookmarkStart w:id="136" w:name="_Toc437611461"/>
      <w:bookmarkStart w:id="137" w:name="_Toc1737"/>
      <w:r>
        <w:rPr>
          <w:rFonts w:hint="eastAsia" w:asciiTheme="minorEastAsia" w:hAnsiTheme="minorEastAsia" w:eastAsiaTheme="minorEastAsia" w:cstheme="minorEastAsia"/>
          <w:sz w:val="28"/>
          <w:szCs w:val="28"/>
        </w:rPr>
        <w:t>K、其他注意事项</w:t>
      </w:r>
      <w:bookmarkEnd w:id="132"/>
      <w:bookmarkEnd w:id="133"/>
      <w:bookmarkEnd w:id="134"/>
      <w:bookmarkEnd w:id="135"/>
      <w:bookmarkEnd w:id="136"/>
      <w:bookmarkEnd w:id="137"/>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29.1单位负责人为同一人或者存在直接控股、管理关系的不同供应商，不得参加同一合同项下的政府采购活动。</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29.2供应商为采购项目提供整体设计、规范编制或者项目管理、监理、检测等服务的供应商，不得再参加该采购项目的其他采购活动。</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29.3政府采购法第二十二条第一款第五项所称重大违法记录，是指供应商因违法经营受到刑事处罚或者责令停产停业、吊销许可证或者执照、较大数额罚款等行政处罚。</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29.4按照财政部《关于规范政府采购行政处罚有关问题的通知》的规定，各级人民政府财政部门依法对参加政府采购活动的供应商作出的禁止参加政府采购活动等行政处罚决定在全国范围内生效。</w:t>
      </w:r>
    </w:p>
    <w:p>
      <w:pPr>
        <w:pStyle w:val="5"/>
        <w:spacing w:line="360" w:lineRule="auto"/>
        <w:ind w:firstLine="56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29.5供应商在参加政府采购活动前3年内因违法经营被禁止在一定期限内参加政府采购活动，期限届满的，可以参加政府采购活动。</w:t>
      </w:r>
    </w:p>
    <w:p>
      <w:pPr>
        <w:pStyle w:val="10"/>
        <w:adjustRightInd w:val="0"/>
        <w:snapToGrid w:val="0"/>
        <w:spacing w:line="500" w:lineRule="exact"/>
        <w:rPr>
          <w:rFonts w:asciiTheme="minorEastAsia" w:hAnsiTheme="minorEastAsia" w:eastAsiaTheme="minorEastAsia" w:cstheme="minorEastAsia"/>
          <w:sz w:val="28"/>
          <w:szCs w:val="28"/>
        </w:rPr>
        <w:sectPr>
          <w:footerReference r:id="rId12" w:type="default"/>
          <w:pgSz w:w="11906" w:h="16838"/>
          <w:pgMar w:top="1440" w:right="1797" w:bottom="1440" w:left="1797" w:header="851" w:footer="992" w:gutter="0"/>
          <w:pgNumType w:fmt="decimal"/>
          <w:cols w:space="720" w:num="1"/>
          <w:docGrid w:linePitch="312" w:charSpace="0"/>
        </w:sectPr>
      </w:pPr>
    </w:p>
    <w:p>
      <w:pPr>
        <w:pStyle w:val="10"/>
        <w:tabs>
          <w:tab w:val="left" w:pos="720"/>
          <w:tab w:val="left" w:pos="900"/>
          <w:tab w:val="left" w:pos="1260"/>
        </w:tabs>
        <w:adjustRightInd w:val="0"/>
        <w:spacing w:line="400" w:lineRule="atLeast"/>
        <w:ind w:left="843" w:hanging="843" w:hangingChars="300"/>
        <w:jc w:val="center"/>
        <w:rPr>
          <w:rFonts w:asciiTheme="minorEastAsia" w:hAnsiTheme="minorEastAsia" w:eastAsiaTheme="minorEastAsia" w:cstheme="minorEastAsia"/>
          <w:b/>
          <w:sz w:val="28"/>
          <w:szCs w:val="28"/>
        </w:rPr>
      </w:pPr>
      <w:bookmarkStart w:id="138" w:name="_Toc298240411"/>
      <w:bookmarkStart w:id="139" w:name="_Toc349573127"/>
      <w:bookmarkStart w:id="140" w:name="_Toc349637926"/>
      <w:bookmarkStart w:id="141" w:name="_Toc3943_WPSOffice_Level1"/>
      <w:bookmarkStart w:id="142" w:name="_Toc12532080"/>
      <w:r>
        <w:rPr>
          <w:rFonts w:hint="eastAsia" w:asciiTheme="minorEastAsia" w:hAnsiTheme="minorEastAsia" w:eastAsiaTheme="minorEastAsia" w:cstheme="minorEastAsia"/>
          <w:b/>
          <w:sz w:val="28"/>
          <w:szCs w:val="28"/>
        </w:rPr>
        <w:t>第三部分</w:t>
      </w:r>
      <w:bookmarkEnd w:id="92"/>
      <w:bookmarkEnd w:id="138"/>
      <w:bookmarkEnd w:id="139"/>
      <w:bookmarkEnd w:id="140"/>
      <w:bookmarkStart w:id="143" w:name="_Toc267301295"/>
      <w:r>
        <w:rPr>
          <w:rFonts w:hint="eastAsia" w:asciiTheme="minorEastAsia" w:hAnsiTheme="minorEastAsia" w:eastAsiaTheme="minorEastAsia" w:cstheme="minorEastAsia"/>
          <w:b/>
          <w:sz w:val="28"/>
          <w:szCs w:val="28"/>
        </w:rPr>
        <w:t xml:space="preserve">  技术要求</w:t>
      </w:r>
      <w:bookmarkEnd w:id="141"/>
      <w:bookmarkEnd w:id="142"/>
    </w:p>
    <w:bookmarkEnd w:id="143"/>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bookmarkStart w:id="144" w:name="_Toc510113191"/>
      <w:bookmarkStart w:id="145" w:name="_Toc349637943"/>
      <w:bookmarkStart w:id="146" w:name="_Toc298240429"/>
      <w:bookmarkStart w:id="147" w:name="_Toc349573144"/>
      <w:r>
        <w:rPr>
          <w:rFonts w:hint="eastAsia" w:asciiTheme="minorEastAsia" w:hAnsiTheme="minorEastAsia" w:eastAsiaTheme="minorEastAsia" w:cstheme="minorEastAsia"/>
          <w:b/>
          <w:sz w:val="28"/>
          <w:szCs w:val="28"/>
        </w:rPr>
        <w:t>项目概要</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1.1项目名称</w:t>
      </w:r>
    </w:p>
    <w:p>
      <w:pPr>
        <w:pStyle w:val="26"/>
        <w:tabs>
          <w:tab w:val="left" w:pos="0"/>
        </w:tabs>
        <w:adjustRightInd w:val="0"/>
        <w:snapToGrid w:val="0"/>
        <w:spacing w:line="360" w:lineRule="auto"/>
        <w:ind w:firstLine="560" w:firstLineChars="200"/>
        <w:outlineLvl w:val="1"/>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阿拉套山雪豹专项调查项目</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1.2主管单位</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博尔塔拉蒙古自治州林业和草原局</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1.3建设规模</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本次阿拉套山雪豹专项调查项目，包括博尔塔拉蒙古自治州（以下简称博州）3个县市（博乐市、阿拉山口市、温泉县）、2个保护区（新疆北鯢国家级自然保护区、新疆夏尔希里自然保护区）和2个国有林管理局（</w:t>
      </w:r>
      <w:bookmarkStart w:id="148" w:name="OLE_LINK2"/>
      <w:r>
        <w:rPr>
          <w:rFonts w:hint="eastAsia" w:asciiTheme="minorEastAsia" w:hAnsiTheme="minorEastAsia" w:eastAsiaTheme="minorEastAsia" w:cstheme="minorEastAsia"/>
          <w:bCs/>
          <w:sz w:val="28"/>
          <w:szCs w:val="28"/>
        </w:rPr>
        <w:t>哈夏</w:t>
      </w:r>
      <w:bookmarkEnd w:id="148"/>
      <w:r>
        <w:rPr>
          <w:rFonts w:hint="eastAsia" w:asciiTheme="minorEastAsia" w:hAnsiTheme="minorEastAsia" w:eastAsiaTheme="minorEastAsia" w:cstheme="minorEastAsia"/>
          <w:bCs/>
          <w:sz w:val="28"/>
          <w:szCs w:val="28"/>
        </w:rPr>
        <w:t xml:space="preserve">国有林管理局、哈日图热格国有林管理局）辖区范围内实施。调查面积为950平方公里。      </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1.4资金规模</w:t>
      </w:r>
    </w:p>
    <w:p>
      <w:pPr>
        <w:pStyle w:val="26"/>
        <w:tabs>
          <w:tab w:val="left" w:pos="0"/>
        </w:tabs>
        <w:adjustRightInd w:val="0"/>
        <w:snapToGrid w:val="0"/>
        <w:spacing w:line="360" w:lineRule="auto"/>
        <w:ind w:firstLine="562" w:firstLineChars="200"/>
        <w:outlineLvl w:val="1"/>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调查概算投资902000.00元。</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1.5建设期限</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调查期限1年，即</w:t>
      </w:r>
      <w:r>
        <w:rPr>
          <w:rFonts w:hint="eastAsia" w:asciiTheme="minorEastAsia" w:hAnsiTheme="minorEastAsia" w:eastAsiaTheme="minorEastAsia" w:cstheme="minorEastAsia"/>
          <w:bCs/>
          <w:sz w:val="28"/>
          <w:szCs w:val="28"/>
          <w:lang w:eastAsia="zh-CN"/>
        </w:rPr>
        <w:t>2023年07月-2024年0</w:t>
      </w:r>
      <w:r>
        <w:rPr>
          <w:rFonts w:hint="eastAsia" w:asciiTheme="minorEastAsia" w:hAnsiTheme="minorEastAsia" w:eastAsiaTheme="minorEastAsia" w:cstheme="minorEastAsia"/>
          <w:bCs/>
          <w:sz w:val="28"/>
          <w:szCs w:val="28"/>
          <w:lang w:val="en-US" w:eastAsia="zh-CN"/>
        </w:rPr>
        <w:t>6</w:t>
      </w:r>
      <w:r>
        <w:rPr>
          <w:rFonts w:hint="eastAsia" w:asciiTheme="minorEastAsia" w:hAnsiTheme="minorEastAsia" w:eastAsiaTheme="minorEastAsia" w:cstheme="minorEastAsia"/>
          <w:bCs/>
          <w:sz w:val="28"/>
          <w:szCs w:val="28"/>
          <w:lang w:eastAsia="zh-CN"/>
        </w:rPr>
        <w:t>月</w:t>
      </w:r>
      <w:r>
        <w:rPr>
          <w:rFonts w:hint="eastAsia" w:asciiTheme="minorEastAsia" w:hAnsiTheme="minorEastAsia" w:eastAsiaTheme="minorEastAsia" w:cstheme="minorEastAsia"/>
          <w:bCs/>
          <w:sz w:val="28"/>
          <w:szCs w:val="28"/>
        </w:rPr>
        <w:t>。</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1.6绩效目标和成效</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雪豹是国家一级保护野生动物，由于栖息地减少和破碎化、人类捕杀以及生存环境恶化等原因，其种群受到严重威胁。阿拉套山属于博州边境地区的山系，毗邻哈萨克斯坦，地形复杂,植被多样,生境条件适宜，是雪豹的重要分布区之一。项目将运用现代信息技术、种群生态学和保护生物学的最新理论和方法，对当地雪豹及其猎物种群和栖息地进行系统调查和评估，研究雪豹以及狼等其它大中型捕食动物对栖息地空间和猎物资源的利用情况，分析雪豹与其他捕食动物的生态位重叠和竞争关系，解析影响和制约雪豹种群消长的关键栖息地因素，建立雪豹种群密度模型，为雪豹种群及栖息地管理提供科学依据。</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1.7.项目调查范围</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本次阿拉套山雪豹专项调查项目，包括博州3个县市（博乐市、</w:t>
      </w:r>
      <w:bookmarkStart w:id="149" w:name="OLE_LINK1"/>
      <w:r>
        <w:rPr>
          <w:rFonts w:hint="eastAsia" w:asciiTheme="minorEastAsia" w:hAnsiTheme="minorEastAsia" w:eastAsiaTheme="minorEastAsia" w:cstheme="minorEastAsia"/>
          <w:bCs/>
          <w:sz w:val="28"/>
          <w:szCs w:val="28"/>
        </w:rPr>
        <w:t>阿拉山口市</w:t>
      </w:r>
      <w:bookmarkEnd w:id="149"/>
      <w:r>
        <w:rPr>
          <w:rFonts w:hint="eastAsia" w:asciiTheme="minorEastAsia" w:hAnsiTheme="minorEastAsia" w:eastAsiaTheme="minorEastAsia" w:cstheme="minorEastAsia"/>
          <w:bCs/>
          <w:sz w:val="28"/>
          <w:szCs w:val="28"/>
        </w:rPr>
        <w:t>、温泉县）、2个保护区（新疆北鯢国家级自然保护区、新疆夏尔希里自然保护区）和2个国有林管理局（哈夏国有林管理局、哈日图热格国有林管理局）辖区范围内实施。调查面积为950平方公里。</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 项目主要调查内容</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1.8.1、种群分布数量：调查监测区域内雪豹及其主要猎物等种群分布和数量，推算主要调查对象雪豹的种群密度；</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1.8.2、 栖息地状况：雪豹等主要调查对象物种的核心栖息地、潜在栖息地和生态廊道判别；</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1.8.3、 受威胁状况：对象物种在调查区域内的受威胁因素和程度。</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1.9.调查成果</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1.9.1、表格材料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阿拉套山雪豹专项调查统计表；</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阿拉套山雪豹种群数量/相对密度/分布地点统计表。</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1.9.2、图面材料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阿拉套山雪豹专项调查样地布设分布图；</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阿拉套山雪豹分布图。</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1.9.3、文字材料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阿拉套山雪豹专项调查成果报告</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1.9.4、影像材料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阿拉套山雪豹专项调查照片；</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阿拉套山雪豹专项调查视频资料。</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1.9.5、数据库</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阿拉套山雪豹数据库。</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1.9.6成果要求</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1.10调查成果</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调查要求对陆生野生动物的种群数量、相对密度或分布地点、栖息地类型、栖息地面积及分布面积等进行统计，对种群数量、相对密度进行计算的，应计算误差限或调查精度。调查精度不低于80%。并要求对不同野生动物的种群数量、栖息地的变化趋势对比分析。</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1.12文字材料与表格材料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文字材料与表格材料应按A4版面印刷，并应附调查人员名单及主要分工。</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1.13图面材料</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符合专题图制图标准及精度要求，具有准确完整的制图投影参数；调查样区的图面材料应采用1:1万的比例尺，调查地理单元应采用1:5万的比例尺，博州地区的图面材料应采用1:10万的比例尺。</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1.14影像材料</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1.15电子文档</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文字材料应为WORD格式，表格材料为EXCEL格式，图面材料为ArcGIS矢量文件。</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 成果提交</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采用电子文档和书面材料形式提交成果报告。成果报告以按出版物标准要求提交250份。</w:t>
      </w:r>
    </w:p>
    <w:p>
      <w:pPr>
        <w:pStyle w:val="26"/>
        <w:tabs>
          <w:tab w:val="left" w:pos="0"/>
        </w:tabs>
        <w:adjustRightInd w:val="0"/>
        <w:snapToGrid w:val="0"/>
        <w:spacing w:line="360" w:lineRule="auto"/>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3.成果发布</w:t>
      </w:r>
    </w:p>
    <w:p>
      <w:pPr>
        <w:pStyle w:val="26"/>
        <w:tabs>
          <w:tab w:val="left" w:pos="0"/>
        </w:tabs>
        <w:adjustRightInd w:val="0"/>
        <w:snapToGrid w:val="0"/>
        <w:spacing w:line="360" w:lineRule="auto"/>
        <w:ind w:firstLine="560" w:firstLineChars="200"/>
        <w:outlineLvl w:val="1"/>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经自治区林业和草原局野生动植物保护管理处或其委托单位验收合格后方可发布成果。未经主管部门的同意，其他任何一方不得发布有关资源调查成果。若违反则承担相关法律责任。</w:t>
      </w:r>
    </w:p>
    <w:p>
      <w:pPr>
        <w:pStyle w:val="26"/>
        <w:tabs>
          <w:tab w:val="left" w:pos="0"/>
        </w:tabs>
        <w:spacing w:line="360" w:lineRule="auto"/>
        <w:outlineLvl w:val="1"/>
        <w:rPr>
          <w:rFonts w:asciiTheme="minorEastAsia" w:hAnsiTheme="minorEastAsia" w:eastAsiaTheme="minorEastAsia" w:cstheme="minorEastAsia"/>
          <w:b/>
          <w:sz w:val="28"/>
          <w:szCs w:val="28"/>
        </w:rPr>
      </w:pPr>
    </w:p>
    <w:p>
      <w:pPr>
        <w:pStyle w:val="26"/>
        <w:tabs>
          <w:tab w:val="left" w:pos="0"/>
        </w:tabs>
        <w:spacing w:line="360" w:lineRule="auto"/>
        <w:outlineLvl w:val="1"/>
        <w:rPr>
          <w:rFonts w:asciiTheme="minorEastAsia" w:hAnsiTheme="minorEastAsia" w:eastAsiaTheme="minorEastAsia" w:cstheme="minorEastAsia"/>
          <w:b/>
          <w:sz w:val="28"/>
          <w:szCs w:val="28"/>
        </w:rPr>
      </w:pPr>
    </w:p>
    <w:p>
      <w:pPr>
        <w:pStyle w:val="26"/>
        <w:tabs>
          <w:tab w:val="left" w:pos="0"/>
        </w:tabs>
        <w:spacing w:line="360" w:lineRule="auto"/>
        <w:outlineLvl w:val="1"/>
        <w:rPr>
          <w:rFonts w:asciiTheme="minorEastAsia" w:hAnsiTheme="minorEastAsia" w:eastAsiaTheme="minorEastAsia" w:cstheme="minorEastAsia"/>
          <w:b/>
          <w:sz w:val="28"/>
          <w:szCs w:val="28"/>
        </w:rPr>
      </w:pPr>
    </w:p>
    <w:p>
      <w:pPr>
        <w:pStyle w:val="26"/>
        <w:tabs>
          <w:tab w:val="left" w:pos="0"/>
        </w:tabs>
        <w:spacing w:line="360" w:lineRule="auto"/>
        <w:outlineLvl w:val="1"/>
        <w:rPr>
          <w:rFonts w:asciiTheme="minorEastAsia" w:hAnsiTheme="minorEastAsia" w:eastAsiaTheme="minorEastAsia" w:cstheme="minorEastAsia"/>
          <w:b/>
          <w:sz w:val="28"/>
          <w:szCs w:val="28"/>
        </w:rPr>
      </w:pPr>
    </w:p>
    <w:p>
      <w:pPr>
        <w:pStyle w:val="3"/>
        <w:jc w:val="center"/>
        <w:rPr>
          <w:rFonts w:asciiTheme="minorEastAsia" w:hAnsiTheme="minorEastAsia" w:eastAsiaTheme="minorEastAsia" w:cstheme="minorEastAsia"/>
          <w:sz w:val="28"/>
          <w:szCs w:val="28"/>
        </w:rPr>
      </w:pPr>
      <w:bookmarkStart w:id="150" w:name="_Toc10468"/>
      <w:bookmarkStart w:id="151" w:name="_Toc17758_WPSOffice_Level1"/>
      <w:bookmarkStart w:id="152" w:name="_Toc12532081"/>
      <w:r>
        <w:rPr>
          <w:rFonts w:hint="eastAsia" w:asciiTheme="minorEastAsia" w:hAnsiTheme="minorEastAsia" w:eastAsiaTheme="minorEastAsia" w:cstheme="minorEastAsia"/>
          <w:sz w:val="28"/>
          <w:szCs w:val="28"/>
        </w:rPr>
        <w:t>第四部分通用合同条款</w:t>
      </w:r>
      <w:bookmarkEnd w:id="144"/>
      <w:bookmarkEnd w:id="150"/>
      <w:bookmarkEnd w:id="151"/>
      <w:bookmarkEnd w:id="152"/>
    </w:p>
    <w:p>
      <w:pPr>
        <w:pStyle w:val="27"/>
        <w:jc w:val="center"/>
        <w:rPr>
          <w:rFonts w:asciiTheme="minorEastAsia" w:hAnsiTheme="minorEastAsia" w:eastAsiaTheme="minorEastAsia" w:cstheme="minorEastAsia"/>
          <w:b/>
          <w:bCs/>
          <w:szCs w:val="28"/>
        </w:rPr>
      </w:pPr>
      <w:bookmarkStart w:id="153" w:name="50"/>
      <w:bookmarkEnd w:id="153"/>
      <w:r>
        <w:rPr>
          <w:rFonts w:hint="eastAsia" w:asciiTheme="minorEastAsia" w:hAnsiTheme="minorEastAsia" w:eastAsiaTheme="minorEastAsia" w:cstheme="minorEastAsia"/>
          <w:b/>
          <w:bCs/>
          <w:szCs w:val="28"/>
        </w:rPr>
        <w:t>（本合同仅供参考，具体以实际签订的为准）</w:t>
      </w:r>
    </w:p>
    <w:p>
      <w:pPr>
        <w:widowControl/>
        <w:jc w:val="left"/>
        <w:rPr>
          <w:rFonts w:asciiTheme="minorEastAsia" w:hAnsiTheme="minorEastAsia" w:eastAsiaTheme="minorEastAsia" w:cstheme="minorEastAsia"/>
          <w:bCs/>
          <w:kern w:val="0"/>
          <w:sz w:val="28"/>
          <w:szCs w:val="28"/>
        </w:rPr>
      </w:pPr>
    </w:p>
    <w:p>
      <w:pPr>
        <w:spacing w:line="360" w:lineRule="auto"/>
        <w:jc w:val="left"/>
        <w:rPr>
          <w:rFonts w:ascii="宋体" w:hAnsi="宋体" w:cs="宋体"/>
          <w:bCs/>
          <w:sz w:val="28"/>
          <w:szCs w:val="28"/>
        </w:rPr>
      </w:pPr>
      <w:bookmarkStart w:id="154" w:name="_Toc5960_WPSOffice_Level1"/>
      <w:bookmarkStart w:id="155" w:name="_Toc12532083"/>
      <w:bookmarkStart w:id="156" w:name="_Toc27477"/>
      <w:r>
        <w:rPr>
          <w:rFonts w:hint="eastAsia" w:ascii="宋体" w:hAnsi="宋体" w:cs="宋体"/>
          <w:bCs/>
          <w:sz w:val="28"/>
          <w:szCs w:val="28"/>
        </w:rPr>
        <w:t>1、定义</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1.1“合同”系指甲乙双方共同签署的、合同中载明的甲乙双方所达成的协议，包括：成交通知书；合同条款；响应文件及承诺；项目采购需求；竞争性谈判文件（含补充文件、修改文件）及答疑纪要；双方约定的其他所有文件等构成合同的所有文件的总称。</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1.2“甲方”系指</w:t>
      </w:r>
      <w:r>
        <w:rPr>
          <w:rFonts w:hint="eastAsia" w:ascii="宋体" w:hAnsi="宋体" w:cs="宋体"/>
          <w:sz w:val="28"/>
          <w:szCs w:val="28"/>
        </w:rPr>
        <w:t>博尔塔拉蒙古自治州林业和草原局</w:t>
      </w:r>
      <w:r>
        <w:rPr>
          <w:rFonts w:hint="eastAsia" w:ascii="宋体" w:hAnsi="宋体" w:cs="宋体"/>
          <w:bCs/>
          <w:sz w:val="28"/>
          <w:szCs w:val="28"/>
        </w:rPr>
        <w:t>。</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1.3“乙方”系指取得成交资格，提供合同货物和服务的成交供应商。</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1.4“合同价款”系指根据合同条款、技术规范及标准、项目采购需求、本竞争性谈判文件的规定，乙方在正确、完整地履行合同义务后，甲方应支付给乙方实际所供合同货物及服务的金额。</w:t>
      </w:r>
    </w:p>
    <w:p>
      <w:pPr>
        <w:spacing w:line="360" w:lineRule="auto"/>
        <w:ind w:firstLine="560" w:firstLineChars="200"/>
        <w:jc w:val="left"/>
        <w:rPr>
          <w:rFonts w:ascii="宋体" w:hAnsi="宋体" w:cs="宋体"/>
          <w:bCs/>
          <w:sz w:val="28"/>
          <w:szCs w:val="28"/>
          <w:lang w:val="zh-CN"/>
        </w:rPr>
      </w:pPr>
      <w:r>
        <w:rPr>
          <w:rFonts w:hint="eastAsia" w:ascii="宋体" w:hAnsi="宋体" w:cs="宋体"/>
          <w:bCs/>
          <w:sz w:val="28"/>
          <w:szCs w:val="28"/>
        </w:rPr>
        <w:t>1.5“服务”系指合同条款、技术规范及标准、项目采购需求、本竞争性谈判文件规定，成交供应商提供</w:t>
      </w:r>
      <w:bookmarkStart w:id="157" w:name="_Toc246216233"/>
      <w:r>
        <w:rPr>
          <w:rFonts w:hint="eastAsia" w:ascii="宋体" w:hAnsi="宋体" w:cs="宋体"/>
          <w:bCs/>
          <w:sz w:val="28"/>
          <w:szCs w:val="28"/>
        </w:rPr>
        <w:t>编制</w:t>
      </w:r>
      <w:r>
        <w:rPr>
          <w:rFonts w:hint="eastAsia" w:ascii="宋体" w:hAnsi="宋体" w:cs="宋体"/>
          <w:bCs/>
          <w:sz w:val="28"/>
          <w:szCs w:val="28"/>
          <w:lang w:val="zh-CN"/>
        </w:rPr>
        <w:t>自治州水资源承载能力评价报告。</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1.6“技术规范及标准”系指适用于本项目制造、检验、工厂试验、验收等所有的规范及标准。当新的规范及标准颁布后以新颁布的规范及标准执行。</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1.7“验收”系指乙方根据合同条款、技术规范及标准、项目采购需求、本谈判文件的规定，对其提供的合同货物进行各项性能保证试验，以证明合同货物的性能值符合合同条款、技术规范及标准、项目采购需求、规定。验收合格后，双方签署验收合格证书。</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1.8凡提及的“天、日期、星期、月份和年份”系指公历日历的日历天、日期、星期、月份和年份。</w:t>
      </w:r>
    </w:p>
    <w:p>
      <w:pPr>
        <w:tabs>
          <w:tab w:val="left" w:pos="900"/>
          <w:tab w:val="left" w:pos="1080"/>
        </w:tabs>
        <w:spacing w:line="360" w:lineRule="auto"/>
        <w:ind w:left="540"/>
        <w:jc w:val="left"/>
        <w:rPr>
          <w:rFonts w:ascii="宋体" w:hAnsi="宋体"/>
          <w:sz w:val="28"/>
          <w:szCs w:val="28"/>
        </w:rPr>
      </w:pPr>
      <w:r>
        <w:rPr>
          <w:rFonts w:hint="eastAsia" w:ascii="宋体" w:hAnsi="宋体" w:cs="宋体"/>
          <w:bCs/>
          <w:sz w:val="28"/>
          <w:szCs w:val="28"/>
        </w:rPr>
        <w:t>2、</w:t>
      </w:r>
      <w:bookmarkEnd w:id="157"/>
      <w:r>
        <w:rPr>
          <w:rFonts w:hint="eastAsia" w:ascii="宋体" w:hAnsi="宋体"/>
          <w:sz w:val="28"/>
          <w:szCs w:val="28"/>
        </w:rPr>
        <w:t>服务内容和标准</w:t>
      </w:r>
    </w:p>
    <w:p>
      <w:pPr>
        <w:spacing w:line="360" w:lineRule="auto"/>
        <w:ind w:firstLine="560" w:firstLineChars="200"/>
        <w:jc w:val="left"/>
        <w:rPr>
          <w:rFonts w:ascii="宋体" w:hAnsi="宋体" w:cs="宋体"/>
          <w:bCs/>
          <w:sz w:val="28"/>
          <w:szCs w:val="28"/>
        </w:rPr>
      </w:pPr>
      <w:r>
        <w:rPr>
          <w:rFonts w:hint="eastAsia" w:ascii="宋体" w:hAnsi="宋体"/>
          <w:sz w:val="28"/>
          <w:szCs w:val="28"/>
        </w:rPr>
        <w:t>按招标文件的规定和投标文件中的服务方案中的具体承诺。</w:t>
      </w:r>
    </w:p>
    <w:p>
      <w:pPr>
        <w:spacing w:line="360" w:lineRule="auto"/>
        <w:ind w:firstLine="560" w:firstLineChars="200"/>
        <w:jc w:val="left"/>
        <w:rPr>
          <w:rFonts w:ascii="宋体" w:hAnsi="宋体" w:cs="宋体"/>
          <w:bCs/>
          <w:sz w:val="28"/>
          <w:szCs w:val="28"/>
        </w:rPr>
      </w:pPr>
      <w:bookmarkStart w:id="158" w:name="_Toc246216234"/>
      <w:r>
        <w:rPr>
          <w:rFonts w:hint="eastAsia" w:ascii="宋体" w:hAnsi="宋体" w:cs="宋体"/>
          <w:bCs/>
          <w:sz w:val="28"/>
          <w:szCs w:val="28"/>
        </w:rPr>
        <w:t>3、合同价格</w:t>
      </w:r>
      <w:bookmarkEnd w:id="158"/>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3.1合同价款为：人民币元(大写：人民币    )。</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3.2合同价款调整</w:t>
      </w:r>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3.3.1本项目不因任何原因调整成交单价。</w:t>
      </w:r>
    </w:p>
    <w:p>
      <w:pPr>
        <w:spacing w:line="360" w:lineRule="auto"/>
        <w:ind w:firstLine="560" w:firstLineChars="200"/>
        <w:jc w:val="left"/>
        <w:rPr>
          <w:rFonts w:ascii="宋体" w:hAnsi="宋体" w:cs="宋体"/>
          <w:bCs/>
          <w:sz w:val="28"/>
          <w:szCs w:val="28"/>
        </w:rPr>
      </w:pPr>
      <w:bookmarkStart w:id="159" w:name="_Toc260246971"/>
      <w:bookmarkStart w:id="160" w:name="_Toc260247209"/>
      <w:bookmarkStart w:id="161" w:name="_Toc260246972"/>
      <w:bookmarkStart w:id="162" w:name="_Toc260247210"/>
      <w:bookmarkStart w:id="163" w:name="_Toc246216237"/>
      <w:bookmarkStart w:id="164" w:name="_Toc231451677"/>
      <w:r>
        <w:rPr>
          <w:rFonts w:hint="eastAsia" w:ascii="宋体" w:hAnsi="宋体" w:cs="宋体"/>
          <w:bCs/>
          <w:sz w:val="28"/>
          <w:szCs w:val="28"/>
        </w:rPr>
        <w:t>4、支付条款</w:t>
      </w:r>
      <w:bookmarkEnd w:id="159"/>
      <w:bookmarkEnd w:id="160"/>
    </w:p>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4.1 本合同的支付币种为人民币。</w:t>
      </w:r>
    </w:p>
    <w:p>
      <w:pPr>
        <w:spacing w:line="360" w:lineRule="auto"/>
        <w:ind w:firstLine="560" w:firstLineChars="200"/>
        <w:jc w:val="left"/>
        <w:rPr>
          <w:rFonts w:ascii="宋体" w:hAnsi="宋体" w:cs="宋体"/>
          <w:sz w:val="28"/>
          <w:szCs w:val="28"/>
        </w:rPr>
      </w:pPr>
      <w:r>
        <w:rPr>
          <w:rFonts w:hint="eastAsia" w:ascii="宋体" w:hAnsi="宋体" w:cs="宋体"/>
          <w:bCs/>
          <w:sz w:val="28"/>
          <w:szCs w:val="28"/>
        </w:rPr>
        <w:t>4.2合同价款支付方式：以跟甲方签订的合同为准。</w:t>
      </w:r>
    </w:p>
    <w:bookmarkEnd w:id="161"/>
    <w:bookmarkEnd w:id="162"/>
    <w:bookmarkEnd w:id="163"/>
    <w:bookmarkEnd w:id="164"/>
    <w:p>
      <w:pPr>
        <w:spacing w:line="360" w:lineRule="auto"/>
        <w:ind w:firstLine="560" w:firstLineChars="200"/>
        <w:jc w:val="left"/>
        <w:rPr>
          <w:rFonts w:ascii="宋体" w:hAnsi="宋体" w:cs="宋体"/>
          <w:bCs/>
          <w:sz w:val="28"/>
          <w:szCs w:val="28"/>
        </w:rPr>
      </w:pPr>
      <w:r>
        <w:rPr>
          <w:rFonts w:hint="eastAsia" w:ascii="宋体" w:hAnsi="宋体" w:cs="宋体"/>
          <w:bCs/>
          <w:sz w:val="28"/>
          <w:szCs w:val="28"/>
        </w:rPr>
        <w:t>5、服务期：</w:t>
      </w:r>
      <w:r>
        <w:rPr>
          <w:rFonts w:hint="eastAsia" w:ascii="宋体" w:hAnsi="宋体" w:cs="宋体"/>
          <w:bCs/>
          <w:sz w:val="28"/>
          <w:szCs w:val="28"/>
          <w:lang w:eastAsia="zh-CN"/>
        </w:rPr>
        <w:t>2023年07月-2024年0</w:t>
      </w:r>
      <w:r>
        <w:rPr>
          <w:rFonts w:hint="eastAsia" w:ascii="宋体" w:hAnsi="宋体" w:cs="宋体"/>
          <w:bCs/>
          <w:sz w:val="28"/>
          <w:szCs w:val="28"/>
          <w:lang w:val="en-US" w:eastAsia="zh-CN"/>
        </w:rPr>
        <w:t>6</w:t>
      </w:r>
      <w:r>
        <w:rPr>
          <w:rFonts w:hint="eastAsia" w:ascii="宋体" w:hAnsi="宋体" w:cs="宋体"/>
          <w:bCs/>
          <w:sz w:val="28"/>
          <w:szCs w:val="28"/>
          <w:lang w:eastAsia="zh-CN"/>
        </w:rPr>
        <w:t>月</w:t>
      </w:r>
      <w:r>
        <w:rPr>
          <w:rFonts w:hint="eastAsia" w:ascii="宋体" w:hAnsi="宋体" w:cs="宋体"/>
          <w:bCs/>
          <w:sz w:val="28"/>
          <w:szCs w:val="28"/>
        </w:rPr>
        <w:t>。</w:t>
      </w:r>
    </w:p>
    <w:p>
      <w:pPr>
        <w:spacing w:line="360" w:lineRule="auto"/>
        <w:ind w:firstLine="560" w:firstLineChars="200"/>
        <w:jc w:val="left"/>
        <w:rPr>
          <w:rFonts w:ascii="宋体" w:hAnsi="宋体" w:cs="宋体"/>
          <w:sz w:val="28"/>
          <w:szCs w:val="28"/>
        </w:rPr>
      </w:pPr>
      <w:bookmarkStart w:id="165" w:name="_Toc258681734"/>
      <w:r>
        <w:rPr>
          <w:rFonts w:hint="eastAsia" w:ascii="宋体" w:hAnsi="宋体" w:cs="宋体"/>
          <w:sz w:val="28"/>
          <w:szCs w:val="28"/>
        </w:rPr>
        <w:t>6、质量保证</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6.1乙方应保证各个方面符合合同条款、技术规范及标准、项目采购需求、规定的服务质量、服务要求。</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6.2如乙方收到通知后在合同规定的时间内没有以合理的速度弥补缺陷，甲方可采取必要的补救措施，但其风险和费用将由乙方承担，甲方根据合同规定对乙方行使的其他权利不受影响。</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6.3 乙方保证所提供的技术服务方案完整正确，资料准确无误。</w:t>
      </w:r>
    </w:p>
    <w:bookmarkEnd w:id="165"/>
    <w:p>
      <w:pPr>
        <w:spacing w:line="360" w:lineRule="auto"/>
        <w:ind w:firstLine="560" w:firstLineChars="200"/>
        <w:jc w:val="left"/>
        <w:rPr>
          <w:rFonts w:ascii="宋体" w:hAnsi="宋体" w:cs="宋体"/>
          <w:sz w:val="28"/>
          <w:szCs w:val="28"/>
        </w:rPr>
      </w:pPr>
      <w:bookmarkStart w:id="166" w:name="_Toc258681748"/>
      <w:r>
        <w:rPr>
          <w:rFonts w:hint="eastAsia" w:ascii="宋体" w:hAnsi="宋体" w:cs="宋体"/>
          <w:sz w:val="28"/>
          <w:szCs w:val="28"/>
        </w:rPr>
        <w:t>7、索赔</w:t>
      </w:r>
      <w:bookmarkEnd w:id="166"/>
    </w:p>
    <w:p>
      <w:pPr>
        <w:spacing w:line="360" w:lineRule="auto"/>
        <w:ind w:firstLine="560" w:firstLineChars="200"/>
        <w:jc w:val="left"/>
        <w:rPr>
          <w:rFonts w:ascii="宋体" w:hAnsi="宋体" w:cs="宋体"/>
          <w:sz w:val="28"/>
          <w:szCs w:val="28"/>
        </w:rPr>
      </w:pPr>
      <w:r>
        <w:rPr>
          <w:rFonts w:hint="eastAsia" w:ascii="宋体" w:hAnsi="宋体" w:cs="宋体"/>
          <w:sz w:val="28"/>
          <w:szCs w:val="28"/>
        </w:rPr>
        <w:t>7.1甲方有权根据本合同和／或当地有关部门出具的检验证书向乙方提出索赔。</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7.2如果在甲方发出索赔通知后三十(30)天内，乙方未作答复，上述索赔应视为已被乙方接受。如乙方未能在甲方发出索赔通知后三十(30)天内或甲方同意的延长期限内，按照甲方同意的上述规定的任何一种方法解决索赔事宜，甲方将从应付货款扣回索赔金额，同时保留进一步要求赔偿的权利。</w:t>
      </w:r>
    </w:p>
    <w:p>
      <w:pPr>
        <w:spacing w:line="360" w:lineRule="auto"/>
        <w:ind w:firstLine="560" w:firstLineChars="200"/>
        <w:jc w:val="left"/>
        <w:rPr>
          <w:rFonts w:ascii="宋体" w:hAnsi="宋体" w:cs="宋体"/>
          <w:sz w:val="28"/>
          <w:szCs w:val="28"/>
        </w:rPr>
      </w:pPr>
      <w:bookmarkStart w:id="167" w:name="_Toc258681749"/>
      <w:r>
        <w:rPr>
          <w:rFonts w:hint="eastAsia" w:ascii="宋体" w:hAnsi="宋体" w:cs="宋体"/>
          <w:sz w:val="28"/>
          <w:szCs w:val="28"/>
        </w:rPr>
        <w:t>8、乙方履约延误和延期赔偿</w:t>
      </w:r>
      <w:bookmarkEnd w:id="167"/>
    </w:p>
    <w:p>
      <w:pPr>
        <w:spacing w:line="360" w:lineRule="auto"/>
        <w:ind w:left="2" w:firstLine="560" w:firstLineChars="200"/>
        <w:jc w:val="left"/>
        <w:rPr>
          <w:rFonts w:ascii="宋体" w:hAnsi="宋体" w:cs="宋体"/>
          <w:sz w:val="28"/>
          <w:szCs w:val="28"/>
        </w:rPr>
      </w:pPr>
      <w:r>
        <w:rPr>
          <w:rFonts w:hint="eastAsia" w:ascii="宋体" w:hAnsi="宋体" w:cs="宋体"/>
          <w:sz w:val="28"/>
          <w:szCs w:val="28"/>
        </w:rPr>
        <w:t>8.1 如果乙方未能按合同规定的时间按期提供服务，将加收延期赔偿或终止合同。</w:t>
      </w:r>
    </w:p>
    <w:p>
      <w:pPr>
        <w:spacing w:line="360" w:lineRule="auto"/>
        <w:ind w:left="2" w:firstLine="560" w:firstLineChars="200"/>
        <w:jc w:val="left"/>
        <w:rPr>
          <w:rFonts w:ascii="宋体" w:hAnsi="宋体" w:cs="宋体"/>
          <w:sz w:val="28"/>
          <w:szCs w:val="28"/>
        </w:rPr>
      </w:pPr>
      <w:r>
        <w:rPr>
          <w:rFonts w:hint="eastAsia" w:ascii="宋体" w:hAnsi="宋体" w:cs="宋体"/>
          <w:sz w:val="28"/>
          <w:szCs w:val="28"/>
        </w:rPr>
        <w:t>8.2在履约过程中，如果乙方可能遇到妨碍按时提供服务的情况时，应及时以书面形式将迟延的事实、可能迟延的期限和原因通知甲方。甲方在收到乙方通知后，应尽快对情况进行分析，并确定是否同意延长时间以及是否收取误期赔偿费。延期应通过修改合同的方式由乙方认可。</w:t>
      </w:r>
    </w:p>
    <w:p>
      <w:pPr>
        <w:spacing w:line="360" w:lineRule="auto"/>
        <w:ind w:firstLine="560" w:firstLineChars="200"/>
        <w:jc w:val="left"/>
        <w:rPr>
          <w:rFonts w:ascii="宋体" w:hAnsi="宋体" w:cs="宋体"/>
          <w:sz w:val="28"/>
          <w:szCs w:val="28"/>
        </w:rPr>
      </w:pPr>
      <w:bookmarkStart w:id="168" w:name="_Toc258681751"/>
      <w:r>
        <w:rPr>
          <w:rFonts w:hint="eastAsia" w:ascii="宋体" w:hAnsi="宋体" w:cs="宋体"/>
          <w:sz w:val="28"/>
          <w:szCs w:val="28"/>
        </w:rPr>
        <w:t>9、甲方权利和义务</w:t>
      </w:r>
    </w:p>
    <w:p>
      <w:pPr>
        <w:tabs>
          <w:tab w:val="left" w:pos="1695"/>
        </w:tabs>
        <w:spacing w:line="360" w:lineRule="auto"/>
        <w:ind w:firstLine="560" w:firstLineChars="200"/>
        <w:jc w:val="left"/>
        <w:rPr>
          <w:rFonts w:ascii="宋体" w:hAnsi="宋体"/>
          <w:sz w:val="28"/>
          <w:szCs w:val="28"/>
        </w:rPr>
      </w:pPr>
      <w:r>
        <w:rPr>
          <w:rFonts w:hint="eastAsia" w:ascii="宋体" w:hAnsi="宋体"/>
          <w:sz w:val="28"/>
          <w:szCs w:val="28"/>
        </w:rPr>
        <w:t>1、甲方有权随时检查乙方的服务履行情况，并向乙方提出修改。</w:t>
      </w:r>
    </w:p>
    <w:p>
      <w:pPr>
        <w:spacing w:line="360" w:lineRule="auto"/>
        <w:ind w:firstLine="560" w:firstLineChars="200"/>
        <w:jc w:val="left"/>
        <w:rPr>
          <w:rFonts w:ascii="宋体" w:hAnsi="宋体"/>
          <w:sz w:val="28"/>
          <w:szCs w:val="28"/>
        </w:rPr>
      </w:pPr>
      <w:r>
        <w:rPr>
          <w:rFonts w:hint="eastAsia" w:ascii="宋体" w:hAnsi="宋体"/>
          <w:sz w:val="28"/>
          <w:szCs w:val="28"/>
        </w:rPr>
        <w:t>2、当发生服务违约时，则甲方有权按“服务违约处理标准”在支付乙方工程款项中进行扣款 。</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3、在乙方提供服务时，如对甲方的设备造成了损坏，甲方有权要求乙方赔偿。</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4、甲方应按合同规定向乙方支付服务费用。</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10、乙方权利和义务</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1、乙方应按招标文件的要求和投标文件的承诺进行服务，发生任何服务的变更均须向甲方提出交书面报审报告。</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2、乙方有权要求甲方按时支付服务费用。如甲方不按时支付乙方有权要求甲方按同期贷款利率支付滞纳金。</w:t>
      </w:r>
    </w:p>
    <w:p>
      <w:pPr>
        <w:spacing w:line="360" w:lineRule="auto"/>
        <w:ind w:firstLine="480"/>
        <w:jc w:val="left"/>
        <w:outlineLvl w:val="2"/>
        <w:rPr>
          <w:rFonts w:ascii="宋体" w:hAnsi="宋体" w:cs="宋体"/>
          <w:b/>
          <w:sz w:val="28"/>
          <w:szCs w:val="28"/>
        </w:rPr>
      </w:pPr>
      <w:r>
        <w:rPr>
          <w:rFonts w:hint="eastAsia" w:ascii="宋体" w:hAnsi="宋体"/>
          <w:sz w:val="28"/>
          <w:szCs w:val="28"/>
        </w:rPr>
        <w:t>3、乙方在提供服务时如损坏了甲方的设备，乙方应照价赔偿或更换同等设备。若因设备的损坏而引起其它损失的，乙方应作出合理赔偿（以甲乙双方协商或行政仲裁的结果赔偿）。</w:t>
      </w:r>
    </w:p>
    <w:p>
      <w:pPr>
        <w:spacing w:line="360" w:lineRule="auto"/>
        <w:ind w:firstLine="480"/>
        <w:jc w:val="left"/>
        <w:outlineLvl w:val="2"/>
        <w:rPr>
          <w:rFonts w:ascii="宋体" w:hAnsi="宋体"/>
          <w:sz w:val="28"/>
          <w:szCs w:val="28"/>
        </w:rPr>
      </w:pPr>
      <w:r>
        <w:rPr>
          <w:rFonts w:hint="eastAsia" w:ascii="宋体" w:hAnsi="宋体"/>
          <w:sz w:val="28"/>
          <w:szCs w:val="28"/>
        </w:rPr>
        <w:t>11、违约责任</w:t>
      </w:r>
      <w:bookmarkEnd w:id="168"/>
      <w:bookmarkStart w:id="169" w:name="_Toc258681752"/>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1）乙方应按照招标文件要求的工开展工作，按期实施服务，如乙方无正当理由迟延履行，应向甲方支付误期赔偿金，误期赔偿金按本合同总价款0.5%/周计收，不足一周按一周计。如果拖期超过一个月，乙方应向甲方支付相当于本合同总金额5%的违约金，甲方有权选择要求乙方继续履行合同、或解除合同。</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在履行合同过程中，如果乙方遇到可能妨碍按时实施服务的情况时，应及时以书面形式将情况通知甲方。甲方在收到乙方通知后，应尽快对情况进行评价，确定是否酌情延长实施服务时间。</w:t>
      </w:r>
    </w:p>
    <w:p>
      <w:pPr>
        <w:tabs>
          <w:tab w:val="left" w:pos="1080"/>
          <w:tab w:val="left" w:pos="1695"/>
        </w:tabs>
        <w:spacing w:line="360" w:lineRule="auto"/>
        <w:ind w:firstLine="560" w:firstLineChars="200"/>
        <w:jc w:val="left"/>
        <w:rPr>
          <w:rFonts w:ascii="宋体" w:hAnsi="宋体"/>
          <w:sz w:val="28"/>
          <w:szCs w:val="28"/>
        </w:rPr>
      </w:pPr>
      <w:r>
        <w:rPr>
          <w:rFonts w:hint="eastAsia" w:ascii="宋体" w:hAnsi="宋体"/>
          <w:sz w:val="28"/>
          <w:szCs w:val="28"/>
        </w:rPr>
        <w:t>（2）在甲方验收过程中，由于乙方提交的服务质量等原因导致的甲方工作拖期，按乙方迟延履行计，乙方承担违约责任。</w:t>
      </w:r>
    </w:p>
    <w:p>
      <w:pPr>
        <w:spacing w:line="360" w:lineRule="auto"/>
        <w:ind w:firstLine="560" w:firstLineChars="200"/>
        <w:jc w:val="left"/>
        <w:rPr>
          <w:rFonts w:ascii="宋体" w:hAnsi="宋体" w:cs="宋体"/>
          <w:sz w:val="28"/>
          <w:szCs w:val="28"/>
        </w:rPr>
      </w:pPr>
      <w:r>
        <w:rPr>
          <w:rFonts w:hint="eastAsia" w:ascii="宋体" w:hAnsi="宋体"/>
          <w:sz w:val="28"/>
          <w:szCs w:val="28"/>
        </w:rPr>
        <w:t>（3）本合同签订后，乙方不履行合同义务、或履行合同义务不符合合同约定的（不包括迟延履行的情况），乙方应承担违约责任，向甲方支付相当于本合同总金额10%的违约金，甲方有权选择要求解除合同、或要求乙方采取补救措施继续履行合同。</w:t>
      </w:r>
    </w:p>
    <w:bookmarkEnd w:id="169"/>
    <w:p>
      <w:pPr>
        <w:spacing w:line="360" w:lineRule="auto"/>
        <w:ind w:firstLine="560" w:firstLineChars="200"/>
        <w:jc w:val="left"/>
        <w:rPr>
          <w:rFonts w:ascii="宋体" w:hAnsi="宋体"/>
          <w:sz w:val="28"/>
          <w:szCs w:val="28"/>
        </w:rPr>
      </w:pPr>
      <w:r>
        <w:rPr>
          <w:rFonts w:hint="eastAsia" w:ascii="宋体" w:hAnsi="宋体"/>
          <w:sz w:val="28"/>
          <w:szCs w:val="28"/>
        </w:rPr>
        <w:t>17、适用法律</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17.1本合同的适用法律为中华人民共和国的现行法律和地方法规。</w:t>
      </w:r>
    </w:p>
    <w:p>
      <w:pPr>
        <w:spacing w:line="360" w:lineRule="auto"/>
        <w:ind w:firstLine="560" w:firstLineChars="200"/>
        <w:jc w:val="left"/>
        <w:rPr>
          <w:rFonts w:ascii="宋体" w:hAnsi="宋体"/>
          <w:sz w:val="28"/>
          <w:szCs w:val="28"/>
        </w:rPr>
      </w:pPr>
      <w:bookmarkStart w:id="170" w:name="_Toc243904848"/>
      <w:bookmarkStart w:id="171" w:name="_Toc258681761"/>
      <w:bookmarkStart w:id="172" w:name="_Toc243905151"/>
      <w:r>
        <w:rPr>
          <w:rFonts w:hint="eastAsia" w:ascii="宋体" w:hAnsi="宋体"/>
          <w:sz w:val="28"/>
          <w:szCs w:val="28"/>
        </w:rPr>
        <w:t>18、适用语言和计量单位</w:t>
      </w:r>
      <w:bookmarkEnd w:id="170"/>
      <w:bookmarkEnd w:id="171"/>
      <w:bookmarkEnd w:id="172"/>
    </w:p>
    <w:p>
      <w:pPr>
        <w:spacing w:line="420" w:lineRule="exact"/>
        <w:jc w:val="left"/>
        <w:rPr>
          <w:rFonts w:ascii="宋体" w:hAnsi="宋体" w:cs="宋体"/>
          <w:sz w:val="28"/>
          <w:szCs w:val="28"/>
        </w:rPr>
      </w:pPr>
      <w:r>
        <w:rPr>
          <w:rFonts w:hint="eastAsia" w:ascii="宋体" w:hAnsi="宋体" w:cs="宋体"/>
          <w:sz w:val="28"/>
          <w:szCs w:val="28"/>
        </w:rPr>
        <w:t>18.1本合同的适用语言为中文，所有与本合同有关的来往函件、通知及其他文件均应使用中文。</w:t>
      </w:r>
    </w:p>
    <w:p>
      <w:pPr>
        <w:spacing w:line="420" w:lineRule="exact"/>
        <w:ind w:firstLine="140" w:firstLineChars="50"/>
        <w:jc w:val="left"/>
        <w:rPr>
          <w:rFonts w:ascii="宋体" w:hAnsi="宋体" w:cs="宋体"/>
          <w:sz w:val="28"/>
          <w:szCs w:val="28"/>
        </w:rPr>
      </w:pPr>
      <w:r>
        <w:rPr>
          <w:rFonts w:hint="eastAsia" w:ascii="宋体" w:hAnsi="宋体" w:cs="宋体"/>
          <w:sz w:val="28"/>
          <w:szCs w:val="28"/>
        </w:rPr>
        <w:t>18.2乙方可以提交用其他语言(原文)打印的资料，但必须翻译成中文，当原文和译文(中文)之间存有差异和/或矛盾时，以中文为准。</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18.3除“项目采购需求”另有规定外，计量单位应使用国家标准规定的法定计量单位。</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19、争议的解决</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本合同自签订之日起即自动生效，执行过程中若发生纠纷。经调解无效，送阿拉山口市人民法院解决。</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20、合同生效</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本合同由双方法定代表人或委托代理人签字盖章后立即生效，具有同等法律效力，服务期由合同签定日至   年   月   日，合同有效期随服务期结束而自然终止。</w:t>
      </w:r>
    </w:p>
    <w:p>
      <w:pPr>
        <w:spacing w:line="420" w:lineRule="exact"/>
        <w:jc w:val="left"/>
        <w:rPr>
          <w:rFonts w:ascii="宋体" w:hAnsi="宋体" w:cs="宋体"/>
          <w:sz w:val="28"/>
          <w:szCs w:val="28"/>
        </w:rPr>
      </w:pPr>
      <w:r>
        <w:rPr>
          <w:rFonts w:hint="eastAsia" w:ascii="宋体" w:hAnsi="宋体" w:cs="宋体"/>
          <w:sz w:val="28"/>
          <w:szCs w:val="28"/>
        </w:rPr>
        <w:t>本合同一式    份，其中甲方    份、乙方    份、招标代理机构    份。</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21其它</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本合同未尽事宜，双方签订补充合同。签订补充合同与本合同具有同等法律效力。</w:t>
      </w:r>
    </w:p>
    <w:p>
      <w:pPr>
        <w:spacing w:line="420" w:lineRule="exact"/>
        <w:ind w:firstLine="560" w:firstLineChars="200"/>
        <w:jc w:val="left"/>
        <w:rPr>
          <w:rFonts w:ascii="宋体" w:hAnsi="宋体" w:cs="宋体"/>
          <w:sz w:val="28"/>
          <w:szCs w:val="28"/>
        </w:rPr>
      </w:pPr>
      <w:r>
        <w:rPr>
          <w:rFonts w:hint="eastAsia" w:ascii="宋体" w:hAnsi="宋体" w:cs="宋体"/>
          <w:sz w:val="28"/>
          <w:szCs w:val="28"/>
        </w:rPr>
        <w:t>本项目招标文件及澄清文件，乙方的投标文件和各种书面承诺均作为本合同的附件，具有同等的法律效力。</w:t>
      </w:r>
    </w:p>
    <w:p>
      <w:pPr>
        <w:tabs>
          <w:tab w:val="left" w:pos="1695"/>
        </w:tabs>
        <w:spacing w:line="360" w:lineRule="auto"/>
        <w:ind w:firstLine="1120" w:firstLineChars="400"/>
        <w:jc w:val="left"/>
        <w:rPr>
          <w:rFonts w:ascii="宋体" w:hAnsi="宋体"/>
          <w:sz w:val="28"/>
          <w:szCs w:val="28"/>
          <w:u w:val="single"/>
        </w:rPr>
      </w:pPr>
      <w:r>
        <w:rPr>
          <w:rFonts w:hint="eastAsia" w:ascii="宋体" w:hAnsi="宋体"/>
          <w:sz w:val="28"/>
          <w:szCs w:val="28"/>
        </w:rPr>
        <w:t>甲方：                          乙方：</w:t>
      </w:r>
    </w:p>
    <w:p>
      <w:pPr>
        <w:spacing w:line="360" w:lineRule="auto"/>
        <w:ind w:left="899" w:leftChars="428"/>
        <w:jc w:val="left"/>
        <w:rPr>
          <w:rFonts w:ascii="宋体" w:hAnsi="宋体"/>
          <w:sz w:val="28"/>
          <w:szCs w:val="28"/>
        </w:rPr>
      </w:pPr>
      <w:r>
        <w:rPr>
          <w:rFonts w:hint="eastAsia" w:ascii="宋体" w:hAnsi="宋体"/>
          <w:sz w:val="28"/>
          <w:szCs w:val="28"/>
        </w:rPr>
        <w:t>地址：                          地址：</w:t>
      </w:r>
    </w:p>
    <w:p>
      <w:pPr>
        <w:tabs>
          <w:tab w:val="left" w:pos="1695"/>
        </w:tabs>
        <w:spacing w:line="360" w:lineRule="auto"/>
        <w:ind w:left="899" w:leftChars="428"/>
        <w:jc w:val="left"/>
        <w:rPr>
          <w:rFonts w:ascii="宋体" w:hAnsi="宋体"/>
          <w:sz w:val="28"/>
          <w:szCs w:val="28"/>
          <w:u w:val="single"/>
        </w:rPr>
      </w:pPr>
      <w:r>
        <w:rPr>
          <w:rFonts w:hint="eastAsia" w:ascii="宋体" w:hAnsi="宋体"/>
          <w:sz w:val="28"/>
          <w:szCs w:val="28"/>
        </w:rPr>
        <w:t>法定代表人：                    法定代表人：</w:t>
      </w:r>
    </w:p>
    <w:p>
      <w:pPr>
        <w:tabs>
          <w:tab w:val="left" w:pos="1695"/>
          <w:tab w:val="left" w:pos="4500"/>
          <w:tab w:val="left" w:pos="5040"/>
        </w:tabs>
        <w:spacing w:line="360" w:lineRule="auto"/>
        <w:ind w:left="899" w:leftChars="428"/>
        <w:jc w:val="left"/>
        <w:rPr>
          <w:rFonts w:ascii="宋体" w:hAnsi="宋体"/>
          <w:sz w:val="28"/>
          <w:szCs w:val="28"/>
          <w:u w:val="single"/>
        </w:rPr>
      </w:pPr>
      <w:r>
        <w:rPr>
          <w:rFonts w:hint="eastAsia" w:ascii="宋体" w:hAnsi="宋体"/>
          <w:sz w:val="28"/>
          <w:szCs w:val="28"/>
        </w:rPr>
        <w:t>委托代理人：                   委托代理人：</w:t>
      </w:r>
    </w:p>
    <w:p>
      <w:pPr>
        <w:tabs>
          <w:tab w:val="left" w:pos="1695"/>
          <w:tab w:val="left" w:pos="5040"/>
        </w:tabs>
        <w:spacing w:line="360" w:lineRule="auto"/>
        <w:ind w:left="811" w:leftChars="386" w:firstLine="140" w:firstLineChars="50"/>
        <w:jc w:val="left"/>
        <w:rPr>
          <w:rFonts w:ascii="宋体" w:hAnsi="宋体"/>
          <w:sz w:val="28"/>
          <w:szCs w:val="28"/>
          <w:u w:val="single"/>
        </w:rPr>
      </w:pPr>
      <w:r>
        <w:rPr>
          <w:rFonts w:hint="eastAsia" w:ascii="宋体" w:hAnsi="宋体"/>
          <w:sz w:val="28"/>
          <w:szCs w:val="28"/>
        </w:rPr>
        <w:t>电话：                         电    话：</w:t>
      </w:r>
    </w:p>
    <w:p>
      <w:pPr>
        <w:tabs>
          <w:tab w:val="left" w:pos="1695"/>
        </w:tabs>
        <w:spacing w:line="360" w:lineRule="auto"/>
        <w:ind w:left="811" w:leftChars="386" w:firstLine="140" w:firstLineChars="50"/>
        <w:jc w:val="left"/>
        <w:rPr>
          <w:rFonts w:ascii="宋体" w:hAnsi="宋体"/>
          <w:sz w:val="28"/>
          <w:szCs w:val="28"/>
        </w:rPr>
      </w:pPr>
      <w:r>
        <w:rPr>
          <w:rFonts w:hint="eastAsia" w:ascii="宋体" w:hAnsi="宋体"/>
          <w:sz w:val="28"/>
          <w:szCs w:val="28"/>
        </w:rPr>
        <w:t>开户银行：                     开户银行：</w:t>
      </w:r>
    </w:p>
    <w:p>
      <w:pPr>
        <w:tabs>
          <w:tab w:val="left" w:pos="1695"/>
          <w:tab w:val="left" w:pos="5040"/>
        </w:tabs>
        <w:spacing w:line="360" w:lineRule="auto"/>
        <w:ind w:left="811" w:leftChars="386" w:firstLine="140" w:firstLineChars="50"/>
        <w:jc w:val="left"/>
        <w:rPr>
          <w:rFonts w:ascii="宋体" w:hAnsi="宋体"/>
          <w:sz w:val="28"/>
          <w:szCs w:val="28"/>
          <w:u w:val="single"/>
        </w:rPr>
      </w:pPr>
      <w:r>
        <w:rPr>
          <w:rFonts w:hint="eastAsia" w:ascii="宋体" w:hAnsi="宋体"/>
          <w:sz w:val="28"/>
          <w:szCs w:val="28"/>
        </w:rPr>
        <w:t>账  号：                       账  号：</w:t>
      </w:r>
    </w:p>
    <w:p>
      <w:pPr>
        <w:tabs>
          <w:tab w:val="left" w:pos="1695"/>
          <w:tab w:val="left" w:pos="5040"/>
        </w:tabs>
        <w:spacing w:line="360" w:lineRule="auto"/>
        <w:ind w:left="811" w:leftChars="386" w:firstLine="140" w:firstLineChars="50"/>
        <w:jc w:val="left"/>
        <w:rPr>
          <w:sz w:val="28"/>
          <w:szCs w:val="28"/>
        </w:rPr>
      </w:pPr>
      <w:r>
        <w:rPr>
          <w:rFonts w:hint="eastAsia" w:ascii="宋体" w:hAnsi="宋体"/>
          <w:sz w:val="28"/>
          <w:szCs w:val="28"/>
        </w:rPr>
        <w:t>日  期：                       日   期：</w:t>
      </w:r>
    </w:p>
    <w:p>
      <w:pPr>
        <w:pStyle w:val="3"/>
        <w:spacing w:after="100" w:afterAutospacing="1" w:line="400" w:lineRule="atLeast"/>
        <w:ind w:left="0" w:firstLine="0"/>
        <w:jc w:val="center"/>
        <w:rPr>
          <w:rFonts w:ascii="宋体" w:hAnsi="宋体"/>
          <w:u w:val="single"/>
        </w:rPr>
      </w:pPr>
    </w:p>
    <w:p/>
    <w:bookmarkEnd w:id="145"/>
    <w:bookmarkEnd w:id="146"/>
    <w:bookmarkEnd w:id="147"/>
    <w:bookmarkEnd w:id="154"/>
    <w:bookmarkEnd w:id="155"/>
    <w:bookmarkEnd w:id="156"/>
    <w:p>
      <w:pPr>
        <w:pStyle w:val="3"/>
        <w:spacing w:after="100" w:afterAutospacing="1" w:line="400" w:lineRule="atLeast"/>
        <w:ind w:left="0" w:firstLine="0"/>
        <w:rPr>
          <w:rFonts w:asciiTheme="minorEastAsia" w:hAnsiTheme="minorEastAsia" w:eastAsiaTheme="minorEastAsia" w:cstheme="minorEastAsia"/>
          <w:sz w:val="36"/>
          <w:szCs w:val="36"/>
        </w:rPr>
      </w:pPr>
      <w:bookmarkStart w:id="173" w:name="_Toc25613_WPSOffice_Level1"/>
      <w:bookmarkStart w:id="174" w:name="_Toc6251_WPSOffice_Level1"/>
    </w:p>
    <w:p>
      <w:pPr>
        <w:pStyle w:val="7"/>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pStyle w:val="2"/>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pStyle w:val="2"/>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pStyle w:val="7"/>
      </w:pPr>
    </w:p>
    <w:p>
      <w:pPr>
        <w:pStyle w:val="2"/>
      </w:pPr>
    </w:p>
    <w:p/>
    <w:p>
      <w:pPr>
        <w:pStyle w:val="3"/>
        <w:spacing w:after="100" w:afterAutospacing="1" w:line="400" w:lineRule="atLeast"/>
        <w:ind w:left="0" w:firstLine="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第五部分　范本格式</w:t>
      </w:r>
    </w:p>
    <w:p>
      <w:pPr>
        <w:pStyle w:val="10"/>
        <w:spacing w:line="400" w:lineRule="atLeast"/>
        <w:jc w:val="right"/>
        <w:rPr>
          <w:rFonts w:asciiTheme="minorEastAsia" w:hAnsiTheme="minorEastAsia" w:eastAsiaTheme="minorEastAsia" w:cstheme="minorEastAsia"/>
          <w:b/>
          <w:bCs/>
          <w:kern w:val="0"/>
          <w:sz w:val="36"/>
          <w:szCs w:val="36"/>
        </w:rPr>
      </w:pPr>
    </w:p>
    <w:p>
      <w:pPr>
        <w:pStyle w:val="10"/>
        <w:spacing w:line="400" w:lineRule="atLeast"/>
        <w:jc w:val="right"/>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kern w:val="0"/>
          <w:sz w:val="36"/>
          <w:szCs w:val="36"/>
        </w:rPr>
        <w:t>正本/副本</w:t>
      </w:r>
      <w:bookmarkEnd w:id="173"/>
      <w:bookmarkEnd w:id="174"/>
    </w:p>
    <w:p>
      <w:pPr>
        <w:pStyle w:val="10"/>
        <w:spacing w:line="400" w:lineRule="atLeast"/>
        <w:jc w:val="center"/>
        <w:rPr>
          <w:rFonts w:asciiTheme="minorEastAsia" w:hAnsiTheme="minorEastAsia" w:eastAsiaTheme="minorEastAsia" w:cstheme="minorEastAsia"/>
          <w:b/>
          <w:sz w:val="36"/>
          <w:szCs w:val="36"/>
        </w:rPr>
      </w:pPr>
    </w:p>
    <w:p>
      <w:pPr>
        <w:pStyle w:val="10"/>
        <w:spacing w:line="400" w:lineRule="atLeast"/>
        <w:jc w:val="center"/>
        <w:rPr>
          <w:rFonts w:asciiTheme="minorEastAsia" w:hAnsiTheme="minorEastAsia" w:eastAsiaTheme="minorEastAsia" w:cstheme="minorEastAsia"/>
          <w:b/>
          <w:sz w:val="36"/>
          <w:szCs w:val="36"/>
        </w:rPr>
      </w:pPr>
    </w:p>
    <w:p>
      <w:pPr>
        <w:pStyle w:val="10"/>
        <w:spacing w:line="400" w:lineRule="atLeast"/>
        <w:jc w:val="center"/>
        <w:rPr>
          <w:rFonts w:asciiTheme="minorEastAsia" w:hAnsiTheme="minorEastAsia" w:eastAsiaTheme="minorEastAsia" w:cstheme="minorEastAsia"/>
          <w:b/>
          <w:sz w:val="36"/>
          <w:szCs w:val="36"/>
        </w:rPr>
      </w:pPr>
      <w:bookmarkStart w:id="175" w:name="_Toc32690_WPSOffice_Level1"/>
      <w:bookmarkStart w:id="176" w:name="_Toc7267_WPSOffice_Level1"/>
      <w:r>
        <w:rPr>
          <w:rFonts w:hint="eastAsia" w:asciiTheme="minorEastAsia" w:hAnsiTheme="minorEastAsia" w:eastAsiaTheme="minorEastAsia" w:cstheme="minorEastAsia"/>
          <w:b/>
          <w:sz w:val="36"/>
          <w:szCs w:val="36"/>
        </w:rPr>
        <w:t>磋商响应文件</w:t>
      </w:r>
      <w:bookmarkEnd w:id="175"/>
      <w:bookmarkEnd w:id="176"/>
    </w:p>
    <w:p>
      <w:pPr>
        <w:pStyle w:val="10"/>
        <w:spacing w:line="400" w:lineRule="atLeast"/>
        <w:jc w:val="center"/>
        <w:rPr>
          <w:rFonts w:asciiTheme="minorEastAsia" w:hAnsiTheme="minorEastAsia" w:eastAsiaTheme="minorEastAsia" w:cstheme="minorEastAsia"/>
          <w:b/>
          <w:sz w:val="36"/>
          <w:szCs w:val="36"/>
        </w:rPr>
      </w:pPr>
    </w:p>
    <w:p>
      <w:pPr>
        <w:pStyle w:val="10"/>
        <w:spacing w:line="400" w:lineRule="atLeast"/>
        <w:rPr>
          <w:rFonts w:asciiTheme="minorEastAsia" w:hAnsiTheme="minorEastAsia" w:eastAsiaTheme="minorEastAsia" w:cstheme="minorEastAsia"/>
          <w:b/>
          <w:sz w:val="36"/>
          <w:szCs w:val="36"/>
        </w:rPr>
      </w:pPr>
    </w:p>
    <w:p>
      <w:pPr>
        <w:pStyle w:val="10"/>
        <w:spacing w:line="400" w:lineRule="atLeast"/>
        <w:rPr>
          <w:rFonts w:asciiTheme="minorEastAsia" w:hAnsiTheme="minorEastAsia" w:eastAsiaTheme="minorEastAsia" w:cstheme="minorEastAsia"/>
          <w:b/>
          <w:sz w:val="36"/>
          <w:szCs w:val="36"/>
        </w:rPr>
      </w:pPr>
    </w:p>
    <w:p>
      <w:pPr>
        <w:pStyle w:val="10"/>
        <w:spacing w:line="400" w:lineRule="atLeast"/>
        <w:rPr>
          <w:rFonts w:asciiTheme="minorEastAsia" w:hAnsiTheme="minorEastAsia" w:eastAsiaTheme="minorEastAsia" w:cstheme="minorEastAsia"/>
          <w:b/>
          <w:sz w:val="36"/>
          <w:szCs w:val="36"/>
        </w:rPr>
      </w:pPr>
    </w:p>
    <w:p>
      <w:pPr>
        <w:pStyle w:val="10"/>
        <w:spacing w:line="400" w:lineRule="atLeast"/>
        <w:rPr>
          <w:rFonts w:asciiTheme="minorEastAsia" w:hAnsiTheme="minorEastAsia" w:eastAsiaTheme="minorEastAsia" w:cstheme="minorEastAsia"/>
          <w:b/>
          <w:sz w:val="36"/>
          <w:szCs w:val="36"/>
        </w:rPr>
      </w:pPr>
    </w:p>
    <w:p>
      <w:pPr>
        <w:pStyle w:val="10"/>
        <w:spacing w:line="400" w:lineRule="atLeast"/>
        <w:rPr>
          <w:rFonts w:asciiTheme="minorEastAsia" w:hAnsiTheme="minorEastAsia" w:eastAsiaTheme="minorEastAsia" w:cstheme="minorEastAsia"/>
          <w:b/>
          <w:sz w:val="36"/>
          <w:szCs w:val="36"/>
        </w:rPr>
      </w:pPr>
    </w:p>
    <w:p>
      <w:pPr>
        <w:pStyle w:val="10"/>
        <w:spacing w:line="480" w:lineRule="auto"/>
        <w:rPr>
          <w:rFonts w:asciiTheme="minorEastAsia" w:hAnsiTheme="minorEastAsia" w:eastAsiaTheme="minorEastAsia" w:cstheme="minorEastAsia"/>
          <w:b/>
          <w:sz w:val="36"/>
          <w:szCs w:val="36"/>
          <w:lang w:val="zh-CN"/>
        </w:rPr>
      </w:pPr>
      <w:bookmarkStart w:id="177" w:name="_Toc3726_WPSOffice_Level1"/>
      <w:bookmarkStart w:id="178" w:name="_Toc13092_WPSOffice_Level1"/>
      <w:r>
        <w:rPr>
          <w:rFonts w:hint="eastAsia" w:asciiTheme="minorEastAsia" w:hAnsiTheme="minorEastAsia" w:eastAsiaTheme="minorEastAsia" w:cstheme="minorEastAsia"/>
          <w:b/>
          <w:sz w:val="36"/>
          <w:szCs w:val="36"/>
        </w:rPr>
        <w:t>项目编号：</w:t>
      </w:r>
      <w:bookmarkEnd w:id="177"/>
      <w:bookmarkEnd w:id="178"/>
      <w:bookmarkStart w:id="179" w:name="_Toc27103_WPSOffice_Level1"/>
      <w:bookmarkStart w:id="180" w:name="_Toc16639_WPSOffice_Level1"/>
      <w:r>
        <w:rPr>
          <w:rFonts w:hint="eastAsia" w:asciiTheme="minorEastAsia" w:hAnsiTheme="minorEastAsia" w:eastAsiaTheme="minorEastAsia" w:cstheme="minorEastAsia"/>
          <w:b/>
          <w:sz w:val="36"/>
          <w:szCs w:val="36"/>
          <w:lang w:val="zh-CN"/>
        </w:rPr>
        <w:t>HHRXCS2023-002</w:t>
      </w:r>
    </w:p>
    <w:p>
      <w:pPr>
        <w:pStyle w:val="10"/>
        <w:spacing w:line="480" w:lineRule="auto"/>
        <w:ind w:left="1807" w:hanging="1807" w:hangingChars="500"/>
        <w:rPr>
          <w:rFonts w:asciiTheme="minorEastAsia" w:hAnsiTheme="minorEastAsia" w:eastAsiaTheme="minorEastAsia" w:cstheme="minorEastAsia"/>
          <w:b/>
          <w:sz w:val="36"/>
          <w:szCs w:val="36"/>
          <w:lang w:val="zh-CN"/>
        </w:rPr>
      </w:pPr>
      <w:r>
        <w:rPr>
          <w:rFonts w:hint="eastAsia" w:asciiTheme="minorEastAsia" w:hAnsiTheme="minorEastAsia" w:eastAsiaTheme="minorEastAsia" w:cstheme="minorEastAsia"/>
          <w:b/>
          <w:sz w:val="36"/>
          <w:szCs w:val="36"/>
        </w:rPr>
        <w:t>项目名称：</w:t>
      </w:r>
      <w:bookmarkEnd w:id="179"/>
      <w:bookmarkEnd w:id="180"/>
      <w:bookmarkStart w:id="181" w:name="_Toc6603_WPSOffice_Level1"/>
      <w:bookmarkStart w:id="182" w:name="_Toc9442_WPSOffice_Level1"/>
      <w:r>
        <w:rPr>
          <w:rFonts w:hint="eastAsia" w:asciiTheme="minorEastAsia" w:hAnsiTheme="minorEastAsia" w:eastAsiaTheme="minorEastAsia" w:cstheme="minorEastAsia"/>
          <w:b/>
          <w:sz w:val="36"/>
          <w:szCs w:val="36"/>
          <w:lang w:val="zh-CN"/>
        </w:rPr>
        <w:t>阿拉套山雪豹专项调查项目</w:t>
      </w:r>
    </w:p>
    <w:p>
      <w:pPr>
        <w:pStyle w:val="10"/>
        <w:spacing w:line="480" w:lineRule="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投标单位名称：</w:t>
      </w:r>
      <w:bookmarkEnd w:id="181"/>
      <w:bookmarkEnd w:id="182"/>
    </w:p>
    <w:p>
      <w:pPr>
        <w:pStyle w:val="10"/>
        <w:spacing w:line="480" w:lineRule="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单位地址：</w:t>
      </w:r>
    </w:p>
    <w:p>
      <w:pPr>
        <w:pStyle w:val="10"/>
        <w:spacing w:line="480" w:lineRule="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联系人：</w:t>
      </w:r>
    </w:p>
    <w:p>
      <w:pPr>
        <w:pStyle w:val="10"/>
        <w:spacing w:line="480" w:lineRule="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联系电话：</w:t>
      </w:r>
    </w:p>
    <w:p>
      <w:pPr>
        <w:pStyle w:val="10"/>
        <w:spacing w:line="480" w:lineRule="auto"/>
        <w:rPr>
          <w:rFonts w:asciiTheme="minorEastAsia" w:hAnsiTheme="minorEastAsia" w:eastAsiaTheme="minorEastAsia" w:cstheme="minorEastAsia"/>
          <w:b/>
          <w:sz w:val="36"/>
          <w:szCs w:val="36"/>
          <w:lang w:val="zh-CN"/>
        </w:rPr>
      </w:pPr>
      <w:bookmarkStart w:id="183" w:name="_Toc12416_WPSOffice_Level1"/>
      <w:bookmarkStart w:id="184" w:name="_Toc20551_WPSOffice_Level1"/>
    </w:p>
    <w:p>
      <w:pPr>
        <w:pStyle w:val="10"/>
        <w:spacing w:line="480" w:lineRule="auto"/>
        <w:rPr>
          <w:rFonts w:asciiTheme="minorEastAsia" w:hAnsiTheme="minorEastAsia" w:eastAsiaTheme="minorEastAsia" w:cstheme="minorEastAsia"/>
          <w:b/>
          <w:sz w:val="36"/>
          <w:szCs w:val="36"/>
          <w:lang w:val="zh-CN"/>
        </w:rPr>
      </w:pPr>
    </w:p>
    <w:p>
      <w:pPr>
        <w:pStyle w:val="10"/>
        <w:spacing w:line="480" w:lineRule="auto"/>
        <w:rPr>
          <w:rFonts w:asciiTheme="minorEastAsia" w:hAnsiTheme="minorEastAsia" w:eastAsiaTheme="minorEastAsia" w:cstheme="minorEastAsia"/>
          <w:b/>
          <w:sz w:val="36"/>
          <w:szCs w:val="36"/>
          <w:lang w:val="zh-CN"/>
        </w:rPr>
      </w:pPr>
    </w:p>
    <w:bookmarkEnd w:id="183"/>
    <w:bookmarkEnd w:id="184"/>
    <w:p>
      <w:pPr>
        <w:spacing w:line="420" w:lineRule="exact"/>
        <w:jc w:val="left"/>
        <w:rPr>
          <w:rFonts w:asciiTheme="minorEastAsia" w:hAnsiTheme="minorEastAsia" w:eastAsiaTheme="minorEastAsia" w:cstheme="minorEastAsia"/>
          <w:b/>
          <w:sz w:val="28"/>
          <w:szCs w:val="28"/>
        </w:rPr>
      </w:pPr>
      <w:bookmarkStart w:id="185" w:name="_Toc3566_WPSOffice_Level1"/>
      <w:bookmarkStart w:id="186" w:name="_Toc1144_WPSOffice_Level1"/>
      <w:bookmarkStart w:id="187" w:name="_Toc493877634"/>
      <w:r>
        <w:rPr>
          <w:rFonts w:hint="eastAsia" w:asciiTheme="minorEastAsia" w:hAnsiTheme="minorEastAsia" w:eastAsiaTheme="minorEastAsia" w:cstheme="minorEastAsia"/>
          <w:b/>
          <w:sz w:val="28"/>
          <w:szCs w:val="28"/>
        </w:rPr>
        <w:t>磋商响应文件内容：</w:t>
      </w:r>
      <w:bookmarkEnd w:id="185"/>
      <w:bookmarkEnd w:id="186"/>
    </w:p>
    <w:p>
      <w:pPr>
        <w:pStyle w:val="3"/>
      </w:pPr>
    </w:p>
    <w:p>
      <w:pPr>
        <w:numPr>
          <w:ilvl w:val="0"/>
          <w:numId w:val="2"/>
        </w:num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投标承诺书</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2、开标一览表</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3、分项报价表</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4、法定代表人授权委托书</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5、中小企业声明函</w:t>
      </w:r>
    </w:p>
    <w:p>
      <w:pPr>
        <w:spacing w:line="360" w:lineRule="auto"/>
        <w:jc w:val="left"/>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6、残疾人福利性单位声明函</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如有</w:t>
      </w:r>
      <w:r>
        <w:rPr>
          <w:rFonts w:hint="eastAsia" w:asciiTheme="minorEastAsia" w:hAnsiTheme="minorEastAsia" w:eastAsiaTheme="minorEastAsia" w:cstheme="minorEastAsia"/>
          <w:bCs/>
          <w:sz w:val="28"/>
          <w:szCs w:val="28"/>
          <w:lang w:eastAsia="zh-CN"/>
        </w:rPr>
        <w:t>）</w:t>
      </w:r>
    </w:p>
    <w:p>
      <w:pPr>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7、监狱企业证明文件</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如有</w:t>
      </w:r>
      <w:r>
        <w:rPr>
          <w:rFonts w:hint="eastAsia" w:asciiTheme="minorEastAsia" w:hAnsiTheme="minorEastAsia" w:eastAsiaTheme="minorEastAsia" w:cstheme="minorEastAsia"/>
          <w:bCs/>
          <w:sz w:val="28"/>
          <w:szCs w:val="28"/>
          <w:lang w:eastAsia="zh-CN"/>
        </w:rPr>
        <w:t>）</w:t>
      </w:r>
    </w:p>
    <w:p>
      <w:pPr>
        <w:spacing w:line="360" w:lineRule="auto"/>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投标人须能够独立承担民事责任能力和良好诚信的合法经营单位或证明</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8</w:t>
      </w:r>
      <w:r>
        <w:rPr>
          <w:rFonts w:hint="eastAsia" w:asciiTheme="minorEastAsia" w:hAnsiTheme="minorEastAsia" w:eastAsiaTheme="minorEastAsia" w:cstheme="minorEastAsia"/>
          <w:bCs/>
          <w:sz w:val="28"/>
          <w:szCs w:val="28"/>
        </w:rPr>
        <w:t>、类似业绩</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9</w:t>
      </w:r>
      <w:r>
        <w:rPr>
          <w:rFonts w:hint="eastAsia" w:asciiTheme="minorEastAsia" w:hAnsiTheme="minorEastAsia" w:eastAsiaTheme="minorEastAsia" w:cstheme="minorEastAsia"/>
          <w:bCs/>
          <w:sz w:val="28"/>
          <w:szCs w:val="28"/>
        </w:rPr>
        <w:t>、投标人服务方案、工期承诺、售后服务方案等</w:t>
      </w:r>
    </w:p>
    <w:p>
      <w:pPr>
        <w:tabs>
          <w:tab w:val="left" w:pos="1146"/>
        </w:tabs>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10</w:t>
      </w:r>
      <w:r>
        <w:rPr>
          <w:rFonts w:hint="eastAsia" w:asciiTheme="minorEastAsia" w:hAnsiTheme="minorEastAsia" w:eastAsiaTheme="minorEastAsia" w:cstheme="minorEastAsia"/>
          <w:bCs/>
          <w:sz w:val="28"/>
          <w:szCs w:val="28"/>
        </w:rPr>
        <w:t>、磋商文件规定及供应商认为需要提供的其他资料</w:t>
      </w:r>
    </w:p>
    <w:p>
      <w:pPr>
        <w:tabs>
          <w:tab w:val="left" w:pos="1146"/>
        </w:tabs>
        <w:spacing w:line="420" w:lineRule="exact"/>
        <w:ind w:left="420" w:left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br w:type="page"/>
      </w:r>
    </w:p>
    <w:bookmarkEnd w:id="187"/>
    <w:p>
      <w:pPr>
        <w:pStyle w:val="30"/>
        <w:widowControl/>
        <w:spacing w:line="360" w:lineRule="auto"/>
        <w:ind w:left="0" w:leftChars="0" w:firstLine="560" w:firstLineChars="200"/>
        <w:jc w:val="center"/>
        <w:rPr>
          <w:rFonts w:asciiTheme="minorEastAsia" w:hAnsiTheme="minorEastAsia" w:eastAsiaTheme="minorEastAsia" w:cstheme="minorEastAsia"/>
          <w:sz w:val="28"/>
          <w:szCs w:val="28"/>
        </w:rPr>
      </w:pPr>
      <w:bookmarkStart w:id="188" w:name="_Toc493877635"/>
      <w:r>
        <w:rPr>
          <w:rFonts w:hint="eastAsia" w:asciiTheme="minorEastAsia" w:hAnsiTheme="minorEastAsia" w:eastAsiaTheme="minorEastAsia" w:cstheme="minorEastAsia"/>
          <w:sz w:val="28"/>
          <w:szCs w:val="28"/>
        </w:rPr>
        <w:t>投标承诺书</w:t>
      </w:r>
    </w:p>
    <w:p>
      <w:pPr>
        <w:pStyle w:val="30"/>
        <w:widowControl/>
        <w:spacing w:line="360" w:lineRule="auto"/>
        <w:ind w:left="0" w:leftChars="0" w:firstLine="560" w:firstLineChars="200"/>
        <w:rPr>
          <w:rFonts w:asciiTheme="minorEastAsia" w:hAnsiTheme="minorEastAsia" w:eastAsiaTheme="minorEastAsia" w:cstheme="minorEastAsia"/>
          <w:sz w:val="28"/>
          <w:szCs w:val="28"/>
          <w:u w:val="single"/>
        </w:rPr>
      </w:pPr>
    </w:p>
    <w:p>
      <w:pPr>
        <w:pStyle w:val="30"/>
        <w:widowControl/>
        <w:spacing w:line="360" w:lineRule="auto"/>
        <w:ind w:left="0" w:leftChars="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(供应商名称)授权(供应商委托代理人姓名、职务) 为我方代表，参加贵方组织的 (项目名称、项目编号)招标的有关活动，并对此项目进行投标。为此：</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1、我方承诺：已经具备《中华人民共和国政府采购法》中规定的参加政府采购活动的供应商应当具备的条件和本招标文件中规定的条件。</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3、按照招标文件规定提供全部投标文件。</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4、我方承诺：按照招标文件要求提供和交付的货物及相关服务，我方投标报价为（小写）（大写），服务期为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天，磋商有效期为</w:t>
      </w:r>
      <w:r>
        <w:rPr>
          <w:rFonts w:hint="eastAsia" w:asciiTheme="minorEastAsia" w:hAnsiTheme="minorEastAsia" w:eastAsiaTheme="minorEastAsia" w:cstheme="minorEastAsia"/>
          <w:sz w:val="28"/>
          <w:szCs w:val="28"/>
          <w:u w:val="single"/>
        </w:rPr>
        <w:t>45</w:t>
      </w:r>
      <w:r>
        <w:rPr>
          <w:rFonts w:hint="eastAsia" w:asciiTheme="minorEastAsia" w:hAnsiTheme="minorEastAsia" w:eastAsiaTheme="minorEastAsia" w:cstheme="minorEastAsia"/>
          <w:sz w:val="28"/>
          <w:szCs w:val="28"/>
        </w:rPr>
        <w:t>日（日历日）。</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5、我方承诺：接受招标文件中的全部条款且无任何异议，保证遵守招标文件的规定。</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6、我方承诺：完全满足和响应招标文件中的各项技术和服务要求。</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7、我方完全理解贵方不一定接受最低价的投标或收到的任何投标，以及投标报价若超过项目预算时投标将被拒绝。</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8、我方已详细审核全部投标文件，包括投标文件修改书（如有的话）、参考资料及有关附件，确认无误。</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9、我方承诺：保证中标后严格按照甲方要求合法经营，否则，由此产生的一切法律责任由我方承担。</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10、保证忠实地执行双方所签订的合同，并承担合同规定的责任和义务。</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1"/>
        <w:widowControl/>
        <w:spacing w:line="360" w:lineRule="auto"/>
        <w:ind w:left="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89" w:name="_Toc23581_WPSOffice_Level1"/>
      <w:bookmarkStart w:id="190" w:name="_Toc28803_WPSOffice_Level1"/>
      <w:r>
        <w:rPr>
          <w:rFonts w:hint="eastAsia" w:asciiTheme="minorEastAsia" w:hAnsiTheme="minorEastAsia" w:eastAsiaTheme="minorEastAsia" w:cstheme="minorEastAsia"/>
          <w:sz w:val="28"/>
          <w:szCs w:val="28"/>
        </w:rPr>
        <w:t>1）提供虚假材料谋取中标、成交的；</w:t>
      </w:r>
      <w:bookmarkEnd w:id="189"/>
      <w:bookmarkEnd w:id="190"/>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91" w:name="_Toc14643_WPSOffice_Level1"/>
      <w:bookmarkStart w:id="192" w:name="_Toc7187_WPSOffice_Level1"/>
      <w:r>
        <w:rPr>
          <w:rFonts w:hint="eastAsia" w:asciiTheme="minorEastAsia" w:hAnsiTheme="minorEastAsia" w:eastAsiaTheme="minorEastAsia" w:cstheme="minorEastAsia"/>
          <w:sz w:val="28"/>
          <w:szCs w:val="28"/>
        </w:rPr>
        <w:t>2）采取不正当手段诋毁、排挤其他供应商的；</w:t>
      </w:r>
      <w:bookmarkEnd w:id="191"/>
      <w:bookmarkEnd w:id="192"/>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93" w:name="_Toc5029_WPSOffice_Level1"/>
      <w:bookmarkStart w:id="194" w:name="_Toc29644_WPSOffice_Level1"/>
      <w:r>
        <w:rPr>
          <w:rFonts w:hint="eastAsia" w:asciiTheme="minorEastAsia" w:hAnsiTheme="minorEastAsia" w:eastAsiaTheme="minorEastAsia" w:cstheme="minorEastAsia"/>
          <w:sz w:val="28"/>
          <w:szCs w:val="28"/>
        </w:rPr>
        <w:t>3）与采购人、其他供应商或者采购代理机构恶意串通的；</w:t>
      </w:r>
      <w:bookmarkEnd w:id="193"/>
      <w:bookmarkEnd w:id="194"/>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95" w:name="_Toc8601_WPSOffice_Level1"/>
      <w:bookmarkStart w:id="196" w:name="_Toc5278_WPSOffice_Level1"/>
      <w:r>
        <w:rPr>
          <w:rFonts w:hint="eastAsia" w:asciiTheme="minorEastAsia" w:hAnsiTheme="minorEastAsia" w:eastAsiaTheme="minorEastAsia" w:cstheme="minorEastAsia"/>
          <w:sz w:val="28"/>
          <w:szCs w:val="28"/>
        </w:rPr>
        <w:t>4）向采购人、采购代理机构行贿或者提供其他不正当利益的；</w:t>
      </w:r>
      <w:bookmarkEnd w:id="195"/>
      <w:bookmarkEnd w:id="196"/>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97" w:name="_Toc11715_WPSOffice_Level1"/>
      <w:bookmarkStart w:id="198" w:name="_Toc12144_WPSOffice_Level1"/>
      <w:r>
        <w:rPr>
          <w:rFonts w:hint="eastAsia" w:asciiTheme="minorEastAsia" w:hAnsiTheme="minorEastAsia" w:eastAsiaTheme="minorEastAsia" w:cstheme="minorEastAsia"/>
          <w:sz w:val="28"/>
          <w:szCs w:val="28"/>
        </w:rPr>
        <w:t>5）在招标采购过程中与采购人进行协商谈判的；</w:t>
      </w:r>
      <w:bookmarkEnd w:id="197"/>
      <w:bookmarkEnd w:id="198"/>
    </w:p>
    <w:p>
      <w:pPr>
        <w:pStyle w:val="11"/>
        <w:widowControl/>
        <w:spacing w:line="360" w:lineRule="auto"/>
        <w:ind w:left="0" w:firstLine="560" w:firstLineChars="200"/>
        <w:rPr>
          <w:rFonts w:asciiTheme="minorEastAsia" w:hAnsiTheme="minorEastAsia" w:eastAsiaTheme="minorEastAsia" w:cstheme="minorEastAsia"/>
          <w:sz w:val="28"/>
          <w:szCs w:val="28"/>
        </w:rPr>
      </w:pPr>
      <w:bookmarkStart w:id="199" w:name="_Toc26423_WPSOffice_Level1"/>
      <w:bookmarkStart w:id="200" w:name="_Toc24002_WPSOffice_Level1"/>
      <w:r>
        <w:rPr>
          <w:rFonts w:hint="eastAsia" w:asciiTheme="minorEastAsia" w:hAnsiTheme="minorEastAsia" w:eastAsiaTheme="minorEastAsia" w:cstheme="minorEastAsia"/>
          <w:sz w:val="28"/>
          <w:szCs w:val="28"/>
        </w:rPr>
        <w:t>6）拒绝有关部门监督检查或提供虚假情况的。</w:t>
      </w:r>
      <w:bookmarkEnd w:id="199"/>
      <w:bookmarkEnd w:id="200"/>
    </w:p>
    <w:p>
      <w:pPr>
        <w:pStyle w:val="11"/>
        <w:widowControl/>
        <w:spacing w:line="360" w:lineRule="auto"/>
        <w:ind w:left="0"/>
        <w:rPr>
          <w:rFonts w:asciiTheme="minorEastAsia" w:hAnsiTheme="minorEastAsia" w:eastAsiaTheme="minorEastAsia" w:cstheme="minorEastAsia"/>
          <w:sz w:val="28"/>
          <w:szCs w:val="28"/>
        </w:rPr>
      </w:pP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委托代理人（签字）：</w:t>
      </w: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pStyle w:val="2"/>
        <w:ind w:left="-685" w:leftChars="-326" w:firstLine="795" w:firstLineChars="28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bookmarkEnd w:id="188"/>
      <w:bookmarkStart w:id="201" w:name="_Toc22745"/>
      <w:bookmarkStart w:id="202" w:name="_Toc19025"/>
      <w:bookmarkStart w:id="203" w:name="_Toc6808"/>
      <w:bookmarkStart w:id="204" w:name="_Toc493877636"/>
    </w:p>
    <w:p>
      <w:pPr>
        <w:pStyle w:val="2"/>
        <w:ind w:left="-685" w:leftChars="-326" w:firstLine="795" w:firstLineChars="28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★开标一览表</w:t>
      </w: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autoSpaceDE w:val="0"/>
        <w:autoSpaceDN w:val="0"/>
        <w:spacing w:line="300" w:lineRule="auto"/>
        <w:ind w:firstLine="24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val="zh-CN"/>
        </w:rPr>
        <w:t>阿拉套山雪豹专项调查项目</w:t>
      </w:r>
    </w:p>
    <w:p>
      <w:pPr>
        <w:autoSpaceDE w:val="0"/>
        <w:autoSpaceDN w:val="0"/>
        <w:spacing w:line="300" w:lineRule="auto"/>
        <w:ind w:firstLine="24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p>
    <w:p>
      <w:pPr>
        <w:autoSpaceDE w:val="0"/>
        <w:autoSpaceDN w:val="0"/>
        <w:spacing w:line="300" w:lineRule="auto"/>
        <w:ind w:firstLine="24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项目编号：HHRXCS2023-002</w:t>
      </w:r>
    </w:p>
    <w:p>
      <w:pPr>
        <w:autoSpaceDE w:val="0"/>
        <w:autoSpaceDN w:val="0"/>
        <w:spacing w:line="300" w:lineRule="auto"/>
        <w:ind w:firstLine="240"/>
        <w:rPr>
          <w:rFonts w:asciiTheme="minorEastAsia" w:hAnsiTheme="minorEastAsia" w:eastAsiaTheme="minorEastAsia" w:cstheme="minorEastAsia"/>
          <w:sz w:val="28"/>
          <w:szCs w:val="28"/>
        </w:rPr>
      </w:pPr>
    </w:p>
    <w:tbl>
      <w:tblPr>
        <w:tblStyle w:val="18"/>
        <w:tblW w:w="7855" w:type="dxa"/>
        <w:jc w:val="center"/>
        <w:tblLayout w:type="fixed"/>
        <w:tblCellMar>
          <w:top w:w="0" w:type="dxa"/>
          <w:left w:w="108" w:type="dxa"/>
          <w:bottom w:w="0" w:type="dxa"/>
          <w:right w:w="108" w:type="dxa"/>
        </w:tblCellMar>
      </w:tblPr>
      <w:tblGrid>
        <w:gridCol w:w="1672"/>
        <w:gridCol w:w="1477"/>
        <w:gridCol w:w="1837"/>
        <w:gridCol w:w="1880"/>
        <w:gridCol w:w="989"/>
      </w:tblGrid>
      <w:tr>
        <w:tblPrEx>
          <w:tblCellMar>
            <w:top w:w="0" w:type="dxa"/>
            <w:left w:w="108" w:type="dxa"/>
            <w:bottom w:w="0" w:type="dxa"/>
            <w:right w:w="108" w:type="dxa"/>
          </w:tblCellMar>
        </w:tblPrEx>
        <w:trPr>
          <w:trHeight w:val="749"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序号</w:t>
            </w:r>
          </w:p>
        </w:tc>
        <w:tc>
          <w:tcPr>
            <w:tcW w:w="147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项目名称</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服务期限</w:t>
            </w:r>
          </w:p>
        </w:tc>
        <w:tc>
          <w:tcPr>
            <w:tcW w:w="188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总价（元）</w:t>
            </w:r>
          </w:p>
        </w:tc>
        <w:tc>
          <w:tcPr>
            <w:tcW w:w="98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备注</w:t>
            </w:r>
          </w:p>
        </w:tc>
      </w:tr>
      <w:tr>
        <w:tblPrEx>
          <w:tblCellMar>
            <w:top w:w="0" w:type="dxa"/>
            <w:left w:w="108" w:type="dxa"/>
            <w:bottom w:w="0" w:type="dxa"/>
            <w:right w:w="108" w:type="dxa"/>
          </w:tblCellMar>
        </w:tblPrEx>
        <w:trPr>
          <w:trHeight w:val="1171" w:hRule="atLeast"/>
          <w:jc w:val="center"/>
        </w:trPr>
        <w:tc>
          <w:tcPr>
            <w:tcW w:w="1672"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p>
        </w:tc>
        <w:tc>
          <w:tcPr>
            <w:tcW w:w="1477"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p>
        </w:tc>
        <w:tc>
          <w:tcPr>
            <w:tcW w:w="188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p>
        </w:tc>
        <w:tc>
          <w:tcPr>
            <w:tcW w:w="989"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 w:val="28"/>
                <w:szCs w:val="28"/>
              </w:rPr>
            </w:pPr>
          </w:p>
        </w:tc>
      </w:tr>
    </w:tbl>
    <w:p>
      <w:pPr>
        <w:autoSpaceDE w:val="0"/>
        <w:autoSpaceDN w:val="0"/>
        <w:spacing w:line="300" w:lineRule="auto"/>
        <w:rPr>
          <w:rFonts w:asciiTheme="minorEastAsia" w:hAnsiTheme="minorEastAsia" w:eastAsiaTheme="minorEastAsia" w:cstheme="minorEastAsia"/>
          <w:b/>
          <w:sz w:val="28"/>
          <w:szCs w:val="28"/>
        </w:rPr>
      </w:pPr>
    </w:p>
    <w:p>
      <w:pPr>
        <w:autoSpaceDE w:val="0"/>
        <w:autoSpaceDN w:val="0"/>
        <w:spacing w:line="300" w:lineRule="auto"/>
        <w:rPr>
          <w:rFonts w:asciiTheme="minorEastAsia" w:hAnsiTheme="minorEastAsia" w:eastAsiaTheme="minorEastAsia" w:cstheme="minorEastAsia"/>
          <w:b/>
          <w:sz w:val="28"/>
          <w:szCs w:val="28"/>
        </w:rPr>
      </w:pPr>
    </w:p>
    <w:p>
      <w:pPr>
        <w:autoSpaceDE w:val="0"/>
        <w:autoSpaceDN w:val="0"/>
        <w:spacing w:line="300" w:lineRule="auto"/>
        <w:ind w:firstLine="240"/>
        <w:rPr>
          <w:rFonts w:asciiTheme="minorEastAsia" w:hAnsiTheme="minorEastAsia" w:eastAsiaTheme="minorEastAsia" w:cstheme="minorEastAsia"/>
          <w:sz w:val="28"/>
          <w:szCs w:val="28"/>
        </w:rPr>
      </w:pPr>
    </w:p>
    <w:p>
      <w:pPr>
        <w:autoSpaceDE w:val="0"/>
        <w:autoSpaceDN w:val="0"/>
        <w:spacing w:line="300" w:lineRule="auto"/>
        <w:ind w:firstLine="240"/>
        <w:rPr>
          <w:rFonts w:asciiTheme="minorEastAsia" w:hAnsiTheme="minorEastAsia" w:eastAsiaTheme="minorEastAsia" w:cstheme="minorEastAsia"/>
          <w:sz w:val="28"/>
          <w:szCs w:val="28"/>
        </w:rPr>
      </w:pPr>
    </w:p>
    <w:p>
      <w:pPr>
        <w:spacing w:after="120" w:afterLines="50"/>
        <w:ind w:firstLine="5880" w:firstLineChars="2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供应商（盖章）</w:t>
      </w:r>
    </w:p>
    <w:p>
      <w:pPr>
        <w:wordWrap w:val="0"/>
        <w:spacing w:after="120" w:afterLines="50"/>
        <w:ind w:firstLine="240"/>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授权代表（签字）</w:t>
      </w:r>
    </w:p>
    <w:p>
      <w:pPr>
        <w:wordWrap w:val="0"/>
        <w:spacing w:after="120" w:afterLines="50"/>
        <w:ind w:firstLine="24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年  月  日</w:t>
      </w:r>
    </w:p>
    <w:p>
      <w:pPr>
        <w:spacing w:after="120" w:afterLines="50"/>
        <w:ind w:firstLine="240"/>
        <w:jc w:val="right"/>
        <w:rPr>
          <w:rFonts w:asciiTheme="minorEastAsia" w:hAnsiTheme="minorEastAsia" w:eastAsiaTheme="minorEastAsia" w:cstheme="minorEastAsia"/>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ind w:left="277" w:leftChars="-86" w:hanging="458" w:hangingChars="163"/>
        <w:jc w:val="both"/>
        <w:rPr>
          <w:rFonts w:asciiTheme="minorEastAsia" w:hAnsiTheme="minorEastAsia" w:eastAsiaTheme="minorEastAsia" w:cstheme="minorEastAsia"/>
          <w:b/>
          <w:color w:val="auto"/>
          <w:kern w:val="2"/>
          <w:sz w:val="28"/>
          <w:szCs w:val="28"/>
        </w:rPr>
      </w:pPr>
    </w:p>
    <w:p>
      <w:pPr>
        <w:pStyle w:val="28"/>
        <w:jc w:val="both"/>
        <w:rPr>
          <w:rFonts w:asciiTheme="minorEastAsia" w:hAnsiTheme="minorEastAsia" w:eastAsiaTheme="minorEastAsia" w:cstheme="minorEastAsia"/>
          <w:b/>
          <w:color w:val="auto"/>
          <w:kern w:val="2"/>
          <w:sz w:val="28"/>
          <w:szCs w:val="28"/>
        </w:rPr>
      </w:pPr>
    </w:p>
    <w:p>
      <w:pPr>
        <w:pStyle w:val="28"/>
        <w:jc w:val="both"/>
        <w:rPr>
          <w:rFonts w:asciiTheme="minorEastAsia" w:hAnsiTheme="minorEastAsia" w:eastAsiaTheme="minorEastAsia" w:cstheme="minorEastAsia"/>
          <w:b/>
          <w:color w:val="auto"/>
          <w:kern w:val="2"/>
          <w:sz w:val="28"/>
          <w:szCs w:val="28"/>
        </w:rPr>
      </w:pPr>
    </w:p>
    <w:p>
      <w:pPr>
        <w:pStyle w:val="28"/>
        <w:jc w:val="both"/>
        <w:rPr>
          <w:rFonts w:asciiTheme="minorEastAsia" w:hAnsiTheme="minorEastAsia" w:eastAsiaTheme="minorEastAsia" w:cstheme="minorEastAsia"/>
          <w:b/>
          <w:color w:val="auto"/>
          <w:kern w:val="2"/>
          <w:sz w:val="28"/>
          <w:szCs w:val="28"/>
        </w:rPr>
      </w:pPr>
    </w:p>
    <w:p>
      <w:pPr>
        <w:widowControl/>
        <w:jc w:val="left"/>
        <w:rPr>
          <w:rFonts w:asciiTheme="minorEastAsia" w:hAnsiTheme="minorEastAsia" w:eastAsiaTheme="minorEastAsia" w:cstheme="minorEastAsia"/>
          <w:b/>
          <w:bCs/>
          <w:sz w:val="28"/>
          <w:szCs w:val="28"/>
        </w:rPr>
      </w:pPr>
    </w:p>
    <w:p>
      <w:pPr>
        <w:pStyle w:val="32"/>
        <w:jc w:val="center"/>
        <w:outlineLvl w:val="2"/>
        <w:rPr>
          <w:rFonts w:hint="eastAsia" w:asciiTheme="minorEastAsia" w:hAnsiTheme="minorEastAsia" w:eastAsiaTheme="minorEastAsia" w:cstheme="minorEastAsia"/>
          <w:sz w:val="28"/>
          <w:szCs w:val="28"/>
        </w:rPr>
      </w:pPr>
    </w:p>
    <w:p>
      <w:pPr>
        <w:pStyle w:val="32"/>
        <w:jc w:val="center"/>
        <w:outlineLvl w:val="2"/>
        <w:rPr>
          <w:rFonts w:hint="eastAsia" w:asciiTheme="minorEastAsia" w:hAnsiTheme="minorEastAsia" w:eastAsiaTheme="minorEastAsia" w:cstheme="minorEastAsia"/>
          <w:sz w:val="28"/>
          <w:szCs w:val="28"/>
        </w:rPr>
      </w:pPr>
    </w:p>
    <w:p>
      <w:pPr>
        <w:pStyle w:val="2"/>
        <w:spacing w:before="24" w:after="24"/>
        <w:ind w:left="1"/>
        <w:jc w:val="center"/>
        <w:rPr>
          <w:rFonts w:asciiTheme="minorEastAsia" w:hAnsiTheme="minorEastAsia" w:eastAsiaTheme="minorEastAsia" w:cstheme="minorEastAsia"/>
          <w:sz w:val="28"/>
          <w:szCs w:val="28"/>
        </w:rPr>
      </w:pPr>
      <w:bookmarkStart w:id="205" w:name="_Toc493877637"/>
      <w:r>
        <w:rPr>
          <w:rFonts w:hint="eastAsia" w:asciiTheme="minorEastAsia" w:hAnsiTheme="minorEastAsia" w:eastAsiaTheme="minorEastAsia" w:cstheme="minorEastAsia"/>
          <w:sz w:val="28"/>
          <w:szCs w:val="28"/>
        </w:rPr>
        <w:t>★分项报价表</w:t>
      </w:r>
      <w:bookmarkEnd w:id="205"/>
    </w:p>
    <w:p>
      <w:pPr>
        <w:widowControl/>
        <w:ind w:firstLine="241"/>
        <w:jc w:val="center"/>
        <w:rPr>
          <w:rFonts w:asciiTheme="minorEastAsia" w:hAnsiTheme="minorEastAsia" w:eastAsiaTheme="minorEastAsia" w:cstheme="minorEastAsia"/>
          <w:b/>
          <w:bCs/>
          <w:sz w:val="28"/>
          <w:szCs w:val="28"/>
        </w:rPr>
      </w:pPr>
    </w:p>
    <w:p>
      <w:pPr>
        <w:tabs>
          <w:tab w:val="left" w:pos="9135"/>
        </w:tabs>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供应商名称(公章)：　　           　　　　　　　　</w:t>
      </w:r>
    </w:p>
    <w:p>
      <w:pPr>
        <w:tabs>
          <w:tab w:val="left" w:pos="9135"/>
        </w:tabs>
        <w:rPr>
          <w:rFonts w:asciiTheme="minorEastAsia" w:hAnsiTheme="minorEastAsia" w:eastAsiaTheme="minorEastAsia" w:cstheme="minorEastAsia"/>
          <w:sz w:val="28"/>
          <w:szCs w:val="28"/>
        </w:rPr>
      </w:pPr>
    </w:p>
    <w:p>
      <w:pPr>
        <w:tabs>
          <w:tab w:val="left" w:pos="9135"/>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p>
    <w:p>
      <w:pPr>
        <w:tabs>
          <w:tab w:val="left" w:pos="9135"/>
        </w:tabs>
        <w:rPr>
          <w:rFonts w:asciiTheme="minorEastAsia" w:hAnsiTheme="minorEastAsia" w:eastAsiaTheme="minorEastAsia" w:cstheme="minorEastAsia"/>
          <w:sz w:val="28"/>
          <w:szCs w:val="28"/>
          <w:u w:val="single"/>
        </w:rPr>
      </w:pPr>
    </w:p>
    <w:tbl>
      <w:tblPr>
        <w:tblStyle w:val="18"/>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330"/>
        <w:gridCol w:w="1560"/>
        <w:gridCol w:w="15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33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单价（元）</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33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33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1" w:type="dxa"/>
            <w:gridSpan w:val="4"/>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  计（元）</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rPr>
            </w:pPr>
          </w:p>
        </w:tc>
      </w:tr>
    </w:tbl>
    <w:p>
      <w:pPr>
        <w:tabs>
          <w:tab w:val="left" w:pos="9135"/>
        </w:tabs>
        <w:rPr>
          <w:rFonts w:asciiTheme="minorEastAsia" w:hAnsiTheme="minorEastAsia" w:eastAsiaTheme="minorEastAsia" w:cstheme="minorEastAsia"/>
          <w:sz w:val="28"/>
          <w:szCs w:val="28"/>
          <w:u w:val="single"/>
        </w:rPr>
      </w:pPr>
    </w:p>
    <w:p>
      <w:pPr>
        <w:wordWrap w:val="0"/>
        <w:spacing w:after="120" w:afterLines="50"/>
        <w:ind w:firstLine="240"/>
        <w:jc w:val="right"/>
        <w:rPr>
          <w:rFonts w:asciiTheme="minorEastAsia" w:hAnsiTheme="minorEastAsia" w:eastAsiaTheme="minorEastAsia" w:cstheme="minorEastAsia"/>
          <w:sz w:val="28"/>
          <w:szCs w:val="28"/>
        </w:rPr>
      </w:pP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widowControl/>
        <w:jc w:val="left"/>
        <w:rPr>
          <w:rFonts w:asciiTheme="minorEastAsia" w:hAnsiTheme="minorEastAsia" w:eastAsiaTheme="minorEastAsia" w:cstheme="minorEastAsia"/>
          <w:b/>
          <w:bCs/>
          <w:sz w:val="28"/>
          <w:szCs w:val="28"/>
        </w:rPr>
      </w:pPr>
    </w:p>
    <w:p>
      <w:pPr>
        <w:pStyle w:val="2"/>
        <w:spacing w:before="24" w:after="24"/>
        <w:ind w:left="-344" w:leftChars="-1295" w:hanging="2375" w:hangingChars="845"/>
        <w:jc w:val="cente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32"/>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★法定代表人身份证明书及授权委托书</w:t>
      </w:r>
      <w:bookmarkEnd w:id="201"/>
      <w:bookmarkEnd w:id="202"/>
      <w:bookmarkEnd w:id="203"/>
    </w:p>
    <w:p>
      <w:pPr>
        <w:pStyle w:val="33"/>
        <w:outlineLvl w:val="9"/>
        <w:rPr>
          <w:rFonts w:asciiTheme="minorEastAsia" w:hAnsiTheme="minorEastAsia" w:eastAsiaTheme="minorEastAsia" w:cstheme="minorEastAsia"/>
          <w:b w:val="0"/>
          <w:sz w:val="28"/>
          <w:szCs w:val="28"/>
        </w:rPr>
      </w:pPr>
      <w:bookmarkStart w:id="206" w:name="_Toc480368595"/>
      <w:bookmarkStart w:id="207" w:name="_Toc480371721"/>
      <w:bookmarkStart w:id="208" w:name="_Toc480368424"/>
      <w:bookmarkStart w:id="209" w:name="_Toc480368653"/>
    </w:p>
    <w:p>
      <w:pPr>
        <w:pStyle w:val="33"/>
        <w:outlineLvl w:val="9"/>
        <w:rPr>
          <w:rFonts w:asciiTheme="minorEastAsia" w:hAnsiTheme="minorEastAsia" w:eastAsiaTheme="minorEastAsia" w:cstheme="minorEastAsia"/>
          <w:b w:val="0"/>
          <w:sz w:val="28"/>
          <w:szCs w:val="28"/>
        </w:rPr>
      </w:pPr>
      <w:bookmarkStart w:id="210" w:name="_Toc1318_WPSOffice_Level1"/>
      <w:bookmarkStart w:id="211" w:name="_Toc18836"/>
      <w:bookmarkStart w:id="212" w:name="_Toc23900"/>
      <w:bookmarkStart w:id="213" w:name="_Toc3704_WPSOffice_Level1"/>
      <w:r>
        <w:rPr>
          <w:rFonts w:hint="eastAsia" w:asciiTheme="minorEastAsia" w:hAnsiTheme="minorEastAsia" w:eastAsiaTheme="minorEastAsia" w:cstheme="minorEastAsia"/>
          <w:b w:val="0"/>
          <w:sz w:val="28"/>
          <w:szCs w:val="28"/>
        </w:rPr>
        <w:t>法定代表人身份证明</w:t>
      </w:r>
      <w:bookmarkEnd w:id="206"/>
      <w:bookmarkEnd w:id="207"/>
      <w:bookmarkEnd w:id="208"/>
      <w:bookmarkEnd w:id="209"/>
      <w:r>
        <w:rPr>
          <w:rFonts w:hint="eastAsia" w:asciiTheme="minorEastAsia" w:hAnsiTheme="minorEastAsia" w:eastAsiaTheme="minorEastAsia" w:cstheme="minorEastAsia"/>
          <w:b w:val="0"/>
          <w:sz w:val="28"/>
          <w:szCs w:val="28"/>
        </w:rPr>
        <w:t>书</w:t>
      </w:r>
      <w:bookmarkEnd w:id="210"/>
      <w:bookmarkEnd w:id="211"/>
      <w:bookmarkEnd w:id="212"/>
      <w:bookmarkEnd w:id="213"/>
    </w:p>
    <w:p>
      <w:pPr>
        <w:pStyle w:val="34"/>
        <w:adjustRightInd w:val="0"/>
        <w:snapToGrid w:val="0"/>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u w:val="single"/>
        </w:rPr>
        <w:t>（采购单位名称）</w:t>
      </w:r>
      <w:r>
        <w:rPr>
          <w:rFonts w:hint="eastAsia" w:asciiTheme="minorEastAsia" w:hAnsiTheme="minorEastAsia" w:eastAsiaTheme="minorEastAsia" w:cstheme="minorEastAsia"/>
          <w:szCs w:val="28"/>
        </w:rPr>
        <w:t>：</w:t>
      </w:r>
    </w:p>
    <w:p>
      <w:pPr>
        <w:pStyle w:val="34"/>
        <w:adjustRightInd w:val="0"/>
        <w:snapToGrid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兹有同志为公司法定代表人，代表我公司办理一切社会公务事宜，具有法律效力。 </w:t>
      </w:r>
    </w:p>
    <w:p>
      <w:pPr>
        <w:pStyle w:val="34"/>
        <w:adjustRightInd w:val="0"/>
        <w:snapToGrid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附法定代表人基本情况： </w:t>
      </w:r>
    </w:p>
    <w:p>
      <w:pPr>
        <w:pStyle w:val="34"/>
        <w:adjustRightInd w:val="0"/>
        <w:snapToGrid w:val="0"/>
        <w:spacing w:line="360" w:lineRule="auto"/>
        <w:ind w:firstLine="560" w:firstLineChars="200"/>
        <w:rPr>
          <w:rFonts w:asciiTheme="minorEastAsia" w:hAnsiTheme="minorEastAsia" w:eastAsiaTheme="minorEastAsia" w:cstheme="minorEastAsia"/>
          <w:szCs w:val="28"/>
          <w:u w:val="single"/>
        </w:rPr>
      </w:pPr>
      <w:r>
        <w:rPr>
          <w:rFonts w:hint="eastAsia" w:asciiTheme="minorEastAsia" w:hAnsiTheme="minorEastAsia" w:eastAsiaTheme="minorEastAsia" w:cstheme="minorEastAsia"/>
          <w:szCs w:val="28"/>
        </w:rPr>
        <w:t>姓名：性别：年龄：职务：</w:t>
      </w:r>
    </w:p>
    <w:p>
      <w:pPr>
        <w:pStyle w:val="34"/>
        <w:adjustRightInd w:val="0"/>
        <w:snapToGrid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身份证号码：</w:t>
      </w:r>
    </w:p>
    <w:p>
      <w:pPr>
        <w:pStyle w:val="34"/>
        <w:adjustRightInd w:val="0"/>
        <w:snapToGrid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通讯地址：</w:t>
      </w:r>
    </w:p>
    <w:p>
      <w:pPr>
        <w:pStyle w:val="34"/>
        <w:adjustRightInd w:val="0"/>
        <w:snapToGrid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电话号码：邮政编码：</w:t>
      </w:r>
    </w:p>
    <w:p>
      <w:pPr>
        <w:pStyle w:val="34"/>
        <w:adjustRightInd w:val="0"/>
        <w:snapToGrid w:val="0"/>
        <w:spacing w:line="500" w:lineRule="exact"/>
        <w:rPr>
          <w:rFonts w:asciiTheme="minorEastAsia" w:hAnsiTheme="minorEastAsia" w:eastAsiaTheme="minorEastAsia" w:cstheme="minorEastAsia"/>
          <w:szCs w:val="28"/>
        </w:rPr>
      </w:pPr>
    </w:p>
    <w:tbl>
      <w:tblPr>
        <w:tblStyle w:val="18"/>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tcPr>
          <w:p>
            <w:pPr>
              <w:pStyle w:val="34"/>
              <w:adjustRightInd w:val="0"/>
              <w:snapToGrid w:val="0"/>
              <w:spacing w:line="500" w:lineRule="exact"/>
              <w:jc w:val="center"/>
              <w:rPr>
                <w:rFonts w:asciiTheme="minorEastAsia" w:hAnsiTheme="minorEastAsia" w:eastAsiaTheme="minorEastAsia" w:cstheme="minorEastAsia"/>
                <w:szCs w:val="28"/>
              </w:rPr>
            </w:pPr>
          </w:p>
          <w:p>
            <w:pPr>
              <w:pStyle w:val="34"/>
              <w:adjustRightInd w:val="0"/>
              <w:snapToGrid w:val="0"/>
              <w:spacing w:line="500" w:lineRule="exact"/>
              <w:jc w:val="center"/>
              <w:rPr>
                <w:rFonts w:asciiTheme="minorEastAsia" w:hAnsiTheme="minorEastAsia" w:eastAsiaTheme="minorEastAsia" w:cstheme="minorEastAsia"/>
                <w:szCs w:val="28"/>
              </w:rPr>
            </w:pPr>
          </w:p>
          <w:p>
            <w:pPr>
              <w:pStyle w:val="34"/>
              <w:adjustRightInd w:val="0"/>
              <w:snapToGrid w:val="0"/>
              <w:spacing w:line="500" w:lineRule="exact"/>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法定代表人身份证复印件正反面</w:t>
            </w:r>
          </w:p>
        </w:tc>
      </w:tr>
    </w:tbl>
    <w:p>
      <w:pPr>
        <w:pStyle w:val="34"/>
        <w:adjustRightInd w:val="0"/>
        <w:snapToGrid w:val="0"/>
        <w:spacing w:line="500" w:lineRule="exact"/>
        <w:rPr>
          <w:rFonts w:asciiTheme="minorEastAsia" w:hAnsiTheme="minorEastAsia" w:eastAsiaTheme="minorEastAsia" w:cstheme="minorEastAsia"/>
          <w:szCs w:val="28"/>
        </w:rPr>
      </w:pPr>
    </w:p>
    <w:p>
      <w:pPr>
        <w:pStyle w:val="34"/>
        <w:tabs>
          <w:tab w:val="left" w:pos="750"/>
        </w:tabs>
        <w:adjustRightInd w:val="0"/>
        <w:snapToGrid w:val="0"/>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ab/>
      </w:r>
      <w:r>
        <w:rPr>
          <w:rFonts w:hint="eastAsia" w:asciiTheme="minorEastAsia" w:hAnsiTheme="minorEastAsia" w:eastAsiaTheme="minorEastAsia" w:cstheme="minorEastAsia"/>
          <w:szCs w:val="28"/>
        </w:rPr>
        <w:t>供应商名称：（盖章）</w:t>
      </w:r>
    </w:p>
    <w:p>
      <w:pPr>
        <w:pStyle w:val="34"/>
        <w:tabs>
          <w:tab w:val="left" w:pos="750"/>
        </w:tabs>
        <w:adjustRightInd w:val="0"/>
        <w:snapToGrid w:val="0"/>
        <w:spacing w:line="500" w:lineRule="exact"/>
        <w:ind w:firstLine="840" w:firstLineChars="3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法定代表人：（签字或盖章）</w:t>
      </w:r>
    </w:p>
    <w:p>
      <w:pPr>
        <w:pStyle w:val="34"/>
        <w:tabs>
          <w:tab w:val="left" w:pos="750"/>
        </w:tabs>
        <w:adjustRightInd w:val="0"/>
        <w:snapToGrid w:val="0"/>
        <w:spacing w:line="500" w:lineRule="exact"/>
        <w:rPr>
          <w:rFonts w:asciiTheme="minorEastAsia" w:hAnsiTheme="minorEastAsia" w:eastAsiaTheme="minorEastAsia" w:cstheme="minorEastAsia"/>
          <w:szCs w:val="28"/>
        </w:rPr>
      </w:pPr>
    </w:p>
    <w:p>
      <w:pPr>
        <w:pStyle w:val="34"/>
        <w:tabs>
          <w:tab w:val="left" w:pos="750"/>
        </w:tabs>
        <w:adjustRightInd w:val="0"/>
        <w:snapToGrid w:val="0"/>
        <w:spacing w:line="500" w:lineRule="exact"/>
        <w:ind w:firstLine="840" w:firstLineChars="3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日期：年 月 日</w:t>
      </w:r>
    </w:p>
    <w:p>
      <w:pPr>
        <w:pStyle w:val="33"/>
        <w:outlineLvl w:val="9"/>
        <w:rPr>
          <w:rFonts w:asciiTheme="minorEastAsia" w:hAnsiTheme="minorEastAsia" w:eastAsiaTheme="minorEastAsia" w:cstheme="minorEastAsia"/>
          <w:b w:val="0"/>
          <w:sz w:val="28"/>
          <w:szCs w:val="28"/>
        </w:rPr>
      </w:pPr>
      <w:bookmarkStart w:id="214" w:name="_Toc480368596"/>
      <w:bookmarkStart w:id="215" w:name="_Toc468535483"/>
      <w:bookmarkStart w:id="216" w:name="_Toc480368425"/>
      <w:bookmarkStart w:id="217" w:name="_Toc480371722"/>
      <w:bookmarkStart w:id="218" w:name="_Toc480368654"/>
    </w:p>
    <w:p>
      <w:pPr>
        <w:pStyle w:val="33"/>
        <w:outlineLvl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val="0"/>
          <w:sz w:val="28"/>
          <w:szCs w:val="28"/>
        </w:rPr>
        <w:br w:type="page"/>
      </w:r>
      <w:bookmarkStart w:id="219" w:name="_Toc613"/>
      <w:bookmarkStart w:id="220" w:name="_Toc1879"/>
      <w:bookmarkStart w:id="221" w:name="_Toc16327_WPSOffice_Level1"/>
      <w:bookmarkStart w:id="222" w:name="_Toc422_WPSOffice_Level1"/>
      <w:r>
        <w:rPr>
          <w:rFonts w:hint="eastAsia" w:asciiTheme="minorEastAsia" w:hAnsiTheme="minorEastAsia" w:eastAsiaTheme="minorEastAsia" w:cstheme="minorEastAsia"/>
          <w:b w:val="0"/>
          <w:sz w:val="28"/>
          <w:szCs w:val="28"/>
        </w:rPr>
        <w:t>法定代表人授权委托书</w:t>
      </w:r>
      <w:bookmarkEnd w:id="214"/>
      <w:bookmarkEnd w:id="215"/>
      <w:bookmarkEnd w:id="216"/>
      <w:bookmarkEnd w:id="217"/>
      <w:bookmarkEnd w:id="218"/>
      <w:bookmarkEnd w:id="219"/>
      <w:bookmarkEnd w:id="220"/>
      <w:bookmarkEnd w:id="221"/>
      <w:bookmarkEnd w:id="222"/>
    </w:p>
    <w:p>
      <w:pPr>
        <w:pStyle w:val="34"/>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u w:val="single"/>
        </w:rPr>
        <w:t>（采购单位名称）</w:t>
      </w:r>
      <w:r>
        <w:rPr>
          <w:rFonts w:hint="eastAsia" w:asciiTheme="minorEastAsia" w:hAnsiTheme="minorEastAsia" w:eastAsiaTheme="minorEastAsia" w:cstheme="minorEastAsia"/>
          <w:szCs w:val="28"/>
        </w:rPr>
        <w:t>：</w:t>
      </w:r>
    </w:p>
    <w:p>
      <w:pPr>
        <w:pStyle w:val="34"/>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兹授权同志为我公司参加贵单位组织的编号为</w:t>
      </w:r>
      <w:r>
        <w:rPr>
          <w:rFonts w:hint="eastAsia" w:asciiTheme="minorEastAsia" w:hAnsiTheme="minorEastAsia" w:eastAsiaTheme="minorEastAsia" w:cstheme="minorEastAsia"/>
          <w:szCs w:val="28"/>
          <w:u w:val="single"/>
        </w:rPr>
        <w:t>（项目编号）</w:t>
      </w:r>
      <w:r>
        <w:rPr>
          <w:rFonts w:hint="eastAsia" w:asciiTheme="minorEastAsia" w:hAnsiTheme="minorEastAsia" w:eastAsiaTheme="minorEastAsia" w:cstheme="minorEastAsia"/>
          <w:szCs w:val="28"/>
        </w:rPr>
        <w:t>的</w:t>
      </w:r>
      <w:r>
        <w:rPr>
          <w:rFonts w:hint="eastAsia" w:asciiTheme="minorEastAsia" w:hAnsiTheme="minorEastAsia" w:eastAsiaTheme="minorEastAsia" w:cstheme="minorEastAsia"/>
          <w:szCs w:val="28"/>
          <w:u w:val="single"/>
        </w:rPr>
        <w:t>（项目名称）</w:t>
      </w:r>
      <w:r>
        <w:rPr>
          <w:rFonts w:hint="eastAsia" w:asciiTheme="minorEastAsia" w:hAnsiTheme="minorEastAsia" w:eastAsiaTheme="minorEastAsia" w:cstheme="minorEastAsia"/>
          <w:szCs w:val="28"/>
        </w:rPr>
        <w:t>采购活动的委托代理人，全权代表我公司处理在该项目采购活动中的一切事宜。</w:t>
      </w:r>
    </w:p>
    <w:p>
      <w:pPr>
        <w:pStyle w:val="34"/>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代理期限：。 </w:t>
      </w:r>
    </w:p>
    <w:p>
      <w:pPr>
        <w:pStyle w:val="34"/>
        <w:spacing w:line="500" w:lineRule="exact"/>
        <w:rPr>
          <w:rFonts w:asciiTheme="minorEastAsia" w:hAnsiTheme="minorEastAsia" w:eastAsiaTheme="minorEastAsia" w:cstheme="minorEastAsia"/>
          <w:szCs w:val="28"/>
        </w:rPr>
      </w:pPr>
    </w:p>
    <w:p>
      <w:pPr>
        <w:pStyle w:val="34"/>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代理人工作单位：</w:t>
      </w:r>
    </w:p>
    <w:p>
      <w:pPr>
        <w:pStyle w:val="34"/>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职务：    性别：</w:t>
      </w:r>
    </w:p>
    <w:p>
      <w:pPr>
        <w:pStyle w:val="34"/>
        <w:adjustRightInd w:val="0"/>
        <w:snapToGrid w:val="0"/>
        <w:spacing w:line="500" w:lineRule="exact"/>
        <w:rPr>
          <w:rFonts w:asciiTheme="minorEastAsia" w:hAnsiTheme="minorEastAsia" w:eastAsiaTheme="minorEastAsia" w:cstheme="minorEastAsia"/>
          <w:szCs w:val="28"/>
          <w:u w:val="single"/>
        </w:rPr>
      </w:pPr>
      <w:r>
        <w:rPr>
          <w:rFonts w:hint="eastAsia" w:asciiTheme="minorEastAsia" w:hAnsiTheme="minorEastAsia" w:eastAsiaTheme="minorEastAsia" w:cstheme="minorEastAsia"/>
          <w:szCs w:val="28"/>
        </w:rPr>
        <w:t>身份证号码：</w:t>
      </w:r>
    </w:p>
    <w:p>
      <w:pPr>
        <w:pStyle w:val="34"/>
        <w:adjustRightInd w:val="0"/>
        <w:snapToGrid w:val="0"/>
        <w:spacing w:line="500" w:lineRule="exact"/>
        <w:ind w:left="-88" w:leftChars="-42" w:firstLine="700" w:firstLineChars="250"/>
        <w:rPr>
          <w:rFonts w:asciiTheme="minorEastAsia" w:hAnsiTheme="minorEastAsia" w:eastAsiaTheme="minorEastAsia" w:cstheme="minorEastAsia"/>
          <w:szCs w:val="28"/>
          <w:u w:val="single"/>
        </w:rPr>
      </w:pPr>
    </w:p>
    <w:tbl>
      <w:tblPr>
        <w:tblStyle w:val="18"/>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tcPr>
          <w:p>
            <w:pPr>
              <w:pStyle w:val="34"/>
              <w:spacing w:line="500" w:lineRule="exact"/>
              <w:rPr>
                <w:rFonts w:asciiTheme="minorEastAsia" w:hAnsiTheme="minorEastAsia" w:eastAsiaTheme="minorEastAsia" w:cstheme="minorEastAsia"/>
                <w:szCs w:val="28"/>
              </w:rPr>
            </w:pPr>
          </w:p>
          <w:p>
            <w:pPr>
              <w:pStyle w:val="34"/>
              <w:spacing w:line="500" w:lineRule="exact"/>
              <w:rPr>
                <w:rFonts w:asciiTheme="minorEastAsia" w:hAnsiTheme="minorEastAsia" w:eastAsiaTheme="minorEastAsia" w:cstheme="minorEastAsia"/>
                <w:szCs w:val="28"/>
              </w:rPr>
            </w:pPr>
          </w:p>
          <w:p>
            <w:pPr>
              <w:pStyle w:val="34"/>
              <w:spacing w:line="500" w:lineRule="exact"/>
              <w:rPr>
                <w:rFonts w:asciiTheme="minorEastAsia" w:hAnsiTheme="minorEastAsia" w:eastAsiaTheme="minorEastAsia" w:cstheme="minorEastAsia"/>
                <w:szCs w:val="28"/>
              </w:rPr>
            </w:pPr>
          </w:p>
          <w:p>
            <w:pPr>
              <w:pStyle w:val="34"/>
              <w:spacing w:line="500" w:lineRule="exact"/>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法定代表人及被授权人身份证正反面</w:t>
            </w:r>
          </w:p>
        </w:tc>
      </w:tr>
    </w:tbl>
    <w:p>
      <w:pPr>
        <w:pStyle w:val="35"/>
        <w:tabs>
          <w:tab w:val="left" w:pos="8786"/>
        </w:tabs>
        <w:spacing w:after="0" w:line="360" w:lineRule="auto"/>
        <w:rPr>
          <w:rFonts w:asciiTheme="minorEastAsia" w:hAnsiTheme="minorEastAsia" w:eastAsiaTheme="minorEastAsia" w:cstheme="minorEastAsia"/>
          <w:b/>
          <w:sz w:val="28"/>
          <w:szCs w:val="28"/>
        </w:rPr>
      </w:pPr>
    </w:p>
    <w:p>
      <w:pPr>
        <w:pStyle w:val="35"/>
        <w:tabs>
          <w:tab w:val="left" w:pos="8786"/>
        </w:tabs>
        <w:spacing w:after="0" w:line="360" w:lineRule="auto"/>
        <w:rPr>
          <w:rFonts w:asciiTheme="minorEastAsia" w:hAnsiTheme="minorEastAsia" w:eastAsiaTheme="minorEastAsia" w:cstheme="minorEastAsia"/>
          <w:b/>
          <w:sz w:val="28"/>
          <w:szCs w:val="28"/>
        </w:rPr>
      </w:pPr>
    </w:p>
    <w:p>
      <w:pPr>
        <w:pStyle w:val="34"/>
        <w:tabs>
          <w:tab w:val="left" w:pos="750"/>
        </w:tabs>
        <w:adjustRightInd w:val="0"/>
        <w:snapToGrid w:val="0"/>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供应商名称：（盖章）</w:t>
      </w:r>
    </w:p>
    <w:p>
      <w:pPr>
        <w:pStyle w:val="34"/>
        <w:tabs>
          <w:tab w:val="left" w:pos="750"/>
        </w:tabs>
        <w:adjustRightInd w:val="0"/>
        <w:snapToGrid w:val="0"/>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法定代表人 ：（签字或盖章）</w:t>
      </w:r>
    </w:p>
    <w:p>
      <w:pPr>
        <w:pStyle w:val="34"/>
        <w:tabs>
          <w:tab w:val="left" w:pos="750"/>
        </w:tabs>
        <w:adjustRightInd w:val="0"/>
        <w:snapToGrid w:val="0"/>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委托代理人：（签字）</w:t>
      </w:r>
    </w:p>
    <w:p>
      <w:pPr>
        <w:pStyle w:val="34"/>
        <w:tabs>
          <w:tab w:val="left" w:pos="750"/>
        </w:tabs>
        <w:adjustRightInd w:val="0"/>
        <w:snapToGrid w:val="0"/>
        <w:spacing w:line="500" w:lineRule="exact"/>
        <w:rPr>
          <w:rFonts w:asciiTheme="minorEastAsia" w:hAnsiTheme="minorEastAsia" w:eastAsiaTheme="minorEastAsia" w:cstheme="minorEastAsia"/>
          <w:szCs w:val="28"/>
        </w:rPr>
      </w:pPr>
    </w:p>
    <w:p>
      <w:pPr>
        <w:pStyle w:val="34"/>
        <w:spacing w:line="500" w:lineRule="exac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日期：年月日</w:t>
      </w:r>
    </w:p>
    <w:p>
      <w:pPr>
        <w:pStyle w:val="2"/>
        <w:ind w:left="-685" w:leftChars="-326" w:firstLine="795" w:firstLineChars="28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bookmarkEnd w:id="204"/>
    <w:p>
      <w:pPr>
        <w:pStyle w:val="37"/>
        <w:spacing w:line="360" w:lineRule="auto"/>
        <w:ind w:right="-97"/>
        <w:jc w:val="center"/>
        <w:rPr>
          <w:rFonts w:asciiTheme="minorEastAsia" w:hAnsiTheme="minorEastAsia" w:eastAsiaTheme="minorEastAsia" w:cstheme="minorEastAsia"/>
          <w:b/>
          <w:sz w:val="28"/>
          <w:szCs w:val="28"/>
        </w:rPr>
      </w:pPr>
      <w:bookmarkStart w:id="223" w:name="_Toc493877638"/>
      <w:r>
        <w:rPr>
          <w:rFonts w:hint="eastAsia" w:asciiTheme="minorEastAsia" w:hAnsiTheme="minorEastAsia" w:eastAsiaTheme="minorEastAsia" w:cstheme="minorEastAsia"/>
          <w:b/>
          <w:sz w:val="28"/>
          <w:szCs w:val="28"/>
        </w:rPr>
        <w:t>中小企业声明函（如有）</w:t>
      </w:r>
    </w:p>
    <w:p>
      <w:pPr>
        <w:pStyle w:val="38"/>
        <w:spacing w:line="360" w:lineRule="auto"/>
        <w:ind w:left="0" w:leftChars="0" w:firstLine="0" w:firstLineChars="0"/>
        <w:rPr>
          <w:rFonts w:asciiTheme="minorEastAsia" w:hAnsiTheme="minorEastAsia" w:eastAsiaTheme="minorEastAsia" w:cstheme="minorEastAsia"/>
          <w:spacing w:val="6"/>
          <w:kern w:val="2"/>
          <w:sz w:val="28"/>
          <w:szCs w:val="28"/>
        </w:rPr>
      </w:pPr>
      <w:r>
        <w:rPr>
          <w:rFonts w:hint="eastAsia" w:ascii="宋体" w:hAnsi="宋体" w:cs="宋体"/>
        </w:rPr>
        <w:t>致</w:t>
      </w:r>
      <w:r>
        <w:rPr>
          <w:rFonts w:hint="eastAsia" w:asciiTheme="minorEastAsia" w:hAnsiTheme="minorEastAsia" w:eastAsiaTheme="minorEastAsia" w:cstheme="minorEastAsia"/>
          <w:spacing w:val="6"/>
          <w:kern w:val="2"/>
          <w:sz w:val="28"/>
          <w:szCs w:val="28"/>
        </w:rPr>
        <w:t>博尔塔拉蒙古自治州林业和草原局：</w:t>
      </w:r>
    </w:p>
    <w:p>
      <w:pPr>
        <w:pStyle w:val="37"/>
        <w:spacing w:line="360" w:lineRule="auto"/>
        <w:ind w:firstLine="584" w:firstLineChars="200"/>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本公司郑重声明，根据《政府采购促进中小企业发展暂行办法》（财库〔2020〕46号）的规定，本公司为______（请填写：中型、小型、微型）企业。即本公司同时满足以下条件：</w:t>
      </w:r>
    </w:p>
    <w:p>
      <w:pPr>
        <w:pStyle w:val="37"/>
        <w:spacing w:line="360" w:lineRule="auto"/>
        <w:ind w:firstLine="584" w:firstLineChars="200"/>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1.根据《工业和信息化部、国家统计局、国家发展和改革委员会、财政部关于印发中小企业划型标准规定的通知》（工信部联企业[2011]300号）规定的划分标准，本公司为______（请填写：中型、小型、微型）企业。</w:t>
      </w:r>
    </w:p>
    <w:p>
      <w:pPr>
        <w:pStyle w:val="37"/>
        <w:spacing w:line="360" w:lineRule="auto"/>
        <w:ind w:firstLine="584" w:firstLineChars="200"/>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37"/>
        <w:spacing w:line="360" w:lineRule="auto"/>
        <w:ind w:firstLine="584" w:firstLineChars="200"/>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3.本公司对上述声明的真实性负责。如有虚假，将依法承担相应责任。</w:t>
      </w:r>
    </w:p>
    <w:p>
      <w:pPr>
        <w:pStyle w:val="37"/>
        <w:spacing w:line="360" w:lineRule="auto"/>
        <w:ind w:firstLine="5880" w:firstLineChars="2100"/>
        <w:rPr>
          <w:rFonts w:asciiTheme="minorEastAsia" w:hAnsiTheme="minorEastAsia" w:eastAsiaTheme="minorEastAsia" w:cstheme="minorEastAsia"/>
          <w:sz w:val="28"/>
          <w:szCs w:val="28"/>
        </w:rPr>
      </w:pPr>
    </w:p>
    <w:p>
      <w:pPr>
        <w:pStyle w:val="37"/>
        <w:spacing w:line="360" w:lineRule="auto"/>
        <w:ind w:firstLine="3360" w:firstLineChars="1200"/>
        <w:rPr>
          <w:rFonts w:asciiTheme="minorEastAsia" w:hAnsiTheme="minorEastAsia" w:eastAsiaTheme="minorEastAsia" w:cstheme="minorEastAsia"/>
          <w:sz w:val="28"/>
          <w:szCs w:val="28"/>
        </w:rPr>
      </w:pPr>
    </w:p>
    <w:p>
      <w:pPr>
        <w:pStyle w:val="37"/>
        <w:spacing w:line="360" w:lineRule="auto"/>
        <w:ind w:firstLine="3360" w:firstLineChars="1200"/>
        <w:rPr>
          <w:rFonts w:asciiTheme="minorEastAsia" w:hAnsiTheme="minorEastAsia" w:eastAsiaTheme="minorEastAsia" w:cstheme="minorEastAsia"/>
          <w:sz w:val="28"/>
          <w:szCs w:val="28"/>
        </w:rPr>
      </w:pPr>
    </w:p>
    <w:p>
      <w:pPr>
        <w:pStyle w:val="37"/>
        <w:spacing w:line="360" w:lineRule="auto"/>
        <w:ind w:firstLine="4760" w:firstLineChars="17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供应商名称（加盖公章）：</w:t>
      </w:r>
    </w:p>
    <w:p>
      <w:pPr>
        <w:pStyle w:val="37"/>
        <w:spacing w:line="360" w:lineRule="auto"/>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spacing w:line="360" w:lineRule="atLeas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spacing w:line="460" w:lineRule="exact"/>
        <w:ind w:firstLine="643"/>
        <w:jc w:val="center"/>
        <w:rPr>
          <w:rFonts w:asciiTheme="minorEastAsia" w:hAnsiTheme="minorEastAsia" w:eastAsiaTheme="minorEastAsia" w:cstheme="minorEastAsia"/>
          <w:b/>
          <w:sz w:val="28"/>
          <w:szCs w:val="28"/>
        </w:rPr>
      </w:pPr>
      <w:bookmarkStart w:id="224" w:name="_Toc13738_WPSOffice_Level1"/>
      <w:bookmarkStart w:id="225" w:name="_Toc14255_WPSOffice_Level1"/>
      <w:r>
        <w:rPr>
          <w:rFonts w:hint="eastAsia" w:asciiTheme="minorEastAsia" w:hAnsiTheme="minorEastAsia" w:eastAsiaTheme="minorEastAsia" w:cstheme="minorEastAsia"/>
          <w:b/>
          <w:sz w:val="28"/>
          <w:szCs w:val="28"/>
        </w:rPr>
        <w:t>残疾人福利性单位声明函（如有）</w:t>
      </w:r>
      <w:bookmarkEnd w:id="224"/>
      <w:bookmarkEnd w:id="225"/>
    </w:p>
    <w:p>
      <w:pPr>
        <w:spacing w:line="588" w:lineRule="exact"/>
        <w:ind w:firstLine="624"/>
        <w:rPr>
          <w:rFonts w:asciiTheme="minorEastAsia" w:hAnsiTheme="minorEastAsia" w:eastAsiaTheme="minorEastAsia" w:cstheme="minorEastAsia"/>
          <w:spacing w:val="6"/>
          <w:sz w:val="28"/>
          <w:szCs w:val="28"/>
        </w:rPr>
      </w:pP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本单位在本次政府采购活动中提供的残疾人福利单位产品报价合计为人民币（大写）圆整（￥：     ）。</w:t>
      </w: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本单位对上述声明的真实性负责。如有虚假，将依法承担相应责任。</w:t>
      </w:r>
    </w:p>
    <w:p>
      <w:pPr>
        <w:spacing w:line="588" w:lineRule="exact"/>
        <w:ind w:firstLine="480"/>
        <w:rPr>
          <w:rFonts w:asciiTheme="minorEastAsia" w:hAnsiTheme="minorEastAsia" w:eastAsiaTheme="minorEastAsia" w:cstheme="minorEastAsia"/>
          <w:sz w:val="28"/>
          <w:szCs w:val="28"/>
        </w:rPr>
      </w:pP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（备注：1、供应商如不提供此声明函，价格将不做相应扣除。2、成交供应商为残疾人福利单位的，此声明函将随成交结果同时公告，接受社会监督）</w:t>
      </w:r>
    </w:p>
    <w:p>
      <w:pPr>
        <w:spacing w:line="588" w:lineRule="exact"/>
        <w:ind w:firstLine="1195" w:firstLineChars="427"/>
        <w:rPr>
          <w:rFonts w:asciiTheme="minorEastAsia" w:hAnsiTheme="minorEastAsia" w:eastAsiaTheme="minorEastAsia" w:cstheme="minorEastAsia"/>
          <w:sz w:val="28"/>
          <w:szCs w:val="28"/>
        </w:rPr>
      </w:pPr>
    </w:p>
    <w:p>
      <w:pPr>
        <w:spacing w:line="588" w:lineRule="exact"/>
        <w:ind w:firstLine="1195" w:firstLineChars="427"/>
        <w:rPr>
          <w:rFonts w:asciiTheme="minorEastAsia" w:hAnsiTheme="minorEastAsia" w:eastAsiaTheme="minorEastAsia" w:cstheme="minorEastAsia"/>
          <w:sz w:val="28"/>
          <w:szCs w:val="28"/>
        </w:rPr>
      </w:pPr>
    </w:p>
    <w:p>
      <w:pPr>
        <w:spacing w:line="588" w:lineRule="exact"/>
        <w:ind w:firstLine="4272" w:firstLineChars="152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供应商名称(盖章)：</w:t>
      </w: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供应商授权代表（签字或盖章）：</w:t>
      </w:r>
    </w:p>
    <w:p>
      <w:pPr>
        <w:spacing w:line="588"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日期：    年   月   日</w:t>
      </w:r>
    </w:p>
    <w:p>
      <w:pPr>
        <w:tabs>
          <w:tab w:val="left" w:pos="4860"/>
        </w:tabs>
        <w:spacing w:line="588" w:lineRule="exact"/>
        <w:ind w:right="1560" w:firstLine="480"/>
        <w:jc w:val="center"/>
        <w:rPr>
          <w:rFonts w:asciiTheme="minorEastAsia" w:hAnsiTheme="minorEastAsia" w:eastAsiaTheme="minorEastAsia" w:cstheme="minorEastAsia"/>
          <w:sz w:val="28"/>
          <w:szCs w:val="28"/>
        </w:rPr>
      </w:pPr>
    </w:p>
    <w:p>
      <w:pPr>
        <w:pStyle w:val="39"/>
        <w:ind w:firstLine="562"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pStyle w:val="39"/>
        <w:ind w:firstLine="562"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监狱企业证明文件（如有）</w:t>
      </w:r>
    </w:p>
    <w:p>
      <w:pPr>
        <w:pStyle w:val="39"/>
        <w:spacing w:line="9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以省级以上监狱管理局、戒毒管理局（含新疆生产建设兵团）出具的属于监狱企业的证明文件为准。</w:t>
      </w: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tabs>
          <w:tab w:val="left" w:pos="6300"/>
        </w:tabs>
        <w:snapToGrid w:val="0"/>
        <w:spacing w:line="500" w:lineRule="exact"/>
        <w:jc w:val="center"/>
        <w:rPr>
          <w:rFonts w:ascii="宋体" w:hAnsi="宋体" w:cs="宋体"/>
          <w:b/>
          <w:sz w:val="24"/>
        </w:rPr>
      </w:pPr>
    </w:p>
    <w:p>
      <w:pPr>
        <w:spacing w:line="360" w:lineRule="atLeast"/>
        <w:rPr>
          <w:rFonts w:asciiTheme="minorEastAsia" w:hAnsiTheme="minorEastAsia" w:eastAsiaTheme="minorEastAsia" w:cstheme="minorEastAsia"/>
          <w:b/>
          <w:sz w:val="28"/>
          <w:szCs w:val="28"/>
        </w:rPr>
      </w:pPr>
    </w:p>
    <w:p>
      <w:pPr>
        <w:spacing w:line="360" w:lineRule="atLeas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投标人须能够独立承担民事责任能力和良好诚信的合法经营单位或证明</w:t>
      </w:r>
    </w:p>
    <w:p>
      <w:pPr>
        <w:spacing w:line="360" w:lineRule="atLeast"/>
        <w:ind w:firstLine="281" w:firstLineChars="1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参加本项目投标的企业必须在“信用中国”、中国政府采购网(www.ccgp.gov.cn)、网站 (www.creditchina.gov.cn) 网站中没有被列入失信被执行人、重大税收违法案件当事人名单、 政府采购不良行为记录名单、未被列入经营异常名录或严重违法失信企业黑名单截图。自公告发布之日起至响应文件递交截止时间止（该时间段内任一时间）。</w:t>
      </w:r>
    </w:p>
    <w:p>
      <w:pPr>
        <w:spacing w:line="360"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此处投标单位须附：上述网站查询截图，截图内容必须清晰可辨。</w:t>
      </w:r>
    </w:p>
    <w:p>
      <w:pPr>
        <w:spacing w:line="360"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(信用查询最终以开标当日评审现场信用查询的结果为准)</w:t>
      </w:r>
    </w:p>
    <w:p>
      <w:pPr>
        <w:spacing w:line="360" w:lineRule="atLeast"/>
        <w:rPr>
          <w:rFonts w:asciiTheme="minorEastAsia" w:hAnsiTheme="minorEastAsia" w:eastAsiaTheme="minorEastAsia" w:cstheme="minorEastAsia"/>
          <w:b/>
          <w:sz w:val="28"/>
          <w:szCs w:val="28"/>
        </w:rPr>
      </w:pPr>
    </w:p>
    <w:bookmarkEnd w:id="223"/>
    <w:p>
      <w:pPr>
        <w:pStyle w:val="2"/>
        <w:spacing w:before="24" w:after="24"/>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br w:type="page"/>
      </w:r>
    </w:p>
    <w:p>
      <w:pPr>
        <w:pStyle w:val="9"/>
        <w:rPr>
          <w:rFonts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类似业绩</w:t>
      </w:r>
    </w:p>
    <w:p>
      <w:pPr>
        <w:pStyle w:val="2"/>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p>
    <w:p>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投标人服务方案、工期承诺、售后服务方案等</w:t>
      </w:r>
    </w:p>
    <w:p>
      <w:pPr>
        <w:jc w:val="center"/>
        <w:rPr>
          <w:rFonts w:asciiTheme="minorEastAsia" w:hAnsiTheme="minorEastAsia" w:eastAsiaTheme="minorEastAsia" w:cstheme="minorEastAsia"/>
          <w:b/>
          <w:bCs/>
          <w:kern w:val="0"/>
          <w:sz w:val="28"/>
          <w:szCs w:val="28"/>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p>
    <w:p>
      <w:pPr>
        <w:pStyle w:val="5"/>
        <w:ind w:firstLine="0" w:firstLineChars="0"/>
        <w:jc w:val="center"/>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磋商文件规定及供应商认为需要提供的其他资料</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sectPr>
      <w:headerReference r:id="rId13" w:type="default"/>
      <w:footerReference r:id="rId14" w:type="default"/>
      <w:pgSz w:w="11907" w:h="16840"/>
      <w:pgMar w:top="1440" w:right="1077" w:bottom="1440" w:left="107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B0604020202020204"/>
    <w:charset w:val="00"/>
    <w:family w:val="roman"/>
    <w:pitch w:val="default"/>
    <w:sig w:usb0="00000000" w:usb1="00000000" w:usb2="00000016" w:usb3="00000000" w:csb0="00060007" w:csb1="00000000"/>
  </w:font>
  <w:font w:name="楷体_GB2312">
    <w:altName w:val="楷体"/>
    <w:panose1 w:val="020B0604020202020204"/>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ind w:right="360"/>
      <w:jc w:val="right"/>
      <w:rPr>
        <w:rFonts w:ascii="Calibri" w:hAnsi="Calibri"/>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Fonts w:ascii="Calibri" w:hAnsi="Calibri"/>
        <w:szCs w:val="21"/>
      </w:rPr>
    </w:pPr>
    <w:r>
      <w:rPr>
        <w:rFonts w:ascii="Calibri" w:hAnsi="Calibri"/>
        <w:szCs w:val="21"/>
      </w:rPr>
      <w:fldChar w:fldCharType="begin"/>
    </w:r>
    <w:r>
      <w:rPr>
        <w:rFonts w:ascii="Calibri" w:hAnsi="Calibri"/>
        <w:szCs w:val="21"/>
      </w:rPr>
      <w:instrText xml:space="preserve">PAGE  </w:instrText>
    </w:r>
    <w:r>
      <w:rPr>
        <w:rFonts w:ascii="Calibri" w:hAnsi="Calibri"/>
        <w:szCs w:val="21"/>
      </w:rPr>
      <w:fldChar w:fldCharType="end"/>
    </w:r>
  </w:p>
  <w:p>
    <w:pPr>
      <w:ind w:right="360"/>
      <w:rPr>
        <w:rFonts w:ascii="Calibri" w:hAnsi="Calibri"/>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ind w:right="360"/>
      <w:jc w:val="right"/>
      <w:rPr>
        <w:rFonts w:ascii="Calibri" w:hAnsi="Calibri"/>
        <w:sz w:val="24"/>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ind w:right="360"/>
      <w:jc w:val="right"/>
      <w:rPr>
        <w:rFonts w:ascii="Calibri" w:hAnsi="Calibri"/>
        <w:sz w:val="24"/>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rPr>
        <w:rFonts w:hint="default" w:eastAsia="宋体"/>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eastAsia="宋体"/>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2607310</wp:posOffset>
              </wp:positionH>
              <wp:positionV relativeFrom="paragraph">
                <wp:posOffset>27305</wp:posOffset>
              </wp:positionV>
              <wp:extent cx="165100" cy="17843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5100" cy="178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3pt;margin-top:2.15pt;height:14.05pt;width:13pt;mso-position-horizontal-relative:margin;z-index:251661312;mso-width-relative:page;mso-height-relative:page;" filled="f" stroked="f" coordsize="21600,21600" o:gfxdata="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GE+e1wAAAAgBAAAPAAAAAAAAAAEAIAAAACIAAABkcnMvZG93bnJl&#10;di54bWxQSwECFAAUAAAACACHTuJAfm7aGDcCAABjBAAADgAAAAAAAAABACAAAAAmAQAAZHJzL2Uy&#10;b0RvYy54bWxQSwUGAAAAAAYABgBZAQAAzwUAAAAA&#10;">
              <v:fill on="f" focussize="0,0"/>
              <v:stroke on="f" weight="0.5pt"/>
              <v:imagedata o:title=""/>
              <o:lock v:ext="edit" aspectratio="f"/>
              <v:textbox inset="0mm,0mm,0mm,0mm">
                <w:txbxContent>
                  <w:p>
                    <w:pPr>
                      <w:pStyle w:val="14"/>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3185795</wp:posOffset>
              </wp:positionH>
              <wp:positionV relativeFrom="paragraph">
                <wp:posOffset>-13335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0.85pt;margin-top:-1.05pt;height:144pt;width:144pt;mso-position-horizontal-relative:margin;mso-wrap-style:none;z-index:251660288;mso-width-relative:page;mso-height-relative:page;" filled="f" stroked="f" coordsize="21600,21600" o:gfxdata="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4i362AAAAAoBAAAPAAAAAAAAAAEAIAAAACIAAABkcnMvZG93bnJldi54&#10;bWxQSwECFAAUAAAACACHTuJAYa2EcjMCAABjBAAADgAAAAAAAAABACAAAAAnAQAAZHJzL2Uyb0Rv&#10;Yy54bWxQSwUGAAAAAAYABgBZAQAAzAUAAAAA&#10;">
              <v:fill on="f" focussize="0,0"/>
              <v:stroke on="f" weight="0.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DFE4A"/>
    <w:multiLevelType w:val="singleLevel"/>
    <w:tmpl w:val="5ACDFE4A"/>
    <w:lvl w:ilvl="0" w:tentative="0">
      <w:start w:val="1"/>
      <w:numFmt w:val="decimal"/>
      <w:suff w:val="nothing"/>
      <w:lvlText w:val="%1、"/>
      <w:lvlJc w:val="left"/>
    </w:lvl>
  </w:abstractNum>
  <w:abstractNum w:abstractNumId="1">
    <w:nsid w:val="782934A6"/>
    <w:multiLevelType w:val="singleLevel"/>
    <w:tmpl w:val="782934A6"/>
    <w:lvl w:ilvl="0" w:tentative="0">
      <w:start w:val="10"/>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ZjljZWViMDllNmMwZDI5NjZhNzBmMjRiNmI3MzMifQ=="/>
  </w:docVars>
  <w:rsids>
    <w:rsidRoot w:val="7F635549"/>
    <w:rsid w:val="0055574E"/>
    <w:rsid w:val="00602F24"/>
    <w:rsid w:val="00647115"/>
    <w:rsid w:val="00A34B5D"/>
    <w:rsid w:val="00A87F74"/>
    <w:rsid w:val="00BD667C"/>
    <w:rsid w:val="00EC14F2"/>
    <w:rsid w:val="00FC18E7"/>
    <w:rsid w:val="00FE4037"/>
    <w:rsid w:val="01101675"/>
    <w:rsid w:val="011D2710"/>
    <w:rsid w:val="01284C10"/>
    <w:rsid w:val="01422176"/>
    <w:rsid w:val="015E4AD6"/>
    <w:rsid w:val="020C4532"/>
    <w:rsid w:val="02443CCC"/>
    <w:rsid w:val="024E4B4B"/>
    <w:rsid w:val="02AD1871"/>
    <w:rsid w:val="02EE3C38"/>
    <w:rsid w:val="02F53218"/>
    <w:rsid w:val="03451AAA"/>
    <w:rsid w:val="036B6FDB"/>
    <w:rsid w:val="037C7496"/>
    <w:rsid w:val="03AA5DB1"/>
    <w:rsid w:val="03B46C2F"/>
    <w:rsid w:val="03C24828"/>
    <w:rsid w:val="03C52BEB"/>
    <w:rsid w:val="03DB41BC"/>
    <w:rsid w:val="04082AD7"/>
    <w:rsid w:val="04387860"/>
    <w:rsid w:val="04583A5F"/>
    <w:rsid w:val="04F73278"/>
    <w:rsid w:val="05C869C2"/>
    <w:rsid w:val="05CF7D50"/>
    <w:rsid w:val="05EE467B"/>
    <w:rsid w:val="05F6352F"/>
    <w:rsid w:val="062F6A41"/>
    <w:rsid w:val="065A3ABE"/>
    <w:rsid w:val="06732DD2"/>
    <w:rsid w:val="07043A2A"/>
    <w:rsid w:val="07283BBC"/>
    <w:rsid w:val="07391925"/>
    <w:rsid w:val="07434552"/>
    <w:rsid w:val="074D3623"/>
    <w:rsid w:val="077566D6"/>
    <w:rsid w:val="07E07FF3"/>
    <w:rsid w:val="081859DF"/>
    <w:rsid w:val="08624EAC"/>
    <w:rsid w:val="0869623A"/>
    <w:rsid w:val="09016473"/>
    <w:rsid w:val="091A5787"/>
    <w:rsid w:val="093A7BD7"/>
    <w:rsid w:val="0946032A"/>
    <w:rsid w:val="098552F6"/>
    <w:rsid w:val="098A290C"/>
    <w:rsid w:val="09E162A4"/>
    <w:rsid w:val="09F4422A"/>
    <w:rsid w:val="0AAC0660"/>
    <w:rsid w:val="0AC43BFC"/>
    <w:rsid w:val="0AE47DFA"/>
    <w:rsid w:val="0AEE0C79"/>
    <w:rsid w:val="0B5C2086"/>
    <w:rsid w:val="0B732F2C"/>
    <w:rsid w:val="0B7A69B0"/>
    <w:rsid w:val="0B892913"/>
    <w:rsid w:val="0BB04180"/>
    <w:rsid w:val="0BD065D0"/>
    <w:rsid w:val="0BDE0CED"/>
    <w:rsid w:val="0C1110C3"/>
    <w:rsid w:val="0CFB142B"/>
    <w:rsid w:val="0D156991"/>
    <w:rsid w:val="0D1A3FA7"/>
    <w:rsid w:val="0D1F336B"/>
    <w:rsid w:val="0D51729D"/>
    <w:rsid w:val="0D676AC1"/>
    <w:rsid w:val="0DE229EF"/>
    <w:rsid w:val="0E083E00"/>
    <w:rsid w:val="0E2B5D40"/>
    <w:rsid w:val="0E3D6255"/>
    <w:rsid w:val="0E545297"/>
    <w:rsid w:val="0E5E6115"/>
    <w:rsid w:val="0E6574A4"/>
    <w:rsid w:val="0EAF6971"/>
    <w:rsid w:val="0ED46221"/>
    <w:rsid w:val="0F087E2F"/>
    <w:rsid w:val="0F607C6B"/>
    <w:rsid w:val="0F781459"/>
    <w:rsid w:val="0FA04990"/>
    <w:rsid w:val="0FB71F81"/>
    <w:rsid w:val="0FCD5301"/>
    <w:rsid w:val="0FD3043D"/>
    <w:rsid w:val="106A6FF4"/>
    <w:rsid w:val="109E0A4B"/>
    <w:rsid w:val="10A342B4"/>
    <w:rsid w:val="10F80B42"/>
    <w:rsid w:val="11477335"/>
    <w:rsid w:val="116972AB"/>
    <w:rsid w:val="116C0B49"/>
    <w:rsid w:val="119A3908"/>
    <w:rsid w:val="11A93B4C"/>
    <w:rsid w:val="11D0732A"/>
    <w:rsid w:val="11F0177A"/>
    <w:rsid w:val="121E0096"/>
    <w:rsid w:val="1288550F"/>
    <w:rsid w:val="12CC7AF2"/>
    <w:rsid w:val="12EB3CF0"/>
    <w:rsid w:val="13054DB2"/>
    <w:rsid w:val="13315BA7"/>
    <w:rsid w:val="134F427F"/>
    <w:rsid w:val="136C3083"/>
    <w:rsid w:val="1376180B"/>
    <w:rsid w:val="13CB5FFB"/>
    <w:rsid w:val="140C2170"/>
    <w:rsid w:val="14134061"/>
    <w:rsid w:val="141379A2"/>
    <w:rsid w:val="143F0797"/>
    <w:rsid w:val="14613053"/>
    <w:rsid w:val="146A5814"/>
    <w:rsid w:val="14D07641"/>
    <w:rsid w:val="14D964F6"/>
    <w:rsid w:val="14DB04C0"/>
    <w:rsid w:val="14FB0DB4"/>
    <w:rsid w:val="15121A08"/>
    <w:rsid w:val="15267261"/>
    <w:rsid w:val="153D4EDF"/>
    <w:rsid w:val="156404B5"/>
    <w:rsid w:val="157A5E72"/>
    <w:rsid w:val="15C947BC"/>
    <w:rsid w:val="15C9656A"/>
    <w:rsid w:val="15FB08C2"/>
    <w:rsid w:val="16932BB0"/>
    <w:rsid w:val="16A9014A"/>
    <w:rsid w:val="16B26FFE"/>
    <w:rsid w:val="16E86EC4"/>
    <w:rsid w:val="170830C2"/>
    <w:rsid w:val="17400AAE"/>
    <w:rsid w:val="17C50FB3"/>
    <w:rsid w:val="17F11DA8"/>
    <w:rsid w:val="183103F7"/>
    <w:rsid w:val="18552337"/>
    <w:rsid w:val="186C41D3"/>
    <w:rsid w:val="187A1D9E"/>
    <w:rsid w:val="189A5F9C"/>
    <w:rsid w:val="18B43502"/>
    <w:rsid w:val="1968609A"/>
    <w:rsid w:val="19C01A32"/>
    <w:rsid w:val="19CE05F3"/>
    <w:rsid w:val="19F4792E"/>
    <w:rsid w:val="1A191041"/>
    <w:rsid w:val="1A395DB7"/>
    <w:rsid w:val="1A6525DA"/>
    <w:rsid w:val="1A736AA5"/>
    <w:rsid w:val="1A9058A9"/>
    <w:rsid w:val="1A914795"/>
    <w:rsid w:val="1AA41354"/>
    <w:rsid w:val="1AA475A6"/>
    <w:rsid w:val="1ABF7FBC"/>
    <w:rsid w:val="1AC92B75"/>
    <w:rsid w:val="1AE259D8"/>
    <w:rsid w:val="1AF000F5"/>
    <w:rsid w:val="1AFA6510"/>
    <w:rsid w:val="1B1118A2"/>
    <w:rsid w:val="1B283D33"/>
    <w:rsid w:val="1B390F7B"/>
    <w:rsid w:val="1BB515BB"/>
    <w:rsid w:val="1C1E6EE4"/>
    <w:rsid w:val="1C2E5379"/>
    <w:rsid w:val="1C4F709D"/>
    <w:rsid w:val="1C6E39C8"/>
    <w:rsid w:val="1C8E7BC6"/>
    <w:rsid w:val="1CDF48C5"/>
    <w:rsid w:val="1D104A7F"/>
    <w:rsid w:val="1D305121"/>
    <w:rsid w:val="1D5C1A72"/>
    <w:rsid w:val="1D6E17A5"/>
    <w:rsid w:val="1DE008F5"/>
    <w:rsid w:val="1DE71C83"/>
    <w:rsid w:val="1DF63C75"/>
    <w:rsid w:val="1E894AE9"/>
    <w:rsid w:val="1ECC0E79"/>
    <w:rsid w:val="1EE95587"/>
    <w:rsid w:val="1F417171"/>
    <w:rsid w:val="1F6F2ED7"/>
    <w:rsid w:val="1FD26FDC"/>
    <w:rsid w:val="200C3C23"/>
    <w:rsid w:val="20337402"/>
    <w:rsid w:val="20360CA0"/>
    <w:rsid w:val="20B87907"/>
    <w:rsid w:val="20BE2A44"/>
    <w:rsid w:val="20C462AC"/>
    <w:rsid w:val="21022930"/>
    <w:rsid w:val="21170FCE"/>
    <w:rsid w:val="211C60E8"/>
    <w:rsid w:val="213B4094"/>
    <w:rsid w:val="214B42D7"/>
    <w:rsid w:val="217E28FF"/>
    <w:rsid w:val="21A460DD"/>
    <w:rsid w:val="2241392C"/>
    <w:rsid w:val="224551CB"/>
    <w:rsid w:val="22623FCE"/>
    <w:rsid w:val="22676488"/>
    <w:rsid w:val="22847053"/>
    <w:rsid w:val="22D447A0"/>
    <w:rsid w:val="22E03145"/>
    <w:rsid w:val="23023B64"/>
    <w:rsid w:val="231D1CA3"/>
    <w:rsid w:val="23244DE0"/>
    <w:rsid w:val="233139A1"/>
    <w:rsid w:val="23354687"/>
    <w:rsid w:val="23502079"/>
    <w:rsid w:val="23706277"/>
    <w:rsid w:val="23EB1DA2"/>
    <w:rsid w:val="24507E57"/>
    <w:rsid w:val="24572F93"/>
    <w:rsid w:val="24681644"/>
    <w:rsid w:val="24A81A41"/>
    <w:rsid w:val="24CC1BD3"/>
    <w:rsid w:val="24E707BB"/>
    <w:rsid w:val="25187A3C"/>
    <w:rsid w:val="256B319A"/>
    <w:rsid w:val="2573311B"/>
    <w:rsid w:val="257A162F"/>
    <w:rsid w:val="25C96113"/>
    <w:rsid w:val="25CE197B"/>
    <w:rsid w:val="262E5F76"/>
    <w:rsid w:val="263537A8"/>
    <w:rsid w:val="263B4FC5"/>
    <w:rsid w:val="26695B95"/>
    <w:rsid w:val="26CA3EF0"/>
    <w:rsid w:val="26CA61AE"/>
    <w:rsid w:val="26CB0C28"/>
    <w:rsid w:val="271D04C4"/>
    <w:rsid w:val="27241F0A"/>
    <w:rsid w:val="27391076"/>
    <w:rsid w:val="276B56D3"/>
    <w:rsid w:val="276F4A98"/>
    <w:rsid w:val="27A26C1B"/>
    <w:rsid w:val="27F751B9"/>
    <w:rsid w:val="28043432"/>
    <w:rsid w:val="28173165"/>
    <w:rsid w:val="28245882"/>
    <w:rsid w:val="28341F69"/>
    <w:rsid w:val="28A54C15"/>
    <w:rsid w:val="28C50E13"/>
    <w:rsid w:val="292813A2"/>
    <w:rsid w:val="293146FB"/>
    <w:rsid w:val="29820AB2"/>
    <w:rsid w:val="29A21154"/>
    <w:rsid w:val="29CC61D1"/>
    <w:rsid w:val="2A1854E2"/>
    <w:rsid w:val="2A383867"/>
    <w:rsid w:val="2A50295E"/>
    <w:rsid w:val="2A7523C5"/>
    <w:rsid w:val="2A895E70"/>
    <w:rsid w:val="2ACE7513"/>
    <w:rsid w:val="2B253DEB"/>
    <w:rsid w:val="2BB1567F"/>
    <w:rsid w:val="2BC730F4"/>
    <w:rsid w:val="2C1C51EE"/>
    <w:rsid w:val="2C4464F3"/>
    <w:rsid w:val="2C493B09"/>
    <w:rsid w:val="2C5A5FFB"/>
    <w:rsid w:val="2C6C77F8"/>
    <w:rsid w:val="2CD86C3B"/>
    <w:rsid w:val="2CEE645F"/>
    <w:rsid w:val="2D03015C"/>
    <w:rsid w:val="2D482013"/>
    <w:rsid w:val="2D6F134E"/>
    <w:rsid w:val="2D83304B"/>
    <w:rsid w:val="2D8878EA"/>
    <w:rsid w:val="2DAC3027"/>
    <w:rsid w:val="2DC07DFB"/>
    <w:rsid w:val="2E440A2C"/>
    <w:rsid w:val="2E9279E9"/>
    <w:rsid w:val="2EFF4D08"/>
    <w:rsid w:val="2F8F5CD7"/>
    <w:rsid w:val="2F950E14"/>
    <w:rsid w:val="2FB7522E"/>
    <w:rsid w:val="2FE342A0"/>
    <w:rsid w:val="305A278E"/>
    <w:rsid w:val="30B73737"/>
    <w:rsid w:val="30C916BD"/>
    <w:rsid w:val="31077AEF"/>
    <w:rsid w:val="3172765E"/>
    <w:rsid w:val="31AA504A"/>
    <w:rsid w:val="31C75BFC"/>
    <w:rsid w:val="31DE4CF4"/>
    <w:rsid w:val="31E340B8"/>
    <w:rsid w:val="32140715"/>
    <w:rsid w:val="32230959"/>
    <w:rsid w:val="32625925"/>
    <w:rsid w:val="326A2A2B"/>
    <w:rsid w:val="327318E0"/>
    <w:rsid w:val="327F2033"/>
    <w:rsid w:val="328C4750"/>
    <w:rsid w:val="32A23F73"/>
    <w:rsid w:val="32C75788"/>
    <w:rsid w:val="32FA5B5D"/>
    <w:rsid w:val="33680D19"/>
    <w:rsid w:val="33C70135"/>
    <w:rsid w:val="33EB36F8"/>
    <w:rsid w:val="33F20F2A"/>
    <w:rsid w:val="340A0022"/>
    <w:rsid w:val="340F40A5"/>
    <w:rsid w:val="347B2CCE"/>
    <w:rsid w:val="34AE6BFF"/>
    <w:rsid w:val="34C77CC1"/>
    <w:rsid w:val="350607E9"/>
    <w:rsid w:val="35575444"/>
    <w:rsid w:val="355C2AFF"/>
    <w:rsid w:val="364D069A"/>
    <w:rsid w:val="3656754F"/>
    <w:rsid w:val="369342FF"/>
    <w:rsid w:val="37465815"/>
    <w:rsid w:val="37677539"/>
    <w:rsid w:val="37C4498C"/>
    <w:rsid w:val="37DF3574"/>
    <w:rsid w:val="38107BD1"/>
    <w:rsid w:val="383C4522"/>
    <w:rsid w:val="385B709E"/>
    <w:rsid w:val="385C2E16"/>
    <w:rsid w:val="38BD1B07"/>
    <w:rsid w:val="38C42E95"/>
    <w:rsid w:val="38CC58A6"/>
    <w:rsid w:val="39333B77"/>
    <w:rsid w:val="394E09B1"/>
    <w:rsid w:val="395D0919"/>
    <w:rsid w:val="397321C6"/>
    <w:rsid w:val="399C171C"/>
    <w:rsid w:val="39E62997"/>
    <w:rsid w:val="3A092B2A"/>
    <w:rsid w:val="3ABC194A"/>
    <w:rsid w:val="3AE570F3"/>
    <w:rsid w:val="3B2A0FAA"/>
    <w:rsid w:val="3B485F47"/>
    <w:rsid w:val="3B912DD7"/>
    <w:rsid w:val="3BEB0739"/>
    <w:rsid w:val="3C074E47"/>
    <w:rsid w:val="3C1852A6"/>
    <w:rsid w:val="3C4D6CFE"/>
    <w:rsid w:val="3C5E0F26"/>
    <w:rsid w:val="3C6B187A"/>
    <w:rsid w:val="3C830972"/>
    <w:rsid w:val="3CA54D8C"/>
    <w:rsid w:val="3CE21B3C"/>
    <w:rsid w:val="3CE55188"/>
    <w:rsid w:val="3CF33D49"/>
    <w:rsid w:val="3D232155"/>
    <w:rsid w:val="3D393726"/>
    <w:rsid w:val="3D436353"/>
    <w:rsid w:val="3D8A3F82"/>
    <w:rsid w:val="3DED69EA"/>
    <w:rsid w:val="3E012496"/>
    <w:rsid w:val="3E8D0407"/>
    <w:rsid w:val="3EA03A5D"/>
    <w:rsid w:val="3EB219E2"/>
    <w:rsid w:val="3EBC63BD"/>
    <w:rsid w:val="3EDC25BB"/>
    <w:rsid w:val="3EDE7B8A"/>
    <w:rsid w:val="3F520ACF"/>
    <w:rsid w:val="3F6E5909"/>
    <w:rsid w:val="3F883913"/>
    <w:rsid w:val="3F9335C1"/>
    <w:rsid w:val="3FAF1A7E"/>
    <w:rsid w:val="407E6DB6"/>
    <w:rsid w:val="40842F0A"/>
    <w:rsid w:val="40954E1C"/>
    <w:rsid w:val="40A11D0E"/>
    <w:rsid w:val="40C477AB"/>
    <w:rsid w:val="40D43E92"/>
    <w:rsid w:val="411C38B1"/>
    <w:rsid w:val="412546ED"/>
    <w:rsid w:val="41526B64"/>
    <w:rsid w:val="41760AA5"/>
    <w:rsid w:val="4185518C"/>
    <w:rsid w:val="419D4283"/>
    <w:rsid w:val="41A90E7A"/>
    <w:rsid w:val="41DD0B24"/>
    <w:rsid w:val="420E6F2F"/>
    <w:rsid w:val="42537038"/>
    <w:rsid w:val="429F227D"/>
    <w:rsid w:val="42CB3072"/>
    <w:rsid w:val="43217136"/>
    <w:rsid w:val="43B6256C"/>
    <w:rsid w:val="43F6411F"/>
    <w:rsid w:val="440305EA"/>
    <w:rsid w:val="44354C47"/>
    <w:rsid w:val="44615A3C"/>
    <w:rsid w:val="44667D28"/>
    <w:rsid w:val="44927874"/>
    <w:rsid w:val="44DD5E05"/>
    <w:rsid w:val="45085EB8"/>
    <w:rsid w:val="45126D36"/>
    <w:rsid w:val="45352A25"/>
    <w:rsid w:val="459E2E05"/>
    <w:rsid w:val="45A86F4D"/>
    <w:rsid w:val="45B20519"/>
    <w:rsid w:val="45D8555E"/>
    <w:rsid w:val="463D6035"/>
    <w:rsid w:val="46641814"/>
    <w:rsid w:val="466C06C8"/>
    <w:rsid w:val="4670640B"/>
    <w:rsid w:val="46927D9D"/>
    <w:rsid w:val="46AE2A8F"/>
    <w:rsid w:val="46D1677D"/>
    <w:rsid w:val="46D87B0C"/>
    <w:rsid w:val="479E2B03"/>
    <w:rsid w:val="47A67C0A"/>
    <w:rsid w:val="47BC567F"/>
    <w:rsid w:val="47E10C42"/>
    <w:rsid w:val="48345216"/>
    <w:rsid w:val="483F42E6"/>
    <w:rsid w:val="4871646A"/>
    <w:rsid w:val="48B82A10"/>
    <w:rsid w:val="48C90054"/>
    <w:rsid w:val="48FF5824"/>
    <w:rsid w:val="491A08B0"/>
    <w:rsid w:val="496E4757"/>
    <w:rsid w:val="49A63EF1"/>
    <w:rsid w:val="49B26D3A"/>
    <w:rsid w:val="49E669E4"/>
    <w:rsid w:val="49EA0282"/>
    <w:rsid w:val="4A113A61"/>
    <w:rsid w:val="4A565917"/>
    <w:rsid w:val="4A842484"/>
    <w:rsid w:val="4A895CED"/>
    <w:rsid w:val="4AA04DE4"/>
    <w:rsid w:val="4AA26A8E"/>
    <w:rsid w:val="4AAE12AF"/>
    <w:rsid w:val="4AB32D6A"/>
    <w:rsid w:val="4B135E7E"/>
    <w:rsid w:val="4B1F03FF"/>
    <w:rsid w:val="4BA32DDE"/>
    <w:rsid w:val="4BC66ACD"/>
    <w:rsid w:val="4BE807F1"/>
    <w:rsid w:val="4BF2341E"/>
    <w:rsid w:val="4BF52F0E"/>
    <w:rsid w:val="4C4C5224"/>
    <w:rsid w:val="4C8A7AFA"/>
    <w:rsid w:val="4C995CBA"/>
    <w:rsid w:val="4CBD1C7E"/>
    <w:rsid w:val="4CD126A5"/>
    <w:rsid w:val="4CE865CF"/>
    <w:rsid w:val="4D6B3488"/>
    <w:rsid w:val="4D7A2B16"/>
    <w:rsid w:val="4D7E765F"/>
    <w:rsid w:val="4D834C75"/>
    <w:rsid w:val="4E2F6BAB"/>
    <w:rsid w:val="4E4B5067"/>
    <w:rsid w:val="4E524648"/>
    <w:rsid w:val="4E5B34FC"/>
    <w:rsid w:val="4E712D20"/>
    <w:rsid w:val="4E880069"/>
    <w:rsid w:val="4EC512BE"/>
    <w:rsid w:val="4EFF657E"/>
    <w:rsid w:val="4F766114"/>
    <w:rsid w:val="4F7725B8"/>
    <w:rsid w:val="4F820F5D"/>
    <w:rsid w:val="4FBC446F"/>
    <w:rsid w:val="50506965"/>
    <w:rsid w:val="50A82C45"/>
    <w:rsid w:val="50B3081F"/>
    <w:rsid w:val="50BA5154"/>
    <w:rsid w:val="511C4C0C"/>
    <w:rsid w:val="511E6A63"/>
    <w:rsid w:val="513D15DF"/>
    <w:rsid w:val="517174DB"/>
    <w:rsid w:val="51786DCC"/>
    <w:rsid w:val="51823496"/>
    <w:rsid w:val="51B7313F"/>
    <w:rsid w:val="51FE0D6E"/>
    <w:rsid w:val="521A722A"/>
    <w:rsid w:val="52214A5D"/>
    <w:rsid w:val="52263E21"/>
    <w:rsid w:val="52350361"/>
    <w:rsid w:val="52DB10B0"/>
    <w:rsid w:val="53000B16"/>
    <w:rsid w:val="531B76FE"/>
    <w:rsid w:val="53310B22"/>
    <w:rsid w:val="53542C10"/>
    <w:rsid w:val="53CE4770"/>
    <w:rsid w:val="53D8739D"/>
    <w:rsid w:val="53DD49B3"/>
    <w:rsid w:val="53F046E7"/>
    <w:rsid w:val="543C5B7E"/>
    <w:rsid w:val="546D21DB"/>
    <w:rsid w:val="547370C6"/>
    <w:rsid w:val="54F2448F"/>
    <w:rsid w:val="551A3791"/>
    <w:rsid w:val="55BA1450"/>
    <w:rsid w:val="55CA71B9"/>
    <w:rsid w:val="55EB785C"/>
    <w:rsid w:val="55F347EA"/>
    <w:rsid w:val="561623FF"/>
    <w:rsid w:val="56617B1E"/>
    <w:rsid w:val="56A47A0A"/>
    <w:rsid w:val="56D93B58"/>
    <w:rsid w:val="56DF6C95"/>
    <w:rsid w:val="570C00C1"/>
    <w:rsid w:val="57174680"/>
    <w:rsid w:val="57BB325E"/>
    <w:rsid w:val="57E26A3C"/>
    <w:rsid w:val="581A61D6"/>
    <w:rsid w:val="58256929"/>
    <w:rsid w:val="58382B00"/>
    <w:rsid w:val="583C439E"/>
    <w:rsid w:val="584E5E80"/>
    <w:rsid w:val="58FA1B64"/>
    <w:rsid w:val="59367040"/>
    <w:rsid w:val="5980650D"/>
    <w:rsid w:val="59A9411B"/>
    <w:rsid w:val="5A007FC9"/>
    <w:rsid w:val="5A272E2C"/>
    <w:rsid w:val="5A647BDD"/>
    <w:rsid w:val="5A6C6A91"/>
    <w:rsid w:val="5A821E11"/>
    <w:rsid w:val="5AB26B9A"/>
    <w:rsid w:val="5AB5153B"/>
    <w:rsid w:val="5AD326AB"/>
    <w:rsid w:val="5B062A42"/>
    <w:rsid w:val="5B24736C"/>
    <w:rsid w:val="5B885B4D"/>
    <w:rsid w:val="5B8878FB"/>
    <w:rsid w:val="5C515F3F"/>
    <w:rsid w:val="5C69772C"/>
    <w:rsid w:val="5C7F0CFE"/>
    <w:rsid w:val="5CAE513F"/>
    <w:rsid w:val="5CB22472"/>
    <w:rsid w:val="5CC93458"/>
    <w:rsid w:val="5D07484F"/>
    <w:rsid w:val="5D114BE9"/>
    <w:rsid w:val="5DBE2FE1"/>
    <w:rsid w:val="5E4E4E2C"/>
    <w:rsid w:val="5E7F3237"/>
    <w:rsid w:val="5EC7073A"/>
    <w:rsid w:val="5EF157B7"/>
    <w:rsid w:val="5F0674B4"/>
    <w:rsid w:val="5F2B2A77"/>
    <w:rsid w:val="5F2C67EF"/>
    <w:rsid w:val="5F7563E8"/>
    <w:rsid w:val="5FA34D03"/>
    <w:rsid w:val="601243E7"/>
    <w:rsid w:val="602816AC"/>
    <w:rsid w:val="60640B2B"/>
    <w:rsid w:val="60C90799"/>
    <w:rsid w:val="612754C0"/>
    <w:rsid w:val="618A0C8A"/>
    <w:rsid w:val="61991487"/>
    <w:rsid w:val="61F45CEA"/>
    <w:rsid w:val="620B4DE2"/>
    <w:rsid w:val="6291178B"/>
    <w:rsid w:val="629D1EDE"/>
    <w:rsid w:val="63464323"/>
    <w:rsid w:val="635F7193"/>
    <w:rsid w:val="63666773"/>
    <w:rsid w:val="63972DD1"/>
    <w:rsid w:val="63A4104A"/>
    <w:rsid w:val="63EB0A27"/>
    <w:rsid w:val="64AA08E2"/>
    <w:rsid w:val="64C51278"/>
    <w:rsid w:val="64D8544F"/>
    <w:rsid w:val="64F16511"/>
    <w:rsid w:val="64F46001"/>
    <w:rsid w:val="655A2308"/>
    <w:rsid w:val="65744A4C"/>
    <w:rsid w:val="657809E0"/>
    <w:rsid w:val="65B55790"/>
    <w:rsid w:val="65C223E8"/>
    <w:rsid w:val="65D33E68"/>
    <w:rsid w:val="65DA0D53"/>
    <w:rsid w:val="65DD6A95"/>
    <w:rsid w:val="65FF6A0B"/>
    <w:rsid w:val="660A5ADC"/>
    <w:rsid w:val="663C7C5F"/>
    <w:rsid w:val="668D04BB"/>
    <w:rsid w:val="668D4017"/>
    <w:rsid w:val="669453A6"/>
    <w:rsid w:val="669D576F"/>
    <w:rsid w:val="66A02C7C"/>
    <w:rsid w:val="66A355E9"/>
    <w:rsid w:val="66F83B86"/>
    <w:rsid w:val="67204E8B"/>
    <w:rsid w:val="6732696D"/>
    <w:rsid w:val="677B6565"/>
    <w:rsid w:val="67876CB8"/>
    <w:rsid w:val="67E20393"/>
    <w:rsid w:val="684E2429"/>
    <w:rsid w:val="686E4BB7"/>
    <w:rsid w:val="687F33DE"/>
    <w:rsid w:val="68A5389A"/>
    <w:rsid w:val="68B63CF9"/>
    <w:rsid w:val="69112CDD"/>
    <w:rsid w:val="69132EFA"/>
    <w:rsid w:val="694C01BA"/>
    <w:rsid w:val="69531548"/>
    <w:rsid w:val="696E7976"/>
    <w:rsid w:val="698B0CEA"/>
    <w:rsid w:val="69A91168"/>
    <w:rsid w:val="69FF347E"/>
    <w:rsid w:val="6A2B6021"/>
    <w:rsid w:val="6A633A0D"/>
    <w:rsid w:val="6A6634FD"/>
    <w:rsid w:val="6A6908F7"/>
    <w:rsid w:val="6AE45D1A"/>
    <w:rsid w:val="6AF503DD"/>
    <w:rsid w:val="6AFE54E3"/>
    <w:rsid w:val="6B0A20DA"/>
    <w:rsid w:val="6B182A49"/>
    <w:rsid w:val="6B19231D"/>
    <w:rsid w:val="6B3D425E"/>
    <w:rsid w:val="6B9419A4"/>
    <w:rsid w:val="6B99520C"/>
    <w:rsid w:val="6BAD3BC6"/>
    <w:rsid w:val="6BBF2EC5"/>
    <w:rsid w:val="6CC13D7B"/>
    <w:rsid w:val="6CE70DBD"/>
    <w:rsid w:val="6D396CA7"/>
    <w:rsid w:val="6D543AE1"/>
    <w:rsid w:val="6D6734C4"/>
    <w:rsid w:val="6D9263B7"/>
    <w:rsid w:val="6DB427D1"/>
    <w:rsid w:val="6DB4632D"/>
    <w:rsid w:val="6DC5053A"/>
    <w:rsid w:val="6E2214E9"/>
    <w:rsid w:val="6E276AFF"/>
    <w:rsid w:val="6E657628"/>
    <w:rsid w:val="6E6E0E91"/>
    <w:rsid w:val="6E7206C2"/>
    <w:rsid w:val="6F387E0D"/>
    <w:rsid w:val="6FCC795E"/>
    <w:rsid w:val="707F70C6"/>
    <w:rsid w:val="70B03F20"/>
    <w:rsid w:val="70E87725"/>
    <w:rsid w:val="714F4CEB"/>
    <w:rsid w:val="71A843FB"/>
    <w:rsid w:val="723217E9"/>
    <w:rsid w:val="72C94629"/>
    <w:rsid w:val="7309711B"/>
    <w:rsid w:val="73320420"/>
    <w:rsid w:val="73353A6C"/>
    <w:rsid w:val="734463A5"/>
    <w:rsid w:val="73702CF6"/>
    <w:rsid w:val="73822C01"/>
    <w:rsid w:val="73ED2599"/>
    <w:rsid w:val="74363F40"/>
    <w:rsid w:val="744C5512"/>
    <w:rsid w:val="74EF4CD0"/>
    <w:rsid w:val="74F040EF"/>
    <w:rsid w:val="750D5FC5"/>
    <w:rsid w:val="75491C5B"/>
    <w:rsid w:val="75630D65"/>
    <w:rsid w:val="757545F4"/>
    <w:rsid w:val="75846F2D"/>
    <w:rsid w:val="75CB06B8"/>
    <w:rsid w:val="75CD61DE"/>
    <w:rsid w:val="75D73501"/>
    <w:rsid w:val="75EA3234"/>
    <w:rsid w:val="75F145C2"/>
    <w:rsid w:val="75F74922"/>
    <w:rsid w:val="763D7808"/>
    <w:rsid w:val="7682521B"/>
    <w:rsid w:val="769F5D0A"/>
    <w:rsid w:val="76C515AB"/>
    <w:rsid w:val="76EA1012"/>
    <w:rsid w:val="7709593C"/>
    <w:rsid w:val="772B7660"/>
    <w:rsid w:val="7730111A"/>
    <w:rsid w:val="775C3CBE"/>
    <w:rsid w:val="77AE0291"/>
    <w:rsid w:val="78250553"/>
    <w:rsid w:val="783C589D"/>
    <w:rsid w:val="788A6608"/>
    <w:rsid w:val="788D434B"/>
    <w:rsid w:val="78AA2807"/>
    <w:rsid w:val="78C43D80"/>
    <w:rsid w:val="78C87131"/>
    <w:rsid w:val="79346574"/>
    <w:rsid w:val="795F7A95"/>
    <w:rsid w:val="79E40AFD"/>
    <w:rsid w:val="79E62108"/>
    <w:rsid w:val="7A951295"/>
    <w:rsid w:val="7AC878BC"/>
    <w:rsid w:val="7B533629"/>
    <w:rsid w:val="7B935AE1"/>
    <w:rsid w:val="7B9854E0"/>
    <w:rsid w:val="7BA7127F"/>
    <w:rsid w:val="7BDA78A7"/>
    <w:rsid w:val="7C02295A"/>
    <w:rsid w:val="7C75312C"/>
    <w:rsid w:val="7CAB2FF1"/>
    <w:rsid w:val="7CB63E70"/>
    <w:rsid w:val="7CCD2F68"/>
    <w:rsid w:val="7D1B2794"/>
    <w:rsid w:val="7D2A03BA"/>
    <w:rsid w:val="7D9677FD"/>
    <w:rsid w:val="7DA95783"/>
    <w:rsid w:val="7DAE2D99"/>
    <w:rsid w:val="7DB36601"/>
    <w:rsid w:val="7DCD54E7"/>
    <w:rsid w:val="7DDF73F6"/>
    <w:rsid w:val="7E154BC6"/>
    <w:rsid w:val="7E2272E3"/>
    <w:rsid w:val="7E2D0162"/>
    <w:rsid w:val="7E5042D1"/>
    <w:rsid w:val="7E543940"/>
    <w:rsid w:val="7E694F12"/>
    <w:rsid w:val="7E6E42D6"/>
    <w:rsid w:val="7E745D91"/>
    <w:rsid w:val="7EB4618D"/>
    <w:rsid w:val="7EE66563"/>
    <w:rsid w:val="7F08297D"/>
    <w:rsid w:val="7F0F5AB9"/>
    <w:rsid w:val="7F4734A5"/>
    <w:rsid w:val="7F480FCB"/>
    <w:rsid w:val="7F5F07EF"/>
    <w:rsid w:val="7F635549"/>
    <w:rsid w:val="7F7B378F"/>
    <w:rsid w:val="7F985AAF"/>
    <w:rsid w:val="7FD70172"/>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7"/>
    <w:qFormat/>
    <w:uiPriority w:val="0"/>
    <w:pPr>
      <w:keepNext/>
      <w:tabs>
        <w:tab w:val="left" w:pos="360"/>
      </w:tabs>
      <w:ind w:left="360" w:hanging="360"/>
      <w:outlineLvl w:val="0"/>
    </w:pPr>
    <w:rPr>
      <w:b/>
    </w:rPr>
  </w:style>
  <w:style w:type="paragraph" w:styleId="7">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43"/>
    <w:qFormat/>
    <w:uiPriority w:val="0"/>
    <w:rPr>
      <w:rFonts w:ascii="Arial" w:hAnsi="Arial"/>
      <w:sz w:val="24"/>
    </w:rPr>
  </w:style>
  <w:style w:type="paragraph" w:styleId="5">
    <w:name w:val="Normal Indent"/>
    <w:basedOn w:val="1"/>
    <w:next w:val="6"/>
    <w:qFormat/>
    <w:uiPriority w:val="0"/>
    <w:pPr>
      <w:ind w:firstLine="420" w:firstLineChars="200"/>
    </w:pPr>
    <w:rPr>
      <w:szCs w:val="24"/>
    </w:rPr>
  </w:style>
  <w:style w:type="paragraph" w:styleId="6">
    <w:name w:val="toa heading"/>
    <w:basedOn w:val="1"/>
    <w:next w:val="1"/>
    <w:qFormat/>
    <w:uiPriority w:val="0"/>
    <w:pPr>
      <w:widowControl/>
      <w:spacing w:before="120"/>
      <w:ind w:firstLine="3584"/>
    </w:pPr>
  </w:style>
  <w:style w:type="paragraph" w:styleId="8">
    <w:name w:val="Body Text Indent"/>
    <w:basedOn w:val="1"/>
    <w:next w:val="1"/>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pPr>
    <w:rPr>
      <w:sz w:val="24"/>
    </w:rPr>
  </w:style>
  <w:style w:type="paragraph" w:styleId="12">
    <w:name w:val="Body Text Indent 2"/>
    <w:basedOn w:val="1"/>
    <w:qFormat/>
    <w:uiPriority w:val="0"/>
    <w:pPr>
      <w:ind w:firstLine="435"/>
    </w:pPr>
    <w:rPr>
      <w:rFonts w:ascii="宋体" w:hAnsi="宋体"/>
      <w:sz w:val="24"/>
    </w:rPr>
  </w:style>
  <w:style w:type="paragraph" w:styleId="13">
    <w:name w:val="Balloon Text"/>
    <w:basedOn w:val="1"/>
    <w:link w:val="46"/>
    <w:qFormat/>
    <w:uiPriority w:val="0"/>
    <w:rPr>
      <w:rFonts w:ascii="宋体"/>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99"/>
    <w:pPr>
      <w:tabs>
        <w:tab w:val="center" w:pos="4153"/>
        <w:tab w:val="right" w:pos="8306"/>
      </w:tabs>
      <w:snapToGrid w:val="0"/>
    </w:pPr>
    <w:rPr>
      <w:sz w:val="18"/>
    </w:rPr>
  </w:style>
  <w:style w:type="paragraph" w:styleId="16">
    <w:name w:val="toc 1"/>
    <w:basedOn w:val="1"/>
    <w:next w:val="1"/>
    <w:qFormat/>
    <w:uiPriority w:val="39"/>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20">
    <w:name w:val="Hyperlink"/>
    <w:qFormat/>
    <w:uiPriority w:val="0"/>
    <w:rPr>
      <w:rFonts w:ascii="Times New Roman" w:hAnsi="Times New Roman" w:eastAsia="宋体" w:cs="Times New Roman"/>
      <w:color w:val="0000FF"/>
      <w:u w:val="single"/>
    </w:rPr>
  </w:style>
  <w:style w:type="paragraph" w:customStyle="1" w:styleId="21">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22">
    <w:name w:val="Char"/>
    <w:basedOn w:val="1"/>
    <w:qFormat/>
    <w:uiPriority w:val="0"/>
    <w:pPr>
      <w:widowControl/>
      <w:spacing w:after="160" w:line="240" w:lineRule="exact"/>
      <w:jc w:val="left"/>
    </w:pPr>
    <w:rPr>
      <w:rFonts w:ascii="Verdana" w:hAnsi="Verdana"/>
      <w:kern w:val="0"/>
      <w:sz w:val="20"/>
      <w:lang w:eastAsia="en-US"/>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5">
    <w:name w:val="font141"/>
    <w:qFormat/>
    <w:uiPriority w:val="0"/>
    <w:rPr>
      <w:rFonts w:hint="eastAsia" w:ascii="宋体" w:hAnsi="宋体" w:eastAsia="宋体" w:cs="宋体"/>
      <w:b/>
      <w:color w:val="000000"/>
      <w:kern w:val="0"/>
      <w:sz w:val="32"/>
      <w:szCs w:val="32"/>
      <w:u w:val="none"/>
      <w:lang w:eastAsia="en-US"/>
    </w:rPr>
  </w:style>
  <w:style w:type="paragraph" w:customStyle="1" w:styleId="26">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日期_0"/>
    <w:basedOn w:val="31"/>
    <w:next w:val="31"/>
    <w:qFormat/>
    <w:uiPriority w:val="0"/>
    <w:pPr>
      <w:ind w:left="100" w:leftChars="2500"/>
    </w:pPr>
    <w:rPr>
      <w:kern w:val="0"/>
      <w:sz w:val="20"/>
    </w:rPr>
  </w:style>
  <w:style w:type="paragraph" w:customStyle="1" w:styleId="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11"/>
    <w:qFormat/>
    <w:uiPriority w:val="0"/>
    <w:rPr>
      <w:rFonts w:ascii="黑体" w:hAnsi="黑体" w:eastAsia="黑体" w:cs="Times New Roman"/>
      <w:b/>
      <w:sz w:val="32"/>
      <w:szCs w:val="24"/>
      <w:lang w:val="en-US" w:eastAsia="zh-CN" w:bidi="ar-SA"/>
    </w:rPr>
  </w:style>
  <w:style w:type="paragraph" w:customStyle="1" w:styleId="33">
    <w:name w:val="标题 3_0_0"/>
    <w:basedOn w:val="34"/>
    <w:next w:val="34"/>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4">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5">
    <w:name w:val="正文文本_1"/>
    <w:basedOn w:val="36"/>
    <w:qFormat/>
    <w:uiPriority w:val="0"/>
    <w:pPr>
      <w:spacing w:after="120"/>
    </w:pPr>
    <w:rPr>
      <w:kern w:val="0"/>
      <w:sz w:val="20"/>
    </w:rPr>
  </w:style>
  <w:style w:type="paragraph" w:customStyle="1" w:styleId="3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文本缩进_0_0"/>
    <w:basedOn w:val="37"/>
    <w:qFormat/>
    <w:uiPriority w:val="0"/>
    <w:pPr>
      <w:spacing w:line="500" w:lineRule="exact"/>
      <w:ind w:left="1588" w:leftChars="832" w:firstLine="433" w:firstLineChars="196"/>
    </w:pPr>
    <w:rPr>
      <w:kern w:val="0"/>
      <w:sz w:val="24"/>
    </w:rPr>
  </w:style>
  <w:style w:type="paragraph" w:customStyle="1" w:styleId="39">
    <w:name w:val="bb"/>
    <w:basedOn w:val="1"/>
    <w:qFormat/>
    <w:uiPriority w:val="0"/>
    <w:pPr>
      <w:spacing w:before="100" w:beforeAutospacing="1" w:after="100" w:afterAutospacing="1"/>
    </w:pPr>
    <w:rPr>
      <w:rFonts w:ascii="宋体" w:hAnsi="宋体"/>
    </w:rPr>
  </w:style>
  <w:style w:type="paragraph" w:customStyle="1" w:styleId="40">
    <w:name w:val="Body Text Indent1"/>
    <w:basedOn w:val="1"/>
    <w:qFormat/>
    <w:uiPriority w:val="0"/>
    <w:pPr>
      <w:ind w:firstLine="630"/>
    </w:pPr>
    <w:rPr>
      <w:rFonts w:eastAsia="楷体_GB2312"/>
      <w:kern w:val="0"/>
      <w:sz w:val="20"/>
    </w:rPr>
  </w:style>
  <w:style w:type="paragraph" w:customStyle="1" w:styleId="41">
    <w:name w:val="List Paragraph1"/>
    <w:basedOn w:val="1"/>
    <w:qFormat/>
    <w:uiPriority w:val="0"/>
    <w:pPr>
      <w:ind w:firstLine="420" w:firstLineChars="200"/>
    </w:pPr>
    <w:rPr>
      <w:szCs w:val="24"/>
    </w:rPr>
  </w:style>
  <w:style w:type="paragraph" w:customStyle="1" w:styleId="42">
    <w:name w:val="Table Paragraph"/>
    <w:basedOn w:val="1"/>
    <w:qFormat/>
    <w:uiPriority w:val="1"/>
    <w:rPr>
      <w:rFonts w:ascii="宋体" w:hAnsi="宋体" w:cs="宋体"/>
      <w:lang w:val="zh-CN" w:bidi="zh-CN"/>
    </w:rPr>
  </w:style>
  <w:style w:type="character" w:customStyle="1" w:styleId="43">
    <w:name w:val="正文文本 字符"/>
    <w:link w:val="4"/>
    <w:qFormat/>
    <w:uiPriority w:val="0"/>
    <w:rPr>
      <w:rFonts w:ascii="Arial" w:hAnsi="Arial"/>
      <w:sz w:val="24"/>
    </w:rPr>
  </w:style>
  <w:style w:type="paragraph" w:customStyle="1" w:styleId="44">
    <w:name w:val="Body text|1"/>
    <w:basedOn w:val="1"/>
    <w:qFormat/>
    <w:uiPriority w:val="0"/>
    <w:pPr>
      <w:spacing w:line="365" w:lineRule="auto"/>
      <w:ind w:firstLine="400"/>
    </w:pPr>
    <w:rPr>
      <w:rFonts w:ascii="宋体" w:hAnsi="宋体" w:cs="宋体"/>
      <w:sz w:val="30"/>
      <w:szCs w:val="30"/>
      <w:lang w:val="zh-TW" w:eastAsia="zh-TW" w:bidi="zh-TW"/>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批注框文本 字符"/>
    <w:basedOn w:val="19"/>
    <w:link w:val="13"/>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20775</Words>
  <Characters>22263</Characters>
  <Lines>173</Lines>
  <Paragraphs>48</Paragraphs>
  <TotalTime>1</TotalTime>
  <ScaleCrop>false</ScaleCrop>
  <LinksUpToDate>false</LinksUpToDate>
  <CharactersWithSpaces>23041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2023-05-25T06:35:00Z</dcterms:created>
  <dc:creator>Administrator</dc:creator>
  <cp:lastModifiedBy>某某</cp:lastModifiedBy>
  <cp:lastPrinted>2023-06-27T03:45:00Z</cp:lastPrinted>
  <dcterms:modified xsi:type="dcterms:W3CDTF">2023-07-03T09:57:58Z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C9A7EC51BBBD4B0CB91BEFC452FD49DE_13</vt:lpwstr>
  </property>
</Properties>
</file>