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spacing w:line="360" w:lineRule="auto"/>
        <w:jc w:val="both"/>
        <w:outlineLvl w:val="0"/>
        <w:rPr>
          <w:rFonts w:hint="eastAsia" w:asciiTheme="minorEastAsia" w:hAnsiTheme="minorEastAsia" w:eastAsiaTheme="minorEastAsia" w:cstheme="minorEastAsia"/>
          <w:b/>
          <w:color w:val="auto"/>
          <w:kern w:val="0"/>
          <w:sz w:val="32"/>
          <w:szCs w:val="32"/>
          <w:highlight w:val="none"/>
          <w:lang w:val="en-US" w:eastAsia="zh-CN"/>
        </w:rPr>
      </w:pPr>
    </w:p>
    <w:p>
      <w:pPr>
        <w:pStyle w:val="19"/>
        <w:rPr>
          <w:rFonts w:hint="eastAsia" w:asciiTheme="minorEastAsia" w:hAnsiTheme="minorEastAsia" w:eastAsiaTheme="minorEastAsia" w:cstheme="minorEastAsia"/>
          <w:b/>
          <w:color w:val="auto"/>
          <w:sz w:val="44"/>
          <w:szCs w:val="44"/>
          <w:highlight w:val="none"/>
        </w:rPr>
      </w:pPr>
    </w:p>
    <w:p>
      <w:pPr>
        <w:pStyle w:val="19"/>
        <w:rPr>
          <w:rFonts w:hint="eastAsia" w:asciiTheme="minorEastAsia" w:hAnsiTheme="minorEastAsia" w:eastAsiaTheme="minorEastAsia" w:cstheme="minorEastAsia"/>
          <w:b/>
          <w:color w:val="auto"/>
          <w:sz w:val="44"/>
          <w:szCs w:val="44"/>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11"/>
          <w:szCs w:val="11"/>
          <w:highlight w:val="none"/>
        </w:rPr>
      </w:pPr>
    </w:p>
    <w:p>
      <w:pPr>
        <w:pStyle w:val="19"/>
        <w:rPr>
          <w:rFonts w:hint="eastAsia" w:asciiTheme="minorEastAsia" w:hAnsiTheme="minorEastAsia" w:eastAsiaTheme="minorEastAsia" w:cstheme="minorEastAsia"/>
          <w:color w:val="auto"/>
          <w:highlight w:val="none"/>
        </w:rPr>
      </w:pPr>
    </w:p>
    <w:p>
      <w:pPr>
        <w:autoSpaceDE w:val="0"/>
        <w:autoSpaceDN w:val="0"/>
        <w:jc w:val="center"/>
        <w:rPr>
          <w:rFonts w:hint="eastAsia" w:asciiTheme="minorEastAsia" w:hAnsiTheme="minorEastAsia" w:eastAsiaTheme="minorEastAsia" w:cstheme="minorEastAsia"/>
          <w:b/>
          <w:color w:val="auto"/>
          <w:sz w:val="112"/>
          <w:szCs w:val="112"/>
          <w:highlight w:val="none"/>
          <w:lang w:val="zh-CN"/>
        </w:rPr>
      </w:pPr>
      <w:r>
        <w:rPr>
          <w:rFonts w:hint="eastAsia" w:asciiTheme="minorEastAsia" w:hAnsiTheme="minorEastAsia" w:eastAsiaTheme="minorEastAsia" w:cstheme="minorEastAsia"/>
          <w:b/>
          <w:color w:val="auto"/>
          <w:sz w:val="112"/>
          <w:szCs w:val="112"/>
          <w:highlight w:val="none"/>
          <w:lang w:val="zh-CN"/>
        </w:rPr>
        <w:t>招 标 文 件</w:t>
      </w:r>
    </w:p>
    <w:p>
      <w:pPr>
        <w:pStyle w:val="1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44"/>
          <w:szCs w:val="44"/>
          <w:highlight w:val="none"/>
          <w:lang w:val="zh-CN"/>
        </w:rPr>
        <w:t xml:space="preserve">         </w:t>
      </w: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32"/>
          <w:szCs w:val="32"/>
          <w:highlight w:val="none"/>
        </w:rPr>
      </w:pPr>
    </w:p>
    <w:p>
      <w:pPr>
        <w:pStyle w:val="19"/>
        <w:rPr>
          <w:rFonts w:hint="eastAsia" w:asciiTheme="minorEastAsia" w:hAnsiTheme="minorEastAsia" w:eastAsiaTheme="minorEastAsia" w:cstheme="minorEastAsia"/>
          <w:b/>
          <w:color w:val="auto"/>
          <w:sz w:val="11"/>
          <w:szCs w:val="11"/>
          <w:highlight w:val="none"/>
        </w:rPr>
      </w:pPr>
    </w:p>
    <w:p>
      <w:pPr>
        <w:pStyle w:val="19"/>
        <w:rPr>
          <w:rFonts w:hint="eastAsia" w:asciiTheme="minorEastAsia" w:hAnsiTheme="minorEastAsia" w:eastAsiaTheme="minorEastAsia" w:cstheme="minorEastAsia"/>
          <w:color w:val="auto"/>
          <w:highlight w:val="none"/>
        </w:rPr>
      </w:pPr>
    </w:p>
    <w:p>
      <w:pPr>
        <w:pStyle w:val="43"/>
        <w:spacing w:line="360" w:lineRule="auto"/>
        <w:ind w:firstLine="321" w:firstLineChars="100"/>
        <w:outlineLvl w:val="0"/>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en-US" w:eastAsia="zh-CN"/>
        </w:rPr>
        <w:t>采</w:t>
      </w:r>
      <w:r>
        <w:rPr>
          <w:rFonts w:hint="eastAsia" w:asciiTheme="minorEastAsia" w:hAnsiTheme="minorEastAsia" w:eastAsiaTheme="minorEastAsia" w:cstheme="minorEastAsia"/>
          <w:b/>
          <w:color w:val="auto"/>
          <w:kern w:val="0"/>
          <w:sz w:val="32"/>
          <w:szCs w:val="32"/>
          <w:highlight w:val="none"/>
          <w:lang w:eastAsia="zh-CN"/>
        </w:rPr>
        <w:t>购单位</w:t>
      </w:r>
      <w:r>
        <w:rPr>
          <w:rFonts w:hint="eastAsia" w:asciiTheme="minorEastAsia" w:hAnsiTheme="minorEastAsia" w:eastAsiaTheme="minorEastAsia" w:cstheme="minorEastAsia"/>
          <w:b/>
          <w:color w:val="auto"/>
          <w:kern w:val="0"/>
          <w:sz w:val="32"/>
          <w:szCs w:val="32"/>
          <w:highlight w:val="none"/>
        </w:rPr>
        <w:t>：</w:t>
      </w:r>
      <w:r>
        <w:rPr>
          <w:rFonts w:hint="eastAsia" w:asciiTheme="minorEastAsia" w:hAnsiTheme="minorEastAsia" w:eastAsiaTheme="minorEastAsia" w:cstheme="minorEastAsia"/>
          <w:b/>
          <w:color w:val="auto"/>
          <w:kern w:val="0"/>
          <w:sz w:val="32"/>
          <w:szCs w:val="32"/>
          <w:highlight w:val="none"/>
          <w:lang w:eastAsia="zh-CN"/>
        </w:rPr>
        <w:t>伊宁市自然资源局</w:t>
      </w:r>
      <w:r>
        <w:rPr>
          <w:rFonts w:hint="eastAsia" w:asciiTheme="minorEastAsia" w:hAnsiTheme="minorEastAsia" w:eastAsiaTheme="minorEastAsia" w:cstheme="minorEastAsia"/>
          <w:b/>
          <w:color w:val="auto"/>
          <w:spacing w:val="-20"/>
          <w:sz w:val="32"/>
          <w:szCs w:val="32"/>
          <w:highlight w:val="none"/>
        </w:rPr>
        <w:t>（</w:t>
      </w:r>
      <w:r>
        <w:rPr>
          <w:rFonts w:hint="eastAsia" w:asciiTheme="minorEastAsia" w:hAnsiTheme="minorEastAsia" w:eastAsiaTheme="minorEastAsia" w:cstheme="minorEastAsia"/>
          <w:b/>
          <w:color w:val="auto"/>
          <w:spacing w:val="-20"/>
          <w:sz w:val="32"/>
          <w:szCs w:val="32"/>
          <w:highlight w:val="none"/>
          <w:lang w:val="en-US" w:eastAsia="zh-CN"/>
        </w:rPr>
        <w:t>盖</w:t>
      </w:r>
      <w:r>
        <w:rPr>
          <w:rFonts w:hint="eastAsia" w:asciiTheme="minorEastAsia" w:hAnsiTheme="minorEastAsia" w:eastAsiaTheme="minorEastAsia" w:cstheme="minorEastAsia"/>
          <w:b/>
          <w:color w:val="auto"/>
          <w:spacing w:val="-20"/>
          <w:sz w:val="32"/>
          <w:szCs w:val="32"/>
          <w:highlight w:val="none"/>
        </w:rPr>
        <w:t>章)</w:t>
      </w:r>
    </w:p>
    <w:p>
      <w:pPr>
        <w:pStyle w:val="43"/>
        <w:spacing w:line="360" w:lineRule="auto"/>
        <w:ind w:firstLine="321" w:firstLineChars="100"/>
        <w:outlineLvl w:val="0"/>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联系人及联系电话：</w:t>
      </w:r>
      <w:r>
        <w:rPr>
          <w:rFonts w:hint="eastAsia" w:asciiTheme="minorEastAsia" w:hAnsiTheme="minorEastAsia" w:eastAsiaTheme="minorEastAsia" w:cstheme="minorEastAsia"/>
          <w:b/>
          <w:color w:val="auto"/>
          <w:kern w:val="0"/>
          <w:sz w:val="32"/>
          <w:szCs w:val="32"/>
          <w:highlight w:val="none"/>
          <w:lang w:val="en-US" w:eastAsia="zh-CN"/>
        </w:rPr>
        <w:t>蒲笑菲     18509997369</w:t>
      </w:r>
      <w:r>
        <w:rPr>
          <w:rFonts w:hint="eastAsia" w:asciiTheme="minorEastAsia" w:hAnsiTheme="minorEastAsia" w:eastAsiaTheme="minorEastAsia" w:cstheme="minorEastAsia"/>
          <w:b/>
          <w:color w:val="auto"/>
          <w:kern w:val="0"/>
          <w:sz w:val="32"/>
          <w:szCs w:val="32"/>
          <w:highlight w:val="none"/>
        </w:rPr>
        <w:t xml:space="preserve">    </w:t>
      </w:r>
    </w:p>
    <w:p>
      <w:pPr>
        <w:pStyle w:val="43"/>
        <w:spacing w:line="360" w:lineRule="auto"/>
        <w:outlineLvl w:val="0"/>
        <w:rPr>
          <w:rFonts w:hint="eastAsia" w:asciiTheme="minorEastAsia" w:hAnsiTheme="minorEastAsia" w:eastAsiaTheme="minorEastAsia" w:cstheme="minorEastAsia"/>
          <w:b/>
          <w:color w:val="auto"/>
          <w:kern w:val="0"/>
          <w:sz w:val="32"/>
          <w:szCs w:val="32"/>
          <w:highlight w:val="none"/>
        </w:rPr>
      </w:pPr>
    </w:p>
    <w:p>
      <w:pPr>
        <w:pStyle w:val="43"/>
        <w:spacing w:line="360" w:lineRule="auto"/>
        <w:ind w:firstLine="321" w:firstLineChars="100"/>
        <w:outlineLvl w:val="0"/>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代理机构：</w:t>
      </w:r>
      <w:r>
        <w:rPr>
          <w:rFonts w:hint="eastAsia" w:asciiTheme="minorEastAsia" w:hAnsiTheme="minorEastAsia" w:eastAsiaTheme="minorEastAsia" w:cstheme="minorEastAsia"/>
          <w:b/>
          <w:color w:val="auto"/>
          <w:kern w:val="0"/>
          <w:sz w:val="32"/>
          <w:szCs w:val="32"/>
          <w:highlight w:val="none"/>
          <w:lang w:eastAsia="zh-CN"/>
        </w:rPr>
        <w:t>新疆嘉扩项目管理咨询有限公司</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pacing w:val="-20"/>
          <w:sz w:val="32"/>
          <w:szCs w:val="32"/>
          <w:highlight w:val="none"/>
          <w:lang w:val="en-US" w:eastAsia="zh-CN"/>
        </w:rPr>
        <w:t>盖</w:t>
      </w:r>
      <w:r>
        <w:rPr>
          <w:rFonts w:hint="eastAsia" w:asciiTheme="minorEastAsia" w:hAnsiTheme="minorEastAsia" w:eastAsiaTheme="minorEastAsia" w:cstheme="minorEastAsia"/>
          <w:b/>
          <w:color w:val="auto"/>
          <w:sz w:val="32"/>
          <w:szCs w:val="32"/>
          <w:highlight w:val="none"/>
        </w:rPr>
        <w:t>章)</w:t>
      </w:r>
    </w:p>
    <w:p>
      <w:pPr>
        <w:pStyle w:val="43"/>
        <w:spacing w:line="360" w:lineRule="auto"/>
        <w:ind w:firstLine="321" w:firstLineChars="100"/>
        <w:jc w:val="both"/>
        <w:outlineLvl w:val="0"/>
        <w:rPr>
          <w:rFonts w:hint="eastAsia" w:asciiTheme="minorEastAsia" w:hAnsiTheme="minorEastAsia" w:eastAsiaTheme="minorEastAsia" w:cstheme="minorEastAsia"/>
          <w:b/>
          <w:color w:val="auto"/>
          <w:kern w:val="0"/>
          <w:sz w:val="32"/>
          <w:szCs w:val="32"/>
          <w:highlight w:val="none"/>
          <w:lang w:val="en-US" w:eastAsia="zh-CN"/>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0"/>
          <w:cols w:space="720" w:num="1"/>
          <w:rtlGutter w:val="0"/>
          <w:docGrid w:linePitch="312" w:charSpace="0"/>
        </w:sectPr>
      </w:pPr>
      <w:r>
        <w:rPr>
          <w:rFonts w:hint="eastAsia" w:asciiTheme="minorEastAsia" w:hAnsiTheme="minorEastAsia" w:eastAsiaTheme="minorEastAsia" w:cstheme="minorEastAsia"/>
          <w:b/>
          <w:color w:val="auto"/>
          <w:kern w:val="0"/>
          <w:sz w:val="32"/>
          <w:szCs w:val="32"/>
          <w:highlight w:val="none"/>
        </w:rPr>
        <w:t>联系人及联系电话：</w:t>
      </w:r>
      <w:r>
        <w:rPr>
          <w:rFonts w:hint="eastAsia" w:asciiTheme="minorEastAsia" w:hAnsiTheme="minorEastAsia" w:eastAsiaTheme="minorEastAsia" w:cstheme="minorEastAsia"/>
          <w:b/>
          <w:color w:val="auto"/>
          <w:kern w:val="0"/>
          <w:sz w:val="32"/>
          <w:szCs w:val="32"/>
          <w:highlight w:val="none"/>
          <w:lang w:val="en-US" w:eastAsia="zh-CN"/>
        </w:rPr>
        <w:t>徐毅飞、蒋璐泽</w:t>
      </w:r>
      <w:r>
        <w:rPr>
          <w:rFonts w:hint="eastAsia" w:asciiTheme="minorEastAsia" w:hAnsiTheme="minorEastAsia" w:eastAsiaTheme="minorEastAsia" w:cstheme="minorEastAsia"/>
          <w:b/>
          <w:color w:val="auto"/>
          <w:kern w:val="0"/>
          <w:sz w:val="32"/>
          <w:szCs w:val="32"/>
          <w:highlight w:val="none"/>
        </w:rPr>
        <w:t xml:space="preserve">     </w:t>
      </w:r>
      <w:r>
        <w:rPr>
          <w:rFonts w:hint="eastAsia" w:asciiTheme="minorEastAsia" w:hAnsiTheme="minorEastAsia" w:eastAsiaTheme="minorEastAsia" w:cstheme="minorEastAsia"/>
          <w:b/>
          <w:color w:val="auto"/>
          <w:kern w:val="0"/>
          <w:sz w:val="32"/>
          <w:szCs w:val="32"/>
          <w:highlight w:val="none"/>
          <w:lang w:val="en-US" w:eastAsia="zh-CN"/>
        </w:rPr>
        <w:t>15559347937</w:t>
      </w:r>
    </w:p>
    <w:p>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color w:val="auto"/>
          <w:sz w:val="44"/>
          <w:szCs w:val="44"/>
          <w:highlight w:val="none"/>
        </w:rPr>
        <w:t>目     录</w:t>
      </w:r>
    </w:p>
    <w:p>
      <w:pPr>
        <w:spacing w:line="300" w:lineRule="exact"/>
        <w:ind w:firstLine="420" w:firstLineChars="200"/>
        <w:jc w:val="center"/>
        <w:rPr>
          <w:rFonts w:hint="eastAsia" w:asciiTheme="minorEastAsia" w:hAnsiTheme="minorEastAsia" w:eastAsiaTheme="minorEastAsia" w:cstheme="minorEastAsia"/>
          <w:color w:val="auto"/>
          <w:highlight w:val="none"/>
        </w:rPr>
      </w:pPr>
    </w:p>
    <w:p>
      <w:pPr>
        <w:spacing w:line="300" w:lineRule="exact"/>
        <w:ind w:firstLine="560" w:firstLineChars="200"/>
        <w:jc w:val="center"/>
        <w:rPr>
          <w:rFonts w:hint="eastAsia" w:asciiTheme="minorEastAsia" w:hAnsiTheme="minorEastAsia" w:eastAsiaTheme="minorEastAsia" w:cstheme="minorEastAsia"/>
          <w:color w:val="auto"/>
          <w:sz w:val="28"/>
          <w:szCs w:val="28"/>
          <w:highlight w:val="none"/>
        </w:rPr>
      </w:pPr>
    </w:p>
    <w:p>
      <w:pPr>
        <w:spacing w:line="480" w:lineRule="auto"/>
        <w:jc w:val="distribut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招标公告……………………………………………………………………第1页</w:t>
      </w:r>
    </w:p>
    <w:p>
      <w:pPr>
        <w:spacing w:line="480" w:lineRule="auto"/>
        <w:jc w:val="distribute"/>
        <w:rPr>
          <w:rFonts w:hint="eastAsia" w:asciiTheme="minorEastAsia" w:hAnsiTheme="minorEastAsia" w:eastAsiaTheme="minorEastAsia" w:cstheme="minorEastAsia"/>
          <w:color w:val="auto"/>
          <w:sz w:val="28"/>
          <w:szCs w:val="28"/>
          <w:highlight w:val="none"/>
        </w:rPr>
      </w:pPr>
    </w:p>
    <w:p>
      <w:pPr>
        <w:spacing w:line="480" w:lineRule="auto"/>
        <w:jc w:val="distribut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第一章 投标</w:t>
      </w:r>
      <w:r>
        <w:rPr>
          <w:rFonts w:hint="eastAsia" w:asciiTheme="minorEastAsia" w:hAnsiTheme="minorEastAsia" w:eastAsiaTheme="minorEastAsia" w:cstheme="minorEastAsia"/>
          <w:color w:val="auto"/>
          <w:sz w:val="28"/>
          <w:szCs w:val="28"/>
          <w:highlight w:val="none"/>
          <w:lang w:eastAsia="zh-CN"/>
        </w:rPr>
        <w:t>人</w:t>
      </w:r>
      <w:r>
        <w:rPr>
          <w:rFonts w:hint="eastAsia" w:asciiTheme="minorEastAsia" w:hAnsiTheme="minorEastAsia" w:eastAsiaTheme="minorEastAsia" w:cstheme="minorEastAsia"/>
          <w:color w:val="auto"/>
          <w:sz w:val="28"/>
          <w:szCs w:val="28"/>
          <w:highlight w:val="none"/>
        </w:rPr>
        <w:t>须知前附表…………………………………………………第</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页</w:t>
      </w:r>
    </w:p>
    <w:p>
      <w:pPr>
        <w:spacing w:line="480" w:lineRule="auto"/>
        <w:jc w:val="distribute"/>
        <w:rPr>
          <w:rFonts w:hint="eastAsia" w:asciiTheme="minorEastAsia" w:hAnsiTheme="minorEastAsia" w:eastAsiaTheme="minorEastAsia" w:cstheme="minorEastAsia"/>
          <w:color w:val="auto"/>
          <w:sz w:val="28"/>
          <w:szCs w:val="28"/>
          <w:highlight w:val="none"/>
        </w:rPr>
      </w:pPr>
    </w:p>
    <w:p>
      <w:pPr>
        <w:numPr>
          <w:ilvl w:val="0"/>
          <w:numId w:val="0"/>
        </w:numPr>
        <w:spacing w:line="480" w:lineRule="auto"/>
        <w:ind w:leftChars="0"/>
        <w:jc w:val="distribut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第二章</w:t>
      </w:r>
      <w:r>
        <w:rPr>
          <w:rFonts w:hint="eastAsia" w:asciiTheme="minorEastAsia" w:hAnsiTheme="minorEastAsia" w:eastAsiaTheme="minorEastAsia" w:cstheme="minorEastAsia"/>
          <w:color w:val="auto"/>
          <w:sz w:val="28"/>
          <w:szCs w:val="28"/>
          <w:highlight w:val="none"/>
        </w:rPr>
        <w:t xml:space="preserve"> 投标</w:t>
      </w:r>
      <w:r>
        <w:rPr>
          <w:rFonts w:hint="eastAsia" w:asciiTheme="minorEastAsia" w:hAnsiTheme="minorEastAsia" w:eastAsiaTheme="minorEastAsia" w:cstheme="minorEastAsia"/>
          <w:color w:val="auto"/>
          <w:sz w:val="28"/>
          <w:szCs w:val="28"/>
          <w:highlight w:val="none"/>
          <w:lang w:eastAsia="zh-CN"/>
        </w:rPr>
        <w:t>人</w:t>
      </w:r>
      <w:r>
        <w:rPr>
          <w:rFonts w:hint="eastAsia" w:asciiTheme="minorEastAsia" w:hAnsiTheme="minorEastAsia" w:eastAsiaTheme="minorEastAsia" w:cstheme="minorEastAsia"/>
          <w:color w:val="auto"/>
          <w:sz w:val="28"/>
          <w:szCs w:val="28"/>
          <w:highlight w:val="none"/>
        </w:rPr>
        <w:t>须知…………………………………………………………第</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页</w:t>
      </w:r>
    </w:p>
    <w:p>
      <w:pPr>
        <w:pStyle w:val="19"/>
        <w:jc w:val="distribute"/>
        <w:rPr>
          <w:rFonts w:hint="eastAsia" w:asciiTheme="minorEastAsia" w:hAnsiTheme="minorEastAsia" w:eastAsiaTheme="minorEastAsia" w:cstheme="minorEastAsia"/>
          <w:color w:val="auto"/>
          <w:sz w:val="28"/>
          <w:szCs w:val="28"/>
          <w:highlight w:val="none"/>
        </w:rPr>
      </w:pPr>
    </w:p>
    <w:p>
      <w:pPr>
        <w:pStyle w:val="19"/>
        <w:jc w:val="distribute"/>
        <w:rPr>
          <w:rFonts w:hint="eastAsia" w:asciiTheme="minorEastAsia" w:hAnsiTheme="minorEastAsia" w:eastAsiaTheme="minorEastAsia" w:cstheme="minorEastAsia"/>
          <w:color w:val="auto"/>
          <w:sz w:val="28"/>
          <w:szCs w:val="28"/>
          <w:highlight w:val="none"/>
        </w:rPr>
      </w:pPr>
    </w:p>
    <w:p>
      <w:pPr>
        <w:spacing w:line="480" w:lineRule="auto"/>
        <w:jc w:val="distribut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第三章 评标办法…………………………………………………………第</w:t>
      </w:r>
      <w:r>
        <w:rPr>
          <w:rFonts w:hint="eastAsia" w:asciiTheme="minorEastAsia" w:hAnsiTheme="minorEastAsia" w:eastAsiaTheme="minorEastAsia" w:cstheme="minorEastAsia"/>
          <w:color w:val="auto"/>
          <w:sz w:val="28"/>
          <w:szCs w:val="28"/>
          <w:highlight w:val="none"/>
          <w:lang w:val="en-US" w:eastAsia="zh-CN"/>
        </w:rPr>
        <w:t>22</w:t>
      </w:r>
      <w:r>
        <w:rPr>
          <w:rFonts w:hint="eastAsia" w:asciiTheme="minorEastAsia" w:hAnsiTheme="minorEastAsia" w:eastAsiaTheme="minorEastAsia" w:cstheme="minorEastAsia"/>
          <w:color w:val="auto"/>
          <w:sz w:val="28"/>
          <w:szCs w:val="28"/>
          <w:highlight w:val="none"/>
        </w:rPr>
        <w:t>页</w:t>
      </w:r>
    </w:p>
    <w:p>
      <w:pPr>
        <w:pStyle w:val="19"/>
        <w:jc w:val="distribute"/>
        <w:rPr>
          <w:rFonts w:hint="eastAsia" w:asciiTheme="minorEastAsia" w:hAnsiTheme="minorEastAsia" w:eastAsiaTheme="minorEastAsia" w:cstheme="minorEastAsia"/>
          <w:color w:val="auto"/>
          <w:sz w:val="28"/>
          <w:szCs w:val="28"/>
          <w:highlight w:val="none"/>
        </w:rPr>
      </w:pPr>
    </w:p>
    <w:p>
      <w:pPr>
        <w:widowControl/>
        <w:jc w:val="distribute"/>
        <w:rPr>
          <w:rFonts w:hint="eastAsia" w:asciiTheme="minorEastAsia" w:hAnsiTheme="minorEastAsia" w:eastAsiaTheme="minorEastAsia" w:cstheme="minorEastAsia"/>
          <w:color w:val="auto"/>
          <w:sz w:val="28"/>
          <w:szCs w:val="28"/>
          <w:highlight w:val="none"/>
        </w:rPr>
      </w:pPr>
    </w:p>
    <w:p>
      <w:pPr>
        <w:spacing w:line="480" w:lineRule="auto"/>
        <w:jc w:val="distribut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第四章 合同条款及格式…………………………………………………第</w:t>
      </w:r>
      <w:r>
        <w:rPr>
          <w:rFonts w:hint="eastAsia" w:asciiTheme="minorEastAsia" w:hAnsiTheme="minorEastAsia" w:eastAsiaTheme="minorEastAsia" w:cstheme="minorEastAsia"/>
          <w:color w:val="auto"/>
          <w:sz w:val="28"/>
          <w:szCs w:val="28"/>
          <w:highlight w:val="none"/>
          <w:lang w:val="en-US" w:eastAsia="zh-CN"/>
        </w:rPr>
        <w:t>28</w:t>
      </w:r>
      <w:r>
        <w:rPr>
          <w:rFonts w:hint="eastAsia" w:asciiTheme="minorEastAsia" w:hAnsiTheme="minorEastAsia" w:eastAsiaTheme="minorEastAsia" w:cstheme="minorEastAsia"/>
          <w:color w:val="auto"/>
          <w:sz w:val="28"/>
          <w:szCs w:val="28"/>
          <w:highlight w:val="none"/>
        </w:rPr>
        <w:t>页</w:t>
      </w:r>
    </w:p>
    <w:p>
      <w:pPr>
        <w:spacing w:line="480" w:lineRule="auto"/>
        <w:jc w:val="distribute"/>
        <w:rPr>
          <w:rFonts w:hint="eastAsia" w:asciiTheme="minorEastAsia" w:hAnsiTheme="minorEastAsia" w:eastAsiaTheme="minorEastAsia" w:cstheme="minorEastAsia"/>
          <w:color w:val="auto"/>
          <w:sz w:val="28"/>
          <w:szCs w:val="28"/>
          <w:highlight w:val="none"/>
        </w:rPr>
      </w:pPr>
    </w:p>
    <w:p>
      <w:pPr>
        <w:spacing w:line="480" w:lineRule="auto"/>
        <w:jc w:val="distribut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第五章</w:t>
      </w:r>
      <w:r>
        <w:rPr>
          <w:rFonts w:hint="eastAsia" w:asciiTheme="minorEastAsia" w:hAnsiTheme="minorEastAsia" w:eastAsiaTheme="minorEastAsia" w:cstheme="minorEastAsia"/>
          <w:color w:val="auto"/>
          <w:sz w:val="28"/>
          <w:szCs w:val="28"/>
          <w:highlight w:val="none"/>
          <w:lang w:val="en-US" w:eastAsia="zh-CN"/>
        </w:rPr>
        <w:t xml:space="preserve"> 项目采购需求</w:t>
      </w:r>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39</w:t>
      </w:r>
      <w:r>
        <w:rPr>
          <w:rFonts w:hint="eastAsia" w:asciiTheme="minorEastAsia" w:hAnsiTheme="minorEastAsia" w:eastAsiaTheme="minorEastAsia" w:cstheme="minorEastAsia"/>
          <w:color w:val="auto"/>
          <w:sz w:val="28"/>
          <w:szCs w:val="28"/>
          <w:highlight w:val="none"/>
        </w:rPr>
        <w:t>页</w:t>
      </w:r>
    </w:p>
    <w:p>
      <w:pPr>
        <w:spacing w:line="480" w:lineRule="auto"/>
        <w:jc w:val="distribute"/>
        <w:rPr>
          <w:rFonts w:hint="eastAsia" w:asciiTheme="minorEastAsia" w:hAnsiTheme="minorEastAsia" w:eastAsiaTheme="minorEastAsia" w:cstheme="minorEastAsia"/>
          <w:b/>
          <w:color w:val="auto"/>
          <w:sz w:val="28"/>
          <w:szCs w:val="28"/>
          <w:highlight w:val="none"/>
        </w:rPr>
      </w:pPr>
    </w:p>
    <w:p>
      <w:pPr>
        <w:spacing w:line="480" w:lineRule="auto"/>
        <w:jc w:val="distribut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第六章 投标文件部分格</w:t>
      </w:r>
      <w:r>
        <w:rPr>
          <w:rFonts w:hint="eastAsia" w:asciiTheme="minorEastAsia" w:hAnsiTheme="minorEastAsia" w:eastAsiaTheme="minorEastAsia" w:cstheme="minorEastAsia"/>
          <w:color w:val="auto"/>
          <w:kern w:val="0"/>
          <w:sz w:val="28"/>
          <w:szCs w:val="28"/>
          <w:highlight w:val="none"/>
        </w:rPr>
        <w:t>式</w:t>
      </w:r>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42</w:t>
      </w:r>
      <w:r>
        <w:rPr>
          <w:rFonts w:hint="eastAsia" w:asciiTheme="minorEastAsia" w:hAnsiTheme="minorEastAsia" w:eastAsiaTheme="minorEastAsia" w:cstheme="minorEastAsia"/>
          <w:color w:val="auto"/>
          <w:sz w:val="28"/>
          <w:szCs w:val="28"/>
          <w:highlight w:val="none"/>
        </w:rPr>
        <w:t>页</w:t>
      </w:r>
    </w:p>
    <w:p>
      <w:pPr>
        <w:spacing w:before="120" w:beforeLines="50" w:after="120" w:afterLines="50" w:line="480" w:lineRule="auto"/>
        <w:jc w:val="center"/>
        <w:rPr>
          <w:rFonts w:hint="eastAsia" w:asciiTheme="minorEastAsia" w:hAnsiTheme="minorEastAsia" w:eastAsiaTheme="minorEastAsia" w:cstheme="minorEastAsia"/>
          <w:b/>
          <w:color w:val="auto"/>
          <w:sz w:val="36"/>
          <w:highlight w:val="none"/>
        </w:rPr>
      </w:pPr>
    </w:p>
    <w:p>
      <w:pPr>
        <w:spacing w:before="120" w:beforeLines="50" w:after="120" w:afterLines="50"/>
        <w:jc w:val="center"/>
        <w:rPr>
          <w:rFonts w:hint="eastAsia" w:asciiTheme="minorEastAsia" w:hAnsiTheme="minorEastAsia" w:eastAsiaTheme="minorEastAsia" w:cstheme="minorEastAsia"/>
          <w:b/>
          <w:color w:val="auto"/>
          <w:sz w:val="36"/>
          <w:highlight w:val="none"/>
        </w:rPr>
      </w:pPr>
    </w:p>
    <w:p>
      <w:pPr>
        <w:spacing w:before="120" w:beforeLines="50" w:after="120" w:afterLines="50"/>
        <w:jc w:val="center"/>
        <w:rPr>
          <w:rFonts w:hint="eastAsia" w:asciiTheme="minorEastAsia" w:hAnsiTheme="minorEastAsia" w:eastAsiaTheme="minorEastAsia" w:cstheme="minorEastAsia"/>
          <w:b/>
          <w:color w:val="auto"/>
          <w:sz w:val="36"/>
          <w:highlight w:val="none"/>
        </w:rPr>
      </w:pPr>
    </w:p>
    <w:p>
      <w:pPr>
        <w:pStyle w:val="7"/>
        <w:keepNext w:val="0"/>
        <w:keepLines w:val="0"/>
        <w:widowControl/>
        <w:spacing w:before="0" w:after="0" w:line="400" w:lineRule="exact"/>
        <w:jc w:val="center"/>
        <w:rPr>
          <w:rFonts w:hint="eastAsia" w:asciiTheme="minorEastAsia" w:hAnsiTheme="minorEastAsia" w:eastAsiaTheme="minorEastAsia" w:cstheme="minorEastAsia"/>
          <w:color w:val="auto"/>
          <w:sz w:val="36"/>
          <w:szCs w:val="36"/>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247" w:right="1247" w:bottom="1247" w:left="1247" w:header="851" w:footer="851" w:gutter="0"/>
          <w:pgNumType w:fmt="decimal" w:start="1"/>
          <w:cols w:space="720" w:num="1"/>
          <w:rtlGutter w:val="0"/>
          <w:docGrid w:linePitch="462" w:charSpace="0"/>
        </w:sectPr>
      </w:pPr>
      <w:bookmarkStart w:id="0" w:name="_Toc6911_WPSOffice_Level1"/>
    </w:p>
    <w:bookmarkEnd w:id="0"/>
    <w:p>
      <w:pPr>
        <w:pStyle w:val="7"/>
        <w:keepNext/>
        <w:keepLines w:val="0"/>
        <w:pageBreakBefore w:val="0"/>
        <w:widowControl/>
        <w:kinsoku/>
        <w:wordWrap/>
        <w:overflowPunct/>
        <w:topLinePunct w:val="0"/>
        <w:autoSpaceDE/>
        <w:autoSpaceDN/>
        <w:bidi w:val="0"/>
        <w:adjustRightInd/>
        <w:snapToGrid/>
        <w:spacing w:before="0" w:after="0" w:line="460" w:lineRule="exact"/>
        <w:jc w:val="center"/>
        <w:textAlignment w:val="auto"/>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en-US" w:eastAsia="zh-CN"/>
        </w:rPr>
        <w:t>伊宁市培育百万人口初步研究项目公开招标</w:t>
      </w:r>
      <w:r>
        <w:rPr>
          <w:rFonts w:hint="eastAsia" w:asciiTheme="minorEastAsia" w:hAnsiTheme="minorEastAsia" w:eastAsiaTheme="minorEastAsia" w:cstheme="minorEastAsia"/>
          <w:color w:val="auto"/>
          <w:sz w:val="36"/>
          <w:szCs w:val="36"/>
          <w:highlight w:val="none"/>
        </w:rPr>
        <w:t>公告</w:t>
      </w:r>
    </w:p>
    <w:p>
      <w:pPr>
        <w:keepNext/>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highlight w:val="none"/>
          <w:lang w:eastAsia="zh-CN"/>
        </w:rPr>
      </w:pP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5408" behindDoc="1" locked="0" layoutInCell="1" allowOverlap="1">
                <wp:simplePos x="0" y="0"/>
                <wp:positionH relativeFrom="column">
                  <wp:posOffset>-114935</wp:posOffset>
                </wp:positionH>
                <wp:positionV relativeFrom="paragraph">
                  <wp:posOffset>40640</wp:posOffset>
                </wp:positionV>
                <wp:extent cx="6181725" cy="1219200"/>
                <wp:effectExtent l="6350" t="6350" r="22225" b="12700"/>
                <wp:wrapNone/>
                <wp:docPr id="2" name="矩形 1"/>
                <wp:cNvGraphicFramePr/>
                <a:graphic xmlns:a="http://schemas.openxmlformats.org/drawingml/2006/main">
                  <a:graphicData uri="http://schemas.microsoft.com/office/word/2010/wordprocessingShape">
                    <wps:wsp>
                      <wps:cNvSpPr/>
                      <wps:spPr>
                        <a:xfrm>
                          <a:off x="0" y="0"/>
                          <a:ext cx="5867400" cy="11430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矩形 1" o:spid="_x0000_s1026" o:spt="1" style="position:absolute;left:0pt;margin-left:-9.05pt;margin-top:3.2pt;height:96pt;width:486.75pt;z-index:-251651072;mso-width-relative:page;mso-height-relative:page;" fillcolor="#FFFFFF" filled="t" stroked="t" coordsize="21600,21600" o:gfxdata="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qP0aNsAAAAJAQAADwAAAAAAAAABACAAAAAi&#10;AAAAZHJzL2Rvd25yZXYueG1sUEsBAhQAFAAAAAgAh07iQEtHZIwHAgAAOQQAAA4AAAAAAAAAAQAg&#10;AAAAKgEAAGRycy9lMm9Eb2MueG1sUEsFBgAAAAAGAAYAWQEAAKMFAAAAAA==&#10;">
                <v:fill on="t" focussize="0,0"/>
                <v:stroke weight="1pt" color="#000000" joinstyle="miter"/>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项目概况</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伊宁市培育百万人口初步研究项目</w:t>
      </w:r>
      <w:r>
        <w:rPr>
          <w:rFonts w:hint="eastAsia" w:asciiTheme="minorEastAsia" w:hAnsiTheme="minorEastAsia" w:eastAsiaTheme="minorEastAsia" w:cstheme="minorEastAsia"/>
          <w:color w:val="auto"/>
          <w:sz w:val="24"/>
          <w:szCs w:val="24"/>
          <w:highlight w:val="none"/>
        </w:rPr>
        <w:t>的潜在</w:t>
      </w:r>
      <w:r>
        <w:rPr>
          <w:rFonts w:hint="eastAsia" w:asciiTheme="minorEastAsia" w:hAnsiTheme="minorEastAsia" w:eastAsiaTheme="minorEastAsia" w:cstheme="minorEastAsia"/>
          <w:color w:val="auto"/>
          <w:sz w:val="24"/>
          <w:szCs w:val="24"/>
          <w:highlight w:val="none"/>
          <w:lang w:eastAsia="zh-CN"/>
        </w:rPr>
        <w:t>投标人应在政采云平</w:t>
      </w:r>
      <w:r>
        <w:rPr>
          <w:rFonts w:hint="eastAsia" w:asciiTheme="minorEastAsia" w:hAnsiTheme="minorEastAsia" w:eastAsiaTheme="minorEastAsia" w:cstheme="minorEastAsia"/>
          <w:color w:val="auto"/>
          <w:sz w:val="24"/>
          <w:szCs w:val="24"/>
          <w:highlight w:val="none"/>
          <w:lang w:val="en-US" w:eastAsia="zh-CN"/>
        </w:rPr>
        <w:t>台</w:t>
      </w:r>
      <w:r>
        <w:rPr>
          <w:rFonts w:hint="eastAsia" w:asciiTheme="minorEastAsia" w:hAnsiTheme="minorEastAsia" w:eastAsiaTheme="minorEastAsia" w:cstheme="minorEastAsia"/>
          <w:color w:val="auto"/>
          <w:sz w:val="24"/>
          <w:szCs w:val="24"/>
          <w:highlight w:val="none"/>
          <w:lang w:eastAsia="zh-CN"/>
        </w:rPr>
        <w:t>https://www.zcygov.cn/获取招标文件</w:t>
      </w:r>
      <w:r>
        <w:rPr>
          <w:rFonts w:hint="eastAsia" w:asciiTheme="minorEastAsia" w:hAnsiTheme="minorEastAsia" w:eastAsiaTheme="minorEastAsia" w:cstheme="minorEastAsia"/>
          <w:color w:val="auto"/>
          <w:sz w:val="24"/>
          <w:szCs w:val="24"/>
          <w:highlight w:val="none"/>
        </w:rPr>
        <w:t>，并于</w:t>
      </w:r>
      <w:r>
        <w:rPr>
          <w:rFonts w:hint="eastAsia" w:asciiTheme="minorEastAsia" w:hAnsiTheme="minorEastAsia" w:eastAsiaTheme="minorEastAsia" w:cstheme="minorEastAsia"/>
          <w:color w:val="auto"/>
          <w:sz w:val="24"/>
          <w:szCs w:val="24"/>
          <w:highlight w:val="none"/>
          <w:lang w:eastAsia="zh-CN"/>
        </w:rPr>
        <w:t>2023年07月1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日16:30</w:t>
      </w:r>
      <w:r>
        <w:rPr>
          <w:rFonts w:hint="eastAsia" w:asciiTheme="minorEastAsia" w:hAnsiTheme="minorEastAsia" w:eastAsiaTheme="minorEastAsia" w:cstheme="minorEastAsia"/>
          <w:color w:val="auto"/>
          <w:sz w:val="24"/>
          <w:szCs w:val="24"/>
          <w:highlight w:val="none"/>
        </w:rPr>
        <w:t>（北京时间）前递交</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Style w:val="25"/>
          <w:rFonts w:hint="eastAsia" w:asciiTheme="minorEastAsia" w:hAnsiTheme="minorEastAsia" w:eastAsiaTheme="minorEastAsia" w:cstheme="minorEastAsia"/>
          <w:color w:val="auto"/>
          <w:sz w:val="24"/>
          <w:szCs w:val="24"/>
          <w:highlight w:val="none"/>
          <w:lang w:eastAsia="zh-CN"/>
        </w:rPr>
      </w:pP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Style w:val="25"/>
          <w:rFonts w:hint="eastAsia" w:asciiTheme="minorEastAsia" w:hAnsiTheme="minorEastAsia" w:eastAsiaTheme="minorEastAsia" w:cstheme="minorEastAsia"/>
          <w:color w:val="auto"/>
          <w:sz w:val="24"/>
          <w:szCs w:val="24"/>
          <w:highlight w:val="none"/>
        </w:rPr>
      </w:pPr>
      <w:r>
        <w:rPr>
          <w:rStyle w:val="25"/>
          <w:rFonts w:hint="eastAsia" w:asciiTheme="minorEastAsia" w:hAnsiTheme="minorEastAsia" w:eastAsiaTheme="minorEastAsia" w:cstheme="minorEastAsia"/>
          <w:color w:val="auto"/>
          <w:sz w:val="24"/>
          <w:szCs w:val="24"/>
          <w:highlight w:val="none"/>
          <w:lang w:eastAsia="zh-CN"/>
        </w:rPr>
        <w:t>一、项目基本情况：</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XJJKZB-YL2023-017</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伊宁市培育百万人口初步研究项目</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w:t>
      </w:r>
      <w:r>
        <w:rPr>
          <w:rFonts w:hint="eastAsia" w:asciiTheme="minorEastAsia" w:hAnsiTheme="minorEastAsia" w:eastAsiaTheme="minorEastAsia" w:cstheme="minorEastAsia"/>
          <w:color w:val="auto"/>
          <w:sz w:val="24"/>
          <w:szCs w:val="24"/>
          <w:highlight w:val="none"/>
          <w:lang w:eastAsia="zh-CN"/>
        </w:rPr>
        <w:t>公开招标</w:t>
      </w:r>
      <w:r>
        <w:rPr>
          <w:rFonts w:hint="eastAsia" w:asciiTheme="minorEastAsia" w:hAnsiTheme="minorEastAsia" w:eastAsiaTheme="minorEastAsia" w:cstheme="minorEastAsia"/>
          <w:color w:val="auto"/>
          <w:sz w:val="24"/>
          <w:szCs w:val="24"/>
          <w:highlight w:val="none"/>
        </w:rPr>
        <w:t>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预算金额（元）：</w:t>
      </w:r>
      <w:r>
        <w:rPr>
          <w:rFonts w:hint="eastAsia" w:asciiTheme="minorEastAsia" w:hAnsiTheme="minorEastAsia" w:eastAsiaTheme="minorEastAsia" w:cstheme="minorEastAsia"/>
          <w:color w:val="auto"/>
          <w:sz w:val="24"/>
          <w:szCs w:val="24"/>
          <w:highlight w:val="none"/>
          <w:lang w:val="en-US" w:eastAsia="zh-CN"/>
        </w:rPr>
        <w:t>1500000.00</w:t>
      </w:r>
      <w:r>
        <w:rPr>
          <w:rFonts w:hint="eastAsia" w:asciiTheme="minorEastAsia" w:hAnsiTheme="minorEastAsia" w:eastAsiaTheme="minorEastAsia" w:cstheme="minorEastAsia"/>
          <w:color w:val="auto"/>
          <w:sz w:val="24"/>
          <w:szCs w:val="24"/>
          <w:highlight w:val="none"/>
        </w:rPr>
        <w:t>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最高限价（元）：</w:t>
      </w:r>
      <w:r>
        <w:rPr>
          <w:rFonts w:hint="eastAsia" w:asciiTheme="minorEastAsia" w:hAnsiTheme="minorEastAsia" w:eastAsiaTheme="minorEastAsia" w:cstheme="minorEastAsia"/>
          <w:color w:val="auto"/>
          <w:sz w:val="24"/>
          <w:szCs w:val="24"/>
          <w:highlight w:val="none"/>
          <w:lang w:val="en-US" w:eastAsia="zh-CN"/>
        </w:rPr>
        <w:t>1500000.00</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79" w:leftChars="228" w:right="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eastAsia="zh-CN"/>
        </w:rPr>
        <w:t>采购需求：对伊宁市培育百万人口大城市进行初步研究，主要研究伊宁市人口发展现状，制约培养百万人口的主要因素，初步分析环境承载能力、水资源承载能力，对比国内各级城市进行研究，提出推动伊宁市培育百万人口大城市发展的初步思路和政策建议。</w:t>
      </w:r>
      <w:r>
        <w:rPr>
          <w:rFonts w:hint="eastAsia" w:asciiTheme="minorEastAsia" w:hAnsiTheme="minorEastAsia" w:eastAsiaTheme="minorEastAsia" w:cstheme="minorEastAsia"/>
          <w:color w:val="auto"/>
          <w:kern w:val="0"/>
          <w:sz w:val="24"/>
          <w:szCs w:val="24"/>
          <w:highlight w:val="none"/>
          <w:lang w:val="en-US" w:eastAsia="zh-CN" w:bidi="ar"/>
        </w:rPr>
        <w:t>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标项名称：</w:t>
      </w:r>
      <w:r>
        <w:rPr>
          <w:rFonts w:hint="eastAsia" w:asciiTheme="minorEastAsia" w:hAnsiTheme="minorEastAsia" w:eastAsiaTheme="minorEastAsia" w:cstheme="minorEastAsia"/>
          <w:color w:val="auto"/>
          <w:sz w:val="24"/>
          <w:szCs w:val="24"/>
          <w:highlight w:val="none"/>
          <w:lang w:eastAsia="zh-CN"/>
        </w:rPr>
        <w:t>伊宁市培育百万人口初步研究项目</w:t>
      </w:r>
      <w:r>
        <w:rPr>
          <w:rFonts w:hint="eastAsia" w:asciiTheme="minorEastAsia" w:hAnsiTheme="minorEastAsia" w:eastAsiaTheme="minorEastAsia" w:cstheme="minorEastAsia"/>
          <w:color w:val="auto"/>
          <w:sz w:val="24"/>
          <w:szCs w:val="24"/>
          <w:highlight w:val="none"/>
          <w:lang w:val="en-US" w:eastAsia="zh-CN"/>
        </w:rPr>
        <w:t>(一标段）</w:t>
      </w:r>
      <w:r>
        <w:rPr>
          <w:rFonts w:hint="eastAsia" w:asciiTheme="minorEastAsia" w:hAnsiTheme="minorEastAsia" w:eastAsiaTheme="minorEastAsia" w:cstheme="minorEastAsia"/>
          <w:color w:val="auto"/>
          <w:kern w:val="0"/>
          <w:sz w:val="24"/>
          <w:szCs w:val="24"/>
          <w:highlight w:val="none"/>
          <w:lang w:val="en-US" w:eastAsia="zh-CN" w:bidi="ar"/>
        </w:rPr>
        <w:t>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数量：一批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预算金额（元）：1500000.00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79" w:leftChars="228" w:right="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简要规格描述或项目基本概况介绍、用途：为深入贯彻落实第三次中央新疆工作座谈会精神，完整准确贯彻新时代党的治疆方略，牢牢把握新疆自治区关于把伊宁市“打造北疆城市带区域中心城市”的定位要求，立足伊宁市人口发展现状及资源环境承载能力，坚持目标导向、问题导向、结果导向，以伊宁市城市发展和人口聚集现状情况为基础，系统梳理伊宁市城市能级、人口聚集基本条件。政策导向、工作步骤，提出将伊宁市提升为百万级城市的实施路径。对伊宁市培育百万人口大城市进行初步研究，主要研究伊宁市人口发展现状，制约培养百万人口的主要因素，初步分析环境承载能力、水资源承载能力，对比国内各级城市进行研究，构建 10 人左右的研究团队，研究团队由正高级职称人员领队。</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合同履约期限：自签订合同之日起60日历日内完成。</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本项目（否）接受联合体投标。</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Style w:val="25"/>
          <w:rFonts w:hint="eastAsia" w:asciiTheme="minorEastAsia" w:hAnsiTheme="minorEastAsia" w:eastAsiaTheme="minorEastAsia" w:cstheme="minorEastAsia"/>
          <w:color w:val="auto"/>
          <w:sz w:val="24"/>
          <w:szCs w:val="24"/>
          <w:highlight w:val="none"/>
        </w:rPr>
      </w:pP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Theme="minorEastAsia" w:hAnsiTheme="minorEastAsia" w:eastAsiaTheme="minorEastAsia" w:cstheme="minorEastAsia"/>
          <w:color w:val="auto"/>
          <w:sz w:val="24"/>
          <w:szCs w:val="24"/>
          <w:highlight w:val="none"/>
        </w:rPr>
      </w:pPr>
      <w:r>
        <w:rPr>
          <w:rStyle w:val="25"/>
          <w:rFonts w:hint="eastAsia" w:asciiTheme="minorEastAsia" w:hAnsiTheme="minorEastAsia" w:eastAsiaTheme="minorEastAsia" w:cstheme="minorEastAsia"/>
          <w:color w:val="auto"/>
          <w:sz w:val="24"/>
          <w:szCs w:val="24"/>
          <w:highlight w:val="none"/>
        </w:rPr>
        <w:t>二、申请人的资格要求：</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1.满足《中华人民共和国政府采购法》第二十二条规定；</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2.落实政府采购政策需满足的资格要求；</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79" w:leftChars="228" w:right="0" w:firstLine="0" w:firstLineChars="0"/>
        <w:textAlignment w:val="auto"/>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en-US" w:eastAsia="zh-CN"/>
        </w:rPr>
        <w:t>3.本项目的特定资格要求：（1）具有工程咨询单位综合乙级及以上资信资质；（2）申请人信誉良好，未处于被责令停业，投标资格被取消，财产被接管、冻结、破产状态；在最近三年内没有骗取中标行为和严重违约及重大工程质量、安全事故；（3）被“中国执行信息公开网” （http://zxgk.court.gov.cn/）中列入失信被执行人、“信用中国”网站（www.creditchina.gov.cn）中列入重大税收违法失信主体、“中国政府采购网”（www.ccgp.gov.cn）列入政府采购严重违法失信行为记录名单（处罚期限尚未届满的）、“中国裁判文书网”网站（http://wenshu.court.gov.cn）中列入记录综合查询被执行人的供应商，不得参加本次项目的政府采购活动。（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Theme="minorEastAsia" w:hAnsiTheme="minorEastAsia" w:eastAsiaTheme="minorEastAsia" w:cstheme="minorEastAsia"/>
          <w:color w:val="auto"/>
          <w:sz w:val="24"/>
          <w:szCs w:val="24"/>
          <w:highlight w:val="none"/>
        </w:rPr>
      </w:pPr>
      <w:r>
        <w:rPr>
          <w:rStyle w:val="25"/>
          <w:rFonts w:hint="eastAsia" w:asciiTheme="minorEastAsia" w:hAnsiTheme="minorEastAsia" w:eastAsiaTheme="minorEastAsia" w:cstheme="minorEastAsia"/>
          <w:color w:val="auto"/>
          <w:sz w:val="24"/>
          <w:szCs w:val="24"/>
          <w:highlight w:val="none"/>
        </w:rPr>
        <w:t>三、获取</w:t>
      </w:r>
      <w:r>
        <w:rPr>
          <w:rStyle w:val="25"/>
          <w:rFonts w:hint="eastAsia" w:asciiTheme="minorEastAsia" w:hAnsiTheme="minorEastAsia" w:eastAsiaTheme="minorEastAsia" w:cstheme="minorEastAsia"/>
          <w:color w:val="auto"/>
          <w:sz w:val="24"/>
          <w:szCs w:val="24"/>
          <w:highlight w:val="none"/>
          <w:lang w:eastAsia="zh-CN"/>
        </w:rPr>
        <w:t>招标</w:t>
      </w:r>
      <w:r>
        <w:rPr>
          <w:rStyle w:val="25"/>
          <w:rFonts w:hint="eastAsia" w:asciiTheme="minorEastAsia" w:hAnsiTheme="minorEastAsia" w:eastAsiaTheme="minorEastAsia" w:cstheme="minorEastAsia"/>
          <w:color w:val="auto"/>
          <w:sz w:val="24"/>
          <w:szCs w:val="24"/>
          <w:highlight w:val="none"/>
        </w:rPr>
        <w:t>文件</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2023年06月26日至2023年07月06日</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每天上午</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0:00至1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:00，下午1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:00至2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lang w:eastAsia="zh-CN"/>
        </w:rPr>
        <w:t>（北京时间）</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eastAsia="zh-CN"/>
        </w:rPr>
        <w:t>：供应商登录政采云平台https://www.zcygov.cn/在线申请获取采购文件（进入“项目采购”应用，在获取采购文件菜单中选择项目，申请获取采购文件）</w:t>
      </w:r>
      <w:r>
        <w:rPr>
          <w:rFonts w:hint="eastAsia" w:asciiTheme="minorEastAsia" w:hAnsiTheme="minorEastAsia" w:eastAsiaTheme="minorEastAsia" w:cstheme="minorEastAsia"/>
          <w:color w:val="auto"/>
          <w:sz w:val="24"/>
          <w:szCs w:val="24"/>
          <w:highlight w:val="none"/>
          <w:lang w:val="en-US" w:eastAsia="zh-CN"/>
        </w:rPr>
        <w:t>。</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售价（元）：</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Theme="minorEastAsia" w:hAnsiTheme="minorEastAsia" w:eastAsiaTheme="minorEastAsia" w:cstheme="minorEastAsia"/>
          <w:color w:val="auto"/>
          <w:sz w:val="24"/>
          <w:szCs w:val="24"/>
          <w:highlight w:val="none"/>
        </w:rPr>
      </w:pPr>
      <w:r>
        <w:rPr>
          <w:rStyle w:val="25"/>
          <w:rFonts w:hint="eastAsia" w:asciiTheme="minorEastAsia" w:hAnsiTheme="minorEastAsia" w:eastAsiaTheme="minorEastAsia" w:cstheme="minorEastAsia"/>
          <w:color w:val="auto"/>
          <w:sz w:val="24"/>
          <w:szCs w:val="24"/>
          <w:highlight w:val="none"/>
        </w:rPr>
        <w:t>四、提交投标文件截止时间、开标时间和地点</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提交投标文件截止时间</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2023年07月1</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eastAsia="zh-CN"/>
        </w:rPr>
        <w:t>日16:30</w:t>
      </w:r>
      <w:r>
        <w:rPr>
          <w:rFonts w:hint="eastAsia" w:asciiTheme="minorEastAsia" w:hAnsiTheme="minorEastAsia" w:eastAsiaTheme="minorEastAsia" w:cstheme="minorEastAsia"/>
          <w:b w:val="0"/>
          <w:bCs w:val="0"/>
          <w:color w:val="auto"/>
          <w:sz w:val="24"/>
          <w:szCs w:val="24"/>
          <w:highlight w:val="none"/>
        </w:rPr>
        <w:t>（北京时间）</w:t>
      </w:r>
    </w:p>
    <w:p>
      <w:pPr>
        <w:pStyle w:val="21"/>
        <w:keepNext/>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投标地点：请登录政采云投标客户端投标</w:t>
      </w:r>
    </w:p>
    <w:p>
      <w:pPr>
        <w:pStyle w:val="21"/>
        <w:keepNext/>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开标时间</w:t>
      </w:r>
      <w:r>
        <w:rPr>
          <w:rFonts w:hint="eastAsia" w:asciiTheme="minorEastAsia" w:hAnsiTheme="minorEastAsia" w:eastAsiaTheme="minorEastAsia" w:cstheme="minorEastAsia"/>
          <w:b w:val="0"/>
          <w:bCs w:val="0"/>
          <w:color w:val="auto"/>
          <w:sz w:val="24"/>
          <w:szCs w:val="24"/>
          <w:highlight w:val="none"/>
          <w:lang w:eastAsia="zh-CN"/>
        </w:rPr>
        <w:t>：2023年07月1</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eastAsia="zh-CN"/>
        </w:rPr>
        <w:t>日16:30</w:t>
      </w:r>
      <w:r>
        <w:rPr>
          <w:rFonts w:hint="eastAsia" w:asciiTheme="minorEastAsia" w:hAnsiTheme="minorEastAsia" w:eastAsiaTheme="minorEastAsia" w:cstheme="minorEastAsia"/>
          <w:b w:val="0"/>
          <w:bCs w:val="0"/>
          <w:color w:val="auto"/>
          <w:sz w:val="24"/>
          <w:szCs w:val="24"/>
          <w:highlight w:val="none"/>
        </w:rPr>
        <w:t>（北京时间）</w:t>
      </w:r>
    </w:p>
    <w:p>
      <w:pPr>
        <w:pStyle w:val="21"/>
        <w:keepNext/>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开标地点</w:t>
      </w:r>
      <w:r>
        <w:rPr>
          <w:rFonts w:hint="eastAsia" w:asciiTheme="minorEastAsia" w:hAnsiTheme="minorEastAsia" w:eastAsiaTheme="minorEastAsia" w:cstheme="minorEastAsia"/>
          <w:color w:val="auto"/>
          <w:sz w:val="24"/>
          <w:szCs w:val="24"/>
          <w:highlight w:val="none"/>
          <w:lang w:eastAsia="zh-CN"/>
        </w:rPr>
        <w:t>：新疆政府采购云平台（www.zcygov.cn）</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Theme="minorEastAsia" w:hAnsiTheme="minorEastAsia" w:eastAsiaTheme="minorEastAsia" w:cstheme="minorEastAsia"/>
          <w:color w:val="auto"/>
          <w:sz w:val="24"/>
          <w:szCs w:val="24"/>
          <w:highlight w:val="none"/>
        </w:rPr>
      </w:pPr>
      <w:r>
        <w:rPr>
          <w:rStyle w:val="25"/>
          <w:rFonts w:hint="eastAsia" w:asciiTheme="minorEastAsia" w:hAnsiTheme="minorEastAsia" w:eastAsiaTheme="minorEastAsia" w:cstheme="minorEastAsia"/>
          <w:color w:val="auto"/>
          <w:sz w:val="24"/>
          <w:szCs w:val="24"/>
          <w:highlight w:val="none"/>
          <w:lang w:eastAsia="zh-CN"/>
        </w:rPr>
        <w:t>五</w:t>
      </w:r>
      <w:r>
        <w:rPr>
          <w:rStyle w:val="25"/>
          <w:rFonts w:hint="eastAsia" w:asciiTheme="minorEastAsia" w:hAnsiTheme="minorEastAsia" w:eastAsiaTheme="minorEastAsia" w:cstheme="minorEastAsia"/>
          <w:color w:val="auto"/>
          <w:sz w:val="24"/>
          <w:szCs w:val="24"/>
          <w:highlight w:val="none"/>
        </w:rPr>
        <w:t>、公告期限</w:t>
      </w:r>
      <w:r>
        <w:rPr>
          <w:rFonts w:hint="eastAsia" w:asciiTheme="minorEastAsia" w:hAnsiTheme="minorEastAsia" w:eastAsiaTheme="minorEastAsia" w:cstheme="minorEastAsia"/>
          <w:color w:val="auto"/>
          <w:sz w:val="24"/>
          <w:szCs w:val="24"/>
          <w:highlight w:val="none"/>
        </w:rPr>
        <w:t>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Style w:val="25"/>
          <w:rFonts w:hint="eastAsia" w:asciiTheme="minorEastAsia" w:hAnsiTheme="minorEastAsia" w:eastAsiaTheme="minorEastAsia" w:cstheme="minorEastAsia"/>
          <w:color w:val="auto"/>
          <w:sz w:val="24"/>
          <w:szCs w:val="24"/>
          <w:highlight w:val="none"/>
          <w:lang w:eastAsia="zh-CN"/>
        </w:rPr>
      </w:pPr>
      <w:r>
        <w:rPr>
          <w:rStyle w:val="25"/>
          <w:rFonts w:hint="eastAsia" w:asciiTheme="minorEastAsia" w:hAnsiTheme="minorEastAsia" w:eastAsiaTheme="minorEastAsia" w:cstheme="minorEastAsia"/>
          <w:color w:val="auto"/>
          <w:sz w:val="24"/>
          <w:szCs w:val="24"/>
          <w:highlight w:val="none"/>
          <w:lang w:eastAsia="zh-CN"/>
        </w:rPr>
        <w:t>六、其他补充事宜</w:t>
      </w:r>
    </w:p>
    <w:p>
      <w:pPr>
        <w:keepNext/>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9"/>
        <w:rPr>
          <w:rStyle w:val="25"/>
          <w:rFonts w:hint="eastAsia" w:asciiTheme="minorEastAsia" w:hAnsiTheme="minorEastAsia" w:eastAsiaTheme="minorEastAsia" w:cstheme="minorEastAsia"/>
          <w:b w:val="0"/>
          <w:bCs/>
          <w:color w:val="auto"/>
          <w:sz w:val="24"/>
          <w:szCs w:val="24"/>
          <w:highlight w:val="none"/>
          <w:lang w:eastAsia="zh-CN"/>
        </w:rPr>
      </w:pPr>
      <w:r>
        <w:rPr>
          <w:rStyle w:val="25"/>
          <w:rFonts w:hint="eastAsia" w:asciiTheme="minorEastAsia" w:hAnsiTheme="minorEastAsia" w:eastAsiaTheme="minorEastAsia" w:cstheme="minorEastAsia"/>
          <w:b w:val="0"/>
          <w:bCs/>
          <w:color w:val="auto"/>
          <w:sz w:val="24"/>
          <w:szCs w:val="24"/>
          <w:highlight w:val="none"/>
          <w:lang w:eastAsia="zh-CN"/>
        </w:rPr>
        <w:t>1.本项目采用全流程不见面电子开评标，投标供应商需要使用CA加密设备，供应商可通过新疆数字证书认证中心官网（https://www.xjca.com.cn/）或下载“新疆政务通”APP自行进行申领。</w:t>
      </w:r>
    </w:p>
    <w:p>
      <w:pPr>
        <w:keepNext/>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9"/>
        <w:rPr>
          <w:rStyle w:val="25"/>
          <w:rFonts w:hint="eastAsia" w:asciiTheme="minorEastAsia" w:hAnsiTheme="minorEastAsia" w:eastAsiaTheme="minorEastAsia" w:cstheme="minorEastAsia"/>
          <w:b w:val="0"/>
          <w:bCs/>
          <w:color w:val="auto"/>
          <w:sz w:val="24"/>
          <w:szCs w:val="24"/>
          <w:highlight w:val="none"/>
          <w:lang w:eastAsia="zh-CN"/>
        </w:rPr>
      </w:pPr>
      <w:r>
        <w:rPr>
          <w:rStyle w:val="25"/>
          <w:rFonts w:hint="eastAsia" w:asciiTheme="minorEastAsia" w:hAnsiTheme="minorEastAsia" w:eastAsiaTheme="minorEastAsia" w:cstheme="minorEastAsia"/>
          <w:b w:val="0"/>
          <w:bCs/>
          <w:color w:val="auto"/>
          <w:sz w:val="24"/>
          <w:szCs w:val="24"/>
          <w:highlight w:val="none"/>
          <w:lang w:eastAsia="zh-CN"/>
        </w:rPr>
        <w:t>2.本项目实行网上投标，采用加密电子投标文件(供应商须使用CA加密设备通过政采云电子投标客户端制作投标文件)。若供应商参与投标，自行承担投标一切费用。</w:t>
      </w:r>
    </w:p>
    <w:p>
      <w:pPr>
        <w:keepNext/>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9"/>
        <w:rPr>
          <w:rStyle w:val="25"/>
          <w:rFonts w:hint="eastAsia" w:asciiTheme="minorEastAsia" w:hAnsiTheme="minorEastAsia" w:eastAsiaTheme="minorEastAsia" w:cstheme="minorEastAsia"/>
          <w:b w:val="0"/>
          <w:bCs/>
          <w:color w:val="auto"/>
          <w:sz w:val="24"/>
          <w:szCs w:val="24"/>
          <w:highlight w:val="none"/>
          <w:lang w:eastAsia="zh-CN"/>
        </w:rPr>
      </w:pPr>
      <w:r>
        <w:rPr>
          <w:rStyle w:val="25"/>
          <w:rFonts w:hint="eastAsia" w:asciiTheme="minorEastAsia" w:hAnsiTheme="minorEastAsia" w:eastAsiaTheme="minorEastAsia" w:cstheme="minorEastAsia"/>
          <w:b w:val="0"/>
          <w:bCs/>
          <w:color w:val="auto"/>
          <w:sz w:val="24"/>
          <w:szCs w:val="24"/>
          <w:highlight w:val="none"/>
          <w:lang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keepLines w:val="0"/>
        <w:pageBreakBefore w:val="0"/>
        <w:widowControl/>
        <w:kinsoku/>
        <w:wordWrap w:val="0"/>
        <w:overflowPunct/>
        <w:topLinePunct w:val="0"/>
        <w:autoSpaceDE/>
        <w:autoSpaceDN/>
        <w:bidi w:val="0"/>
        <w:adjustRightInd/>
        <w:snapToGrid/>
        <w:spacing w:line="420" w:lineRule="exact"/>
        <w:ind w:firstLine="480" w:firstLineChars="200"/>
        <w:textAlignment w:val="auto"/>
        <w:outlineLvl w:val="9"/>
        <w:rPr>
          <w:rStyle w:val="25"/>
          <w:rFonts w:hint="eastAsia" w:asciiTheme="minorEastAsia" w:hAnsiTheme="minorEastAsia" w:eastAsiaTheme="minorEastAsia" w:cstheme="minorEastAsia"/>
          <w:b w:val="0"/>
          <w:bCs/>
          <w:color w:val="auto"/>
          <w:sz w:val="24"/>
          <w:szCs w:val="24"/>
          <w:highlight w:val="none"/>
          <w:lang w:eastAsia="zh-CN"/>
        </w:rPr>
      </w:pPr>
      <w:r>
        <w:rPr>
          <w:rStyle w:val="25"/>
          <w:rFonts w:hint="eastAsia" w:asciiTheme="minorEastAsia" w:hAnsiTheme="minorEastAsia" w:eastAsiaTheme="minorEastAsia" w:cstheme="minorEastAsia"/>
          <w:b w:val="0"/>
          <w:bCs/>
          <w:color w:val="auto"/>
          <w:sz w:val="24"/>
          <w:szCs w:val="24"/>
          <w:highlight w:val="none"/>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keepLines w:val="0"/>
        <w:pageBreakBefore w:val="0"/>
        <w:widowControl/>
        <w:kinsoku/>
        <w:wordWrap w:val="0"/>
        <w:overflowPunct/>
        <w:topLinePunct w:val="0"/>
        <w:autoSpaceDE/>
        <w:autoSpaceDN/>
        <w:bidi w:val="0"/>
        <w:adjustRightInd/>
        <w:snapToGrid/>
        <w:spacing w:line="420" w:lineRule="exact"/>
        <w:ind w:firstLine="480" w:firstLineChars="200"/>
        <w:textAlignment w:val="auto"/>
        <w:outlineLvl w:val="9"/>
        <w:rPr>
          <w:rStyle w:val="25"/>
          <w:rFonts w:hint="eastAsia" w:asciiTheme="minorEastAsia" w:hAnsiTheme="minorEastAsia" w:eastAsiaTheme="minorEastAsia" w:cstheme="minorEastAsia"/>
          <w:b w:val="0"/>
          <w:bCs/>
          <w:color w:val="auto"/>
          <w:sz w:val="24"/>
          <w:szCs w:val="24"/>
          <w:highlight w:val="none"/>
          <w:lang w:eastAsia="zh-CN"/>
        </w:rPr>
      </w:pPr>
      <w:r>
        <w:rPr>
          <w:rStyle w:val="25"/>
          <w:rFonts w:hint="eastAsia" w:asciiTheme="minorEastAsia" w:hAnsiTheme="minorEastAsia" w:eastAsiaTheme="minorEastAsia" w:cstheme="minorEastAsia"/>
          <w:b w:val="0"/>
          <w:bCs/>
          <w:color w:val="auto"/>
          <w:sz w:val="24"/>
          <w:szCs w:val="24"/>
          <w:highlight w:val="none"/>
          <w:lang w:eastAsia="zh-CN"/>
        </w:rPr>
        <w:t>5.供应商在开标时须使用制作加密电子投标文件所使用的CA锁及电脑，电脑须提前配置好浏览器（建议使用谷歌浏览器），以便开标时解密。</w:t>
      </w:r>
    </w:p>
    <w:p>
      <w:pPr>
        <w:keepNext/>
        <w:keepLines w:val="0"/>
        <w:pageBreakBefore w:val="0"/>
        <w:widowControl/>
        <w:kinsoku/>
        <w:wordWrap w:val="0"/>
        <w:overflowPunct/>
        <w:topLinePunct w:val="0"/>
        <w:autoSpaceDE/>
        <w:autoSpaceDN/>
        <w:bidi w:val="0"/>
        <w:adjustRightInd/>
        <w:snapToGrid/>
        <w:spacing w:line="420" w:lineRule="exact"/>
        <w:ind w:firstLine="480" w:firstLineChars="200"/>
        <w:textAlignment w:val="auto"/>
        <w:outlineLvl w:val="9"/>
        <w:rPr>
          <w:rStyle w:val="25"/>
          <w:rFonts w:hint="eastAsia" w:asciiTheme="minorEastAsia" w:hAnsiTheme="minorEastAsia" w:eastAsiaTheme="minorEastAsia" w:cstheme="minorEastAsia"/>
          <w:b w:val="0"/>
          <w:bCs/>
          <w:color w:val="auto"/>
          <w:sz w:val="24"/>
          <w:szCs w:val="24"/>
          <w:highlight w:val="none"/>
          <w:lang w:eastAsia="zh-CN"/>
        </w:rPr>
      </w:pPr>
      <w:r>
        <w:rPr>
          <w:rStyle w:val="25"/>
          <w:rFonts w:hint="eastAsia" w:asciiTheme="minorEastAsia" w:hAnsiTheme="minorEastAsia" w:eastAsiaTheme="minorEastAsia" w:cstheme="minorEastAsia"/>
          <w:b w:val="0"/>
          <w:bCs/>
          <w:color w:val="auto"/>
          <w:sz w:val="24"/>
          <w:szCs w:val="24"/>
          <w:highlight w:val="none"/>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keepNext/>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9"/>
        <w:rPr>
          <w:rStyle w:val="25"/>
          <w:rFonts w:hint="eastAsia" w:asciiTheme="minorEastAsia" w:hAnsiTheme="minorEastAsia" w:eastAsiaTheme="minorEastAsia" w:cstheme="minorEastAsia"/>
          <w:b w:val="0"/>
          <w:bCs/>
          <w:color w:val="auto"/>
          <w:sz w:val="24"/>
          <w:szCs w:val="24"/>
          <w:highlight w:val="none"/>
          <w:lang w:eastAsia="zh-CN"/>
        </w:rPr>
      </w:pPr>
      <w:r>
        <w:rPr>
          <w:rStyle w:val="25"/>
          <w:rFonts w:hint="eastAsia" w:asciiTheme="minorEastAsia" w:hAnsiTheme="minorEastAsia" w:eastAsiaTheme="minorEastAsia" w:cstheme="minorEastAsia"/>
          <w:b w:val="0"/>
          <w:bCs/>
          <w:color w:val="auto"/>
          <w:sz w:val="24"/>
          <w:szCs w:val="24"/>
          <w:highlight w:val="none"/>
          <w:lang w:eastAsia="zh-CN"/>
        </w:rPr>
        <w:t>7.为了保证开评标顺利进行、政采云线上开标功能完全实现，供应商开标所使用的电脑设备须具有视频及语音功能。</w:t>
      </w:r>
    </w:p>
    <w:p>
      <w:pPr>
        <w:keepNext/>
        <w:keepLines w:val="0"/>
        <w:pageBreakBefore w:val="0"/>
        <w:widowControl/>
        <w:kinsoku/>
        <w:wordWrap/>
        <w:overflowPunct/>
        <w:topLinePunct w:val="0"/>
        <w:autoSpaceDE/>
        <w:autoSpaceDN/>
        <w:bidi w:val="0"/>
        <w:adjustRightInd/>
        <w:snapToGrid/>
        <w:spacing w:line="420" w:lineRule="exact"/>
        <w:ind w:firstLine="482" w:firstLineChars="200"/>
        <w:textAlignment w:val="auto"/>
        <w:outlineLvl w:val="9"/>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特别提示：</w:t>
      </w:r>
    </w:p>
    <w:p>
      <w:pPr>
        <w:keepNext/>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9"/>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1、采购限额标准以上，200万元以下的货物和服务采购项目、400万元以下的工程采购项目，适宜由中小企业提供的，采购人应当专门面向中小企业采购。</w:t>
      </w:r>
    </w:p>
    <w:p>
      <w:pPr>
        <w:keepNext/>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9"/>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keepNext/>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9"/>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keepLines w:val="0"/>
        <w:pageBreakBefore w:val="0"/>
        <w:widowControl/>
        <w:kinsoku/>
        <w:wordWrap/>
        <w:overflowPunct/>
        <w:topLinePunct w:val="0"/>
        <w:autoSpaceDE/>
        <w:autoSpaceDN/>
        <w:bidi w:val="0"/>
        <w:adjustRightInd/>
        <w:snapToGrid/>
        <w:spacing w:line="420" w:lineRule="exact"/>
        <w:ind w:firstLine="480" w:firstLineChars="200"/>
        <w:textAlignment w:val="auto"/>
        <w:outlineLvl w:val="9"/>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rPr>
          <w:rFonts w:hint="eastAsia" w:asciiTheme="minorEastAsia" w:hAnsiTheme="minorEastAsia" w:eastAsiaTheme="minorEastAsia" w:cstheme="minorEastAsia"/>
          <w:color w:val="auto"/>
          <w:sz w:val="24"/>
          <w:szCs w:val="24"/>
          <w:highlight w:val="none"/>
        </w:rPr>
      </w:pPr>
      <w:r>
        <w:rPr>
          <w:rStyle w:val="25"/>
          <w:rFonts w:hint="eastAsia" w:asciiTheme="minorEastAsia" w:hAnsiTheme="minorEastAsia" w:eastAsiaTheme="minorEastAsia" w:cstheme="minorEastAsia"/>
          <w:color w:val="auto"/>
          <w:sz w:val="24"/>
          <w:szCs w:val="24"/>
          <w:highlight w:val="none"/>
          <w:lang w:eastAsia="zh-CN"/>
        </w:rPr>
        <w:t>七</w:t>
      </w:r>
      <w:r>
        <w:rPr>
          <w:rStyle w:val="25"/>
          <w:rFonts w:hint="eastAsia" w:asciiTheme="minorEastAsia" w:hAnsiTheme="minorEastAsia" w:eastAsiaTheme="minorEastAsia" w:cstheme="minorEastAsia"/>
          <w:color w:val="auto"/>
          <w:sz w:val="24"/>
          <w:szCs w:val="24"/>
          <w:highlight w:val="none"/>
        </w:rPr>
        <w:t>、对本次</w:t>
      </w:r>
      <w:r>
        <w:rPr>
          <w:rStyle w:val="25"/>
          <w:rFonts w:hint="eastAsia" w:asciiTheme="minorEastAsia" w:hAnsiTheme="minorEastAsia" w:eastAsiaTheme="minorEastAsia" w:cstheme="minorEastAsia"/>
          <w:color w:val="auto"/>
          <w:sz w:val="24"/>
          <w:szCs w:val="24"/>
          <w:highlight w:val="none"/>
          <w:lang w:eastAsia="zh-CN"/>
        </w:rPr>
        <w:t>采购</w:t>
      </w:r>
      <w:r>
        <w:rPr>
          <w:rStyle w:val="25"/>
          <w:rFonts w:hint="eastAsia" w:asciiTheme="minorEastAsia" w:hAnsiTheme="minorEastAsia" w:eastAsiaTheme="minorEastAsia" w:cstheme="minorEastAsia"/>
          <w:color w:val="auto"/>
          <w:sz w:val="24"/>
          <w:szCs w:val="24"/>
          <w:highlight w:val="none"/>
        </w:rPr>
        <w:t>提出询问，请按以下方式联系</w:t>
      </w:r>
    </w:p>
    <w:p>
      <w:pPr>
        <w:pStyle w:val="21"/>
        <w:keepNext/>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asciiTheme="minorEastAsia" w:hAnsiTheme="minorEastAsia" w:eastAsiaTheme="minorEastAsia" w:cstheme="minorEastAsia"/>
          <w:b/>
          <w:bCs/>
          <w:color w:val="auto"/>
          <w:kern w:val="2"/>
          <w:highlight w:val="none"/>
          <w:shd w:val="clear" w:color="auto" w:fill="FFFFFF"/>
        </w:rPr>
      </w:pPr>
      <w:r>
        <w:rPr>
          <w:rFonts w:hint="eastAsia" w:asciiTheme="minorEastAsia" w:hAnsiTheme="minorEastAsia" w:eastAsiaTheme="minorEastAsia" w:cstheme="minorEastAsia"/>
          <w:b/>
          <w:bCs/>
          <w:color w:val="auto"/>
          <w:kern w:val="2"/>
          <w:highlight w:val="none"/>
          <w:shd w:val="clear" w:color="auto" w:fill="FFFFFF"/>
        </w:rPr>
        <w:t>1、采购人信息</w:t>
      </w:r>
    </w:p>
    <w:p>
      <w:pPr>
        <w:pStyle w:val="21"/>
        <w:keepNext/>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color w:val="auto"/>
          <w:kern w:val="2"/>
          <w:highlight w:val="none"/>
          <w:shd w:val="clear" w:color="auto" w:fill="FFFFFF"/>
        </w:rPr>
      </w:pPr>
      <w:r>
        <w:rPr>
          <w:rFonts w:hint="eastAsia" w:asciiTheme="minorEastAsia" w:hAnsiTheme="minorEastAsia" w:eastAsiaTheme="minorEastAsia" w:cstheme="minorEastAsia"/>
          <w:color w:val="auto"/>
          <w:kern w:val="2"/>
          <w:highlight w:val="none"/>
          <w:shd w:val="clear" w:color="auto" w:fill="FFFFFF"/>
        </w:rPr>
        <w:t>名称：</w:t>
      </w:r>
      <w:r>
        <w:rPr>
          <w:rFonts w:hint="eastAsia" w:asciiTheme="minorEastAsia" w:hAnsiTheme="minorEastAsia" w:eastAsiaTheme="minorEastAsia" w:cstheme="minorEastAsia"/>
          <w:color w:val="auto"/>
          <w:kern w:val="2"/>
          <w:highlight w:val="none"/>
          <w:shd w:val="clear" w:color="auto" w:fill="FFFFFF"/>
          <w:lang w:val="en-US" w:eastAsia="zh-CN"/>
        </w:rPr>
        <w:t>伊宁市自然资源局</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kern w:val="2"/>
          <w:highlight w:val="none"/>
          <w:shd w:val="clear" w:color="auto" w:fill="FFFFFF"/>
          <w:lang w:val="en-US" w:eastAsia="zh-CN"/>
        </w:rPr>
      </w:pPr>
      <w:r>
        <w:rPr>
          <w:rFonts w:hint="eastAsia" w:asciiTheme="minorEastAsia" w:hAnsiTheme="minorEastAsia" w:eastAsiaTheme="minorEastAsia" w:cstheme="minorEastAsia"/>
          <w:color w:val="auto"/>
          <w:kern w:val="2"/>
          <w:highlight w:val="none"/>
          <w:shd w:val="clear" w:color="auto" w:fill="FFFFFF"/>
        </w:rPr>
        <w:t>地址：</w:t>
      </w:r>
      <w:r>
        <w:rPr>
          <w:rFonts w:hint="eastAsia" w:asciiTheme="minorEastAsia" w:hAnsiTheme="minorEastAsia" w:eastAsiaTheme="minorEastAsia" w:cstheme="minorEastAsia"/>
          <w:color w:val="auto"/>
          <w:kern w:val="2"/>
          <w:highlight w:val="none"/>
          <w:shd w:val="clear" w:color="auto" w:fill="FFFFFF"/>
          <w:lang w:eastAsia="zh-CN"/>
        </w:rPr>
        <w:t>伊宁市边合区文化路94号</w:t>
      </w:r>
      <w:r>
        <w:rPr>
          <w:rFonts w:hint="eastAsia" w:asciiTheme="minorEastAsia" w:hAnsiTheme="minorEastAsia" w:eastAsiaTheme="minorEastAsia" w:cstheme="minorEastAsia"/>
          <w:color w:val="auto"/>
          <w:kern w:val="2"/>
          <w:highlight w:val="none"/>
          <w:shd w:val="clear" w:color="auto" w:fill="FFFFFF"/>
        </w:rPr>
        <w:t xml:space="preserve"> </w:t>
      </w:r>
      <w:r>
        <w:rPr>
          <w:rFonts w:hint="eastAsia" w:asciiTheme="minorEastAsia" w:hAnsiTheme="minorEastAsia" w:eastAsiaTheme="minorEastAsia" w:cstheme="minorEastAsia"/>
          <w:color w:val="auto"/>
          <w:kern w:val="2"/>
          <w:highlight w:val="none"/>
          <w:shd w:val="clear" w:color="auto" w:fill="FFFFFF"/>
          <w:lang w:val="en-US" w:eastAsia="zh-CN"/>
        </w:rPr>
        <w:t xml:space="preserve"> </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kern w:val="2"/>
          <w:highlight w:val="none"/>
          <w:shd w:val="clear" w:color="auto" w:fill="FFFFFF"/>
          <w:lang w:val="en-US" w:eastAsia="zh-CN"/>
        </w:rPr>
        <w:t>联系人：蒲笑菲</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kern w:val="2"/>
          <w:highlight w:val="none"/>
          <w:shd w:val="clear" w:color="auto" w:fill="FFFFFF"/>
          <w:lang w:eastAsia="zh-CN"/>
        </w:rPr>
      </w:pPr>
      <w:r>
        <w:rPr>
          <w:rFonts w:hint="eastAsia" w:asciiTheme="minorEastAsia" w:hAnsiTheme="minorEastAsia" w:eastAsiaTheme="minorEastAsia" w:cstheme="minorEastAsia"/>
          <w:color w:val="auto"/>
          <w:kern w:val="2"/>
          <w:highlight w:val="none"/>
          <w:shd w:val="clear" w:color="auto" w:fill="FFFFFF"/>
        </w:rPr>
        <w:t>联系方式：</w:t>
      </w:r>
      <w:r>
        <w:rPr>
          <w:rFonts w:hint="eastAsia" w:asciiTheme="minorEastAsia" w:hAnsiTheme="minorEastAsia" w:eastAsiaTheme="minorEastAsia" w:cstheme="minorEastAsia"/>
          <w:color w:val="auto"/>
          <w:kern w:val="2"/>
          <w:highlight w:val="none"/>
          <w:shd w:val="clear" w:color="auto" w:fill="FFFFFF"/>
          <w:lang w:eastAsia="zh-CN"/>
        </w:rPr>
        <w:t>18509997369</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2、采购代理机构信息</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名称：</w:t>
      </w:r>
      <w:r>
        <w:rPr>
          <w:rFonts w:hint="eastAsia" w:asciiTheme="minorEastAsia" w:hAnsiTheme="minorEastAsia" w:eastAsiaTheme="minorEastAsia" w:cstheme="minorEastAsia"/>
          <w:color w:val="auto"/>
          <w:highlight w:val="none"/>
          <w:lang w:eastAsia="zh-CN"/>
        </w:rPr>
        <w:t>新疆嘉扩项目管理咨询有限公司</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lang w:eastAsia="zh-CN"/>
        </w:rPr>
        <w:t>伊宁市经济合作区重庆北路558 号伊宁八达广场一期B14号商业楼2 层201号</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联系方式：</w:t>
      </w:r>
      <w:r>
        <w:rPr>
          <w:rFonts w:hint="eastAsia" w:asciiTheme="minorEastAsia" w:hAnsiTheme="minorEastAsia" w:eastAsiaTheme="minorEastAsia" w:cstheme="minorEastAsia"/>
          <w:color w:val="auto"/>
          <w:highlight w:val="none"/>
          <w:lang w:eastAsia="zh-CN"/>
        </w:rPr>
        <w:t>15559347937</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项目联系方式</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项目联系人：</w:t>
      </w:r>
      <w:r>
        <w:rPr>
          <w:rFonts w:hint="eastAsia" w:asciiTheme="minorEastAsia" w:hAnsiTheme="minorEastAsia" w:eastAsiaTheme="minorEastAsia" w:cstheme="minorEastAsia"/>
          <w:color w:val="auto"/>
          <w:highlight w:val="none"/>
          <w:lang w:eastAsia="zh-CN"/>
        </w:rPr>
        <w:t>徐毅飞、蒋璐泽</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电话</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15559347937</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highlight w:val="none"/>
        </w:rPr>
      </w:pP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highlight w:val="none"/>
        </w:rPr>
      </w:pP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highlight w:val="none"/>
        </w:rPr>
      </w:pP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highlight w:val="none"/>
        </w:rPr>
        <w:sectPr>
          <w:headerReference r:id="rId11" w:type="default"/>
          <w:footerReference r:id="rId12" w:type="default"/>
          <w:pgSz w:w="11907" w:h="16840"/>
          <w:pgMar w:top="1247" w:right="1247" w:bottom="1247" w:left="1247" w:header="851" w:footer="851" w:gutter="0"/>
          <w:pgNumType w:start="1"/>
          <w:cols w:space="720" w:num="1"/>
          <w:docGrid w:linePitch="462" w:charSpace="0"/>
        </w:sectPr>
      </w:pPr>
    </w:p>
    <w:p>
      <w:pPr>
        <w:keepNext w:val="0"/>
        <w:keepLines w:val="0"/>
        <w:pageBreakBefore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第一章    投标人须知前附表</w:t>
      </w:r>
    </w:p>
    <w:tbl>
      <w:tblPr>
        <w:tblStyle w:val="22"/>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574"/>
        <w:gridCol w:w="1508"/>
        <w:gridCol w:w="7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highlight w:val="none"/>
              </w:rPr>
              <w:t>序号</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highlight w:val="none"/>
              </w:rPr>
              <w:t>名  称</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采 购</w:t>
            </w:r>
            <w:r>
              <w:rPr>
                <w:rFonts w:hint="eastAsia" w:asciiTheme="minorEastAsia" w:hAnsiTheme="minorEastAsia" w:eastAsiaTheme="minorEastAsia" w:cstheme="minorEastAsia"/>
                <w:color w:val="auto"/>
                <w:szCs w:val="21"/>
                <w:highlight w:val="none"/>
              </w:rPr>
              <w:t xml:space="preserve"> 人</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采</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lang w:eastAsia="zh-CN"/>
              </w:rPr>
              <w:t>购</w:t>
            </w:r>
            <w:r>
              <w:rPr>
                <w:rFonts w:hint="eastAsia" w:asciiTheme="minorEastAsia" w:hAnsiTheme="minorEastAsia" w:eastAsiaTheme="minorEastAsia" w:cstheme="minorEastAsia"/>
                <w:color w:val="auto"/>
                <w:highlight w:val="none"/>
                <w:lang w:val="en-US" w:eastAsia="zh-CN"/>
              </w:rPr>
              <w:t xml:space="preserve"> 人</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伊宁市自然资源局</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rPr>
              <w:t>联</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系</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人：</w:t>
            </w:r>
            <w:r>
              <w:rPr>
                <w:rFonts w:hint="eastAsia" w:asciiTheme="minorEastAsia" w:hAnsiTheme="minorEastAsia" w:eastAsiaTheme="minorEastAsia" w:cstheme="minorEastAsia"/>
                <w:color w:val="auto"/>
                <w:szCs w:val="21"/>
                <w:highlight w:val="none"/>
                <w:lang w:eastAsia="zh-CN"/>
              </w:rPr>
              <w:t>蒲笑菲</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lang w:eastAsia="zh-CN"/>
              </w:rPr>
              <w:t>18509997369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代理机构</w:t>
            </w:r>
          </w:p>
        </w:tc>
        <w:tc>
          <w:tcPr>
            <w:tcW w:w="78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新疆嘉扩项目管理咨询有限公司</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Cs w:val="21"/>
                <w:highlight w:val="none"/>
              </w:rPr>
              <w:t>联 系 人：</w:t>
            </w:r>
            <w:r>
              <w:rPr>
                <w:rFonts w:hint="eastAsia" w:asciiTheme="minorEastAsia" w:hAnsiTheme="minorEastAsia" w:eastAsiaTheme="minorEastAsia" w:cstheme="minorEastAsia"/>
                <w:color w:val="auto"/>
                <w:szCs w:val="21"/>
                <w:highlight w:val="none"/>
                <w:lang w:eastAsia="zh-CN"/>
              </w:rPr>
              <w:t>徐毅飞、蒋璐泽</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联系电话：</w:t>
            </w:r>
            <w:r>
              <w:rPr>
                <w:rFonts w:hint="eastAsia" w:asciiTheme="minorEastAsia" w:hAnsiTheme="minorEastAsia" w:eastAsiaTheme="minorEastAsia" w:cstheme="minorEastAsia"/>
                <w:color w:val="auto"/>
                <w:szCs w:val="21"/>
                <w:highlight w:val="none"/>
                <w:lang w:val="en-US" w:eastAsia="zh-CN"/>
              </w:rPr>
              <w:t>15559347937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伊宁市培育百万人口初步研究项目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4</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项目概况</w:t>
            </w:r>
          </w:p>
        </w:tc>
        <w:tc>
          <w:tcPr>
            <w:tcW w:w="785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为深入贯彻落实第三次中央新疆工作座谈会精神，完整准确贯彻新时代党的治疆方略，牢牢把握新疆自治区关于把伊宁市“打造北疆城市带区域中心城市”的定位要求，立足伊宁市人口发展现状及资源环境承载能力，坚持目标导向、问题导向、结果导向，以伊宁市城市发展和人口聚集现状情况为基础，系统梳理伊宁市城市能级、人口聚集基本条件。政策导向、工作步骤，提出将伊宁市提升为百万级城市的实施路径。对伊宁市培育百万人口大城市进行初步研究，主要研究伊宁市人口发展现状，制约培养百万人口的主要因素，初步分析环境承载能力、水资源承载能力，对比国内各级城市进行研究，构建 10 人左右的研究团队，研究团队由正高级职称人员领队。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范围</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对伊宁市培育百万人口大城市进行初步研究，主要研究伊宁市人口发展现状，制约培养百万人口的主要因素，初步分析环境承载能力、水资源承载能力，对比国内各级城市进行研究，提出推动伊宁市培育百万人口大城市发展的初步思路和政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完成期限</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自签订合同之日起60日历日内完成。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项目实施地点</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伊宁市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质量要求</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9</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付款方式</w:t>
            </w:r>
          </w:p>
        </w:tc>
        <w:tc>
          <w:tcPr>
            <w:tcW w:w="78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以合同签订方式为准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highlight w:val="none"/>
                <w:lang w:val="en-US" w:eastAsia="zh-CN"/>
              </w:rPr>
              <w:t>10</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投标保证金</w:t>
            </w:r>
          </w:p>
        </w:tc>
        <w:tc>
          <w:tcPr>
            <w:tcW w:w="78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ajorEastAsia" w:hAnsiTheme="majorEastAsia" w:eastAsiaTheme="majorEastAsia" w:cstheme="majorEastAsia"/>
                <w:color w:val="auto"/>
                <w:sz w:val="21"/>
                <w:highlight w:val="none"/>
              </w:rPr>
              <w:t>投标保证金的金额：</w:t>
            </w:r>
            <w:r>
              <w:rPr>
                <w:rFonts w:hint="eastAsia" w:asciiTheme="majorEastAsia" w:hAnsiTheme="majorEastAsia" w:eastAsiaTheme="majorEastAsia" w:cstheme="majorEastAsia"/>
                <w:b/>
                <w:bCs/>
                <w:color w:val="auto"/>
                <w:sz w:val="21"/>
                <w:szCs w:val="21"/>
                <w:highlight w:val="none"/>
              </w:rPr>
              <w:t>人民币</w:t>
            </w:r>
            <w:r>
              <w:rPr>
                <w:rFonts w:hint="eastAsia" w:asciiTheme="majorEastAsia" w:hAnsiTheme="majorEastAsia" w:eastAsiaTheme="majorEastAsia" w:cstheme="majorEastAsia"/>
                <w:b/>
                <w:bCs/>
                <w:color w:val="auto"/>
                <w:sz w:val="21"/>
                <w:szCs w:val="21"/>
                <w:highlight w:val="none"/>
                <w:lang w:val="en-US" w:eastAsia="zh-CN"/>
              </w:rPr>
              <w:t>30000.00</w:t>
            </w:r>
            <w:r>
              <w:rPr>
                <w:rFonts w:hint="eastAsia" w:asciiTheme="majorEastAsia" w:hAnsiTheme="majorEastAsia" w:eastAsiaTheme="majorEastAsia" w:cstheme="majorEastAsia"/>
                <w:b/>
                <w:bCs/>
                <w:color w:val="auto"/>
                <w:sz w:val="21"/>
                <w:szCs w:val="21"/>
                <w:highlight w:val="none"/>
              </w:rPr>
              <w:t>元</w:t>
            </w:r>
            <w:r>
              <w:rPr>
                <w:rFonts w:hint="eastAsia" w:asciiTheme="majorEastAsia" w:hAnsiTheme="majorEastAsia" w:eastAsiaTheme="majorEastAsia" w:cstheme="majorEastAsia"/>
                <w:b/>
                <w:bCs/>
                <w:color w:val="auto"/>
                <w:sz w:val="21"/>
                <w:szCs w:val="21"/>
                <w:highlight w:val="none"/>
                <w:lang w:eastAsia="zh-CN"/>
              </w:rPr>
              <w:t>（</w:t>
            </w:r>
            <w:r>
              <w:rPr>
                <w:rFonts w:hint="eastAsia" w:asciiTheme="majorEastAsia" w:hAnsiTheme="majorEastAsia" w:eastAsiaTheme="majorEastAsia" w:cstheme="majorEastAsia"/>
                <w:b/>
                <w:bCs/>
                <w:color w:val="auto"/>
                <w:sz w:val="21"/>
                <w:szCs w:val="21"/>
                <w:highlight w:val="none"/>
                <w:lang w:val="en-US" w:eastAsia="zh-CN"/>
              </w:rPr>
              <w:t>叁万元整</w:t>
            </w:r>
            <w:r>
              <w:rPr>
                <w:rFonts w:hint="eastAsia" w:asciiTheme="majorEastAsia" w:hAnsiTheme="majorEastAsia" w:eastAsiaTheme="majorEastAsia" w:cstheme="majorEastAsia"/>
                <w:b/>
                <w:bCs/>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投标保证金</w:t>
            </w:r>
            <w:r>
              <w:rPr>
                <w:rFonts w:hint="eastAsia" w:asciiTheme="minorEastAsia" w:hAnsiTheme="minorEastAsia" w:eastAsiaTheme="minorEastAsia" w:cstheme="minorEastAsia"/>
                <w:color w:val="auto"/>
                <w:highlight w:val="none"/>
                <w:lang w:val="en-US" w:eastAsia="zh-CN"/>
              </w:rPr>
              <w:t>缴纳</w:t>
            </w:r>
            <w:r>
              <w:rPr>
                <w:rFonts w:hint="eastAsia" w:asciiTheme="minorEastAsia" w:hAnsiTheme="minorEastAsia" w:eastAsiaTheme="minorEastAsia" w:cstheme="minorEastAsia"/>
                <w:color w:val="auto"/>
                <w:highlight w:val="none"/>
              </w:rPr>
              <w:t>形式：电汇、转账或保函等非现金形式</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投标</w:t>
            </w:r>
            <w:r>
              <w:rPr>
                <w:rFonts w:hint="eastAsia" w:asciiTheme="minorEastAsia" w:hAnsiTheme="minorEastAsia" w:eastAsiaTheme="minorEastAsia" w:cstheme="minorEastAsia"/>
                <w:color w:val="auto"/>
                <w:sz w:val="21"/>
                <w:szCs w:val="21"/>
                <w:highlight w:val="none"/>
              </w:rPr>
              <w:t>保证金于</w:t>
            </w:r>
            <w:r>
              <w:rPr>
                <w:rFonts w:hint="eastAsia" w:asciiTheme="minorEastAsia" w:hAnsiTheme="minorEastAsia" w:eastAsiaTheme="minorEastAsia" w:cstheme="minorEastAsia"/>
                <w:b/>
                <w:bCs/>
                <w:color w:val="auto"/>
                <w:sz w:val="21"/>
                <w:szCs w:val="21"/>
                <w:highlight w:val="none"/>
                <w:lang w:eastAsia="zh-CN"/>
              </w:rPr>
              <w:t>投标</w:t>
            </w:r>
            <w:r>
              <w:rPr>
                <w:rFonts w:hint="eastAsia" w:asciiTheme="minorEastAsia" w:hAnsiTheme="minorEastAsia" w:eastAsiaTheme="minorEastAsia" w:cstheme="minorEastAsia"/>
                <w:b/>
                <w:bCs/>
                <w:color w:val="auto"/>
                <w:sz w:val="21"/>
                <w:szCs w:val="21"/>
                <w:highlight w:val="none"/>
              </w:rPr>
              <w:t>截止时间前</w:t>
            </w:r>
            <w:r>
              <w:rPr>
                <w:rFonts w:hint="eastAsia" w:asciiTheme="minorEastAsia" w:hAnsiTheme="minorEastAsia" w:eastAsiaTheme="minorEastAsia" w:cstheme="minorEastAsia"/>
                <w:color w:val="auto"/>
                <w:sz w:val="21"/>
                <w:szCs w:val="21"/>
                <w:highlight w:val="none"/>
              </w:rPr>
              <w:t>（以实际到账时间为准）至指定账户：</w:t>
            </w:r>
          </w:p>
          <w:p>
            <w:pPr>
              <w:pStyle w:val="46"/>
              <w:keepNext w:val="0"/>
              <w:keepLines w:val="0"/>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户  名：新疆嘉扩项目管理咨询有限公司</w:t>
            </w:r>
          </w:p>
          <w:p>
            <w:pPr>
              <w:pStyle w:val="46"/>
              <w:keepNext w:val="0"/>
              <w:keepLines w:val="0"/>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开户银行：新疆伊犁农村商业银行股份有限公司重庆路支行</w:t>
            </w:r>
          </w:p>
          <w:p>
            <w:pPr>
              <w:pStyle w:val="46"/>
              <w:keepNext w:val="0"/>
              <w:keepLines w:val="0"/>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开户行行号：402898000349</w:t>
            </w:r>
          </w:p>
          <w:p>
            <w:pPr>
              <w:pStyle w:val="46"/>
              <w:keepNext w:val="0"/>
              <w:keepLines w:val="0"/>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账      号:812050512010108855128</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投标保证金于</w:t>
            </w:r>
            <w:r>
              <w:rPr>
                <w:rFonts w:hint="eastAsia" w:asciiTheme="minorEastAsia" w:hAnsiTheme="minorEastAsia" w:eastAsiaTheme="minorEastAsia" w:cstheme="minorEastAsia"/>
                <w:b/>
                <w:bCs/>
                <w:color w:val="auto"/>
                <w:sz w:val="21"/>
                <w:szCs w:val="21"/>
                <w:highlight w:val="none"/>
              </w:rPr>
              <w:t>投标文件递交截止时间</w:t>
            </w:r>
            <w:r>
              <w:rPr>
                <w:rFonts w:hint="eastAsia" w:asciiTheme="minorEastAsia" w:hAnsiTheme="minorEastAsia" w:eastAsiaTheme="minorEastAsia" w:cstheme="minorEastAsia"/>
                <w:color w:val="auto"/>
                <w:sz w:val="21"/>
                <w:szCs w:val="21"/>
                <w:highlight w:val="none"/>
              </w:rPr>
              <w:t>（以实际到账时间为准）之前到账，否则其投标文件将被</w:t>
            </w:r>
            <w:r>
              <w:rPr>
                <w:rFonts w:hint="eastAsia" w:asciiTheme="minorEastAsia" w:hAnsiTheme="minorEastAsia" w:eastAsiaTheme="minorEastAsia" w:cstheme="minorEastAsia"/>
                <w:b/>
                <w:bCs/>
                <w:color w:val="auto"/>
                <w:sz w:val="21"/>
                <w:szCs w:val="21"/>
                <w:highlight w:val="none"/>
                <w:u w:val="single"/>
              </w:rPr>
              <w:t>拒绝</w:t>
            </w:r>
            <w:r>
              <w:rPr>
                <w:rFonts w:hint="eastAsia" w:asciiTheme="minorEastAsia" w:hAnsiTheme="minorEastAsia" w:eastAsiaTheme="minorEastAsia" w:cstheme="minorEastAsia"/>
                <w:color w:val="auto"/>
                <w:sz w:val="21"/>
                <w:szCs w:val="21"/>
                <w:highlight w:val="none"/>
              </w:rPr>
              <w:t>评审，投标人提交投标保证金应充分考虑资金在途时间。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highlight w:val="none"/>
                <w:lang w:val="en-US" w:eastAsia="zh-CN"/>
              </w:rPr>
              <w:t>11</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标</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人</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资</w:t>
            </w:r>
            <w:r>
              <w:rPr>
                <w:rFonts w:hint="eastAsia" w:asciiTheme="minorEastAsia" w:hAnsiTheme="minorEastAsia" w:eastAsiaTheme="minorEastAsia" w:cstheme="minorEastAsia"/>
                <w:color w:val="auto"/>
                <w:szCs w:val="21"/>
                <w:highlight w:val="none"/>
                <w:lang w:val="en-US" w:eastAsia="zh-CN"/>
              </w:rPr>
              <w:t>格要求</w:t>
            </w:r>
          </w:p>
        </w:tc>
        <w:tc>
          <w:tcPr>
            <w:tcW w:w="7850" w:type="dxa"/>
            <w:tcBorders>
              <w:tl2br w:val="nil"/>
              <w:tr2bl w:val="nil"/>
            </w:tcBorders>
            <w:vAlign w:val="center"/>
          </w:tcPr>
          <w:p>
            <w:pPr>
              <w:keepNext w:val="0"/>
              <w:keepLines w:val="0"/>
              <w:pageBreakBefore w:val="0"/>
              <w:widowControl w:val="0"/>
              <w:tabs>
                <w:tab w:val="left" w:pos="4980"/>
                <w:tab w:val="right" w:pos="9000"/>
              </w:tabs>
              <w:kinsoku/>
              <w:wordWrap/>
              <w:overflowPunct/>
              <w:topLinePunct w:val="0"/>
              <w:autoSpaceDE/>
              <w:autoSpaceDN/>
              <w:bidi w:val="0"/>
              <w:adjustRightInd/>
              <w:snapToGrid/>
              <w:spacing w:line="460" w:lineRule="exact"/>
              <w:jc w:val="both"/>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1、满足《中华人民共和国政府采购法》第二十二条规定：</w:t>
            </w:r>
          </w:p>
          <w:p>
            <w:pPr>
              <w:keepNext w:val="0"/>
              <w:keepLines w:val="0"/>
              <w:pageBreakBefore w:val="0"/>
              <w:widowControl w:val="0"/>
              <w:tabs>
                <w:tab w:val="left" w:pos="4980"/>
                <w:tab w:val="right" w:pos="9000"/>
              </w:tabs>
              <w:kinsoku/>
              <w:wordWrap/>
              <w:overflowPunct/>
              <w:topLinePunct w:val="0"/>
              <w:autoSpaceDE/>
              <w:autoSpaceDN/>
              <w:bidi w:val="0"/>
              <w:adjustRightInd/>
              <w:snapToGrid/>
              <w:spacing w:line="460" w:lineRule="exact"/>
              <w:jc w:val="both"/>
              <w:textAlignment w:val="auto"/>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kern w:val="2"/>
                <w:sz w:val="21"/>
                <w:szCs w:val="21"/>
                <w:highlight w:val="none"/>
                <w:u w:val="none"/>
                <w:lang w:val="en-US" w:eastAsia="zh-CN" w:bidi="ar-SA"/>
              </w:rPr>
              <w:t xml:space="preserve">（1）具有独立承担民事责任的能力：提供有效的营业执照； </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b w:val="0"/>
                <w:bCs w:val="0"/>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u w:val="none"/>
                <w:lang w:val="en-US" w:eastAsia="zh-CN" w:bidi="ar-SA"/>
              </w:rPr>
              <w:t>（2）</w:t>
            </w:r>
            <w:r>
              <w:rPr>
                <w:rFonts w:hint="eastAsia" w:ascii="宋体" w:hAnsi="宋体" w:eastAsia="宋体" w:cs="宋体"/>
                <w:b w:val="0"/>
                <w:bCs w:val="0"/>
                <w:color w:val="auto"/>
                <w:sz w:val="21"/>
                <w:szCs w:val="21"/>
                <w:highlight w:val="none"/>
                <w:lang w:eastAsia="zh-CN"/>
              </w:rPr>
              <w:t>具有良好的商业信誉和健全的财务会计制度：投标人没有处于被责令停业、财产被接管、冻结、破产状态，提供2022年财务审计报告或银行出具的资信证明材料（如提供银行资信证明的，须自采购公告发布之日起至首次提交投标投标文件截止时间内出具）；</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 xml:space="preserve">）具有履行合同所必需的设备和专业技术能力：提供承诺函； </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）有依法缴纳税收和社会保障资金的良好记录：①提供投标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年1月至今任意</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eastAsia="zh-CN"/>
              </w:rPr>
              <w:t>个月依法纳税凭证或有电子专用章的完税证明；②</w:t>
            </w:r>
            <w:r>
              <w:rPr>
                <w:rFonts w:hint="eastAsia" w:ascii="宋体" w:hAnsi="宋体" w:cs="宋体"/>
                <w:b w:val="0"/>
                <w:bCs w:val="0"/>
                <w:color w:val="auto"/>
                <w:sz w:val="21"/>
                <w:szCs w:val="21"/>
                <w:highlight w:val="none"/>
                <w:lang w:eastAsia="zh-CN"/>
              </w:rPr>
              <w:t>提供法定代表人或委托代理人2023年1月至今任意一个月依法缴纳社会保障资金证明</w:t>
            </w:r>
            <w:r>
              <w:rPr>
                <w:rFonts w:hint="eastAsia" w:ascii="宋体" w:hAnsi="宋体" w:eastAsia="宋体" w:cs="宋体"/>
                <w:b w:val="0"/>
                <w:bCs w:val="0"/>
                <w:color w:val="auto"/>
                <w:sz w:val="21"/>
                <w:szCs w:val="21"/>
                <w:highlight w:val="none"/>
                <w:lang w:eastAsia="zh-CN"/>
              </w:rPr>
              <w:t xml:space="preserve">； </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注：依法免税或不需要缴纳社会保障资金的供应商，应提供相应文件证明其依法免税或不需要缴纳社会保障资金。</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textAlignment w:val="auto"/>
              <w:outlineLvl w:val="9"/>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）参加政府采购活动前三年内，在经营活动中没有重大违法记录，提供无重大违法记录声明函。</w:t>
            </w:r>
          </w:p>
          <w:p>
            <w:pPr>
              <w:keepNext w:val="0"/>
              <w:keepLines w:val="0"/>
              <w:pageBreakBefore w:val="0"/>
              <w:tabs>
                <w:tab w:val="left" w:pos="4980"/>
                <w:tab w:val="right" w:pos="9000"/>
              </w:tabs>
              <w:kinsoku/>
              <w:wordWrap/>
              <w:overflowPunct/>
              <w:topLinePunct w:val="0"/>
              <w:autoSpaceDE/>
              <w:autoSpaceDN/>
              <w:bidi w:val="0"/>
              <w:spacing w:line="460" w:lineRule="exact"/>
              <w:jc w:val="both"/>
              <w:textAlignment w:val="auto"/>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2、落实政府采购政策需满足的资格要求：本项目不专门面向中小企业</w:t>
            </w:r>
            <w:r>
              <w:rPr>
                <w:rFonts w:hint="eastAsia" w:asciiTheme="minorEastAsia" w:hAnsiTheme="minorEastAsia" w:eastAsiaTheme="minorEastAsia" w:cstheme="minorEastAsia"/>
                <w:color w:val="auto"/>
                <w:kern w:val="2"/>
                <w:sz w:val="21"/>
                <w:szCs w:val="21"/>
                <w:highlight w:val="none"/>
                <w:u w:val="none"/>
                <w:lang w:val="en-US" w:eastAsia="zh-CN" w:bidi="ar-SA"/>
              </w:rPr>
              <w:t>。</w:t>
            </w:r>
          </w:p>
          <w:p>
            <w:pPr>
              <w:keepNext w:val="0"/>
              <w:keepLines w:val="0"/>
              <w:pageBreakBefore w:val="0"/>
              <w:widowControl w:val="0"/>
              <w:tabs>
                <w:tab w:val="left" w:pos="4980"/>
                <w:tab w:val="right" w:pos="9000"/>
              </w:tabs>
              <w:kinsoku/>
              <w:wordWrap/>
              <w:overflowPunct/>
              <w:topLinePunct w:val="0"/>
              <w:autoSpaceDE/>
              <w:autoSpaceDN/>
              <w:bidi w:val="0"/>
              <w:adjustRightInd/>
              <w:snapToGrid/>
              <w:spacing w:line="460" w:lineRule="exact"/>
              <w:jc w:val="both"/>
              <w:textAlignment w:val="auto"/>
              <w:rPr>
                <w:rFonts w:hint="eastAsia" w:asciiTheme="minorEastAsia" w:hAnsiTheme="minorEastAsia" w:eastAsiaTheme="minorEastAsia" w:cstheme="minorEastAsia"/>
                <w:b/>
                <w:bCs/>
                <w:color w:val="auto"/>
                <w:kern w:val="2"/>
                <w:sz w:val="21"/>
                <w:szCs w:val="21"/>
                <w:highlight w:val="none"/>
                <w:u w:val="none"/>
                <w:lang w:val="en-US" w:eastAsia="zh-CN" w:bidi="ar-SA"/>
              </w:rPr>
            </w:pPr>
            <w:r>
              <w:rPr>
                <w:rFonts w:hint="eastAsia" w:asciiTheme="minorEastAsia" w:hAnsiTheme="minorEastAsia" w:eastAsiaTheme="minorEastAsia" w:cstheme="minorEastAsia"/>
                <w:b/>
                <w:bCs/>
                <w:color w:val="auto"/>
                <w:kern w:val="2"/>
                <w:sz w:val="21"/>
                <w:szCs w:val="21"/>
                <w:highlight w:val="none"/>
                <w:u w:val="none"/>
                <w:lang w:val="en-US" w:eastAsia="zh-CN" w:bidi="ar-SA"/>
              </w:rPr>
              <w:t>3、本项目的特定资格要求：</w:t>
            </w:r>
          </w:p>
          <w:p>
            <w:pPr>
              <w:pStyle w:val="21"/>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val="en-US" w:eastAsia="zh-CN"/>
              </w:rPr>
              <w:t>供应商应具备有效的具有工程咨询单位综合乙级及以上资信资质。</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2"/>
                <w:sz w:val="21"/>
                <w:szCs w:val="21"/>
                <w:highlight w:val="none"/>
                <w:u w:val="none"/>
                <w:lang w:val="en-US" w:eastAsia="zh-CN" w:bidi="ar-SA"/>
              </w:rPr>
              <w:t>4、本项目不接受联合体投标。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firstLine="105" w:firstLineChars="50"/>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highlight w:val="none"/>
                <w:lang w:val="en-US" w:eastAsia="zh-CN"/>
              </w:rPr>
              <w:t>12</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有效期</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60日历日（自投标截止日起）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highlight w:val="none"/>
                <w:lang w:val="en-US" w:eastAsia="zh-CN"/>
              </w:rPr>
              <w:t>13</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投标文件的</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上传和递交</w:t>
            </w:r>
          </w:p>
        </w:tc>
        <w:tc>
          <w:tcPr>
            <w:tcW w:w="78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电子加密投标文件：投标文件制作完成并生成加密标书，在投标截止时间前，供应商需将加密的投标文件上传至政采云平台，在开标时间开始后，待采购代理机构发出解密通知后30分钟内解密投标文件。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b/>
                <w:bCs/>
                <w:color w:val="auto"/>
                <w:sz w:val="21"/>
                <w:szCs w:val="21"/>
                <w:highlight w:val="none"/>
                <w:lang w:eastAsia="zh-CN"/>
              </w:rPr>
              <w:t>注:供应商未能在投标截止时间前成功上传电子加密投标文件的投标无效。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highlight w:val="none"/>
                <w:lang w:val="en-US" w:eastAsia="zh-CN"/>
              </w:rPr>
              <w:t>14</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投标文件份数</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rPr>
              <w:t>本项目为不见面开标，</w:t>
            </w:r>
            <w:r>
              <w:rPr>
                <w:rFonts w:hint="eastAsia" w:ascii="宋体" w:hAnsi="宋体" w:eastAsia="宋体" w:cs="宋体"/>
                <w:color w:val="auto"/>
                <w:szCs w:val="21"/>
                <w:highlight w:val="none"/>
                <w:lang w:eastAsia="zh-CN"/>
              </w:rPr>
              <w:t>投标单位</w:t>
            </w:r>
            <w:r>
              <w:rPr>
                <w:rFonts w:hint="eastAsia" w:ascii="宋体" w:hAnsi="宋体" w:eastAsia="宋体" w:cs="宋体"/>
                <w:b/>
                <w:bCs/>
                <w:color w:val="auto"/>
                <w:szCs w:val="21"/>
                <w:highlight w:val="none"/>
                <w:lang w:eastAsia="zh-CN"/>
              </w:rPr>
              <w:t>开标现场</w:t>
            </w:r>
            <w:r>
              <w:rPr>
                <w:rFonts w:hint="eastAsia" w:ascii="宋体" w:hAnsi="宋体" w:eastAsia="宋体" w:cs="宋体"/>
                <w:b/>
                <w:bCs/>
                <w:color w:val="auto"/>
                <w:szCs w:val="21"/>
                <w:highlight w:val="none"/>
              </w:rPr>
              <w:t>无需提交</w:t>
            </w:r>
            <w:r>
              <w:rPr>
                <w:rFonts w:hint="eastAsia" w:ascii="宋体" w:hAnsi="宋体" w:eastAsia="宋体" w:cs="宋体"/>
                <w:color w:val="auto"/>
                <w:szCs w:val="21"/>
                <w:highlight w:val="none"/>
              </w:rPr>
              <w:t>纸质版</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及电子版U盘或光盘</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highlight w:val="none"/>
                <w:lang w:val="en-US" w:eastAsia="zh-CN"/>
              </w:rPr>
              <w:t>15</w:t>
            </w:r>
          </w:p>
        </w:tc>
        <w:tc>
          <w:tcPr>
            <w:tcW w:w="15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装订要求</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szCs w:val="21"/>
                <w:highlight w:val="none"/>
              </w:rPr>
              <w:t>本项目为不见面开标，无需现场提交纸质版</w:t>
            </w:r>
            <w:r>
              <w:rPr>
                <w:rFonts w:hint="eastAsia" w:asciiTheme="minorEastAsia" w:hAnsiTheme="minorEastAsia" w:eastAsiaTheme="minorEastAsia" w:cstheme="minorEastAsia"/>
                <w:color w:val="auto"/>
                <w:szCs w:val="21"/>
                <w:highlight w:val="none"/>
                <w:lang w:eastAsia="zh-CN"/>
              </w:rPr>
              <w:t>投标文件</w:t>
            </w:r>
            <w:r>
              <w:rPr>
                <w:rFonts w:hint="eastAsia" w:asciiTheme="minorEastAsia" w:hAnsiTheme="minorEastAsia" w:eastAsiaTheme="minorEastAsia" w:cstheme="minorEastAsia"/>
                <w:color w:val="auto"/>
                <w:szCs w:val="21"/>
                <w:highlight w:val="none"/>
              </w:rPr>
              <w:t>及电子版U盘或光盘，加密的电子</w:t>
            </w:r>
            <w:r>
              <w:rPr>
                <w:rFonts w:hint="eastAsia" w:asciiTheme="minorEastAsia" w:hAnsiTheme="minorEastAsia" w:eastAsiaTheme="minorEastAsia" w:cstheme="minorEastAsia"/>
                <w:color w:val="auto"/>
                <w:szCs w:val="21"/>
                <w:highlight w:val="none"/>
                <w:lang w:eastAsia="zh-CN"/>
              </w:rPr>
              <w:t>投标文件</w:t>
            </w:r>
            <w:r>
              <w:rPr>
                <w:rFonts w:hint="eastAsia" w:asciiTheme="minorEastAsia" w:hAnsiTheme="minorEastAsia" w:eastAsiaTheme="minorEastAsia" w:cstheme="minorEastAsia"/>
                <w:color w:val="auto"/>
                <w:szCs w:val="21"/>
                <w:highlight w:val="none"/>
              </w:rPr>
              <w:t>在投标截止时间前通过CA在政采云平台上传。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highlight w:val="none"/>
                <w:lang w:val="en-US" w:eastAsia="zh-CN"/>
              </w:rPr>
              <w:t>16</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投标截止时间和投标文件递交地点</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val="0"/>
                <w:bCs w:val="0"/>
                <w:color w:val="auto"/>
                <w:szCs w:val="21"/>
                <w:highlight w:val="none"/>
              </w:rPr>
              <w:t>投标截止时间：</w:t>
            </w:r>
            <w:r>
              <w:rPr>
                <w:rFonts w:hint="eastAsia" w:asciiTheme="minorEastAsia" w:hAnsiTheme="minorEastAsia" w:eastAsiaTheme="minorEastAsia" w:cstheme="minorEastAsia"/>
                <w:b/>
                <w:bCs/>
                <w:color w:val="auto"/>
                <w:szCs w:val="21"/>
                <w:highlight w:val="none"/>
                <w:u w:val="single"/>
                <w:lang w:eastAsia="zh-CN"/>
              </w:rPr>
              <w:t>2023年07月1</w:t>
            </w:r>
            <w:r>
              <w:rPr>
                <w:rFonts w:hint="eastAsia" w:asciiTheme="minorEastAsia" w:hAnsiTheme="minorEastAsia" w:eastAsiaTheme="minorEastAsia" w:cstheme="minorEastAsia"/>
                <w:b/>
                <w:bCs/>
                <w:color w:val="auto"/>
                <w:szCs w:val="21"/>
                <w:highlight w:val="none"/>
                <w:u w:val="single"/>
                <w:lang w:val="en-US" w:eastAsia="zh-CN"/>
              </w:rPr>
              <w:t>8</w:t>
            </w:r>
            <w:r>
              <w:rPr>
                <w:rFonts w:hint="eastAsia" w:asciiTheme="minorEastAsia" w:hAnsiTheme="minorEastAsia" w:eastAsiaTheme="minorEastAsia" w:cstheme="minorEastAsia"/>
                <w:b/>
                <w:bCs/>
                <w:color w:val="auto"/>
                <w:szCs w:val="21"/>
                <w:highlight w:val="none"/>
                <w:u w:val="single"/>
                <w:lang w:eastAsia="zh-CN"/>
              </w:rPr>
              <w:t>日16:30</w:t>
            </w:r>
            <w:r>
              <w:rPr>
                <w:rFonts w:hint="eastAsia" w:asciiTheme="minorEastAsia" w:hAnsiTheme="minorEastAsia" w:eastAsiaTheme="minorEastAsia" w:cstheme="minorEastAsia"/>
                <w:b/>
                <w:bCs/>
                <w:color w:val="auto"/>
                <w:szCs w:val="21"/>
                <w:highlight w:val="none"/>
                <w:u w:val="single"/>
              </w:rPr>
              <w:t>（北京时间）</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rPr>
              <w:t>投标文件递交</w:t>
            </w:r>
            <w:r>
              <w:rPr>
                <w:rFonts w:hint="eastAsia" w:asciiTheme="minorEastAsia" w:hAnsiTheme="minorEastAsia" w:eastAsiaTheme="minorEastAsia" w:cstheme="minorEastAsia"/>
                <w:b w:val="0"/>
                <w:bCs w:val="0"/>
                <w:color w:val="auto"/>
                <w:szCs w:val="21"/>
                <w:highlight w:val="none"/>
                <w:lang w:val="en-US" w:eastAsia="zh-CN"/>
              </w:rPr>
              <w:t>地点</w:t>
            </w:r>
            <w:r>
              <w:rPr>
                <w:rFonts w:hint="eastAsia" w:asciiTheme="minorEastAsia" w:hAnsiTheme="minorEastAsia" w:eastAsiaTheme="minorEastAsia" w:cstheme="minorEastAsia"/>
                <w:b w:val="0"/>
                <w:bCs w:val="0"/>
                <w:color w:val="auto"/>
                <w:szCs w:val="21"/>
                <w:highlight w:val="none"/>
              </w:rPr>
              <w:t>：请登录政采云投标客户端投标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17</w:t>
            </w:r>
          </w:p>
        </w:tc>
        <w:tc>
          <w:tcPr>
            <w:tcW w:w="15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开标时间和</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开标地点</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rPr>
            </w:pPr>
            <w:r>
              <w:rPr>
                <w:rFonts w:hint="eastAsia"/>
              </w:rPr>
              <w:t>开标时间：</w:t>
            </w:r>
            <w:r>
              <w:rPr>
                <w:rFonts w:hint="eastAsia"/>
                <w:lang w:eastAsia="zh-CN"/>
              </w:rPr>
              <w:t>2023年07月1</w:t>
            </w:r>
            <w:r>
              <w:rPr>
                <w:rFonts w:hint="eastAsia"/>
                <w:lang w:val="en-US" w:eastAsia="zh-CN"/>
              </w:rPr>
              <w:t>8</w:t>
            </w:r>
            <w:r>
              <w:rPr>
                <w:rFonts w:hint="eastAsia"/>
                <w:lang w:eastAsia="zh-CN"/>
              </w:rPr>
              <w:t>日16:30</w:t>
            </w:r>
            <w:r>
              <w:rPr>
                <w:rFonts w:hint="eastAsia"/>
              </w:rPr>
              <w:t>（北京时间）</w:t>
            </w:r>
          </w:p>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rPr>
              <w:t>开标地点：新疆政府采购云平台（www.zcygov.cn）</w:t>
            </w:r>
          </w:p>
          <w:p>
            <w:pPr>
              <w:keepNext w:val="0"/>
              <w:keepLines w:val="0"/>
              <w:pageBreakBefore w:val="0"/>
              <w:kinsoku/>
              <w:wordWrap/>
              <w:overflowPunct/>
              <w:topLinePunct w:val="0"/>
              <w:autoSpaceDE/>
              <w:autoSpaceDN/>
              <w:bidi w:val="0"/>
              <w:adjustRightInd/>
              <w:snapToGrid/>
              <w:spacing w:line="400" w:lineRule="exact"/>
              <w:textAlignment w:val="auto"/>
              <w:rPr>
                <w:rFonts w:hint="eastAsia" w:eastAsia="宋体"/>
                <w:lang w:val="en-US" w:eastAsia="zh-CN"/>
              </w:rPr>
            </w:pPr>
            <w:r>
              <w:rPr>
                <w:rFonts w:hint="eastAsia"/>
                <w:b/>
                <w:bCs/>
                <w:lang w:val="en-US" w:eastAsia="zh-CN"/>
              </w:rPr>
              <w:t>注：开标前30分钟需加开标QQ群，群号：618233738 ，并将群昵称修改为服务商名称。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18</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采购预算</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highlight w:val="none"/>
              </w:rPr>
              <w:t>本次项目</w:t>
            </w:r>
            <w:r>
              <w:rPr>
                <w:rFonts w:hint="eastAsia" w:asciiTheme="minorEastAsia" w:hAnsiTheme="minorEastAsia" w:eastAsiaTheme="minorEastAsia" w:cstheme="minorEastAsia"/>
                <w:b/>
                <w:bCs/>
                <w:color w:val="auto"/>
                <w:szCs w:val="21"/>
                <w:highlight w:val="none"/>
              </w:rPr>
              <w:t>采购预算</w:t>
            </w:r>
            <w:r>
              <w:rPr>
                <w:rFonts w:hint="eastAsia" w:asciiTheme="minorEastAsia" w:hAnsiTheme="minorEastAsia" w:eastAsiaTheme="minorEastAsia" w:cstheme="minorEastAsia"/>
                <w:b/>
                <w:bCs/>
                <w:color w:val="auto"/>
                <w:highlight w:val="none"/>
              </w:rPr>
              <w:t>为</w:t>
            </w:r>
            <w:r>
              <w:rPr>
                <w:rFonts w:hint="eastAsia" w:asciiTheme="minorEastAsia" w:hAnsiTheme="minorEastAsia" w:eastAsiaTheme="minorEastAsia" w:cstheme="minorEastAsia"/>
                <w:b/>
                <w:bCs/>
                <w:color w:val="auto"/>
                <w:highlight w:val="none"/>
                <w:u w:val="single"/>
              </w:rPr>
              <w:t xml:space="preserve"> </w:t>
            </w:r>
            <w:r>
              <w:rPr>
                <w:rFonts w:hint="eastAsia" w:asciiTheme="minorEastAsia" w:hAnsiTheme="minorEastAsia" w:eastAsiaTheme="minorEastAsia" w:cstheme="minorEastAsia"/>
                <w:b/>
                <w:bCs/>
                <w:color w:val="auto"/>
                <w:highlight w:val="none"/>
                <w:u w:val="single"/>
                <w:lang w:val="en-US" w:eastAsia="zh-CN"/>
              </w:rPr>
              <w:t>1500000.00</w:t>
            </w:r>
            <w:r>
              <w:rPr>
                <w:rFonts w:hint="eastAsia" w:asciiTheme="minorEastAsia" w:hAnsiTheme="minorEastAsia" w:eastAsiaTheme="minorEastAsia" w:cstheme="minorEastAsia"/>
                <w:b/>
                <w:bCs/>
                <w:color w:val="auto"/>
                <w:highlight w:val="none"/>
                <w:u w:val="single"/>
              </w:rPr>
              <w:t xml:space="preserve">元 </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highlight w:val="none"/>
                <w:lang w:val="en-US" w:eastAsia="zh-CN"/>
              </w:rPr>
              <w:t>资金来源为财政资金。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19</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最高限价</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本次项目</w:t>
            </w:r>
            <w:r>
              <w:rPr>
                <w:rFonts w:hint="eastAsia" w:asciiTheme="minorEastAsia" w:hAnsiTheme="minorEastAsia" w:eastAsiaTheme="minorEastAsia" w:cstheme="minorEastAsia"/>
                <w:b/>
                <w:bCs/>
                <w:color w:val="auto"/>
                <w:szCs w:val="21"/>
                <w:highlight w:val="none"/>
                <w:lang w:eastAsia="zh-CN"/>
              </w:rPr>
              <w:t>最高限价</w:t>
            </w:r>
            <w:r>
              <w:rPr>
                <w:rFonts w:hint="eastAsia" w:asciiTheme="minorEastAsia" w:hAnsiTheme="minorEastAsia" w:eastAsiaTheme="minorEastAsia" w:cstheme="minorEastAsia"/>
                <w:b/>
                <w:bCs/>
                <w:color w:val="auto"/>
                <w:highlight w:val="none"/>
              </w:rPr>
              <w:t>为</w:t>
            </w:r>
            <w:r>
              <w:rPr>
                <w:rFonts w:hint="eastAsia" w:asciiTheme="minorEastAsia" w:hAnsiTheme="minorEastAsia" w:eastAsiaTheme="minorEastAsia" w:cstheme="minorEastAsia"/>
                <w:b/>
                <w:bCs/>
                <w:color w:val="auto"/>
                <w:highlight w:val="none"/>
                <w:u w:val="single"/>
              </w:rPr>
              <w:t xml:space="preserve"> </w:t>
            </w:r>
            <w:r>
              <w:rPr>
                <w:rFonts w:hint="eastAsia" w:asciiTheme="minorEastAsia" w:hAnsiTheme="minorEastAsia" w:eastAsiaTheme="minorEastAsia" w:cstheme="minorEastAsia"/>
                <w:b/>
                <w:bCs/>
                <w:color w:val="auto"/>
                <w:highlight w:val="none"/>
                <w:u w:val="single"/>
                <w:lang w:val="en-US" w:eastAsia="zh-CN"/>
              </w:rPr>
              <w:t>1500000</w:t>
            </w:r>
            <w:r>
              <w:rPr>
                <w:rFonts w:hint="eastAsia" w:asciiTheme="minorEastAsia" w:hAnsiTheme="minorEastAsia" w:eastAsiaTheme="minorEastAsia" w:cstheme="minorEastAsia"/>
                <w:b/>
                <w:bCs/>
                <w:color w:val="auto"/>
                <w:highlight w:val="none"/>
                <w:u w:val="single"/>
              </w:rPr>
              <w:t>.00元</w:t>
            </w:r>
            <w:r>
              <w:rPr>
                <w:rFonts w:hint="eastAsia" w:asciiTheme="minorEastAsia" w:hAnsiTheme="minorEastAsia" w:eastAsiaTheme="minorEastAsia" w:cstheme="minorEastAsia"/>
                <w:b/>
                <w:bCs/>
                <w:color w:val="auto"/>
                <w:highlight w:val="none"/>
                <w:u w:val="single"/>
                <w:lang w:eastAsia="zh-CN"/>
              </w:rPr>
              <w:t>（</w:t>
            </w:r>
            <w:r>
              <w:rPr>
                <w:rFonts w:hint="eastAsia" w:asciiTheme="minorEastAsia" w:hAnsiTheme="minorEastAsia" w:eastAsiaTheme="minorEastAsia" w:cstheme="minorEastAsia"/>
                <w:b/>
                <w:bCs/>
                <w:color w:val="auto"/>
                <w:highlight w:val="none"/>
                <w:u w:val="single"/>
                <w:lang w:val="en-US" w:eastAsia="zh-CN"/>
              </w:rPr>
              <w:t>壹佰伍拾万</w:t>
            </w:r>
            <w:r>
              <w:rPr>
                <w:rFonts w:hint="eastAsia" w:asciiTheme="minorEastAsia" w:hAnsiTheme="minorEastAsia" w:eastAsiaTheme="minorEastAsia" w:cstheme="minorEastAsia"/>
                <w:b/>
                <w:bCs/>
                <w:color w:val="auto"/>
                <w:highlight w:val="none"/>
                <w:u w:val="single"/>
                <w:lang w:eastAsia="zh-CN"/>
              </w:rPr>
              <w:t>整）</w:t>
            </w:r>
            <w:r>
              <w:rPr>
                <w:rFonts w:hint="eastAsia" w:asciiTheme="minorEastAsia" w:hAnsiTheme="minorEastAsia" w:eastAsiaTheme="minorEastAsia" w:cstheme="minorEastAsia"/>
                <w:b/>
                <w:bCs/>
                <w:color w:val="auto"/>
                <w:highlight w:val="none"/>
                <w:u w:val="single"/>
              </w:rPr>
              <w:t xml:space="preserve"> </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highlight w:val="none"/>
              </w:rPr>
              <w:t>各投标人的投标总报价不得高于</w:t>
            </w:r>
            <w:r>
              <w:rPr>
                <w:rFonts w:hint="eastAsia" w:asciiTheme="minorEastAsia" w:hAnsiTheme="minorEastAsia" w:eastAsiaTheme="minorEastAsia" w:cstheme="minorEastAsia"/>
                <w:b/>
                <w:bCs/>
                <w:color w:val="auto"/>
                <w:highlight w:val="none"/>
                <w:lang w:eastAsia="zh-CN"/>
              </w:rPr>
              <w:t>最高限价</w:t>
            </w:r>
            <w:r>
              <w:rPr>
                <w:rFonts w:hint="eastAsia" w:asciiTheme="minorEastAsia" w:hAnsiTheme="minorEastAsia" w:eastAsiaTheme="minorEastAsia" w:cstheme="minorEastAsia"/>
                <w:b/>
                <w:bCs/>
                <w:color w:val="auto"/>
                <w:highlight w:val="none"/>
              </w:rPr>
              <w:t>，否则将否决其投标。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w:t>
            </w:r>
          </w:p>
        </w:tc>
        <w:tc>
          <w:tcPr>
            <w:tcW w:w="1508" w:type="dxa"/>
            <w:tcBorders>
              <w:tl2br w:val="nil"/>
              <w:tr2bl w:val="nil"/>
            </w:tcBorders>
            <w:vAlign w:val="center"/>
          </w:tcPr>
          <w:p>
            <w:pPr>
              <w:pStyle w:val="46"/>
              <w:keepNext w:val="0"/>
              <w:keepLines w:val="0"/>
              <w:pageBreakBefore w:val="0"/>
              <w:widowControl w:val="0"/>
              <w:kinsoku/>
              <w:wordWrap/>
              <w:overflowPunct/>
              <w:topLinePunct w:val="0"/>
              <w:bidi w:val="0"/>
              <w:snapToGrid w:val="0"/>
              <w:spacing w:line="360" w:lineRule="exact"/>
              <w:jc w:val="center"/>
              <w:textAlignment w:val="auto"/>
              <w:rPr>
                <w:rFonts w:hint="eastAsia" w:asciiTheme="minorEastAsia" w:hAnsiTheme="minorEastAsia" w:eastAsiaTheme="minorEastAsia" w:cstheme="minorEastAsia"/>
                <w:b/>
                <w:bCs/>
                <w:color w:val="auto"/>
                <w:kern w:val="0"/>
                <w:sz w:val="24"/>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中标结果公告</w:t>
            </w:r>
          </w:p>
        </w:tc>
        <w:tc>
          <w:tcPr>
            <w:tcW w:w="7850" w:type="dxa"/>
            <w:tcBorders>
              <w:tl2br w:val="nil"/>
              <w:tr2bl w:val="nil"/>
            </w:tcBorders>
            <w:vAlign w:val="center"/>
          </w:tcPr>
          <w:p>
            <w:pPr>
              <w:pStyle w:val="46"/>
              <w:keepNext w:val="0"/>
              <w:keepLines w:val="0"/>
              <w:pageBreakBefore w:val="0"/>
              <w:kinsoku/>
              <w:wordWrap/>
              <w:overflowPunct/>
              <w:topLinePunct w:val="0"/>
              <w:bidi w:val="0"/>
              <w:snapToGrid w:val="0"/>
              <w:spacing w:line="40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中标结果公告将在新疆政府采购网发布，</w:t>
            </w:r>
            <w:r>
              <w:rPr>
                <w:rFonts w:hint="eastAsia" w:asciiTheme="minorEastAsia" w:hAnsiTheme="minorEastAsia" w:eastAsiaTheme="minorEastAsia" w:cstheme="minorEastAsia"/>
                <w:color w:val="auto"/>
                <w:sz w:val="21"/>
                <w:szCs w:val="21"/>
                <w:highlight w:val="none"/>
                <w:lang w:eastAsia="zh-CN"/>
              </w:rPr>
              <w:t>公告</w:t>
            </w:r>
            <w:r>
              <w:rPr>
                <w:rFonts w:hint="eastAsia" w:asciiTheme="minorEastAsia" w:hAnsiTheme="minorEastAsia" w:eastAsiaTheme="minorEastAsia" w:cstheme="minorEastAsia"/>
                <w:color w:val="auto"/>
                <w:sz w:val="21"/>
                <w:szCs w:val="21"/>
                <w:highlight w:val="none"/>
                <w:lang w:val="en-US" w:eastAsia="zh-CN"/>
              </w:rPr>
              <w:t>期限</w:t>
            </w:r>
            <w:r>
              <w:rPr>
                <w:rFonts w:hint="eastAsia" w:asciiTheme="minorEastAsia" w:hAnsiTheme="minorEastAsia" w:eastAsiaTheme="minorEastAsia" w:cstheme="minorEastAsia"/>
                <w:color w:val="auto"/>
                <w:kern w:val="2"/>
                <w:sz w:val="21"/>
                <w:szCs w:val="21"/>
                <w:highlight w:val="none"/>
                <w:lang w:val="en-US" w:eastAsia="zh-CN" w:bidi="ar-SA"/>
              </w:rPr>
              <w:t>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21</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代理服务费</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参照国家计委计价格【2002】1980号文和国家发改委发改办价格【2003】857号文，由成交人支付。</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注：服务费由成交方在领取中标通知书时一次性足额支付。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22</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特别提示</w:t>
            </w:r>
          </w:p>
        </w:tc>
        <w:tc>
          <w:tcPr>
            <w:tcW w:w="78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投标人的报价高于</w:t>
            </w: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rPr>
              <w:t>视为无效报价（即作否决投标处理）。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请各投标单位认真阅读并充分响应采购文件要求，其中采购文件内容中加粗、加下划线、废标、无效、投标被否决等字样的条款，为采购的实质性要求和条件，着重提醒各投标人注意。因误读采购文件而造成的后果，采购人及代理机构概不负责</w:t>
            </w:r>
            <w:r>
              <w:rPr>
                <w:rFonts w:hint="eastAsia" w:ascii="宋体" w:hAnsi="宋体" w:eastAsia="宋体" w:cs="宋体"/>
                <w:b/>
                <w:bCs/>
                <w:color w:val="auto"/>
                <w:szCs w:val="21"/>
                <w:highlight w:val="none"/>
              </w:rPr>
              <w:t>。</w:t>
            </w:r>
          </w:p>
          <w:p>
            <w:pPr>
              <w:keepNext w:val="0"/>
              <w:keepLines w:val="0"/>
              <w:pageBreakBefore w:val="0"/>
              <w:kinsoku/>
              <w:wordWrap/>
              <w:overflowPunct/>
              <w:topLinePunct w:val="0"/>
              <w:autoSpaceDE/>
              <w:autoSpaceDN/>
              <w:bidi w:val="0"/>
              <w:adjustRightInd/>
              <w:snapToGrid/>
              <w:spacing w:line="360" w:lineRule="exact"/>
              <w:ind w:left="0" w:leftChars="0"/>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3、供应商未被列入中国政府采购网（http://www.ccgp.gov.cn）严重违法失信行为记录名单、“信用中国”网站（http://www.creditchina.gov.cn）失信被执行人、重大税收违法案件当事人名单（尚在处罚期内的），</w:t>
            </w:r>
            <w:r>
              <w:rPr>
                <w:rFonts w:hint="eastAsia" w:ascii="宋体" w:hAnsi="宋体" w:eastAsia="宋体" w:cs="宋体"/>
                <w:b/>
                <w:bCs/>
                <w:color w:val="auto"/>
                <w:szCs w:val="21"/>
                <w:highlight w:val="none"/>
                <w:lang w:val="en-US" w:eastAsia="zh-CN"/>
              </w:rPr>
              <w:t>否则其投标无效（查询时间为采购公告发布之日起至投标截止时间止）</w:t>
            </w:r>
            <w:r>
              <w:rPr>
                <w:rFonts w:hint="eastAsia" w:ascii="宋体" w:hAnsi="宋体" w:eastAsia="宋体" w:cs="宋体"/>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exact"/>
              <w:ind w:left="0" w:leftChars="0"/>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b/>
                <w:bCs/>
                <w:color w:val="auto"/>
                <w:szCs w:val="21"/>
                <w:highlight w:val="none"/>
                <w:lang w:val="en-US" w:eastAsia="zh-CN"/>
              </w:rPr>
              <w:t>存在以上行为的供应商，其投标无效</w:t>
            </w:r>
            <w:r>
              <w:rPr>
                <w:rFonts w:hint="eastAsia" w:ascii="宋体" w:hAnsi="宋体" w:eastAsia="宋体" w:cs="宋体"/>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5、投标人应承担其编制投标投标文件与递交投标投标文件所涉及的一切费用，不论投标结果如何，采购方对上述费用不做任何补偿。</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为保证本项目服务</w:t>
            </w:r>
            <w:r>
              <w:rPr>
                <w:rFonts w:hint="eastAsia" w:ascii="宋体" w:hAnsi="宋体" w:eastAsia="宋体" w:cs="宋体"/>
                <w:b/>
                <w:bCs/>
                <w:color w:val="auto"/>
                <w:szCs w:val="21"/>
                <w:highlight w:val="none"/>
                <w:lang w:eastAsia="zh-CN"/>
              </w:rPr>
              <w:t>质量</w:t>
            </w:r>
            <w:r>
              <w:rPr>
                <w:rFonts w:hint="eastAsia" w:ascii="宋体" w:hAnsi="宋体" w:eastAsia="宋体" w:cs="宋体"/>
                <w:b/>
                <w:bCs/>
                <w:color w:val="auto"/>
                <w:szCs w:val="21"/>
                <w:highlight w:val="none"/>
              </w:rPr>
              <w:t>，最低报价不作为</w:t>
            </w:r>
            <w:r>
              <w:rPr>
                <w:rFonts w:hint="eastAsia" w:ascii="宋体" w:hAnsi="宋体" w:eastAsia="宋体" w:cs="宋体"/>
                <w:b/>
                <w:bCs/>
                <w:color w:val="auto"/>
                <w:szCs w:val="21"/>
                <w:highlight w:val="none"/>
                <w:lang w:val="en-US" w:eastAsia="zh-CN"/>
              </w:rPr>
              <w:t>中标</w:t>
            </w:r>
            <w:r>
              <w:rPr>
                <w:rFonts w:hint="eastAsia" w:ascii="宋体" w:hAnsi="宋体" w:eastAsia="宋体" w:cs="宋体"/>
                <w:b/>
                <w:bCs/>
                <w:color w:val="auto"/>
                <w:szCs w:val="21"/>
                <w:highlight w:val="none"/>
              </w:rPr>
              <w:t>的</w:t>
            </w:r>
            <w:r>
              <w:rPr>
                <w:rFonts w:hint="eastAsia" w:ascii="宋体" w:hAnsi="宋体" w:cs="宋体"/>
                <w:b/>
                <w:bCs/>
                <w:color w:val="auto"/>
                <w:szCs w:val="21"/>
                <w:highlight w:val="none"/>
                <w:lang w:val="en-US" w:eastAsia="zh-CN"/>
              </w:rPr>
              <w:t>依据</w:t>
            </w:r>
            <w:r>
              <w:rPr>
                <w:rFonts w:hint="eastAsia" w:ascii="宋体" w:hAnsi="宋体" w:eastAsia="宋体" w:cs="宋体"/>
                <w:b/>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23</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其他要求</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Theme="minorEastAsia" w:hAnsiTheme="minorEastAsia" w:eastAsiaTheme="minorEastAsia" w:cstheme="minorEastAsia"/>
                <w:color w:val="auto"/>
                <w:szCs w:val="21"/>
                <w:highlight w:val="none"/>
                <w:lang w:eastAsia="zh-CN"/>
              </w:rPr>
              <w:t>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57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24</w:t>
            </w:r>
          </w:p>
        </w:tc>
        <w:tc>
          <w:tcPr>
            <w:tcW w:w="15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未尽事项</w:t>
            </w:r>
          </w:p>
        </w:tc>
        <w:tc>
          <w:tcPr>
            <w:tcW w:w="78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采购方与中标方协商事项，具体在合同中约定</w:t>
            </w:r>
            <w:r>
              <w:rPr>
                <w:rFonts w:hint="eastAsia" w:asciiTheme="minorEastAsia" w:hAnsiTheme="minorEastAsia" w:eastAsiaTheme="minorEastAsia" w:cstheme="minorEastAsia"/>
                <w:color w:val="auto"/>
                <w:szCs w:val="21"/>
                <w:highlight w:val="none"/>
                <w:lang w:eastAsia="zh-CN"/>
              </w:rPr>
              <w:t>。</w:t>
            </w:r>
          </w:p>
        </w:tc>
      </w:tr>
    </w:tbl>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须知前附表与正文描述不一致时，以须知前附表中为主</w:t>
      </w:r>
    </w:p>
    <w:p>
      <w:pPr>
        <w:pStyle w:val="12"/>
        <w:rPr>
          <w:rFonts w:hint="eastAsia" w:asciiTheme="minorEastAsia" w:hAnsiTheme="minorEastAsia" w:eastAsiaTheme="minorEastAsia" w:cstheme="minorEastAsia"/>
          <w:b/>
          <w:color w:val="auto"/>
          <w:sz w:val="36"/>
          <w:szCs w:val="36"/>
          <w:highlight w:val="none"/>
        </w:rPr>
      </w:pPr>
    </w:p>
    <w:p>
      <w:pPr>
        <w:rPr>
          <w:rFonts w:hint="eastAsia" w:asciiTheme="minorEastAsia" w:hAnsiTheme="minorEastAsia" w:eastAsiaTheme="minorEastAsia" w:cstheme="minorEastAsia"/>
          <w:b/>
          <w:color w:val="auto"/>
          <w:sz w:val="36"/>
          <w:szCs w:val="36"/>
          <w:highlight w:val="none"/>
        </w:rPr>
      </w:pPr>
    </w:p>
    <w:p>
      <w:pPr>
        <w:pStyle w:val="12"/>
        <w:rPr>
          <w:rFonts w:hint="eastAsia" w:asciiTheme="minorEastAsia" w:hAnsiTheme="minorEastAsia" w:eastAsiaTheme="minorEastAsia" w:cstheme="minorEastAsia"/>
          <w:b/>
          <w:color w:val="auto"/>
          <w:sz w:val="36"/>
          <w:szCs w:val="36"/>
          <w:highlight w:val="none"/>
        </w:rPr>
      </w:pPr>
    </w:p>
    <w:p>
      <w:pPr>
        <w:rPr>
          <w:rFonts w:hint="eastAsia" w:asciiTheme="minorEastAsia" w:hAnsiTheme="minorEastAsia" w:eastAsiaTheme="minorEastAsia" w:cstheme="minorEastAsia"/>
          <w:b/>
          <w:color w:val="auto"/>
          <w:sz w:val="36"/>
          <w:szCs w:val="36"/>
          <w:highlight w:val="none"/>
        </w:rPr>
      </w:pPr>
    </w:p>
    <w:p>
      <w:pPr>
        <w:pStyle w:val="27"/>
        <w:rPr>
          <w:rFonts w:hint="eastAsia"/>
          <w:color w:val="auto"/>
          <w:highlight w:val="none"/>
        </w:rPr>
      </w:pPr>
    </w:p>
    <w:p>
      <w:pPr>
        <w:pStyle w:val="12"/>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p>
    <w:p>
      <w:pPr>
        <w:pStyle w:val="2"/>
        <w:rPr>
          <w:rFonts w:hint="eastAsia" w:asciiTheme="minorEastAsia" w:hAnsiTheme="minorEastAsia" w:eastAsiaTheme="minorEastAsia" w:cstheme="minorEastAsia"/>
          <w:b/>
          <w:color w:val="auto"/>
          <w:sz w:val="36"/>
          <w:szCs w:val="36"/>
          <w:highlight w:val="none"/>
        </w:rPr>
      </w:pPr>
    </w:p>
    <w:p>
      <w:pPr>
        <w:pStyle w:val="5"/>
        <w:rPr>
          <w:rFonts w:hint="eastAsia" w:asciiTheme="minorEastAsia" w:hAnsiTheme="minorEastAsia" w:eastAsiaTheme="minorEastAsia" w:cstheme="minorEastAsia"/>
          <w:b/>
          <w:color w:val="auto"/>
          <w:sz w:val="36"/>
          <w:szCs w:val="36"/>
          <w:highlight w:val="none"/>
        </w:rPr>
      </w:pPr>
    </w:p>
    <w:p>
      <w:pPr>
        <w:pStyle w:val="2"/>
        <w:rPr>
          <w:rFonts w:hint="eastAsia"/>
        </w:rPr>
      </w:pPr>
    </w:p>
    <w:p>
      <w:pPr>
        <w:jc w:val="center"/>
        <w:rPr>
          <w:rFonts w:hint="eastAsia" w:asciiTheme="minorEastAsia" w:hAnsiTheme="minorEastAsia" w:eastAsiaTheme="minorEastAsia" w:cstheme="minorEastAsia"/>
          <w:b/>
          <w:color w:val="auto"/>
          <w:sz w:val="36"/>
          <w:szCs w:val="36"/>
          <w:highlight w:val="none"/>
        </w:rPr>
      </w:pP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第二章    投标人须知</w:t>
      </w:r>
    </w:p>
    <w:p>
      <w:pPr>
        <w:rPr>
          <w:rFonts w:hint="eastAsia" w:asciiTheme="minorEastAsia" w:hAnsiTheme="minorEastAsia" w:eastAsiaTheme="minorEastAsia" w:cstheme="minorEastAsia"/>
          <w:b/>
          <w:color w:val="auto"/>
          <w:sz w:val="30"/>
          <w:szCs w:val="30"/>
          <w:highlight w:val="none"/>
        </w:rPr>
      </w:pPr>
    </w:p>
    <w:p>
      <w:pPr>
        <w:pStyle w:val="8"/>
        <w:pageBreakBefore w:val="0"/>
        <w:widowControl w:val="0"/>
        <w:numPr>
          <w:ilvl w:val="0"/>
          <w:numId w:val="0"/>
        </w:numPr>
        <w:kinsoku/>
        <w:wordWrap/>
        <w:overflowPunct/>
        <w:topLinePunct w:val="0"/>
        <w:autoSpaceDE/>
        <w:autoSpaceDN/>
        <w:bidi w:val="0"/>
        <w:adjustRightInd/>
        <w:snapToGrid/>
        <w:spacing w:line="490" w:lineRule="exact"/>
        <w:jc w:val="center"/>
        <w:textAlignment w:val="auto"/>
        <w:rPr>
          <w:rFonts w:hint="eastAsia"/>
          <w:color w:val="auto"/>
          <w:highlight w:val="none"/>
        </w:rPr>
      </w:pPr>
      <w:r>
        <w:rPr>
          <w:rFonts w:hint="eastAsia" w:ascii="宋体" w:hAnsi="宋体" w:eastAsia="宋体" w:cs="宋体"/>
          <w:color w:val="auto"/>
          <w:sz w:val="32"/>
          <w:szCs w:val="32"/>
          <w:highlight w:val="none"/>
          <w:lang w:eastAsia="zh-CN"/>
        </w:rPr>
        <w:t>一、</w:t>
      </w:r>
      <w:r>
        <w:rPr>
          <w:rFonts w:hint="eastAsia" w:ascii="宋体" w:hAnsi="宋体" w:eastAsia="宋体" w:cs="宋体"/>
          <w:color w:val="auto"/>
          <w:sz w:val="32"/>
          <w:szCs w:val="32"/>
          <w:highlight w:val="none"/>
        </w:rPr>
        <w:t>对投标人的</w:t>
      </w:r>
      <w:r>
        <w:rPr>
          <w:rFonts w:hint="eastAsia" w:ascii="宋体" w:hAnsi="宋体" w:eastAsia="宋体" w:cs="宋体"/>
          <w:color w:val="auto"/>
          <w:sz w:val="32"/>
          <w:szCs w:val="32"/>
          <w:highlight w:val="none"/>
          <w:lang w:eastAsia="zh-CN"/>
        </w:rPr>
        <w:t>资格</w:t>
      </w:r>
      <w:r>
        <w:rPr>
          <w:rFonts w:hint="eastAsia" w:ascii="宋体" w:hAnsi="宋体" w:eastAsia="宋体" w:cs="宋体"/>
          <w:color w:val="auto"/>
          <w:sz w:val="32"/>
          <w:szCs w:val="32"/>
          <w:highlight w:val="none"/>
        </w:rPr>
        <w:t>要求</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1、开标会的</w:t>
      </w:r>
      <w:r>
        <w:rPr>
          <w:rFonts w:hint="eastAsia" w:ascii="宋体" w:hAnsi="宋体" w:eastAsia="宋体" w:cs="宋体"/>
          <w:b/>
          <w:color w:val="auto"/>
          <w:sz w:val="24"/>
          <w:highlight w:val="none"/>
          <w:lang w:val="en-US" w:eastAsia="zh-CN"/>
        </w:rPr>
        <w:t>资格</w:t>
      </w:r>
      <w:r>
        <w:rPr>
          <w:rFonts w:hint="eastAsia" w:ascii="宋体" w:hAnsi="宋体" w:eastAsia="宋体" w:cs="宋体"/>
          <w:b/>
          <w:color w:val="auto"/>
          <w:sz w:val="24"/>
          <w:highlight w:val="none"/>
        </w:rPr>
        <w:t>要求、</w:t>
      </w:r>
      <w:r>
        <w:rPr>
          <w:rFonts w:hint="eastAsia" w:ascii="宋体" w:hAnsi="宋体" w:eastAsia="宋体" w:cs="宋体"/>
          <w:b/>
          <w:color w:val="auto"/>
          <w:sz w:val="24"/>
          <w:highlight w:val="none"/>
          <w:lang w:val="en-US" w:eastAsia="zh-CN"/>
        </w:rPr>
        <w:t>开标</w:t>
      </w:r>
      <w:r>
        <w:rPr>
          <w:rFonts w:hint="eastAsia" w:ascii="宋体" w:hAnsi="宋体" w:eastAsia="宋体" w:cs="宋体"/>
          <w:b/>
          <w:color w:val="auto"/>
          <w:sz w:val="24"/>
          <w:highlight w:val="none"/>
        </w:rPr>
        <w:t>时间及地点</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本项目开标的时间、地点已在</w:t>
      </w:r>
      <w:r>
        <w:rPr>
          <w:rFonts w:hint="eastAsia" w:ascii="宋体" w:hAnsi="宋体" w:eastAsia="宋体" w:cs="宋体"/>
          <w:color w:val="auto"/>
          <w:sz w:val="24"/>
          <w:highlight w:val="none"/>
          <w:lang w:eastAsia="zh-CN"/>
        </w:rPr>
        <w:t>投标人须知前附表</w:t>
      </w:r>
      <w:r>
        <w:rPr>
          <w:rFonts w:hint="eastAsia" w:ascii="宋体" w:hAnsi="宋体" w:eastAsia="宋体" w:cs="宋体"/>
          <w:color w:val="auto"/>
          <w:sz w:val="24"/>
          <w:highlight w:val="none"/>
        </w:rPr>
        <w:t>列清。</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1.2 </w:t>
      </w:r>
      <w:r>
        <w:rPr>
          <w:rFonts w:hint="eastAsia" w:ascii="宋体" w:hAnsi="宋体" w:eastAsia="宋体" w:cs="宋体"/>
          <w:color w:val="auto"/>
          <w:sz w:val="24"/>
          <w:highlight w:val="none"/>
          <w:lang w:eastAsia="zh-CN"/>
        </w:rPr>
        <w:t>供应商应</w:t>
      </w:r>
      <w:r>
        <w:rPr>
          <w:rFonts w:hint="eastAsia" w:ascii="宋体" w:hAnsi="宋体" w:eastAsia="宋体" w:cs="宋体"/>
          <w:color w:val="auto"/>
          <w:sz w:val="24"/>
          <w:highlight w:val="none"/>
        </w:rPr>
        <w:t>派代表</w:t>
      </w:r>
      <w:r>
        <w:rPr>
          <w:rFonts w:hint="eastAsia" w:ascii="宋体" w:hAnsi="宋体" w:eastAsia="宋体" w:cs="宋体"/>
          <w:color w:val="auto"/>
          <w:sz w:val="24"/>
          <w:highlight w:val="none"/>
          <w:lang w:val="en-US" w:eastAsia="zh-CN"/>
        </w:rPr>
        <w:t>准时</w:t>
      </w:r>
      <w:r>
        <w:rPr>
          <w:rFonts w:hint="eastAsia" w:ascii="宋体" w:hAnsi="宋体" w:eastAsia="宋体" w:cs="宋体"/>
          <w:color w:val="auto"/>
          <w:sz w:val="24"/>
          <w:highlight w:val="none"/>
        </w:rPr>
        <w:t>参加开标会</w:t>
      </w:r>
      <w:r>
        <w:rPr>
          <w:rFonts w:hint="eastAsia" w:ascii="宋体" w:hAnsi="宋体" w:eastAsia="宋体" w:cs="宋体"/>
          <w:color w:val="auto"/>
          <w:sz w:val="24"/>
          <w:highlight w:val="none"/>
          <w:lang w:eastAsia="zh-CN"/>
        </w:rPr>
        <w:t>。</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 xml:space="preserve"> 本次投标供应商具体资格要求如下：</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1.3.1 供应商应当符合</w:t>
      </w:r>
      <w:r>
        <w:rPr>
          <w:rFonts w:hint="eastAsia" w:ascii="宋体" w:hAnsi="宋体" w:eastAsia="宋体" w:cs="宋体"/>
          <w:b/>
          <w:bCs/>
          <w:color w:val="auto"/>
          <w:sz w:val="24"/>
          <w:highlight w:val="none"/>
          <w:lang w:val="en-US" w:eastAsia="zh-CN"/>
        </w:rPr>
        <w:t>投标人须知前附表</w:t>
      </w:r>
      <w:r>
        <w:rPr>
          <w:rFonts w:hint="eastAsia" w:ascii="宋体" w:hAnsi="宋体" w:eastAsia="宋体" w:cs="宋体"/>
          <w:color w:val="auto"/>
          <w:sz w:val="24"/>
          <w:highlight w:val="none"/>
          <w:lang w:val="en-US" w:eastAsia="zh-CN"/>
        </w:rPr>
        <w:t xml:space="preserve">中规定的资格要求； </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1.3.2 供应商不得存在下列情形之一：</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（l）与采购人、采购代理机构存在利害关系。</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（2）单位负责人为同一人或者存在直接控股、管理关系的不同投标单位，不得参加同一合同项下的政府采购活动。</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（3）除单一来源采购项目外，为采购项目提供整体设计、规范编制或者项目管理、监理、检测等服务的投标单位，不得再参加该采购项目的其他采购活动。</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被列入失信被执行人、重大税收违法失信主体、政府采购严重违法失信行为记录名单（处罚决定规定的时间和地域范围内）。采购人或采购代理机构将按投标人须知前附表中规定的时间查询供应商的信用记录。供应商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供应商将被认定为投标无效。以联合体形式参加投标的，联合体任何成员存在以上不良信用记录的，联合体供应商将被认定为投标无效。</w:t>
      </w:r>
    </w:p>
    <w:p>
      <w:pPr>
        <w:pStyle w:val="47"/>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不良信用记录以采购人或采购代理机构查询结果为准。供应商自行提供的与网站信息不一致的其他证明材料亦不作为资格审查依据。在本招标文件规定的查询时间之外，网站信息发生的任何变更均不作为资格审查依据。 </w:t>
      </w:r>
    </w:p>
    <w:p>
      <w:pPr>
        <w:pStyle w:val="27"/>
        <w:rPr>
          <w:rFonts w:hint="eastAsia"/>
          <w:color w:val="auto"/>
          <w:highlight w:val="none"/>
        </w:rPr>
      </w:pPr>
    </w:p>
    <w:p>
      <w:pPr>
        <w:rPr>
          <w:rFonts w:hint="eastAsia"/>
          <w:color w:val="auto"/>
          <w:highlight w:val="none"/>
        </w:rPr>
      </w:pPr>
    </w:p>
    <w:p>
      <w:pPr>
        <w:pStyle w:val="27"/>
        <w:rPr>
          <w:rFonts w:hint="eastAsia"/>
          <w:color w:val="auto"/>
          <w:highlight w:val="none"/>
        </w:rPr>
      </w:pPr>
    </w:p>
    <w:p>
      <w:pPr>
        <w:rPr>
          <w:rFonts w:hint="eastAsia"/>
          <w:color w:val="auto"/>
          <w:highlight w:val="none"/>
        </w:rPr>
      </w:pPr>
    </w:p>
    <w:p>
      <w:pPr>
        <w:pStyle w:val="36"/>
        <w:numPr>
          <w:ilvl w:val="0"/>
          <w:numId w:val="0"/>
        </w:num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二、</w:t>
      </w:r>
      <w:r>
        <w:rPr>
          <w:rFonts w:hint="eastAsia" w:asciiTheme="minorEastAsia" w:hAnsiTheme="minorEastAsia" w:eastAsiaTheme="minorEastAsia" w:cstheme="minorEastAsia"/>
          <w:b/>
          <w:color w:val="auto"/>
          <w:sz w:val="32"/>
          <w:szCs w:val="32"/>
          <w:highlight w:val="none"/>
        </w:rPr>
        <w:t xml:space="preserve"> </w:t>
      </w:r>
      <w:r>
        <w:rPr>
          <w:rFonts w:hint="eastAsia" w:asciiTheme="minorEastAsia" w:hAnsiTheme="minorEastAsia" w:eastAsiaTheme="minorEastAsia" w:cstheme="minorEastAsia"/>
          <w:b/>
          <w:color w:val="auto"/>
          <w:sz w:val="32"/>
          <w:szCs w:val="32"/>
          <w:highlight w:val="none"/>
          <w:lang w:eastAsia="zh-CN"/>
        </w:rPr>
        <w:t>说明</w:t>
      </w:r>
    </w:p>
    <w:p>
      <w:pPr>
        <w:pStyle w:val="36"/>
        <w:ind w:firstLine="0" w:firstLineChars="0"/>
        <w:rPr>
          <w:rFonts w:hint="eastAsia" w:asciiTheme="minorEastAsia" w:hAnsiTheme="minorEastAsia" w:eastAsiaTheme="minorEastAsia" w:cstheme="minorEastAsia"/>
          <w:b/>
          <w:color w:val="auto"/>
          <w:sz w:val="32"/>
          <w:szCs w:val="32"/>
          <w:highlight w:val="none"/>
        </w:rPr>
      </w:pPr>
    </w:p>
    <w:p>
      <w:pPr>
        <w:pStyle w:val="13"/>
        <w:keepNext w:val="0"/>
        <w:keepLines w:val="0"/>
        <w:pageBreakBefore w:val="0"/>
        <w:tabs>
          <w:tab w:val="left" w:pos="5850"/>
          <w:tab w:val="left" w:pos="5950"/>
          <w:tab w:val="left" w:pos="6585"/>
        </w:tabs>
        <w:kinsoku/>
        <w:wordWrap/>
        <w:overflowPunct/>
        <w:topLinePunct w:val="0"/>
        <w:autoSpaceDE/>
        <w:autoSpaceDN/>
        <w:bidi w:val="0"/>
        <w:adjustRightInd/>
        <w:snapToGrid/>
        <w:spacing w:before="0" w:beforeAutospacing="0" w:after="0" w:afterAutospacing="0" w:line="520" w:lineRule="exact"/>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1、适用范围和概况</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tab/>
      </w:r>
    </w:p>
    <w:p>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本招标文件仅适用于本招标书中所述的</w:t>
      </w:r>
      <w:r>
        <w:rPr>
          <w:rFonts w:hint="eastAsia" w:asciiTheme="minorEastAsia" w:hAnsiTheme="minorEastAsia" w:eastAsiaTheme="minorEastAsia" w:cstheme="minorEastAsia"/>
          <w:color w:val="auto"/>
          <w:highlight w:val="none"/>
          <w:lang w:val="en-US" w:eastAsia="zh-CN"/>
        </w:rPr>
        <w:t>服务及相关的货物</w:t>
      </w:r>
      <w:r>
        <w:rPr>
          <w:rFonts w:hint="eastAsia" w:asciiTheme="minorEastAsia" w:hAnsiTheme="minorEastAsia" w:eastAsiaTheme="minorEastAsia" w:cstheme="minorEastAsia"/>
          <w:color w:val="auto"/>
          <w:highlight w:val="none"/>
        </w:rPr>
        <w:t>。</w:t>
      </w:r>
    </w:p>
    <w:p>
      <w:pPr>
        <w:pStyle w:val="13"/>
        <w:keepNext w:val="0"/>
        <w:keepLines w:val="0"/>
        <w:pageBreakBefore w:val="0"/>
        <w:tabs>
          <w:tab w:val="left" w:pos="5850"/>
          <w:tab w:val="left" w:pos="5950"/>
          <w:tab w:val="left" w:pos="6585"/>
        </w:tabs>
        <w:kinsoku/>
        <w:wordWrap/>
        <w:overflowPunct/>
        <w:topLinePunct w:val="0"/>
        <w:autoSpaceDE/>
        <w:autoSpaceDN/>
        <w:bidi w:val="0"/>
        <w:adjustRightInd/>
        <w:snapToGrid/>
        <w:spacing w:before="0" w:beforeAutospacing="0" w:after="0" w:afterAutospacing="0" w:line="520" w:lineRule="exact"/>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2、定义</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”系指</w:t>
      </w:r>
      <w:r>
        <w:rPr>
          <w:rFonts w:hint="eastAsia" w:asciiTheme="minorEastAsia" w:hAnsiTheme="minorEastAsia" w:eastAsiaTheme="minorEastAsia" w:cstheme="minorEastAsia"/>
          <w:color w:val="auto"/>
          <w:sz w:val="24"/>
          <w:highlight w:val="none"/>
          <w:lang w:eastAsia="zh-CN"/>
        </w:rPr>
        <w:t>伊宁市自然资源局</w:t>
      </w:r>
      <w:r>
        <w:rPr>
          <w:rFonts w:hint="eastAsia" w:asciiTheme="minorEastAsia" w:hAnsiTheme="minorEastAsia" w:eastAsiaTheme="minorEastAsia" w:cstheme="minorEastAsia"/>
          <w:color w:val="auto"/>
          <w:sz w:val="24"/>
          <w:highlight w:val="none"/>
        </w:rPr>
        <w:t>。</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”系指</w:t>
      </w:r>
      <w:r>
        <w:rPr>
          <w:rFonts w:hint="eastAsia" w:asciiTheme="minorEastAsia" w:hAnsiTheme="minorEastAsia" w:eastAsiaTheme="minorEastAsia" w:cstheme="minorEastAsia"/>
          <w:color w:val="auto"/>
          <w:sz w:val="24"/>
          <w:highlight w:val="none"/>
          <w:lang w:eastAsia="zh-CN"/>
        </w:rPr>
        <w:t>新疆嘉扩项目管理咨询有限公司</w:t>
      </w:r>
      <w:r>
        <w:rPr>
          <w:rFonts w:hint="eastAsia" w:asciiTheme="minorEastAsia" w:hAnsiTheme="minorEastAsia" w:eastAsiaTheme="minorEastAsia" w:cstheme="minorEastAsia"/>
          <w:color w:val="auto"/>
          <w:sz w:val="24"/>
          <w:highlight w:val="none"/>
        </w:rPr>
        <w:t>。</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“投标人”系指向</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提交投标文件的供应商。</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w:t>
      </w:r>
      <w:r>
        <w:rPr>
          <w:rFonts w:hint="eastAsia" w:asciiTheme="minorEastAsia" w:hAnsiTheme="minorEastAsia" w:eastAsiaTheme="minorEastAsia" w:cstheme="minorEastAsia"/>
          <w:color w:val="auto"/>
          <w:sz w:val="24"/>
          <w:highlight w:val="none"/>
          <w:lang w:eastAsia="zh-CN"/>
        </w:rPr>
        <w:t>货物</w:t>
      </w:r>
      <w:r>
        <w:rPr>
          <w:rFonts w:hint="eastAsia" w:asciiTheme="minorEastAsia" w:hAnsiTheme="minorEastAsia" w:eastAsiaTheme="minorEastAsia" w:cstheme="minorEastAsia"/>
          <w:color w:val="auto"/>
          <w:sz w:val="24"/>
          <w:highlight w:val="none"/>
        </w:rPr>
        <w:t>”系指投标人按合同要求，须向</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提供的一切产品及其他技术资料和材料。</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2.5 “服务”系指投标人按合同规定向</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提供</w:t>
      </w:r>
      <w:r>
        <w:rPr>
          <w:rFonts w:hint="eastAsia" w:asciiTheme="minorEastAsia" w:hAnsiTheme="minorEastAsia" w:eastAsiaTheme="minorEastAsia" w:cstheme="minorEastAsia"/>
          <w:color w:val="auto"/>
          <w:sz w:val="24"/>
          <w:highlight w:val="none"/>
          <w:lang w:eastAsia="zh-CN"/>
        </w:rPr>
        <w:t>货物</w:t>
      </w:r>
      <w:r>
        <w:rPr>
          <w:rFonts w:hint="eastAsia" w:asciiTheme="minorEastAsia" w:hAnsiTheme="minorEastAsia" w:eastAsiaTheme="minorEastAsia" w:cstheme="minorEastAsia"/>
          <w:color w:val="auto"/>
          <w:sz w:val="24"/>
          <w:highlight w:val="none"/>
        </w:rPr>
        <w:t>的采购、运输、装卸、</w:t>
      </w:r>
      <w:r>
        <w:rPr>
          <w:rFonts w:hint="eastAsia" w:asciiTheme="minorEastAsia" w:hAnsiTheme="minorEastAsia" w:eastAsiaTheme="minorEastAsia" w:cstheme="minorEastAsia"/>
          <w:color w:val="auto"/>
          <w:sz w:val="24"/>
          <w:highlight w:val="none"/>
          <w:lang w:eastAsia="zh-CN"/>
        </w:rPr>
        <w:t>添加</w:t>
      </w:r>
      <w:r>
        <w:rPr>
          <w:rFonts w:hint="eastAsia" w:asciiTheme="minorEastAsia" w:hAnsiTheme="minorEastAsia" w:eastAsiaTheme="minorEastAsia" w:cstheme="minorEastAsia"/>
          <w:color w:val="auto"/>
          <w:sz w:val="24"/>
          <w:highlight w:val="none"/>
        </w:rPr>
        <w:t>及售后服务等其他类似的义务。</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 “甲方”系指购买</w:t>
      </w:r>
      <w:r>
        <w:rPr>
          <w:rFonts w:hint="eastAsia" w:asciiTheme="minorEastAsia" w:hAnsiTheme="minorEastAsia" w:eastAsiaTheme="minorEastAsia" w:cstheme="minorEastAsia"/>
          <w:color w:val="auto"/>
          <w:sz w:val="24"/>
          <w:highlight w:val="none"/>
          <w:lang w:eastAsia="zh-CN"/>
        </w:rPr>
        <w:t>货物</w:t>
      </w:r>
      <w:r>
        <w:rPr>
          <w:rFonts w:hint="eastAsia" w:asciiTheme="minorEastAsia" w:hAnsiTheme="minorEastAsia" w:eastAsiaTheme="minorEastAsia" w:cstheme="minorEastAsia"/>
          <w:color w:val="auto"/>
          <w:sz w:val="24"/>
          <w:highlight w:val="none"/>
        </w:rPr>
        <w:t>和服务的单位。</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 “乙方”系指提供合同</w:t>
      </w:r>
      <w:r>
        <w:rPr>
          <w:rFonts w:hint="eastAsia" w:asciiTheme="minorEastAsia" w:hAnsiTheme="minorEastAsia" w:eastAsiaTheme="minorEastAsia" w:cstheme="minorEastAsia"/>
          <w:color w:val="auto"/>
          <w:sz w:val="24"/>
          <w:highlight w:val="none"/>
          <w:lang w:eastAsia="zh-CN"/>
        </w:rPr>
        <w:t>货物</w:t>
      </w:r>
      <w:r>
        <w:rPr>
          <w:rFonts w:hint="eastAsia" w:asciiTheme="minorEastAsia" w:hAnsiTheme="minorEastAsia" w:eastAsiaTheme="minorEastAsia" w:cstheme="minorEastAsia"/>
          <w:color w:val="auto"/>
          <w:sz w:val="24"/>
          <w:highlight w:val="none"/>
        </w:rPr>
        <w:t>和服务的经济实体。</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 项目说明</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 xml:space="preserve">2.8.1 招标内容及数量：详见“第五章 </w:t>
      </w:r>
      <w:r>
        <w:rPr>
          <w:rFonts w:hint="eastAsia" w:asciiTheme="minorEastAsia" w:hAnsiTheme="minorEastAsia" w:eastAsiaTheme="minorEastAsia" w:cstheme="minorEastAsia"/>
          <w:color w:val="auto"/>
          <w:sz w:val="24"/>
          <w:highlight w:val="none"/>
          <w:lang w:val="en-US" w:eastAsia="zh-CN"/>
        </w:rPr>
        <w:t>项目采购需求</w:t>
      </w:r>
      <w:r>
        <w:rPr>
          <w:rFonts w:hint="eastAsia" w:asciiTheme="minorEastAsia" w:hAnsiTheme="minorEastAsia" w:eastAsiaTheme="minorEastAsia" w:cstheme="minorEastAsia"/>
          <w:color w:val="auto"/>
          <w:sz w:val="24"/>
          <w:highlight w:val="none"/>
        </w:rPr>
        <w:t>”。</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2.8.2 </w:t>
      </w:r>
      <w:r>
        <w:rPr>
          <w:rFonts w:hint="eastAsia" w:asciiTheme="minorEastAsia" w:hAnsiTheme="minorEastAsia" w:eastAsiaTheme="minorEastAsia" w:cstheme="minorEastAsia"/>
          <w:color w:val="auto"/>
          <w:kern w:val="0"/>
          <w:sz w:val="24"/>
          <w:highlight w:val="none"/>
          <w:lang w:eastAsia="zh-CN"/>
        </w:rPr>
        <w:t>服务</w:t>
      </w:r>
      <w:r>
        <w:rPr>
          <w:rFonts w:hint="eastAsia" w:asciiTheme="minorEastAsia" w:hAnsiTheme="minorEastAsia" w:eastAsiaTheme="minorEastAsia" w:cstheme="minorEastAsia"/>
          <w:color w:val="auto"/>
          <w:kern w:val="0"/>
          <w:sz w:val="24"/>
          <w:highlight w:val="none"/>
        </w:rPr>
        <w:t>要求：具体</w:t>
      </w:r>
      <w:r>
        <w:rPr>
          <w:rFonts w:hint="eastAsia" w:asciiTheme="minorEastAsia" w:hAnsiTheme="minorEastAsia" w:eastAsiaTheme="minorEastAsia" w:cstheme="minorEastAsia"/>
          <w:color w:val="auto"/>
          <w:kern w:val="0"/>
          <w:sz w:val="24"/>
          <w:highlight w:val="none"/>
          <w:lang w:eastAsia="zh-CN"/>
        </w:rPr>
        <w:t>服务清单及要求</w:t>
      </w:r>
      <w:r>
        <w:rPr>
          <w:rFonts w:hint="eastAsia" w:asciiTheme="minorEastAsia" w:hAnsiTheme="minorEastAsia" w:eastAsiaTheme="minorEastAsia" w:cstheme="minorEastAsia"/>
          <w:color w:val="auto"/>
          <w:kern w:val="0"/>
          <w:sz w:val="24"/>
          <w:highlight w:val="none"/>
        </w:rPr>
        <w:t xml:space="preserve">详见招标文件“第五章 </w:t>
      </w:r>
      <w:r>
        <w:rPr>
          <w:rFonts w:hint="eastAsia" w:asciiTheme="minorEastAsia" w:hAnsiTheme="minorEastAsia" w:eastAsiaTheme="minorEastAsia" w:cstheme="minorEastAsia"/>
          <w:color w:val="auto"/>
          <w:sz w:val="24"/>
          <w:highlight w:val="none"/>
          <w:lang w:val="en-US" w:eastAsia="zh-CN"/>
        </w:rPr>
        <w:t>项目采购需求</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sz w:val="24"/>
          <w:highlight w:val="none"/>
        </w:rPr>
        <w:t xml:space="preserve">2.8.3 </w:t>
      </w:r>
      <w:r>
        <w:rPr>
          <w:rFonts w:hint="eastAsia" w:asciiTheme="minorEastAsia" w:hAnsiTheme="minorEastAsia" w:eastAsiaTheme="minorEastAsia" w:cstheme="minorEastAsia"/>
          <w:color w:val="auto"/>
          <w:kern w:val="0"/>
          <w:sz w:val="24"/>
          <w:highlight w:val="none"/>
          <w:lang w:val="en-US" w:eastAsia="zh-CN"/>
        </w:rPr>
        <w:t>完成期限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eastAsia="zh-CN"/>
        </w:rPr>
        <w:t>自签订合同之日起60日历日内完成</w:t>
      </w:r>
      <w:r>
        <w:rPr>
          <w:rFonts w:hint="eastAsia" w:asciiTheme="minorEastAsia" w:hAnsiTheme="minorEastAsia" w:eastAsiaTheme="minorEastAsia" w:cstheme="minorEastAsia"/>
          <w:color w:val="auto"/>
          <w:kern w:val="0"/>
          <w:sz w:val="24"/>
          <w:highlight w:val="none"/>
        </w:rPr>
        <w:t>。</w:t>
      </w:r>
    </w:p>
    <w:p>
      <w:pPr>
        <w:pStyle w:val="36"/>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2.8.4 质量</w:t>
      </w:r>
      <w:r>
        <w:rPr>
          <w:rFonts w:hint="eastAsia" w:asciiTheme="minorEastAsia" w:hAnsiTheme="minorEastAsia" w:eastAsiaTheme="minorEastAsia" w:cstheme="minorEastAsia"/>
          <w:color w:val="auto"/>
          <w:kern w:val="0"/>
          <w:sz w:val="24"/>
          <w:highlight w:val="none"/>
          <w:lang w:eastAsia="zh-CN"/>
        </w:rPr>
        <w:t>要求：合格，</w:t>
      </w:r>
    </w:p>
    <w:p>
      <w:pPr>
        <w:pStyle w:val="36"/>
        <w:keepNext w:val="0"/>
        <w:keepLines w:val="0"/>
        <w:pageBreakBefore w:val="0"/>
        <w:widowControl w:val="0"/>
        <w:kinsoku/>
        <w:wordWrap/>
        <w:overflowPunct/>
        <w:topLinePunct w:val="0"/>
        <w:autoSpaceDE/>
        <w:autoSpaceDN/>
        <w:bidi w:val="0"/>
        <w:adjustRightInd/>
        <w:snapToGrid/>
        <w:spacing w:line="520" w:lineRule="atLeast"/>
        <w:ind w:firstLine="480"/>
        <w:textAlignment w:val="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2.8.5 </w:t>
      </w:r>
      <w:r>
        <w:rPr>
          <w:rFonts w:hint="eastAsia" w:asciiTheme="minorEastAsia" w:hAnsiTheme="minorEastAsia" w:eastAsiaTheme="minorEastAsia" w:cstheme="minorEastAsia"/>
          <w:color w:val="auto"/>
          <w:kern w:val="0"/>
          <w:sz w:val="24"/>
          <w:highlight w:val="none"/>
          <w:lang w:eastAsia="zh-CN"/>
        </w:rPr>
        <w:t>项目实施</w:t>
      </w:r>
      <w:r>
        <w:rPr>
          <w:rFonts w:hint="eastAsia" w:asciiTheme="minorEastAsia" w:hAnsiTheme="minorEastAsia" w:eastAsiaTheme="minorEastAsia" w:cstheme="minorEastAsia"/>
          <w:color w:val="auto"/>
          <w:kern w:val="0"/>
          <w:sz w:val="24"/>
          <w:highlight w:val="none"/>
        </w:rPr>
        <w:t>地点</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伊宁市</w:t>
      </w:r>
      <w:r>
        <w:rPr>
          <w:rFonts w:hint="eastAsia" w:asciiTheme="minorEastAsia" w:hAnsiTheme="minorEastAsia" w:eastAsiaTheme="minorEastAsia" w:cstheme="minorEastAsia"/>
          <w:color w:val="auto"/>
          <w:kern w:val="0"/>
          <w:sz w:val="24"/>
          <w:highlight w:val="none"/>
          <w:lang w:eastAsia="zh-CN"/>
        </w:rPr>
        <w:t>。</w:t>
      </w:r>
    </w:p>
    <w:p>
      <w:pPr>
        <w:pStyle w:val="36"/>
        <w:keepNext w:val="0"/>
        <w:keepLines w:val="0"/>
        <w:pageBreakBefore w:val="0"/>
        <w:widowControl w:val="0"/>
        <w:kinsoku/>
        <w:wordWrap/>
        <w:overflowPunct/>
        <w:topLinePunct w:val="0"/>
        <w:autoSpaceDE/>
        <w:autoSpaceDN/>
        <w:bidi w:val="0"/>
        <w:adjustRightInd/>
        <w:snapToGrid/>
        <w:spacing w:line="520" w:lineRule="atLeast"/>
        <w:ind w:firstLine="0" w:firstLineChars="0"/>
        <w:textAlignment w:val="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3、投标费用</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 投标人应承担其编制投标文件与递交投标文件所涉及的一切费用，不论投标结果如何，</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对上述费用不做任何补偿。</w:t>
      </w:r>
    </w:p>
    <w:p>
      <w:pPr>
        <w:pStyle w:val="36"/>
        <w:ind w:firstLine="0" w:firstLineChars="0"/>
        <w:jc w:val="cente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b/>
          <w:color w:val="auto"/>
          <w:sz w:val="32"/>
          <w:szCs w:val="32"/>
          <w:highlight w:val="none"/>
          <w:lang w:eastAsia="zh-CN"/>
        </w:rPr>
        <w:t>三</w:t>
      </w:r>
      <w:r>
        <w:rPr>
          <w:rFonts w:hint="eastAsia" w:asciiTheme="minorEastAsia" w:hAnsiTheme="minorEastAsia" w:eastAsiaTheme="minorEastAsia" w:cstheme="minorEastAsia"/>
          <w:b/>
          <w:color w:val="auto"/>
          <w:sz w:val="32"/>
          <w:szCs w:val="32"/>
          <w:highlight w:val="none"/>
        </w:rPr>
        <w:t>、招标文件的组成</w:t>
      </w:r>
    </w:p>
    <w:p>
      <w:pPr>
        <w:pStyle w:val="36"/>
        <w:ind w:firstLineChars="83"/>
        <w:rPr>
          <w:rFonts w:hint="eastAsia" w:asciiTheme="minorEastAsia" w:hAnsiTheme="minorEastAsia" w:eastAsiaTheme="minorEastAsia" w:cstheme="minorEastAsia"/>
          <w:b/>
          <w:color w:val="auto"/>
          <w:kern w:val="0"/>
          <w:sz w:val="24"/>
          <w:highlight w:val="none"/>
        </w:rPr>
      </w:pPr>
    </w:p>
    <w:p>
      <w:pPr>
        <w:pStyle w:val="36"/>
        <w:spacing w:line="360" w:lineRule="auto"/>
        <w:ind w:firstLine="0" w:firstLineChars="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4、招标文件</w:t>
      </w:r>
    </w:p>
    <w:p>
      <w:pPr>
        <w:pStyle w:val="36"/>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 招标文件包括下列内容：</w:t>
      </w:r>
    </w:p>
    <w:p>
      <w:pPr>
        <w:pStyle w:val="36"/>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招标公告</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第一章：投标人须知前附表</w:t>
      </w:r>
    </w:p>
    <w:p>
      <w:pPr>
        <w:spacing w:line="360" w:lineRule="auto"/>
        <w:ind w:firstLine="472" w:firstLineChars="19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第二章：投标人须知</w:t>
      </w:r>
    </w:p>
    <w:p>
      <w:pPr>
        <w:spacing w:line="360" w:lineRule="auto"/>
        <w:ind w:firstLine="472" w:firstLineChars="19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第三章：评标办法</w:t>
      </w:r>
    </w:p>
    <w:p>
      <w:pPr>
        <w:spacing w:line="360" w:lineRule="auto"/>
        <w:ind w:firstLine="472" w:firstLineChars="19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第四章：合同条款</w:t>
      </w:r>
    </w:p>
    <w:p>
      <w:pPr>
        <w:spacing w:line="360" w:lineRule="auto"/>
        <w:ind w:firstLine="472" w:firstLineChars="19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第五章：</w:t>
      </w:r>
      <w:r>
        <w:rPr>
          <w:rFonts w:hint="eastAsia" w:asciiTheme="minorEastAsia" w:hAnsiTheme="minorEastAsia" w:eastAsiaTheme="minorEastAsia" w:cstheme="minorEastAsia"/>
          <w:color w:val="auto"/>
          <w:sz w:val="24"/>
          <w:highlight w:val="none"/>
          <w:lang w:val="en-US" w:eastAsia="zh-CN"/>
        </w:rPr>
        <w:t>项目采购需求</w:t>
      </w:r>
    </w:p>
    <w:p>
      <w:pPr>
        <w:spacing w:line="360" w:lineRule="auto"/>
        <w:ind w:firstLine="472" w:firstLineChars="19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第六章：投标文件部分格式</w:t>
      </w:r>
    </w:p>
    <w:p>
      <w:pPr>
        <w:pStyle w:val="36"/>
        <w:spacing w:line="360" w:lineRule="auto"/>
        <w:ind w:firstLine="48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4.2  招标文件由本文件及</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按有关规定发出的招标文件补充构成。招标文件的澄清、修改、招标答疑纪要等书面材料在本招标项目中均称招标文件补充。</w:t>
      </w:r>
    </w:p>
    <w:p>
      <w:pPr>
        <w:pStyle w:val="36"/>
        <w:spacing w:line="360" w:lineRule="auto"/>
        <w:ind w:firstLine="0" w:firstLineChars="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5、招标文件的澄清</w:t>
      </w:r>
      <w:r>
        <w:rPr>
          <w:rFonts w:hint="eastAsia" w:asciiTheme="minorEastAsia" w:hAnsiTheme="minorEastAsia" w:eastAsiaTheme="minorEastAsia" w:cstheme="minorEastAsia"/>
          <w:b/>
          <w:color w:val="auto"/>
          <w:kern w:val="0"/>
          <w:sz w:val="24"/>
          <w:highlight w:val="none"/>
          <w:lang w:eastAsia="zh-CN"/>
        </w:rPr>
        <w:t>及</w:t>
      </w:r>
      <w:r>
        <w:rPr>
          <w:rFonts w:hint="eastAsia" w:asciiTheme="minorEastAsia" w:hAnsiTheme="minorEastAsia" w:eastAsiaTheme="minorEastAsia" w:cstheme="minorEastAsia"/>
          <w:b/>
          <w:color w:val="auto"/>
          <w:kern w:val="0"/>
          <w:sz w:val="24"/>
          <w:highlight w:val="none"/>
        </w:rPr>
        <w:t>修改</w:t>
      </w:r>
    </w:p>
    <w:p>
      <w:pPr>
        <w:pStyle w:val="36"/>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.1 在投标截止时间15日以前，</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都可能以招标文件补充的方式澄清及修改招标文件。</w:t>
      </w:r>
      <w:r>
        <w:rPr>
          <w:rFonts w:hint="eastAsia" w:asciiTheme="minorEastAsia" w:hAnsiTheme="minorEastAsia" w:eastAsiaTheme="minorEastAsia" w:cstheme="minorEastAsia"/>
          <w:color w:val="auto"/>
          <w:kern w:val="0"/>
          <w:sz w:val="24"/>
          <w:highlight w:val="none"/>
          <w:lang w:eastAsia="zh-CN"/>
        </w:rPr>
        <w:t>修改后的文件通过新疆政府采购云平台（www.zcygov.cn）发布</w:t>
      </w:r>
      <w:r>
        <w:rPr>
          <w:rFonts w:hint="eastAsia" w:asciiTheme="minorEastAsia" w:hAnsiTheme="minorEastAsia" w:eastAsiaTheme="minorEastAsia" w:cstheme="minorEastAsia"/>
          <w:color w:val="auto"/>
          <w:kern w:val="0"/>
          <w:sz w:val="24"/>
          <w:highlight w:val="none"/>
        </w:rPr>
        <w:t>。</w:t>
      </w:r>
    </w:p>
    <w:p>
      <w:pPr>
        <w:pStyle w:val="36"/>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.2 招标文件补充作为招标文件的组成部分，对投标人具有同等约束力。如果招标文件补充内容与在此招标文件补充发出之前的招标文件中相关内容冲突，请投标人执行招标文件补充的相关内容。</w:t>
      </w:r>
    </w:p>
    <w:p>
      <w:pPr>
        <w:pStyle w:val="36"/>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.3 为使投标人在编制投标文件时把招标文件补充内容考虑进去，</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可以相应延长投标截止日期，具体时间将在招标文件补充中写明。</w:t>
      </w:r>
    </w:p>
    <w:p>
      <w:pPr>
        <w:pStyle w:val="19"/>
        <w:rPr>
          <w:rFonts w:hint="eastAsia" w:asciiTheme="minorEastAsia" w:hAnsiTheme="minorEastAsia" w:eastAsiaTheme="minorEastAsia" w:cstheme="minorEastAsia"/>
          <w:color w:val="auto"/>
          <w:sz w:val="24"/>
          <w:szCs w:val="24"/>
          <w:highlight w:val="none"/>
        </w:rPr>
      </w:pPr>
    </w:p>
    <w:p>
      <w:pPr>
        <w:pStyle w:val="19"/>
        <w:rPr>
          <w:rFonts w:hint="eastAsia" w:asciiTheme="minorEastAsia" w:hAnsiTheme="minorEastAsia" w:eastAsiaTheme="minorEastAsia" w:cstheme="minorEastAsia"/>
          <w:color w:val="auto"/>
          <w:highlight w:val="none"/>
        </w:rPr>
      </w:pPr>
    </w:p>
    <w:p>
      <w:pPr>
        <w:spacing w:line="48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三、投标文件的编制</w:t>
      </w:r>
    </w:p>
    <w:p>
      <w:pPr>
        <w:pStyle w:val="36"/>
        <w:spacing w:line="360" w:lineRule="auto"/>
        <w:ind w:firstLine="0" w:firstLineChars="0"/>
        <w:rPr>
          <w:rFonts w:hint="eastAsia" w:asciiTheme="minorEastAsia" w:hAnsiTheme="minorEastAsia" w:eastAsiaTheme="minorEastAsia" w:cstheme="minorEastAsia"/>
          <w:b/>
          <w:color w:val="auto"/>
          <w:kern w:val="0"/>
          <w:sz w:val="24"/>
          <w:highlight w:val="none"/>
          <w:lang w:val="en-US" w:eastAsia="zh-CN"/>
        </w:rPr>
      </w:pPr>
    </w:p>
    <w:p>
      <w:pPr>
        <w:pStyle w:val="36"/>
        <w:spacing w:line="360" w:lineRule="auto"/>
        <w:ind w:firstLine="0" w:firstLineChars="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lang w:val="en-US" w:eastAsia="zh-CN"/>
        </w:rPr>
        <w:t>6</w:t>
      </w:r>
      <w:r>
        <w:rPr>
          <w:rFonts w:hint="eastAsia" w:asciiTheme="minorEastAsia" w:hAnsiTheme="minorEastAsia" w:eastAsiaTheme="minorEastAsia" w:cstheme="minorEastAsia"/>
          <w:b/>
          <w:color w:val="auto"/>
          <w:kern w:val="0"/>
          <w:sz w:val="24"/>
          <w:highlight w:val="none"/>
        </w:rPr>
        <w:t>、投标文件的编写</w:t>
      </w:r>
    </w:p>
    <w:p>
      <w:pPr>
        <w:pStyle w:val="36"/>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.1 投标人应按招标文件的要求，认真编制投标文件，投标文件应对招标文件提出的实质性要求和条件做出响应。</w:t>
      </w:r>
    </w:p>
    <w:p>
      <w:pPr>
        <w:pStyle w:val="36"/>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 投标人应仔细阅读招标文件，了解招标文件的要求。在充分理解招标文件提出的质量要求、服务、商务条件后，制作投标文件。</w:t>
      </w:r>
    </w:p>
    <w:p>
      <w:pPr>
        <w:pStyle w:val="36"/>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 xml:space="preserve">6.3 </w:t>
      </w:r>
      <w:r>
        <w:rPr>
          <w:rFonts w:hint="eastAsia" w:asciiTheme="minorEastAsia" w:hAnsiTheme="minorEastAsia" w:eastAsiaTheme="minorEastAsia" w:cstheme="minorEastAsia"/>
          <w:b/>
          <w:bCs/>
          <w:color w:val="auto"/>
          <w:kern w:val="0"/>
          <w:sz w:val="24"/>
          <w:highlight w:val="none"/>
          <w:lang w:val="en-US" w:eastAsia="zh-CN"/>
        </w:rPr>
        <w:t>投标文件应编制目录及页码，且目录及页码应相互对应。</w:t>
      </w:r>
    </w:p>
    <w:p>
      <w:pPr>
        <w:pStyle w:val="36"/>
        <w:spacing w:line="360" w:lineRule="auto"/>
        <w:ind w:firstLine="0" w:firstLineChars="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lang w:val="en-US" w:eastAsia="zh-CN"/>
        </w:rPr>
        <w:t>7</w:t>
      </w:r>
      <w:r>
        <w:rPr>
          <w:rFonts w:hint="eastAsia" w:asciiTheme="minorEastAsia" w:hAnsiTheme="minorEastAsia" w:eastAsiaTheme="minorEastAsia" w:cstheme="minorEastAsia"/>
          <w:b/>
          <w:color w:val="auto"/>
          <w:kern w:val="0"/>
          <w:sz w:val="24"/>
          <w:highlight w:val="none"/>
        </w:rPr>
        <w:t>、投标的语言及计量单位</w:t>
      </w:r>
    </w:p>
    <w:p>
      <w:pPr>
        <w:pStyle w:val="36"/>
        <w:spacing w:line="360" w:lineRule="auto"/>
        <w:ind w:left="0" w:leftChars="0"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.1 投标人的投标文件以及投标人与</w:t>
      </w:r>
      <w:r>
        <w:rPr>
          <w:rFonts w:hint="eastAsia" w:asciiTheme="minorEastAsia" w:hAnsiTheme="minorEastAsia" w:eastAsiaTheme="minorEastAsia" w:cstheme="minorEastAsia"/>
          <w:color w:val="auto"/>
          <w:kern w:val="0"/>
          <w:sz w:val="24"/>
          <w:highlight w:val="none"/>
          <w:lang w:eastAsia="zh-CN"/>
        </w:rPr>
        <w:t>采购代理机构</w:t>
      </w:r>
      <w:r>
        <w:rPr>
          <w:rFonts w:hint="eastAsia" w:asciiTheme="minorEastAsia" w:hAnsiTheme="minorEastAsia" w:eastAsiaTheme="minorEastAsia" w:cstheme="minorEastAsia"/>
          <w:color w:val="auto"/>
          <w:kern w:val="0"/>
          <w:sz w:val="24"/>
          <w:highlight w:val="none"/>
        </w:rPr>
        <w:t>就有关招标活动的所有来往函电均应使用中文。如果投标文件或与投标有关的其它文件、信件及来往函电以其它语言书写，投标人应将其译成中文。</w:t>
      </w:r>
    </w:p>
    <w:p>
      <w:pPr>
        <w:pStyle w:val="36"/>
        <w:spacing w:line="360" w:lineRule="auto"/>
        <w:ind w:left="0" w:leftChars="0"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.2 投标文件中所使用的计量单位除招标文件中有特殊规定外，一律使用法定计量单位。</w:t>
      </w:r>
    </w:p>
    <w:p>
      <w:pPr>
        <w:pStyle w:val="36"/>
        <w:spacing w:line="360" w:lineRule="auto"/>
        <w:ind w:firstLine="0" w:firstLineChars="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lang w:val="en-US" w:eastAsia="zh-CN"/>
        </w:rPr>
        <w:t>8</w:t>
      </w:r>
      <w:r>
        <w:rPr>
          <w:rFonts w:hint="eastAsia" w:asciiTheme="minorEastAsia" w:hAnsiTheme="minorEastAsia" w:eastAsiaTheme="minorEastAsia" w:cstheme="minorEastAsia"/>
          <w:b/>
          <w:color w:val="auto"/>
          <w:kern w:val="0"/>
          <w:sz w:val="24"/>
          <w:highlight w:val="none"/>
        </w:rPr>
        <w:t>、投标文件构成</w:t>
      </w:r>
    </w:p>
    <w:p>
      <w:pPr>
        <w:pStyle w:val="36"/>
        <w:spacing w:line="360" w:lineRule="auto"/>
        <w:ind w:firstLine="472"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.1包括下列内容：</w:t>
      </w:r>
    </w:p>
    <w:p>
      <w:pPr>
        <w:pStyle w:val="36"/>
        <w:numPr>
          <w:ilvl w:val="0"/>
          <w:numId w:val="3"/>
        </w:numPr>
        <w:spacing w:line="360" w:lineRule="auto"/>
        <w:ind w:left="425" w:leftChars="0" w:firstLine="435"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投标承诺书</w:t>
      </w:r>
    </w:p>
    <w:p>
      <w:pPr>
        <w:pStyle w:val="36"/>
        <w:numPr>
          <w:ilvl w:val="0"/>
          <w:numId w:val="3"/>
        </w:numPr>
        <w:spacing w:line="360" w:lineRule="auto"/>
        <w:ind w:left="425" w:leftChars="0" w:firstLine="435" w:firstLineChars="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开标一览表</w:t>
      </w:r>
    </w:p>
    <w:p>
      <w:pPr>
        <w:pStyle w:val="36"/>
        <w:numPr>
          <w:ilvl w:val="0"/>
          <w:numId w:val="3"/>
        </w:numPr>
        <w:spacing w:line="360" w:lineRule="auto"/>
        <w:ind w:left="425" w:leftChars="0" w:firstLine="435"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投标方资格证明文件</w:t>
      </w:r>
    </w:p>
    <w:p>
      <w:pPr>
        <w:pStyle w:val="36"/>
        <w:numPr>
          <w:ilvl w:val="0"/>
          <w:numId w:val="3"/>
        </w:numPr>
        <w:spacing w:line="360" w:lineRule="auto"/>
        <w:ind w:left="425" w:leftChars="0" w:firstLine="435" w:firstLineChars="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商务条款偏离表</w:t>
      </w:r>
    </w:p>
    <w:p>
      <w:pPr>
        <w:pStyle w:val="36"/>
        <w:numPr>
          <w:ilvl w:val="0"/>
          <w:numId w:val="3"/>
        </w:numPr>
        <w:spacing w:line="360" w:lineRule="auto"/>
        <w:ind w:left="425" w:leftChars="0" w:firstLine="435" w:firstLine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企业</w:t>
      </w:r>
      <w:r>
        <w:rPr>
          <w:rFonts w:hint="eastAsia" w:asciiTheme="minorEastAsia" w:hAnsiTheme="minorEastAsia" w:eastAsiaTheme="minorEastAsia" w:cstheme="minorEastAsia"/>
          <w:color w:val="auto"/>
          <w:sz w:val="24"/>
          <w:highlight w:val="none"/>
          <w:lang w:val="en-US" w:eastAsia="zh-CN"/>
        </w:rPr>
        <w:t>和项目负责人</w:t>
      </w:r>
      <w:r>
        <w:rPr>
          <w:rFonts w:hint="eastAsia" w:asciiTheme="minorEastAsia" w:hAnsiTheme="minorEastAsia" w:eastAsiaTheme="minorEastAsia" w:cstheme="minorEastAsia"/>
          <w:color w:val="auto"/>
          <w:sz w:val="24"/>
          <w:highlight w:val="none"/>
        </w:rPr>
        <w:t>近</w:t>
      </w: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类似项目业绩</w:t>
      </w:r>
    </w:p>
    <w:p>
      <w:pPr>
        <w:pStyle w:val="36"/>
        <w:numPr>
          <w:ilvl w:val="0"/>
          <w:numId w:val="3"/>
        </w:numPr>
        <w:spacing w:line="360" w:lineRule="auto"/>
        <w:ind w:left="425" w:leftChars="0" w:firstLine="435"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人员配备</w:t>
      </w:r>
    </w:p>
    <w:p>
      <w:pPr>
        <w:pStyle w:val="36"/>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firstLine="437" w:firstLine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咨询服务方案</w:t>
      </w:r>
    </w:p>
    <w:p>
      <w:pPr>
        <w:pStyle w:val="36"/>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firstLine="437" w:firstLine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进度计划与保障措施</w:t>
      </w:r>
    </w:p>
    <w:p>
      <w:pPr>
        <w:pStyle w:val="36"/>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firstLine="437" w:firstLine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服务保证措施</w:t>
      </w:r>
    </w:p>
    <w:p>
      <w:pPr>
        <w:pStyle w:val="36"/>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firstLine="437" w:firstLine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质量保障</w:t>
      </w:r>
    </w:p>
    <w:p>
      <w:pPr>
        <w:pStyle w:val="36"/>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firstLine="437" w:firstLine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承诺</w:t>
      </w:r>
      <w:r>
        <w:rPr>
          <w:rFonts w:hint="eastAsia" w:asciiTheme="minorEastAsia" w:hAnsiTheme="minorEastAsia" w:eastAsiaTheme="minorEastAsia" w:cstheme="minorEastAsia"/>
          <w:color w:val="auto"/>
          <w:sz w:val="24"/>
          <w:highlight w:val="none"/>
          <w:lang w:val="en-US" w:eastAsia="zh-CN"/>
        </w:rPr>
        <w:t>函</w:t>
      </w:r>
    </w:p>
    <w:p>
      <w:pPr>
        <w:pStyle w:val="36"/>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firstLine="437" w:firstLine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保密措施</w:t>
      </w:r>
    </w:p>
    <w:p>
      <w:pPr>
        <w:pStyle w:val="36"/>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firstLine="437" w:firstLine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投标人认为需要提供的其他材料说明</w:t>
      </w:r>
    </w:p>
    <w:p>
      <w:pPr>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、投标书内容填写说明</w:t>
      </w:r>
    </w:p>
    <w:p>
      <w:pPr>
        <w:pStyle w:val="3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.1 投标人应按招标文件中要求的统一格式填写，无格式的投标人自行编制。</w:t>
      </w:r>
    </w:p>
    <w:p>
      <w:pPr>
        <w:pStyle w:val="3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.2 开标一览表的内容，要求按格式填写、不能随意涂改。</w:t>
      </w:r>
    </w:p>
    <w:p>
      <w:pPr>
        <w:pStyle w:val="36"/>
        <w:spacing w:line="360" w:lineRule="auto"/>
        <w:ind w:firstLine="480"/>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 xml:space="preserve">.3 </w:t>
      </w:r>
      <w:r>
        <w:rPr>
          <w:rFonts w:hint="eastAsia" w:asciiTheme="minorEastAsia" w:hAnsiTheme="minorEastAsia" w:eastAsiaTheme="minorEastAsia" w:cstheme="minorEastAsia"/>
          <w:b/>
          <w:color w:val="auto"/>
          <w:sz w:val="24"/>
          <w:highlight w:val="none"/>
          <w:u w:val="none"/>
        </w:rPr>
        <w:t>投标人按招标文件要求编制投标文件。</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、投标报价</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 投标价格应包</w:t>
      </w:r>
      <w:r>
        <w:rPr>
          <w:rFonts w:hint="eastAsia" w:asciiTheme="minorEastAsia" w:hAnsiTheme="minorEastAsia" w:eastAsiaTheme="minorEastAsia" w:cstheme="minorEastAsia"/>
          <w:color w:val="auto"/>
          <w:sz w:val="24"/>
          <w:highlight w:val="none"/>
          <w:lang w:eastAsia="zh-CN"/>
        </w:rPr>
        <w:t>含</w:t>
      </w:r>
      <w:r>
        <w:rPr>
          <w:rFonts w:hint="eastAsia" w:asciiTheme="minorEastAsia" w:hAnsiTheme="minorEastAsia" w:eastAsiaTheme="minorEastAsia" w:cstheme="minorEastAsia"/>
          <w:color w:val="auto"/>
          <w:sz w:val="24"/>
          <w:highlight w:val="none"/>
        </w:rPr>
        <w:t>投标人为完成本</w:t>
      </w:r>
      <w:r>
        <w:rPr>
          <w:rFonts w:hint="eastAsia" w:asciiTheme="minorEastAsia" w:hAnsiTheme="minorEastAsia" w:eastAsiaTheme="minorEastAsia" w:cstheme="minorEastAsia"/>
          <w:color w:val="auto"/>
          <w:sz w:val="24"/>
          <w:highlight w:val="none"/>
          <w:lang w:eastAsia="zh-CN"/>
        </w:rPr>
        <w:t>次采购项目</w:t>
      </w:r>
      <w:r>
        <w:rPr>
          <w:rFonts w:hint="eastAsia" w:asciiTheme="minorEastAsia" w:hAnsiTheme="minorEastAsia" w:eastAsiaTheme="minorEastAsia" w:cstheme="minorEastAsia"/>
          <w:color w:val="auto"/>
          <w:sz w:val="24"/>
          <w:highlight w:val="none"/>
        </w:rPr>
        <w:t>所约定的</w:t>
      </w:r>
      <w:r>
        <w:rPr>
          <w:rFonts w:hint="eastAsia" w:asciiTheme="minorEastAsia" w:hAnsiTheme="minorEastAsia" w:eastAsiaTheme="minorEastAsia" w:cstheme="minorEastAsia"/>
          <w:color w:val="auto"/>
          <w:sz w:val="24"/>
          <w:highlight w:val="none"/>
          <w:lang w:eastAsia="zh-CN"/>
        </w:rPr>
        <w:t>采购需求及范围，</w:t>
      </w:r>
      <w:r>
        <w:rPr>
          <w:rFonts w:hint="eastAsia" w:asciiTheme="minorEastAsia" w:hAnsiTheme="minorEastAsia" w:eastAsiaTheme="minorEastAsia" w:cstheme="minorEastAsia"/>
          <w:color w:val="auto"/>
          <w:sz w:val="24"/>
          <w:highlight w:val="none"/>
        </w:rPr>
        <w:t>和招标及合同文件规定的全部责任和义务所发生的各种开支</w:t>
      </w:r>
      <w:r>
        <w:rPr>
          <w:rFonts w:hint="eastAsia" w:asciiTheme="minorEastAsia" w:hAnsiTheme="minorEastAsia" w:eastAsiaTheme="minorEastAsia" w:cstheme="minorEastAsia"/>
          <w:color w:val="auto"/>
          <w:sz w:val="24"/>
          <w:highlight w:val="none"/>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yellow"/>
        </w:rPr>
      </w:pPr>
      <w:r>
        <w:rPr>
          <w:rFonts w:hint="eastAsia" w:asciiTheme="minorEastAsia" w:hAnsiTheme="minorEastAsia" w:eastAsiaTheme="minorEastAsia" w:cstheme="minorEastAsia"/>
          <w:bCs/>
          <w:color w:val="auto"/>
          <w:kern w:val="0"/>
          <w:sz w:val="24"/>
          <w:highlight w:val="none"/>
        </w:rPr>
        <w:t>1</w:t>
      </w:r>
      <w:r>
        <w:rPr>
          <w:rFonts w:hint="eastAsia" w:asciiTheme="minorEastAsia" w:hAnsiTheme="minorEastAsia" w:eastAsiaTheme="minorEastAsia" w:cstheme="minorEastAsia"/>
          <w:bCs/>
          <w:color w:val="auto"/>
          <w:kern w:val="0"/>
          <w:sz w:val="24"/>
          <w:highlight w:val="none"/>
          <w:lang w:val="en-US" w:eastAsia="zh-CN"/>
        </w:rPr>
        <w:t>0</w:t>
      </w:r>
      <w:r>
        <w:rPr>
          <w:rFonts w:hint="eastAsia" w:asciiTheme="minorEastAsia" w:hAnsiTheme="minorEastAsia" w:eastAsiaTheme="minorEastAsia" w:cstheme="minorEastAsia"/>
          <w:bCs/>
          <w:color w:val="auto"/>
          <w:kern w:val="0"/>
          <w:sz w:val="24"/>
          <w:highlight w:val="none"/>
        </w:rPr>
        <w:t>.2 投标报价为本招标文件所确定的招标范围内的全部工作内容的价格体现。</w:t>
      </w:r>
      <w:r>
        <w:rPr>
          <w:rFonts w:hint="eastAsia" w:asciiTheme="minorEastAsia" w:hAnsiTheme="minorEastAsia" w:eastAsiaTheme="minorEastAsia" w:cstheme="minorEastAsia"/>
          <w:color w:val="auto"/>
          <w:sz w:val="24"/>
          <w:highlight w:val="none"/>
        </w:rPr>
        <w:t>任何有选择的报价将不予接受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（除非</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另有约定）</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 xml:space="preserve">.3 </w:t>
      </w:r>
      <w:r>
        <w:rPr>
          <w:rFonts w:hint="eastAsia" w:asciiTheme="minorEastAsia" w:hAnsiTheme="minorEastAsia" w:eastAsiaTheme="minorEastAsia" w:cstheme="minorEastAsia"/>
          <w:b/>
          <w:bCs/>
          <w:color w:val="auto"/>
          <w:sz w:val="24"/>
          <w:highlight w:val="none"/>
        </w:rPr>
        <w:t>当分项价之和与总价不符时，以分项价为准。</w:t>
      </w:r>
      <w:r>
        <w:rPr>
          <w:rFonts w:hint="eastAsia" w:asciiTheme="minorEastAsia" w:hAnsiTheme="minorEastAsia" w:eastAsiaTheme="minorEastAsia" w:cstheme="minorEastAsia"/>
          <w:color w:val="auto"/>
          <w:sz w:val="24"/>
          <w:highlight w:val="none"/>
        </w:rPr>
        <w:t>如有优惠条件，优惠条件要在分项价中体现，并予以说明。</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.4 报价币种为人民币，进口部分也应以人民币报价。</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 xml:space="preserve">.5 </w:t>
      </w:r>
      <w:r>
        <w:rPr>
          <w:rFonts w:hint="eastAsia" w:asciiTheme="minorEastAsia" w:hAnsiTheme="minorEastAsia" w:eastAsiaTheme="minorEastAsia" w:cstheme="minorEastAsia"/>
          <w:b w:val="0"/>
          <w:bCs/>
          <w:color w:val="auto"/>
          <w:sz w:val="24"/>
          <w:highlight w:val="none"/>
        </w:rPr>
        <w:t>投标报价</w:t>
      </w:r>
      <w:r>
        <w:rPr>
          <w:rFonts w:hint="eastAsia" w:asciiTheme="minorEastAsia" w:hAnsiTheme="minorEastAsia" w:eastAsiaTheme="minorEastAsia" w:cstheme="minorEastAsia"/>
          <w:color w:val="auto"/>
          <w:sz w:val="24"/>
          <w:highlight w:val="none"/>
        </w:rPr>
        <w:t>所列清单价格在合同有效期内为固定不变单价。任何在招标文件和投标文件中未专门提及，但对执行本项目采购合同是必不可少的</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其费用</w:t>
      </w:r>
      <w:r>
        <w:rPr>
          <w:rFonts w:hint="eastAsia" w:asciiTheme="minorEastAsia" w:hAnsiTheme="minorEastAsia" w:eastAsiaTheme="minorEastAsia" w:cstheme="minorEastAsia"/>
          <w:color w:val="auto"/>
          <w:sz w:val="24"/>
          <w:highlight w:val="none"/>
          <w:lang w:eastAsia="zh-CN"/>
        </w:rPr>
        <w:t>视为</w:t>
      </w:r>
      <w:r>
        <w:rPr>
          <w:rFonts w:hint="eastAsia" w:asciiTheme="minorEastAsia" w:hAnsiTheme="minorEastAsia" w:eastAsiaTheme="minorEastAsia" w:cstheme="minorEastAsia"/>
          <w:color w:val="auto"/>
          <w:sz w:val="24"/>
          <w:highlight w:val="none"/>
        </w:rPr>
        <w:t>已包含在单价中</w:t>
      </w:r>
      <w:r>
        <w:rPr>
          <w:rFonts w:hint="eastAsia" w:asciiTheme="minorEastAsia" w:hAnsiTheme="minorEastAsia" w:eastAsiaTheme="minorEastAsia" w:cstheme="minorEastAsia"/>
          <w:color w:val="auto"/>
          <w:sz w:val="24"/>
          <w:highlight w:val="none"/>
          <w:lang w:eastAsia="zh-CN"/>
        </w:rPr>
        <w:t>，合同履行期间不予调整。</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.6 投标文件中的总价金额与单价计算出的结果不一致的，以单价金额为准修正总价，但单价金额小数点有明显错误的除外。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spacing w:line="46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、投标文件的签署及规定</w:t>
      </w:r>
    </w:p>
    <w:p>
      <w:pPr>
        <w:keepNext w:val="0"/>
        <w:keepLines w:val="0"/>
        <w:pageBreakBefore w:val="0"/>
        <w:widowControl w:val="0"/>
        <w:kinsoku/>
        <w:wordWrap/>
        <w:overflowPunct/>
        <w:topLinePunct w:val="0"/>
        <w:autoSpaceDE/>
        <w:autoSpaceDN/>
        <w:bidi w:val="0"/>
        <w:adjustRightInd/>
        <w:snapToGrid/>
        <w:spacing w:line="460" w:lineRule="exact"/>
        <w:ind w:right="-1"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 投标人应按招标文件的要求，认真编制投标文件，投标文件应对招标文件提出的实质性要求和条件做出响应。</w:t>
      </w:r>
    </w:p>
    <w:p>
      <w:pPr>
        <w:pStyle w:val="36"/>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 投标文件应用不褪色的材料书写或打印，</w:t>
      </w:r>
      <w:r>
        <w:rPr>
          <w:rFonts w:hint="eastAsia" w:asciiTheme="minorEastAsia" w:hAnsiTheme="minorEastAsia" w:eastAsiaTheme="minorEastAsia" w:cstheme="minorEastAsia"/>
          <w:b/>
          <w:bCs/>
          <w:color w:val="auto"/>
          <w:sz w:val="24"/>
          <w:highlight w:val="none"/>
        </w:rPr>
        <w:t>并由投标人的法定代表人</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或其委托代理人</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盖章</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或签字</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并加盖单位公章</w:t>
      </w:r>
      <w:r>
        <w:rPr>
          <w:rFonts w:hint="eastAsia" w:asciiTheme="minorEastAsia" w:hAnsiTheme="minorEastAsia" w:eastAsiaTheme="minorEastAsia" w:cstheme="minorEastAsia"/>
          <w:color w:val="auto"/>
          <w:sz w:val="24"/>
          <w:highlight w:val="none"/>
        </w:rPr>
        <w:t>。委托代理人签字的，投标文件应附法定代表人签署的授权委托书。投标文件中应尽量避免涂改、行间插字或删除。如果出现上述情况，</w:t>
      </w:r>
      <w:r>
        <w:rPr>
          <w:rFonts w:hint="eastAsia" w:asciiTheme="minorEastAsia" w:hAnsiTheme="minorEastAsia" w:eastAsiaTheme="minorEastAsia" w:cstheme="minorEastAsia"/>
          <w:b/>
          <w:bCs/>
          <w:color w:val="auto"/>
          <w:sz w:val="24"/>
          <w:highlight w:val="none"/>
        </w:rPr>
        <w:t>改动之处应由投标人的法定代表人（或其委托代理人）盖章（或签字）并加盖单位公章</w:t>
      </w:r>
      <w:r>
        <w:rPr>
          <w:rFonts w:hint="eastAsia" w:asciiTheme="minorEastAsia" w:hAnsiTheme="minorEastAsia" w:eastAsiaTheme="minorEastAsia" w:cstheme="minorEastAsia"/>
          <w:color w:val="auto"/>
          <w:sz w:val="24"/>
          <w:highlight w:val="none"/>
        </w:rPr>
        <w:t>。投标文件封面均应由法定代表人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或其委托代理人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盖章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或签字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并加盖单位公章。由委托代理人签字或盖章的投标文件中须同时提交投标文件签署授权委托书。所有复印件须加盖公章，</w:t>
      </w:r>
      <w:r>
        <w:rPr>
          <w:rFonts w:hint="eastAsia" w:asciiTheme="minorEastAsia" w:hAnsiTheme="minorEastAsia" w:eastAsiaTheme="minorEastAsia" w:cstheme="minorEastAsia"/>
          <w:b/>
          <w:bCs/>
          <w:color w:val="auto"/>
          <w:sz w:val="24"/>
          <w:highlight w:val="none"/>
        </w:rPr>
        <w:t>投标文件签署授权委托书</w:t>
      </w:r>
      <w:r>
        <w:rPr>
          <w:rFonts w:hint="eastAsia" w:asciiTheme="minorEastAsia" w:hAnsiTheme="minorEastAsia" w:eastAsiaTheme="minorEastAsia" w:cstheme="minorEastAsia"/>
          <w:b/>
          <w:bCs/>
          <w:color w:val="auto"/>
          <w:sz w:val="24"/>
          <w:highlight w:val="none"/>
          <w:lang w:eastAsia="zh-CN"/>
        </w:rPr>
        <w:t>的</w:t>
      </w:r>
      <w:r>
        <w:rPr>
          <w:rFonts w:hint="eastAsia" w:asciiTheme="minorEastAsia" w:hAnsiTheme="minorEastAsia" w:eastAsiaTheme="minorEastAsia" w:cstheme="minorEastAsia"/>
          <w:b/>
          <w:bCs/>
          <w:color w:val="auto"/>
          <w:sz w:val="24"/>
          <w:highlight w:val="none"/>
        </w:rPr>
        <w:t>格式、签字、盖章及内容均应符合法律规定的要求，否则投标文件签署授权委托书无效。</w:t>
      </w:r>
    </w:p>
    <w:p>
      <w:pPr>
        <w:keepNext w:val="0"/>
        <w:keepLines w:val="0"/>
        <w:pageBreakBefore w:val="0"/>
        <w:widowControl w:val="0"/>
        <w:kinsoku/>
        <w:wordWrap/>
        <w:overflowPunct/>
        <w:topLinePunct w:val="0"/>
        <w:autoSpaceDE/>
        <w:autoSpaceDN/>
        <w:bidi w:val="0"/>
        <w:adjustRightInd/>
        <w:snapToGrid/>
        <w:spacing w:line="460" w:lineRule="exact"/>
        <w:ind w:right="-1"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 投标文件一般应无涂改和行间插字现象。表面整洁，如确需涂改（或插字），应在修改之处加盖单位公章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并由投标人的法定代表人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或其授权的代理人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签字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或盖章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确认。</w:t>
      </w:r>
    </w:p>
    <w:p>
      <w:pPr>
        <w:pStyle w:val="36"/>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、投标保证金</w:t>
      </w:r>
    </w:p>
    <w:p>
      <w:pPr>
        <w:pStyle w:val="36"/>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 为保证招投标工作的顺利进行，各投标人应向</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缴纳不少于投标</w:t>
      </w:r>
      <w:r>
        <w:rPr>
          <w:rFonts w:hint="eastAsia" w:asciiTheme="minorEastAsia" w:hAnsiTheme="minorEastAsia" w:eastAsiaTheme="minorEastAsia" w:cstheme="minorEastAsia"/>
          <w:color w:val="auto"/>
          <w:sz w:val="24"/>
          <w:highlight w:val="none"/>
          <w:lang w:eastAsia="zh-CN"/>
        </w:rPr>
        <w:t>人</w:t>
      </w:r>
      <w:r>
        <w:rPr>
          <w:rFonts w:hint="eastAsia" w:asciiTheme="minorEastAsia" w:hAnsiTheme="minorEastAsia" w:eastAsiaTheme="minorEastAsia" w:cstheme="minorEastAsia"/>
          <w:color w:val="auto"/>
          <w:sz w:val="24"/>
          <w:highlight w:val="none"/>
        </w:rPr>
        <w:t>须知前附表第</w:t>
      </w: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项规定数额的投标保证金，投标保证金缴纳方式见投标须知前附表第</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项。</w:t>
      </w:r>
    </w:p>
    <w:p>
      <w:pPr>
        <w:pStyle w:val="36"/>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 投标人有下列情况之一者，投标保证金将被没收。</w:t>
      </w:r>
    </w:p>
    <w:p>
      <w:pPr>
        <w:pStyle w:val="36"/>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投标人在规定的投标有效期内撤销或修改其投标文件；</w:t>
      </w:r>
    </w:p>
    <w:p>
      <w:pPr>
        <w:pStyle w:val="36"/>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中标人在收到中标通知书后，无正当理由拒签合同协议书或向</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提出附加条件或未按招标文件规定提交履约担保。</w:t>
      </w:r>
    </w:p>
    <w:p>
      <w:pPr>
        <w:pStyle w:val="36"/>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中标结果确认后5日内，向未中标的投标人退还投标保证金；中标人的投标保证金在与</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签订合同后5日内退还。</w:t>
      </w:r>
    </w:p>
    <w:p>
      <w:pPr>
        <w:pStyle w:val="11"/>
        <w:rPr>
          <w:rFonts w:hint="eastAsia"/>
          <w:color w:val="auto"/>
          <w:highlight w:val="none"/>
        </w:rPr>
      </w:pPr>
    </w:p>
    <w:p>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四、投标文件的制作、上传及递交要求</w:t>
      </w:r>
    </w:p>
    <w:p>
      <w:pPr>
        <w:pStyle w:val="1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13</w:t>
      </w:r>
      <w:r>
        <w:rPr>
          <w:rFonts w:hint="eastAsia" w:asciiTheme="minorEastAsia" w:hAnsiTheme="minorEastAsia" w:eastAsiaTheme="minorEastAsia" w:cstheme="minorEastAsia"/>
          <w:b/>
          <w:bCs w:val="0"/>
          <w:color w:val="auto"/>
          <w:sz w:val="24"/>
          <w:szCs w:val="24"/>
          <w:highlight w:val="none"/>
        </w:rPr>
        <w:t>.投标文件的制作要求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13.1</w:t>
      </w:r>
      <w:r>
        <w:rPr>
          <w:rFonts w:hint="eastAsia" w:asciiTheme="minorEastAsia" w:hAnsiTheme="minorEastAsia" w:eastAsiaTheme="minorEastAsia" w:cstheme="minorEastAsia"/>
          <w:b w:val="0"/>
          <w:bCs/>
          <w:color w:val="auto"/>
          <w:sz w:val="24"/>
          <w:szCs w:val="24"/>
          <w:highlight w:val="none"/>
        </w:rPr>
        <w:t>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电子投标文件部分：供应商应根据“政采云供应商项目采购-电子招投标操作指南”及本采购文件规定的格式和顺序编制电子投标文件并进行关联定位。本文件《第</w:t>
      </w:r>
      <w:r>
        <w:rPr>
          <w:rFonts w:hint="eastAsia" w:asciiTheme="minorEastAsia" w:hAnsiTheme="minorEastAsia" w:eastAsiaTheme="minorEastAsia" w:cstheme="minorEastAsia"/>
          <w:b w:val="0"/>
          <w:bCs/>
          <w:color w:val="auto"/>
          <w:sz w:val="24"/>
          <w:szCs w:val="24"/>
          <w:highlight w:val="none"/>
          <w:lang w:eastAsia="zh-CN"/>
        </w:rPr>
        <w:t>六</w:t>
      </w:r>
      <w:r>
        <w:rPr>
          <w:rFonts w:hint="eastAsia" w:asciiTheme="minorEastAsia" w:hAnsiTheme="minorEastAsia" w:eastAsiaTheme="minorEastAsia" w:cstheme="minorEastAsia"/>
          <w:b w:val="0"/>
          <w:bCs/>
          <w:color w:val="auto"/>
          <w:sz w:val="24"/>
          <w:szCs w:val="24"/>
          <w:highlight w:val="none"/>
        </w:rPr>
        <w:t>章 投标文件</w:t>
      </w:r>
      <w:r>
        <w:rPr>
          <w:rFonts w:hint="eastAsia" w:asciiTheme="minorEastAsia" w:hAnsiTheme="minorEastAsia" w:eastAsiaTheme="minorEastAsia" w:cstheme="minorEastAsia"/>
          <w:b w:val="0"/>
          <w:bCs/>
          <w:color w:val="auto"/>
          <w:sz w:val="24"/>
          <w:szCs w:val="24"/>
          <w:highlight w:val="none"/>
          <w:lang w:eastAsia="zh-CN"/>
        </w:rPr>
        <w:t>部分</w:t>
      </w:r>
      <w:r>
        <w:rPr>
          <w:rFonts w:hint="eastAsia" w:asciiTheme="minorEastAsia" w:hAnsiTheme="minorEastAsia" w:eastAsiaTheme="minorEastAsia" w:cstheme="minorEastAsia"/>
          <w:b w:val="0"/>
          <w:bCs/>
          <w:color w:val="auto"/>
          <w:sz w:val="24"/>
          <w:szCs w:val="24"/>
          <w:highlight w:val="none"/>
        </w:rPr>
        <w:t>格式》中有提供格式的，供应商应按照格式进行编制（格式中要求提供相关证明材料的还需后附相关证明材料），并按格式要求在指定位置根据要求进行签章，否则视为未提供；本文件《第</w:t>
      </w:r>
      <w:r>
        <w:rPr>
          <w:rFonts w:hint="eastAsia" w:asciiTheme="minorEastAsia" w:hAnsiTheme="minorEastAsia" w:eastAsiaTheme="minorEastAsia" w:cstheme="minorEastAsia"/>
          <w:b w:val="0"/>
          <w:bCs/>
          <w:color w:val="auto"/>
          <w:sz w:val="24"/>
          <w:szCs w:val="24"/>
          <w:highlight w:val="none"/>
          <w:lang w:eastAsia="zh-CN"/>
        </w:rPr>
        <w:t>六</w:t>
      </w:r>
      <w:r>
        <w:rPr>
          <w:rFonts w:hint="eastAsia" w:asciiTheme="minorEastAsia" w:hAnsiTheme="minorEastAsia" w:eastAsiaTheme="minorEastAsia" w:cstheme="minorEastAsia"/>
          <w:b w:val="0"/>
          <w:bCs/>
          <w:color w:val="auto"/>
          <w:sz w:val="24"/>
          <w:szCs w:val="24"/>
          <w:highlight w:val="none"/>
        </w:rPr>
        <w:t>章投标文件</w:t>
      </w:r>
      <w:r>
        <w:rPr>
          <w:rFonts w:hint="eastAsia" w:asciiTheme="minorEastAsia" w:hAnsiTheme="minorEastAsia" w:eastAsiaTheme="minorEastAsia" w:cstheme="minorEastAsia"/>
          <w:b w:val="0"/>
          <w:bCs/>
          <w:color w:val="auto"/>
          <w:sz w:val="24"/>
          <w:szCs w:val="24"/>
          <w:highlight w:val="none"/>
          <w:lang w:eastAsia="zh-CN"/>
        </w:rPr>
        <w:t>部分</w:t>
      </w:r>
      <w:r>
        <w:rPr>
          <w:rFonts w:hint="eastAsia" w:asciiTheme="minorEastAsia" w:hAnsiTheme="minorEastAsia" w:eastAsiaTheme="minorEastAsia" w:cstheme="minorEastAsia"/>
          <w:b w:val="0"/>
          <w:bCs/>
          <w:color w:val="auto"/>
          <w:sz w:val="24"/>
          <w:szCs w:val="24"/>
          <w:highlight w:val="none"/>
        </w:rPr>
        <w:t>格式》未提供格式的，请供应商自行拟定格式，并加盖单位公章，否则视为未提供。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13.2</w:t>
      </w:r>
      <w:r>
        <w:rPr>
          <w:rFonts w:hint="eastAsia" w:asciiTheme="minorEastAsia" w:hAnsiTheme="minorEastAsia" w:eastAsiaTheme="minorEastAsia" w:cstheme="minorEastAsia"/>
          <w:b w:val="0"/>
          <w:bCs/>
          <w:color w:val="auto"/>
          <w:sz w:val="24"/>
          <w:szCs w:val="24"/>
          <w:highlight w:val="none"/>
        </w:rPr>
        <w:t>供应商应对所提供的全部资料的真实性、有效性承担法律责任，电子投标文件中所须加盖公章部分均采用CA签章。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13.3</w:t>
      </w:r>
      <w:r>
        <w:rPr>
          <w:rFonts w:hint="eastAsia" w:asciiTheme="minorEastAsia" w:hAnsiTheme="minorEastAsia" w:eastAsiaTheme="minorEastAsia" w:cstheme="minorEastAsia"/>
          <w:b w:val="0"/>
          <w:bCs/>
          <w:color w:val="auto"/>
          <w:sz w:val="24"/>
          <w:szCs w:val="24"/>
          <w:highlight w:val="none"/>
        </w:rPr>
        <w:t>投标文件以及供应商与</w:t>
      </w:r>
      <w:r>
        <w:rPr>
          <w:rFonts w:hint="eastAsia" w:asciiTheme="minorEastAsia" w:hAnsiTheme="minorEastAsia" w:eastAsiaTheme="minorEastAsia" w:cstheme="minorEastAsia"/>
          <w:b w:val="0"/>
          <w:bCs/>
          <w:color w:val="auto"/>
          <w:sz w:val="24"/>
          <w:szCs w:val="24"/>
          <w:highlight w:val="none"/>
          <w:lang w:eastAsia="zh-CN"/>
        </w:rPr>
        <w:t>采购代理机构</w:t>
      </w:r>
      <w:r>
        <w:rPr>
          <w:rFonts w:hint="eastAsia" w:asciiTheme="minorEastAsia" w:hAnsiTheme="minorEastAsia" w:eastAsiaTheme="minorEastAsia" w:cstheme="minorEastAsia"/>
          <w:b w:val="0"/>
          <w:bCs/>
          <w:color w:val="auto"/>
          <w:sz w:val="24"/>
          <w:szCs w:val="24"/>
          <w:highlight w:val="none"/>
        </w:rPr>
        <w:t>就有关投标事宜的所有来往函电，均应以中文汉语书写。除签字、盖章、专用名称等特殊情形外，以中文汉语以外的文字表述的投标文件视同未提供。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13.4</w:t>
      </w:r>
      <w:r>
        <w:rPr>
          <w:rFonts w:hint="eastAsia" w:asciiTheme="minorEastAsia" w:hAnsiTheme="minorEastAsia" w:eastAsiaTheme="minorEastAsia" w:cstheme="minorEastAsia"/>
          <w:b w:val="0"/>
          <w:bCs/>
          <w:color w:val="auto"/>
          <w:sz w:val="24"/>
          <w:szCs w:val="24"/>
          <w:highlight w:val="none"/>
        </w:rPr>
        <w:t>投标计量单位，采购文件已有明确规定的，使用采购文件规定的计量单位；采购文件没有规定的，应采用中华人民共和国法定计量单位（货币单位：人民币元）。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13.5</w:t>
      </w:r>
      <w:r>
        <w:rPr>
          <w:rFonts w:hint="eastAsia" w:asciiTheme="minorEastAsia" w:hAnsiTheme="minorEastAsia" w:eastAsiaTheme="minorEastAsia" w:cstheme="minorEastAsia"/>
          <w:b w:val="0"/>
          <w:bCs/>
          <w:color w:val="auto"/>
          <w:sz w:val="24"/>
          <w:szCs w:val="24"/>
          <w:highlight w:val="none"/>
        </w:rPr>
        <w:t>若供应商不按采购文件的要求提供资格审查材料，其风险由供应商自行承担。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13.6</w:t>
      </w:r>
      <w:r>
        <w:rPr>
          <w:rFonts w:hint="eastAsia" w:asciiTheme="minorEastAsia" w:hAnsiTheme="minorEastAsia" w:eastAsiaTheme="minorEastAsia" w:cstheme="minorEastAsia"/>
          <w:b w:val="0"/>
          <w:bCs/>
          <w:color w:val="auto"/>
          <w:sz w:val="24"/>
          <w:szCs w:val="24"/>
          <w:highlight w:val="none"/>
        </w:rPr>
        <w:t>与本次投标无关的内容请不要制作在内，确保投标文件有针对性、简洁明了。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14.</w:t>
      </w:r>
      <w:r>
        <w:rPr>
          <w:rFonts w:hint="eastAsia" w:asciiTheme="minorEastAsia" w:hAnsiTheme="minorEastAsia" w:eastAsiaTheme="minorEastAsia" w:cstheme="minorEastAsia"/>
          <w:b/>
          <w:bCs w:val="0"/>
          <w:color w:val="auto"/>
          <w:sz w:val="24"/>
          <w:szCs w:val="24"/>
          <w:highlight w:val="none"/>
        </w:rPr>
        <w:t>投标文件的上传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14.1</w:t>
      </w:r>
      <w:r>
        <w:rPr>
          <w:rFonts w:hint="eastAsia" w:asciiTheme="minorEastAsia" w:hAnsiTheme="minorEastAsia" w:eastAsiaTheme="minorEastAsia" w:cstheme="minorEastAsia"/>
          <w:b w:val="0"/>
          <w:bCs/>
          <w:color w:val="auto"/>
          <w:sz w:val="24"/>
          <w:szCs w:val="24"/>
          <w:highlight w:val="none"/>
        </w:rPr>
        <w:t>电子加密投标文件：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14.1.1</w:t>
      </w:r>
      <w:r>
        <w:rPr>
          <w:rFonts w:hint="eastAsia" w:asciiTheme="minorEastAsia" w:hAnsiTheme="minorEastAsia" w:eastAsiaTheme="minorEastAsia" w:cstheme="minorEastAsia"/>
          <w:b w:val="0"/>
          <w:bCs/>
          <w:color w:val="auto"/>
          <w:sz w:val="24"/>
          <w:szCs w:val="24"/>
          <w:highlight w:val="none"/>
        </w:rPr>
        <w:t xml:space="preserve"> 供应商应在投标截止时间前将电子加密投标文件成功上传递交至新疆政府采购云平台，否则投标无效；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14.1.2</w:t>
      </w:r>
      <w:r>
        <w:rPr>
          <w:rFonts w:hint="eastAsia" w:asciiTheme="minorEastAsia" w:hAnsiTheme="minorEastAsia" w:eastAsiaTheme="minorEastAsia" w:cstheme="minorEastAsia"/>
          <w:b w:val="0"/>
          <w:bCs/>
          <w:color w:val="auto"/>
          <w:sz w:val="24"/>
          <w:szCs w:val="24"/>
          <w:highlight w:val="none"/>
        </w:rPr>
        <w:t>供应商成功上传电子加密投标文件后，可自行打印投标文件接收回执。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15.</w:t>
      </w:r>
      <w:r>
        <w:rPr>
          <w:rFonts w:hint="eastAsia" w:asciiTheme="minorEastAsia" w:hAnsiTheme="minorEastAsia" w:eastAsiaTheme="minorEastAsia" w:cstheme="minorEastAsia"/>
          <w:b/>
          <w:bCs w:val="0"/>
          <w:color w:val="auto"/>
          <w:sz w:val="24"/>
          <w:szCs w:val="24"/>
          <w:highlight w:val="none"/>
        </w:rPr>
        <w:t>投标文件的递交要求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15.1 </w:t>
      </w:r>
      <w:r>
        <w:rPr>
          <w:rFonts w:hint="eastAsia" w:asciiTheme="minorEastAsia" w:hAnsiTheme="minorEastAsia" w:eastAsiaTheme="minorEastAsia" w:cstheme="minorEastAsia"/>
          <w:b w:val="0"/>
          <w:bCs/>
          <w:color w:val="auto"/>
          <w:sz w:val="24"/>
          <w:szCs w:val="24"/>
          <w:highlight w:val="none"/>
        </w:rPr>
        <w:t>供应商须按照采购文件和政采云平台的要求编制并加密投标文件。在投标文件递交截止时间以前完成投标文件的传输递交，截止时间后递交的投标文件，将被拒收。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15.2 </w:t>
      </w:r>
      <w:r>
        <w:rPr>
          <w:rFonts w:hint="eastAsia" w:asciiTheme="minorEastAsia" w:hAnsiTheme="minorEastAsia" w:eastAsiaTheme="minorEastAsia" w:cstheme="minorEastAsia"/>
          <w:b w:val="0"/>
          <w:bCs/>
          <w:color w:val="auto"/>
          <w:sz w:val="24"/>
          <w:szCs w:val="24"/>
          <w:highlight w:val="none"/>
        </w:rPr>
        <w:t>如有特殊情况，</w:t>
      </w:r>
      <w:r>
        <w:rPr>
          <w:rFonts w:hint="eastAsia" w:asciiTheme="minorEastAsia" w:hAnsiTheme="minorEastAsia" w:eastAsiaTheme="minorEastAsia" w:cstheme="minorEastAsia"/>
          <w:b w:val="0"/>
          <w:bCs/>
          <w:color w:val="auto"/>
          <w:sz w:val="24"/>
          <w:szCs w:val="24"/>
          <w:highlight w:val="none"/>
          <w:lang w:eastAsia="zh-CN"/>
        </w:rPr>
        <w:t>采购代理机构</w:t>
      </w:r>
      <w:r>
        <w:rPr>
          <w:rFonts w:hint="eastAsia" w:asciiTheme="minorEastAsia" w:hAnsiTheme="minorEastAsia" w:eastAsiaTheme="minorEastAsia" w:cstheme="minorEastAsia"/>
          <w:b w:val="0"/>
          <w:bCs/>
          <w:color w:val="auto"/>
          <w:sz w:val="24"/>
          <w:szCs w:val="24"/>
          <w:highlight w:val="none"/>
        </w:rPr>
        <w:t>延长截止时间和开标时间，</w:t>
      </w:r>
      <w:r>
        <w:rPr>
          <w:rFonts w:hint="eastAsia" w:asciiTheme="minorEastAsia" w:hAnsiTheme="minorEastAsia" w:eastAsiaTheme="minorEastAsia" w:cstheme="minorEastAsia"/>
          <w:b w:val="0"/>
          <w:bCs/>
          <w:color w:val="auto"/>
          <w:sz w:val="24"/>
          <w:szCs w:val="24"/>
          <w:highlight w:val="none"/>
          <w:lang w:eastAsia="zh-CN"/>
        </w:rPr>
        <w:t>采购代理机构</w:t>
      </w:r>
      <w:r>
        <w:rPr>
          <w:rFonts w:hint="eastAsia" w:asciiTheme="minorEastAsia" w:hAnsiTheme="minorEastAsia" w:eastAsiaTheme="minorEastAsia" w:cstheme="minorEastAsia"/>
          <w:b w:val="0"/>
          <w:bCs/>
          <w:color w:val="auto"/>
          <w:sz w:val="24"/>
          <w:szCs w:val="24"/>
          <w:highlight w:val="none"/>
        </w:rPr>
        <w:t>和供应商的权利和义务将受到新的截止时间和开标时间的约束。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16.</w:t>
      </w:r>
      <w:r>
        <w:rPr>
          <w:rFonts w:hint="eastAsia" w:asciiTheme="minorEastAsia" w:hAnsiTheme="minorEastAsia" w:eastAsiaTheme="minorEastAsia" w:cstheme="minorEastAsia"/>
          <w:b/>
          <w:bCs w:val="0"/>
          <w:color w:val="auto"/>
          <w:sz w:val="24"/>
          <w:szCs w:val="24"/>
          <w:highlight w:val="none"/>
        </w:rPr>
        <w:t>投标文件的补充、修改与撤回</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2"/>
        <w:rPr>
          <w:rFonts w:hint="eastAsia"/>
          <w:color w:val="auto"/>
          <w:highlight w:val="none"/>
        </w:rPr>
      </w:pPr>
    </w:p>
    <w:p>
      <w:pPr>
        <w:numPr>
          <w:ilvl w:val="0"/>
          <w:numId w:val="4"/>
        </w:num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开标及评标</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color w:val="auto"/>
          <w:sz w:val="24"/>
          <w:highlight w:val="none"/>
        </w:rPr>
      </w:pP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17</w:t>
      </w:r>
      <w:r>
        <w:rPr>
          <w:rFonts w:hint="eastAsia" w:asciiTheme="minorEastAsia" w:hAnsiTheme="minorEastAsia" w:eastAsiaTheme="minorEastAsia" w:cstheme="minorEastAsia"/>
          <w:b/>
          <w:bCs w:val="0"/>
          <w:color w:val="auto"/>
          <w:sz w:val="24"/>
          <w:szCs w:val="24"/>
          <w:highlight w:val="none"/>
        </w:rPr>
        <w:t>. 开标</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17.1</w:t>
      </w:r>
      <w:r>
        <w:rPr>
          <w:rFonts w:hint="eastAsia" w:asciiTheme="minorEastAsia" w:hAnsiTheme="minorEastAsia" w:eastAsiaTheme="minorEastAsia" w:cstheme="minorEastAsia"/>
          <w:b w:val="0"/>
          <w:bCs/>
          <w:color w:val="auto"/>
          <w:sz w:val="24"/>
          <w:szCs w:val="24"/>
          <w:highlight w:val="none"/>
        </w:rPr>
        <w:t>开标准备：本项目开标的准备工作由</w:t>
      </w:r>
      <w:r>
        <w:rPr>
          <w:rFonts w:hint="eastAsia" w:asciiTheme="minorEastAsia" w:hAnsiTheme="minorEastAsia" w:eastAsiaTheme="minorEastAsia" w:cstheme="minorEastAsia"/>
          <w:b w:val="0"/>
          <w:bCs/>
          <w:color w:val="auto"/>
          <w:sz w:val="24"/>
          <w:szCs w:val="24"/>
          <w:highlight w:val="none"/>
          <w:lang w:eastAsia="zh-CN"/>
        </w:rPr>
        <w:t>采购代理机构</w:t>
      </w:r>
      <w:r>
        <w:rPr>
          <w:rFonts w:hint="eastAsia" w:asciiTheme="minorEastAsia" w:hAnsiTheme="minorEastAsia" w:eastAsiaTheme="minorEastAsia" w:cstheme="minorEastAsia"/>
          <w:b w:val="0"/>
          <w:bCs/>
          <w:color w:val="auto"/>
          <w:sz w:val="24"/>
          <w:szCs w:val="24"/>
          <w:highlight w:val="none"/>
        </w:rPr>
        <w:t>负责落实，开标过程由</w:t>
      </w:r>
      <w:r>
        <w:rPr>
          <w:rFonts w:hint="eastAsia" w:asciiTheme="minorEastAsia" w:hAnsiTheme="minorEastAsia" w:eastAsiaTheme="minorEastAsia" w:cstheme="minorEastAsia"/>
          <w:b w:val="0"/>
          <w:bCs/>
          <w:color w:val="auto"/>
          <w:sz w:val="24"/>
          <w:szCs w:val="24"/>
          <w:highlight w:val="none"/>
          <w:lang w:eastAsia="zh-CN"/>
        </w:rPr>
        <w:t>采购代理机构</w:t>
      </w:r>
      <w:r>
        <w:rPr>
          <w:rFonts w:hint="eastAsia" w:asciiTheme="minorEastAsia" w:hAnsiTheme="minorEastAsia" w:eastAsiaTheme="minorEastAsia" w:cstheme="minorEastAsia"/>
          <w:b w:val="0"/>
          <w:bCs/>
          <w:color w:val="auto"/>
          <w:sz w:val="24"/>
          <w:szCs w:val="24"/>
          <w:highlight w:val="none"/>
        </w:rPr>
        <w:t>负责记录；</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）开标主持：本项目开标由采购人或者采购代理机构主持；</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）开标邀请：本项目采用电子交易，</w:t>
      </w:r>
      <w:r>
        <w:rPr>
          <w:rFonts w:hint="eastAsia" w:asciiTheme="minorEastAsia" w:hAnsiTheme="minorEastAsia" w:eastAsiaTheme="minorEastAsia" w:cstheme="minorEastAsia"/>
          <w:b w:val="0"/>
          <w:bCs/>
          <w:color w:val="auto"/>
          <w:sz w:val="24"/>
          <w:szCs w:val="24"/>
          <w:highlight w:val="none"/>
          <w:lang w:eastAsia="zh-CN"/>
        </w:rPr>
        <w:t>采购代理机构</w:t>
      </w:r>
      <w:r>
        <w:rPr>
          <w:rFonts w:hint="eastAsia" w:asciiTheme="minorEastAsia" w:hAnsiTheme="minorEastAsia" w:eastAsiaTheme="minorEastAsia" w:cstheme="minorEastAsia"/>
          <w:b w:val="0"/>
          <w:bCs/>
          <w:color w:val="auto"/>
          <w:sz w:val="24"/>
          <w:szCs w:val="24"/>
          <w:highlight w:val="none"/>
        </w:rPr>
        <w:t>将按照采购文件规定的时间通过“新疆政府采购云平台，网址：</w:t>
      </w:r>
      <w:r>
        <w:rPr>
          <w:rFonts w:hint="eastAsia" w:asciiTheme="minorEastAsia" w:hAnsiTheme="minorEastAsia" w:eastAsiaTheme="minorEastAsia" w:cstheme="minorEastAsia"/>
          <w:b w:val="0"/>
          <w:bCs/>
          <w:color w:val="auto"/>
          <w:sz w:val="24"/>
          <w:szCs w:val="24"/>
          <w:highlight w:val="none"/>
        </w:rPr>
        <w:fldChar w:fldCharType="begin"/>
      </w:r>
      <w:r>
        <w:rPr>
          <w:rFonts w:hint="eastAsia" w:asciiTheme="minorEastAsia" w:hAnsiTheme="minorEastAsia" w:eastAsiaTheme="minorEastAsia" w:cstheme="minorEastAsia"/>
          <w:b w:val="0"/>
          <w:bCs/>
          <w:color w:val="auto"/>
          <w:sz w:val="24"/>
          <w:szCs w:val="24"/>
          <w:highlight w:val="none"/>
        </w:rPr>
        <w:instrText xml:space="preserve"> HYPERLINK "http://www.zcygov.cn" </w:instrText>
      </w:r>
      <w:r>
        <w:rPr>
          <w:rFonts w:hint="eastAsia" w:asciiTheme="minorEastAsia" w:hAnsiTheme="minorEastAsia" w:eastAsiaTheme="minorEastAsia" w:cstheme="minorEastAsia"/>
          <w:b w:val="0"/>
          <w:bCs/>
          <w:color w:val="auto"/>
          <w:sz w:val="24"/>
          <w:szCs w:val="24"/>
          <w:highlight w:val="none"/>
        </w:rPr>
        <w:fldChar w:fldCharType="separate"/>
      </w:r>
      <w:r>
        <w:rPr>
          <w:rFonts w:hint="eastAsia" w:asciiTheme="minorEastAsia" w:hAnsiTheme="minorEastAsia" w:eastAsiaTheme="minorEastAsia" w:cstheme="minorEastAsia"/>
          <w:b w:val="0"/>
          <w:bCs/>
          <w:color w:val="auto"/>
          <w:sz w:val="24"/>
          <w:szCs w:val="24"/>
          <w:highlight w:val="none"/>
        </w:rPr>
        <w:t>www.zcygov.cn</w:t>
      </w:r>
      <w:r>
        <w:rPr>
          <w:rFonts w:hint="eastAsia" w:asciiTheme="minorEastAsia" w:hAnsiTheme="minorEastAsia" w:eastAsiaTheme="minorEastAsia" w:cstheme="minorEastAsia"/>
          <w:b w:val="0"/>
          <w:bCs/>
          <w:color w:val="auto"/>
          <w:sz w:val="24"/>
          <w:szCs w:val="24"/>
          <w:highlight w:val="none"/>
        </w:rPr>
        <w:fldChar w:fldCharType="end"/>
      </w:r>
      <w:r>
        <w:rPr>
          <w:rFonts w:hint="eastAsia" w:asciiTheme="minorEastAsia" w:hAnsiTheme="minorEastAsia" w:eastAsiaTheme="minorEastAsia" w:cstheme="minorEastAsia"/>
          <w:b w:val="0"/>
          <w:bCs/>
          <w:color w:val="auto"/>
          <w:sz w:val="24"/>
          <w:szCs w:val="24"/>
          <w:highlight w:val="none"/>
        </w:rPr>
        <w:t>”组织开标、开启投标</w:t>
      </w:r>
      <w:r>
        <w:rPr>
          <w:rFonts w:hint="eastAsia" w:asciiTheme="minorEastAsia" w:hAnsiTheme="minorEastAsia" w:eastAsiaTheme="minorEastAsia" w:cstheme="minorEastAsia"/>
          <w:b w:val="0"/>
          <w:bCs/>
          <w:color w:val="auto"/>
          <w:sz w:val="24"/>
          <w:szCs w:val="24"/>
          <w:highlight w:val="none"/>
          <w:lang w:eastAsia="zh-CN"/>
        </w:rPr>
        <w:t>投标文件</w:t>
      </w:r>
      <w:r>
        <w:rPr>
          <w:rFonts w:hint="eastAsia" w:asciiTheme="minorEastAsia" w:hAnsiTheme="minorEastAsia" w:eastAsiaTheme="minorEastAsia" w:cstheme="minorEastAsia"/>
          <w:b w:val="0"/>
          <w:bCs/>
          <w:color w:val="auto"/>
          <w:sz w:val="24"/>
          <w:szCs w:val="24"/>
          <w:highlight w:val="none"/>
        </w:rPr>
        <w:t>，所有供应商均应当准时在线参加。</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bookmarkStart w:id="1" w:name="_Toc73975823"/>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.2开标程序</w:t>
      </w:r>
      <w:bookmarkEnd w:id="1"/>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（1）开标时间到后，主持人宣布开标会议开始。</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（2）投标文件解密（解密规定见《供应商须知前附表》）。</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（3）投标文件解密异常情况处理。</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（4）公布投标文件解密情况（投标文件成功解密的供应商名单等信息），逾期发送或未发送的视为无异议。</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）开启投标供应商的报价，公布开标一览表有关内容，并【开启签字时段】，供应商对开标纪录进行在线签字确认（不予确认的应说明理由，否则视为无异议）。</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）开启标书信息，标书信息开启后，首先由采购人依法对投标供应商</w:t>
      </w:r>
      <w:r>
        <w:rPr>
          <w:rFonts w:hint="eastAsia" w:ascii="宋体" w:hAnsi="宋体" w:eastAsia="宋体" w:cs="宋体"/>
          <w:color w:val="auto"/>
          <w:sz w:val="24"/>
          <w:szCs w:val="24"/>
          <w:highlight w:val="none"/>
          <w:lang w:val="en-US" w:eastAsia="zh-CN"/>
        </w:rPr>
        <w:t>进行资格审查</w:t>
      </w:r>
      <w:r>
        <w:rPr>
          <w:rFonts w:hint="eastAsia" w:asciiTheme="minorEastAsia" w:hAnsiTheme="minorEastAsia" w:eastAsiaTheme="minorEastAsia" w:cstheme="minorEastAsia"/>
          <w:b w:val="0"/>
          <w:bCs/>
          <w:color w:val="auto"/>
          <w:sz w:val="24"/>
          <w:szCs w:val="24"/>
          <w:highlight w:val="none"/>
        </w:rPr>
        <w:t>， 审查结束公布投标供应商的资格符合情况。资格审查未获通过的供应商，其商务技术文件及报价文件不再进入评审。</w:t>
      </w:r>
    </w:p>
    <w:tbl>
      <w:tblPr>
        <w:tblStyle w:val="22"/>
        <w:tblW w:w="88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7" w:type="dxa"/>
          <w:bottom w:w="0" w:type="dxa"/>
          <w:right w:w="57" w:type="dxa"/>
        </w:tblCellMar>
      </w:tblPr>
      <w:tblGrid>
        <w:gridCol w:w="481"/>
        <w:gridCol w:w="1725"/>
        <w:gridCol w:w="5670"/>
        <w:gridCol w:w="9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8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highlight w:val="none"/>
                <w:u w:val="none"/>
                <w:lang w:val="en-US" w:eastAsia="zh-CN"/>
              </w:rPr>
            </w:pPr>
            <w:r>
              <w:rPr>
                <w:rFonts w:hint="eastAsia" w:ascii="宋体" w:hAnsi="宋体" w:eastAsia="宋体" w:cs="宋体"/>
                <w:b/>
                <w:bCs/>
                <w:i w:val="0"/>
                <w:color w:val="auto"/>
                <w:sz w:val="21"/>
                <w:szCs w:val="21"/>
                <w:highlight w:val="none"/>
                <w:u w:val="none"/>
                <w:lang w:val="en-US" w:eastAsia="zh-CN"/>
              </w:rPr>
              <w:t>序号</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审查内容</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要求说明</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b/>
                <w:bCs/>
                <w:i w:val="0"/>
                <w:color w:val="auto"/>
                <w:sz w:val="21"/>
                <w:szCs w:val="21"/>
                <w:highlight w:val="none"/>
                <w:u w:val="none"/>
                <w:lang w:val="en-US" w:eastAsia="zh-CN"/>
              </w:rPr>
            </w:pPr>
            <w:r>
              <w:rPr>
                <w:rFonts w:hint="eastAsia" w:ascii="宋体" w:hAnsi="宋体" w:eastAsia="宋体" w:cs="宋体"/>
                <w:b/>
                <w:bCs/>
                <w:i w:val="0"/>
                <w:color w:val="auto"/>
                <w:sz w:val="21"/>
                <w:szCs w:val="21"/>
                <w:highlight w:val="none"/>
                <w:u w:val="none"/>
                <w:lang w:val="en-US" w:eastAsia="zh-CN"/>
              </w:rPr>
              <w:t>是否</w:t>
            </w:r>
          </w:p>
          <w:p>
            <w:pPr>
              <w:jc w:val="center"/>
              <w:rPr>
                <w:rFonts w:hint="default" w:ascii="宋体" w:hAnsi="宋体" w:eastAsia="宋体" w:cs="宋体"/>
                <w:b/>
                <w:bCs/>
                <w:i w:val="0"/>
                <w:color w:val="auto"/>
                <w:sz w:val="21"/>
                <w:szCs w:val="21"/>
                <w:highlight w:val="none"/>
                <w:u w:val="none"/>
                <w:lang w:val="en-US" w:eastAsia="zh-CN"/>
              </w:rPr>
            </w:pPr>
            <w:r>
              <w:rPr>
                <w:rFonts w:hint="eastAsia" w:ascii="宋体" w:hAnsi="宋体" w:eastAsia="宋体" w:cs="宋体"/>
                <w:b/>
                <w:bCs/>
                <w:i w:val="0"/>
                <w:color w:val="auto"/>
                <w:sz w:val="21"/>
                <w:szCs w:val="21"/>
                <w:highlight w:val="none"/>
                <w:u w:val="none"/>
                <w:lang w:val="en-US" w:eastAsia="zh-CN"/>
              </w:rPr>
              <w:t>通过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97"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项目授权</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SA"/>
              </w:rPr>
              <w:t>提供法定代表人身份证明或法定代表人授权委托书</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665"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具有独立承担民事责任的能力</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提供有效的营业执照</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002"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3</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具有良好的商业信誉和健全的财务会计制度</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投标人没有处于被责令停业、财产被接管、冻结、破产状态，提供2022年财务审计报告或银行出具的资信证明材料（如提供银行资信证明的，须自采购公告发布之日起至首次提交投标投标文件截止时间内出具）。</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75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4</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具有履行合同所必需的设备和专业技术能力</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提供承诺函</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8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5</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有依法缴纳税收的良好记录</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提供投标人2023年1月至今任意一个月依法纳税凭证或有电子专用章的完税证明，依法免税的供应商，应提供相应文件证明其依法免税。</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07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6</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有依法缴纳社会保障资金的良好记录</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提供法定代表人或委托代理人2023年1月至今任意一个月依法缴纳社会保障资金证明</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none"/>
                <w:lang w:val="en-US" w:eastAsia="zh-CN" w:bidi="ar-SA"/>
              </w:rPr>
              <w:t>依法不需要缴纳社会保障资金的供应商，应提供相应文件证明其依法不需要缴纳社会保障资金。</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40"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7</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参加政府采购活动前三年内，在经营活动中没有重大违法记录</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提供无重大违法记录声明函</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32"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2"/>
                <w:sz w:val="21"/>
                <w:szCs w:val="21"/>
                <w:highlight w:val="none"/>
                <w:u w:val="none"/>
                <w:lang w:val="en-US" w:eastAsia="zh-CN" w:bidi="ar-SA"/>
              </w:rPr>
              <w:t>8</w:t>
            </w:r>
          </w:p>
        </w:tc>
        <w:tc>
          <w:tcPr>
            <w:tcW w:w="1725" w:type="dxa"/>
            <w:tcBorders>
              <w:tl2br w:val="nil"/>
              <w:tr2bl w:val="nil"/>
            </w:tcBorders>
            <w:noWrap w:val="0"/>
            <w:tcMar>
              <w:top w:w="57" w:type="dxa"/>
              <w:left w:w="113" w:type="dxa"/>
              <w:bottom w:w="57" w:type="dxa"/>
              <w:right w:w="113" w:type="dxa"/>
            </w:tcMar>
            <w:vAlign w:val="center"/>
          </w:tcPr>
          <w:p>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本项目的特定资格要求</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供应商应具备有效的具有工程咨询单位综合乙级及以上资信资质。</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32"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cs="宋体"/>
                <w:i w:val="0"/>
                <w:color w:val="auto"/>
                <w:kern w:val="2"/>
                <w:sz w:val="21"/>
                <w:szCs w:val="21"/>
                <w:highlight w:val="none"/>
                <w:u w:val="none"/>
                <w:lang w:val="en-US" w:eastAsia="zh-CN" w:bidi="ar-SA"/>
              </w:rPr>
            </w:pPr>
            <w:r>
              <w:rPr>
                <w:rFonts w:hint="eastAsia" w:ascii="宋体" w:hAnsi="宋体" w:cs="宋体"/>
                <w:i w:val="0"/>
                <w:color w:val="auto"/>
                <w:kern w:val="2"/>
                <w:sz w:val="21"/>
                <w:szCs w:val="21"/>
                <w:highlight w:val="none"/>
                <w:u w:val="none"/>
                <w:lang w:val="en-US" w:eastAsia="zh-CN" w:bidi="ar-SA"/>
              </w:rPr>
              <w:t>9</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投标保证金</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投标保证金缴纳凭证或保函</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2"/>
                <w:sz w:val="21"/>
                <w:szCs w:val="21"/>
                <w:highlight w:val="none"/>
                <w:u w:val="none"/>
                <w:lang w:val="en-US" w:eastAsia="zh-CN" w:bidi="ar-SA"/>
              </w:rPr>
              <w:t>10</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供应商不存在第一部分供应商须知1.3.2项（1）-（4）规定</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（l）与采购人、采购代理机构存在利害关系。</w:t>
            </w:r>
          </w:p>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（2）单位负责人为同一人或者存在直接控股、管理关系的不同投标单位，不得参加同一合同项下的政府采购活动。</w:t>
            </w:r>
          </w:p>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（3）除单一来源采购项目外，为采购项目提供整体设计、规范编制或者项目管理、监理、检测等服务的投标单位，不得再参加该采购项目的其他采购活动。</w:t>
            </w:r>
          </w:p>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（4）供应商被列入失信被执行人、重大税收违法失信主体、政府采购严重违法失信行为记录名单（处罚决定规定的时间和地域范围内）。</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91" w:hRule="atLeast"/>
          <w:jc w:val="center"/>
        </w:trPr>
        <w:tc>
          <w:tcPr>
            <w:tcW w:w="7876" w:type="dxa"/>
            <w:gridSpan w:val="3"/>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结论：是否通过资格审查。</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bl>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）商务技术评审结束后，主持人公布商务技术评审无效投标供应商名单和商务技术评审有效投标供应商名单及其商务技术得分情况。商务技术评审无效的供应商，其报价不再进入评审。</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lang w:eastAsia="zh-CN"/>
        </w:rPr>
        <w:t>）评审</w:t>
      </w:r>
      <w:r>
        <w:rPr>
          <w:rFonts w:hint="eastAsia" w:asciiTheme="minorEastAsia" w:hAnsiTheme="minorEastAsia" w:eastAsiaTheme="minorEastAsia" w:cstheme="minorEastAsia"/>
          <w:b w:val="0"/>
          <w:bCs/>
          <w:color w:val="auto"/>
          <w:sz w:val="24"/>
          <w:szCs w:val="24"/>
          <w:highlight w:val="none"/>
        </w:rPr>
        <w:t>结束后，由评标委员会对本次</w:t>
      </w:r>
      <w:r>
        <w:rPr>
          <w:rFonts w:hint="eastAsia" w:asciiTheme="minorEastAsia" w:hAnsiTheme="minorEastAsia" w:eastAsiaTheme="minorEastAsia" w:cstheme="minorEastAsia"/>
          <w:b w:val="0"/>
          <w:bCs/>
          <w:color w:val="auto"/>
          <w:sz w:val="24"/>
          <w:szCs w:val="24"/>
          <w:highlight w:val="none"/>
          <w:lang w:eastAsia="zh-CN"/>
        </w:rPr>
        <w:t>评审结果进行排名</w:t>
      </w:r>
      <w:r>
        <w:rPr>
          <w:rFonts w:hint="eastAsia" w:asciiTheme="minorEastAsia" w:hAnsiTheme="minorEastAsia" w:eastAsiaTheme="minorEastAsia" w:cstheme="minorEastAsia"/>
          <w:b w:val="0"/>
          <w:bCs/>
          <w:color w:val="auto"/>
          <w:sz w:val="24"/>
          <w:szCs w:val="24"/>
          <w:highlight w:val="none"/>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9</w:t>
      </w:r>
      <w:r>
        <w:rPr>
          <w:rFonts w:hint="eastAsia" w:asciiTheme="minorEastAsia" w:hAnsiTheme="minorEastAsia" w:eastAsiaTheme="minorEastAsia" w:cstheme="minorEastAsia"/>
          <w:b w:val="0"/>
          <w:bCs/>
          <w:color w:val="auto"/>
          <w:sz w:val="24"/>
          <w:szCs w:val="24"/>
          <w:highlight w:val="none"/>
        </w:rPr>
        <w:t>）评</w:t>
      </w:r>
      <w:r>
        <w:rPr>
          <w:rFonts w:hint="eastAsia" w:asciiTheme="minorEastAsia" w:hAnsiTheme="minorEastAsia" w:eastAsiaTheme="minorEastAsia" w:cstheme="minorEastAsia"/>
          <w:b w:val="0"/>
          <w:bCs/>
          <w:color w:val="auto"/>
          <w:sz w:val="24"/>
          <w:szCs w:val="24"/>
          <w:highlight w:val="none"/>
          <w:lang w:eastAsia="zh-CN"/>
        </w:rPr>
        <w:t>标</w:t>
      </w:r>
      <w:r>
        <w:rPr>
          <w:rFonts w:hint="eastAsia" w:asciiTheme="minorEastAsia" w:hAnsiTheme="minorEastAsia" w:eastAsiaTheme="minorEastAsia" w:cstheme="minorEastAsia"/>
          <w:b w:val="0"/>
          <w:bCs/>
          <w:color w:val="auto"/>
          <w:sz w:val="24"/>
          <w:szCs w:val="24"/>
          <w:highlight w:val="none"/>
        </w:rPr>
        <w:t>结束后，采购代理机构在系统上公布评审结果。</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特别情况说明：</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（1）本项目采用电子交易，如遇“新疆政府采购云平台”电子化开标或评审程序调整的，按调整后程序执行。</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（2）开标过程中需要相关当事人进行签字或盖章确认的材料将通过“政府采购云平台”进行，若因“政府采购云平台”技术问题无法进行签字或盖章确认的，</w:t>
      </w:r>
      <w:r>
        <w:rPr>
          <w:rFonts w:hint="eastAsia" w:asciiTheme="minorEastAsia" w:hAnsiTheme="minorEastAsia" w:eastAsiaTheme="minorEastAsia" w:cstheme="minorEastAsia"/>
          <w:b w:val="0"/>
          <w:bCs/>
          <w:color w:val="auto"/>
          <w:sz w:val="24"/>
          <w:szCs w:val="24"/>
          <w:highlight w:val="none"/>
          <w:lang w:eastAsia="zh-CN"/>
        </w:rPr>
        <w:t>采购代理机构</w:t>
      </w:r>
      <w:r>
        <w:rPr>
          <w:rFonts w:hint="eastAsia" w:asciiTheme="minorEastAsia" w:hAnsiTheme="minorEastAsia" w:eastAsiaTheme="minorEastAsia" w:cstheme="minorEastAsia"/>
          <w:b w:val="0"/>
          <w:bCs/>
          <w:color w:val="auto"/>
          <w:sz w:val="24"/>
          <w:szCs w:val="24"/>
          <w:highlight w:val="none"/>
        </w:rPr>
        <w:t>将通过电子邮件等形式予以确认，请供应商保证办理投标事宜人员电话畅通、网络在线，签字或盖章确认的时间为20分钟。如未及时签字或盖章确认的，视为无异议。</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.3 投标供应商资格审查：</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开标（标书信息开启）后，采购人首先依法对投标供应商的资格文件进行审查，审查各投标供应商的资格符合情况。采购人对投标供应商所提交的资格证明材料仅负审核的责任。如发现投标供应商所提交的资格证明材料不合法或与事实不符，由评标委员会决定是否取消其中标资格并追究投标供应商的法律责任。</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投标供应商提交的资格证明材料无法证明其符合招标文件规定的“投标供应商资格要求”的，采购人或采购代理机构将对其作“资格审查不合格”处理（无效投标），并不再将其投标提交评标委员会进行后续评审。</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（3）供应商信用记录查询与使用：见《供应商须知前附表》。</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17.4</w:t>
      </w:r>
      <w:r>
        <w:rPr>
          <w:rFonts w:hint="eastAsia" w:asciiTheme="minorEastAsia" w:hAnsiTheme="minorEastAsia" w:eastAsiaTheme="minorEastAsia" w:cstheme="minorEastAsia"/>
          <w:b w:val="0"/>
          <w:bCs/>
          <w:color w:val="auto"/>
          <w:sz w:val="24"/>
          <w:szCs w:val="24"/>
          <w:highlight w:val="none"/>
        </w:rPr>
        <w:t>评审工作的组织</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采购人或采购代理机构负责组织本项目的评审工作，并依据《政府采购货物和服务招标投标管理办法（财政部第87号令）》第四十五条的相关规定履行职责。</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17.5</w:t>
      </w:r>
      <w:r>
        <w:rPr>
          <w:rFonts w:hint="eastAsia" w:asciiTheme="minorEastAsia" w:hAnsiTheme="minorEastAsia" w:eastAsiaTheme="minorEastAsia" w:cstheme="minorEastAsia"/>
          <w:b w:val="0"/>
          <w:bCs/>
          <w:color w:val="auto"/>
          <w:sz w:val="24"/>
          <w:szCs w:val="24"/>
          <w:highlight w:val="none"/>
        </w:rPr>
        <w:t xml:space="preserve"> 评标委员会的组建</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评标委员会成员由政府采购云平台专家名册中随机抽取的专家</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人组成单数。评标委员会的成员在评标过程中</w:t>
      </w:r>
      <w:r>
        <w:rPr>
          <w:rFonts w:hint="eastAsia" w:asciiTheme="minorEastAsia" w:hAnsiTheme="minorEastAsia" w:eastAsiaTheme="minorEastAsia" w:cstheme="minorEastAsia"/>
          <w:b w:val="0"/>
          <w:bCs/>
          <w:color w:val="auto"/>
          <w:sz w:val="24"/>
          <w:szCs w:val="24"/>
          <w:highlight w:val="none"/>
          <w:lang w:val="zh-CN"/>
        </w:rPr>
        <w:t>必须严格遵守政府采购的有关规定</w:t>
      </w:r>
      <w:r>
        <w:rPr>
          <w:rFonts w:hint="eastAsia" w:asciiTheme="minorEastAsia" w:hAnsiTheme="minorEastAsia" w:eastAsiaTheme="minorEastAsia" w:cstheme="minorEastAsia"/>
          <w:b w:val="0"/>
          <w:bCs/>
          <w:color w:val="auto"/>
          <w:sz w:val="24"/>
          <w:szCs w:val="24"/>
          <w:highlight w:val="none"/>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评标委员会根据招标文件的规定，进行投标文件的评审、得出评标结果，并向招标人推荐中标候选人。</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投标文件的初审</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.1 资格性检查：依据法律法规和招标文件的规定，对投标文件中的资格证明、投标保证金等进行审查，以确定投标人是否具备投标资格。</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.2 符合性检查：依据招标文件的规定，从投标文件的有效性、完整性和对招标文件的响应程度进行审查，以确定是否对招标文件的实质性要求作出响应。</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bookmarkStart w:id="2" w:name="_Hlk35577959"/>
      <w:bookmarkStart w:id="3" w:name="_Hlk35577960"/>
      <w:bookmarkStart w:id="4" w:name="_Hlk35577961"/>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.3对投标文件的比较</w:t>
      </w:r>
      <w:bookmarkEnd w:id="2"/>
      <w:bookmarkEnd w:id="3"/>
      <w:bookmarkEnd w:id="4"/>
      <w:r>
        <w:rPr>
          <w:rFonts w:hint="eastAsia" w:asciiTheme="minorEastAsia" w:hAnsiTheme="minorEastAsia" w:eastAsiaTheme="minorEastAsia" w:cstheme="minorEastAsia"/>
          <w:b w:val="0"/>
          <w:bCs/>
          <w:color w:val="auto"/>
          <w:sz w:val="24"/>
          <w:szCs w:val="24"/>
          <w:highlight w:val="none"/>
        </w:rPr>
        <w:t>和评价</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.4评标委员会将按招标文件中规定的评标方法和标准，对资格性检查和符合性检查合格的投标文件进行评估与评价。</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bookmarkStart w:id="5" w:name="_Hlk35586141"/>
      <w:bookmarkStart w:id="6" w:name="_Hlk35586143"/>
      <w:bookmarkStart w:id="7" w:name="_Hlk35586142"/>
      <w:r>
        <w:rPr>
          <w:rFonts w:hint="eastAsia" w:asciiTheme="minorEastAsia" w:hAnsiTheme="minorEastAsia" w:eastAsiaTheme="minorEastAsia" w:cstheme="minorEastAsia"/>
          <w:b w:val="0"/>
          <w:bCs/>
          <w:color w:val="auto"/>
          <w:sz w:val="24"/>
          <w:szCs w:val="24"/>
          <w:highlight w:val="none"/>
          <w:lang w:val="en-US" w:eastAsia="zh-CN"/>
        </w:rPr>
        <w:t>17.9</w:t>
      </w:r>
      <w:r>
        <w:rPr>
          <w:rFonts w:hint="eastAsia" w:asciiTheme="minorEastAsia" w:hAnsiTheme="minorEastAsia" w:eastAsiaTheme="minorEastAsia" w:cstheme="minorEastAsia"/>
          <w:b w:val="0"/>
          <w:bCs/>
          <w:color w:val="auto"/>
          <w:sz w:val="24"/>
          <w:szCs w:val="24"/>
          <w:highlight w:val="none"/>
        </w:rPr>
        <w:t>评标原则及方法</w:t>
      </w:r>
      <w:bookmarkEnd w:id="5"/>
      <w:bookmarkEnd w:id="6"/>
      <w:bookmarkEnd w:id="7"/>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17.9</w:t>
      </w:r>
      <w:r>
        <w:rPr>
          <w:rFonts w:hint="eastAsia" w:asciiTheme="minorEastAsia" w:hAnsiTheme="minorEastAsia" w:eastAsiaTheme="minorEastAsia" w:cstheme="minorEastAsia"/>
          <w:b w:val="0"/>
          <w:bCs/>
          <w:color w:val="auto"/>
          <w:sz w:val="24"/>
          <w:szCs w:val="24"/>
          <w:highlight w:val="none"/>
        </w:rPr>
        <w:t>.1评标采用综合评分法</w:t>
      </w:r>
    </w:p>
    <w:p>
      <w:pPr>
        <w:keepNext w:val="0"/>
        <w:keepLines w:val="0"/>
        <w:pageBreakBefore w:val="0"/>
        <w:kinsoku/>
        <w:wordWrap/>
        <w:topLinePunct w:val="0"/>
        <w:bidi w:val="0"/>
        <w:adjustRightInd w:val="0"/>
        <w:snapToGrid w:val="0"/>
        <w:spacing w:line="490" w:lineRule="exact"/>
        <w:ind w:firstLine="480" w:firstLineChars="200"/>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17.9</w:t>
      </w:r>
      <w:r>
        <w:rPr>
          <w:rFonts w:hint="eastAsia" w:asciiTheme="minorEastAsia" w:hAnsiTheme="minorEastAsia" w:eastAsiaTheme="minorEastAsia" w:cstheme="minorEastAsia"/>
          <w:b w:val="0"/>
          <w:bCs/>
          <w:color w:val="auto"/>
          <w:sz w:val="24"/>
          <w:szCs w:val="24"/>
          <w:highlight w:val="none"/>
        </w:rPr>
        <w:t>.2评标原则</w:t>
      </w:r>
    </w:p>
    <w:p>
      <w:pPr>
        <w:keepNext w:val="0"/>
        <w:keepLines w:val="0"/>
        <w:pageBreakBefore w:val="0"/>
        <w:kinsoku/>
        <w:wordWrap/>
        <w:topLinePunct w:val="0"/>
        <w:bidi w:val="0"/>
        <w:adjustRightInd w:val="0"/>
        <w:snapToGrid w:val="0"/>
        <w:spacing w:line="490" w:lineRule="exact"/>
        <w:ind w:firstLine="480" w:firstLineChars="200"/>
        <w:outlineLvl w:val="9"/>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17.9.2.1 </w:t>
      </w:r>
      <w:r>
        <w:rPr>
          <w:rFonts w:hint="eastAsia" w:ascii="宋体" w:hAnsi="宋体" w:eastAsia="宋体" w:cs="宋体"/>
          <w:color w:val="auto"/>
          <w:sz w:val="24"/>
          <w:szCs w:val="24"/>
          <w:highlight w:val="none"/>
        </w:rPr>
        <w:t>竞争优选；</w:t>
      </w:r>
    </w:p>
    <w:p>
      <w:pPr>
        <w:keepNext w:val="0"/>
        <w:keepLines w:val="0"/>
        <w:pageBreakBefore w:val="0"/>
        <w:kinsoku/>
        <w:wordWrap/>
        <w:topLinePunct w:val="0"/>
        <w:bidi w:val="0"/>
        <w:adjustRightInd w:val="0"/>
        <w:snapToGrid w:val="0"/>
        <w:spacing w:line="490" w:lineRule="exact"/>
        <w:ind w:firstLine="480" w:firstLineChars="200"/>
        <w:outlineLvl w:val="9"/>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17.9.2.2 </w:t>
      </w:r>
      <w:r>
        <w:rPr>
          <w:rFonts w:hint="eastAsia" w:ascii="宋体" w:hAnsi="宋体" w:eastAsia="宋体" w:cs="宋体"/>
          <w:color w:val="auto"/>
          <w:sz w:val="24"/>
          <w:szCs w:val="24"/>
          <w:highlight w:val="none"/>
        </w:rPr>
        <w:t>公平公正科学合理；</w:t>
      </w:r>
    </w:p>
    <w:p>
      <w:pPr>
        <w:keepNext w:val="0"/>
        <w:keepLines w:val="0"/>
        <w:pageBreakBefore w:val="0"/>
        <w:kinsoku/>
        <w:wordWrap/>
        <w:topLinePunct w:val="0"/>
        <w:bidi w:val="0"/>
        <w:adjustRightInd w:val="0"/>
        <w:snapToGrid w:val="0"/>
        <w:spacing w:line="490" w:lineRule="exact"/>
        <w:ind w:firstLine="480" w:firstLineChars="200"/>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17.9.2.3</w:t>
      </w: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sz w:val="24"/>
          <w:szCs w:val="24"/>
          <w:highlight w:val="none"/>
        </w:rPr>
        <w:t>规范性与灵活性相结合。</w:t>
      </w:r>
      <w:r>
        <w:rPr>
          <w:rFonts w:hint="eastAsia" w:asciiTheme="minorEastAsia" w:hAnsiTheme="minorEastAsia" w:eastAsiaTheme="minorEastAsia" w:cstheme="minorEastAsia"/>
          <w:b w:val="0"/>
          <w:bCs/>
          <w:color w:val="auto"/>
          <w:sz w:val="24"/>
          <w:szCs w:val="24"/>
          <w:highlight w:val="none"/>
        </w:rPr>
        <w:t xml:space="preserve"> </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18</w:t>
      </w:r>
      <w:r>
        <w:rPr>
          <w:rFonts w:hint="eastAsia" w:asciiTheme="minorEastAsia" w:hAnsiTheme="minorEastAsia" w:eastAsiaTheme="minorEastAsia" w:cstheme="minorEastAsia"/>
          <w:b/>
          <w:bCs w:val="0"/>
          <w:color w:val="auto"/>
          <w:sz w:val="24"/>
          <w:szCs w:val="24"/>
          <w:highlight w:val="none"/>
        </w:rPr>
        <w:t>. 评委纪律</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评标委员会成员必须严格遵守保密规定，不得泄露评审的有关情况，任何单位和个人不得干扰、影响评标的正常进行，评标委员会成员不得私下与投标供应商接触。</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19.评标程序</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19</w:t>
      </w:r>
      <w:r>
        <w:rPr>
          <w:rFonts w:hint="eastAsia" w:asciiTheme="minorEastAsia" w:hAnsiTheme="minorEastAsia" w:eastAsiaTheme="minorEastAsia" w:cstheme="minorEastAsia"/>
          <w:b w:val="0"/>
          <w:bCs/>
          <w:color w:val="auto"/>
          <w:sz w:val="24"/>
          <w:szCs w:val="24"/>
          <w:highlight w:val="none"/>
        </w:rPr>
        <w:t>.1在评审专家中推选评标委员会组长，采购人代表不得担任评标委员会组长。</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19.</w:t>
      </w:r>
      <w:r>
        <w:rPr>
          <w:rFonts w:hint="eastAsia" w:asciiTheme="minorEastAsia" w:hAnsiTheme="minorEastAsia" w:eastAsiaTheme="minorEastAsia" w:cstheme="minorEastAsia"/>
          <w:b w:val="0"/>
          <w:bCs/>
          <w:color w:val="auto"/>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19.</w:t>
      </w:r>
      <w:r>
        <w:rPr>
          <w:rFonts w:hint="eastAsia" w:asciiTheme="minorEastAsia" w:hAnsiTheme="minorEastAsia" w:eastAsiaTheme="minorEastAsia" w:cstheme="minorEastAsia"/>
          <w:b w:val="0"/>
          <w:bCs/>
          <w:color w:val="auto"/>
          <w:sz w:val="24"/>
          <w:szCs w:val="24"/>
          <w:highlight w:val="none"/>
        </w:rPr>
        <w:t>3 评审人员对符合资格的供应商的投标文件的有效性、符合性、完整性和响应程度进行审查，确定是否对采购文件作出实质性响应。</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19.</w:t>
      </w:r>
      <w:r>
        <w:rPr>
          <w:rFonts w:hint="eastAsia" w:asciiTheme="minorEastAsia" w:hAnsiTheme="minorEastAsia" w:eastAsiaTheme="minorEastAsia" w:cstheme="minorEastAsia"/>
          <w:b w:val="0"/>
          <w:bCs/>
          <w:color w:val="auto"/>
          <w:sz w:val="24"/>
          <w:szCs w:val="24"/>
          <w:highlight w:val="none"/>
        </w:rPr>
        <w:t>4 评审人员按采购文件规定的评审方法和评审标准，依法独立对供应商投标文件进行评估、比较，并给予评价或打分，不受任何单位和个人的干预。</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20.评审小组</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20.</w:t>
      </w:r>
      <w:r>
        <w:rPr>
          <w:rFonts w:hint="eastAsia" w:asciiTheme="minorEastAsia" w:hAnsiTheme="minorEastAsia" w:eastAsiaTheme="minorEastAsia" w:cstheme="minorEastAsia"/>
          <w:b w:val="0"/>
          <w:bCs/>
          <w:color w:val="auto"/>
          <w:sz w:val="24"/>
          <w:szCs w:val="24"/>
          <w:highlight w:val="none"/>
        </w:rPr>
        <w:t>1采购方将根据《中华人民共和国政府采购法》等有关法规的规定，依法组建本次采购项目的评审小组</w:t>
      </w:r>
      <w:r>
        <w:rPr>
          <w:rFonts w:hint="eastAsia" w:asciiTheme="minorEastAsia" w:hAnsiTheme="minorEastAsia" w:eastAsiaTheme="minorEastAsia" w:cstheme="minorEastAsia"/>
          <w:b w:val="0"/>
          <w:bCs/>
          <w:color w:val="auto"/>
          <w:sz w:val="24"/>
          <w:szCs w:val="24"/>
          <w:highlight w:val="none"/>
          <w:lang w:eastAsia="zh-CN"/>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w:t>
      </w:r>
      <w:r>
        <w:rPr>
          <w:rFonts w:hint="eastAsia" w:asciiTheme="minorEastAsia" w:hAnsiTheme="minorEastAsia" w:eastAsiaTheme="minorEastAsia" w:cstheme="minorEastAsia"/>
          <w:b w:val="0"/>
          <w:bCs/>
          <w:color w:val="auto"/>
          <w:sz w:val="24"/>
          <w:szCs w:val="24"/>
          <w:highlight w:val="none"/>
        </w:rPr>
        <w:t>2 评审小组人选于投标文件开启前确定。评审小组成员名单在中标结果确定前保密。</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w:t>
      </w:r>
      <w:r>
        <w:rPr>
          <w:rFonts w:hint="eastAsia" w:asciiTheme="minorEastAsia" w:hAnsiTheme="minorEastAsia" w:eastAsiaTheme="minorEastAsia" w:cstheme="minorEastAsia"/>
          <w:b w:val="0"/>
          <w:bCs/>
          <w:color w:val="auto"/>
          <w:sz w:val="24"/>
          <w:szCs w:val="24"/>
          <w:highlight w:val="none"/>
        </w:rPr>
        <w:t>3 评审小组有关技术、经济等方面的专家和采购人熟悉相关业务的代表人员组成，成员为五人以上的单数，其中技术、经济等方面的成员人数不少于成员总数的三分之二。</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w:t>
      </w:r>
      <w:r>
        <w:rPr>
          <w:rFonts w:hint="eastAsia" w:asciiTheme="minorEastAsia" w:hAnsiTheme="minorEastAsia" w:eastAsiaTheme="minorEastAsia" w:cstheme="minorEastAsia"/>
          <w:b w:val="0"/>
          <w:bCs/>
          <w:color w:val="auto"/>
          <w:sz w:val="24"/>
          <w:szCs w:val="24"/>
          <w:highlight w:val="none"/>
        </w:rPr>
        <w:t>4 按前款规定，评审小组的成员，由采购方从政府采购专家库中采取随机抽取的方式确定。对于技术复杂、专业性要求较高或者国家有特殊要求的采购项目，采取随机抽取的方式抽取的专家不能满足招标工作需要时，将采取直接确定的方式选定招标小组的人选。</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w:t>
      </w:r>
      <w:r>
        <w:rPr>
          <w:rFonts w:hint="eastAsia" w:asciiTheme="minorEastAsia" w:hAnsiTheme="minorEastAsia" w:eastAsiaTheme="minorEastAsia" w:cstheme="minorEastAsia"/>
          <w:b w:val="0"/>
          <w:bCs/>
          <w:color w:val="auto"/>
          <w:sz w:val="24"/>
          <w:szCs w:val="24"/>
          <w:highlight w:val="none"/>
        </w:rPr>
        <w:t>5评审小组成员遵循法定的回避规定。</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w:t>
      </w:r>
      <w:r>
        <w:rPr>
          <w:rFonts w:hint="eastAsia" w:asciiTheme="minorEastAsia" w:hAnsiTheme="minorEastAsia" w:eastAsiaTheme="minorEastAsia" w:cstheme="minorEastAsia"/>
          <w:b w:val="0"/>
          <w:bCs/>
          <w:color w:val="auto"/>
          <w:sz w:val="24"/>
          <w:szCs w:val="24"/>
          <w:highlight w:val="none"/>
        </w:rPr>
        <w:t>6 评标专家应符合下列条件：</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（1）具有良好的职业道德,廉洁自律,遵纪守法,无行贿、受贿、欺诈等不良信用记录</w:t>
      </w:r>
      <w:r>
        <w:rPr>
          <w:rFonts w:hint="eastAsia" w:asciiTheme="minorEastAsia" w:hAnsiTheme="minorEastAsia" w:eastAsiaTheme="minorEastAsia" w:cstheme="minorEastAsia"/>
          <w:b w:val="0"/>
          <w:bCs/>
          <w:color w:val="auto"/>
          <w:sz w:val="24"/>
          <w:szCs w:val="24"/>
          <w:highlight w:val="none"/>
          <w:lang w:eastAsia="zh-CN"/>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（2）具有中级专业技术职称或同等专业水平且从事相关领域工作满 8 年,或者具有高级专业技术职称或同等专业水平</w:t>
      </w:r>
      <w:r>
        <w:rPr>
          <w:rFonts w:hint="eastAsia" w:asciiTheme="minorEastAsia" w:hAnsiTheme="minorEastAsia" w:eastAsiaTheme="minorEastAsia" w:cstheme="minorEastAsia"/>
          <w:b w:val="0"/>
          <w:bCs/>
          <w:color w:val="auto"/>
          <w:sz w:val="24"/>
          <w:szCs w:val="24"/>
          <w:highlight w:val="none"/>
          <w:lang w:eastAsia="zh-CN"/>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（3）熟悉政府采购相关政策法规</w:t>
      </w:r>
      <w:r>
        <w:rPr>
          <w:rFonts w:hint="eastAsia" w:asciiTheme="minorEastAsia" w:hAnsiTheme="minorEastAsia" w:eastAsiaTheme="minorEastAsia" w:cstheme="minorEastAsia"/>
          <w:b w:val="0"/>
          <w:bCs/>
          <w:color w:val="auto"/>
          <w:sz w:val="24"/>
          <w:szCs w:val="24"/>
          <w:highlight w:val="none"/>
          <w:lang w:eastAsia="zh-CN"/>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（4）承诺以独立身份参加评审工作,依法履行评审专家工作职责并承担相应法律责任的中国公民</w:t>
      </w:r>
      <w:r>
        <w:rPr>
          <w:rFonts w:hint="eastAsia" w:asciiTheme="minorEastAsia" w:hAnsiTheme="minorEastAsia" w:eastAsiaTheme="minorEastAsia" w:cstheme="minorEastAsia"/>
          <w:b w:val="0"/>
          <w:bCs/>
          <w:color w:val="auto"/>
          <w:sz w:val="24"/>
          <w:szCs w:val="24"/>
          <w:highlight w:val="none"/>
          <w:lang w:eastAsia="zh-CN"/>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）申请成为评审专家前三年内,无不良行为记录。</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20.7</w:t>
      </w:r>
      <w:r>
        <w:rPr>
          <w:rFonts w:hint="eastAsia" w:asciiTheme="minorEastAsia" w:hAnsiTheme="minorEastAsia" w:eastAsiaTheme="minorEastAsia" w:cstheme="minorEastAsia"/>
          <w:b w:val="0"/>
          <w:bCs/>
          <w:color w:val="auto"/>
          <w:sz w:val="24"/>
          <w:szCs w:val="24"/>
          <w:highlight w:val="none"/>
        </w:rPr>
        <w:t>有下列情形之一的，不得担任评标委员会成员：</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（1）与投标方或者投标方主要负责人有近亲关系的；</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（2）与项目主管部门或者行政监督部门的人员有近亲关系的；</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（3）与投标人有经济利益关系，可能影响对投标公正评审的；</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（4）曾因在招标、评标以及其他与招标投标有关活动中从事违法行为而受过行政处罚或刑事处罚的。</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20.8</w:t>
      </w:r>
      <w:r>
        <w:rPr>
          <w:rFonts w:hint="eastAsia" w:asciiTheme="minorEastAsia" w:hAnsiTheme="minorEastAsia" w:eastAsiaTheme="minorEastAsia" w:cstheme="minorEastAsia"/>
          <w:b w:val="0"/>
          <w:bCs/>
          <w:color w:val="auto"/>
          <w:sz w:val="24"/>
          <w:szCs w:val="24"/>
          <w:highlight w:val="none"/>
        </w:rPr>
        <w:t>评标委员会成员与参加采购活动的投标人存在下列利害关系之一的,应当回避:</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（1）参加采购活动前三年内,与投标供应商存在劳动关系,或者担任过投标供应商的董事、监事,或者是投标供应商的控股股东或实际控制人</w:t>
      </w:r>
      <w:r>
        <w:rPr>
          <w:rFonts w:hint="eastAsia" w:asciiTheme="minorEastAsia" w:hAnsiTheme="minorEastAsia" w:eastAsiaTheme="minorEastAsia" w:cstheme="minorEastAsia"/>
          <w:b w:val="0"/>
          <w:bCs/>
          <w:color w:val="auto"/>
          <w:sz w:val="24"/>
          <w:szCs w:val="24"/>
          <w:highlight w:val="none"/>
          <w:lang w:eastAsia="zh-CN"/>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（2）与投标供应商的法定代表人或者负责人有夫妻、直系血亲、三代以内旁系血亲或者近姻亲关系</w:t>
      </w:r>
      <w:r>
        <w:rPr>
          <w:rFonts w:hint="eastAsia" w:asciiTheme="minorEastAsia" w:hAnsiTheme="minorEastAsia" w:eastAsiaTheme="minorEastAsia" w:cstheme="minorEastAsia"/>
          <w:b w:val="0"/>
          <w:bCs/>
          <w:color w:val="auto"/>
          <w:sz w:val="24"/>
          <w:szCs w:val="24"/>
          <w:highlight w:val="none"/>
          <w:lang w:eastAsia="zh-CN"/>
        </w:rPr>
        <w:t>；</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（3）与投标供应商有其他可能影响政府采购活动公平、公正进行的关系。</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评审专家发现本人与参加采购活动的投标人有利害关系的,应当主动提出回避。采购人或者招标方发现评审专家与参加采购活动的供应商有利害关系的,将要求其回避。</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w:t>
      </w:r>
      <w:r>
        <w:rPr>
          <w:rFonts w:hint="eastAsia" w:asciiTheme="minorEastAsia" w:hAnsiTheme="minorEastAsia" w:eastAsiaTheme="minorEastAsia" w:cstheme="minorEastAsia"/>
          <w:b w:val="0"/>
          <w:bCs/>
          <w:color w:val="auto"/>
          <w:sz w:val="24"/>
          <w:szCs w:val="24"/>
          <w:highlight w:val="none"/>
        </w:rPr>
        <w:t xml:space="preserve"> 评标委员会成员应当熟悉招标文件及以下内容：</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20.9.1</w:t>
      </w:r>
      <w:r>
        <w:rPr>
          <w:rFonts w:hint="eastAsia" w:asciiTheme="minorEastAsia" w:hAnsiTheme="minorEastAsia" w:eastAsiaTheme="minorEastAsia" w:cstheme="minorEastAsia"/>
          <w:b w:val="0"/>
          <w:bCs/>
          <w:color w:val="auto"/>
          <w:sz w:val="24"/>
          <w:szCs w:val="24"/>
          <w:highlight w:val="none"/>
        </w:rPr>
        <w:t xml:space="preserve"> 招标目的。</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20.9.2</w:t>
      </w:r>
      <w:r>
        <w:rPr>
          <w:rFonts w:hint="eastAsia" w:asciiTheme="minorEastAsia" w:hAnsiTheme="minorEastAsia" w:eastAsiaTheme="minorEastAsia" w:cstheme="minorEastAsia"/>
          <w:b w:val="0"/>
          <w:bCs/>
          <w:color w:val="auto"/>
          <w:sz w:val="24"/>
          <w:szCs w:val="24"/>
          <w:highlight w:val="none"/>
        </w:rPr>
        <w:t xml:space="preserve"> 招标项目的范围、性质。</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20.9.3</w:t>
      </w:r>
      <w:r>
        <w:rPr>
          <w:rFonts w:hint="eastAsia" w:asciiTheme="minorEastAsia" w:hAnsiTheme="minorEastAsia" w:eastAsiaTheme="minorEastAsia" w:cstheme="minorEastAsia"/>
          <w:b w:val="0"/>
          <w:bCs/>
          <w:color w:val="auto"/>
          <w:sz w:val="24"/>
          <w:szCs w:val="24"/>
          <w:highlight w:val="none"/>
        </w:rPr>
        <w:t>招标文件中规定的主要技术要求、标准和商务条款。</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20.9.4</w:t>
      </w:r>
      <w:r>
        <w:rPr>
          <w:rFonts w:hint="eastAsia" w:asciiTheme="minorEastAsia" w:hAnsiTheme="minorEastAsia" w:eastAsiaTheme="minorEastAsia" w:cstheme="minorEastAsia"/>
          <w:b w:val="0"/>
          <w:bCs/>
          <w:color w:val="auto"/>
          <w:sz w:val="24"/>
          <w:szCs w:val="24"/>
          <w:highlight w:val="none"/>
        </w:rPr>
        <w:t>招标文件规定的评标标准、评标方法和在评标过程中应考虑的相关因素。</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20.9.5</w:t>
      </w:r>
      <w:r>
        <w:rPr>
          <w:rFonts w:hint="eastAsia" w:asciiTheme="minorEastAsia" w:hAnsiTheme="minorEastAsia" w:eastAsiaTheme="minorEastAsia" w:cstheme="minorEastAsia"/>
          <w:b w:val="0"/>
          <w:bCs/>
          <w:color w:val="auto"/>
          <w:sz w:val="24"/>
          <w:szCs w:val="24"/>
          <w:highlight w:val="none"/>
        </w:rPr>
        <w:t>招标人将向评标委员会提供评标所需的信息和数据。</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20.9.6</w:t>
      </w:r>
      <w:r>
        <w:rPr>
          <w:rFonts w:hint="eastAsia" w:asciiTheme="minorEastAsia" w:hAnsiTheme="minorEastAsia" w:eastAsiaTheme="minorEastAsia" w:cstheme="minorEastAsia"/>
          <w:b w:val="0"/>
          <w:bCs/>
          <w:color w:val="auto"/>
          <w:sz w:val="24"/>
          <w:szCs w:val="24"/>
          <w:highlight w:val="none"/>
        </w:rPr>
        <w:t>评标委员会应当根据招标文件规定的评标标准和方法，对投标文件进行评审和比较。招标文件中没有规定的标准和方法不得作为评标的依据。</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20.9.7</w:t>
      </w:r>
      <w:r>
        <w:rPr>
          <w:rFonts w:hint="eastAsia" w:asciiTheme="minorEastAsia" w:hAnsiTheme="minorEastAsia" w:eastAsiaTheme="minorEastAsia" w:cstheme="minorEastAsia"/>
          <w:b w:val="0"/>
          <w:bCs/>
          <w:color w:val="auto"/>
          <w:sz w:val="24"/>
          <w:szCs w:val="24"/>
          <w:highlight w:val="none"/>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20.9.8</w:t>
      </w:r>
      <w:r>
        <w:rPr>
          <w:rFonts w:hint="eastAsia" w:asciiTheme="minorEastAsia" w:hAnsiTheme="minorEastAsia" w:eastAsiaTheme="minorEastAsia" w:cstheme="minorEastAsia"/>
          <w:b w:val="0"/>
          <w:bCs/>
          <w:color w:val="auto"/>
          <w:sz w:val="24"/>
          <w:szCs w:val="24"/>
          <w:highlight w:val="none"/>
        </w:rPr>
        <w:t>评标委员会成员和与本项目评标活动有关的工作人员，不得透露对投标文件的评审和比较、中标候选人的推荐情况以及与评标有关的其他情况。</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20.9.9</w:t>
      </w:r>
      <w:r>
        <w:rPr>
          <w:rFonts w:hint="eastAsia" w:asciiTheme="minorEastAsia" w:hAnsiTheme="minorEastAsia" w:eastAsiaTheme="minorEastAsia" w:cstheme="minorEastAsia"/>
          <w:b w:val="0"/>
          <w:bCs/>
          <w:color w:val="auto"/>
          <w:sz w:val="24"/>
          <w:szCs w:val="24"/>
          <w:highlight w:val="none"/>
        </w:rPr>
        <w:t>与评标活动有关的工作人员，是指评标委员会成员以外的、因参与评标监督工作或者事务性工作而知悉有关评标情况的所有人员。</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21、监督</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21</w:t>
      </w:r>
      <w:r>
        <w:rPr>
          <w:rFonts w:hint="eastAsia" w:asciiTheme="minorEastAsia" w:hAnsiTheme="minorEastAsia" w:eastAsiaTheme="minorEastAsia" w:cstheme="minorEastAsia"/>
          <w:b w:val="0"/>
          <w:bCs/>
          <w:color w:val="auto"/>
          <w:sz w:val="24"/>
          <w:szCs w:val="24"/>
          <w:highlight w:val="none"/>
        </w:rPr>
        <w:t>.1  采购人邀请相关行业主管部门及资金管理部门组建监督小组，监督小组对开标、评标、定标的全过程依法进行监督，若在开标过程中发现投标方相互之间有串</w:t>
      </w:r>
      <w:r>
        <w:rPr>
          <w:rFonts w:hint="eastAsia" w:asciiTheme="minorEastAsia" w:hAnsiTheme="minorEastAsia" w:eastAsiaTheme="minorEastAsia" w:cstheme="minorEastAsia"/>
          <w:b w:val="0"/>
          <w:bCs/>
          <w:color w:val="auto"/>
          <w:sz w:val="24"/>
          <w:szCs w:val="24"/>
          <w:highlight w:val="none"/>
          <w:lang w:eastAsia="zh-CN"/>
        </w:rPr>
        <w:t>标</w:t>
      </w:r>
      <w:r>
        <w:rPr>
          <w:rFonts w:hint="eastAsia" w:asciiTheme="minorEastAsia" w:hAnsiTheme="minorEastAsia" w:eastAsiaTheme="minorEastAsia" w:cstheme="minorEastAsia"/>
          <w:b w:val="0"/>
          <w:bCs/>
          <w:color w:val="auto"/>
          <w:sz w:val="24"/>
          <w:szCs w:val="24"/>
          <w:highlight w:val="none"/>
        </w:rPr>
        <w:t>等违法违规行为，因及时告知采购方、采购机构。采购方、采购机构及监督人员有权取消报价方投标资格，拒绝其投标，不满足开标条件的，不得开标。</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21</w:t>
      </w:r>
      <w:r>
        <w:rPr>
          <w:rFonts w:hint="eastAsia" w:asciiTheme="minorEastAsia" w:hAnsiTheme="minorEastAsia" w:eastAsiaTheme="minorEastAsia" w:cstheme="minorEastAsia"/>
          <w:b w:val="0"/>
          <w:bCs/>
          <w:color w:val="auto"/>
          <w:sz w:val="24"/>
          <w:szCs w:val="24"/>
          <w:highlight w:val="none"/>
        </w:rPr>
        <w:t>.2  监督小组成员遵循法定的回避规定。</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21</w:t>
      </w:r>
      <w:r>
        <w:rPr>
          <w:rFonts w:hint="eastAsia" w:asciiTheme="minorEastAsia" w:hAnsiTheme="minorEastAsia" w:eastAsiaTheme="minorEastAsia" w:cstheme="minorEastAsia"/>
          <w:b w:val="0"/>
          <w:bCs/>
          <w:color w:val="auto"/>
          <w:sz w:val="24"/>
          <w:szCs w:val="24"/>
          <w:highlight w:val="none"/>
        </w:rPr>
        <w:t>.3  遵纪守法，客观、公正、廉洁地履行职责。</w:t>
      </w:r>
    </w:p>
    <w:p>
      <w:pPr>
        <w:pStyle w:val="36"/>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21</w:t>
      </w:r>
      <w:r>
        <w:rPr>
          <w:rFonts w:hint="eastAsia" w:asciiTheme="minorEastAsia" w:hAnsiTheme="minorEastAsia" w:eastAsiaTheme="minorEastAsia" w:cstheme="minorEastAsia"/>
          <w:b w:val="0"/>
          <w:bCs/>
          <w:color w:val="auto"/>
          <w:sz w:val="24"/>
          <w:szCs w:val="24"/>
          <w:highlight w:val="none"/>
        </w:rPr>
        <w:t>.4  配合采购方答复报价方提出的质疑；配合财政部门的投诉处理和监督检查工作。</w:t>
      </w:r>
    </w:p>
    <w:p>
      <w:pPr>
        <w:pStyle w:val="36"/>
        <w:spacing w:line="440" w:lineRule="exact"/>
        <w:ind w:left="0" w:leftChars="0" w:firstLine="0" w:firstLineChars="0"/>
        <w:rPr>
          <w:rFonts w:hint="eastAsia" w:asciiTheme="minorEastAsia" w:hAnsiTheme="minorEastAsia" w:eastAsiaTheme="minorEastAsia" w:cstheme="minorEastAsia"/>
          <w:b/>
          <w:color w:val="auto"/>
          <w:sz w:val="32"/>
          <w:szCs w:val="32"/>
          <w:highlight w:val="none"/>
        </w:rPr>
      </w:pPr>
    </w:p>
    <w:p>
      <w:pPr>
        <w:pStyle w:val="36"/>
        <w:spacing w:line="440" w:lineRule="exact"/>
        <w:ind w:firstLine="3534" w:firstLineChars="11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六、定 标</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、中标人的确定</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.1 评标委员会</w:t>
      </w:r>
      <w:r>
        <w:rPr>
          <w:rFonts w:hint="eastAsia" w:ascii="宋体" w:hAnsi="宋体" w:eastAsia="宋体" w:cs="宋体"/>
          <w:color w:val="auto"/>
          <w:kern w:val="0"/>
          <w:sz w:val="24"/>
          <w:szCs w:val="24"/>
          <w:highlight w:val="none"/>
        </w:rPr>
        <w:t>按照评审得分由高到低顺序推荐</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候选</w:t>
      </w:r>
      <w:r>
        <w:rPr>
          <w:rFonts w:hint="eastAsia" w:ascii="宋体" w:hAnsi="宋体" w:eastAsia="宋体" w:cs="宋体"/>
          <w:color w:val="auto"/>
          <w:kern w:val="0"/>
          <w:sz w:val="24"/>
          <w:szCs w:val="24"/>
          <w:highlight w:val="none"/>
          <w:lang w:eastAsia="zh-CN"/>
        </w:rPr>
        <w:t>人</w:t>
      </w:r>
      <w:r>
        <w:rPr>
          <w:rFonts w:hint="eastAsia" w:asciiTheme="minorEastAsia" w:hAnsiTheme="minorEastAsia" w:eastAsiaTheme="minorEastAsia" w:cstheme="minorEastAsia"/>
          <w:color w:val="auto"/>
          <w:sz w:val="24"/>
          <w:szCs w:val="24"/>
          <w:highlight w:val="none"/>
        </w:rPr>
        <w:t>，如果两个投标人得分相同时，取投标报价低的。得分且投标报价相同的，由</w:t>
      </w:r>
      <w:r>
        <w:rPr>
          <w:rFonts w:hint="eastAsia" w:asciiTheme="minorEastAsia" w:hAnsiTheme="minorEastAsia" w:eastAsiaTheme="minorEastAsia" w:cstheme="minorEastAsia"/>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rPr>
        <w:t>按照少数服从多数原则现场投票表决或现场随机抽取确定排序。</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应根据评标委员会的评审结果和国家有关规定确定中标人</w:t>
      </w:r>
      <w:r>
        <w:rPr>
          <w:rFonts w:hint="eastAsia" w:asciiTheme="minorEastAsia" w:hAnsiTheme="minorEastAsia" w:eastAsiaTheme="minorEastAsia" w:cstheme="minorEastAsia"/>
          <w:color w:val="auto"/>
          <w:sz w:val="24"/>
          <w:szCs w:val="24"/>
          <w:highlight w:val="none"/>
          <w:lang w:eastAsia="zh-CN"/>
        </w:rPr>
        <w:t>。采购人在收到评标报告5个工作日内未按评标报告推荐的中标候选人顺序确定中标人，又不能说明合法理由的，视同按评标报告推荐的顺序确定排名第一的中标候选人为中标人。</w:t>
      </w:r>
    </w:p>
    <w:p>
      <w:pPr>
        <w:pStyle w:val="36"/>
        <w:keepNext w:val="0"/>
        <w:keepLines w:val="0"/>
        <w:pageBreakBefore w:val="0"/>
        <w:widowControl w:val="0"/>
        <w:kinsoku/>
        <w:wordWrap/>
        <w:overflowPunct/>
        <w:topLinePunct w:val="0"/>
        <w:autoSpaceDE/>
        <w:autoSpaceDN/>
        <w:bidi w:val="0"/>
        <w:adjustRightInd/>
        <w:spacing w:line="460" w:lineRule="exact"/>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、中标通知书</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szCs w:val="24"/>
          <w:highlight w:val="none"/>
        </w:rPr>
        <w:t>在投标有效期内，中标人确定后，由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签发经核准的中标通知书。</w:t>
      </w:r>
    </w:p>
    <w:p>
      <w:pPr>
        <w:pStyle w:val="36"/>
        <w:keepNext w:val="0"/>
        <w:keepLines w:val="0"/>
        <w:pageBreakBefore w:val="0"/>
        <w:widowControl w:val="0"/>
        <w:kinsoku/>
        <w:wordWrap/>
        <w:overflowPunct/>
        <w:topLinePunct w:val="0"/>
        <w:autoSpaceDE/>
        <w:autoSpaceDN/>
        <w:bidi w:val="0"/>
        <w:adjustRightInd/>
        <w:spacing w:line="440" w:lineRule="exact"/>
        <w:ind w:firstLine="3213" w:firstLineChars="1000"/>
        <w:textAlignment w:val="auto"/>
        <w:rPr>
          <w:rFonts w:hint="eastAsia" w:asciiTheme="minorEastAsia" w:hAnsiTheme="minorEastAsia" w:eastAsiaTheme="minorEastAsia" w:cstheme="minorEastAsia"/>
          <w:b/>
          <w:color w:val="auto"/>
          <w:sz w:val="32"/>
          <w:szCs w:val="32"/>
          <w:highlight w:val="none"/>
        </w:rPr>
      </w:pPr>
    </w:p>
    <w:p>
      <w:pPr>
        <w:pStyle w:val="36"/>
        <w:keepNext w:val="0"/>
        <w:keepLines w:val="0"/>
        <w:pageBreakBefore w:val="0"/>
        <w:widowControl w:val="0"/>
        <w:kinsoku/>
        <w:wordWrap/>
        <w:overflowPunct/>
        <w:topLinePunct w:val="0"/>
        <w:autoSpaceDE/>
        <w:autoSpaceDN/>
        <w:bidi w:val="0"/>
        <w:adjustRightInd/>
        <w:spacing w:line="440" w:lineRule="exact"/>
        <w:ind w:firstLine="3213" w:firstLineChars="1000"/>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七、授 予 合 同</w:t>
      </w:r>
    </w:p>
    <w:p>
      <w:pPr>
        <w:pStyle w:val="36"/>
        <w:keepNext w:val="0"/>
        <w:keepLines w:val="0"/>
        <w:pageBreakBefore w:val="0"/>
        <w:widowControl w:val="0"/>
        <w:kinsoku/>
        <w:wordWrap/>
        <w:overflowPunct/>
        <w:topLinePunct w:val="0"/>
        <w:autoSpaceDE/>
        <w:autoSpaceDN/>
        <w:bidi w:val="0"/>
        <w:adjustRightInd/>
        <w:spacing w:line="440" w:lineRule="exact"/>
        <w:ind w:firstLine="0" w:firstLineChars="0"/>
        <w:textAlignment w:val="auto"/>
        <w:rPr>
          <w:rFonts w:hint="eastAsia" w:asciiTheme="minorEastAsia" w:hAnsiTheme="minorEastAsia" w:eastAsiaTheme="minorEastAsia" w:cstheme="minorEastAsia"/>
          <w:b/>
          <w:color w:val="auto"/>
          <w:sz w:val="24"/>
          <w:szCs w:val="24"/>
          <w:highlight w:val="none"/>
        </w:rPr>
      </w:pPr>
    </w:p>
    <w:p>
      <w:pPr>
        <w:pStyle w:val="36"/>
        <w:keepNext w:val="0"/>
        <w:keepLines w:val="0"/>
        <w:pageBreakBefore w:val="0"/>
        <w:widowControl w:val="0"/>
        <w:kinsoku/>
        <w:wordWrap/>
        <w:overflowPunct/>
        <w:topLinePunct w:val="0"/>
        <w:autoSpaceDE/>
        <w:autoSpaceDN/>
        <w:bidi w:val="0"/>
        <w:adjustRightInd/>
        <w:spacing w:line="460" w:lineRule="exact"/>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24</w:t>
      </w:r>
      <w:r>
        <w:rPr>
          <w:rFonts w:hint="eastAsia" w:asciiTheme="minorEastAsia" w:hAnsiTheme="minorEastAsia" w:eastAsiaTheme="minorEastAsia" w:cstheme="minorEastAsia"/>
          <w:b/>
          <w:color w:val="auto"/>
          <w:sz w:val="24"/>
          <w:szCs w:val="24"/>
          <w:highlight w:val="none"/>
        </w:rPr>
        <w:t>、签订合同</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.1 中标人收到中标通知书后，须按有关规定与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签定合同。合同的签定</w:t>
      </w:r>
      <w:r>
        <w:rPr>
          <w:rFonts w:hint="eastAsia" w:asciiTheme="minorEastAsia" w:hAnsiTheme="minorEastAsia" w:eastAsiaTheme="minorEastAsia" w:cstheme="minorEastAsia"/>
          <w:color w:val="auto"/>
          <w:sz w:val="24"/>
          <w:szCs w:val="24"/>
          <w:highlight w:val="none"/>
          <w:lang w:eastAsia="zh-CN"/>
        </w:rPr>
        <w:t>须</w:t>
      </w:r>
      <w:r>
        <w:rPr>
          <w:rFonts w:hint="eastAsia" w:asciiTheme="minorEastAsia" w:hAnsiTheme="minorEastAsia" w:eastAsiaTheme="minorEastAsia" w:cstheme="minorEastAsia"/>
          <w:color w:val="auto"/>
          <w:sz w:val="24"/>
          <w:szCs w:val="24"/>
          <w:highlight w:val="none"/>
        </w:rPr>
        <w:t>在中标通知书发出后</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天内进行，但</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事先约定的情况除外。</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.2 合同签定后，</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应按合同的规定履行合同，未按规定履约的，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有权取消合同，并且不退还中标人的投标保证金。投标保证金不足以赔偿采购人损失的，采购人有权向中标人继续追偿。</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.3 中标合同不得转让或分包。如果对合同的非主体部分进行转让或分包，投标人必须在投标文件中予以说明，并需经</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同意。否则，</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有权取消中标人的中标资格。</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.4 如中标人未按有关规定与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签定合同或提交合同履约保证金的,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可以选择其他中标候选人为中标人，并组织中标人和</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签定合同。</w:t>
      </w:r>
      <w:r>
        <w:rPr>
          <w:rFonts w:hint="eastAsia" w:asciiTheme="minorEastAsia" w:hAnsiTheme="minorEastAsia" w:eastAsiaTheme="minorEastAsia" w:cstheme="minorEastAsia"/>
          <w:color w:val="auto"/>
          <w:sz w:val="24"/>
          <w:szCs w:val="24"/>
          <w:highlight w:val="none"/>
          <w:lang w:eastAsia="zh-CN"/>
        </w:rPr>
        <w:t>也可重新组织招标。</w:t>
      </w:r>
    </w:p>
    <w:p>
      <w:pPr>
        <w:pStyle w:val="36"/>
        <w:keepNext w:val="0"/>
        <w:keepLines w:val="0"/>
        <w:pageBreakBefore w:val="0"/>
        <w:widowControl w:val="0"/>
        <w:kinsoku/>
        <w:wordWrap/>
        <w:overflowPunct/>
        <w:topLinePunct w:val="0"/>
        <w:autoSpaceDE/>
        <w:autoSpaceDN/>
        <w:bidi w:val="0"/>
        <w:adjustRightInd/>
        <w:spacing w:line="460" w:lineRule="exact"/>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25</w:t>
      </w:r>
      <w:r>
        <w:rPr>
          <w:rFonts w:hint="eastAsia" w:asciiTheme="minorEastAsia" w:hAnsiTheme="minorEastAsia" w:eastAsiaTheme="minorEastAsia" w:cstheme="minorEastAsia"/>
          <w:b/>
          <w:color w:val="auto"/>
          <w:sz w:val="24"/>
          <w:szCs w:val="24"/>
          <w:highlight w:val="none"/>
        </w:rPr>
        <w:t>、合同的组成</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.1 合同；</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.2 招标产品技术条款及合同条款；</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.3 中标通知书；</w:t>
      </w:r>
    </w:p>
    <w:p>
      <w:pPr>
        <w:pStyle w:val="36"/>
        <w:keepNext w:val="0"/>
        <w:keepLines w:val="0"/>
        <w:pageBreakBefore w:val="0"/>
        <w:widowControl w:val="0"/>
        <w:kinsoku/>
        <w:wordWrap/>
        <w:overflowPunct/>
        <w:topLinePunct w:val="0"/>
        <w:autoSpaceDE/>
        <w:autoSpaceDN/>
        <w:bidi w:val="0"/>
        <w:adjustRightInd/>
        <w:spacing w:line="460" w:lineRule="exact"/>
        <w:ind w:firstLine="316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 xml:space="preserve">.4 </w:t>
      </w:r>
      <w:r>
        <w:rPr>
          <w:rFonts w:hint="eastAsia" w:asciiTheme="minorEastAsia" w:hAnsiTheme="minorEastAsia" w:eastAsiaTheme="minorEastAsia" w:cstheme="minorEastAsia"/>
          <w:color w:val="auto"/>
          <w:sz w:val="24"/>
          <w:szCs w:val="24"/>
          <w:highlight w:val="none"/>
          <w:lang w:val="en-US" w:eastAsia="zh-CN"/>
        </w:rPr>
        <w:t>中标单位的</w:t>
      </w:r>
      <w:r>
        <w:rPr>
          <w:rFonts w:hint="eastAsia" w:asciiTheme="minorEastAsia" w:hAnsiTheme="minorEastAsia" w:eastAsiaTheme="minorEastAsia" w:cstheme="minorEastAsia"/>
          <w:color w:val="auto"/>
          <w:sz w:val="24"/>
          <w:szCs w:val="24"/>
          <w:highlight w:val="none"/>
        </w:rPr>
        <w:t>投标文件；</w:t>
      </w:r>
    </w:p>
    <w:p>
      <w:pPr>
        <w:pStyle w:val="36"/>
        <w:keepNext w:val="0"/>
        <w:keepLines w:val="0"/>
        <w:pageBreakBefore w:val="0"/>
        <w:widowControl w:val="0"/>
        <w:kinsoku/>
        <w:wordWrap/>
        <w:overflowPunct/>
        <w:topLinePunct w:val="0"/>
        <w:bidi w:val="0"/>
        <w:spacing w:line="460" w:lineRule="exact"/>
        <w:ind w:firstLine="48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.5 招标文件</w:t>
      </w:r>
      <w:r>
        <w:rPr>
          <w:rFonts w:hint="eastAsia" w:asciiTheme="minorEastAsia" w:hAnsiTheme="minorEastAsia" w:eastAsiaTheme="minorEastAsia" w:cstheme="minorEastAsia"/>
          <w:color w:val="auto"/>
          <w:sz w:val="24"/>
          <w:szCs w:val="24"/>
          <w:highlight w:val="none"/>
          <w:lang w:eastAsia="zh-CN"/>
        </w:rPr>
        <w:t>。</w:t>
      </w:r>
    </w:p>
    <w:p>
      <w:pPr>
        <w:pStyle w:val="36"/>
        <w:keepNext w:val="0"/>
        <w:keepLines w:val="0"/>
        <w:pageBreakBefore w:val="0"/>
        <w:widowControl w:val="0"/>
        <w:kinsoku/>
        <w:wordWrap/>
        <w:overflowPunct/>
        <w:topLinePunct w:val="0"/>
        <w:autoSpaceDE/>
        <w:autoSpaceDN/>
        <w:bidi w:val="0"/>
        <w:adjustRightInd/>
        <w:spacing w:line="440" w:lineRule="exact"/>
        <w:ind w:left="0" w:leftChars="0" w:firstLine="0" w:firstLineChars="0"/>
        <w:jc w:val="center"/>
        <w:textAlignment w:val="auto"/>
        <w:rPr>
          <w:rFonts w:hint="eastAsia" w:asciiTheme="minorEastAsia" w:hAnsiTheme="minorEastAsia" w:eastAsiaTheme="minorEastAsia" w:cstheme="minorEastAsia"/>
          <w:b/>
          <w:color w:val="auto"/>
          <w:sz w:val="32"/>
          <w:szCs w:val="32"/>
          <w:highlight w:val="none"/>
          <w:lang w:eastAsia="zh-CN"/>
        </w:rPr>
      </w:pPr>
    </w:p>
    <w:p>
      <w:pPr>
        <w:pStyle w:val="36"/>
        <w:keepNext w:val="0"/>
        <w:keepLines w:val="0"/>
        <w:pageBreakBefore w:val="0"/>
        <w:widowControl w:val="0"/>
        <w:kinsoku/>
        <w:wordWrap/>
        <w:overflowPunct/>
        <w:topLinePunct w:val="0"/>
        <w:autoSpaceDE/>
        <w:autoSpaceDN/>
        <w:bidi w:val="0"/>
        <w:adjustRightInd/>
        <w:spacing w:line="440" w:lineRule="exact"/>
        <w:ind w:left="0" w:leftChars="0" w:firstLine="0" w:firstLineChars="0"/>
        <w:jc w:val="center"/>
        <w:textAlignment w:val="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八、重</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新</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招</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标</w:t>
      </w:r>
    </w:p>
    <w:p>
      <w:pPr>
        <w:spacing w:line="500" w:lineRule="exact"/>
        <w:ind w:firstLine="480" w:firstLineChars="200"/>
        <w:rPr>
          <w:rFonts w:hint="eastAsia" w:asciiTheme="minorEastAsia" w:hAnsiTheme="minorEastAsia" w:eastAsiaTheme="minorEastAsia" w:cstheme="minorEastAsia"/>
          <w:color w:val="auto"/>
          <w:sz w:val="24"/>
          <w:highlight w:val="none"/>
        </w:rPr>
      </w:pPr>
    </w:p>
    <w:p>
      <w:pPr>
        <w:spacing w:line="50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26、</w:t>
      </w:r>
      <w:r>
        <w:rPr>
          <w:rFonts w:hint="eastAsia" w:asciiTheme="minorEastAsia" w:hAnsiTheme="minorEastAsia" w:eastAsiaTheme="minorEastAsia" w:cstheme="minorEastAsia"/>
          <w:b/>
          <w:bCs/>
          <w:color w:val="auto"/>
          <w:sz w:val="24"/>
          <w:highlight w:val="none"/>
        </w:rPr>
        <w:t>有下列情形之一的，招标人将重新招标：</w:t>
      </w:r>
    </w:p>
    <w:p>
      <w:pPr>
        <w:spacing w:line="500" w:lineRule="exact"/>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26.1 </w:t>
      </w:r>
      <w:r>
        <w:rPr>
          <w:rFonts w:hint="eastAsia" w:asciiTheme="minorEastAsia" w:hAnsiTheme="minorEastAsia" w:eastAsiaTheme="minorEastAsia" w:cstheme="minorEastAsia"/>
          <w:color w:val="auto"/>
          <w:sz w:val="24"/>
          <w:highlight w:val="none"/>
        </w:rPr>
        <w:t>投标截止时间止，投标人少于三个的</w:t>
      </w:r>
      <w:r>
        <w:rPr>
          <w:rFonts w:hint="eastAsia" w:asciiTheme="minorEastAsia" w:hAnsiTheme="minorEastAsia" w:eastAsiaTheme="minorEastAsia" w:cstheme="minorEastAsia"/>
          <w:color w:val="auto"/>
          <w:sz w:val="24"/>
          <w:highlight w:val="none"/>
          <w:lang w:eastAsia="zh-CN"/>
        </w:rPr>
        <w:t>，不得开标，采购人</w:t>
      </w:r>
      <w:r>
        <w:rPr>
          <w:rFonts w:hint="eastAsia" w:asciiTheme="minorEastAsia" w:hAnsiTheme="minorEastAsia" w:eastAsiaTheme="minorEastAsia" w:cstheme="minorEastAsia"/>
          <w:color w:val="auto"/>
          <w:sz w:val="24"/>
          <w:highlight w:val="none"/>
        </w:rPr>
        <w:t>应重新招标；</w:t>
      </w:r>
    </w:p>
    <w:p>
      <w:pPr>
        <w:spacing w:line="500" w:lineRule="exact"/>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26.2 </w:t>
      </w:r>
      <w:r>
        <w:rPr>
          <w:rFonts w:hint="eastAsia" w:asciiTheme="minorEastAsia" w:hAnsiTheme="minorEastAsia" w:eastAsiaTheme="minorEastAsia" w:cstheme="minorEastAsia"/>
          <w:color w:val="auto"/>
          <w:sz w:val="24"/>
          <w:highlight w:val="none"/>
        </w:rPr>
        <w:t>投标被依法否定，或者投标文件被评标委员会界定为废标后有效投标不足三个的</w:t>
      </w:r>
      <w:r>
        <w:rPr>
          <w:rFonts w:hint="eastAsia" w:asciiTheme="minorEastAsia" w:hAnsiTheme="minorEastAsia" w:eastAsiaTheme="minorEastAsia" w:cstheme="minorEastAsia"/>
          <w:color w:val="auto"/>
          <w:sz w:val="24"/>
          <w:highlight w:val="none"/>
          <w:lang w:eastAsia="zh-CN"/>
        </w:rPr>
        <w:t>，不得评标，采购人可</w:t>
      </w:r>
      <w:r>
        <w:rPr>
          <w:rFonts w:hint="eastAsia" w:asciiTheme="minorEastAsia" w:hAnsiTheme="minorEastAsia" w:eastAsiaTheme="minorEastAsia" w:cstheme="minorEastAsia"/>
          <w:color w:val="auto"/>
          <w:sz w:val="24"/>
          <w:highlight w:val="none"/>
        </w:rPr>
        <w:t>重新招标；</w:t>
      </w:r>
    </w:p>
    <w:p>
      <w:pPr>
        <w:spacing w:line="500" w:lineRule="exact"/>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26.3 </w:t>
      </w:r>
      <w:r>
        <w:rPr>
          <w:rFonts w:hint="eastAsia" w:asciiTheme="minorEastAsia" w:hAnsiTheme="minorEastAsia" w:eastAsiaTheme="minorEastAsia" w:cstheme="minorEastAsia"/>
          <w:color w:val="auto"/>
          <w:sz w:val="24"/>
          <w:highlight w:val="none"/>
        </w:rPr>
        <w:t>评标委员会推荐的</w:t>
      </w:r>
      <w:r>
        <w:rPr>
          <w:rFonts w:hint="eastAsia" w:asciiTheme="minorEastAsia" w:hAnsiTheme="minorEastAsia" w:eastAsiaTheme="minorEastAsia" w:cstheme="minorEastAsia"/>
          <w:color w:val="auto"/>
          <w:sz w:val="24"/>
          <w:highlight w:val="none"/>
          <w:lang w:val="en-US" w:eastAsia="zh-CN"/>
        </w:rPr>
        <w:t>第一</w:t>
      </w:r>
      <w:r>
        <w:rPr>
          <w:rFonts w:hint="eastAsia" w:asciiTheme="minorEastAsia" w:hAnsiTheme="minorEastAsia" w:eastAsiaTheme="minorEastAsia" w:cstheme="minorEastAsia"/>
          <w:color w:val="auto"/>
          <w:sz w:val="24"/>
          <w:highlight w:val="none"/>
        </w:rPr>
        <w:t>中标候选人放弃中标资格</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lang w:val="en-US" w:eastAsia="zh-CN"/>
        </w:rPr>
        <w:t>可依次确定排名第二、第三的</w:t>
      </w:r>
      <w:r>
        <w:rPr>
          <w:rFonts w:hint="eastAsia" w:asciiTheme="minorEastAsia" w:hAnsiTheme="minorEastAsia" w:eastAsiaTheme="minorEastAsia" w:cstheme="minorEastAsia"/>
          <w:color w:val="auto"/>
          <w:sz w:val="24"/>
          <w:highlight w:val="none"/>
        </w:rPr>
        <w:t>中标候选人</w:t>
      </w:r>
      <w:r>
        <w:rPr>
          <w:rFonts w:hint="eastAsia" w:asciiTheme="minorEastAsia" w:hAnsiTheme="minorEastAsia" w:eastAsiaTheme="minorEastAsia" w:cstheme="minorEastAsia"/>
          <w:color w:val="auto"/>
          <w:sz w:val="24"/>
          <w:highlight w:val="none"/>
          <w:lang w:val="en-US" w:eastAsia="zh-CN"/>
        </w:rPr>
        <w:t>为中标人，也可重新招标；</w:t>
      </w:r>
    </w:p>
    <w:p>
      <w:pPr>
        <w:spacing w:line="500" w:lineRule="exact"/>
        <w:ind w:firstLine="48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 xml:space="preserve">26.4 </w:t>
      </w:r>
      <w:r>
        <w:rPr>
          <w:rFonts w:hint="eastAsia" w:asciiTheme="minorEastAsia" w:hAnsiTheme="minorEastAsia" w:eastAsiaTheme="minorEastAsia" w:cstheme="minorEastAsia"/>
          <w:color w:val="auto"/>
          <w:sz w:val="24"/>
          <w:highlight w:val="none"/>
        </w:rPr>
        <w:t>如评标委员会推荐的前三名中标候选人均放弃中标资格，</w:t>
      </w:r>
      <w:r>
        <w:rPr>
          <w:rFonts w:hint="eastAsia" w:asciiTheme="minorEastAsia" w:hAnsiTheme="minorEastAsia" w:eastAsiaTheme="minorEastAsia" w:cstheme="minorEastAsia"/>
          <w:color w:val="auto"/>
          <w:sz w:val="24"/>
          <w:highlight w:val="none"/>
          <w:lang w:eastAsia="zh-CN"/>
        </w:rPr>
        <w:t>采购人可</w:t>
      </w:r>
      <w:r>
        <w:rPr>
          <w:rFonts w:hint="eastAsia" w:asciiTheme="minorEastAsia" w:hAnsiTheme="minorEastAsia" w:eastAsiaTheme="minorEastAsia" w:cstheme="minorEastAsia"/>
          <w:color w:val="auto"/>
          <w:sz w:val="24"/>
          <w:highlight w:val="none"/>
        </w:rPr>
        <w:t>重新招标</w:t>
      </w:r>
      <w:r>
        <w:rPr>
          <w:rFonts w:hint="eastAsia" w:asciiTheme="minorEastAsia" w:hAnsiTheme="minorEastAsia" w:eastAsiaTheme="minorEastAsia" w:cstheme="minorEastAsia"/>
          <w:color w:val="auto"/>
          <w:sz w:val="24"/>
          <w:highlight w:val="none"/>
          <w:lang w:eastAsia="zh-CN"/>
        </w:rPr>
        <w:t>；</w:t>
      </w:r>
    </w:p>
    <w:p>
      <w:pPr>
        <w:spacing w:line="500" w:lineRule="exact"/>
        <w:ind w:firstLine="480"/>
        <w:jc w:val="left"/>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 w:val="24"/>
          <w:highlight w:val="none"/>
          <w:lang w:val="en-US" w:eastAsia="zh-CN"/>
        </w:rPr>
        <w:t>26.5 出现本章24.4条的情形，采购人决定重新组织招标的。</w:t>
      </w:r>
    </w:p>
    <w:p>
      <w:pPr>
        <w:pStyle w:val="36"/>
        <w:keepNext w:val="0"/>
        <w:keepLines w:val="0"/>
        <w:pageBreakBefore w:val="0"/>
        <w:widowControl w:val="0"/>
        <w:kinsoku/>
        <w:wordWrap/>
        <w:overflowPunct/>
        <w:topLinePunct w:val="0"/>
        <w:autoSpaceDE/>
        <w:autoSpaceDN/>
        <w:bidi w:val="0"/>
        <w:adjustRightInd/>
        <w:spacing w:line="440" w:lineRule="exact"/>
        <w:ind w:left="0" w:leftChars="0" w:firstLine="0" w:firstLineChars="0"/>
        <w:jc w:val="center"/>
        <w:textAlignment w:val="auto"/>
        <w:rPr>
          <w:rFonts w:hint="eastAsia" w:asciiTheme="minorEastAsia" w:hAnsiTheme="minorEastAsia" w:eastAsiaTheme="minorEastAsia" w:cstheme="minorEastAsia"/>
          <w:b/>
          <w:color w:val="auto"/>
          <w:sz w:val="32"/>
          <w:szCs w:val="32"/>
          <w:highlight w:val="none"/>
          <w:lang w:val="en-US" w:eastAsia="zh-CN"/>
        </w:rPr>
      </w:pPr>
    </w:p>
    <w:p>
      <w:pPr>
        <w:pStyle w:val="36"/>
        <w:keepNext w:val="0"/>
        <w:keepLines w:val="0"/>
        <w:pageBreakBefore w:val="0"/>
        <w:widowControl w:val="0"/>
        <w:kinsoku/>
        <w:wordWrap/>
        <w:overflowPunct/>
        <w:topLinePunct w:val="0"/>
        <w:autoSpaceDE/>
        <w:autoSpaceDN/>
        <w:bidi w:val="0"/>
        <w:adjustRightInd/>
        <w:spacing w:line="440" w:lineRule="exact"/>
        <w:ind w:left="0" w:leftChars="0" w:firstLine="0" w:firstLineChars="0"/>
        <w:jc w:val="center"/>
        <w:textAlignment w:val="auto"/>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t>九、质  疑</w:t>
      </w:r>
    </w:p>
    <w:p>
      <w:pPr>
        <w:spacing w:line="500" w:lineRule="exact"/>
        <w:jc w:val="left"/>
        <w:rPr>
          <w:rFonts w:hint="eastAsia" w:asciiTheme="minorEastAsia" w:hAnsiTheme="minorEastAsia" w:eastAsiaTheme="minorEastAsia" w:cstheme="minorEastAsia"/>
          <w:b/>
          <w:bCs/>
          <w:color w:val="auto"/>
          <w:sz w:val="24"/>
          <w:highlight w:val="none"/>
          <w:lang w:val="en-US" w:eastAsia="zh-CN"/>
        </w:rPr>
      </w:pPr>
    </w:p>
    <w:p>
      <w:pPr>
        <w:spacing w:line="50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27、质疑</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27.1 供应商认为采购文件、采购过程、中标结果使自己的权益受到损害的，可以在知道或者应知其权益受到损害之日起7个工作日内，以书面形式向采购人、采购代理机构</w:t>
      </w:r>
      <w:r>
        <w:rPr>
          <w:rFonts w:hint="eastAsia" w:asciiTheme="minorEastAsia" w:hAnsiTheme="minorEastAsia" w:eastAsiaTheme="minorEastAsia" w:cstheme="minorEastAsia"/>
          <w:b/>
          <w:bCs/>
          <w:color w:val="auto"/>
          <w:sz w:val="24"/>
          <w:highlight w:val="none"/>
          <w:lang w:val="en-US" w:eastAsia="zh-CN"/>
        </w:rPr>
        <w:t>一次性针对同一采购程序环节</w:t>
      </w:r>
      <w:r>
        <w:rPr>
          <w:rFonts w:hint="eastAsia" w:asciiTheme="minorEastAsia" w:hAnsiTheme="minorEastAsia" w:eastAsiaTheme="minorEastAsia" w:cstheme="minorEastAsia"/>
          <w:color w:val="auto"/>
          <w:sz w:val="24"/>
          <w:highlight w:val="none"/>
          <w:lang w:val="en-US" w:eastAsia="zh-CN"/>
        </w:rPr>
        <w:t>提出质疑。</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27.2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代理人提出质疑和投诉，应当提交供应商签署的授权委托书。</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27.3 供应商提出质疑应当提交质疑函和必要的证明材料。质疑函应当包括下列内容：</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（1）供应商的姓名或者名称、地址、邮编、联系人及联系电话；</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（2）质疑项目的名称、编号；</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（3）具体、明确的质疑事项和与质疑事项相关的请求；</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（4）事实依据；</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（5）必要的法律依据；</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（6）提出质疑的日期。</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供应商为自然人的，应当由本人签字；供应商为法人或者其他组织的，应当由法定代表人、主要负责人，或者其授权代表签字或者盖章，并加盖公章。</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27.4 代理机构通过以下方式接收质疑函：</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（1）接收质疑函的方式：加盖公章的纸质版质疑函（具体格式参照27.3条要求）；</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（2）联系部门：</w:t>
      </w:r>
      <w:r>
        <w:rPr>
          <w:rFonts w:hint="eastAsia" w:asciiTheme="minorEastAsia" w:hAnsiTheme="minorEastAsia" w:eastAsiaTheme="minorEastAsia" w:cstheme="minorEastAsia"/>
          <w:color w:val="auto"/>
          <w:sz w:val="24"/>
          <w:szCs w:val="24"/>
          <w:highlight w:val="none"/>
          <w:lang w:val="en-US" w:eastAsia="zh-CN"/>
        </w:rPr>
        <w:t>新疆嘉扩项目管理咨询有限公司</w:t>
      </w:r>
      <w:r>
        <w:rPr>
          <w:rFonts w:hint="eastAsia" w:asciiTheme="minorEastAsia" w:hAnsiTheme="minorEastAsia" w:eastAsiaTheme="minorEastAsia" w:cstheme="minorEastAsia"/>
          <w:color w:val="auto"/>
          <w:sz w:val="24"/>
          <w:highlight w:val="none"/>
          <w:lang w:val="en-US" w:eastAsia="zh-CN"/>
        </w:rPr>
        <w:t>；</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（3）联系电话：15559347937；</w:t>
      </w:r>
    </w:p>
    <w:p>
      <w:pPr>
        <w:spacing w:line="5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（4）通讯地址：伊宁市经济合作区重庆北路558 号伊宁．八达广场一期B14号商业楼2 层201号。</w:t>
      </w:r>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pStyle w:val="12"/>
        <w:rPr>
          <w:rFonts w:hint="eastAsia"/>
          <w:color w:val="auto"/>
          <w:highlight w:val="none"/>
        </w:rPr>
      </w:pP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第三章  评标办法</w:t>
      </w:r>
    </w:p>
    <w:p>
      <w:pPr>
        <w:spacing w:line="440" w:lineRule="exact"/>
        <w:jc w:val="both"/>
        <w:rPr>
          <w:rFonts w:hint="eastAsia" w:asciiTheme="minorEastAsia" w:hAnsiTheme="minorEastAsia" w:eastAsiaTheme="minorEastAsia" w:cstheme="minorEastAsia"/>
          <w:b/>
          <w:color w:val="auto"/>
          <w:sz w:val="24"/>
          <w:szCs w:val="24"/>
          <w:highlight w:val="none"/>
        </w:rPr>
      </w:pP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1、评标方法</w:t>
      </w:r>
    </w:p>
    <w:p>
      <w:pPr>
        <w:pStyle w:val="36"/>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1.1本次评标采用</w:t>
      </w:r>
      <w:r>
        <w:rPr>
          <w:rFonts w:hint="eastAsia" w:asciiTheme="minorEastAsia" w:hAnsiTheme="minorEastAsia" w:eastAsiaTheme="minorEastAsia" w:cstheme="minorEastAsia"/>
          <w:b/>
          <w:bCs/>
          <w:color w:val="auto"/>
          <w:sz w:val="24"/>
          <w:highlight w:val="none"/>
          <w:u w:val="single"/>
        </w:rPr>
        <w:t>综合评分法</w:t>
      </w:r>
      <w:r>
        <w:rPr>
          <w:rFonts w:hint="eastAsia" w:asciiTheme="minorEastAsia" w:hAnsiTheme="minorEastAsia" w:eastAsiaTheme="minorEastAsia" w:cstheme="minorEastAsia"/>
          <w:color w:val="auto"/>
          <w:sz w:val="24"/>
          <w:highlight w:val="none"/>
        </w:rPr>
        <w:t>。根据《中华人民共和国政府采购法》、《中华人民共和国政府采购法</w:t>
      </w:r>
      <w:r>
        <w:rPr>
          <w:rFonts w:hint="eastAsia" w:asciiTheme="minorEastAsia" w:hAnsiTheme="minorEastAsia" w:eastAsiaTheme="minorEastAsia" w:cstheme="minorEastAsia"/>
          <w:color w:val="auto"/>
          <w:sz w:val="24"/>
          <w:highlight w:val="none"/>
          <w:lang w:val="en-US" w:eastAsia="zh-CN"/>
        </w:rPr>
        <w:t>实施条例</w:t>
      </w:r>
      <w:r>
        <w:rPr>
          <w:rFonts w:hint="eastAsia" w:asciiTheme="minorEastAsia" w:hAnsiTheme="minorEastAsia" w:eastAsiaTheme="minorEastAsia" w:cstheme="minorEastAsia"/>
          <w:color w:val="auto"/>
          <w:sz w:val="24"/>
          <w:highlight w:val="none"/>
        </w:rPr>
        <w:t>》、《政府采购货物和服务招标投标管理办法》</w:t>
      </w:r>
      <w:r>
        <w:rPr>
          <w:rFonts w:hint="eastAsia" w:asciiTheme="minorEastAsia" w:hAnsiTheme="minorEastAsia" w:eastAsiaTheme="minorEastAsia" w:cstheme="minorEastAsia"/>
          <w:color w:val="auto"/>
          <w:sz w:val="24"/>
          <w:highlight w:val="none"/>
          <w:lang w:eastAsia="zh-CN"/>
        </w:rPr>
        <w:t>（财政部令第87号）</w:t>
      </w:r>
      <w:r>
        <w:rPr>
          <w:rFonts w:hint="eastAsia" w:asciiTheme="minorEastAsia" w:hAnsiTheme="minorEastAsia" w:eastAsiaTheme="minorEastAsia" w:cstheme="minorEastAsia"/>
          <w:color w:val="auto"/>
          <w:sz w:val="24"/>
          <w:highlight w:val="none"/>
        </w:rPr>
        <w:t>中所规定的标准和补充规定等法律法规和有关实施办法。评标委员会将对投标文件提出的</w:t>
      </w:r>
      <w:r>
        <w:rPr>
          <w:rFonts w:hint="eastAsia" w:asciiTheme="minorEastAsia" w:hAnsiTheme="minorEastAsia" w:eastAsiaTheme="minorEastAsia" w:cstheme="minorEastAsia"/>
          <w:color w:val="auto"/>
          <w:sz w:val="24"/>
          <w:highlight w:val="none"/>
          <w:lang w:val="en-US" w:eastAsia="zh-CN"/>
        </w:rPr>
        <w:t>技术参数响应</w:t>
      </w:r>
      <w:r>
        <w:rPr>
          <w:rFonts w:hint="eastAsia" w:asciiTheme="minorEastAsia" w:hAnsiTheme="minorEastAsia" w:eastAsiaTheme="minorEastAsia" w:cstheme="minorEastAsia"/>
          <w:color w:val="auto"/>
          <w:sz w:val="24"/>
          <w:highlight w:val="none"/>
        </w:rPr>
        <w:t>、业绩、售后承诺、投标价格等，能否最大限度的满足招标文件中规定的各项要求和评价标准进行评审和比较。</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2、评标程序</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评标准备；</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2.2 </w:t>
      </w:r>
      <w:r>
        <w:rPr>
          <w:rFonts w:hint="eastAsia" w:asciiTheme="minorEastAsia" w:hAnsiTheme="minorEastAsia" w:eastAsiaTheme="minorEastAsia" w:cstheme="minorEastAsia"/>
          <w:color w:val="auto"/>
          <w:sz w:val="24"/>
          <w:highlight w:val="none"/>
          <w:lang w:eastAsia="zh-CN"/>
        </w:rPr>
        <w:t>符合性评审</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澄清说明或补证；</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详细评审；</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推荐中标候选人提交评标报告。</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3、评标准备</w:t>
      </w:r>
    </w:p>
    <w:p>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评标委员会成员由5人组成，其中：政府采购云平台专家名册中专家4人、采购人代表1人。</w:t>
      </w:r>
      <w:r>
        <w:rPr>
          <w:rFonts w:hint="eastAsia" w:asciiTheme="minorEastAsia" w:hAnsiTheme="minorEastAsia" w:eastAsiaTheme="minorEastAsia" w:cstheme="minorEastAsia"/>
          <w:color w:val="auto"/>
          <w:sz w:val="24"/>
          <w:highlight w:val="none"/>
        </w:rPr>
        <w:t>评标委员会首先推选一名评标委员会组长，原则上评委会组长由专家名册产生，评标委员会组长负责评标活动的组织领导工作。</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3.1 </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应向评标委员会提供评标所需的信息和数据，包括招标文件、未在开标会上当场拒绝的各投标文件、开标会记录、有关的法律、法规、规章、国家标准以及</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或评标委员会认为必要的其他信息和数据。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评标委员会组长应组织评标委员会成员认真研究招标文件，了解和熟悉招标目的、招标范围、主要合同条件、技术标准和要求、</w:t>
      </w:r>
      <w:r>
        <w:rPr>
          <w:rFonts w:hint="eastAsia" w:asciiTheme="minorEastAsia" w:hAnsiTheme="minorEastAsia" w:eastAsiaTheme="minorEastAsia" w:cstheme="minorEastAsia"/>
          <w:color w:val="auto"/>
          <w:sz w:val="24"/>
          <w:highlight w:val="none"/>
          <w:lang w:eastAsia="zh-CN"/>
        </w:rPr>
        <w:t>质量要求</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服务要求</w:t>
      </w:r>
      <w:r>
        <w:rPr>
          <w:rFonts w:hint="eastAsia" w:asciiTheme="minorEastAsia" w:hAnsiTheme="minorEastAsia" w:eastAsiaTheme="minorEastAsia" w:cstheme="minorEastAsia"/>
          <w:color w:val="auto"/>
          <w:sz w:val="24"/>
          <w:highlight w:val="none"/>
        </w:rPr>
        <w:t>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4、评审  </w:t>
      </w:r>
    </w:p>
    <w:p>
      <w:pPr>
        <w:spacing w:line="360" w:lineRule="auto"/>
        <w:ind w:firstLine="472"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4.1 </w:t>
      </w:r>
      <w:r>
        <w:rPr>
          <w:rFonts w:hint="eastAsia" w:asciiTheme="minorEastAsia" w:hAnsiTheme="minorEastAsia" w:eastAsiaTheme="minorEastAsia" w:cstheme="minorEastAsia"/>
          <w:b/>
          <w:color w:val="auto"/>
          <w:sz w:val="24"/>
          <w:highlight w:val="none"/>
          <w:lang w:eastAsia="zh-CN"/>
        </w:rPr>
        <w:t>符合性审查</w:t>
      </w:r>
      <w:r>
        <w:rPr>
          <w:rFonts w:hint="eastAsia" w:asciiTheme="minorEastAsia" w:hAnsiTheme="minorEastAsia" w:eastAsiaTheme="minorEastAsia" w:cstheme="minorEastAsia"/>
          <w:b/>
          <w:color w:val="auto"/>
          <w:sz w:val="24"/>
          <w:highlight w:val="none"/>
        </w:rPr>
        <w:t>“详见附表一”</w:t>
      </w:r>
      <w:r>
        <w:rPr>
          <w:rFonts w:hint="eastAsia" w:asciiTheme="minorEastAsia" w:hAnsiTheme="minorEastAsia" w:eastAsiaTheme="minorEastAsia" w:cstheme="minorEastAsia"/>
          <w:color w:val="auto"/>
          <w:sz w:val="24"/>
          <w:highlight w:val="none"/>
        </w:rPr>
        <w:t xml:space="preserve"> </w:t>
      </w:r>
    </w:p>
    <w:p>
      <w:pPr>
        <w:spacing w:line="360" w:lineRule="auto"/>
        <w:ind w:firstLine="472"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4.2 详细评审标准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评标委员会成员将采用综合评估法对投标文件经济和商务、技术部分进行详细评审、比较。</w:t>
      </w:r>
    </w:p>
    <w:p>
      <w:pPr>
        <w:autoSpaceDE w:val="0"/>
        <w:autoSpaceDN w:val="0"/>
        <w:adjustRightInd w:val="0"/>
        <w:spacing w:line="360" w:lineRule="auto"/>
        <w:ind w:firstLine="472" w:firstLineChars="196"/>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4.2.1 商务、技术部分评审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按照招标文件要求对投标文件进行评审</w:t>
      </w:r>
      <w:r>
        <w:rPr>
          <w:rFonts w:hint="eastAsia" w:asciiTheme="minorEastAsia" w:hAnsiTheme="minorEastAsia" w:eastAsiaTheme="minorEastAsia" w:cstheme="minorEastAsia"/>
          <w:b/>
          <w:color w:val="auto"/>
          <w:sz w:val="24"/>
          <w:highlight w:val="none"/>
        </w:rPr>
        <w:t>（评审标准详附表二</w:t>
      </w:r>
      <w:r>
        <w:rPr>
          <w:rFonts w:hint="eastAsia" w:asciiTheme="minorEastAsia" w:hAnsiTheme="minorEastAsia" w:eastAsiaTheme="minorEastAsia" w:cstheme="minorEastAsia"/>
          <w:color w:val="auto"/>
          <w:sz w:val="24"/>
          <w:highlight w:val="none"/>
        </w:rPr>
        <w:t>）</w:t>
      </w:r>
    </w:p>
    <w:p>
      <w:pPr>
        <w:spacing w:line="360" w:lineRule="auto"/>
        <w:ind w:firstLine="451" w:firstLineChars="1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4.2.2 经济部分评审</w:t>
      </w:r>
    </w:p>
    <w:p>
      <w:pPr>
        <w:autoSpaceDE w:val="0"/>
        <w:autoSpaceDN w:val="0"/>
        <w:adjustRightInd w:val="0"/>
        <w:spacing w:line="360" w:lineRule="auto"/>
        <w:ind w:firstLine="472" w:firstLineChars="19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bCs/>
          <w:color w:val="auto"/>
          <w:sz w:val="24"/>
          <w:highlight w:val="none"/>
        </w:rPr>
        <w:t>经济部分评标主要因素：报价。</w:t>
      </w:r>
      <w:r>
        <w:rPr>
          <w:rFonts w:hint="eastAsia" w:asciiTheme="minorEastAsia" w:hAnsiTheme="minorEastAsia" w:eastAsiaTheme="minorEastAsia" w:cstheme="minorEastAsia"/>
          <w:color w:val="auto"/>
          <w:kern w:val="0"/>
          <w:sz w:val="24"/>
          <w:highlight w:val="none"/>
        </w:rPr>
        <w:t>报价得分采用低价优先法计算，即满足招标文件要求且投标价格最低的投标报价为评标基准价，其价格分为满分。</w:t>
      </w:r>
      <w:r>
        <w:rPr>
          <w:rFonts w:hint="eastAsia" w:asciiTheme="minorEastAsia" w:hAnsiTheme="minorEastAsia" w:eastAsiaTheme="minorEastAsia" w:cstheme="minorEastAsia"/>
          <w:color w:val="auto"/>
          <w:sz w:val="24"/>
          <w:highlight w:val="none"/>
        </w:rPr>
        <w:t>评委按照招标文件要求对投标文件进行评审：</w:t>
      </w:r>
      <w:r>
        <w:rPr>
          <w:rFonts w:hint="eastAsia" w:asciiTheme="minorEastAsia" w:hAnsiTheme="minorEastAsia" w:eastAsiaTheme="minorEastAsia" w:cstheme="minorEastAsia"/>
          <w:color w:val="auto"/>
          <w:kern w:val="0"/>
          <w:sz w:val="24"/>
          <w:highlight w:val="none"/>
          <w:lang w:val="zh-CN"/>
        </w:rPr>
        <w:t>投标报价＝经评审后的投标报价。</w:t>
      </w:r>
      <w:bookmarkStart w:id="8" w:name="OLE_LINK2"/>
    </w:p>
    <w:p>
      <w:pPr>
        <w:autoSpaceDE w:val="0"/>
        <w:autoSpaceDN w:val="0"/>
        <w:adjustRightInd w:val="0"/>
        <w:spacing w:line="360" w:lineRule="auto"/>
        <w:ind w:firstLine="470" w:firstLineChars="195"/>
        <w:rPr>
          <w:rFonts w:hint="eastAsia"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rPr>
        <w:t>4.2.2.1</w:t>
      </w:r>
      <w:bookmarkEnd w:id="8"/>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bCs/>
          <w:color w:val="auto"/>
          <w:sz w:val="24"/>
          <w:highlight w:val="none"/>
          <w:lang w:val="zh-CN"/>
        </w:rPr>
        <w:t>评标基准价的计算</w:t>
      </w:r>
    </w:p>
    <w:p>
      <w:pPr>
        <w:autoSpaceDE w:val="0"/>
        <w:autoSpaceDN w:val="0"/>
        <w:adjustRightInd w:val="0"/>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zh-CN"/>
        </w:rPr>
        <w:t>评标基准价=</w:t>
      </w:r>
      <w:r>
        <w:rPr>
          <w:rFonts w:hint="eastAsia" w:asciiTheme="minorEastAsia" w:hAnsiTheme="minorEastAsia" w:eastAsiaTheme="minorEastAsia" w:cstheme="minorEastAsia"/>
          <w:b/>
          <w:bCs/>
          <w:color w:val="auto"/>
          <w:sz w:val="24"/>
          <w:highlight w:val="none"/>
        </w:rPr>
        <w:t>有效报价的最低价</w:t>
      </w:r>
      <w:bookmarkStart w:id="9" w:name="OLE_LINK3"/>
    </w:p>
    <w:p>
      <w:pPr>
        <w:autoSpaceDE w:val="0"/>
        <w:autoSpaceDN w:val="0"/>
        <w:adjustRightInd w:val="0"/>
        <w:spacing w:line="360" w:lineRule="auto"/>
        <w:ind w:firstLine="482" w:firstLineChars="200"/>
        <w:rPr>
          <w:rFonts w:hint="eastAsia"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rPr>
        <w:t>4.2.2.2</w:t>
      </w:r>
      <w:bookmarkEnd w:id="9"/>
      <w:r>
        <w:rPr>
          <w:rFonts w:hint="eastAsia" w:asciiTheme="minorEastAsia" w:hAnsiTheme="minorEastAsia" w:eastAsiaTheme="minorEastAsia" w:cstheme="minorEastAsia"/>
          <w:b/>
          <w:bCs/>
          <w:color w:val="auto"/>
          <w:sz w:val="24"/>
          <w:highlight w:val="none"/>
        </w:rPr>
        <w:t xml:space="preserve"> 投标报价得分=(评标基准价／投标报价)×100×</w:t>
      </w:r>
      <w:r>
        <w:rPr>
          <w:rFonts w:hint="eastAsia" w:asciiTheme="minorEastAsia" w:hAnsiTheme="minorEastAsia" w:eastAsiaTheme="minorEastAsia" w:cstheme="minorEastAsia"/>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rPr>
        <w:t>0%</w:t>
      </w:r>
    </w:p>
    <w:p>
      <w:pPr>
        <w:autoSpaceDE w:val="0"/>
        <w:autoSpaceDN w:val="0"/>
        <w:adjustRightInd w:val="0"/>
        <w:spacing w:line="360" w:lineRule="auto"/>
        <w:ind w:firstLine="482" w:firstLineChars="200"/>
        <w:rPr>
          <w:rFonts w:hint="eastAsia"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评分分值计算保留小数点后两位，小数点后三位“四舍五入”。</w:t>
      </w:r>
    </w:p>
    <w:p>
      <w:pPr>
        <w:autoSpaceDE w:val="0"/>
        <w:autoSpaceDN w:val="0"/>
        <w:adjustRightInd w:val="0"/>
        <w:spacing w:line="360" w:lineRule="auto"/>
        <w:ind w:firstLine="482"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投标报价得分扣完为止，最低得分为零分</w:t>
      </w:r>
      <w:r>
        <w:rPr>
          <w:rFonts w:hint="eastAsia" w:asciiTheme="minorEastAsia" w:hAnsiTheme="minorEastAsia" w:eastAsiaTheme="minorEastAsia" w:cstheme="minorEastAsia"/>
          <w:color w:val="auto"/>
          <w:sz w:val="24"/>
          <w:highlight w:val="none"/>
          <w:lang w:val="zh-CN"/>
        </w:rPr>
        <w:t>。</w:t>
      </w:r>
    </w:p>
    <w:p>
      <w:pPr>
        <w:spacing w:line="360" w:lineRule="auto"/>
        <w:ind w:firstLine="472" w:firstLineChars="1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4.2.3  K1经济部分（报价）、K2(商务、技术部分)权重取值范围：K1=</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0%，K2=</w:t>
      </w: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0%，且K1+K2=1。</w:t>
      </w:r>
    </w:p>
    <w:p>
      <w:pPr>
        <w:spacing w:line="360" w:lineRule="auto"/>
        <w:ind w:firstLine="472"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4.3 投标文件的澄清和补正</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4.3.1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的实质性内容。拒不按照要求对投标文件进行澄清、说明或者补正的，评标委员会可以否决其投标，作废标处理。评标委员会不接受投标人主动提出的澄清、说明或补正。</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4.3.2 澄清、说明和补正不得改变投标文件的实质性内容（算术性错误修正的除外）。投标人的书面澄清、说明和补正属于投标文件的组成部分。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4.3.3 评标委员会对投标人提交的澄清、说明或补正有疑问的，可以要求投标人进一步澄清、说明或补正，直至满足评标委员会的要求。</w:t>
      </w:r>
    </w:p>
    <w:p>
      <w:pPr>
        <w:spacing w:line="360" w:lineRule="auto"/>
        <w:ind w:firstLine="470" w:firstLineChars="1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4.4 评标结果</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4.4.1评标委员会通过评标办法以得分由高到低确定出前三名作为中标候选人推荐给</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。得分相同的，按最终报价由低到高顺序排列。得分且投标报价相同的，由</w:t>
      </w:r>
      <w:r>
        <w:rPr>
          <w:rFonts w:hint="eastAsia" w:asciiTheme="minorEastAsia" w:hAnsiTheme="minorEastAsia" w:eastAsiaTheme="minorEastAsia" w:cstheme="minorEastAsia"/>
          <w:color w:val="auto"/>
          <w:sz w:val="24"/>
          <w:highlight w:val="none"/>
          <w:lang w:val="en-US" w:eastAsia="zh-CN"/>
        </w:rPr>
        <w:t>评标委员会</w:t>
      </w:r>
      <w:r>
        <w:rPr>
          <w:rFonts w:hint="eastAsia" w:asciiTheme="minorEastAsia" w:hAnsiTheme="minorEastAsia" w:eastAsiaTheme="minorEastAsia" w:cstheme="minorEastAsia"/>
          <w:color w:val="auto"/>
          <w:sz w:val="24"/>
          <w:highlight w:val="none"/>
        </w:rPr>
        <w:t>按照少数服从多数原则现场投票表决或现场随机抽取确定排序。</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4.4.</w:t>
      </w:r>
      <w:r>
        <w:rPr>
          <w:rFonts w:hint="eastAsia" w:asciiTheme="minorEastAsia" w:hAnsiTheme="minorEastAsia" w:eastAsiaTheme="minorEastAsia" w:cstheme="minorEastAsia"/>
          <w:color w:val="auto"/>
          <w:sz w:val="24"/>
          <w:highlight w:val="none"/>
          <w:lang w:val="en-US" w:eastAsia="zh-CN"/>
        </w:rPr>
        <w:t xml:space="preserve">2 </w:t>
      </w:r>
      <w:r>
        <w:rPr>
          <w:rFonts w:hint="eastAsia" w:asciiTheme="minorEastAsia" w:hAnsiTheme="minorEastAsia" w:eastAsiaTheme="minorEastAsia" w:cstheme="minorEastAsia"/>
          <w:color w:val="auto"/>
          <w:sz w:val="24"/>
          <w:highlight w:val="none"/>
        </w:rPr>
        <w:t>依法必须招标的项目，</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应当确定排名第一的中标候选人为中标人。排名第一的中标候选人放弃中标、因不可抗力提出不能履行合同，或者招标文件规定应当提交履约保证金而在规定的期限内未能提交的，</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可以确定排名第二的中标候选人为中标人。排名第二的中标候选人因前款确定的同样原因不能签订合同的，</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可以确定排名前三的中标候选人为中标人。</w:t>
      </w:r>
      <w:r>
        <w:rPr>
          <w:rFonts w:hint="eastAsia" w:asciiTheme="minorEastAsia" w:hAnsiTheme="minorEastAsia" w:eastAsiaTheme="minorEastAsia" w:cstheme="minorEastAsia"/>
          <w:color w:val="auto"/>
          <w:sz w:val="24"/>
          <w:highlight w:val="none"/>
          <w:lang w:val="en-US" w:eastAsia="zh-CN"/>
        </w:rPr>
        <w:t>也可重新招标。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4.4.</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 xml:space="preserve"> 评标委员会完成评标后，应当向</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提交书面评标报告。</w:t>
      </w:r>
    </w:p>
    <w:p>
      <w:pPr>
        <w:spacing w:line="360" w:lineRule="auto"/>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color w:val="auto"/>
          <w:sz w:val="24"/>
          <w:highlight w:val="none"/>
        </w:rPr>
        <w:t>5、</w:t>
      </w:r>
      <w:r>
        <w:rPr>
          <w:rFonts w:hint="eastAsia" w:asciiTheme="minorEastAsia" w:hAnsiTheme="minorEastAsia" w:eastAsiaTheme="minorEastAsia" w:cstheme="minorEastAsia"/>
          <w:b/>
          <w:color w:val="auto"/>
          <w:sz w:val="24"/>
          <w:highlight w:val="none"/>
          <w:lang w:val="en-US" w:eastAsia="zh-CN"/>
        </w:rPr>
        <w:t>投标无效的情形</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投标人或其投标文件有下列情形之一的，其投标作</w:t>
      </w:r>
      <w:r>
        <w:rPr>
          <w:rFonts w:hint="eastAsia" w:asciiTheme="minorEastAsia" w:hAnsiTheme="minorEastAsia" w:eastAsiaTheme="minorEastAsia" w:cstheme="minorEastAsia"/>
          <w:color w:val="auto"/>
          <w:sz w:val="24"/>
          <w:highlight w:val="none"/>
          <w:lang w:val="en-US" w:eastAsia="zh-CN"/>
        </w:rPr>
        <w:t>无效标</w:t>
      </w:r>
      <w:r>
        <w:rPr>
          <w:rFonts w:hint="eastAsia" w:asciiTheme="minorEastAsia" w:hAnsiTheme="minorEastAsia" w:eastAsiaTheme="minorEastAsia" w:cstheme="minorEastAsia"/>
          <w:color w:val="auto"/>
          <w:sz w:val="24"/>
          <w:highlight w:val="none"/>
        </w:rPr>
        <w:t>处理：</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（1）串通投标或弄虚作假或有其他违法行为的；</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（2）不按评标委员会要求澄清、说明或补正的；</w:t>
      </w:r>
    </w:p>
    <w:p>
      <w:pPr>
        <w:adjustRightInd w:val="0"/>
        <w:snapToGrid w:val="0"/>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（3）评标委员会认定投标人以低于成本报价竞标的；</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（4）投标报价有算术错误的，评标委员会按以上原则对投标报价进行修正，修正后的投标报价对投标人起约束作用，投标人不接受修正价格的；</w:t>
      </w:r>
    </w:p>
    <w:p>
      <w:pPr>
        <w:snapToGrid w:val="0"/>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招标文件约定的其他</w:t>
      </w:r>
      <w:r>
        <w:rPr>
          <w:rFonts w:hint="eastAsia" w:asciiTheme="minorEastAsia" w:hAnsiTheme="minorEastAsia" w:eastAsiaTheme="minorEastAsia" w:cstheme="minorEastAsia"/>
          <w:b/>
          <w:bCs/>
          <w:color w:val="auto"/>
          <w:sz w:val="24"/>
          <w:highlight w:val="none"/>
          <w:lang w:val="en-US" w:eastAsia="zh-CN"/>
        </w:rPr>
        <w:t>投标无效的情形</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4"/>
          <w:highlight w:val="none"/>
        </w:rPr>
        <w:t>附表一</w:t>
      </w:r>
    </w:p>
    <w:p>
      <w:pPr>
        <w:jc w:val="center"/>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lang w:eastAsia="zh-CN"/>
        </w:rPr>
        <w:t>符合性审查表</w:t>
      </w:r>
    </w:p>
    <w:tbl>
      <w:tblPr>
        <w:tblStyle w:val="22"/>
        <w:tblW w:w="94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2"/>
        <w:gridCol w:w="530"/>
        <w:gridCol w:w="6747"/>
        <w:gridCol w:w="712"/>
        <w:gridCol w:w="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772" w:type="dxa"/>
            <w:vMerge w:val="restart"/>
            <w:tcBorders>
              <w:top w:val="single" w:color="auto" w:sz="12" w:space="0"/>
            </w:tcBorders>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w:t>
            </w:r>
          </w:p>
        </w:tc>
        <w:tc>
          <w:tcPr>
            <w:tcW w:w="7277" w:type="dxa"/>
            <w:gridSpan w:val="2"/>
            <w:vMerge w:val="restart"/>
            <w:tcBorders>
              <w:top w:val="single" w:color="auto" w:sz="12" w:space="0"/>
            </w:tcBorders>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评审内容</w:t>
            </w:r>
          </w:p>
        </w:tc>
        <w:tc>
          <w:tcPr>
            <w:tcW w:w="1430" w:type="dxa"/>
            <w:gridSpan w:val="2"/>
            <w:tcBorders>
              <w:top w:val="single" w:color="auto" w:sz="12" w:space="0"/>
            </w:tcBorders>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72" w:type="dxa"/>
            <w:vMerge w:val="continue"/>
            <w:vAlign w:val="center"/>
          </w:tcPr>
          <w:p>
            <w:pPr>
              <w:jc w:val="center"/>
              <w:rPr>
                <w:rFonts w:hint="eastAsia" w:asciiTheme="minorEastAsia" w:hAnsiTheme="minorEastAsia" w:eastAsiaTheme="minorEastAsia" w:cstheme="minorEastAsia"/>
                <w:b/>
                <w:color w:val="auto"/>
                <w:sz w:val="24"/>
                <w:highlight w:val="none"/>
              </w:rPr>
            </w:pPr>
          </w:p>
        </w:tc>
        <w:tc>
          <w:tcPr>
            <w:tcW w:w="7277" w:type="dxa"/>
            <w:gridSpan w:val="2"/>
            <w:vMerge w:val="continue"/>
          </w:tcPr>
          <w:p>
            <w:pPr>
              <w:rPr>
                <w:rFonts w:hint="eastAsia" w:asciiTheme="minorEastAsia" w:hAnsiTheme="minorEastAsia" w:eastAsiaTheme="minorEastAsia" w:cstheme="minorEastAsia"/>
                <w:b/>
                <w:color w:val="auto"/>
                <w:sz w:val="24"/>
                <w:highlight w:val="none"/>
              </w:rPr>
            </w:pPr>
          </w:p>
        </w:tc>
        <w:tc>
          <w:tcPr>
            <w:tcW w:w="712" w:type="dxa"/>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是</w:t>
            </w:r>
          </w:p>
        </w:tc>
        <w:tc>
          <w:tcPr>
            <w:tcW w:w="718" w:type="dxa"/>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772" w:type="dxa"/>
            <w:vMerge w:val="restart"/>
            <w:vAlign w:val="center"/>
          </w:tcPr>
          <w:p>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初</w:t>
            </w:r>
          </w:p>
          <w:p>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步</w:t>
            </w:r>
          </w:p>
          <w:p>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w:t>
            </w:r>
          </w:p>
          <w:p>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审</w:t>
            </w:r>
          </w:p>
          <w:p>
            <w:pPr>
              <w:jc w:val="center"/>
              <w:rPr>
                <w:rFonts w:hint="eastAsia" w:asciiTheme="minorEastAsia" w:hAnsiTheme="minorEastAsia" w:eastAsiaTheme="minorEastAsia" w:cstheme="minorEastAsia"/>
                <w:color w:val="auto"/>
                <w:sz w:val="20"/>
                <w:szCs w:val="20"/>
                <w:highlight w:val="none"/>
              </w:rPr>
            </w:pPr>
          </w:p>
        </w:tc>
        <w:tc>
          <w:tcPr>
            <w:tcW w:w="530" w:type="dxa"/>
            <w:vAlign w:val="center"/>
          </w:tcPr>
          <w:p>
            <w:pPr>
              <w:spacing w:line="32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p>
        </w:tc>
        <w:tc>
          <w:tcPr>
            <w:tcW w:w="6747" w:type="dxa"/>
            <w:vAlign w:val="center"/>
          </w:tcPr>
          <w:p>
            <w:pPr>
              <w:rPr>
                <w:rFonts w:hint="eastAsia" w:asciiTheme="minorEastAsia" w:hAnsiTheme="minorEastAsia" w:eastAsiaTheme="minorEastAsia" w:cstheme="minorEastAsia"/>
                <w:color w:val="auto"/>
                <w:sz w:val="22"/>
                <w:szCs w:val="22"/>
                <w:highlight w:val="none"/>
                <w:lang w:val="en-US" w:eastAsia="zh-CN"/>
              </w:rPr>
            </w:pPr>
            <w:r>
              <w:rPr>
                <w:rFonts w:hint="eastAsia"/>
                <w:color w:val="auto"/>
                <w:highlight w:val="none"/>
              </w:rPr>
              <w:t>投标人名称是否与营业执照一致；</w:t>
            </w:r>
          </w:p>
        </w:tc>
        <w:tc>
          <w:tcPr>
            <w:tcW w:w="712" w:type="dxa"/>
            <w:tcBorders>
              <w:right w:val="single" w:color="auto" w:sz="4" w:space="0"/>
            </w:tcBorders>
            <w:vAlign w:val="center"/>
          </w:tcPr>
          <w:p>
            <w:pPr>
              <w:jc w:val="center"/>
              <w:rPr>
                <w:rFonts w:hint="eastAsia" w:asciiTheme="minorEastAsia" w:hAnsiTheme="minorEastAsia" w:eastAsiaTheme="minorEastAsia" w:cstheme="minorEastAsia"/>
                <w:color w:val="auto"/>
                <w:sz w:val="20"/>
                <w:szCs w:val="22"/>
                <w:highlight w:val="none"/>
              </w:rPr>
            </w:pPr>
          </w:p>
        </w:tc>
        <w:tc>
          <w:tcPr>
            <w:tcW w:w="718" w:type="dxa"/>
            <w:tcBorders>
              <w:left w:val="single" w:color="auto" w:sz="4" w:space="0"/>
            </w:tcBorders>
            <w:vAlign w:val="center"/>
          </w:tcPr>
          <w:p>
            <w:pPr>
              <w:jc w:val="center"/>
              <w:rPr>
                <w:rFonts w:hint="eastAsia" w:asciiTheme="minorEastAsia" w:hAnsiTheme="minorEastAsia" w:eastAsiaTheme="minorEastAsia" w:cstheme="minorEastAsia"/>
                <w:color w:val="auto"/>
                <w:sz w:val="20"/>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8" w:hRule="exact"/>
          <w:jc w:val="center"/>
        </w:trPr>
        <w:tc>
          <w:tcPr>
            <w:tcW w:w="772" w:type="dxa"/>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530" w:type="dxa"/>
            <w:vAlign w:val="center"/>
          </w:tcPr>
          <w:p>
            <w:pPr>
              <w:spacing w:line="32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674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2"/>
                <w:szCs w:val="22"/>
                <w:highlight w:val="none"/>
              </w:rPr>
            </w:pPr>
            <w:r>
              <w:rPr>
                <w:rFonts w:hint="eastAsia"/>
                <w:color w:val="auto"/>
                <w:highlight w:val="none"/>
                <w:lang w:eastAsia="zh-CN"/>
              </w:rPr>
              <w:t>响应</w:t>
            </w:r>
            <w:r>
              <w:rPr>
                <w:rFonts w:hint="eastAsia"/>
                <w:color w:val="auto"/>
                <w:highlight w:val="none"/>
              </w:rPr>
              <w:t>文件是否有投标单位法定代表人或其授权代表签字或盖章和加盖了投标单位的公章；</w:t>
            </w:r>
          </w:p>
        </w:tc>
        <w:tc>
          <w:tcPr>
            <w:tcW w:w="712" w:type="dxa"/>
            <w:tcBorders>
              <w:right w:val="single" w:color="auto" w:sz="4" w:space="0"/>
            </w:tcBorders>
            <w:vAlign w:val="center"/>
          </w:tcPr>
          <w:p>
            <w:pPr>
              <w:jc w:val="center"/>
              <w:rPr>
                <w:rFonts w:hint="eastAsia" w:asciiTheme="minorEastAsia" w:hAnsiTheme="minorEastAsia" w:eastAsiaTheme="minorEastAsia" w:cstheme="minorEastAsia"/>
                <w:color w:val="auto"/>
                <w:sz w:val="20"/>
                <w:szCs w:val="22"/>
                <w:highlight w:val="none"/>
              </w:rPr>
            </w:pPr>
          </w:p>
        </w:tc>
        <w:tc>
          <w:tcPr>
            <w:tcW w:w="718" w:type="dxa"/>
            <w:tcBorders>
              <w:left w:val="single" w:color="auto" w:sz="4" w:space="0"/>
            </w:tcBorders>
            <w:vAlign w:val="center"/>
          </w:tcPr>
          <w:p>
            <w:pPr>
              <w:jc w:val="center"/>
              <w:rPr>
                <w:rFonts w:hint="eastAsia" w:asciiTheme="minorEastAsia" w:hAnsiTheme="minorEastAsia" w:eastAsiaTheme="minorEastAsia" w:cstheme="minorEastAsia"/>
                <w:color w:val="auto"/>
                <w:sz w:val="20"/>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772" w:type="dxa"/>
            <w:vMerge w:val="continue"/>
            <w:vAlign w:val="center"/>
          </w:tcPr>
          <w:p>
            <w:pPr>
              <w:jc w:val="center"/>
              <w:rPr>
                <w:rFonts w:hint="eastAsia" w:asciiTheme="minorEastAsia" w:hAnsiTheme="minorEastAsia" w:eastAsiaTheme="minorEastAsia" w:cstheme="minorEastAsia"/>
                <w:color w:val="auto"/>
                <w:sz w:val="20"/>
                <w:szCs w:val="20"/>
                <w:highlight w:val="none"/>
              </w:rPr>
            </w:pPr>
          </w:p>
        </w:tc>
        <w:tc>
          <w:tcPr>
            <w:tcW w:w="530" w:type="dxa"/>
            <w:vAlign w:val="center"/>
          </w:tcPr>
          <w:p>
            <w:pPr>
              <w:spacing w:line="320" w:lineRule="exact"/>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674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2"/>
                <w:szCs w:val="22"/>
                <w:highlight w:val="none"/>
              </w:rPr>
            </w:pPr>
            <w:r>
              <w:rPr>
                <w:rFonts w:hint="eastAsia"/>
                <w:color w:val="auto"/>
                <w:highlight w:val="none"/>
                <w:lang w:val="en-US" w:eastAsia="zh-CN"/>
              </w:rPr>
              <w:t>相关资格证件是否齐全</w:t>
            </w:r>
            <w:r>
              <w:rPr>
                <w:rFonts w:hint="eastAsia" w:ascii="宋体" w:hAnsi="宋体" w:eastAsia="宋体" w:cs="宋体"/>
                <w:i w:val="0"/>
                <w:color w:val="auto"/>
                <w:kern w:val="0"/>
                <w:sz w:val="21"/>
                <w:szCs w:val="21"/>
                <w:highlight w:val="none"/>
                <w:u w:val="none"/>
                <w:lang w:val="en-US" w:eastAsia="zh-CN" w:bidi="ar"/>
              </w:rPr>
              <w:t>（详见供应商须知前附表供应商资格要求）；</w:t>
            </w:r>
          </w:p>
        </w:tc>
        <w:tc>
          <w:tcPr>
            <w:tcW w:w="712" w:type="dxa"/>
            <w:tcBorders>
              <w:right w:val="single" w:color="auto" w:sz="4" w:space="0"/>
            </w:tcBorders>
            <w:vAlign w:val="center"/>
          </w:tcPr>
          <w:p>
            <w:pPr>
              <w:jc w:val="center"/>
              <w:rPr>
                <w:rFonts w:hint="eastAsia" w:asciiTheme="minorEastAsia" w:hAnsiTheme="minorEastAsia" w:eastAsiaTheme="minorEastAsia" w:cstheme="minorEastAsia"/>
                <w:color w:val="auto"/>
                <w:sz w:val="20"/>
                <w:szCs w:val="22"/>
                <w:highlight w:val="none"/>
              </w:rPr>
            </w:pPr>
          </w:p>
        </w:tc>
        <w:tc>
          <w:tcPr>
            <w:tcW w:w="718" w:type="dxa"/>
            <w:tcBorders>
              <w:left w:val="single" w:color="auto" w:sz="4" w:space="0"/>
            </w:tcBorders>
            <w:vAlign w:val="center"/>
          </w:tcPr>
          <w:p>
            <w:pPr>
              <w:jc w:val="center"/>
              <w:rPr>
                <w:rFonts w:hint="eastAsia" w:asciiTheme="minorEastAsia" w:hAnsiTheme="minorEastAsia" w:eastAsiaTheme="minorEastAsia" w:cstheme="minorEastAsia"/>
                <w:color w:val="auto"/>
                <w:sz w:val="20"/>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772" w:type="dxa"/>
            <w:vMerge w:val="continue"/>
            <w:vAlign w:val="center"/>
          </w:tcPr>
          <w:p>
            <w:pPr>
              <w:jc w:val="center"/>
              <w:rPr>
                <w:rFonts w:hint="eastAsia" w:asciiTheme="minorEastAsia" w:hAnsiTheme="minorEastAsia" w:eastAsiaTheme="minorEastAsia" w:cstheme="minorEastAsia"/>
                <w:color w:val="auto"/>
                <w:sz w:val="20"/>
                <w:szCs w:val="22"/>
                <w:highlight w:val="none"/>
              </w:rPr>
            </w:pPr>
          </w:p>
        </w:tc>
        <w:tc>
          <w:tcPr>
            <w:tcW w:w="530" w:type="dxa"/>
            <w:vAlign w:val="center"/>
          </w:tcPr>
          <w:p>
            <w:pPr>
              <w:spacing w:line="320" w:lineRule="exact"/>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6747" w:type="dxa"/>
            <w:vAlign w:val="center"/>
          </w:tcPr>
          <w:p>
            <w:pPr>
              <w:rPr>
                <w:rFonts w:hint="eastAsia" w:asciiTheme="minorEastAsia" w:hAnsiTheme="minorEastAsia" w:eastAsiaTheme="minorEastAsia" w:cstheme="minorEastAsia"/>
                <w:color w:val="auto"/>
                <w:sz w:val="22"/>
                <w:szCs w:val="22"/>
                <w:highlight w:val="none"/>
              </w:rPr>
            </w:pPr>
            <w:r>
              <w:rPr>
                <w:rFonts w:hint="eastAsia"/>
                <w:color w:val="auto"/>
                <w:highlight w:val="none"/>
                <w:lang w:eastAsia="zh-CN"/>
              </w:rPr>
              <w:t>投标总价是否超过设定的最高限价的；</w:t>
            </w:r>
          </w:p>
        </w:tc>
        <w:tc>
          <w:tcPr>
            <w:tcW w:w="712" w:type="dxa"/>
            <w:tcBorders>
              <w:right w:val="single" w:color="auto" w:sz="4" w:space="0"/>
            </w:tcBorders>
          </w:tcPr>
          <w:p>
            <w:pPr>
              <w:rPr>
                <w:rFonts w:hint="eastAsia" w:asciiTheme="minorEastAsia" w:hAnsiTheme="minorEastAsia" w:eastAsiaTheme="minorEastAsia" w:cstheme="minorEastAsia"/>
                <w:color w:val="auto"/>
                <w:sz w:val="20"/>
                <w:szCs w:val="22"/>
                <w:highlight w:val="none"/>
              </w:rPr>
            </w:pPr>
          </w:p>
        </w:tc>
        <w:tc>
          <w:tcPr>
            <w:tcW w:w="718" w:type="dxa"/>
            <w:tcBorders>
              <w:left w:val="single" w:color="auto" w:sz="4" w:space="0"/>
            </w:tcBorders>
          </w:tcPr>
          <w:p>
            <w:pPr>
              <w:rPr>
                <w:rFonts w:hint="eastAsia" w:asciiTheme="minorEastAsia" w:hAnsiTheme="minorEastAsia" w:eastAsiaTheme="minorEastAsia" w:cstheme="minorEastAsia"/>
                <w:color w:val="auto"/>
                <w:sz w:val="20"/>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772" w:type="dxa"/>
            <w:vMerge w:val="continue"/>
            <w:vAlign w:val="center"/>
          </w:tcPr>
          <w:p>
            <w:pPr>
              <w:jc w:val="center"/>
              <w:rPr>
                <w:rFonts w:hint="eastAsia" w:asciiTheme="minorEastAsia" w:hAnsiTheme="minorEastAsia" w:eastAsiaTheme="minorEastAsia" w:cstheme="minorEastAsia"/>
                <w:color w:val="auto"/>
                <w:sz w:val="20"/>
                <w:szCs w:val="22"/>
                <w:highlight w:val="none"/>
              </w:rPr>
            </w:pPr>
          </w:p>
        </w:tc>
        <w:tc>
          <w:tcPr>
            <w:tcW w:w="530" w:type="dxa"/>
            <w:vAlign w:val="center"/>
          </w:tcPr>
          <w:p>
            <w:pPr>
              <w:spacing w:line="320" w:lineRule="exact"/>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6747" w:type="dxa"/>
            <w:vAlign w:val="center"/>
          </w:tcPr>
          <w:p>
            <w:pPr>
              <w:rPr>
                <w:rFonts w:hint="eastAsia" w:asciiTheme="minorEastAsia" w:hAnsiTheme="minorEastAsia" w:eastAsiaTheme="minorEastAsia" w:cstheme="minorEastAsia"/>
                <w:color w:val="auto"/>
                <w:sz w:val="22"/>
                <w:szCs w:val="22"/>
                <w:highlight w:val="none"/>
              </w:rPr>
            </w:pPr>
            <w:r>
              <w:rPr>
                <w:rFonts w:hint="eastAsia"/>
                <w:color w:val="auto"/>
                <w:highlight w:val="none"/>
                <w:lang w:eastAsia="zh-CN"/>
              </w:rPr>
              <w:t>投标人是否对同一采购项目作出两个以上报价未明确效力的；</w:t>
            </w:r>
          </w:p>
        </w:tc>
        <w:tc>
          <w:tcPr>
            <w:tcW w:w="712" w:type="dxa"/>
            <w:tcBorders>
              <w:right w:val="single" w:color="auto" w:sz="4" w:space="0"/>
            </w:tcBorders>
          </w:tcPr>
          <w:p>
            <w:pPr>
              <w:rPr>
                <w:rFonts w:hint="eastAsia" w:asciiTheme="minorEastAsia" w:hAnsiTheme="minorEastAsia" w:eastAsiaTheme="minorEastAsia" w:cstheme="minorEastAsia"/>
                <w:color w:val="auto"/>
                <w:sz w:val="20"/>
                <w:szCs w:val="22"/>
                <w:highlight w:val="none"/>
              </w:rPr>
            </w:pPr>
          </w:p>
        </w:tc>
        <w:tc>
          <w:tcPr>
            <w:tcW w:w="718" w:type="dxa"/>
            <w:tcBorders>
              <w:left w:val="single" w:color="auto" w:sz="4" w:space="0"/>
            </w:tcBorders>
          </w:tcPr>
          <w:p>
            <w:pPr>
              <w:rPr>
                <w:rFonts w:hint="eastAsia" w:asciiTheme="minorEastAsia" w:hAnsiTheme="minorEastAsia" w:eastAsiaTheme="minorEastAsia" w:cstheme="minorEastAsia"/>
                <w:color w:val="auto"/>
                <w:sz w:val="20"/>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772" w:type="dxa"/>
            <w:vMerge w:val="continue"/>
            <w:vAlign w:val="center"/>
          </w:tcPr>
          <w:p>
            <w:pPr>
              <w:jc w:val="center"/>
              <w:rPr>
                <w:rFonts w:hint="eastAsia" w:asciiTheme="minorEastAsia" w:hAnsiTheme="minorEastAsia" w:eastAsiaTheme="minorEastAsia" w:cstheme="minorEastAsia"/>
                <w:color w:val="auto"/>
                <w:sz w:val="20"/>
                <w:szCs w:val="22"/>
                <w:highlight w:val="none"/>
              </w:rPr>
            </w:pPr>
          </w:p>
        </w:tc>
        <w:tc>
          <w:tcPr>
            <w:tcW w:w="530" w:type="dxa"/>
            <w:vAlign w:val="center"/>
          </w:tcPr>
          <w:p>
            <w:pPr>
              <w:spacing w:line="320" w:lineRule="exact"/>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6</w:t>
            </w:r>
          </w:p>
        </w:tc>
        <w:tc>
          <w:tcPr>
            <w:tcW w:w="6747" w:type="dxa"/>
            <w:vAlign w:val="center"/>
          </w:tcPr>
          <w:p>
            <w:pPr>
              <w:rPr>
                <w:rFonts w:hint="eastAsia" w:asciiTheme="minorEastAsia" w:hAnsiTheme="minorEastAsia" w:eastAsiaTheme="minorEastAsia" w:cstheme="minorEastAsia"/>
                <w:color w:val="auto"/>
                <w:sz w:val="22"/>
                <w:szCs w:val="22"/>
                <w:highlight w:val="none"/>
              </w:rPr>
            </w:pPr>
            <w:r>
              <w:rPr>
                <w:rFonts w:hint="eastAsia"/>
                <w:color w:val="auto"/>
                <w:highlight w:val="none"/>
                <w:lang w:val="en-US" w:eastAsia="zh-CN"/>
              </w:rPr>
              <w:t>采购</w:t>
            </w:r>
            <w:r>
              <w:rPr>
                <w:rFonts w:hint="eastAsia"/>
                <w:color w:val="auto"/>
                <w:highlight w:val="none"/>
                <w:lang w:eastAsia="zh-CN"/>
              </w:rPr>
              <w:t>内容、完成期限、质量要求等是否符合采购文件要求；</w:t>
            </w:r>
          </w:p>
        </w:tc>
        <w:tc>
          <w:tcPr>
            <w:tcW w:w="712" w:type="dxa"/>
            <w:tcBorders>
              <w:right w:val="single" w:color="auto" w:sz="4" w:space="0"/>
            </w:tcBorders>
          </w:tcPr>
          <w:p>
            <w:pPr>
              <w:rPr>
                <w:rFonts w:hint="eastAsia" w:asciiTheme="minorEastAsia" w:hAnsiTheme="minorEastAsia" w:eastAsiaTheme="minorEastAsia" w:cstheme="minorEastAsia"/>
                <w:color w:val="auto"/>
                <w:sz w:val="20"/>
                <w:szCs w:val="22"/>
                <w:highlight w:val="none"/>
                <w:lang w:eastAsia="zh-CN"/>
              </w:rPr>
            </w:pPr>
          </w:p>
        </w:tc>
        <w:tc>
          <w:tcPr>
            <w:tcW w:w="718" w:type="dxa"/>
            <w:tcBorders>
              <w:left w:val="single" w:color="auto" w:sz="4" w:space="0"/>
            </w:tcBorders>
          </w:tcPr>
          <w:p>
            <w:pPr>
              <w:rPr>
                <w:rFonts w:hint="eastAsia" w:asciiTheme="minorEastAsia" w:hAnsiTheme="minorEastAsia" w:eastAsiaTheme="minorEastAsia" w:cstheme="minorEastAsia"/>
                <w:color w:val="auto"/>
                <w:sz w:val="20"/>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772" w:type="dxa"/>
            <w:vMerge w:val="continue"/>
            <w:vAlign w:val="center"/>
          </w:tcPr>
          <w:p>
            <w:pPr>
              <w:jc w:val="center"/>
              <w:rPr>
                <w:rFonts w:hint="eastAsia" w:asciiTheme="minorEastAsia" w:hAnsiTheme="minorEastAsia" w:eastAsiaTheme="minorEastAsia" w:cstheme="minorEastAsia"/>
                <w:color w:val="auto"/>
                <w:sz w:val="20"/>
                <w:szCs w:val="22"/>
                <w:highlight w:val="none"/>
              </w:rPr>
            </w:pPr>
          </w:p>
        </w:tc>
        <w:tc>
          <w:tcPr>
            <w:tcW w:w="530" w:type="dxa"/>
            <w:vAlign w:val="center"/>
          </w:tcPr>
          <w:p>
            <w:pPr>
              <w:spacing w:line="32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6747" w:type="dxa"/>
            <w:vAlign w:val="center"/>
          </w:tcPr>
          <w:p>
            <w:pPr>
              <w:spacing w:line="320" w:lineRule="exact"/>
              <w:rPr>
                <w:rFonts w:hint="eastAsia" w:ascii="宋体" w:hAnsi="Times New Roman"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投标有效期是否符合招标文件要求；</w:t>
            </w:r>
          </w:p>
        </w:tc>
        <w:tc>
          <w:tcPr>
            <w:tcW w:w="712" w:type="dxa"/>
            <w:tcBorders>
              <w:right w:val="single" w:color="auto" w:sz="4" w:space="0"/>
            </w:tcBorders>
          </w:tcPr>
          <w:p>
            <w:pPr>
              <w:rPr>
                <w:rFonts w:hint="eastAsia" w:asciiTheme="minorEastAsia" w:hAnsiTheme="minorEastAsia" w:eastAsiaTheme="minorEastAsia" w:cstheme="minorEastAsia"/>
                <w:color w:val="auto"/>
                <w:sz w:val="20"/>
                <w:szCs w:val="22"/>
                <w:highlight w:val="none"/>
              </w:rPr>
            </w:pPr>
          </w:p>
        </w:tc>
        <w:tc>
          <w:tcPr>
            <w:tcW w:w="718" w:type="dxa"/>
            <w:tcBorders>
              <w:left w:val="single" w:color="auto" w:sz="4" w:space="0"/>
            </w:tcBorders>
          </w:tcPr>
          <w:p>
            <w:pPr>
              <w:rPr>
                <w:rFonts w:hint="eastAsia" w:asciiTheme="minorEastAsia" w:hAnsiTheme="minorEastAsia" w:eastAsiaTheme="minorEastAsia" w:cstheme="minorEastAsia"/>
                <w:color w:val="auto"/>
                <w:sz w:val="20"/>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772" w:type="dxa"/>
            <w:vMerge w:val="continue"/>
            <w:vAlign w:val="center"/>
          </w:tcPr>
          <w:p>
            <w:pPr>
              <w:jc w:val="center"/>
              <w:rPr>
                <w:rFonts w:hint="eastAsia" w:asciiTheme="minorEastAsia" w:hAnsiTheme="minorEastAsia" w:eastAsiaTheme="minorEastAsia" w:cstheme="minorEastAsia"/>
                <w:color w:val="auto"/>
                <w:sz w:val="20"/>
                <w:szCs w:val="22"/>
                <w:highlight w:val="none"/>
              </w:rPr>
            </w:pPr>
          </w:p>
        </w:tc>
        <w:tc>
          <w:tcPr>
            <w:tcW w:w="530" w:type="dxa"/>
            <w:vAlign w:val="center"/>
          </w:tcPr>
          <w:p>
            <w:pPr>
              <w:spacing w:line="320" w:lineRule="exact"/>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w:t>
            </w:r>
          </w:p>
        </w:tc>
        <w:tc>
          <w:tcPr>
            <w:tcW w:w="6747"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i w:val="0"/>
                <w:color w:val="auto"/>
                <w:kern w:val="0"/>
                <w:sz w:val="21"/>
                <w:szCs w:val="21"/>
                <w:highlight w:val="none"/>
                <w:u w:val="none"/>
                <w:lang w:val="en-US" w:eastAsia="zh-CN" w:bidi="ar"/>
              </w:rPr>
              <w:t>是否有不符合采购文件中规定的其他实质性要求；</w:t>
            </w:r>
          </w:p>
        </w:tc>
        <w:tc>
          <w:tcPr>
            <w:tcW w:w="712" w:type="dxa"/>
            <w:tcBorders>
              <w:right w:val="single" w:color="auto" w:sz="4" w:space="0"/>
            </w:tcBorders>
          </w:tcPr>
          <w:p>
            <w:pPr>
              <w:rPr>
                <w:rFonts w:hint="eastAsia" w:asciiTheme="minorEastAsia" w:hAnsiTheme="minorEastAsia" w:eastAsiaTheme="minorEastAsia" w:cstheme="minorEastAsia"/>
                <w:color w:val="auto"/>
                <w:sz w:val="20"/>
                <w:szCs w:val="22"/>
                <w:highlight w:val="none"/>
              </w:rPr>
            </w:pPr>
          </w:p>
        </w:tc>
        <w:tc>
          <w:tcPr>
            <w:tcW w:w="718" w:type="dxa"/>
            <w:tcBorders>
              <w:left w:val="single" w:color="auto" w:sz="4" w:space="0"/>
            </w:tcBorders>
          </w:tcPr>
          <w:p>
            <w:pPr>
              <w:pStyle w:val="9"/>
              <w:numPr>
                <w:ilvl w:val="2"/>
                <w:numId w:val="0"/>
              </w:numPr>
              <w:ind w:left="400" w:leftChars="0"/>
              <w:rPr>
                <w:rFonts w:hint="eastAsia" w:asciiTheme="minorEastAsia" w:hAnsiTheme="minorEastAsia" w:eastAsiaTheme="minorEastAsia" w:cstheme="minorEastAsia"/>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772" w:type="dxa"/>
            <w:vMerge w:val="continue"/>
            <w:vAlign w:val="center"/>
          </w:tcPr>
          <w:p>
            <w:pPr>
              <w:jc w:val="center"/>
              <w:rPr>
                <w:rFonts w:hint="eastAsia" w:asciiTheme="minorEastAsia" w:hAnsiTheme="minorEastAsia" w:eastAsiaTheme="minorEastAsia" w:cstheme="minorEastAsia"/>
                <w:color w:val="auto"/>
                <w:sz w:val="20"/>
                <w:szCs w:val="22"/>
                <w:highlight w:val="none"/>
              </w:rPr>
            </w:pPr>
          </w:p>
        </w:tc>
        <w:tc>
          <w:tcPr>
            <w:tcW w:w="530" w:type="dxa"/>
            <w:vAlign w:val="center"/>
          </w:tcPr>
          <w:p>
            <w:pPr>
              <w:spacing w:line="320" w:lineRule="exact"/>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w:t>
            </w:r>
          </w:p>
        </w:tc>
        <w:tc>
          <w:tcPr>
            <w:tcW w:w="6747"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auto"/>
                <w:sz w:val="22"/>
                <w:szCs w:val="22"/>
                <w:highlight w:val="none"/>
                <w:lang w:eastAsia="zh-CN"/>
              </w:rPr>
            </w:pPr>
            <w:r>
              <w:rPr>
                <w:rFonts w:hint="eastAsia" w:ascii="宋体" w:hAnsi="宋体" w:eastAsia="宋体" w:cs="宋体"/>
                <w:i w:val="0"/>
                <w:color w:val="auto"/>
                <w:kern w:val="0"/>
                <w:sz w:val="21"/>
                <w:szCs w:val="21"/>
                <w:highlight w:val="none"/>
                <w:u w:val="none"/>
                <w:lang w:val="en-US" w:eastAsia="zh-CN" w:bidi="ar"/>
              </w:rPr>
              <w:t>是否有采购人不能接受的其他条件。</w:t>
            </w:r>
          </w:p>
        </w:tc>
        <w:tc>
          <w:tcPr>
            <w:tcW w:w="712" w:type="dxa"/>
            <w:tcBorders>
              <w:right w:val="single" w:color="auto" w:sz="4" w:space="0"/>
            </w:tcBorders>
          </w:tcPr>
          <w:p>
            <w:pPr>
              <w:rPr>
                <w:rFonts w:hint="eastAsia" w:asciiTheme="minorEastAsia" w:hAnsiTheme="minorEastAsia" w:eastAsiaTheme="minorEastAsia" w:cstheme="minorEastAsia"/>
                <w:color w:val="auto"/>
                <w:sz w:val="20"/>
                <w:szCs w:val="22"/>
                <w:highlight w:val="none"/>
              </w:rPr>
            </w:pPr>
          </w:p>
        </w:tc>
        <w:tc>
          <w:tcPr>
            <w:tcW w:w="718" w:type="dxa"/>
            <w:tcBorders>
              <w:left w:val="single" w:color="auto" w:sz="4" w:space="0"/>
            </w:tcBorders>
          </w:tcPr>
          <w:p>
            <w:pPr>
              <w:pStyle w:val="9"/>
              <w:numPr>
                <w:ilvl w:val="2"/>
                <w:numId w:val="0"/>
              </w:numPr>
              <w:ind w:left="400" w:leftChars="0"/>
              <w:rPr>
                <w:rFonts w:hint="eastAsia" w:asciiTheme="minorEastAsia" w:hAnsiTheme="minorEastAsia" w:eastAsiaTheme="minorEastAsia" w:cstheme="minorEastAsia"/>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9479" w:type="dxa"/>
            <w:gridSpan w:val="5"/>
            <w:vAlign w:val="center"/>
          </w:tcPr>
          <w:p>
            <w:pPr>
              <w:rPr>
                <w:rFonts w:hint="eastAsia" w:asciiTheme="minorEastAsia" w:hAnsiTheme="minorEastAsia" w:eastAsiaTheme="minorEastAsia" w:cstheme="minorEastAsia"/>
                <w:color w:val="auto"/>
                <w:sz w:val="20"/>
                <w:szCs w:val="22"/>
                <w:highlight w:val="none"/>
              </w:rPr>
            </w:pPr>
            <w:r>
              <w:rPr>
                <w:rFonts w:hint="eastAsia" w:asciiTheme="minorEastAsia" w:hAnsiTheme="minorEastAsia" w:eastAsiaTheme="minorEastAsia" w:cstheme="minorEastAsia"/>
                <w:color w:val="auto"/>
                <w:sz w:val="22"/>
                <w:szCs w:val="22"/>
                <w:highlight w:val="none"/>
                <w:lang w:eastAsia="zh-CN"/>
              </w:rPr>
              <w:t>符合性评审</w:t>
            </w:r>
            <w:r>
              <w:rPr>
                <w:rFonts w:hint="eastAsia" w:asciiTheme="minorEastAsia" w:hAnsiTheme="minorEastAsia" w:eastAsiaTheme="minorEastAsia" w:cstheme="minorEastAsia"/>
                <w:color w:val="auto"/>
                <w:sz w:val="22"/>
                <w:szCs w:val="22"/>
                <w:highlight w:val="none"/>
              </w:rPr>
              <w:t>一项未通过者</w:t>
            </w:r>
            <w:r>
              <w:rPr>
                <w:rFonts w:hint="eastAsia" w:asciiTheme="minorEastAsia" w:hAnsiTheme="minorEastAsia" w:eastAsiaTheme="minorEastAsia" w:cstheme="minorEastAsia"/>
                <w:color w:val="auto"/>
                <w:sz w:val="22"/>
                <w:szCs w:val="22"/>
                <w:highlight w:val="none"/>
                <w:lang w:val="en-US" w:eastAsia="zh-CN"/>
              </w:rPr>
              <w:t>结论即为不通过，不予</w:t>
            </w:r>
            <w:r>
              <w:rPr>
                <w:rFonts w:hint="eastAsia" w:asciiTheme="minorEastAsia" w:hAnsiTheme="minorEastAsia" w:eastAsiaTheme="minorEastAsia" w:cstheme="minorEastAsia"/>
                <w:color w:val="auto"/>
                <w:sz w:val="22"/>
                <w:szCs w:val="22"/>
                <w:highlight w:val="none"/>
              </w:rPr>
              <w:t>参加下阶段评审，</w:t>
            </w:r>
            <w:r>
              <w:rPr>
                <w:rFonts w:hint="eastAsia" w:asciiTheme="minorEastAsia" w:hAnsiTheme="minorEastAsia" w:eastAsiaTheme="minorEastAsia" w:cstheme="minorEastAsia"/>
                <w:color w:val="auto"/>
                <w:sz w:val="22"/>
                <w:szCs w:val="22"/>
                <w:highlight w:val="none"/>
                <w:lang w:val="en-US" w:eastAsia="zh-CN"/>
              </w:rPr>
              <w:t>其投标无效</w:t>
            </w:r>
            <w:r>
              <w:rPr>
                <w:rFonts w:hint="eastAsia" w:asciiTheme="minorEastAsia" w:hAnsiTheme="minorEastAsia" w:eastAsiaTheme="minorEastAsia" w:cstheme="minorEastAsia"/>
                <w:color w:val="auto"/>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exact"/>
          <w:jc w:val="center"/>
        </w:trPr>
        <w:tc>
          <w:tcPr>
            <w:tcW w:w="772" w:type="dxa"/>
            <w:tcBorders>
              <w:bottom w:val="single" w:color="auto" w:sz="12" w:space="0"/>
            </w:tcBorders>
            <w:vAlign w:val="center"/>
          </w:tcPr>
          <w:p>
            <w:pPr>
              <w:jc w:val="center"/>
              <w:rPr>
                <w:rFonts w:hint="eastAsia" w:asciiTheme="minorEastAsia" w:hAnsiTheme="minorEastAsia" w:eastAsiaTheme="minorEastAsia" w:cstheme="minorEastAsia"/>
                <w:color w:val="auto"/>
                <w:highlight w:val="none"/>
              </w:rPr>
            </w:pPr>
          </w:p>
        </w:tc>
        <w:tc>
          <w:tcPr>
            <w:tcW w:w="7277" w:type="dxa"/>
            <w:gridSpan w:val="2"/>
            <w:tcBorders>
              <w:bottom w:val="single" w:color="auto" w:sz="12" w:space="0"/>
            </w:tcBorders>
            <w:vAlign w:val="center"/>
          </w:tcPr>
          <w:p>
            <w:pPr>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结论：是否通过评审</w:t>
            </w:r>
          </w:p>
        </w:tc>
        <w:tc>
          <w:tcPr>
            <w:tcW w:w="712" w:type="dxa"/>
            <w:tcBorders>
              <w:bottom w:val="single" w:color="auto" w:sz="12" w:space="0"/>
            </w:tcBorders>
          </w:tcPr>
          <w:p>
            <w:pPr>
              <w:rPr>
                <w:rFonts w:hint="eastAsia" w:asciiTheme="minorEastAsia" w:hAnsiTheme="minorEastAsia" w:eastAsiaTheme="minorEastAsia" w:cstheme="minorEastAsia"/>
                <w:color w:val="auto"/>
                <w:highlight w:val="none"/>
              </w:rPr>
            </w:pPr>
          </w:p>
        </w:tc>
        <w:tc>
          <w:tcPr>
            <w:tcW w:w="718" w:type="dxa"/>
            <w:tcBorders>
              <w:bottom w:val="single" w:color="auto" w:sz="12" w:space="0"/>
            </w:tcBorders>
          </w:tcPr>
          <w:p>
            <w:pPr>
              <w:rPr>
                <w:rFonts w:hint="eastAsia" w:asciiTheme="minorEastAsia" w:hAnsiTheme="minorEastAsia" w:eastAsiaTheme="minorEastAsia" w:cstheme="minorEastAsia"/>
                <w:color w:val="auto"/>
                <w:highlight w:val="none"/>
              </w:rPr>
            </w:pPr>
          </w:p>
        </w:tc>
      </w:tr>
    </w:tbl>
    <w:p>
      <w:pPr>
        <w:tabs>
          <w:tab w:val="left" w:pos="900"/>
        </w:tabs>
        <w:rPr>
          <w:rFonts w:hint="eastAsia" w:asciiTheme="minorEastAsia" w:hAnsiTheme="minorEastAsia" w:eastAsiaTheme="minorEastAsia" w:cstheme="minorEastAsia"/>
          <w:color w:val="auto"/>
          <w:sz w:val="24"/>
          <w:highlight w:val="none"/>
        </w:rPr>
      </w:pPr>
    </w:p>
    <w:p>
      <w:pPr>
        <w:tabs>
          <w:tab w:val="left" w:pos="900"/>
        </w:tabs>
        <w:rPr>
          <w:rFonts w:hint="eastAsia" w:asciiTheme="minorEastAsia" w:hAnsiTheme="minorEastAsia" w:eastAsiaTheme="minorEastAsia" w:cstheme="minorEastAsia"/>
          <w:b/>
          <w:color w:val="auto"/>
          <w:sz w:val="24"/>
          <w:highlight w:val="none"/>
        </w:rPr>
      </w:pPr>
    </w:p>
    <w:p>
      <w:pPr>
        <w:tabs>
          <w:tab w:val="left" w:pos="900"/>
        </w:tabs>
        <w:rPr>
          <w:rFonts w:hint="eastAsia" w:asciiTheme="minorEastAsia" w:hAnsiTheme="minorEastAsia" w:eastAsiaTheme="minorEastAsia" w:cstheme="minorEastAsia"/>
          <w:b/>
          <w:color w:val="auto"/>
          <w:sz w:val="24"/>
          <w:highlight w:val="none"/>
        </w:rPr>
      </w:pPr>
    </w:p>
    <w:p>
      <w:pPr>
        <w:pStyle w:val="27"/>
        <w:rPr>
          <w:rFonts w:hint="eastAsia" w:asciiTheme="minorEastAsia" w:hAnsiTheme="minorEastAsia" w:eastAsiaTheme="minorEastAsia" w:cstheme="minorEastAsia"/>
          <w:b/>
          <w:color w:val="auto"/>
          <w:sz w:val="24"/>
          <w:highlight w:val="none"/>
        </w:rPr>
      </w:pPr>
    </w:p>
    <w:p>
      <w:pPr>
        <w:rPr>
          <w:rFonts w:hint="eastAsia" w:asciiTheme="minorEastAsia" w:hAnsiTheme="minorEastAsia" w:eastAsiaTheme="minorEastAsia" w:cstheme="minorEastAsia"/>
          <w:b/>
          <w:color w:val="auto"/>
          <w:sz w:val="24"/>
          <w:highlight w:val="none"/>
        </w:rPr>
      </w:pPr>
    </w:p>
    <w:p>
      <w:pPr>
        <w:pStyle w:val="27"/>
        <w:rPr>
          <w:rFonts w:hint="eastAsia" w:asciiTheme="minorEastAsia" w:hAnsiTheme="minorEastAsia" w:eastAsiaTheme="minorEastAsia" w:cstheme="minorEastAsia"/>
          <w:b/>
          <w:color w:val="auto"/>
          <w:sz w:val="24"/>
          <w:highlight w:val="none"/>
        </w:rPr>
      </w:pPr>
    </w:p>
    <w:p>
      <w:pPr>
        <w:rPr>
          <w:rFonts w:hint="eastAsia" w:asciiTheme="minorEastAsia" w:hAnsiTheme="minorEastAsia" w:eastAsiaTheme="minorEastAsia" w:cstheme="minorEastAsia"/>
          <w:b/>
          <w:color w:val="auto"/>
          <w:sz w:val="24"/>
          <w:highlight w:val="none"/>
        </w:rPr>
      </w:pPr>
    </w:p>
    <w:p>
      <w:pPr>
        <w:pStyle w:val="27"/>
        <w:rPr>
          <w:rFonts w:hint="eastAsia"/>
          <w:color w:val="auto"/>
          <w:highlight w:val="none"/>
        </w:rPr>
      </w:pPr>
    </w:p>
    <w:p>
      <w:pPr>
        <w:tabs>
          <w:tab w:val="left" w:pos="900"/>
        </w:tabs>
        <w:rPr>
          <w:rFonts w:hint="eastAsia" w:asciiTheme="minorEastAsia" w:hAnsiTheme="minorEastAsia" w:eastAsiaTheme="minorEastAsia" w:cstheme="minorEastAsia"/>
          <w:b/>
          <w:color w:val="auto"/>
          <w:sz w:val="24"/>
          <w:highlight w:val="none"/>
        </w:rPr>
      </w:pPr>
    </w:p>
    <w:p>
      <w:pPr>
        <w:pStyle w:val="27"/>
        <w:rPr>
          <w:rFonts w:hint="eastAsia" w:asciiTheme="minorEastAsia" w:hAnsiTheme="minorEastAsia" w:eastAsiaTheme="minorEastAsia" w:cstheme="minorEastAsia"/>
          <w:b/>
          <w:color w:val="auto"/>
          <w:sz w:val="24"/>
          <w:highlight w:val="none"/>
        </w:rPr>
      </w:pPr>
    </w:p>
    <w:p>
      <w:pPr>
        <w:rPr>
          <w:rFonts w:hint="eastAsia"/>
          <w:color w:val="auto"/>
          <w:highlight w:val="none"/>
        </w:rPr>
      </w:pPr>
    </w:p>
    <w:p>
      <w:pPr>
        <w:tabs>
          <w:tab w:val="left" w:pos="900"/>
        </w:tabs>
        <w:rPr>
          <w:rFonts w:hint="eastAsia" w:asciiTheme="minorEastAsia" w:hAnsiTheme="minorEastAsia" w:eastAsiaTheme="minorEastAsia" w:cstheme="minorEastAsia"/>
          <w:b/>
          <w:color w:val="auto"/>
          <w:sz w:val="24"/>
          <w:highlight w:val="none"/>
        </w:rPr>
      </w:pPr>
    </w:p>
    <w:p>
      <w:pPr>
        <w:tabs>
          <w:tab w:val="left" w:pos="900"/>
        </w:tabs>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附表二</w:t>
      </w:r>
    </w:p>
    <w:p>
      <w:pPr>
        <w:pStyle w:val="37"/>
        <w:spacing w:line="273"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详细评审标准</w:t>
      </w:r>
    </w:p>
    <w:tbl>
      <w:tblPr>
        <w:tblStyle w:val="22"/>
        <w:tblW w:w="9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57" w:type="dxa"/>
          <w:left w:w="108" w:type="dxa"/>
          <w:bottom w:w="57" w:type="dxa"/>
          <w:right w:w="108" w:type="dxa"/>
        </w:tblCellMar>
      </w:tblPr>
      <w:tblGrid>
        <w:gridCol w:w="751"/>
        <w:gridCol w:w="1513"/>
        <w:gridCol w:w="7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90" w:hRule="atLeast"/>
          <w:jc w:val="center"/>
        </w:trPr>
        <w:tc>
          <w:tcPr>
            <w:tcW w:w="751"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1513"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评分内容</w:t>
            </w:r>
          </w:p>
        </w:tc>
        <w:tc>
          <w:tcPr>
            <w:tcW w:w="7118"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2020" w:hRule="atLeast"/>
          <w:jc w:val="center"/>
        </w:trPr>
        <w:tc>
          <w:tcPr>
            <w:tcW w:w="751" w:type="dxa"/>
            <w:tcBorders>
              <w:tl2br w:val="nil"/>
              <w:tr2bl w:val="nil"/>
            </w:tcBorders>
            <w:shd w:val="clear" w:color="auto" w:fill="FFFFFF" w:themeFill="background1"/>
            <w:vAlign w:val="center"/>
          </w:tcPr>
          <w:p>
            <w:pPr>
              <w:pStyle w:val="11"/>
              <w:keepNext w:val="0"/>
              <w:keepLines w:val="0"/>
              <w:pageBreakBefore w:val="0"/>
              <w:kinsoku/>
              <w:wordWrap/>
              <w:overflowPunct/>
              <w:topLinePunct w:val="0"/>
              <w:bidi w:val="0"/>
              <w:snapToGrid/>
              <w:spacing w:line="42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经济部分      30%</w:t>
            </w:r>
          </w:p>
        </w:tc>
        <w:tc>
          <w:tcPr>
            <w:tcW w:w="1513"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价格</w:t>
            </w:r>
            <w:r>
              <w:rPr>
                <w:rFonts w:hint="eastAsia" w:ascii="宋体" w:hAnsi="宋体" w:eastAsia="宋体" w:cs="宋体"/>
                <w:color w:val="auto"/>
                <w:kern w:val="0"/>
                <w:sz w:val="21"/>
                <w:szCs w:val="21"/>
                <w:highlight w:val="none"/>
                <w:lang w:val="en-US" w:eastAsia="zh-CN"/>
              </w:rPr>
              <w:t>(0-30分）</w:t>
            </w:r>
          </w:p>
        </w:tc>
        <w:tc>
          <w:tcPr>
            <w:tcW w:w="7118"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spacing w:before="50" w:after="50" w:line="340" w:lineRule="exact"/>
              <w:jc w:val="both"/>
              <w:textAlignment w:val="auto"/>
              <w:rPr>
                <w:rFonts w:hint="eastAsia" w:ascii="Times New Roman" w:hAnsi="Times New Roman" w:eastAsia="宋体" w:cs="Times New Roman"/>
                <w:color w:val="auto"/>
                <w:highlight w:val="none"/>
              </w:rPr>
            </w:pPr>
            <w:r>
              <w:rPr>
                <w:rFonts w:hint="eastAsia"/>
                <w:color w:val="auto"/>
                <w:highlight w:val="none"/>
              </w:rPr>
              <w:t>价格分应当采用低价优先法计算，即满足招标文件要求且投标价格最低的</w:t>
            </w:r>
            <w:r>
              <w:rPr>
                <w:rFonts w:hint="eastAsia"/>
                <w:color w:val="auto"/>
                <w:highlight w:val="none"/>
                <w:lang w:eastAsia="zh-CN"/>
              </w:rPr>
              <w:t>有效</w:t>
            </w:r>
            <w:r>
              <w:rPr>
                <w:rFonts w:hint="eastAsia"/>
                <w:color w:val="auto"/>
                <w:highlight w:val="none"/>
              </w:rPr>
              <w:t>投标报价为评标基准价，其价格分为满分。其他投标人的价格分统一按照下</w:t>
            </w:r>
            <w:r>
              <w:rPr>
                <w:rFonts w:hint="eastAsia" w:ascii="Times New Roman" w:hAnsi="Times New Roman" w:eastAsia="宋体" w:cs="Times New Roman"/>
                <w:color w:val="auto"/>
                <w:highlight w:val="none"/>
              </w:rPr>
              <w:t>列公式计算</w:t>
            </w:r>
            <w:r>
              <w:rPr>
                <w:rFonts w:hint="eastAsia" w:ascii="Times New Roman" w:hAnsi="Times New Roman" w:eastAsia="宋体" w:cs="Times New Roman"/>
                <w:color w:val="auto"/>
                <w:highlight w:val="none"/>
                <w:lang w:eastAsia="zh-CN"/>
              </w:rPr>
              <w:t>（价格部分得分保留两位小数）</w:t>
            </w:r>
            <w:r>
              <w:rPr>
                <w:rFonts w:hint="eastAsia" w:ascii="Times New Roman" w:hAnsi="Times New Roman" w:eastAsia="宋体" w:cs="Times New Roman"/>
                <w:color w:val="auto"/>
                <w:highlight w:val="none"/>
              </w:rPr>
              <w:t>：</w:t>
            </w:r>
          </w:p>
          <w:p>
            <w:pPr>
              <w:keepNext w:val="0"/>
              <w:keepLines w:val="0"/>
              <w:pageBreakBefore w:val="0"/>
              <w:widowControl w:val="0"/>
              <w:kinsoku/>
              <w:wordWrap/>
              <w:overflowPunct/>
              <w:topLinePunct w:val="0"/>
              <w:autoSpaceDE/>
              <w:autoSpaceDN/>
              <w:bidi w:val="0"/>
              <w:spacing w:before="50" w:after="50" w:line="340" w:lineRule="exact"/>
              <w:jc w:val="both"/>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投标报价得分=(评标基准价/投标报价)×100</w:t>
            </w:r>
            <w:r>
              <w:rPr>
                <w:rFonts w:hint="eastAsia" w:ascii="Times New Roman" w:hAnsi="Times New Roman" w:eastAsia="宋体" w:cs="Times New Roman"/>
                <w:color w:val="auto"/>
                <w:highlight w:val="none"/>
                <w:lang w:val="en-US" w:eastAsia="zh-CN"/>
              </w:rPr>
              <w:t>*30%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color w:val="auto"/>
                <w:sz w:val="21"/>
                <w:szCs w:val="21"/>
                <w:highlight w:val="none"/>
              </w:rPr>
            </w:pPr>
            <w:r>
              <w:rPr>
                <w:rFonts w:hint="eastAsia"/>
                <w:color w:val="auto"/>
                <w:highlight w:val="none"/>
                <w:lang w:val="en-US" w:eastAsia="zh-CN"/>
              </w:rPr>
              <w:t>对符合规定的小微企业报价给予10%的扣除，用扣除后的价格参加评审。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996" w:hRule="atLeast"/>
          <w:jc w:val="center"/>
        </w:trPr>
        <w:tc>
          <w:tcPr>
            <w:tcW w:w="751" w:type="dxa"/>
            <w:vMerge w:val="restart"/>
            <w:tcBorders>
              <w:tl2br w:val="nil"/>
              <w:tr2bl w:val="nil"/>
            </w:tcBorders>
            <w:shd w:val="clear" w:color="auto" w:fill="FFFFFF" w:themeFill="background1"/>
            <w:vAlign w:val="center"/>
          </w:tcPr>
          <w:p>
            <w:pPr>
              <w:pStyle w:val="37"/>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商</w:t>
            </w:r>
          </w:p>
          <w:p>
            <w:pPr>
              <w:pStyle w:val="37"/>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务</w:t>
            </w:r>
          </w:p>
          <w:p>
            <w:pPr>
              <w:pStyle w:val="37"/>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p>
          <w:p>
            <w:pPr>
              <w:pStyle w:val="37"/>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技</w:t>
            </w:r>
          </w:p>
          <w:p>
            <w:pPr>
              <w:pStyle w:val="37"/>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术</w:t>
            </w:r>
          </w:p>
          <w:p>
            <w:pPr>
              <w:pStyle w:val="37"/>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部</w:t>
            </w:r>
          </w:p>
          <w:p>
            <w:pPr>
              <w:pStyle w:val="37"/>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w:t>
            </w:r>
          </w:p>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70</w:t>
            </w:r>
          </w:p>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w:t>
            </w:r>
          </w:p>
        </w:tc>
        <w:tc>
          <w:tcPr>
            <w:tcW w:w="1513" w:type="dxa"/>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类似项目业绩</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7118" w:type="dxa"/>
            <w:tcBorders>
              <w:tl2br w:val="nil"/>
              <w:tr2bl w:val="nil"/>
            </w:tcBorders>
            <w:shd w:val="clear" w:color="auto" w:fill="FFFFFF" w:themeFill="background1"/>
            <w:vAlign w:val="center"/>
          </w:tcPr>
          <w:p>
            <w:pPr>
              <w:pStyle w:val="37"/>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自2018年1月1日至投标截止日，供应商每具有一个国家机关、行政事业单位地市级（含地市级）以上委托的国民经济和社会发展等相关综合经济类规划的编制或规划评估业绩的得2.5分，最高分为5分。</w:t>
            </w:r>
          </w:p>
          <w:p>
            <w:pPr>
              <w:pStyle w:val="37"/>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注1：业绩证明材料须提供：业绩合同或其他形式的用户出具的业绩证明材料（该证明材料可以是签订的服务合同、委托文件、用户评价函等）复印件（加盖公章）。</w:t>
            </w:r>
          </w:p>
          <w:p>
            <w:pPr>
              <w:pStyle w:val="37"/>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注2：上述所附证明材料及业绩合同复印件均应加盖公章。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1964"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pStyle w:val="19"/>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项目负责人业绩</w:t>
            </w:r>
          </w:p>
          <w:p>
            <w:pPr>
              <w:pStyle w:val="19"/>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（5分）</w:t>
            </w:r>
          </w:p>
        </w:tc>
        <w:tc>
          <w:tcPr>
            <w:tcW w:w="7118" w:type="dxa"/>
            <w:tcBorders>
              <w:tl2br w:val="nil"/>
              <w:tr2bl w:val="nil"/>
            </w:tcBorders>
            <w:shd w:val="clear" w:color="auto" w:fill="FFFFFF" w:themeFill="background1"/>
            <w:vAlign w:val="center"/>
          </w:tcPr>
          <w:p>
            <w:pPr>
              <w:pStyle w:val="37"/>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项目负责人近五年每提供一个地市级（含地市级）以上规划编制或评估的咨询业绩，得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分，最高得5分。</w:t>
            </w:r>
          </w:p>
          <w:p>
            <w:pPr>
              <w:pStyle w:val="37"/>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（供应商须提供项目负责人近一年社保缴纳证明，否则不得分）。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90"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pStyle w:val="19"/>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项目负责人职称、学位、执业资格（10分）</w:t>
            </w:r>
          </w:p>
        </w:tc>
        <w:tc>
          <w:tcPr>
            <w:tcW w:w="7118" w:type="dxa"/>
            <w:tcBorders>
              <w:tl2br w:val="nil"/>
              <w:tr2bl w:val="nil"/>
            </w:tcBorders>
            <w:shd w:val="clear" w:color="auto" w:fill="FFFFFF" w:themeFill="background1"/>
            <w:vAlign w:val="center"/>
          </w:tcPr>
          <w:p>
            <w:pPr>
              <w:pStyle w:val="37"/>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1.项目负责人具有正高级职称、博士学位，每项得2.5分，最高5分；</w:t>
            </w:r>
          </w:p>
          <w:p>
            <w:pPr>
              <w:pStyle w:val="37"/>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2.项目负责人具有咨询工程师（投资）执业资格（经济技术类）的得5分，否则不得分；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1964"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pStyle w:val="19"/>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人员配备</w:t>
            </w:r>
          </w:p>
          <w:p>
            <w:pPr>
              <w:pStyle w:val="19"/>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118" w:type="dxa"/>
            <w:tcBorders>
              <w:tl2br w:val="nil"/>
              <w:tr2bl w:val="nil"/>
            </w:tcBorders>
            <w:shd w:val="clear" w:color="auto" w:fill="FFFFFF" w:themeFill="background1"/>
            <w:vAlign w:val="center"/>
          </w:tcPr>
          <w:p>
            <w:pPr>
              <w:pStyle w:val="37"/>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针对本项目须组建不少于10人的项目团队（不含项目负责人，须在供应商所在单位）。</w:t>
            </w:r>
          </w:p>
          <w:p>
            <w:pPr>
              <w:pStyle w:val="37"/>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1.具有正高级职称的每人得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分），没有不得分。</w:t>
            </w:r>
          </w:p>
          <w:p>
            <w:pPr>
              <w:pStyle w:val="37"/>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2.具有咨询工程师（投资）执业资格（农业、林业；水利水电；生态建设和环境工程；机械；煤炭；石油天然气；冶金；石化、化工、医药；轻工、纺织；电力专业）每人得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分）。（供应商须提供项目组成员有效期内的咨询工程师（投资）登记证书，并加盖公章，否则不得分）。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1116"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pStyle w:val="37"/>
              <w:keepNext w:val="0"/>
              <w:keepLines w:val="0"/>
              <w:pageBreakBefore w:val="0"/>
              <w:widowControl w:val="0"/>
              <w:numPr>
                <w:ilvl w:val="0"/>
                <w:numId w:val="0"/>
              </w:numPr>
              <w:kinsoku/>
              <w:wordWrap/>
              <w:overflowPunct/>
              <w:topLinePunct w:val="0"/>
              <w:autoSpaceDE w:val="0"/>
              <w:autoSpaceDN/>
              <w:bidi w:val="0"/>
              <w:adjustRightInd w:val="0"/>
              <w:snapToGrid w:val="0"/>
              <w:spacing w:line="3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对本项目的认识和理解</w:t>
            </w:r>
          </w:p>
          <w:p>
            <w:pPr>
              <w:pStyle w:val="37"/>
              <w:keepNext w:val="0"/>
              <w:keepLines w:val="0"/>
              <w:pageBreakBefore w:val="0"/>
              <w:widowControl w:val="0"/>
              <w:numPr>
                <w:ilvl w:val="0"/>
                <w:numId w:val="0"/>
              </w:numPr>
              <w:kinsoku/>
              <w:wordWrap/>
              <w:overflowPunct/>
              <w:topLinePunct w:val="0"/>
              <w:autoSpaceDE w:val="0"/>
              <w:autoSpaceDN/>
              <w:bidi w:val="0"/>
              <w:adjustRightInd w:val="0"/>
              <w:snapToGrid w:val="0"/>
              <w:spacing w:line="3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（10分）</w:t>
            </w:r>
          </w:p>
        </w:tc>
        <w:tc>
          <w:tcPr>
            <w:tcW w:w="7118" w:type="dxa"/>
            <w:tcBorders>
              <w:tl2br w:val="nil"/>
              <w:tr2bl w:val="nil"/>
            </w:tcBorders>
            <w:shd w:val="clear" w:color="auto" w:fill="FFFFFF" w:themeFill="background1"/>
            <w:vAlign w:val="center"/>
          </w:tcPr>
          <w:p>
            <w:pPr>
              <w:pStyle w:val="37"/>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firstLine="210" w:firstLineChars="100"/>
              <w:jc w:val="both"/>
              <w:textAlignment w:val="auto"/>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对项目的整体理解和认识：</w:t>
            </w:r>
          </w:p>
          <w:p>
            <w:pPr>
              <w:pStyle w:val="37"/>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firstLine="210" w:firstLineChars="100"/>
              <w:jc w:val="both"/>
              <w:textAlignment w:val="auto"/>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熟悉了解</w:t>
            </w:r>
            <w:r>
              <w:rPr>
                <w:rFonts w:hint="eastAsia" w:ascii="宋体" w:hAnsi="宋体" w:cs="宋体"/>
                <w:bCs/>
                <w:color w:val="auto"/>
                <w:kern w:val="1"/>
                <w:sz w:val="21"/>
                <w:szCs w:val="21"/>
                <w:highlight w:val="none"/>
                <w:lang w:val="en-US" w:eastAsia="zh-CN" w:bidi="ar-SA"/>
              </w:rPr>
              <w:t>伊犁</w:t>
            </w:r>
            <w:r>
              <w:rPr>
                <w:rFonts w:hint="eastAsia" w:ascii="宋体" w:hAnsi="宋体" w:eastAsia="宋体" w:cs="宋体"/>
                <w:bCs/>
                <w:color w:val="auto"/>
                <w:kern w:val="1"/>
                <w:sz w:val="21"/>
                <w:szCs w:val="21"/>
                <w:highlight w:val="none"/>
                <w:lang w:val="en-US" w:eastAsia="zh-CN" w:bidi="ar-SA"/>
              </w:rPr>
              <w:t>州基本情况，有一定的研究基础，对</w:t>
            </w:r>
            <w:r>
              <w:rPr>
                <w:rFonts w:hint="eastAsia" w:ascii="宋体" w:hAnsi="宋体" w:cs="宋体"/>
                <w:bCs/>
                <w:color w:val="auto"/>
                <w:kern w:val="1"/>
                <w:sz w:val="21"/>
                <w:szCs w:val="21"/>
                <w:highlight w:val="none"/>
                <w:lang w:val="en-US" w:eastAsia="zh-CN" w:bidi="ar-SA"/>
              </w:rPr>
              <w:t>伊犁</w:t>
            </w:r>
            <w:r>
              <w:rPr>
                <w:rFonts w:hint="eastAsia" w:ascii="宋体" w:hAnsi="宋体" w:eastAsia="宋体" w:cs="宋体"/>
                <w:bCs/>
                <w:color w:val="auto"/>
                <w:kern w:val="1"/>
                <w:sz w:val="21"/>
                <w:szCs w:val="21"/>
                <w:highlight w:val="none"/>
                <w:lang w:val="en-US" w:eastAsia="zh-CN" w:bidi="ar-SA"/>
              </w:rPr>
              <w:t>州经济社会发展现状、存在的问题、面临的机遇与挑战等的理解和认识，全面10分，一般5分，不全面得2分，不提供不得分。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543"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咨询服务方案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（15分）</w:t>
            </w:r>
          </w:p>
        </w:tc>
        <w:tc>
          <w:tcPr>
            <w:tcW w:w="7118" w:type="dxa"/>
            <w:tcBorders>
              <w:tl2br w:val="nil"/>
              <w:tr2bl w:val="nil"/>
            </w:tcBorders>
            <w:shd w:val="clear" w:color="auto" w:fill="FFFFFF" w:themeFill="background1"/>
            <w:vAlign w:val="center"/>
          </w:tcPr>
          <w:p>
            <w:pPr>
              <w:pStyle w:val="45"/>
              <w:keepNext w:val="0"/>
              <w:keepLines w:val="0"/>
              <w:pageBreakBefore w:val="0"/>
              <w:widowControl w:val="0"/>
              <w:kinsoku/>
              <w:wordWrap/>
              <w:overflowPunct/>
              <w:topLinePunct w:val="0"/>
              <w:autoSpaceDE w:val="0"/>
              <w:autoSpaceDN w:val="0"/>
              <w:bidi w:val="0"/>
              <w:adjustRightInd/>
              <w:snapToGrid/>
              <w:spacing w:before="4" w:line="240" w:lineRule="auto"/>
              <w:ind w:left="113" w:leftChars="0" w:right="23" w:rightChars="0"/>
              <w:jc w:val="left"/>
              <w:textAlignment w:val="auto"/>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服务方案的针对性：</w:t>
            </w:r>
          </w:p>
          <w:p>
            <w:pPr>
              <w:pStyle w:val="45"/>
              <w:keepNext w:val="0"/>
              <w:keepLines w:val="0"/>
              <w:pageBreakBefore w:val="0"/>
              <w:widowControl w:val="0"/>
              <w:kinsoku/>
              <w:wordWrap/>
              <w:overflowPunct/>
              <w:topLinePunct w:val="0"/>
              <w:autoSpaceDE w:val="0"/>
              <w:autoSpaceDN w:val="0"/>
              <w:bidi w:val="0"/>
              <w:adjustRightInd/>
              <w:snapToGrid/>
              <w:spacing w:before="4" w:line="240" w:lineRule="auto"/>
              <w:ind w:left="113" w:leftChars="0" w:right="23" w:rightChars="0"/>
              <w:jc w:val="left"/>
              <w:textAlignment w:val="auto"/>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（1）提供符合采购需求的咨询服务方案，方案结构完整、重点突出、符合伊宁市实际情况和发展需求：15分；</w:t>
            </w:r>
          </w:p>
          <w:p>
            <w:pPr>
              <w:pStyle w:val="45"/>
              <w:keepNext w:val="0"/>
              <w:keepLines w:val="0"/>
              <w:pageBreakBefore w:val="0"/>
              <w:widowControl w:val="0"/>
              <w:kinsoku/>
              <w:wordWrap/>
              <w:overflowPunct/>
              <w:topLinePunct w:val="0"/>
              <w:autoSpaceDE w:val="0"/>
              <w:autoSpaceDN w:val="0"/>
              <w:bidi w:val="0"/>
              <w:adjustRightInd/>
              <w:snapToGrid/>
              <w:spacing w:before="4" w:line="240" w:lineRule="auto"/>
              <w:ind w:left="113" w:leftChars="0" w:right="23" w:rightChars="0"/>
              <w:jc w:val="left"/>
              <w:textAlignment w:val="auto"/>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（2）提供符合采购需求的咨询服务方案，方案比较完整：10分；</w:t>
            </w:r>
          </w:p>
          <w:p>
            <w:pPr>
              <w:pStyle w:val="45"/>
              <w:keepNext w:val="0"/>
              <w:keepLines w:val="0"/>
              <w:pageBreakBefore w:val="0"/>
              <w:widowControl w:val="0"/>
              <w:kinsoku/>
              <w:wordWrap/>
              <w:overflowPunct/>
              <w:topLinePunct w:val="0"/>
              <w:autoSpaceDE w:val="0"/>
              <w:autoSpaceDN w:val="0"/>
              <w:bidi w:val="0"/>
              <w:adjustRightInd/>
              <w:snapToGrid/>
              <w:spacing w:before="4" w:line="240" w:lineRule="auto"/>
              <w:ind w:left="113" w:leftChars="0" w:right="23" w:rightChars="0"/>
              <w:jc w:val="left"/>
              <w:textAlignment w:val="auto"/>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（3）提供符合采购需求的咨询服务方案，方案不完整：5分。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543"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进度计划与保证措施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（5分）</w:t>
            </w:r>
          </w:p>
        </w:tc>
        <w:tc>
          <w:tcPr>
            <w:tcW w:w="7118" w:type="dxa"/>
            <w:tcBorders>
              <w:tl2br w:val="nil"/>
              <w:tr2bl w:val="nil"/>
            </w:tcBorders>
            <w:shd w:val="clear" w:color="auto" w:fill="FFFFFF" w:themeFill="background1"/>
            <w:vAlign w:val="center"/>
          </w:tcPr>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 xml:space="preserve">进度安排，阶段分明、有条理，完全符合本项目要求得5分； </w:t>
            </w:r>
          </w:p>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进度安排简单，基本符合本项目需求得3分；</w:t>
            </w:r>
          </w:p>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进度安排有欠缺，不太满足本项目需求得1分；</w:t>
            </w:r>
          </w:p>
          <w:p>
            <w:pPr>
              <w:pStyle w:val="45"/>
              <w:spacing w:before="4" w:line="270" w:lineRule="atLeast"/>
              <w:ind w:left="111" w:leftChars="0" w:right="21" w:rightChars="0"/>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未提供得0分。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1537"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服务保证措施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（5分）</w:t>
            </w:r>
          </w:p>
        </w:tc>
        <w:tc>
          <w:tcPr>
            <w:tcW w:w="7118" w:type="dxa"/>
            <w:tcBorders>
              <w:tl2br w:val="nil"/>
              <w:tr2bl w:val="nil"/>
            </w:tcBorders>
            <w:shd w:val="clear" w:color="auto" w:fill="FFFFFF" w:themeFill="background1"/>
            <w:vAlign w:val="center"/>
          </w:tcPr>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服务保证措施计划明确、合理、计划可行性强，符合实际需求得5分；</w:t>
            </w:r>
          </w:p>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服务保证措施计划粗略但可行，符合实际需求得3分；</w:t>
            </w:r>
          </w:p>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服务保证措施计划较比简单，可行性一般，基本符合需求得1分；</w:t>
            </w:r>
          </w:p>
          <w:p>
            <w:pPr>
              <w:pStyle w:val="45"/>
              <w:spacing w:before="4" w:line="270" w:lineRule="atLeast"/>
              <w:ind w:left="111" w:leftChars="0" w:right="21" w:rightChars="0"/>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未提供得0分。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1584"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(2.5分)</w:t>
            </w:r>
          </w:p>
        </w:tc>
        <w:tc>
          <w:tcPr>
            <w:tcW w:w="7118" w:type="dxa"/>
            <w:tcBorders>
              <w:tl2br w:val="nil"/>
              <w:tr2bl w:val="nil"/>
            </w:tcBorders>
            <w:shd w:val="clear" w:color="auto" w:fill="FFFFFF" w:themeFill="background1"/>
            <w:vAlign w:val="center"/>
          </w:tcPr>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质量保障措施全面合理，完善且针对性强，得2.5分；</w:t>
            </w:r>
          </w:p>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质量保障措施基本满足磋商文件要求得1.5分；</w:t>
            </w:r>
          </w:p>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质量保障措施有欠缺得1分；</w:t>
            </w:r>
          </w:p>
          <w:p>
            <w:pPr>
              <w:pStyle w:val="45"/>
              <w:spacing w:before="4" w:line="270" w:lineRule="atLeast"/>
              <w:ind w:left="111" w:leftChars="0" w:right="21" w:rightChars="0"/>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无相关内容得 0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1116" w:hRule="atLeast"/>
          <w:jc w:val="center"/>
        </w:trPr>
        <w:tc>
          <w:tcPr>
            <w:tcW w:w="751" w:type="dxa"/>
            <w:vMerge w:val="continue"/>
            <w:tcBorders>
              <w:tl2br w:val="nil"/>
              <w:tr2bl w:val="nil"/>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p>
        </w:tc>
        <w:tc>
          <w:tcPr>
            <w:tcW w:w="1513"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保密措施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(2.5分)</w:t>
            </w:r>
          </w:p>
        </w:tc>
        <w:tc>
          <w:tcPr>
            <w:tcW w:w="7118" w:type="dxa"/>
            <w:tcBorders>
              <w:tl2br w:val="nil"/>
              <w:tr2bl w:val="nil"/>
            </w:tcBorders>
            <w:shd w:val="clear" w:color="auto" w:fill="FFFFFF" w:themeFill="background1"/>
            <w:vAlign w:val="center"/>
          </w:tcPr>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保密保障措施全面合理，数据资料保密制度细致得2.5分；</w:t>
            </w:r>
          </w:p>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保密保障措施，数据资料保密制度基本满足磋商文件要求得1.5分；</w:t>
            </w:r>
          </w:p>
          <w:p>
            <w:pPr>
              <w:pStyle w:val="45"/>
              <w:spacing w:before="4" w:line="270" w:lineRule="atLeast"/>
              <w:ind w:left="111" w:right="21"/>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保密保障措施，数据资料保密制度有欠缺得1分；</w:t>
            </w:r>
          </w:p>
          <w:p>
            <w:pPr>
              <w:pStyle w:val="45"/>
              <w:spacing w:before="4" w:line="270" w:lineRule="atLeast"/>
              <w:ind w:left="105" w:leftChars="50" w:right="21" w:rightChars="0"/>
              <w:jc w:val="left"/>
              <w:rPr>
                <w:rFonts w:hint="eastAsia" w:ascii="宋体" w:hAnsi="宋体" w:eastAsia="宋体" w:cs="宋体"/>
                <w:bCs/>
                <w:color w:val="auto"/>
                <w:kern w:val="1"/>
                <w:sz w:val="21"/>
                <w:szCs w:val="21"/>
                <w:highlight w:val="none"/>
                <w:lang w:val="en-US" w:eastAsia="zh-CN" w:bidi="ar-SA"/>
              </w:rPr>
            </w:pPr>
            <w:r>
              <w:rPr>
                <w:rFonts w:hint="eastAsia" w:ascii="宋体" w:hAnsi="宋体" w:eastAsia="宋体" w:cs="宋体"/>
                <w:bCs/>
                <w:color w:val="auto"/>
                <w:kern w:val="1"/>
                <w:sz w:val="21"/>
                <w:szCs w:val="21"/>
                <w:highlight w:val="none"/>
                <w:lang w:val="en-US" w:eastAsia="zh-CN" w:bidi="ar-SA"/>
              </w:rPr>
              <w:t>无相关内容得 0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1116" w:hRule="atLeast"/>
          <w:jc w:val="center"/>
        </w:trPr>
        <w:tc>
          <w:tcPr>
            <w:tcW w:w="9382" w:type="dxa"/>
            <w:gridSpan w:val="3"/>
            <w:tcBorders>
              <w:tl2br w:val="nil"/>
              <w:tr2bl w:val="nil"/>
            </w:tcBorders>
            <w:shd w:val="clear" w:color="auto" w:fill="FFFFFF" w:themeFill="background1"/>
            <w:vAlign w:val="center"/>
          </w:tcPr>
          <w:p>
            <w:pPr>
              <w:pStyle w:val="19"/>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 xml:space="preserve">注：1、供应商商务、技术部分最终得分为评审专家此部分打分的算术平均值；评分分值计算保留小数点后两位，小数点后三位“四舍五入”。 </w:t>
            </w:r>
          </w:p>
          <w:p>
            <w:pPr>
              <w:pStyle w:val="37"/>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2、供应商最终得分=价格部分得分+商务、技术部分得分。</w:t>
            </w:r>
          </w:p>
        </w:tc>
      </w:tr>
    </w:tbl>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6"/>
          <w:szCs w:val="36"/>
          <w:highlight w:val="none"/>
        </w:rPr>
        <w:t>第四章   合同条款</w:t>
      </w:r>
      <w:r>
        <w:rPr>
          <w:rFonts w:hint="eastAsia" w:asciiTheme="minorEastAsia" w:hAnsiTheme="minorEastAsia" w:eastAsiaTheme="minorEastAsia" w:cstheme="minorEastAsia"/>
          <w:b/>
          <w:color w:val="auto"/>
          <w:sz w:val="36"/>
          <w:szCs w:val="36"/>
          <w:highlight w:val="none"/>
          <w:lang w:eastAsia="zh-CN"/>
        </w:rPr>
        <w:t>及格式</w:t>
      </w:r>
    </w:p>
    <w:p>
      <w:pPr>
        <w:spacing w:line="460" w:lineRule="exact"/>
        <w:ind w:firstLine="44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2"/>
          <w:szCs w:val="22"/>
          <w:highlight w:val="none"/>
          <w:lang w:val="en-US" w:eastAsia="zh-CN"/>
        </w:rPr>
        <w:t>（本合同条款及格式仅供参考，具体以采购人和中标人签订的合同为准。）</w:t>
      </w:r>
    </w:p>
    <w:p>
      <w:pPr>
        <w:rPr>
          <w:rFonts w:hint="eastAsia" w:asciiTheme="minorEastAsia" w:hAnsiTheme="minorEastAsia" w:eastAsiaTheme="minorEastAsia" w:cstheme="minorEastAsia"/>
          <w:color w:val="auto"/>
          <w:sz w:val="22"/>
          <w:szCs w:val="22"/>
          <w:highlight w:val="none"/>
        </w:rPr>
      </w:pPr>
    </w:p>
    <w:p>
      <w:pPr>
        <w:rPr>
          <w:rFonts w:hint="eastAsia" w:asciiTheme="minorEastAsia" w:hAnsiTheme="minorEastAsia" w:eastAsiaTheme="minorEastAsia" w:cstheme="minorEastAsia"/>
          <w:color w:val="auto"/>
          <w:sz w:val="22"/>
          <w:szCs w:val="22"/>
          <w:highlight w:val="none"/>
        </w:rPr>
      </w:pPr>
    </w:p>
    <w:p>
      <w:pPr>
        <w:rPr>
          <w:rFonts w:hint="eastAsia" w:asciiTheme="minorEastAsia" w:hAnsiTheme="minorEastAsia" w:eastAsiaTheme="minorEastAsia" w:cstheme="minorEastAsia"/>
          <w:color w:val="auto"/>
          <w:sz w:val="24"/>
          <w:highlight w:val="none"/>
          <w:u w:val="single"/>
        </w:rPr>
      </w:pPr>
      <w:bookmarkStart w:id="10" w:name="_Toc331685783"/>
      <w:r>
        <w:rPr>
          <w:rFonts w:hint="eastAsia" w:asciiTheme="minorEastAsia" w:hAnsiTheme="minorEastAsia" w:eastAsiaTheme="minorEastAsia" w:cstheme="minorEastAsia"/>
          <w:color w:val="auto"/>
          <w:sz w:val="24"/>
          <w:highlight w:val="none"/>
        </w:rPr>
        <w:t>合同编号：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pPr>
        <w:spacing w:line="480" w:lineRule="auto"/>
        <w:jc w:val="center"/>
        <w:rPr>
          <w:rFonts w:hint="eastAsia" w:asciiTheme="minorEastAsia" w:hAnsiTheme="minorEastAsia" w:eastAsiaTheme="minorEastAsia" w:cstheme="minorEastAsia"/>
          <w:b/>
          <w:color w:val="auto"/>
          <w:sz w:val="28"/>
          <w:szCs w:val="28"/>
          <w:highlight w:val="none"/>
        </w:rPr>
      </w:pPr>
    </w:p>
    <w:p>
      <w:pPr>
        <w:spacing w:line="48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政府采购合同参考范本</w:t>
      </w:r>
    </w:p>
    <w:p>
      <w:pPr>
        <w:spacing w:line="48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（服务类）</w:t>
      </w:r>
    </w:p>
    <w:p>
      <w:pPr>
        <w:pStyle w:val="50"/>
        <w:ind w:firstLine="0"/>
        <w:rPr>
          <w:rFonts w:hint="eastAsia" w:asciiTheme="minorEastAsia" w:hAnsiTheme="minorEastAsia" w:eastAsiaTheme="minorEastAsia" w:cstheme="minorEastAsia"/>
          <w:color w:val="auto"/>
          <w:szCs w:val="24"/>
          <w:highlight w:val="none"/>
        </w:rPr>
      </w:pPr>
    </w:p>
    <w:p>
      <w:pPr>
        <w:pStyle w:val="50"/>
        <w:ind w:firstLine="0"/>
        <w:rPr>
          <w:rFonts w:hint="eastAsia" w:asciiTheme="minorEastAsia" w:hAnsiTheme="minorEastAsia" w:eastAsiaTheme="minorEastAsia" w:cstheme="minorEastAsia"/>
          <w:color w:val="auto"/>
          <w:szCs w:val="24"/>
          <w:highlight w:val="none"/>
        </w:rPr>
      </w:pPr>
    </w:p>
    <w:p>
      <w:pPr>
        <w:pStyle w:val="50"/>
        <w:ind w:firstLine="0"/>
        <w:rPr>
          <w:rFonts w:hint="eastAsia" w:asciiTheme="minorEastAsia" w:hAnsiTheme="minorEastAsia" w:eastAsiaTheme="minorEastAsia" w:cstheme="minorEastAsia"/>
          <w:color w:val="auto"/>
          <w:szCs w:val="24"/>
          <w:highlight w:val="none"/>
        </w:rPr>
      </w:pPr>
    </w:p>
    <w:p>
      <w:pPr>
        <w:pStyle w:val="50"/>
        <w:ind w:firstLine="0"/>
        <w:jc w:val="center"/>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第一部分 合同书</w:t>
      </w:r>
    </w:p>
    <w:p>
      <w:pPr>
        <w:pStyle w:val="50"/>
        <w:ind w:firstLine="0"/>
        <w:rPr>
          <w:rFonts w:hint="eastAsia" w:asciiTheme="minorEastAsia" w:hAnsiTheme="minorEastAsia" w:eastAsiaTheme="minorEastAsia" w:cstheme="minorEastAsia"/>
          <w:color w:val="auto"/>
          <w:szCs w:val="24"/>
          <w:highlight w:val="none"/>
        </w:rPr>
      </w:pPr>
    </w:p>
    <w:p>
      <w:pPr>
        <w:pStyle w:val="50"/>
        <w:ind w:firstLine="0"/>
        <w:rPr>
          <w:rFonts w:hint="eastAsia" w:asciiTheme="minorEastAsia" w:hAnsiTheme="minorEastAsia" w:eastAsiaTheme="minorEastAsia" w:cstheme="minorEastAsia"/>
          <w:color w:val="auto"/>
          <w:szCs w:val="24"/>
          <w:highlight w:val="none"/>
        </w:rPr>
      </w:pPr>
    </w:p>
    <w:p>
      <w:pPr>
        <w:spacing w:before="120" w:line="22" w:lineRule="atLeast"/>
        <w:rPr>
          <w:rFonts w:hint="eastAsia" w:asciiTheme="minorEastAsia" w:hAnsiTheme="minorEastAsia" w:eastAsiaTheme="minorEastAsia" w:cstheme="minorEastAsia"/>
          <w:color w:val="auto"/>
          <w:sz w:val="24"/>
          <w:highlight w:val="none"/>
        </w:rPr>
      </w:pPr>
    </w:p>
    <w:p>
      <w:pPr>
        <w:spacing w:before="120" w:line="22" w:lineRule="atLeast"/>
        <w:ind w:left="96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pStyle w:val="51"/>
        <w:spacing w:before="120" w:line="22" w:lineRule="atLeast"/>
        <w:rPr>
          <w:rFonts w:hint="eastAsia" w:asciiTheme="minorEastAsia" w:hAnsiTheme="minorEastAsia" w:eastAsiaTheme="minorEastAsia" w:cstheme="minorEastAsia"/>
          <w:color w:val="auto"/>
          <w:szCs w:val="24"/>
          <w:highlight w:val="none"/>
        </w:rPr>
      </w:pPr>
    </w:p>
    <w:p>
      <w:pPr>
        <w:pStyle w:val="51"/>
        <w:spacing w:before="120" w:line="22" w:lineRule="atLeast"/>
        <w:rPr>
          <w:rFonts w:hint="eastAsia" w:asciiTheme="minorEastAsia" w:hAnsiTheme="minorEastAsia" w:eastAsiaTheme="minorEastAsia" w:cstheme="minorEastAsia"/>
          <w:color w:val="auto"/>
          <w:szCs w:val="24"/>
          <w:highlight w:val="none"/>
        </w:rPr>
      </w:pPr>
    </w:p>
    <w:p>
      <w:pPr>
        <w:rPr>
          <w:rFonts w:hint="eastAsia" w:asciiTheme="minorEastAsia" w:hAnsiTheme="minorEastAsia" w:eastAsiaTheme="minorEastAsia" w:cstheme="minorEastAsia"/>
          <w:color w:val="auto"/>
          <w:highlight w:val="none"/>
        </w:rPr>
      </w:pPr>
    </w:p>
    <w:p>
      <w:pPr>
        <w:spacing w:before="120" w:line="22" w:lineRule="atLeast"/>
        <w:ind w:left="96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甲方：</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rPr>
          <w:rFonts w:hint="eastAsia" w:asciiTheme="minorEastAsia" w:hAnsiTheme="minorEastAsia" w:eastAsiaTheme="minorEastAsia" w:cstheme="minorEastAsia"/>
          <w:color w:val="auto"/>
          <w:sz w:val="24"/>
          <w:highlight w:val="none"/>
        </w:rPr>
      </w:pPr>
    </w:p>
    <w:p>
      <w:pPr>
        <w:spacing w:before="120" w:line="22" w:lineRule="atLeast"/>
        <w:ind w:left="96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rPr>
          <w:rFonts w:hint="eastAsia" w:asciiTheme="minorEastAsia" w:hAnsiTheme="minorEastAsia" w:eastAsiaTheme="minorEastAsia" w:cstheme="minorEastAsia"/>
          <w:color w:val="auto"/>
          <w:sz w:val="24"/>
          <w:highlight w:val="none"/>
        </w:rPr>
      </w:pPr>
    </w:p>
    <w:p>
      <w:pPr>
        <w:spacing w:before="120" w:line="22" w:lineRule="atLeast"/>
        <w:ind w:firstLine="960" w:firstLineChars="4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签订地：</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rPr>
          <w:rFonts w:hint="eastAsia" w:asciiTheme="minorEastAsia" w:hAnsiTheme="minorEastAsia" w:eastAsiaTheme="minorEastAsia" w:cstheme="minorEastAsia"/>
          <w:color w:val="auto"/>
          <w:sz w:val="24"/>
          <w:highlight w:val="none"/>
        </w:rPr>
      </w:pPr>
    </w:p>
    <w:p>
      <w:pPr>
        <w:spacing w:before="120" w:line="22" w:lineRule="atLeast"/>
        <w:ind w:firstLine="960" w:firstLineChars="4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签订日期：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pPr>
        <w:autoSpaceDE w:val="0"/>
        <w:autoSpaceDN w:val="0"/>
        <w:adjustRightInd w:val="0"/>
        <w:spacing w:line="600" w:lineRule="exact"/>
        <w:ind w:firstLine="640"/>
        <w:jc w:val="center"/>
        <w:rPr>
          <w:rFonts w:hint="eastAsia" w:asciiTheme="minorEastAsia" w:hAnsiTheme="minorEastAsia" w:eastAsiaTheme="minorEastAsia" w:cstheme="minorEastAsia"/>
          <w:color w:val="auto"/>
          <w:sz w:val="24"/>
          <w:highlight w:val="none"/>
        </w:rPr>
        <w:sectPr>
          <w:pgSz w:w="11907" w:h="16840"/>
          <w:pgMar w:top="1247" w:right="1247" w:bottom="1247" w:left="1247" w:header="851" w:footer="851" w:gutter="0"/>
          <w:cols w:space="720" w:num="1"/>
          <w:docGrid w:linePitch="462" w:charSpace="0"/>
        </w:sectPr>
      </w:pP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月</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（采购人名称）   </w:t>
      </w:r>
      <w:r>
        <w:rPr>
          <w:rFonts w:hint="eastAsia" w:asciiTheme="minorEastAsia" w:hAnsiTheme="minorEastAsia" w:eastAsiaTheme="minorEastAsia" w:cstheme="minorEastAsia"/>
          <w:color w:val="auto"/>
          <w:sz w:val="24"/>
          <w:highlight w:val="none"/>
        </w:rPr>
        <w:t>以</w:t>
      </w:r>
      <w:r>
        <w:rPr>
          <w:rFonts w:hint="eastAsia" w:asciiTheme="minorEastAsia" w:hAnsiTheme="minorEastAsia" w:eastAsiaTheme="minorEastAsia" w:cstheme="minorEastAsia"/>
          <w:color w:val="auto"/>
          <w:sz w:val="24"/>
          <w:highlight w:val="none"/>
          <w:u w:val="single"/>
        </w:rPr>
        <w:t xml:space="preserve">   （政府采购方式）  </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u w:val="single"/>
        </w:rPr>
        <w:t xml:space="preserve">   （同前页项目名称）   </w:t>
      </w:r>
      <w:r>
        <w:rPr>
          <w:rFonts w:hint="eastAsia" w:asciiTheme="minorEastAsia" w:hAnsiTheme="minorEastAsia" w:eastAsiaTheme="minorEastAsia" w:cstheme="minorEastAsia"/>
          <w:color w:val="auto"/>
          <w:sz w:val="24"/>
          <w:highlight w:val="none"/>
        </w:rPr>
        <w:t>项目进行了采购。经</w:t>
      </w:r>
      <w:r>
        <w:rPr>
          <w:rFonts w:hint="eastAsia" w:asciiTheme="minorEastAsia" w:hAnsiTheme="minorEastAsia" w:eastAsiaTheme="minorEastAsia" w:cstheme="minorEastAsia"/>
          <w:color w:val="auto"/>
          <w:sz w:val="24"/>
          <w:highlight w:val="none"/>
          <w:u w:val="single"/>
        </w:rPr>
        <w:t xml:space="preserve">   （相关评定主体名称）   </w:t>
      </w:r>
      <w:r>
        <w:rPr>
          <w:rFonts w:hint="eastAsia" w:asciiTheme="minorEastAsia" w:hAnsiTheme="minorEastAsia" w:eastAsiaTheme="minorEastAsia" w:cstheme="minorEastAsia"/>
          <w:color w:val="auto"/>
          <w:sz w:val="24"/>
          <w:highlight w:val="none"/>
        </w:rPr>
        <w:t>评定，</w:t>
      </w:r>
      <w:r>
        <w:rPr>
          <w:rFonts w:hint="eastAsia" w:asciiTheme="minorEastAsia" w:hAnsiTheme="minorEastAsia" w:eastAsiaTheme="minorEastAsia" w:cstheme="minorEastAsia"/>
          <w:color w:val="auto"/>
          <w:sz w:val="24"/>
          <w:highlight w:val="none"/>
          <w:u w:val="single"/>
        </w:rPr>
        <w:t xml:space="preserve">   （中标供应商名称） </w:t>
      </w:r>
      <w:r>
        <w:rPr>
          <w:rFonts w:hint="eastAsia" w:asciiTheme="minorEastAsia" w:hAnsiTheme="minorEastAsia" w:eastAsiaTheme="minorEastAsia" w:cstheme="minorEastAsia"/>
          <w:color w:val="auto"/>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highlight w:val="none"/>
          <w:u w:val="single"/>
        </w:rPr>
        <w:t xml:space="preserve">   （采购人名称）   </w:t>
      </w:r>
      <w:r>
        <w:rPr>
          <w:rFonts w:hint="eastAsia" w:asciiTheme="minorEastAsia" w:hAnsiTheme="minorEastAsia" w:eastAsiaTheme="minorEastAsia" w:cstheme="minorEastAsia"/>
          <w:color w:val="auto"/>
          <w:sz w:val="24"/>
          <w:highlight w:val="none"/>
          <w:lang w:val="zh-CN"/>
        </w:rPr>
        <w:t>(以下简称：甲方)和</w:t>
      </w:r>
      <w:r>
        <w:rPr>
          <w:rFonts w:hint="eastAsia" w:asciiTheme="minorEastAsia" w:hAnsiTheme="minorEastAsia" w:eastAsiaTheme="minorEastAsia" w:cstheme="minorEastAsia"/>
          <w:color w:val="auto"/>
          <w:sz w:val="24"/>
          <w:highlight w:val="none"/>
          <w:u w:val="single"/>
        </w:rPr>
        <w:t xml:space="preserve">   （中标供应商名称）   </w:t>
      </w:r>
      <w:r>
        <w:rPr>
          <w:rFonts w:hint="eastAsia" w:asciiTheme="minorEastAsia" w:hAnsiTheme="minorEastAsia" w:eastAsiaTheme="minorEastAsia" w:cstheme="minorEastAsia"/>
          <w:color w:val="auto"/>
          <w:sz w:val="24"/>
          <w:highlight w:val="none"/>
          <w:lang w:val="zh-CN"/>
        </w:rPr>
        <w:t>(以下简称：乙方)协商一致，约定以下合同</w:t>
      </w:r>
      <w:r>
        <w:rPr>
          <w:rFonts w:hint="eastAsia" w:asciiTheme="minorEastAsia" w:hAnsiTheme="minorEastAsia" w:eastAsiaTheme="minorEastAsia" w:cstheme="minorEastAsia"/>
          <w:color w:val="auto"/>
          <w:sz w:val="24"/>
          <w:highlight w:val="none"/>
        </w:rPr>
        <w:t>条款，以兹共同遵守、全面履行。</w:t>
      </w:r>
    </w:p>
    <w:p>
      <w:pPr>
        <w:spacing w:line="560" w:lineRule="exact"/>
        <w:ind w:firstLine="482" w:firstLineChars="200"/>
        <w:outlineLvl w:val="0"/>
        <w:rPr>
          <w:rFonts w:hint="eastAsia" w:asciiTheme="minorEastAsia" w:hAnsiTheme="minorEastAsia" w:eastAsiaTheme="minorEastAsia" w:cstheme="minorEastAsia"/>
          <w:color w:val="auto"/>
          <w:sz w:val="24"/>
          <w:highlight w:val="none"/>
        </w:rPr>
      </w:pPr>
      <w:bookmarkStart w:id="11" w:name="_Toc15367"/>
      <w:bookmarkStart w:id="12" w:name="_Toc19273"/>
      <w:bookmarkStart w:id="13" w:name="_Toc28855"/>
      <w:bookmarkStart w:id="14" w:name="_Toc22967"/>
      <w:bookmarkStart w:id="15" w:name="_Toc20421"/>
      <w:r>
        <w:rPr>
          <w:rFonts w:hint="eastAsia" w:asciiTheme="minorEastAsia" w:hAnsiTheme="minorEastAsia" w:eastAsiaTheme="minorEastAsia" w:cstheme="minorEastAsia"/>
          <w:b/>
          <w:color w:val="auto"/>
          <w:sz w:val="24"/>
          <w:highlight w:val="none"/>
        </w:rPr>
        <w:t>1.1 合同组成部分</w:t>
      </w:r>
      <w:bookmarkEnd w:id="11"/>
      <w:bookmarkEnd w:id="12"/>
      <w:bookmarkEnd w:id="13"/>
      <w:bookmarkEnd w:id="14"/>
      <w:bookmarkEnd w:id="15"/>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 本合同及其补充合同、变更协议；</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 中标通知书；</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 投标文件（含澄清或者说明文件）；</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 招标文件（含澄清或者修改文件）；</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 其他相关采购文件。</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6" w:name="_Toc6773"/>
      <w:bookmarkStart w:id="17" w:name="_Toc18585"/>
      <w:bookmarkStart w:id="18" w:name="_Toc22185"/>
      <w:bookmarkStart w:id="19" w:name="_Toc6311"/>
      <w:bookmarkStart w:id="20" w:name="_Toc2918"/>
      <w:r>
        <w:rPr>
          <w:rFonts w:hint="eastAsia" w:asciiTheme="minorEastAsia" w:hAnsiTheme="minorEastAsia" w:eastAsiaTheme="minorEastAsia" w:cstheme="minorEastAsia"/>
          <w:b/>
          <w:color w:val="auto"/>
          <w:sz w:val="24"/>
          <w:highlight w:val="none"/>
        </w:rPr>
        <w:t>1.2 标的</w:t>
      </w:r>
      <w:bookmarkEnd w:id="16"/>
      <w:bookmarkEnd w:id="17"/>
      <w:bookmarkEnd w:id="18"/>
      <w:bookmarkEnd w:id="19"/>
      <w:bookmarkEnd w:id="20"/>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1.2.1 标的名称：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1.2.2 标的数量：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 标的质量：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21" w:name="_Toc21124"/>
      <w:bookmarkStart w:id="22" w:name="_Toc5635"/>
      <w:bookmarkStart w:id="23" w:name="_Toc1386"/>
      <w:bookmarkStart w:id="24" w:name="_Toc4929"/>
      <w:bookmarkStart w:id="25" w:name="_Toc13918"/>
      <w:r>
        <w:rPr>
          <w:rFonts w:hint="eastAsia" w:asciiTheme="minorEastAsia" w:hAnsiTheme="minorEastAsia" w:eastAsiaTheme="minorEastAsia" w:cstheme="minorEastAsia"/>
          <w:b/>
          <w:color w:val="auto"/>
          <w:sz w:val="24"/>
          <w:highlight w:val="none"/>
        </w:rPr>
        <w:t>1.3 价款</w:t>
      </w:r>
      <w:bookmarkEnd w:id="21"/>
      <w:bookmarkEnd w:id="22"/>
      <w:bookmarkEnd w:id="23"/>
      <w:bookmarkEnd w:id="24"/>
      <w:bookmarkEnd w:id="25"/>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本合同总价为：￥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元人民币）。</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分项价格：</w:t>
      </w:r>
    </w:p>
    <w:p>
      <w:pPr>
        <w:pStyle w:val="27"/>
        <w:rPr>
          <w:rFonts w:hint="eastAsia" w:asciiTheme="minorEastAsia" w:hAnsiTheme="minorEastAsia" w:eastAsiaTheme="minorEastAsia" w:cstheme="minorEastAsia"/>
          <w:color w:val="auto"/>
          <w:sz w:val="24"/>
          <w:highlight w:val="none"/>
        </w:rPr>
      </w:pPr>
    </w:p>
    <w:p>
      <w:pPr>
        <w:rPr>
          <w:rFonts w:hint="eastAsia"/>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40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分项名称</w:t>
            </w:r>
          </w:p>
        </w:tc>
        <w:tc>
          <w:tcPr>
            <w:tcW w:w="2552" w:type="dxa"/>
            <w:vAlign w:val="center"/>
          </w:tcPr>
          <w:p>
            <w:pPr>
              <w:pStyle w:val="52"/>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340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255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340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255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340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255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340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c>
          <w:tcPr>
            <w:tcW w:w="255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2552" w:type="dxa"/>
            <w:vAlign w:val="center"/>
          </w:tcPr>
          <w:p>
            <w:pPr>
              <w:pStyle w:val="52"/>
              <w:spacing w:line="560" w:lineRule="exact"/>
              <w:ind w:firstLine="200"/>
              <w:jc w:val="center"/>
              <w:rPr>
                <w:rFonts w:hint="eastAsia" w:asciiTheme="minorEastAsia" w:hAnsiTheme="minorEastAsia" w:eastAsiaTheme="minorEastAsia" w:cstheme="minorEastAsia"/>
                <w:color w:val="auto"/>
                <w:sz w:val="24"/>
                <w:szCs w:val="24"/>
                <w:highlight w:val="none"/>
              </w:rPr>
            </w:pPr>
          </w:p>
        </w:tc>
      </w:tr>
    </w:tbl>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26" w:name="_Toc30506"/>
      <w:bookmarkStart w:id="27" w:name="_Toc26916"/>
      <w:bookmarkStart w:id="28" w:name="_Toc3654"/>
      <w:bookmarkStart w:id="29" w:name="_Toc30158"/>
      <w:bookmarkStart w:id="30" w:name="_Toc14993"/>
      <w:r>
        <w:rPr>
          <w:rFonts w:hint="eastAsia" w:asciiTheme="minorEastAsia" w:hAnsiTheme="minorEastAsia" w:eastAsiaTheme="minorEastAsia" w:cstheme="minorEastAsia"/>
          <w:b/>
          <w:color w:val="auto"/>
          <w:sz w:val="24"/>
          <w:highlight w:val="none"/>
        </w:rPr>
        <w:t>1.4 付款方式和发票开具方式</w:t>
      </w:r>
      <w:bookmarkEnd w:id="26"/>
      <w:bookmarkEnd w:id="27"/>
      <w:bookmarkEnd w:id="28"/>
      <w:bookmarkEnd w:id="29"/>
      <w:bookmarkEnd w:id="30"/>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1.4.1付款方式：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发票开具方式：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31" w:name="_Toc11108"/>
      <w:bookmarkStart w:id="32" w:name="_Toc3625"/>
      <w:bookmarkStart w:id="33" w:name="_Toc31421"/>
      <w:bookmarkStart w:id="34" w:name="_Toc4760"/>
      <w:bookmarkStart w:id="35" w:name="_Toc8772"/>
      <w:r>
        <w:rPr>
          <w:rFonts w:hint="eastAsia" w:asciiTheme="minorEastAsia" w:hAnsiTheme="minorEastAsia" w:eastAsiaTheme="minorEastAsia" w:cstheme="minorEastAsia"/>
          <w:b/>
          <w:color w:val="auto"/>
          <w:sz w:val="24"/>
          <w:highlight w:val="none"/>
        </w:rPr>
        <w:t>1.5 履行期限、地点和方式</w:t>
      </w:r>
      <w:bookmarkEnd w:id="31"/>
      <w:bookmarkEnd w:id="32"/>
      <w:bookmarkEnd w:id="33"/>
      <w:bookmarkEnd w:id="34"/>
      <w:bookmarkEnd w:id="35"/>
    </w:p>
    <w:p>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1.5.1 履行期限：</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 履行地点：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履行方式：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pacing w:line="560" w:lineRule="exact"/>
        <w:ind w:firstLine="482" w:firstLineChars="200"/>
        <w:outlineLvl w:val="0"/>
        <w:rPr>
          <w:rFonts w:hint="eastAsia" w:asciiTheme="minorEastAsia" w:hAnsiTheme="minorEastAsia" w:eastAsiaTheme="minorEastAsia" w:cstheme="minorEastAsia"/>
          <w:color w:val="auto"/>
          <w:sz w:val="24"/>
          <w:highlight w:val="none"/>
          <w:u w:val="single"/>
        </w:rPr>
      </w:pPr>
      <w:bookmarkStart w:id="36" w:name="_Toc5698"/>
      <w:bookmarkStart w:id="37" w:name="_Toc8586"/>
      <w:bookmarkStart w:id="38" w:name="_Toc3079"/>
      <w:bookmarkStart w:id="39" w:name="_Toc2375"/>
      <w:bookmarkStart w:id="40" w:name="_Toc24662"/>
      <w:r>
        <w:rPr>
          <w:rFonts w:hint="eastAsia" w:asciiTheme="minorEastAsia" w:hAnsiTheme="minorEastAsia" w:eastAsiaTheme="minorEastAsia" w:cstheme="minorEastAsia"/>
          <w:b/>
          <w:color w:val="auto"/>
          <w:sz w:val="24"/>
          <w:highlight w:val="none"/>
        </w:rPr>
        <w:t>1.6 违约责任</w:t>
      </w:r>
      <w:bookmarkEnd w:id="36"/>
      <w:bookmarkEnd w:id="37"/>
      <w:bookmarkEnd w:id="38"/>
      <w:bookmarkEnd w:id="39"/>
      <w:bookmarkEnd w:id="40"/>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%计算，最高限额为本合同总价的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%计算，最高限额为本合同总价的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41" w:name="_Toc18683"/>
      <w:bookmarkStart w:id="42" w:name="_Toc30329"/>
      <w:bookmarkStart w:id="43" w:name="_Toc32454"/>
      <w:bookmarkStart w:id="44" w:name="_Toc26807"/>
      <w:bookmarkStart w:id="45" w:name="_Toc9497"/>
      <w:r>
        <w:rPr>
          <w:rFonts w:hint="eastAsia" w:asciiTheme="minorEastAsia" w:hAnsiTheme="minorEastAsia" w:eastAsiaTheme="minorEastAsia" w:cstheme="minorEastAsia"/>
          <w:b/>
          <w:color w:val="auto"/>
          <w:sz w:val="24"/>
          <w:highlight w:val="none"/>
        </w:rPr>
        <w:t>1.7 合同争议的解决</w:t>
      </w:r>
      <w:bookmarkEnd w:id="41"/>
      <w:bookmarkEnd w:id="42"/>
      <w:bookmarkEnd w:id="43"/>
      <w:bookmarkEnd w:id="44"/>
      <w:bookmarkEnd w:id="45"/>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种方式解决：</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 将争议提交</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仲裁委员会依申请仲裁时其现行有效的仲裁规则裁决；</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 向</w:t>
      </w:r>
      <w:r>
        <w:rPr>
          <w:rFonts w:hint="eastAsia" w:asciiTheme="minorEastAsia" w:hAnsiTheme="minorEastAsia" w:eastAsiaTheme="minorEastAsia" w:cstheme="minorEastAsia"/>
          <w:color w:val="auto"/>
          <w:sz w:val="24"/>
          <w:highlight w:val="none"/>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auto"/>
          <w:sz w:val="24"/>
          <w:highlight w:val="none"/>
        </w:rPr>
        <w:t>人民法院起诉。</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46" w:name="_Toc26227"/>
      <w:bookmarkStart w:id="47" w:name="_Toc15827"/>
      <w:bookmarkStart w:id="48" w:name="_Toc16417"/>
      <w:bookmarkStart w:id="49" w:name="_Toc23784"/>
      <w:bookmarkStart w:id="50" w:name="_Toc12273"/>
      <w:r>
        <w:rPr>
          <w:rFonts w:hint="eastAsia" w:asciiTheme="minorEastAsia" w:hAnsiTheme="minorEastAsia" w:eastAsiaTheme="minorEastAsia" w:cstheme="minorEastAsia"/>
          <w:b/>
          <w:color w:val="auto"/>
          <w:sz w:val="24"/>
          <w:highlight w:val="none"/>
        </w:rPr>
        <w:t>1.8 合同生效</w:t>
      </w:r>
      <w:bookmarkEnd w:id="46"/>
      <w:bookmarkEnd w:id="47"/>
      <w:bookmarkEnd w:id="48"/>
      <w:bookmarkEnd w:id="49"/>
      <w:bookmarkEnd w:id="50"/>
    </w:p>
    <w:p>
      <w:pPr>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本合同自双方当事人盖章或者签字时生效。</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b/>
          <w:color w:val="auto"/>
          <w:sz w:val="24"/>
          <w:highlight w:val="none"/>
          <w:lang w:val="zh-CN"/>
        </w:rPr>
        <w:t>甲方</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b/>
          <w:color w:val="auto"/>
          <w:sz w:val="24"/>
          <w:highlight w:val="none"/>
          <w:lang w:val="zh-CN"/>
        </w:rPr>
        <w:t xml:space="preserve">      乙方</w:t>
      </w:r>
      <w:r>
        <w:rPr>
          <w:rFonts w:hint="eastAsia" w:asciiTheme="minorEastAsia" w:hAnsiTheme="minorEastAsia" w:eastAsiaTheme="minorEastAsia" w:cstheme="minorEastAsia"/>
          <w:color w:val="auto"/>
          <w:sz w:val="24"/>
          <w:highlight w:val="none"/>
          <w:lang w:val="zh-CN"/>
        </w:rPr>
        <w:t>：</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统一社会信用代码：                        统一社会信用代码或身份证号码：</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住所：                                   住所：</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法定代表人或                             法定代表人</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授权代表（签字）：                        或授权代表（签字）: </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联系人：                                 联系人：</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约定送达地址：                           约定送达地址：</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邮政编码：                               邮政编码：</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电话:                                    电话: </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传真:                                    传真:</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电子邮箱：                               电子邮箱：</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开户银行：                               开户银行： </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开户名称：                               开户名称： </w:t>
      </w:r>
    </w:p>
    <w:p>
      <w:pPr>
        <w:autoSpaceDE w:val="0"/>
        <w:autoSpaceDN w:val="0"/>
        <w:adjustRightInd w:val="0"/>
        <w:spacing w:line="5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开户账号：</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开户账号：</w:t>
      </w:r>
    </w:p>
    <w:p>
      <w:pPr>
        <w:widowControl/>
        <w:spacing w:line="560" w:lineRule="exact"/>
        <w:jc w:val="left"/>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rPr>
          <w:rFonts w:hint="eastAsia" w:asciiTheme="minorEastAsia" w:hAnsiTheme="minorEastAsia" w:eastAsiaTheme="minorEastAsia" w:cstheme="minorEastAsia"/>
          <w:b/>
          <w:color w:val="auto"/>
          <w:kern w:val="0"/>
          <w:sz w:val="24"/>
          <w:highlight w:val="none"/>
        </w:rPr>
      </w:pPr>
    </w:p>
    <w:p>
      <w:pPr>
        <w:pStyle w:val="12"/>
        <w:rPr>
          <w:rFonts w:hint="eastAsia" w:asciiTheme="minorEastAsia" w:hAnsiTheme="minorEastAsia" w:eastAsiaTheme="minorEastAsia" w:cstheme="minorEastAsia"/>
          <w:b/>
          <w:color w:val="auto"/>
          <w:kern w:val="0"/>
          <w:sz w:val="24"/>
          <w:highlight w:val="none"/>
        </w:rPr>
      </w:pPr>
    </w:p>
    <w:p>
      <w:pPr>
        <w:rPr>
          <w:rFonts w:hint="eastAsia" w:asciiTheme="minorEastAsia" w:hAnsiTheme="minorEastAsia" w:eastAsiaTheme="minorEastAsia" w:cstheme="minorEastAsia"/>
          <w:b/>
          <w:color w:val="auto"/>
          <w:kern w:val="0"/>
          <w:sz w:val="24"/>
          <w:highlight w:val="none"/>
        </w:rPr>
      </w:pPr>
    </w:p>
    <w:p>
      <w:pPr>
        <w:pStyle w:val="12"/>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pStyle w:val="11"/>
        <w:rPr>
          <w:rFonts w:hint="eastAsia" w:asciiTheme="minorEastAsia" w:hAnsiTheme="minorEastAsia" w:eastAsiaTheme="minorEastAsia" w:cstheme="minorEastAsia"/>
          <w:b/>
          <w:color w:val="auto"/>
          <w:kern w:val="0"/>
          <w:sz w:val="24"/>
          <w:highlight w:val="none"/>
        </w:rPr>
      </w:pPr>
    </w:p>
    <w:p>
      <w:pPr>
        <w:rPr>
          <w:rFonts w:hint="eastAsia" w:asciiTheme="minorEastAsia" w:hAnsiTheme="minorEastAsia" w:eastAsiaTheme="minorEastAsia" w:cstheme="minorEastAsia"/>
          <w:b/>
          <w:color w:val="auto"/>
          <w:kern w:val="0"/>
          <w:sz w:val="24"/>
          <w:highlight w:val="none"/>
        </w:rPr>
      </w:pPr>
    </w:p>
    <w:p>
      <w:pPr>
        <w:pStyle w:val="27"/>
        <w:rPr>
          <w:rFonts w:hint="eastAsia"/>
          <w:color w:val="auto"/>
          <w:highlight w:val="none"/>
        </w:rPr>
      </w:pPr>
    </w:p>
    <w:bookmarkEnd w:id="10"/>
    <w:p>
      <w:pPr>
        <w:pStyle w:val="50"/>
        <w:spacing w:line="560" w:lineRule="exact"/>
        <w:ind w:firstLine="200"/>
        <w:jc w:val="center"/>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第二部分 合同一般条款</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51" w:name="_Toc5228"/>
      <w:bookmarkStart w:id="52" w:name="_Toc259093669"/>
      <w:bookmarkStart w:id="53" w:name="_Toc279701240"/>
      <w:bookmarkStart w:id="54" w:name="_Toc25079"/>
      <w:bookmarkStart w:id="55" w:name="_Ref467379101"/>
      <w:bookmarkStart w:id="56" w:name="_Toc19680"/>
      <w:bookmarkStart w:id="57" w:name="_Ref467379214"/>
      <w:bookmarkStart w:id="58" w:name="_Toc487900349"/>
      <w:bookmarkStart w:id="59" w:name="_Ref467378404"/>
      <w:bookmarkStart w:id="60" w:name="_Ref467378499"/>
      <w:bookmarkStart w:id="61" w:name="_Toc31297"/>
      <w:bookmarkStart w:id="62" w:name="_Toc14021"/>
      <w:bookmarkStart w:id="63" w:name="_Ref467379109"/>
      <w:bookmarkStart w:id="64" w:name="_Ref467379225"/>
      <w:bookmarkStart w:id="65" w:name="_Ref467379195"/>
      <w:bookmarkStart w:id="66" w:name="_Ref467379094"/>
      <w:bookmarkStart w:id="67" w:name="_Ref467379205"/>
      <w:bookmarkStart w:id="68" w:name="_Ref467378463"/>
      <w:r>
        <w:rPr>
          <w:rFonts w:hint="eastAsia" w:asciiTheme="minorEastAsia" w:hAnsiTheme="minorEastAsia" w:eastAsiaTheme="minorEastAsia" w:cstheme="minorEastAsia"/>
          <w:b/>
          <w:color w:val="auto"/>
          <w:sz w:val="24"/>
          <w:highlight w:val="none"/>
        </w:rPr>
        <w:t>2.1 定义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本合同中的下列词语应按以下内容进行解释：</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69" w:name="_Ref467378840"/>
      <w:r>
        <w:rPr>
          <w:rFonts w:hint="eastAsia" w:asciiTheme="minorEastAsia" w:hAnsiTheme="minorEastAsia" w:eastAsiaTheme="minorEastAsia" w:cstheme="minorEastAsia"/>
          <w:color w:val="auto"/>
          <w:sz w:val="24"/>
          <w:highlight w:val="none"/>
        </w:rPr>
        <w:t>2.1.4 “甲方”系指与中标供应商签署合同的采购人</w:t>
      </w:r>
      <w:bookmarkEnd w:id="69"/>
      <w:r>
        <w:rPr>
          <w:rFonts w:hint="eastAsia" w:asciiTheme="minorEastAsia" w:hAnsiTheme="minorEastAsia" w:eastAsiaTheme="minorEastAsia" w:cstheme="minorEastAsia"/>
          <w:color w:val="auto"/>
          <w:sz w:val="24"/>
          <w:highlight w:val="none"/>
        </w:rPr>
        <w:t>；采购人委托采购代理机构代表其与乙方签订合同的，采购人的授权委托书作为合同附件。</w:t>
      </w:r>
    </w:p>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70" w:name="_Ref467379400"/>
      <w:r>
        <w:rPr>
          <w:rFonts w:hint="eastAsia" w:asciiTheme="minorEastAsia" w:hAnsiTheme="minorEastAsia" w:eastAsiaTheme="minorEastAsia" w:cstheme="minorEastAsia"/>
          <w:color w:val="auto"/>
          <w:sz w:val="24"/>
          <w:highlight w:val="none"/>
        </w:rPr>
        <w:t>2.1.5 “乙方”系指根据合同约定提供服务的中标供应商</w:t>
      </w:r>
      <w:bookmarkEnd w:id="70"/>
      <w:r>
        <w:rPr>
          <w:rFonts w:hint="eastAsia" w:asciiTheme="minorEastAsia" w:hAnsiTheme="minorEastAsia" w:eastAsiaTheme="minorEastAsia" w:cstheme="minorEastAsia"/>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71" w:name="_Ref467379436"/>
      <w:r>
        <w:rPr>
          <w:rFonts w:hint="eastAsia" w:asciiTheme="minorEastAsia" w:hAnsiTheme="minorEastAsia" w:eastAsiaTheme="minorEastAsia" w:cstheme="minorEastAsia"/>
          <w:color w:val="auto"/>
          <w:sz w:val="24"/>
          <w:highlight w:val="none"/>
        </w:rPr>
        <w:t>2.1.6 “现场”系指合同约定提供服务的地点。</w:t>
      </w:r>
      <w:bookmarkEnd w:id="71"/>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72" w:name="_Toc23289"/>
      <w:bookmarkStart w:id="73" w:name="_Toc31402"/>
      <w:bookmarkStart w:id="74" w:name="_Toc19539"/>
      <w:bookmarkStart w:id="75" w:name="_Toc16752"/>
      <w:bookmarkStart w:id="76" w:name="_Toc259093670"/>
      <w:bookmarkStart w:id="77" w:name="_Toc279701241"/>
      <w:bookmarkStart w:id="78" w:name="_Toc3769"/>
      <w:bookmarkStart w:id="79" w:name="_Toc487900350"/>
      <w:r>
        <w:rPr>
          <w:rFonts w:hint="eastAsia" w:asciiTheme="minorEastAsia" w:hAnsiTheme="minorEastAsia" w:eastAsiaTheme="minorEastAsia" w:cstheme="minorEastAsia"/>
          <w:b/>
          <w:color w:val="auto"/>
          <w:sz w:val="24"/>
          <w:highlight w:val="none"/>
        </w:rPr>
        <w:t>2.2 技术规范</w:t>
      </w:r>
      <w:bookmarkEnd w:id="72"/>
      <w:bookmarkEnd w:id="73"/>
      <w:bookmarkEnd w:id="74"/>
      <w:bookmarkEnd w:id="75"/>
      <w:bookmarkEnd w:id="76"/>
      <w:bookmarkEnd w:id="77"/>
      <w:bookmarkEnd w:id="78"/>
      <w:bookmarkEnd w:id="79"/>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80" w:name="_Toc487900351"/>
      <w:bookmarkStart w:id="81" w:name="_Toc4133"/>
      <w:bookmarkStart w:id="82" w:name="_Toc13673"/>
      <w:bookmarkStart w:id="83" w:name="_Toc259093671"/>
      <w:bookmarkStart w:id="84" w:name="_Toc27945"/>
      <w:bookmarkStart w:id="85" w:name="_Toc279701242"/>
      <w:bookmarkStart w:id="86" w:name="_Toc9161"/>
      <w:bookmarkStart w:id="87" w:name="_Toc12412"/>
      <w:r>
        <w:rPr>
          <w:rFonts w:hint="eastAsia" w:asciiTheme="minorEastAsia" w:hAnsiTheme="minorEastAsia" w:eastAsiaTheme="minorEastAsia" w:cstheme="minorEastAsia"/>
          <w:b/>
          <w:color w:val="auto"/>
          <w:sz w:val="24"/>
          <w:highlight w:val="none"/>
        </w:rPr>
        <w:t>2.3 知识产权</w:t>
      </w:r>
      <w:bookmarkEnd w:id="80"/>
      <w:bookmarkEnd w:id="81"/>
      <w:bookmarkEnd w:id="82"/>
      <w:bookmarkEnd w:id="83"/>
      <w:bookmarkEnd w:id="84"/>
      <w:bookmarkEnd w:id="85"/>
      <w:bookmarkEnd w:id="86"/>
      <w:bookmarkEnd w:id="87"/>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合同涉及技术成果的归属和收益的分成办法的，详见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 履约检查和问题反馈</w:t>
      </w:r>
    </w:p>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88" w:name="_Ref467379657"/>
      <w:r>
        <w:rPr>
          <w:rFonts w:hint="eastAsia" w:asciiTheme="minorEastAsia" w:hAnsiTheme="minorEastAsia" w:eastAsiaTheme="minorEastAsia" w:cstheme="minorEastAsia"/>
          <w:color w:val="auto"/>
          <w:sz w:val="24"/>
          <w:highlight w:val="none"/>
        </w:rPr>
        <w:t>2.4.1</w:t>
      </w:r>
      <w:bookmarkEnd w:id="88"/>
      <w:bookmarkStart w:id="89" w:name="_Toc186431854"/>
      <w:bookmarkStart w:id="90" w:name="_Ref467379807"/>
      <w:bookmarkStart w:id="91" w:name="_Toc487900357"/>
      <w:bookmarkStart w:id="92" w:name="_Toc259093676"/>
      <w:bookmarkStart w:id="93" w:name="_Toc279701247"/>
      <w:bookmarkStart w:id="94" w:name="_Ref467379793"/>
      <w:r>
        <w:rPr>
          <w:rFonts w:hint="eastAsia" w:asciiTheme="minorEastAsia" w:hAnsiTheme="minorEastAsia" w:eastAsiaTheme="minorEastAsia" w:cstheme="minorEastAsia"/>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合同履行期间，甲方有权将履行过程中出现的问题反馈给乙方，双方当事人应以书面形式约定需要完善和改进的内容</w:t>
      </w:r>
      <w:bookmarkEnd w:id="89"/>
      <w:bookmarkStart w:id="95" w:name="_Toc186431855"/>
      <w:r>
        <w:rPr>
          <w:rFonts w:hint="eastAsia" w:asciiTheme="minorEastAsia" w:hAnsiTheme="minorEastAsia" w:eastAsiaTheme="minorEastAsia" w:cstheme="minorEastAsia"/>
          <w:color w:val="auto"/>
          <w:sz w:val="24"/>
          <w:highlight w:val="none"/>
        </w:rPr>
        <w:t>。</w:t>
      </w:r>
    </w:p>
    <w:bookmarkEnd w:id="95"/>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96" w:name="_Toc15447"/>
      <w:bookmarkStart w:id="97" w:name="_Toc31233"/>
      <w:bookmarkStart w:id="98" w:name="_Toc22011"/>
      <w:bookmarkStart w:id="99" w:name="_Toc26555"/>
      <w:bookmarkStart w:id="100" w:name="_Toc32670"/>
      <w:r>
        <w:rPr>
          <w:rFonts w:hint="eastAsia" w:asciiTheme="minorEastAsia" w:hAnsiTheme="minorEastAsia" w:eastAsiaTheme="minorEastAsia" w:cstheme="minorEastAsia"/>
          <w:b/>
          <w:color w:val="auto"/>
          <w:sz w:val="24"/>
          <w:highlight w:val="none"/>
        </w:rPr>
        <w:t>2.5 结算方式和付款条件</w:t>
      </w:r>
      <w:bookmarkEnd w:id="90"/>
      <w:bookmarkEnd w:id="91"/>
      <w:bookmarkEnd w:id="92"/>
      <w:bookmarkEnd w:id="93"/>
      <w:bookmarkEnd w:id="94"/>
      <w:bookmarkEnd w:id="96"/>
      <w:bookmarkEnd w:id="97"/>
      <w:bookmarkEnd w:id="98"/>
      <w:bookmarkEnd w:id="99"/>
      <w:bookmarkEnd w:id="100"/>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01" w:name="_Ref467379863"/>
      <w:bookmarkStart w:id="102" w:name="_Ref467379852"/>
      <w:bookmarkStart w:id="103" w:name="_Toc279701248"/>
      <w:bookmarkStart w:id="104" w:name="_Ref467379923"/>
      <w:bookmarkStart w:id="105" w:name="_Toc487900358"/>
      <w:bookmarkStart w:id="106" w:name="_Toc259093677"/>
      <w:bookmarkStart w:id="107" w:name="_Toc13467"/>
      <w:bookmarkStart w:id="108" w:name="_Toc13154"/>
      <w:bookmarkStart w:id="109" w:name="_Toc16163"/>
      <w:bookmarkStart w:id="110" w:name="_Toc18990"/>
      <w:bookmarkStart w:id="111" w:name="_Toc30507"/>
      <w:r>
        <w:rPr>
          <w:rFonts w:hint="eastAsia" w:asciiTheme="minorEastAsia" w:hAnsiTheme="minorEastAsia" w:eastAsiaTheme="minorEastAsia" w:cstheme="minorEastAsia"/>
          <w:b/>
          <w:color w:val="auto"/>
          <w:sz w:val="24"/>
          <w:highlight w:val="none"/>
        </w:rPr>
        <w:t>2.6 技术资料</w:t>
      </w:r>
      <w:bookmarkEnd w:id="101"/>
      <w:bookmarkEnd w:id="102"/>
      <w:bookmarkEnd w:id="103"/>
      <w:bookmarkEnd w:id="104"/>
      <w:bookmarkEnd w:id="105"/>
      <w:bookmarkEnd w:id="106"/>
      <w:r>
        <w:rPr>
          <w:rFonts w:hint="eastAsia" w:asciiTheme="minorEastAsia" w:hAnsiTheme="minorEastAsia" w:eastAsiaTheme="minorEastAsia" w:cstheme="minorEastAsia"/>
          <w:b/>
          <w:color w:val="auto"/>
          <w:sz w:val="24"/>
          <w:highlight w:val="none"/>
        </w:rPr>
        <w:t>和保密义务</w:t>
      </w:r>
      <w:bookmarkEnd w:id="107"/>
      <w:bookmarkEnd w:id="108"/>
      <w:bookmarkEnd w:id="109"/>
      <w:bookmarkEnd w:id="110"/>
      <w:bookmarkEnd w:id="111"/>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乙方有权依据合同约定和项目需要，向甲方了解有关情况，调阅有关资料等，甲方应予积极配合；</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乙方有义务妥善保管和保护由甲方提供的前款信息和资料等；</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12" w:name="_Toc19069"/>
      <w:bookmarkStart w:id="113" w:name="_Toc279701252"/>
      <w:bookmarkStart w:id="114" w:name="_Toc259093681"/>
      <w:bookmarkStart w:id="115" w:name="_Toc487900362"/>
      <w:r>
        <w:rPr>
          <w:rFonts w:hint="eastAsia" w:asciiTheme="minorEastAsia" w:hAnsiTheme="minorEastAsia" w:eastAsiaTheme="minorEastAsia" w:cstheme="minorEastAsia"/>
          <w:b/>
          <w:color w:val="auto"/>
          <w:sz w:val="24"/>
          <w:highlight w:val="none"/>
        </w:rPr>
        <w:t>2.7 质量保证</w:t>
      </w:r>
      <w:bookmarkEnd w:id="112"/>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16" w:name="_Toc22267"/>
      <w:r>
        <w:rPr>
          <w:rFonts w:hint="eastAsia" w:asciiTheme="minorEastAsia" w:hAnsiTheme="minorEastAsia" w:eastAsiaTheme="minorEastAsia" w:cstheme="minorEastAsia"/>
          <w:b/>
          <w:color w:val="auto"/>
          <w:sz w:val="24"/>
          <w:highlight w:val="none"/>
        </w:rPr>
        <w:t>2.8 延迟</w:t>
      </w:r>
      <w:bookmarkEnd w:id="113"/>
      <w:bookmarkEnd w:id="114"/>
      <w:bookmarkEnd w:id="115"/>
      <w:r>
        <w:rPr>
          <w:rFonts w:hint="eastAsia" w:asciiTheme="minorEastAsia" w:hAnsiTheme="minorEastAsia" w:eastAsiaTheme="minorEastAsia" w:cstheme="minorEastAsia"/>
          <w:b/>
          <w:color w:val="auto"/>
          <w:sz w:val="24"/>
          <w:highlight w:val="none"/>
        </w:rPr>
        <w:t>履行</w:t>
      </w:r>
      <w:bookmarkEnd w:id="116"/>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17" w:name="_Toc10611"/>
      <w:bookmarkStart w:id="118" w:name="_Toc487900364"/>
      <w:bookmarkStart w:id="119" w:name="_Toc279701254"/>
      <w:bookmarkStart w:id="120" w:name="_Ref467378121"/>
      <w:bookmarkStart w:id="121" w:name="_Toc259093683"/>
      <w:r>
        <w:rPr>
          <w:rFonts w:hint="eastAsia" w:asciiTheme="minorEastAsia" w:hAnsiTheme="minorEastAsia" w:eastAsiaTheme="minorEastAsia" w:cstheme="minorEastAsia"/>
          <w:b/>
          <w:color w:val="auto"/>
          <w:sz w:val="24"/>
          <w:highlight w:val="none"/>
        </w:rPr>
        <w:t>2.9 合同变更</w:t>
      </w:r>
      <w:bookmarkEnd w:id="117"/>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22" w:name="_Toc259093688"/>
      <w:bookmarkStart w:id="123" w:name="_Toc279701259"/>
      <w:bookmarkStart w:id="124" w:name="_Toc487900369"/>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25" w:name="_Toc10663"/>
      <w:bookmarkStart w:id="126" w:name="_Toc26689"/>
      <w:bookmarkStart w:id="127" w:name="_Toc23368"/>
      <w:bookmarkStart w:id="128" w:name="_Toc42"/>
      <w:bookmarkStart w:id="129" w:name="_Toc21830"/>
      <w:r>
        <w:rPr>
          <w:rFonts w:hint="eastAsia" w:asciiTheme="minorEastAsia" w:hAnsiTheme="minorEastAsia" w:eastAsiaTheme="minorEastAsia" w:cstheme="minorEastAsia"/>
          <w:b/>
          <w:color w:val="auto"/>
          <w:sz w:val="24"/>
          <w:highlight w:val="none"/>
        </w:rPr>
        <w:t>2.10 合同转让</w:t>
      </w:r>
      <w:bookmarkEnd w:id="122"/>
      <w:bookmarkEnd w:id="123"/>
      <w:bookmarkEnd w:id="124"/>
      <w:r>
        <w:rPr>
          <w:rFonts w:hint="eastAsia" w:asciiTheme="minorEastAsia" w:hAnsiTheme="minorEastAsia" w:eastAsiaTheme="minorEastAsia" w:cstheme="minorEastAsia"/>
          <w:b/>
          <w:color w:val="auto"/>
          <w:sz w:val="24"/>
          <w:highlight w:val="none"/>
        </w:rPr>
        <w:t>和分包</w:t>
      </w:r>
      <w:bookmarkEnd w:id="125"/>
      <w:bookmarkEnd w:id="126"/>
      <w:bookmarkEnd w:id="127"/>
      <w:bookmarkEnd w:id="128"/>
      <w:bookmarkEnd w:id="129"/>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30" w:name="_Toc14371"/>
      <w:bookmarkStart w:id="131" w:name="_Toc4720"/>
      <w:bookmarkStart w:id="132" w:name="_Toc26633"/>
      <w:bookmarkStart w:id="133" w:name="_Toc25571"/>
      <w:bookmarkStart w:id="134" w:name="_Toc32494"/>
      <w:r>
        <w:rPr>
          <w:rFonts w:hint="eastAsia" w:asciiTheme="minorEastAsia" w:hAnsiTheme="minorEastAsia" w:eastAsiaTheme="minorEastAsia" w:cstheme="minorEastAsia"/>
          <w:b/>
          <w:color w:val="auto"/>
          <w:sz w:val="24"/>
          <w:highlight w:val="none"/>
        </w:rPr>
        <w:t>2.11 不可抗力</w:t>
      </w:r>
      <w:bookmarkEnd w:id="130"/>
      <w:bookmarkEnd w:id="131"/>
      <w:bookmarkEnd w:id="132"/>
      <w:bookmarkEnd w:id="133"/>
      <w:bookmarkEnd w:id="134"/>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2.11.2 因不可抗力致使不能实现合同目的的，当事人可以解除合同；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2.11.3 因不可抗力致使合同有变更必要的，双方当事人应在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约定时间内以书面形式变更合同；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2.11.4受不可抗力影响的一方在不可抗力发生后，应在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约定时间内以书面形式通知对方当事人，并在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约定时间内，将有关部门出具的证明文件送达对方当事人。</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35" w:name="_Toc279701255"/>
      <w:bookmarkStart w:id="136" w:name="_Toc259093684"/>
      <w:bookmarkStart w:id="137" w:name="_Toc3638"/>
      <w:bookmarkStart w:id="138" w:name="_Toc487900365"/>
      <w:bookmarkStart w:id="139" w:name="_Toc14115"/>
      <w:bookmarkStart w:id="140" w:name="_Toc24465"/>
      <w:bookmarkStart w:id="141" w:name="_Toc23854"/>
      <w:bookmarkStart w:id="142" w:name="_Toc25783"/>
      <w:r>
        <w:rPr>
          <w:rFonts w:hint="eastAsia" w:asciiTheme="minorEastAsia" w:hAnsiTheme="minorEastAsia" w:eastAsiaTheme="minorEastAsia" w:cstheme="minorEastAsia"/>
          <w:b/>
          <w:color w:val="auto"/>
          <w:sz w:val="24"/>
          <w:highlight w:val="none"/>
        </w:rPr>
        <w:t>2.12 税费</w:t>
      </w:r>
      <w:bookmarkEnd w:id="135"/>
      <w:bookmarkEnd w:id="136"/>
      <w:bookmarkEnd w:id="137"/>
      <w:bookmarkEnd w:id="138"/>
      <w:bookmarkEnd w:id="139"/>
      <w:bookmarkEnd w:id="140"/>
      <w:bookmarkEnd w:id="141"/>
      <w:bookmarkEnd w:id="142"/>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与合同有关的一切税费，均按照中华人民共和国法律的相关规定缴纳。</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43" w:name="_Toc487900368"/>
      <w:bookmarkStart w:id="144" w:name="_Toc14814"/>
      <w:bookmarkStart w:id="145" w:name="_Toc279701258"/>
      <w:bookmarkStart w:id="146" w:name="_Toc25525"/>
      <w:bookmarkStart w:id="147" w:name="_Toc30105"/>
      <w:bookmarkStart w:id="148" w:name="_Toc7315"/>
      <w:bookmarkStart w:id="149" w:name="_Toc26883"/>
      <w:bookmarkStart w:id="150" w:name="_Toc259093687"/>
      <w:r>
        <w:rPr>
          <w:rFonts w:hint="eastAsia" w:asciiTheme="minorEastAsia" w:hAnsiTheme="minorEastAsia" w:eastAsiaTheme="minorEastAsia" w:cstheme="minorEastAsia"/>
          <w:b/>
          <w:color w:val="auto"/>
          <w:sz w:val="24"/>
          <w:highlight w:val="none"/>
        </w:rPr>
        <w:t>2.13 乙方破产</w:t>
      </w:r>
      <w:bookmarkEnd w:id="143"/>
      <w:bookmarkEnd w:id="144"/>
      <w:bookmarkEnd w:id="145"/>
      <w:bookmarkEnd w:id="146"/>
      <w:bookmarkEnd w:id="147"/>
      <w:bookmarkEnd w:id="148"/>
      <w:bookmarkEnd w:id="149"/>
      <w:bookmarkEnd w:id="150"/>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51" w:name="_Toc1123"/>
      <w:bookmarkStart w:id="152" w:name="_Toc23323"/>
      <w:bookmarkStart w:id="153" w:name="_Toc2016"/>
      <w:r>
        <w:rPr>
          <w:rFonts w:hint="eastAsia" w:asciiTheme="minorEastAsia" w:hAnsiTheme="minorEastAsia" w:eastAsiaTheme="minorEastAsia" w:cstheme="minorEastAsia"/>
          <w:b/>
          <w:color w:val="auto"/>
          <w:sz w:val="24"/>
          <w:highlight w:val="none"/>
        </w:rPr>
        <w:t>2.14 合同中止、终止</w:t>
      </w:r>
      <w:bookmarkEnd w:id="151"/>
      <w:bookmarkEnd w:id="152"/>
      <w:bookmarkEnd w:id="153"/>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2.14.1 双方当事人不得擅自中止或者终止合同；</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54" w:name="_Toc17363"/>
      <w:bookmarkStart w:id="155" w:name="_Toc14525"/>
      <w:bookmarkStart w:id="156" w:name="_Toc1969"/>
      <w:r>
        <w:rPr>
          <w:rFonts w:hint="eastAsia" w:asciiTheme="minorEastAsia" w:hAnsiTheme="minorEastAsia" w:eastAsiaTheme="minorEastAsia" w:cstheme="minorEastAsia"/>
          <w:b/>
          <w:color w:val="auto"/>
          <w:sz w:val="24"/>
          <w:highlight w:val="none"/>
        </w:rPr>
        <w:t>2.15 检验和验收</w:t>
      </w:r>
      <w:bookmarkEnd w:id="154"/>
      <w:bookmarkEnd w:id="155"/>
      <w:bookmarkEnd w:id="156"/>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2.15.1 乙方按照</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的约定，定期提交服务报告，甲方按照</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的约定进行定期验收；</w:t>
      </w:r>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2.15.3 检验和验收标准、程序等具体内容以及前述验收书的效力详见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i/>
          <w:color w:val="auto"/>
          <w:sz w:val="24"/>
          <w:highlight w:val="none"/>
        </w:rPr>
        <w:t>。</w:t>
      </w:r>
    </w:p>
    <w:bookmarkEnd w:id="118"/>
    <w:bookmarkEnd w:id="119"/>
    <w:bookmarkEnd w:id="120"/>
    <w:bookmarkEnd w:id="121"/>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57" w:name="_Toc259093690"/>
      <w:bookmarkStart w:id="158" w:name="_Toc487900371"/>
      <w:bookmarkStart w:id="159" w:name="_Toc279701261"/>
      <w:bookmarkStart w:id="160" w:name="_Toc25198"/>
      <w:bookmarkStart w:id="161" w:name="_Toc9808"/>
      <w:bookmarkStart w:id="162" w:name="_Toc2308"/>
      <w:bookmarkStart w:id="163" w:name="_Toc12666"/>
      <w:bookmarkStart w:id="164" w:name="_Toc31892"/>
      <w:r>
        <w:rPr>
          <w:rFonts w:hint="eastAsia" w:asciiTheme="minorEastAsia" w:hAnsiTheme="minorEastAsia" w:eastAsiaTheme="minorEastAsia" w:cstheme="minorEastAsia"/>
          <w:b/>
          <w:color w:val="auto"/>
          <w:sz w:val="24"/>
          <w:highlight w:val="none"/>
        </w:rPr>
        <w:t>2.16 通知</w:t>
      </w:r>
      <w:bookmarkEnd w:id="157"/>
      <w:bookmarkEnd w:id="158"/>
      <w:bookmarkEnd w:id="159"/>
      <w:r>
        <w:rPr>
          <w:rFonts w:hint="eastAsia" w:asciiTheme="minorEastAsia" w:hAnsiTheme="minorEastAsia" w:eastAsiaTheme="minorEastAsia" w:cstheme="minorEastAsia"/>
          <w:b/>
          <w:color w:val="auto"/>
          <w:sz w:val="24"/>
          <w:highlight w:val="none"/>
        </w:rPr>
        <w:t>和送达</w:t>
      </w:r>
      <w:bookmarkEnd w:id="160"/>
      <w:bookmarkEnd w:id="161"/>
      <w:bookmarkEnd w:id="162"/>
      <w:bookmarkEnd w:id="163"/>
      <w:bookmarkEnd w:id="164"/>
    </w:p>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165" w:name="_Toc29220"/>
      <w:bookmarkStart w:id="166" w:name="_Toc7073"/>
      <w:bookmarkStart w:id="167" w:name="_Toc259093691"/>
      <w:bookmarkStart w:id="168" w:name="_Toc487900372"/>
      <w:bookmarkStart w:id="169" w:name="_Toc279701262"/>
      <w:r>
        <w:rPr>
          <w:rFonts w:hint="eastAsia" w:asciiTheme="minorEastAsia" w:hAnsiTheme="minorEastAsia" w:eastAsiaTheme="minorEastAsia" w:cstheme="minorEastAsia"/>
          <w:color w:val="auto"/>
          <w:sz w:val="24"/>
          <w:highlight w:val="none"/>
        </w:rPr>
        <w:t>2.16.1 任何一方因履行合同而以合同第一部分尾部所列明的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发出的所有通知、文件、材料，均视为已向对方当事人送达；任何一方变更上述送达方式或者地址的，应于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个工作日内书面通知对方当事人，在对方当事人收到有关变更通知之前，变更前的约定送达方式或者地址仍视为有效。</w:t>
      </w:r>
      <w:bookmarkEnd w:id="165"/>
      <w:bookmarkEnd w:id="166"/>
    </w:p>
    <w:p>
      <w:pPr>
        <w:spacing w:line="560" w:lineRule="exact"/>
        <w:ind w:firstLine="480" w:firstLineChars="200"/>
        <w:rPr>
          <w:rFonts w:hint="eastAsia" w:asciiTheme="minorEastAsia" w:hAnsiTheme="minorEastAsia" w:eastAsiaTheme="minorEastAsia" w:cstheme="minorEastAsia"/>
          <w:color w:val="auto"/>
          <w:sz w:val="24"/>
          <w:highlight w:val="none"/>
        </w:rPr>
      </w:pPr>
      <w:bookmarkStart w:id="170" w:name="_Toc18401"/>
      <w:bookmarkStart w:id="171" w:name="_Toc27674"/>
      <w:r>
        <w:rPr>
          <w:rFonts w:hint="eastAsia" w:asciiTheme="minorEastAsia" w:hAnsiTheme="minorEastAsia" w:eastAsiaTheme="minorEastAsia" w:cstheme="minorEastAsia"/>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0"/>
      <w:bookmarkEnd w:id="171"/>
    </w:p>
    <w:bookmarkEnd w:id="167"/>
    <w:bookmarkEnd w:id="168"/>
    <w:bookmarkEnd w:id="169"/>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72" w:name="_Toc5063"/>
      <w:bookmarkStart w:id="173" w:name="_Toc487900373"/>
      <w:bookmarkStart w:id="174" w:name="_Toc12254"/>
      <w:bookmarkStart w:id="175" w:name="_Toc259093692"/>
      <w:bookmarkStart w:id="176" w:name="_Toc27644"/>
      <w:bookmarkStart w:id="177" w:name="_Toc20808"/>
      <w:bookmarkStart w:id="178" w:name="_Toc279701263"/>
      <w:bookmarkStart w:id="179" w:name="_Toc28906"/>
      <w:r>
        <w:rPr>
          <w:rFonts w:hint="eastAsia" w:asciiTheme="minorEastAsia" w:hAnsiTheme="minorEastAsia" w:eastAsiaTheme="minorEastAsia" w:cstheme="minorEastAsia"/>
          <w:b/>
          <w:color w:val="auto"/>
          <w:sz w:val="24"/>
          <w:highlight w:val="none"/>
        </w:rPr>
        <w:t>2.17 合同使用的文字和适用的法律</w:t>
      </w:r>
      <w:bookmarkEnd w:id="172"/>
      <w:bookmarkEnd w:id="173"/>
      <w:bookmarkEnd w:id="174"/>
      <w:bookmarkEnd w:id="175"/>
      <w:bookmarkEnd w:id="176"/>
      <w:bookmarkEnd w:id="177"/>
      <w:bookmarkEnd w:id="178"/>
      <w:bookmarkEnd w:id="179"/>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2.17.1 合同使用汉语书就、变更和解释；</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2.17.2 合同适用中华人民共和国法律。</w:t>
      </w:r>
    </w:p>
    <w:p>
      <w:pPr>
        <w:spacing w:line="560" w:lineRule="exact"/>
        <w:ind w:firstLine="482" w:firstLineChars="200"/>
        <w:outlineLvl w:val="0"/>
        <w:rPr>
          <w:rFonts w:hint="eastAsia" w:asciiTheme="minorEastAsia" w:hAnsiTheme="minorEastAsia" w:eastAsiaTheme="minorEastAsia" w:cstheme="minorEastAsia"/>
          <w:b/>
          <w:color w:val="auto"/>
          <w:sz w:val="24"/>
          <w:highlight w:val="none"/>
        </w:rPr>
      </w:pPr>
      <w:bookmarkStart w:id="180" w:name="_Toc1492"/>
      <w:bookmarkStart w:id="181" w:name="_Toc30096"/>
      <w:bookmarkStart w:id="182" w:name="_Toc279701264"/>
      <w:bookmarkStart w:id="183" w:name="_Toc22266"/>
      <w:bookmarkStart w:id="184" w:name="_Toc27403"/>
      <w:bookmarkStart w:id="185" w:name="_Toc27127"/>
      <w:bookmarkStart w:id="186" w:name="_Toc259093693"/>
      <w:bookmarkStart w:id="187" w:name="_Toc487900374"/>
      <w:r>
        <w:rPr>
          <w:rFonts w:hint="eastAsia" w:asciiTheme="minorEastAsia" w:hAnsiTheme="minorEastAsia" w:eastAsiaTheme="minorEastAsia" w:cstheme="minorEastAsia"/>
          <w:b/>
          <w:color w:val="auto"/>
          <w:sz w:val="24"/>
          <w:highlight w:val="none"/>
        </w:rPr>
        <w:t>2.18 履约保证金</w:t>
      </w:r>
      <w:bookmarkEnd w:id="180"/>
      <w:bookmarkEnd w:id="181"/>
      <w:bookmarkEnd w:id="182"/>
      <w:bookmarkEnd w:id="183"/>
      <w:bookmarkEnd w:id="184"/>
      <w:bookmarkEnd w:id="185"/>
      <w:bookmarkEnd w:id="186"/>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2.18.1 采购文件要求乙方提交履约保证金的，乙方应按</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2.18.2 履约保证金在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约定期间内不予退还或者应完全有效，前述约定期间届满之日起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个工作日内，甲方应将履约保证金退还乙方；</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7"/>
    <w:p>
      <w:pPr>
        <w:spacing w:line="56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2.19 合同份数</w:t>
      </w:r>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合同份数按</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规定，每份均具有同等法律效力。</w:t>
      </w:r>
    </w:p>
    <w:p>
      <w:pPr>
        <w:pStyle w:val="50"/>
        <w:spacing w:line="560" w:lineRule="exact"/>
        <w:ind w:firstLine="0"/>
        <w:jc w:val="center"/>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color w:val="auto"/>
          <w:szCs w:val="24"/>
          <w:highlight w:val="none"/>
        </w:rPr>
        <w:br w:type="page"/>
      </w:r>
      <w:bookmarkStart w:id="188" w:name="_Toc331685784"/>
      <w:r>
        <w:rPr>
          <w:rFonts w:hint="eastAsia" w:asciiTheme="minorEastAsia" w:hAnsiTheme="minorEastAsia" w:eastAsiaTheme="minorEastAsia" w:cstheme="minorEastAsia"/>
          <w:b/>
          <w:color w:val="auto"/>
          <w:szCs w:val="24"/>
          <w:highlight w:val="none"/>
        </w:rPr>
        <w:t>第三部分  合同专用条款</w:t>
      </w:r>
      <w:bookmarkEnd w:id="188"/>
    </w:p>
    <w:p>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条款号</w:t>
            </w:r>
          </w:p>
        </w:tc>
        <w:tc>
          <w:tcPr>
            <w:tcW w:w="7633" w:type="dxa"/>
            <w:vAlign w:val="center"/>
          </w:tcPr>
          <w:p>
            <w:pPr>
              <w:spacing w:line="56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Theme="minorEastAsia" w:hAnsiTheme="minorEastAsia" w:eastAsiaTheme="minorEastAsia" w:cstheme="minorEastAsia"/>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Theme="minorEastAsia" w:hAnsiTheme="minorEastAsia" w:eastAsiaTheme="minorEastAsia" w:cstheme="minorEastAsia"/>
                <w:color w:val="auto"/>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Theme="minorEastAsia" w:hAnsiTheme="minorEastAsia" w:eastAsiaTheme="minorEastAsia" w:cstheme="minorEastAsia"/>
                <w:color w:val="auto"/>
                <w:sz w:val="24"/>
                <w:highlight w:val="none"/>
              </w:rPr>
            </w:pPr>
          </w:p>
        </w:tc>
      </w:tr>
    </w:tbl>
    <w:p>
      <w:pPr>
        <w:spacing w:after="156" w:line="560" w:lineRule="exact"/>
        <w:ind w:firstLine="480"/>
        <w:rPr>
          <w:color w:val="auto"/>
          <w:highlight w:val="none"/>
        </w:rPr>
      </w:pPr>
    </w:p>
    <w:p>
      <w:pPr>
        <w:spacing w:line="500" w:lineRule="exact"/>
        <w:jc w:val="center"/>
        <w:rPr>
          <w:rFonts w:hint="eastAsia" w:asciiTheme="minorEastAsia" w:hAnsiTheme="minorEastAsia" w:eastAsiaTheme="minorEastAsia" w:cstheme="minorEastAsia"/>
          <w:b/>
          <w:color w:val="auto"/>
          <w:sz w:val="36"/>
          <w:highlight w:val="none"/>
        </w:rPr>
      </w:pPr>
    </w:p>
    <w:p>
      <w:pPr>
        <w:spacing w:line="500" w:lineRule="exact"/>
        <w:jc w:val="center"/>
        <w:rPr>
          <w:rFonts w:hint="eastAsia" w:asciiTheme="minorEastAsia" w:hAnsiTheme="minorEastAsia" w:eastAsiaTheme="minorEastAsia" w:cstheme="minorEastAsia"/>
          <w:b/>
          <w:color w:val="auto"/>
          <w:sz w:val="36"/>
          <w:highlight w:val="none"/>
        </w:rPr>
      </w:pPr>
    </w:p>
    <w:p>
      <w:pPr>
        <w:spacing w:line="500" w:lineRule="exact"/>
        <w:jc w:val="center"/>
        <w:rPr>
          <w:rFonts w:hint="eastAsia" w:asciiTheme="minorEastAsia" w:hAnsiTheme="minorEastAsia" w:eastAsiaTheme="minorEastAsia" w:cstheme="minorEastAsia"/>
          <w:b/>
          <w:color w:val="auto"/>
          <w:sz w:val="36"/>
          <w:highlight w:val="none"/>
        </w:rPr>
      </w:pPr>
    </w:p>
    <w:p>
      <w:pPr>
        <w:spacing w:line="500" w:lineRule="exact"/>
        <w:jc w:val="center"/>
        <w:rPr>
          <w:rFonts w:hint="eastAsia" w:asciiTheme="minorEastAsia" w:hAnsiTheme="minorEastAsia" w:eastAsiaTheme="minorEastAsia" w:cstheme="minorEastAsia"/>
          <w:b/>
          <w:color w:val="auto"/>
          <w:sz w:val="36"/>
          <w:highlight w:val="none"/>
        </w:rPr>
      </w:pPr>
    </w:p>
    <w:p>
      <w:pPr>
        <w:spacing w:line="500" w:lineRule="exact"/>
        <w:jc w:val="center"/>
        <w:rPr>
          <w:rFonts w:hint="eastAsia" w:asciiTheme="minorEastAsia" w:hAnsiTheme="minorEastAsia" w:eastAsiaTheme="minorEastAsia" w:cstheme="minorEastAsia"/>
          <w:b/>
          <w:color w:val="auto"/>
          <w:sz w:val="36"/>
          <w:highlight w:val="none"/>
        </w:rPr>
      </w:pPr>
    </w:p>
    <w:p>
      <w:pPr>
        <w:spacing w:line="500" w:lineRule="exact"/>
        <w:jc w:val="center"/>
        <w:rPr>
          <w:rFonts w:hint="eastAsia" w:asciiTheme="minorEastAsia" w:hAnsiTheme="minorEastAsia" w:eastAsiaTheme="minorEastAsia" w:cstheme="minorEastAsia"/>
          <w:b/>
          <w:color w:val="auto"/>
          <w:sz w:val="36"/>
          <w:highlight w:val="none"/>
        </w:rPr>
      </w:pPr>
    </w:p>
    <w:p>
      <w:pPr>
        <w:spacing w:line="500" w:lineRule="exact"/>
        <w:jc w:val="center"/>
        <w:rPr>
          <w:rFonts w:hint="eastAsia" w:asciiTheme="minorEastAsia" w:hAnsiTheme="minorEastAsia" w:eastAsiaTheme="minorEastAsia" w:cstheme="minorEastAsia"/>
          <w:b/>
          <w:color w:val="auto"/>
          <w:sz w:val="36"/>
          <w:highlight w:val="none"/>
        </w:rPr>
      </w:pPr>
    </w:p>
    <w:p>
      <w:pPr>
        <w:spacing w:line="500" w:lineRule="exact"/>
        <w:jc w:val="center"/>
        <w:rPr>
          <w:rFonts w:hint="eastAsia" w:asciiTheme="minorEastAsia" w:hAnsiTheme="minorEastAsia" w:eastAsiaTheme="minorEastAsia" w:cstheme="minorEastAsia"/>
          <w:b/>
          <w:color w:val="auto"/>
          <w:sz w:val="36"/>
          <w:highlight w:val="none"/>
          <w:lang w:eastAsia="zh-CN"/>
        </w:rPr>
      </w:pPr>
      <w:r>
        <w:rPr>
          <w:rFonts w:hint="eastAsia" w:asciiTheme="minorEastAsia" w:hAnsiTheme="minorEastAsia" w:eastAsiaTheme="minorEastAsia" w:cstheme="minorEastAsia"/>
          <w:b/>
          <w:color w:val="auto"/>
          <w:sz w:val="36"/>
          <w:highlight w:val="none"/>
        </w:rPr>
        <w:t xml:space="preserve">第五章   </w:t>
      </w:r>
      <w:r>
        <w:rPr>
          <w:rFonts w:hint="eastAsia" w:asciiTheme="minorEastAsia" w:hAnsiTheme="minorEastAsia" w:eastAsiaTheme="minorEastAsia" w:cstheme="minorEastAsia"/>
          <w:b/>
          <w:color w:val="auto"/>
          <w:sz w:val="36"/>
          <w:highlight w:val="none"/>
          <w:lang w:val="en-US" w:eastAsia="zh-CN"/>
        </w:rPr>
        <w:t>项目采购需求</w:t>
      </w:r>
    </w:p>
    <w:p>
      <w:pPr>
        <w:pageBreakBefore w:val="0"/>
        <w:widowControl w:val="0"/>
        <w:kinsoku/>
        <w:wordWrap/>
        <w:overflowPunct/>
        <w:topLinePunct w:val="0"/>
        <w:autoSpaceDE/>
        <w:autoSpaceDN/>
        <w:bidi w:val="0"/>
        <w:adjustRightInd/>
        <w:spacing w:line="460" w:lineRule="exact"/>
        <w:jc w:val="both"/>
        <w:textAlignment w:val="auto"/>
        <w:rPr>
          <w:rFonts w:hint="eastAsia" w:asciiTheme="minorEastAsia" w:hAnsiTheme="minorEastAsia" w:eastAsiaTheme="minorEastAsia" w:cstheme="minorEastAsia"/>
          <w:b/>
          <w:color w:val="auto"/>
          <w:sz w:val="36"/>
          <w:highlight w:val="none"/>
        </w:rPr>
      </w:pPr>
    </w:p>
    <w:p>
      <w:pPr>
        <w:pStyle w:val="8"/>
        <w:pageBreakBefore w:val="0"/>
        <w:widowControl w:val="0"/>
        <w:numPr>
          <w:ilvl w:val="0"/>
          <w:numId w:val="5"/>
        </w:numPr>
        <w:tabs>
          <w:tab w:val="left" w:pos="797"/>
        </w:tabs>
        <w:kinsoku/>
        <w:wordWrap/>
        <w:overflowPunct/>
        <w:topLinePunct w:val="0"/>
        <w:autoSpaceDE/>
        <w:autoSpaceDN/>
        <w:bidi w:val="0"/>
        <w:adjustRightInd/>
        <w:spacing w:before="0" w:after="0" w:line="460" w:lineRule="exact"/>
        <w:ind w:right="0" w:rightChars="0"/>
        <w:jc w:val="lef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项目基本情况</w:t>
      </w:r>
    </w:p>
    <w:p>
      <w:pPr>
        <w:spacing w:line="560" w:lineRule="exact"/>
        <w:ind w:firstLine="480" w:firstLineChars="200"/>
        <w:rPr>
          <w:rFonts w:hint="eastAsia" w:asciiTheme="minorEastAsia" w:hAnsiTheme="minorEastAsia" w:eastAsiaTheme="minorEastAsia" w:cstheme="minorEastAsia"/>
          <w:color w:val="auto"/>
          <w:sz w:val="24"/>
          <w:highlight w:val="yellow"/>
        </w:rPr>
      </w:pPr>
      <w:r>
        <w:rPr>
          <w:rFonts w:hint="eastAsia" w:asciiTheme="minorEastAsia" w:hAnsiTheme="minorEastAsia" w:eastAsiaTheme="minorEastAsia" w:cstheme="minorEastAsia"/>
          <w:color w:val="auto"/>
          <w:sz w:val="24"/>
          <w:highlight w:val="none"/>
        </w:rPr>
        <w:t>为深入贯彻落实第三次中央新疆工作座谈会精神，完整准确贯彻新时代党的治疆方略，牢牢把握新疆自治区关于把伊宁市“打造北疆城市带区域中心城市”的定位要求，立足伊宁市人口发展现状及资源环境承载能力，坚持目标导向、问题导向、结果导向，以伊宁市城市发展和人口聚集现状情况为基础，系统杭理伊宁市城市能级、人口聚集基本条件。政策导向、工作步骤，提出将伊宁市提升为百万级城市的实施路径。对伊宁市培育百万人口大城市进行初步研究，主要研究伊宁市人口发展现状，制约培养百万人口的主要因素，初步分析环境承载能力、水资源承载能力，对比国内各级城市进行研究，构建 10 人左右的研究团队，研究团队由正高级职称人员领队。</w:t>
      </w:r>
    </w:p>
    <w:p>
      <w:pPr>
        <w:pStyle w:val="14"/>
        <w:rPr>
          <w:rFonts w:hint="eastAsia"/>
          <w:color w:val="auto"/>
          <w:highlight w:val="none"/>
          <w:lang w:val="en-US" w:eastAsia="zh-CN"/>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both"/>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p>
    <w:p>
      <w:pPr>
        <w:spacing w:line="240" w:lineRule="auto"/>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第六章   投标文件部分格式</w:t>
      </w:r>
    </w:p>
    <w:p>
      <w:pPr>
        <w:spacing w:line="54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 w:val="22"/>
          <w:szCs w:val="22"/>
          <w:highlight w:val="none"/>
        </w:rPr>
        <w:t>（注：本招标文件给定格式的部分按给定格式进行编制，未给定格式的由投标单位自拟格式编制。）</w:t>
      </w:r>
    </w:p>
    <w:p>
      <w:pPr>
        <w:spacing w:line="400" w:lineRule="exact"/>
        <w:jc w:val="center"/>
        <w:rPr>
          <w:rFonts w:hint="eastAsia" w:asciiTheme="minorEastAsia" w:hAnsiTheme="minorEastAsia" w:eastAsiaTheme="minorEastAsia" w:cstheme="minorEastAsia"/>
          <w:color w:val="auto"/>
          <w:sz w:val="32"/>
          <w:szCs w:val="32"/>
          <w:highlight w:val="none"/>
        </w:rPr>
      </w:pPr>
    </w:p>
    <w:p>
      <w:pPr>
        <w:spacing w:line="4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正本/副本</w:t>
      </w:r>
    </w:p>
    <w:p>
      <w:pPr>
        <w:spacing w:line="400" w:lineRule="exact"/>
        <w:rPr>
          <w:rFonts w:hint="eastAsia" w:asciiTheme="minorEastAsia" w:hAnsiTheme="minorEastAsia" w:eastAsiaTheme="minorEastAsia" w:cstheme="minorEastAsia"/>
          <w:color w:val="auto"/>
          <w:sz w:val="32"/>
          <w:szCs w:val="32"/>
          <w:highlight w:val="none"/>
        </w:rPr>
      </w:pPr>
    </w:p>
    <w:p>
      <w:pPr>
        <w:spacing w:line="400" w:lineRule="exact"/>
        <w:ind w:firstLine="420" w:firstLineChars="200"/>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ind w:firstLine="1680" w:firstLineChars="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（项目名称）                </w:t>
      </w:r>
    </w:p>
    <w:p>
      <w:pPr>
        <w:rPr>
          <w:rFonts w:hint="eastAsia" w:asciiTheme="minorEastAsia" w:hAnsiTheme="minorEastAsia" w:eastAsiaTheme="minorEastAsia" w:cstheme="minorEastAsia"/>
          <w:color w:val="auto"/>
          <w:sz w:val="20"/>
          <w:szCs w:val="20"/>
          <w:highlight w:val="none"/>
        </w:rPr>
      </w:pPr>
    </w:p>
    <w:p>
      <w:pPr>
        <w:rPr>
          <w:rFonts w:hint="eastAsia" w:asciiTheme="minorEastAsia" w:hAnsiTheme="minorEastAsia" w:eastAsiaTheme="minorEastAsia" w:cstheme="minorEastAsia"/>
          <w:color w:val="auto"/>
          <w:sz w:val="20"/>
          <w:szCs w:val="20"/>
          <w:highlight w:val="none"/>
        </w:rPr>
      </w:pPr>
    </w:p>
    <w:p>
      <w:pPr>
        <w:rPr>
          <w:rFonts w:hint="eastAsia" w:asciiTheme="minorEastAsia" w:hAnsiTheme="minorEastAsia" w:eastAsiaTheme="minorEastAsia" w:cstheme="minorEastAsia"/>
          <w:color w:val="auto"/>
          <w:sz w:val="20"/>
          <w:szCs w:val="20"/>
          <w:highlight w:val="none"/>
        </w:rPr>
      </w:pPr>
    </w:p>
    <w:p>
      <w:pPr>
        <w:rPr>
          <w:rFonts w:hint="eastAsia" w:asciiTheme="minorEastAsia" w:hAnsiTheme="minorEastAsia" w:eastAsiaTheme="minorEastAsia" w:cstheme="minorEastAsia"/>
          <w:color w:val="auto"/>
          <w:sz w:val="20"/>
          <w:szCs w:val="20"/>
          <w:highlight w:val="none"/>
        </w:rPr>
      </w:pPr>
    </w:p>
    <w:p>
      <w:pPr>
        <w:rPr>
          <w:rFonts w:hint="eastAsia" w:asciiTheme="minorEastAsia" w:hAnsiTheme="minorEastAsia" w:eastAsiaTheme="minorEastAsia" w:cstheme="minorEastAsia"/>
          <w:color w:val="auto"/>
          <w:sz w:val="20"/>
          <w:szCs w:val="20"/>
          <w:highlight w:val="none"/>
        </w:rPr>
      </w:pPr>
    </w:p>
    <w:p>
      <w:pPr>
        <w:rPr>
          <w:rFonts w:hint="eastAsia" w:asciiTheme="minorEastAsia" w:hAnsiTheme="minorEastAsia" w:eastAsiaTheme="minorEastAsia" w:cstheme="minorEastAsia"/>
          <w:color w:val="auto"/>
          <w:sz w:val="20"/>
          <w:szCs w:val="20"/>
          <w:highlight w:val="none"/>
        </w:rPr>
      </w:pPr>
    </w:p>
    <w:p>
      <w:pPr>
        <w:rPr>
          <w:rFonts w:hint="eastAsia" w:asciiTheme="minorEastAsia" w:hAnsiTheme="minorEastAsia" w:eastAsiaTheme="minorEastAsia" w:cstheme="minorEastAsia"/>
          <w:color w:val="auto"/>
          <w:sz w:val="20"/>
          <w:szCs w:val="20"/>
          <w:highlight w:val="none"/>
        </w:rPr>
      </w:pPr>
    </w:p>
    <w:p>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投  标  文  件</w:t>
      </w:r>
    </w:p>
    <w:p>
      <w:pPr>
        <w:spacing w:line="800" w:lineRule="exact"/>
        <w:ind w:firstLine="160" w:firstLineChars="50"/>
        <w:rPr>
          <w:rFonts w:hint="eastAsia" w:asciiTheme="minorEastAsia" w:hAnsiTheme="minorEastAsia" w:eastAsiaTheme="minorEastAsia" w:cstheme="minorEastAsia"/>
          <w:color w:val="auto"/>
          <w:kern w:val="0"/>
          <w:sz w:val="32"/>
          <w:szCs w:val="32"/>
          <w:highlight w:val="none"/>
        </w:rPr>
      </w:pPr>
    </w:p>
    <w:p>
      <w:pPr>
        <w:spacing w:line="800" w:lineRule="exact"/>
        <w:rPr>
          <w:rFonts w:hint="eastAsia" w:asciiTheme="minorEastAsia" w:hAnsiTheme="minorEastAsia" w:eastAsiaTheme="minorEastAsia" w:cstheme="minorEastAsia"/>
          <w:color w:val="auto"/>
          <w:kern w:val="0"/>
          <w:sz w:val="32"/>
          <w:szCs w:val="32"/>
          <w:highlight w:val="none"/>
        </w:rPr>
      </w:pPr>
    </w:p>
    <w:p>
      <w:pPr>
        <w:spacing w:line="800" w:lineRule="exac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投标单位名称（盖章）：</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 xml:space="preserve">                               </w:t>
      </w:r>
    </w:p>
    <w:p>
      <w:pPr>
        <w:spacing w:line="800" w:lineRule="exac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法人或委托代理人（签章）：</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 xml:space="preserve"> </w:t>
      </w:r>
    </w:p>
    <w:p>
      <w:pPr>
        <w:spacing w:line="800" w:lineRule="exac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单 位 地  址：</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 xml:space="preserve"> </w:t>
      </w:r>
    </w:p>
    <w:p>
      <w:pPr>
        <w:spacing w:line="800" w:lineRule="exac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联   系   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 xml:space="preserve">  </w:t>
      </w:r>
    </w:p>
    <w:p>
      <w:pPr>
        <w:spacing w:line="800" w:lineRule="exac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联 系 电  话：</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 xml:space="preserve">  </w:t>
      </w:r>
    </w:p>
    <w:p>
      <w:pPr>
        <w:spacing w:line="800" w:lineRule="exac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邮  政 编 码：</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 xml:space="preserve"> </w:t>
      </w:r>
    </w:p>
    <w:p>
      <w:pPr>
        <w:spacing w:line="380" w:lineRule="exact"/>
        <w:rPr>
          <w:rFonts w:hint="eastAsia" w:asciiTheme="minorEastAsia" w:hAnsiTheme="minorEastAsia" w:eastAsiaTheme="minorEastAsia" w:cstheme="minorEastAsia"/>
          <w:color w:val="auto"/>
          <w:highlight w:val="none"/>
        </w:rPr>
      </w:pPr>
    </w:p>
    <w:p>
      <w:pPr>
        <w:spacing w:line="500" w:lineRule="exact"/>
        <w:rPr>
          <w:rFonts w:hint="eastAsia" w:asciiTheme="minorEastAsia" w:hAnsiTheme="minorEastAsia" w:eastAsiaTheme="minorEastAsia" w:cstheme="minorEastAsia"/>
          <w:bCs/>
          <w:color w:val="auto"/>
          <w:sz w:val="30"/>
          <w:szCs w:val="30"/>
          <w:highlight w:val="none"/>
        </w:rPr>
      </w:pPr>
    </w:p>
    <w:p>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8"/>
          <w:szCs w:val="28"/>
          <w:highlight w:val="none"/>
        </w:rPr>
        <w:t xml:space="preserve">     年        月        日</w:t>
      </w:r>
    </w:p>
    <w:p>
      <w:pPr>
        <w:pStyle w:val="48"/>
        <w:rPr>
          <w:rFonts w:hint="eastAsia" w:asciiTheme="minorEastAsia" w:hAnsiTheme="minorEastAsia" w:eastAsiaTheme="minorEastAsia" w:cstheme="minorEastAsia"/>
          <w:color w:val="auto"/>
          <w:sz w:val="28"/>
          <w:szCs w:val="28"/>
          <w:highlight w:val="none"/>
        </w:rPr>
      </w:pPr>
    </w:p>
    <w:p>
      <w:pPr>
        <w:pStyle w:val="36"/>
        <w:ind w:firstLine="300" w:firstLineChars="83"/>
        <w:jc w:val="center"/>
        <w:rPr>
          <w:rFonts w:hint="eastAsia" w:asciiTheme="minorEastAsia" w:hAnsiTheme="minorEastAsia" w:eastAsiaTheme="minorEastAsia" w:cstheme="minorEastAsia"/>
          <w:b/>
          <w:color w:val="auto"/>
          <w:sz w:val="36"/>
          <w:szCs w:val="36"/>
          <w:highlight w:val="none"/>
        </w:rPr>
      </w:pPr>
    </w:p>
    <w:p>
      <w:pPr>
        <w:pStyle w:val="36"/>
        <w:ind w:firstLine="300" w:firstLineChars="83"/>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投标文件目录</w:t>
      </w:r>
    </w:p>
    <w:p>
      <w:pPr>
        <w:spacing w:line="500" w:lineRule="exact"/>
        <w:ind w:firstLine="528" w:firstLineChars="220"/>
        <w:rPr>
          <w:rFonts w:hint="eastAsia" w:asciiTheme="minorEastAsia" w:hAnsiTheme="minorEastAsia" w:eastAsiaTheme="minorEastAsia" w:cstheme="minorEastAsia"/>
          <w:color w:val="auto"/>
          <w:sz w:val="24"/>
          <w:highlight w:val="none"/>
        </w:rPr>
      </w:pP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投标承诺书</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开标一览表</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投标方资格证明文件</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商务条款偏离表</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企业和项目负责人近五年类似项目业绩</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人员配备</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咨询服务方案</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进度计划与保障措施</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服务保证措施</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质量保障</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00" w:lineRule="exact"/>
        <w:ind w:left="425" w:leftChars="0" w:firstLine="1135" w:firstLineChars="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承诺函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440" w:firstLineChars="6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12.保密措施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560" w:leftChars="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13.投标人认为需要提供的其他材料说明</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color w:val="auto"/>
          <w:kern w:val="0"/>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4"/>
          <w:szCs w:val="24"/>
          <w:highlight w:val="none"/>
          <w:lang w:val="en-US" w:eastAsia="zh-CN"/>
        </w:rPr>
      </w:pPr>
      <w:r>
        <w:rPr>
          <w:rFonts w:hint="eastAsia" w:ascii="宋体" w:hAnsi="宋体" w:cs="宋体"/>
          <w:b/>
          <w:bCs/>
          <w:color w:val="auto"/>
          <w:kern w:val="0"/>
          <w:sz w:val="24"/>
          <w:szCs w:val="24"/>
          <w:highlight w:val="none"/>
          <w:lang w:val="en-US" w:eastAsia="zh-CN"/>
        </w:rPr>
        <w:t>注：为方便电子评审，目录需关联至指定信息处，否则视同为未提供。</w:t>
      </w:r>
    </w:p>
    <w:p>
      <w:pPr>
        <w:pStyle w:val="48"/>
        <w:rPr>
          <w:rFonts w:hint="eastAsia" w:asciiTheme="minorEastAsia" w:hAnsiTheme="minorEastAsia" w:eastAsiaTheme="minorEastAsia" w:cstheme="minorEastAsia"/>
          <w:b/>
          <w:bCs/>
          <w:color w:val="auto"/>
          <w:kern w:val="0"/>
          <w:sz w:val="24"/>
          <w:highlight w:val="none"/>
          <w:lang w:val="en-US" w:eastAsia="zh-CN"/>
        </w:rPr>
      </w:pPr>
    </w:p>
    <w:p>
      <w:pPr>
        <w:pStyle w:val="48"/>
        <w:rPr>
          <w:rFonts w:hint="eastAsia" w:asciiTheme="minorEastAsia" w:hAnsiTheme="minorEastAsia" w:eastAsiaTheme="minorEastAsia" w:cstheme="minorEastAsia"/>
          <w:b/>
          <w:bCs/>
          <w:color w:val="auto"/>
          <w:kern w:val="0"/>
          <w:sz w:val="24"/>
          <w:highlight w:val="none"/>
          <w:lang w:val="en-US" w:eastAsia="zh-CN"/>
        </w:rPr>
      </w:pPr>
    </w:p>
    <w:p>
      <w:pPr>
        <w:pStyle w:val="48"/>
        <w:rPr>
          <w:rFonts w:hint="eastAsia" w:asciiTheme="minorEastAsia" w:hAnsiTheme="minorEastAsia" w:eastAsiaTheme="minorEastAsia" w:cstheme="minorEastAsia"/>
          <w:b/>
          <w:bCs/>
          <w:color w:val="auto"/>
          <w:kern w:val="0"/>
          <w:sz w:val="24"/>
          <w:highlight w:val="none"/>
          <w:lang w:val="en-US" w:eastAsia="zh-CN"/>
        </w:rPr>
      </w:pPr>
    </w:p>
    <w:p>
      <w:pPr>
        <w:pStyle w:val="48"/>
        <w:rPr>
          <w:rFonts w:hint="eastAsia" w:asciiTheme="minorEastAsia" w:hAnsiTheme="minorEastAsia" w:eastAsiaTheme="minorEastAsia" w:cstheme="minorEastAsia"/>
          <w:b/>
          <w:bCs/>
          <w:color w:val="auto"/>
          <w:kern w:val="0"/>
          <w:sz w:val="24"/>
          <w:highlight w:val="none"/>
          <w:lang w:val="en-US" w:eastAsia="zh-CN"/>
        </w:rPr>
      </w:pPr>
    </w:p>
    <w:p>
      <w:pPr>
        <w:pStyle w:val="48"/>
        <w:rPr>
          <w:rFonts w:hint="eastAsia" w:asciiTheme="minorEastAsia" w:hAnsiTheme="minorEastAsia" w:eastAsiaTheme="minorEastAsia" w:cstheme="minorEastAsia"/>
          <w:b/>
          <w:bCs/>
          <w:color w:val="auto"/>
          <w:kern w:val="0"/>
          <w:sz w:val="24"/>
          <w:highlight w:val="none"/>
          <w:lang w:val="en-US" w:eastAsia="zh-CN"/>
        </w:rPr>
      </w:pPr>
    </w:p>
    <w:p>
      <w:pPr>
        <w:pStyle w:val="48"/>
        <w:rPr>
          <w:rFonts w:hint="eastAsia" w:asciiTheme="minorEastAsia" w:hAnsiTheme="minorEastAsia" w:eastAsiaTheme="minorEastAsia" w:cstheme="minorEastAsia"/>
          <w:b/>
          <w:bCs/>
          <w:color w:val="auto"/>
          <w:kern w:val="0"/>
          <w:sz w:val="24"/>
          <w:highlight w:val="none"/>
          <w:lang w:val="en-US" w:eastAsia="zh-CN"/>
        </w:rPr>
      </w:pPr>
    </w:p>
    <w:p>
      <w:pPr>
        <w:spacing w:line="360" w:lineRule="auto"/>
        <w:jc w:val="center"/>
        <w:rPr>
          <w:rFonts w:hint="eastAsia" w:asciiTheme="minorEastAsia" w:hAnsiTheme="minorEastAsia" w:eastAsiaTheme="minorEastAsia" w:cstheme="minorEastAsia"/>
          <w:b/>
          <w:bCs/>
          <w:color w:val="auto"/>
          <w:sz w:val="36"/>
          <w:szCs w:val="36"/>
          <w:highlight w:val="none"/>
        </w:rPr>
      </w:pPr>
    </w:p>
    <w:p>
      <w:pPr>
        <w:spacing w:line="360" w:lineRule="auto"/>
        <w:jc w:val="center"/>
        <w:rPr>
          <w:rFonts w:hint="eastAsia" w:asciiTheme="minorEastAsia" w:hAnsiTheme="minorEastAsia" w:eastAsiaTheme="minorEastAsia" w:cstheme="minorEastAsia"/>
          <w:b/>
          <w:bCs/>
          <w:color w:val="auto"/>
          <w:sz w:val="36"/>
          <w:szCs w:val="36"/>
          <w:highlight w:val="none"/>
        </w:rPr>
      </w:pPr>
    </w:p>
    <w:p>
      <w:pPr>
        <w:spacing w:line="360" w:lineRule="auto"/>
        <w:jc w:val="center"/>
        <w:rPr>
          <w:rFonts w:hint="eastAsia" w:asciiTheme="minorEastAsia" w:hAnsiTheme="minorEastAsia" w:eastAsiaTheme="minorEastAsia" w:cstheme="minorEastAsia"/>
          <w:b/>
          <w:bCs/>
          <w:color w:val="auto"/>
          <w:sz w:val="36"/>
          <w:szCs w:val="36"/>
          <w:highlight w:val="none"/>
        </w:rPr>
      </w:pPr>
    </w:p>
    <w:p>
      <w:pPr>
        <w:spacing w:line="360" w:lineRule="auto"/>
        <w:jc w:val="center"/>
        <w:rPr>
          <w:rFonts w:hint="eastAsia" w:asciiTheme="minorEastAsia" w:hAnsiTheme="minorEastAsia" w:eastAsiaTheme="minorEastAsia" w:cstheme="minorEastAsia"/>
          <w:b/>
          <w:bCs/>
          <w:color w:val="auto"/>
          <w:sz w:val="36"/>
          <w:szCs w:val="36"/>
          <w:highlight w:val="none"/>
        </w:rPr>
      </w:pPr>
    </w:p>
    <w:p>
      <w:pPr>
        <w:spacing w:line="360" w:lineRule="auto"/>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1、投标承诺书</w:t>
      </w:r>
    </w:p>
    <w:p>
      <w:pPr>
        <w:keepNext w:val="0"/>
        <w:keepLines w:val="0"/>
        <w:pageBreakBefore w:val="0"/>
        <w:widowControl w:val="0"/>
        <w:kinsoku/>
        <w:wordWrap/>
        <w:overflowPunct/>
        <w:topLinePunct w:val="0"/>
        <w:bidi w:val="0"/>
        <w:adjustRightInd/>
        <w:spacing w:line="460" w:lineRule="exact"/>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采购人</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根据已收到的</w:t>
      </w:r>
      <w:r>
        <w:rPr>
          <w:rFonts w:hint="eastAsia" w:asciiTheme="minorEastAsia" w:hAnsiTheme="minorEastAsia" w:eastAsiaTheme="minorEastAsia" w:cstheme="minorEastAsia"/>
          <w:color w:val="auto"/>
          <w:sz w:val="24"/>
          <w:highlight w:val="none"/>
          <w:u w:val="single"/>
        </w:rPr>
        <w:t xml:space="preserve">                   （项目名称）</w:t>
      </w:r>
      <w:r>
        <w:rPr>
          <w:rFonts w:hint="eastAsia" w:asciiTheme="minorEastAsia" w:hAnsiTheme="minorEastAsia" w:eastAsiaTheme="minorEastAsia" w:cstheme="minorEastAsia"/>
          <w:color w:val="auto"/>
          <w:sz w:val="24"/>
          <w:highlight w:val="none"/>
        </w:rPr>
        <w:t>招标文件，我单位经研究贵方的招标文件后：</w:t>
      </w:r>
    </w:p>
    <w:p>
      <w:pPr>
        <w:keepNext w:val="0"/>
        <w:keepLines w:val="0"/>
        <w:pageBreakBefore w:val="0"/>
        <w:widowControl w:val="0"/>
        <w:kinsoku/>
        <w:wordWrap/>
        <w:overflowPunct/>
        <w:topLinePunct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1、我方愿以</w:t>
      </w:r>
      <w:r>
        <w:rPr>
          <w:rFonts w:hint="eastAsia" w:asciiTheme="minorEastAsia" w:hAnsiTheme="minorEastAsia" w:eastAsiaTheme="minorEastAsia" w:cstheme="minorEastAsia"/>
          <w:color w:val="auto"/>
          <w:sz w:val="24"/>
          <w:highlight w:val="none"/>
          <w:lang w:eastAsia="zh-CN"/>
        </w:rPr>
        <w:t>开标一览表</w:t>
      </w:r>
      <w:r>
        <w:rPr>
          <w:rFonts w:hint="eastAsia" w:asciiTheme="minorEastAsia" w:hAnsiTheme="minorEastAsia" w:eastAsiaTheme="minorEastAsia" w:cstheme="minorEastAsia"/>
          <w:color w:val="auto"/>
          <w:sz w:val="24"/>
          <w:highlight w:val="none"/>
        </w:rPr>
        <w:t>所报的投标价格及投标承诺书承包本招标文件中所述采购项目</w:t>
      </w:r>
    </w:p>
    <w:p>
      <w:pPr>
        <w:keepNext w:val="0"/>
        <w:keepLines w:val="0"/>
        <w:pageBreakBefore w:val="0"/>
        <w:widowControl w:val="0"/>
        <w:kinsoku/>
        <w:wordWrap/>
        <w:overflowPunct/>
        <w:topLinePunct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范围内的全部内容。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完成期限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3、项目实施地点：</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pStyle w:val="19"/>
        <w:keepNext w:val="0"/>
        <w:keepLines w:val="0"/>
        <w:pageBreakBefore w:val="0"/>
        <w:widowControl w:val="0"/>
        <w:kinsoku/>
        <w:wordWrap/>
        <w:overflowPunct/>
        <w:topLinePunct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none"/>
          <w:lang w:val="en-US" w:eastAsia="zh-CN"/>
        </w:rPr>
        <w:t>4、</w:t>
      </w:r>
      <w:r>
        <w:rPr>
          <w:rFonts w:hint="eastAsia" w:asciiTheme="minorEastAsia" w:hAnsiTheme="minorEastAsia" w:eastAsiaTheme="minorEastAsia" w:cstheme="minorEastAsia"/>
          <w:color w:val="auto"/>
          <w:sz w:val="24"/>
          <w:highlight w:val="none"/>
          <w:lang w:eastAsia="zh-CN"/>
        </w:rPr>
        <w:t>质量要求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pPr>
        <w:pStyle w:val="19"/>
        <w:keepNext w:val="0"/>
        <w:keepLines w:val="0"/>
        <w:pageBreakBefore w:val="0"/>
        <w:widowControl w:val="0"/>
        <w:kinsoku/>
        <w:wordWrap/>
        <w:overflowPunct/>
        <w:topLinePunct w:val="0"/>
        <w:bidi w:val="0"/>
        <w:adjustRightInd/>
        <w:spacing w:line="460" w:lineRule="exact"/>
        <w:ind w:firstLine="480" w:firstLineChars="200"/>
        <w:textAlignment w:val="auto"/>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u w:val="none"/>
          <w:lang w:val="en-US" w:eastAsia="zh-CN"/>
        </w:rPr>
        <w:t>5、</w:t>
      </w:r>
      <w:r>
        <w:rPr>
          <w:rFonts w:hint="eastAsia" w:asciiTheme="minorEastAsia" w:hAnsiTheme="minorEastAsia" w:eastAsiaTheme="minorEastAsia" w:cstheme="minorEastAsia"/>
          <w:color w:val="auto"/>
          <w:sz w:val="24"/>
          <w:highlight w:val="none"/>
          <w:u w:val="none"/>
        </w:rPr>
        <w:t>付款方式</w:t>
      </w:r>
      <w:r>
        <w:rPr>
          <w:rFonts w:hint="eastAsia" w:asciiTheme="minorEastAsia" w:hAnsiTheme="minorEastAsia" w:eastAsiaTheme="minorEastAsia" w:cstheme="minorEastAsia"/>
          <w:color w:val="auto"/>
          <w:sz w:val="24"/>
          <w:highlight w:val="none"/>
          <w:u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、如果我方中标，我方将按招标文件规定的时间内签订合同。如果违约，我方愿以投标保证金作为赔偿金，同时贵方有权终止我方中标并选择其它投标人。</w:t>
      </w:r>
    </w:p>
    <w:p>
      <w:pPr>
        <w:keepNext w:val="0"/>
        <w:keepLines w:val="0"/>
        <w:pageBreakBefore w:val="0"/>
        <w:widowControl w:val="0"/>
        <w:kinsoku/>
        <w:wordWrap/>
        <w:overflowPunct/>
        <w:topLinePunct w:val="0"/>
        <w:autoSpaceDE w:val="0"/>
        <w:autoSpaceDN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、如果我方中标，</w:t>
      </w:r>
      <w:r>
        <w:rPr>
          <w:rFonts w:hint="eastAsia" w:ascii="宋体" w:hAnsi="宋体" w:eastAsia="宋体" w:cs="宋体"/>
          <w:color w:val="auto"/>
          <w:sz w:val="24"/>
          <w:highlight w:val="none"/>
        </w:rPr>
        <w:t>质量</w:t>
      </w:r>
      <w:r>
        <w:rPr>
          <w:rFonts w:hint="eastAsia" w:ascii="宋体" w:hAnsi="宋体" w:cs="宋体"/>
          <w:color w:val="auto"/>
          <w:sz w:val="24"/>
          <w:highlight w:val="none"/>
          <w:lang w:eastAsia="zh-CN"/>
        </w:rPr>
        <w:t>标准</w:t>
      </w:r>
      <w:r>
        <w:rPr>
          <w:rFonts w:hint="eastAsia" w:asciiTheme="minorEastAsia" w:hAnsiTheme="minorEastAsia" w:eastAsiaTheme="minorEastAsia" w:cstheme="minorEastAsia"/>
          <w:color w:val="auto"/>
          <w:sz w:val="24"/>
          <w:highlight w:val="none"/>
        </w:rPr>
        <w:t>与招标文件要求不一致的，质量达不到一次性合格，我方将进行整改直至贵方验收合格为止。</w:t>
      </w:r>
    </w:p>
    <w:p>
      <w:pPr>
        <w:keepNext w:val="0"/>
        <w:keepLines w:val="0"/>
        <w:pageBreakBefore w:val="0"/>
        <w:widowControl w:val="0"/>
        <w:kinsoku/>
        <w:wordWrap/>
        <w:overflowPunct/>
        <w:topLinePunct w:val="0"/>
        <w:autoSpaceDE w:val="0"/>
        <w:autoSpaceDN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8、我们同意按招标文件的规定，本投标书的有效期为投标文件递交截止时间后</w:t>
      </w:r>
      <w:r>
        <w:rPr>
          <w:rFonts w:hint="eastAsia" w:asciiTheme="minorEastAsia" w:hAnsiTheme="minorEastAsia" w:eastAsiaTheme="minorEastAsia" w:cstheme="minorEastAsia"/>
          <w:color w:val="auto"/>
          <w:sz w:val="24"/>
          <w:highlight w:val="none"/>
          <w:u w:val="single"/>
          <w:lang w:val="en-US" w:eastAsia="zh-CN"/>
        </w:rPr>
        <w:t xml:space="preserve"> 60 </w:t>
      </w:r>
      <w:r>
        <w:rPr>
          <w:rFonts w:hint="eastAsia" w:asciiTheme="minorEastAsia" w:hAnsiTheme="minorEastAsia" w:eastAsiaTheme="minorEastAsia" w:cstheme="minorEastAsia"/>
          <w:color w:val="auto"/>
          <w:sz w:val="24"/>
          <w:highlight w:val="none"/>
          <w:lang w:val="en-US" w:eastAsia="zh-CN"/>
        </w:rPr>
        <w:t>天。</w:t>
      </w:r>
    </w:p>
    <w:p>
      <w:pPr>
        <w:keepNext w:val="0"/>
        <w:keepLines w:val="0"/>
        <w:pageBreakBefore w:val="0"/>
        <w:widowControl w:val="0"/>
        <w:kinsoku/>
        <w:wordWrap/>
        <w:overflowPunct/>
        <w:topLinePunct w:val="0"/>
        <w:autoSpaceDE w:val="0"/>
        <w:autoSpaceDN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、贵方的招标文件、答疑文件、招标文件补充、中标通知书和本投标文件将做为合同附件，具有同等法律效力。</w:t>
      </w:r>
    </w:p>
    <w:p>
      <w:pPr>
        <w:keepNext w:val="0"/>
        <w:keepLines w:val="0"/>
        <w:pageBreakBefore w:val="0"/>
        <w:widowControl w:val="0"/>
        <w:kinsoku/>
        <w:wordWrap/>
        <w:overflowPunct/>
        <w:topLinePunct w:val="0"/>
        <w:autoSpaceDE w:val="0"/>
        <w:autoSpaceDN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、如果我方未中标，贵方没有必要对我方做出任何解释和说明，我方将充分尊重和理解贵方的选择。</w:t>
      </w:r>
    </w:p>
    <w:p>
      <w:pPr>
        <w:keepNext w:val="0"/>
        <w:keepLines w:val="0"/>
        <w:pageBreakBefore w:val="0"/>
        <w:widowControl w:val="0"/>
        <w:kinsoku/>
        <w:wordWrap/>
        <w:overflowPunct/>
        <w:topLinePunct w:val="0"/>
        <w:autoSpaceDE w:val="0"/>
        <w:autoSpaceDN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11、我方承诺本投标文件中所有资料及证件均真实有效，若有虚假愿意主动放弃中标人资格，并承担一切责任。</w:t>
      </w:r>
    </w:p>
    <w:p>
      <w:pPr>
        <w:keepNext w:val="0"/>
        <w:keepLines w:val="0"/>
        <w:pageBreakBefore w:val="0"/>
        <w:widowControl w:val="0"/>
        <w:kinsoku/>
        <w:wordWrap/>
        <w:overflowPunct/>
        <w:topLinePunct w:val="0"/>
        <w:autoSpaceDE w:val="0"/>
        <w:autoSpaceDN w:val="0"/>
        <w:bidi w:val="0"/>
        <w:adjustRightInd/>
        <w:spacing w:line="4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12、如果我方中标，我方承诺，若我单位被确定为中标/成交单位，在领取中标/成交通知书时，一次性足额向代理机构支付代理服务费。</w:t>
      </w:r>
    </w:p>
    <w:p>
      <w:pPr>
        <w:pStyle w:val="39"/>
        <w:spacing w:line="360" w:lineRule="auto"/>
        <w:ind w:right="480"/>
        <w:rPr>
          <w:rFonts w:hint="eastAsia" w:asciiTheme="minorEastAsia" w:hAnsiTheme="minorEastAsia" w:eastAsiaTheme="minorEastAsia" w:cstheme="minorEastAsia"/>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880" w:firstLineChars="1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（盖章）</w:t>
      </w:r>
    </w:p>
    <w:p>
      <w:pPr>
        <w:keepNext w:val="0"/>
        <w:keepLines w:val="0"/>
        <w:pageBreakBefore w:val="0"/>
        <w:widowControl w:val="0"/>
        <w:kinsoku/>
        <w:wordWrap/>
        <w:overflowPunct/>
        <w:topLinePunct w:val="0"/>
        <w:autoSpaceDE/>
        <w:autoSpaceDN/>
        <w:bidi w:val="0"/>
        <w:adjustRightInd/>
        <w:snapToGrid/>
        <w:spacing w:line="460" w:lineRule="exact"/>
        <w:ind w:firstLine="2880" w:firstLineChars="1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法定代表人或其委托代理人：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（签字或盖章）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highlight w:val="none"/>
        </w:rPr>
        <w:sectPr>
          <w:headerReference r:id="rId13" w:type="default"/>
          <w:footerReference r:id="rId14" w:type="default"/>
          <w:pgSz w:w="11906" w:h="16838"/>
          <w:pgMar w:top="1247" w:right="1247" w:bottom="1247" w:left="1247" w:header="851" w:footer="992" w:gutter="0"/>
          <w:pgNumType w:fmt="decimal"/>
          <w:cols w:space="720" w:num="1"/>
          <w:rtlGutter w:val="0"/>
          <w:docGrid w:linePitch="312" w:charSpace="0"/>
        </w:sect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p>
    <w:p>
      <w:pPr>
        <w:spacing w:line="360" w:lineRule="auto"/>
        <w:jc w:val="center"/>
        <w:outlineLvl w:val="0"/>
        <w:rPr>
          <w:rFonts w:hint="eastAsia" w:asciiTheme="minorEastAsia" w:hAnsiTheme="minorEastAsia" w:eastAsiaTheme="minorEastAsia" w:cstheme="minorEastAsia"/>
          <w:b/>
          <w:bCs/>
          <w:color w:val="auto"/>
          <w:sz w:val="36"/>
          <w:szCs w:val="36"/>
          <w:highlight w:val="none"/>
        </w:rPr>
      </w:pPr>
      <w:bookmarkStart w:id="189" w:name="_Toc31556"/>
      <w:bookmarkStart w:id="190" w:name="_Toc22066"/>
      <w:r>
        <w:rPr>
          <w:rFonts w:hint="eastAsia" w:asciiTheme="minorEastAsia" w:hAnsiTheme="minorEastAsia" w:eastAsiaTheme="minorEastAsia" w:cstheme="minorEastAsia"/>
          <w:b/>
          <w:bCs/>
          <w:color w:val="auto"/>
          <w:sz w:val="36"/>
          <w:szCs w:val="36"/>
          <w:highlight w:val="none"/>
          <w:lang w:val="en-US" w:eastAsia="zh-CN"/>
        </w:rPr>
        <w:t>2、开标一览表</w:t>
      </w:r>
      <w:bookmarkEnd w:id="189"/>
      <w:bookmarkEnd w:id="190"/>
    </w:p>
    <w:p>
      <w:pPr>
        <w:pStyle w:val="19"/>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10"/>
          <w:highlight w:val="none"/>
          <w:lang w:val="en-US"/>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项目</w:t>
      </w:r>
      <w:r>
        <w:rPr>
          <w:rFonts w:hint="eastAsia" w:asciiTheme="minorEastAsia" w:hAnsiTheme="minorEastAsia" w:eastAsiaTheme="minorEastAsia" w:cstheme="minorEastAsia"/>
          <w:color w:val="auto"/>
          <w:sz w:val="24"/>
          <w:highlight w:val="none"/>
        </w:rPr>
        <w:t>编号：</w:t>
      </w:r>
    </w:p>
    <w:tbl>
      <w:tblPr>
        <w:tblStyle w:val="22"/>
        <w:tblW w:w="940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65"/>
        <w:gridCol w:w="562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0"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965"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条款名称</w:t>
            </w:r>
          </w:p>
        </w:tc>
        <w:tc>
          <w:tcPr>
            <w:tcW w:w="5625"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内容</w:t>
            </w:r>
          </w:p>
        </w:tc>
        <w:tc>
          <w:tcPr>
            <w:tcW w:w="1005"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0"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965"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5625" w:type="dxa"/>
            <w:vAlign w:val="center"/>
          </w:tcPr>
          <w:p>
            <w:pPr>
              <w:jc w:val="center"/>
              <w:rPr>
                <w:rFonts w:hint="eastAsia" w:asciiTheme="minorEastAsia" w:hAnsiTheme="minorEastAsia" w:eastAsiaTheme="minorEastAsia" w:cstheme="minorEastAsia"/>
                <w:color w:val="auto"/>
                <w:sz w:val="24"/>
                <w:highlight w:val="none"/>
                <w:lang w:eastAsia="zh-CN"/>
              </w:rPr>
            </w:pPr>
          </w:p>
        </w:tc>
        <w:tc>
          <w:tcPr>
            <w:tcW w:w="1005" w:type="dxa"/>
            <w:vAlign w:val="center"/>
          </w:tcPr>
          <w:p>
            <w:pPr>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0"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965"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完成期限</w:t>
            </w:r>
          </w:p>
        </w:tc>
        <w:tc>
          <w:tcPr>
            <w:tcW w:w="5625" w:type="dxa"/>
            <w:vAlign w:val="center"/>
          </w:tcPr>
          <w:p>
            <w:pPr>
              <w:jc w:val="center"/>
              <w:rPr>
                <w:rFonts w:hint="eastAsia" w:asciiTheme="minorEastAsia" w:hAnsiTheme="minorEastAsia" w:eastAsiaTheme="minorEastAsia" w:cstheme="minorEastAsia"/>
                <w:color w:val="auto"/>
                <w:sz w:val="24"/>
                <w:highlight w:val="none"/>
              </w:rPr>
            </w:pPr>
          </w:p>
        </w:tc>
        <w:tc>
          <w:tcPr>
            <w:tcW w:w="1005" w:type="dxa"/>
            <w:vAlign w:val="center"/>
          </w:tcPr>
          <w:p>
            <w:pPr>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0" w:type="dxa"/>
            <w:vAlign w:val="center"/>
          </w:tcPr>
          <w:p>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1965"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质量要求</w:t>
            </w:r>
          </w:p>
        </w:tc>
        <w:tc>
          <w:tcPr>
            <w:tcW w:w="5625" w:type="dxa"/>
            <w:vAlign w:val="center"/>
          </w:tcPr>
          <w:p>
            <w:pPr>
              <w:jc w:val="center"/>
              <w:rPr>
                <w:rFonts w:hint="eastAsia" w:asciiTheme="minorEastAsia" w:hAnsiTheme="minorEastAsia" w:eastAsiaTheme="minorEastAsia" w:cstheme="minorEastAsia"/>
                <w:color w:val="auto"/>
                <w:sz w:val="24"/>
                <w:highlight w:val="none"/>
                <w:lang w:eastAsia="zh-CN"/>
              </w:rPr>
            </w:pPr>
          </w:p>
        </w:tc>
        <w:tc>
          <w:tcPr>
            <w:tcW w:w="1005" w:type="dxa"/>
            <w:vAlign w:val="center"/>
          </w:tcPr>
          <w:p>
            <w:pPr>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810" w:type="dxa"/>
            <w:vAlign w:val="center"/>
          </w:tcPr>
          <w:p>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1965"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w:t>
            </w:r>
            <w:r>
              <w:rPr>
                <w:rFonts w:hint="eastAsia" w:asciiTheme="minorEastAsia" w:hAnsiTheme="minorEastAsia" w:eastAsiaTheme="minorEastAsia" w:cstheme="minorEastAsia"/>
                <w:color w:val="auto"/>
                <w:sz w:val="24"/>
                <w:highlight w:val="none"/>
                <w:lang w:eastAsia="zh-CN"/>
              </w:rPr>
              <w:t>总</w:t>
            </w:r>
            <w:r>
              <w:rPr>
                <w:rFonts w:hint="eastAsia" w:asciiTheme="minorEastAsia" w:hAnsiTheme="minorEastAsia" w:eastAsiaTheme="minorEastAsia" w:cstheme="minorEastAsia"/>
                <w:color w:val="auto"/>
                <w:sz w:val="24"/>
                <w:highlight w:val="none"/>
              </w:rPr>
              <w:t>报价（元）</w:t>
            </w:r>
          </w:p>
        </w:tc>
        <w:tc>
          <w:tcPr>
            <w:tcW w:w="6630" w:type="dxa"/>
            <w:gridSpan w:val="2"/>
            <w:vAlign w:val="center"/>
          </w:tcPr>
          <w:p>
            <w:pPr>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rPr>
              <w:t xml:space="preserve">                                </w:t>
            </w:r>
          </w:p>
          <w:p>
            <w:pPr>
              <w:rPr>
                <w:rFonts w:hint="eastAsia" w:asciiTheme="minorEastAsia" w:hAnsiTheme="minorEastAsia" w:eastAsiaTheme="minorEastAsia" w:cstheme="minorEastAsia"/>
                <w:color w:val="auto"/>
                <w:sz w:val="24"/>
                <w:highlight w:val="none"/>
              </w:rPr>
            </w:pP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p>
        </w:tc>
      </w:tr>
    </w:tbl>
    <w:p>
      <w:pPr>
        <w:widowControl w:val="0"/>
        <w:numPr>
          <w:ilvl w:val="0"/>
          <w:numId w:val="0"/>
        </w:numPr>
        <w:spacing w:line="400" w:lineRule="exact"/>
        <w:ind w:left="412" w:leftChars="196" w:firstLine="7" w:firstLineChars="0"/>
        <w:jc w:val="both"/>
        <w:rPr>
          <w:rFonts w:hint="eastAsia" w:asciiTheme="minorEastAsia" w:hAnsiTheme="minorEastAsia" w:eastAsiaTheme="minorEastAsia" w:cstheme="minorEastAsia"/>
          <w:color w:val="auto"/>
          <w:sz w:val="24"/>
          <w:highlight w:val="none"/>
        </w:rPr>
      </w:pPr>
    </w:p>
    <w:p>
      <w:pPr>
        <w:pStyle w:val="1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报价说明：</w:t>
      </w:r>
    </w:p>
    <w:p>
      <w:pPr>
        <w:pStyle w:val="1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1、投标单位自主报价；</w:t>
      </w:r>
    </w:p>
    <w:p>
      <w:pPr>
        <w:spacing w:line="400" w:lineRule="exact"/>
        <w:rPr>
          <w:rFonts w:hint="eastAsia" w:ascii="宋体" w:hAnsi="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2、上述报价</w:t>
      </w:r>
      <w:r>
        <w:rPr>
          <w:rFonts w:hint="eastAsia" w:ascii="宋体" w:hAnsi="宋体" w:cs="宋体"/>
          <w:color w:val="auto"/>
          <w:kern w:val="2"/>
          <w:sz w:val="24"/>
          <w:szCs w:val="24"/>
          <w:highlight w:val="none"/>
          <w:lang w:val="en-US" w:eastAsia="zh-CN" w:bidi="ar-SA"/>
        </w:rPr>
        <w:t>包含</w:t>
      </w:r>
      <w:r>
        <w:rPr>
          <w:rFonts w:hint="eastAsia" w:ascii="宋体" w:hAnsi="宋体" w:eastAsia="宋体" w:cs="宋体"/>
          <w:color w:val="auto"/>
          <w:sz w:val="24"/>
          <w:highlight w:val="none"/>
        </w:rPr>
        <w:t>投标人为完成本</w:t>
      </w:r>
      <w:r>
        <w:rPr>
          <w:rFonts w:hint="eastAsia" w:ascii="宋体" w:hAnsi="宋体" w:cs="宋体"/>
          <w:color w:val="auto"/>
          <w:sz w:val="24"/>
          <w:highlight w:val="none"/>
          <w:lang w:eastAsia="zh-CN"/>
        </w:rPr>
        <w:t>次采购项目</w:t>
      </w:r>
      <w:r>
        <w:rPr>
          <w:rFonts w:hint="eastAsia" w:ascii="宋体" w:hAnsi="宋体" w:eastAsia="宋体" w:cs="宋体"/>
          <w:color w:val="auto"/>
          <w:sz w:val="24"/>
          <w:highlight w:val="none"/>
        </w:rPr>
        <w:t>所约定的</w:t>
      </w:r>
      <w:r>
        <w:rPr>
          <w:rFonts w:hint="eastAsia" w:ascii="宋体" w:hAnsi="宋体" w:cs="宋体"/>
          <w:color w:val="auto"/>
          <w:sz w:val="24"/>
          <w:highlight w:val="none"/>
          <w:lang w:eastAsia="zh-CN"/>
        </w:rPr>
        <w:t>采购需求及范围，</w:t>
      </w:r>
      <w:r>
        <w:rPr>
          <w:rFonts w:hint="eastAsia" w:ascii="宋体" w:hAnsi="宋体" w:eastAsia="宋体" w:cs="宋体"/>
          <w:color w:val="auto"/>
          <w:sz w:val="24"/>
          <w:highlight w:val="none"/>
        </w:rPr>
        <w:t>和招标及合同文件规定的全部责任和义务所发生的各种开支</w:t>
      </w:r>
      <w:r>
        <w:rPr>
          <w:rFonts w:hint="eastAsia" w:ascii="宋体" w:hAnsi="宋体" w:cs="宋体"/>
          <w:color w:val="auto"/>
          <w:sz w:val="24"/>
          <w:highlight w:val="none"/>
          <w:lang w:eastAsia="zh-CN"/>
        </w:rPr>
        <w:t>。</w:t>
      </w:r>
    </w:p>
    <w:p>
      <w:pPr>
        <w:spacing w:line="40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投标总报价不得高于</w:t>
      </w:r>
      <w:r>
        <w:rPr>
          <w:rFonts w:hint="eastAsia" w:ascii="宋体" w:hAnsi="宋体" w:eastAsia="宋体" w:cs="宋体"/>
          <w:b/>
          <w:bCs/>
          <w:color w:val="auto"/>
          <w:sz w:val="24"/>
          <w:highlight w:val="none"/>
          <w:lang w:eastAsia="zh-CN"/>
        </w:rPr>
        <w:t>最高限价</w:t>
      </w:r>
      <w:r>
        <w:rPr>
          <w:rFonts w:hint="eastAsia" w:ascii="宋体" w:hAnsi="宋体" w:eastAsia="宋体" w:cs="宋体"/>
          <w:b/>
          <w:bCs/>
          <w:color w:val="auto"/>
          <w:sz w:val="24"/>
          <w:highlight w:val="none"/>
        </w:rPr>
        <w:t>，否则将否决其投标，按无效投标处理</w:t>
      </w:r>
      <w:r>
        <w:rPr>
          <w:rFonts w:hint="eastAsia" w:ascii="宋体" w:hAnsi="宋体" w:cs="宋体"/>
          <w:b/>
          <w:bCs/>
          <w:color w:val="auto"/>
          <w:sz w:val="24"/>
          <w:highlight w:val="none"/>
          <w:lang w:eastAsia="zh-CN"/>
        </w:rPr>
        <w:t>。</w:t>
      </w:r>
    </w:p>
    <w:p>
      <w:pPr>
        <w:rPr>
          <w:rFonts w:hint="eastAsia" w:asciiTheme="minorEastAsia" w:hAnsiTheme="minorEastAsia" w:eastAsiaTheme="minorEastAsia" w:cstheme="minorEastAsia"/>
          <w:color w:val="auto"/>
          <w:sz w:val="24"/>
          <w:highlight w:val="none"/>
        </w:rPr>
      </w:pPr>
    </w:p>
    <w:p>
      <w:pPr>
        <w:pStyle w:val="6"/>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39"/>
        <w:spacing w:line="360" w:lineRule="auto"/>
        <w:ind w:right="480" w:firstLine="2880" w:firstLineChars="1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w:t>
      </w:r>
      <w:r>
        <w:rPr>
          <w:rFonts w:hint="eastAsia" w:asciiTheme="minorEastAsia" w:hAnsiTheme="minorEastAsia" w:eastAsiaTheme="minorEastAsia" w:cstheme="minorEastAsia"/>
          <w:color w:val="auto"/>
          <w:szCs w:val="24"/>
          <w:highlight w:val="none"/>
          <w:lang w:val="en-US" w:eastAsia="zh-CN"/>
        </w:rPr>
        <w:t>名称</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rPr>
        <w:t>（盖章）</w:t>
      </w:r>
    </w:p>
    <w:p>
      <w:pPr>
        <w:pStyle w:val="39"/>
        <w:spacing w:line="360" w:lineRule="auto"/>
        <w:ind w:right="840" w:firstLine="2880" w:firstLineChars="1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rPr>
        <w:t>法定代表人或委托代理人：</w:t>
      </w:r>
      <w:r>
        <w:rPr>
          <w:rFonts w:hint="eastAsia" w:asciiTheme="minorEastAsia" w:hAnsiTheme="minorEastAsia" w:eastAsia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rPr>
        <w:t>（签字或盖章）</w:t>
      </w:r>
    </w:p>
    <w:p>
      <w:pPr>
        <w:autoSpaceDE w:val="0"/>
        <w:autoSpaceDN w:val="0"/>
        <w:adjustRightInd w:val="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highlight w:val="none"/>
        </w:rPr>
        <w:t xml:space="preserve"> </w:t>
      </w:r>
    </w:p>
    <w:p>
      <w:pPr>
        <w:autoSpaceDE w:val="0"/>
        <w:autoSpaceDN w:val="0"/>
        <w:adjustRightInd w:val="0"/>
        <w:jc w:val="center"/>
        <w:outlineLvl w:val="0"/>
        <w:rPr>
          <w:rFonts w:hint="eastAsia" w:asciiTheme="minorEastAsia" w:hAnsiTheme="minorEastAsia" w:eastAsiaTheme="minorEastAsia" w:cstheme="minorEastAsia"/>
          <w:color w:val="auto"/>
          <w:highlight w:val="none"/>
        </w:rPr>
      </w:pPr>
    </w:p>
    <w:p>
      <w:pPr>
        <w:autoSpaceDE w:val="0"/>
        <w:autoSpaceDN w:val="0"/>
        <w:adjustRightInd w:val="0"/>
        <w:jc w:val="center"/>
        <w:outlineLvl w:val="0"/>
        <w:rPr>
          <w:rFonts w:hint="eastAsia" w:asciiTheme="minorEastAsia" w:hAnsiTheme="minorEastAsia" w:eastAsiaTheme="minorEastAsia" w:cstheme="minorEastAsia"/>
          <w:color w:val="auto"/>
          <w:highlight w:val="none"/>
        </w:rPr>
      </w:pPr>
    </w:p>
    <w:p>
      <w:pPr>
        <w:autoSpaceDE w:val="0"/>
        <w:autoSpaceDN w:val="0"/>
        <w:adjustRightInd w:val="0"/>
        <w:jc w:val="center"/>
        <w:outlineLvl w:val="0"/>
        <w:rPr>
          <w:rFonts w:hint="eastAsia" w:asciiTheme="minorEastAsia" w:hAnsiTheme="minorEastAsia" w:eastAsiaTheme="minorEastAsia" w:cstheme="minorEastAsia"/>
          <w:color w:val="auto"/>
          <w:highlight w:val="none"/>
        </w:rPr>
      </w:pPr>
    </w:p>
    <w:p>
      <w:pPr>
        <w:pStyle w:val="6"/>
        <w:rPr>
          <w:rFonts w:hint="eastAsia" w:asciiTheme="minorEastAsia" w:hAnsiTheme="minorEastAsia" w:eastAsiaTheme="minorEastAsia" w:cstheme="minorEastAsia"/>
          <w:color w:val="auto"/>
          <w:highlight w:val="none"/>
        </w:rPr>
      </w:pPr>
    </w:p>
    <w:p>
      <w:pPr>
        <w:autoSpaceDE w:val="0"/>
        <w:autoSpaceDN w:val="0"/>
        <w:adjustRightInd w:val="0"/>
        <w:jc w:val="center"/>
        <w:outlineLvl w:val="0"/>
        <w:rPr>
          <w:rFonts w:hint="eastAsia" w:asciiTheme="minorEastAsia" w:hAnsiTheme="minorEastAsia" w:eastAsiaTheme="minorEastAsia" w:cstheme="minorEastAsia"/>
          <w:color w:val="auto"/>
          <w:highlight w:val="none"/>
        </w:rPr>
      </w:pPr>
    </w:p>
    <w:p>
      <w:pPr>
        <w:pStyle w:val="12"/>
        <w:rPr>
          <w:rFonts w:hint="eastAsia" w:asciiTheme="minorEastAsia" w:hAnsiTheme="minorEastAsia" w:eastAsiaTheme="minorEastAsia" w:cstheme="minorEastAsia"/>
          <w:color w:val="auto"/>
          <w:highlight w:val="none"/>
        </w:rPr>
      </w:pPr>
    </w:p>
    <w:p>
      <w:pPr>
        <w:rPr>
          <w:rFonts w:hint="eastAsia"/>
        </w:rPr>
      </w:pPr>
    </w:p>
    <w:p>
      <w:pPr>
        <w:rPr>
          <w:rFonts w:hint="eastAsia" w:asciiTheme="minorEastAsia" w:hAnsiTheme="minorEastAsia" w:eastAsiaTheme="minorEastAsia" w:cstheme="minorEastAsia"/>
          <w:color w:val="auto"/>
          <w:highlight w:val="none"/>
        </w:rPr>
      </w:pPr>
    </w:p>
    <w:p>
      <w:pPr>
        <w:pStyle w:val="12"/>
        <w:rPr>
          <w:rFonts w:hint="eastAsia"/>
          <w:color w:val="auto"/>
          <w:highlight w:val="none"/>
        </w:rPr>
      </w:pPr>
    </w:p>
    <w:p>
      <w:pPr>
        <w:pStyle w:val="36"/>
        <w:numPr>
          <w:ilvl w:val="0"/>
          <w:numId w:val="0"/>
        </w:numPr>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lang w:val="en-US" w:eastAsia="zh-CN"/>
        </w:rPr>
        <w:t>3、</w:t>
      </w:r>
      <w:r>
        <w:rPr>
          <w:rFonts w:hint="eastAsia" w:asciiTheme="minorEastAsia" w:hAnsiTheme="minorEastAsia" w:eastAsiaTheme="minorEastAsia" w:cstheme="minorEastAsia"/>
          <w:b/>
          <w:bCs/>
          <w:color w:val="auto"/>
          <w:sz w:val="36"/>
          <w:szCs w:val="36"/>
          <w:highlight w:val="none"/>
        </w:rPr>
        <w:t>投标人</w:t>
      </w:r>
      <w:r>
        <w:rPr>
          <w:rFonts w:hint="eastAsia" w:asciiTheme="minorEastAsia" w:hAnsiTheme="minorEastAsia" w:eastAsiaTheme="minorEastAsia" w:cstheme="minorEastAsia"/>
          <w:b/>
          <w:bCs/>
          <w:color w:val="auto"/>
          <w:sz w:val="36"/>
          <w:szCs w:val="36"/>
          <w:highlight w:val="none"/>
          <w:lang w:val="en-US" w:eastAsia="zh-CN"/>
        </w:rPr>
        <w:t>资格</w:t>
      </w:r>
      <w:r>
        <w:rPr>
          <w:rFonts w:hint="eastAsia" w:asciiTheme="minorEastAsia" w:hAnsiTheme="minorEastAsia" w:eastAsiaTheme="minorEastAsia" w:cstheme="minorEastAsia"/>
          <w:b/>
          <w:bCs/>
          <w:color w:val="auto"/>
          <w:sz w:val="36"/>
          <w:szCs w:val="36"/>
          <w:highlight w:val="none"/>
        </w:rPr>
        <w:t>证明文件</w:t>
      </w:r>
    </w:p>
    <w:p>
      <w:pPr>
        <w:pStyle w:val="36"/>
        <w:numPr>
          <w:ilvl w:val="0"/>
          <w:numId w:val="0"/>
        </w:numPr>
        <w:jc w:val="both"/>
        <w:rPr>
          <w:rFonts w:hint="eastAsia" w:asciiTheme="minorEastAsia" w:hAnsiTheme="minorEastAsia" w:eastAsiaTheme="minorEastAsia" w:cstheme="minorEastAsia"/>
          <w:b/>
          <w:bCs/>
          <w:color w:val="auto"/>
          <w:sz w:val="36"/>
          <w:szCs w:val="36"/>
          <w:highlight w:val="none"/>
        </w:rPr>
      </w:pPr>
    </w:p>
    <w:p>
      <w:pPr>
        <w:autoSpaceDE w:val="0"/>
        <w:autoSpaceDN w:val="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（1）法定代表人身份证明或法定代表人授权委托书</w:t>
      </w:r>
    </w:p>
    <w:p>
      <w:pPr>
        <w:autoSpaceDE w:val="0"/>
        <w:autoSpaceDN w:val="0"/>
        <w:jc w:val="center"/>
        <w:rPr>
          <w:rFonts w:hint="eastAsia" w:asciiTheme="minorEastAsia" w:hAnsiTheme="minorEastAsia" w:eastAsiaTheme="minorEastAsia" w:cstheme="minorEastAsia"/>
          <w:color w:val="auto"/>
          <w:sz w:val="21"/>
          <w:szCs w:val="21"/>
          <w:highlight w:val="none"/>
        </w:rPr>
      </w:pPr>
    </w:p>
    <w:p>
      <w:pPr>
        <w:autoSpaceDE w:val="0"/>
        <w:autoSpaceDN w:val="0"/>
        <w:jc w:val="center"/>
        <w:rPr>
          <w:rFonts w:hint="eastAsia" w:asciiTheme="minorEastAsia" w:hAnsiTheme="minorEastAsia" w:eastAsiaTheme="minorEastAsia" w:cstheme="minorEastAsia"/>
          <w:color w:val="auto"/>
          <w:sz w:val="21"/>
          <w:szCs w:val="21"/>
          <w:highlight w:val="none"/>
        </w:rPr>
      </w:pPr>
    </w:p>
    <w:p>
      <w:pPr>
        <w:autoSpaceDE w:val="0"/>
        <w:autoSpaceDN w:val="0"/>
        <w:jc w:val="center"/>
        <w:rPr>
          <w:rFonts w:hint="eastAsia" w:asciiTheme="minorEastAsia" w:hAnsiTheme="minorEastAsia" w:eastAsiaTheme="minorEastAsia" w:cstheme="minorEastAsia"/>
          <w:color w:val="auto"/>
          <w:sz w:val="21"/>
          <w:szCs w:val="21"/>
          <w:highlight w:val="none"/>
        </w:rPr>
      </w:pPr>
    </w:p>
    <w:p>
      <w:pPr>
        <w:autoSpaceDE w:val="0"/>
        <w:autoSpaceDN w:val="0"/>
        <w:jc w:val="center"/>
        <w:rPr>
          <w:rFonts w:hint="eastAsia" w:asciiTheme="minorEastAsia" w:hAnsiTheme="minorEastAsia" w:eastAsiaTheme="minorEastAsia" w:cstheme="minorEastAsia"/>
          <w:color w:val="auto"/>
          <w:sz w:val="21"/>
          <w:szCs w:val="21"/>
          <w:highlight w:val="none"/>
        </w:rPr>
      </w:pPr>
    </w:p>
    <w:p>
      <w:pPr>
        <w:autoSpaceDE w:val="0"/>
        <w:autoSpaceDN w:val="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法定代表人身份证明</w:t>
      </w:r>
    </w:p>
    <w:p>
      <w:pPr>
        <w:spacing w:line="480" w:lineRule="exact"/>
        <w:jc w:val="center"/>
        <w:rPr>
          <w:rFonts w:hint="eastAsia" w:asciiTheme="minorEastAsia" w:hAnsiTheme="minorEastAsia" w:eastAsiaTheme="minorEastAsia" w:cstheme="minorEastAsia"/>
          <w:color w:val="auto"/>
          <w:sz w:val="28"/>
          <w:szCs w:val="28"/>
          <w:highlight w:val="none"/>
        </w:rPr>
      </w:pPr>
    </w:p>
    <w:p>
      <w:pPr>
        <w:spacing w:line="48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4"/>
          <w:highlight w:val="none"/>
        </w:rPr>
        <w:t xml:space="preserve">  单位名称：</w:t>
      </w:r>
      <w:r>
        <w:rPr>
          <w:rFonts w:hint="eastAsia" w:asciiTheme="minorEastAsia" w:hAnsiTheme="minorEastAsia" w:eastAsiaTheme="minorEastAsia" w:cstheme="minorEastAsia"/>
          <w:color w:val="auto"/>
          <w:sz w:val="24"/>
          <w:highlight w:val="none"/>
          <w:u w:val="single"/>
        </w:rPr>
        <w:t xml:space="preserve">                                                </w:t>
      </w:r>
    </w:p>
    <w:p>
      <w:pPr>
        <w:spacing w:line="48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单位性质：</w:t>
      </w:r>
      <w:r>
        <w:rPr>
          <w:rFonts w:hint="eastAsia" w:asciiTheme="minorEastAsia" w:hAnsiTheme="minorEastAsia" w:eastAsiaTheme="minorEastAsia" w:cstheme="minorEastAsia"/>
          <w:color w:val="auto"/>
          <w:sz w:val="24"/>
          <w:highlight w:val="none"/>
          <w:u w:val="single"/>
        </w:rPr>
        <w:t xml:space="preserve">                                                </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成立时间：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日 </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经营期限：</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48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性别：</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的法定代表人。 </w:t>
      </w: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特此证明。 </w:t>
      </w:r>
    </w:p>
    <w:p>
      <w:pPr>
        <w:spacing w:line="480" w:lineRule="exact"/>
        <w:ind w:firstLine="480" w:firstLineChars="200"/>
        <w:rPr>
          <w:rFonts w:hint="eastAsia" w:asciiTheme="minorEastAsia" w:hAnsiTheme="minorEastAsia" w:eastAsiaTheme="minorEastAsia" w:cstheme="minorEastAsia"/>
          <w:color w:val="auto"/>
          <w:sz w:val="24"/>
          <w:highlight w:val="none"/>
        </w:rPr>
      </w:pPr>
    </w:p>
    <w:p>
      <w:pPr>
        <w:spacing w:line="480" w:lineRule="exact"/>
        <w:ind w:firstLine="480" w:firstLineChars="200"/>
        <w:rPr>
          <w:rFonts w:hint="eastAsia" w:asciiTheme="minorEastAsia" w:hAnsiTheme="minorEastAsia" w:eastAsiaTheme="minorEastAsia" w:cstheme="minorEastAsia"/>
          <w:color w:val="auto"/>
          <w:sz w:val="24"/>
          <w:highlight w:val="none"/>
        </w:rPr>
      </w:pPr>
    </w:p>
    <w:p>
      <w:pPr>
        <w:spacing w:line="480" w:lineRule="exact"/>
        <w:ind w:firstLine="480" w:firstLineChars="200"/>
        <w:rPr>
          <w:rFonts w:hint="eastAsia" w:asciiTheme="minorEastAsia" w:hAnsiTheme="minorEastAsia" w:eastAsiaTheme="minorEastAsia" w:cstheme="minorEastAsia"/>
          <w:color w:val="auto"/>
          <w:sz w:val="24"/>
          <w:highlight w:val="none"/>
        </w:rPr>
      </w:pPr>
    </w:p>
    <w:p>
      <w:pPr>
        <w:spacing w:line="480" w:lineRule="exact"/>
        <w:ind w:firstLine="480" w:firstLineChars="200"/>
        <w:rPr>
          <w:rFonts w:hint="eastAsia" w:asciiTheme="minorEastAsia" w:hAnsiTheme="minorEastAsia" w:eastAsiaTheme="minorEastAsia" w:cstheme="minorEastAsia"/>
          <w:color w:val="auto"/>
          <w:sz w:val="24"/>
          <w:highlight w:val="none"/>
        </w:rPr>
      </w:pPr>
    </w:p>
    <w:p>
      <w:pPr>
        <w:spacing w:line="480" w:lineRule="exact"/>
        <w:ind w:firstLine="480" w:firstLineChars="200"/>
        <w:rPr>
          <w:rFonts w:hint="eastAsia" w:asciiTheme="minorEastAsia" w:hAnsiTheme="minorEastAsia" w:eastAsiaTheme="minorEastAsia" w:cstheme="minorEastAsia"/>
          <w:color w:val="auto"/>
          <w:sz w:val="24"/>
          <w:highlight w:val="none"/>
        </w:rPr>
      </w:pPr>
    </w:p>
    <w:p>
      <w:pPr>
        <w:spacing w:line="480" w:lineRule="exact"/>
        <w:ind w:firstLine="560" w:firstLineChars="200"/>
        <w:rPr>
          <w:rFonts w:hint="eastAsia" w:asciiTheme="minorEastAsia" w:hAnsiTheme="minorEastAsia" w:eastAsiaTheme="minorEastAsia" w:cstheme="minorEastAsia"/>
          <w:color w:val="auto"/>
          <w:sz w:val="28"/>
          <w:szCs w:val="28"/>
          <w:highlight w:val="none"/>
        </w:rPr>
      </w:pPr>
    </w:p>
    <w:p>
      <w:pPr>
        <w:spacing w:line="480" w:lineRule="exact"/>
        <w:ind w:firstLine="560" w:firstLineChars="200"/>
        <w:rPr>
          <w:rFonts w:hint="eastAsia" w:asciiTheme="minorEastAsia" w:hAnsiTheme="minorEastAsia" w:eastAsiaTheme="minorEastAsia" w:cstheme="minorEastAsia"/>
          <w:color w:val="auto"/>
          <w:sz w:val="28"/>
          <w:szCs w:val="28"/>
          <w:highlight w:val="none"/>
        </w:rPr>
      </w:pPr>
    </w:p>
    <w:p>
      <w:pPr>
        <w:spacing w:line="480" w:lineRule="exact"/>
        <w:ind w:firstLine="56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4"/>
          <w:highlight w:val="none"/>
        </w:rPr>
        <w:t xml:space="preserve">     投标人名称：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（盖单位章） </w:t>
      </w:r>
    </w:p>
    <w:p>
      <w:pPr>
        <w:spacing w:line="480" w:lineRule="exact"/>
        <w:rPr>
          <w:rFonts w:hint="eastAsia" w:asciiTheme="minorEastAsia" w:hAnsiTheme="minorEastAsia" w:eastAsiaTheme="minorEastAsia" w:cstheme="minorEastAsia"/>
          <w:color w:val="auto"/>
          <w:sz w:val="24"/>
          <w:highlight w:val="none"/>
        </w:rPr>
      </w:pPr>
    </w:p>
    <w:p>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b/>
          <w:color w:val="auto"/>
          <w:sz w:val="24"/>
          <w:highlight w:val="none"/>
        </w:rPr>
        <w:t xml:space="preserve"> </w:t>
      </w:r>
    </w:p>
    <w:p>
      <w:pPr>
        <w:pageBreakBefore/>
        <w:spacing w:line="480" w:lineRule="auto"/>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法定代表人授权委托书</w:t>
      </w:r>
    </w:p>
    <w:p>
      <w:pPr>
        <w:spacing w:line="480" w:lineRule="auto"/>
        <w:jc w:val="center"/>
        <w:rPr>
          <w:rFonts w:hint="eastAsia" w:asciiTheme="minorEastAsia" w:hAnsiTheme="minorEastAsia" w:eastAsiaTheme="minorEastAsia" w:cstheme="minorEastAsia"/>
          <w:b/>
          <w:bCs/>
          <w:color w:val="auto"/>
          <w:sz w:val="24"/>
          <w:highlight w:val="none"/>
        </w:rPr>
      </w:pPr>
    </w:p>
    <w:p>
      <w:pPr>
        <w:spacing w:line="48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本授权委托书声明：我</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系</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的法定代表人，现授权委托</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的</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为我的代理人，以本单位的名义参加</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的投标活动。代理人在参加整个招标投标活动、合同签订过程中所签署的一切文件和处理与之相关的一切事物，我均予承认。</w:t>
      </w:r>
    </w:p>
    <w:p>
      <w:pPr>
        <w:spacing w:line="48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代理人：</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 xml:space="preserve">   性别：</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 xml:space="preserve">  年龄：</w:t>
      </w:r>
      <w:r>
        <w:rPr>
          <w:rFonts w:hint="eastAsia" w:asciiTheme="minorEastAsia" w:hAnsiTheme="minorEastAsia" w:eastAsiaTheme="minorEastAsia" w:cstheme="minorEastAsia"/>
          <w:bCs/>
          <w:color w:val="auto"/>
          <w:sz w:val="24"/>
          <w:highlight w:val="none"/>
          <w:u w:val="single"/>
        </w:rPr>
        <w:t xml:space="preserve">             </w:t>
      </w:r>
    </w:p>
    <w:p>
      <w:pPr>
        <w:spacing w:line="480" w:lineRule="auto"/>
        <w:ind w:firstLine="453" w:firstLineChars="189"/>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部  门：</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 xml:space="preserve">  职务：</w:t>
      </w:r>
      <w:r>
        <w:rPr>
          <w:rFonts w:hint="eastAsia" w:asciiTheme="minorEastAsia" w:hAnsiTheme="minorEastAsia" w:eastAsiaTheme="minorEastAsia" w:cstheme="minorEastAsia"/>
          <w:bCs/>
          <w:color w:val="auto"/>
          <w:sz w:val="24"/>
          <w:highlight w:val="none"/>
          <w:u w:val="single"/>
        </w:rPr>
        <w:t xml:space="preserve">             </w:t>
      </w:r>
    </w:p>
    <w:p>
      <w:pPr>
        <w:spacing w:line="48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3pt;margin-top:9.65pt;height:149.25pt;width:234pt;z-index:251660288;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Inh9lMSAgAARQQAAA4A&#10;AAAAAAAAAQAgAAAAKAEAAGRycy9lMm9Eb2MueG1sUEsFBgAAAAAGAAYAWQEAAKwFAAAAAA==&#10;">
                <v:fill on="t" focussize="0,0"/>
                <v:stroke color="#000000"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（正反面）</w:t>
                      </w:r>
                    </w:p>
                    <w:p/>
                    <w:p/>
                    <w:p/>
                    <w:p/>
                    <w:p/>
                    <w:p/>
                    <w:p>
                      <w:pPr>
                        <w:rPr>
                          <w:sz w:val="32"/>
                          <w:szCs w:val="32"/>
                        </w:rPr>
                      </w:pPr>
                    </w:p>
                  </w:txbxContent>
                </v:textbox>
              </v:shape>
            </w:pict>
          </mc:Fallback>
        </mc:AlternateConten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5"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p/>
                          <w:p/>
                          <w:p/>
                          <w:p/>
                          <w:p/>
                          <w:p/>
                          <w:p>
                            <w:pPr>
                              <w:rPr>
                                <w:sz w:val="32"/>
                                <w:szCs w:val="32"/>
                              </w:rPr>
                            </w:pPr>
                          </w:p>
                        </w:txbxContent>
                      </wps:txbx>
                      <wps:bodyPr upright="1"/>
                    </wps:wsp>
                  </a:graphicData>
                </a:graphic>
              </wp:anchor>
            </w:drawing>
          </mc:Choice>
          <mc:Fallback>
            <w:pict>
              <v:shape id="文本框 1" o:spid="_x0000_s1026" o:spt="202" type="#_x0000_t202" style="position:absolute;left:0pt;margin-left:244.7pt;margin-top:9.65pt;height:149.25pt;width:234pt;z-index:251661312;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qJg42QAAAAoBAAAPAAAAAAAA&#10;AAEAIAAAACIAAABkcnMvZG93bnJldi54bWxQSwECFAAUAAAACACHTuJAwhPIHhECAABFBAAADgAA&#10;AAAAAAABACAAAAAoAQAAZHJzL2Uyb0RvYy54bWxQSwUGAAAAAAYABgBZAQAAqwUAAAAA&#10;">
                <v:fill on="t" focussize="0,0"/>
                <v:stroke color="#000000"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p/>
                    <w:p/>
                    <w:p/>
                    <w:p/>
                    <w:p/>
                    <w:p/>
                    <w:p>
                      <w:pPr>
                        <w:rPr>
                          <w:sz w:val="32"/>
                          <w:szCs w:val="32"/>
                        </w:rPr>
                      </w:pPr>
                    </w:p>
                  </w:txbxContent>
                </v:textbox>
              </v:shape>
            </w:pict>
          </mc:Fallback>
        </mc:AlternateContent>
      </w:r>
    </w:p>
    <w:p>
      <w:pPr>
        <w:spacing w:line="480" w:lineRule="auto"/>
        <w:rPr>
          <w:rFonts w:hint="eastAsia" w:asciiTheme="minorEastAsia" w:hAnsiTheme="minorEastAsia" w:eastAsiaTheme="minorEastAsia" w:cstheme="minorEastAsia"/>
          <w:bCs/>
          <w:color w:val="auto"/>
          <w:sz w:val="24"/>
          <w:highlight w:val="none"/>
        </w:rPr>
      </w:pPr>
    </w:p>
    <w:p>
      <w:pPr>
        <w:spacing w:line="480" w:lineRule="auto"/>
        <w:rPr>
          <w:rFonts w:hint="eastAsia" w:asciiTheme="minorEastAsia" w:hAnsiTheme="minorEastAsia" w:eastAsiaTheme="minorEastAsia" w:cstheme="minorEastAsia"/>
          <w:bCs/>
          <w:color w:val="auto"/>
          <w:sz w:val="24"/>
          <w:highlight w:val="none"/>
        </w:rPr>
      </w:pPr>
    </w:p>
    <w:p>
      <w:pPr>
        <w:spacing w:line="480" w:lineRule="auto"/>
        <w:rPr>
          <w:rFonts w:hint="eastAsia" w:asciiTheme="minorEastAsia" w:hAnsiTheme="minorEastAsia" w:eastAsiaTheme="minorEastAsia" w:cstheme="minorEastAsia"/>
          <w:bCs/>
          <w:color w:val="auto"/>
          <w:sz w:val="24"/>
          <w:highlight w:val="none"/>
        </w:rPr>
      </w:pPr>
    </w:p>
    <w:p>
      <w:pPr>
        <w:spacing w:line="480" w:lineRule="auto"/>
        <w:rPr>
          <w:rFonts w:hint="eastAsia" w:asciiTheme="minorEastAsia" w:hAnsiTheme="minorEastAsia" w:eastAsiaTheme="minorEastAsia" w:cstheme="minorEastAsia"/>
          <w:bCs/>
          <w:color w:val="auto"/>
          <w:sz w:val="24"/>
          <w:highlight w:val="none"/>
        </w:rPr>
      </w:pPr>
    </w:p>
    <w:p>
      <w:pPr>
        <w:spacing w:line="480" w:lineRule="auto"/>
        <w:rPr>
          <w:rFonts w:hint="eastAsia" w:asciiTheme="minorEastAsia" w:hAnsiTheme="minorEastAsia" w:eastAsiaTheme="minorEastAsia" w:cstheme="minorEastAsia"/>
          <w:bCs/>
          <w:color w:val="auto"/>
          <w:sz w:val="24"/>
          <w:highlight w:val="none"/>
        </w:rPr>
      </w:pPr>
    </w:p>
    <w:p>
      <w:pPr>
        <w:spacing w:line="480" w:lineRule="auto"/>
        <w:rPr>
          <w:rFonts w:hint="eastAsia" w:asciiTheme="minorEastAsia" w:hAnsiTheme="minorEastAsia" w:eastAsiaTheme="minorEastAsia" w:cstheme="minorEastAsia"/>
          <w:bCs/>
          <w:color w:val="auto"/>
          <w:sz w:val="24"/>
          <w:highlight w:val="none"/>
        </w:rPr>
      </w:pPr>
    </w:p>
    <w:p>
      <w:pPr>
        <w:pStyle w:val="19"/>
        <w:rPr>
          <w:rFonts w:hint="eastAsia" w:asciiTheme="minorEastAsia" w:hAnsiTheme="minorEastAsia" w:eastAsiaTheme="minorEastAsia" w:cstheme="minorEastAsia"/>
          <w:bCs/>
          <w:color w:val="auto"/>
          <w:sz w:val="24"/>
          <w:highlight w:val="none"/>
        </w:rPr>
      </w:pPr>
    </w:p>
    <w:p>
      <w:pPr>
        <w:pStyle w:val="19"/>
        <w:rPr>
          <w:rFonts w:hint="eastAsia" w:asciiTheme="minorEastAsia" w:hAnsiTheme="minorEastAsia" w:eastAsiaTheme="minorEastAsia" w:cstheme="minorEastAsia"/>
          <w:bCs/>
          <w:color w:val="auto"/>
          <w:sz w:val="24"/>
          <w:highlight w:val="none"/>
        </w:rPr>
      </w:pPr>
    </w:p>
    <w:p>
      <w:pPr>
        <w:pStyle w:val="19"/>
        <w:rPr>
          <w:rFonts w:hint="eastAsia" w:asciiTheme="minorEastAsia" w:hAnsiTheme="minorEastAsia" w:eastAsiaTheme="minorEastAsia" w:cstheme="minorEastAsia"/>
          <w:bCs/>
          <w:color w:val="auto"/>
          <w:sz w:val="24"/>
          <w:highlight w:val="none"/>
        </w:rPr>
      </w:pPr>
    </w:p>
    <w:p>
      <w:pPr>
        <w:pStyle w:val="39"/>
        <w:spacing w:line="360" w:lineRule="auto"/>
        <w:ind w:right="480" w:firstLine="2880" w:firstLineChars="1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（盖章）</w:t>
      </w:r>
    </w:p>
    <w:p>
      <w:pPr>
        <w:pStyle w:val="39"/>
        <w:spacing w:line="360" w:lineRule="auto"/>
        <w:ind w:right="840" w:firstLine="2880" w:firstLineChars="1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法定代表人或委托代理人：</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（签字或盖章）</w:t>
      </w:r>
    </w:p>
    <w:p>
      <w:pPr>
        <w:pStyle w:val="39"/>
        <w:spacing w:line="360" w:lineRule="auto"/>
        <w:ind w:right="840" w:firstLine="2880" w:firstLineChars="1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pPr>
        <w:pStyle w:val="39"/>
        <w:spacing w:line="360" w:lineRule="auto"/>
        <w:ind w:right="840" w:firstLine="2880" w:firstLineChars="1200"/>
        <w:rPr>
          <w:rFonts w:hint="eastAsia" w:asciiTheme="minorEastAsia" w:hAnsiTheme="minorEastAsia" w:eastAsiaTheme="minorEastAsia" w:cstheme="minorEastAsia"/>
          <w:color w:val="auto"/>
          <w:highlight w:val="none"/>
        </w:rPr>
      </w:pPr>
    </w:p>
    <w:p>
      <w:pPr>
        <w:pStyle w:val="19"/>
        <w:kinsoku/>
        <w:bidi w:val="0"/>
        <w:jc w:val="center"/>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注：为法定代表人参与本项目投标的无需提供法定代表人授权委托书</w:t>
      </w:r>
    </w:p>
    <w:p>
      <w:pPr>
        <w:pStyle w:val="39"/>
        <w:spacing w:line="360" w:lineRule="auto"/>
        <w:ind w:right="840" w:firstLine="2880" w:firstLineChars="1200"/>
        <w:rPr>
          <w:rFonts w:hint="eastAsia" w:asciiTheme="minorEastAsia" w:hAnsiTheme="minorEastAsia" w:eastAsiaTheme="minorEastAsia" w:cstheme="minorEastAsia"/>
          <w:color w:val="auto"/>
          <w:highlight w:val="none"/>
        </w:rPr>
      </w:pPr>
    </w:p>
    <w:p>
      <w:pPr>
        <w:pStyle w:val="11"/>
        <w:autoSpaceDE/>
        <w:autoSpaceDN/>
        <w:adjustRightInd/>
        <w:spacing w:line="440" w:lineRule="exact"/>
        <w:ind w:firstLine="0"/>
        <w:jc w:val="both"/>
        <w:rPr>
          <w:rFonts w:hint="eastAsia" w:asciiTheme="minorEastAsia" w:hAnsiTheme="minorEastAsia" w:eastAsiaTheme="minorEastAsia" w:cstheme="minorEastAsia"/>
          <w:color w:val="auto"/>
          <w:sz w:val="21"/>
          <w:szCs w:val="21"/>
          <w:highlight w:val="none"/>
          <w:lang w:eastAsia="zh-CN"/>
        </w:rPr>
      </w:pPr>
    </w:p>
    <w:p>
      <w:pPr>
        <w:pStyle w:val="11"/>
        <w:autoSpaceDE/>
        <w:autoSpaceDN/>
        <w:adjustRightInd/>
        <w:spacing w:line="440" w:lineRule="exact"/>
        <w:ind w:firstLine="0"/>
        <w:jc w:val="both"/>
        <w:rPr>
          <w:rFonts w:hint="eastAsia" w:asciiTheme="minorEastAsia" w:hAnsiTheme="minorEastAsia" w:eastAsiaTheme="minorEastAsia" w:cstheme="minorEastAsia"/>
          <w:color w:val="auto"/>
          <w:sz w:val="21"/>
          <w:szCs w:val="21"/>
          <w:highlight w:val="none"/>
          <w:lang w:eastAsia="zh-CN"/>
        </w:rPr>
      </w:pPr>
    </w:p>
    <w:p>
      <w:pPr>
        <w:pStyle w:val="11"/>
        <w:autoSpaceDE/>
        <w:autoSpaceDN/>
        <w:adjustRightInd/>
        <w:spacing w:line="440" w:lineRule="exact"/>
        <w:ind w:firstLine="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营业执照；</w:t>
      </w:r>
    </w:p>
    <w:p>
      <w:pPr>
        <w:pStyle w:val="11"/>
        <w:autoSpaceDE/>
        <w:autoSpaceDN/>
        <w:adjustRightInd/>
        <w:spacing w:line="440" w:lineRule="exact"/>
        <w:ind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）投标人没有处于被责令停业、财产被接管、冻结、破产状态，提供2022年财务审计报告或银行出具的资信证明材料（如提供银行资信证明的，须自采购公告发布之日起至首次提交投标投标文件截止时间内出具）</w:t>
      </w:r>
      <w:r>
        <w:rPr>
          <w:rFonts w:hint="eastAsia" w:asciiTheme="minorEastAsia" w:hAnsiTheme="minorEastAsia" w:eastAsiaTheme="minorEastAsia" w:cstheme="minorEastAsia"/>
          <w:color w:val="auto"/>
          <w:kern w:val="2"/>
          <w:sz w:val="21"/>
          <w:szCs w:val="21"/>
          <w:highlight w:val="none"/>
        </w:rPr>
        <w:t>；</w:t>
      </w:r>
    </w:p>
    <w:p>
      <w:pPr>
        <w:pStyle w:val="11"/>
        <w:autoSpaceDE/>
        <w:autoSpaceDN/>
        <w:adjustRightInd/>
        <w:spacing w:line="440" w:lineRule="exact"/>
        <w:ind w:firstLine="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）具有履行合同所必需的设备和专业技术能力承诺函；</w:t>
      </w:r>
    </w:p>
    <w:p>
      <w:pPr>
        <w:jc w:val="both"/>
        <w:rPr>
          <w:rFonts w:hint="eastAsia" w:asciiTheme="minorEastAsia" w:hAnsiTheme="minorEastAsia" w:eastAsiaTheme="minorEastAsia" w:cstheme="minorEastAsia"/>
          <w:b w:val="0"/>
          <w:bCs w:val="0"/>
          <w:color w:val="auto"/>
          <w:sz w:val="21"/>
          <w:szCs w:val="21"/>
          <w:highlight w:val="none"/>
          <w:lang w:val="en-US" w:eastAsia="zh-CN"/>
        </w:rPr>
      </w:pPr>
    </w:p>
    <w:p>
      <w:pPr>
        <w:jc w:val="center"/>
        <w:rPr>
          <w:rFonts w:hint="eastAsia" w:asciiTheme="minorEastAsia" w:hAnsiTheme="minorEastAsia" w:eastAsiaTheme="minorEastAsia" w:cstheme="minorEastAsia"/>
          <w:b w:val="0"/>
          <w:bCs w:val="0"/>
          <w:color w:val="auto"/>
          <w:sz w:val="21"/>
          <w:szCs w:val="21"/>
          <w:highlight w:val="none"/>
          <w:lang w:val="en-US" w:eastAsia="zh-CN"/>
        </w:rPr>
      </w:pPr>
    </w:p>
    <w:p>
      <w:pPr>
        <w:pStyle w:val="19"/>
        <w:rPr>
          <w:rFonts w:hint="eastAsia" w:asciiTheme="minorEastAsia" w:hAnsiTheme="minorEastAsia" w:eastAsiaTheme="minorEastAsia" w:cstheme="minorEastAsia"/>
          <w:color w:val="auto"/>
          <w:highlight w:val="none"/>
          <w:lang w:val="en-US" w:eastAsia="zh-CN"/>
        </w:rPr>
      </w:pPr>
    </w:p>
    <w:p>
      <w:pPr>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承诺函</w:t>
      </w:r>
    </w:p>
    <w:p>
      <w:pPr>
        <w:rPr>
          <w:rFonts w:hint="eastAsia" w:asciiTheme="minorEastAsia" w:hAnsiTheme="minorEastAsia" w:eastAsiaTheme="minorEastAsia" w:cstheme="minorEastAsia"/>
          <w:color w:val="auto"/>
          <w:sz w:val="21"/>
          <w:szCs w:val="21"/>
          <w:highlight w:val="none"/>
          <w:lang w:val="en-US" w:eastAsia="zh-CN"/>
        </w:rPr>
      </w:pP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至</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（采购人）     </w:t>
      </w:r>
      <w:r>
        <w:rPr>
          <w:rFonts w:hint="eastAsia" w:asciiTheme="minorEastAsia" w:hAnsiTheme="minorEastAsia" w:eastAsiaTheme="minorEastAsia" w:cstheme="minorEastAsia"/>
          <w:b w:val="0"/>
          <w:bCs w:val="0"/>
          <w:color w:val="auto"/>
          <w:sz w:val="21"/>
          <w:szCs w:val="21"/>
          <w:highlight w:val="none"/>
          <w:u w:val="none"/>
          <w:lang w:val="en-US" w:eastAsia="zh-CN"/>
        </w:rPr>
        <w:t>：</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我单位</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（投标人全称）        </w:t>
      </w:r>
      <w:r>
        <w:rPr>
          <w:rFonts w:hint="eastAsia" w:asciiTheme="minorEastAsia" w:hAnsiTheme="minorEastAsia" w:eastAsiaTheme="minorEastAsia" w:cstheme="minorEastAsia"/>
          <w:b w:val="0"/>
          <w:bCs w:val="0"/>
          <w:color w:val="auto"/>
          <w:sz w:val="21"/>
          <w:szCs w:val="21"/>
          <w:highlight w:val="none"/>
          <w:u w:val="none"/>
          <w:lang w:val="en-US" w:eastAsia="zh-CN"/>
        </w:rPr>
        <w:t>自愿参加</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（项目名称）   </w:t>
      </w:r>
      <w:r>
        <w:rPr>
          <w:rFonts w:hint="eastAsia" w:asciiTheme="minorEastAsia" w:hAnsiTheme="minorEastAsia" w:eastAsiaTheme="minorEastAsia" w:cstheme="minorEastAsia"/>
          <w:b w:val="0"/>
          <w:bCs w:val="0"/>
          <w:color w:val="auto"/>
          <w:sz w:val="21"/>
          <w:szCs w:val="21"/>
          <w:highlight w:val="none"/>
          <w:u w:val="none"/>
          <w:lang w:val="en-US" w:eastAsia="zh-CN"/>
        </w:rPr>
        <w:t>的投标活动，现郑重承诺，我单位</w:t>
      </w:r>
      <w:r>
        <w:rPr>
          <w:rFonts w:hint="eastAsia" w:asciiTheme="minorEastAsia" w:hAnsiTheme="minorEastAsia" w:eastAsiaTheme="minorEastAsia" w:cstheme="minorEastAsia"/>
          <w:b w:val="0"/>
          <w:bCs w:val="0"/>
          <w:color w:val="auto"/>
          <w:sz w:val="21"/>
          <w:szCs w:val="21"/>
          <w:highlight w:val="none"/>
        </w:rPr>
        <w:t>具有履行合同所必需的设备和专业技术能力</w:t>
      </w:r>
      <w:r>
        <w:rPr>
          <w:rFonts w:hint="eastAsia" w:asciiTheme="minorEastAsia" w:hAnsiTheme="minorEastAsia" w:eastAsiaTheme="minorEastAsia" w:cstheme="minorEastAsia"/>
          <w:b w:val="0"/>
          <w:bCs w:val="0"/>
          <w:color w:val="auto"/>
          <w:sz w:val="21"/>
          <w:szCs w:val="21"/>
          <w:highlight w:val="none"/>
          <w:lang w:eastAsia="zh-CN"/>
        </w:rPr>
        <w:t>，在人员、资金、设备等方面</w:t>
      </w:r>
      <w:r>
        <w:rPr>
          <w:rFonts w:hint="eastAsia" w:asciiTheme="minorEastAsia" w:hAnsiTheme="minorEastAsia" w:eastAsiaTheme="minorEastAsia" w:cstheme="minorEastAsia"/>
          <w:color w:val="auto"/>
          <w:sz w:val="21"/>
          <w:szCs w:val="21"/>
          <w:highlight w:val="none"/>
          <w:lang w:val="en-US" w:eastAsia="zh-CN"/>
        </w:rPr>
        <w:t>具备相应的履约能力</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承诺如有虚假，本单位愿接受政府采购监管部门及其他有关部门给予的处罚，并主动放弃投标资格，已中标的中标无效。</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p>
    <w:p>
      <w:pPr>
        <w:pStyle w:val="39"/>
        <w:spacing w:line="360" w:lineRule="auto"/>
        <w:ind w:right="480" w:firstLine="2520" w:firstLineChars="1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lang w:val="en-US" w:eastAsia="zh-CN"/>
        </w:rPr>
        <w:t>名称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（盖章）</w:t>
      </w:r>
    </w:p>
    <w:p>
      <w:pPr>
        <w:pStyle w:val="39"/>
        <w:spacing w:line="360" w:lineRule="auto"/>
        <w:ind w:right="84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法定代表人或委托代理人：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（签字或盖章）</w:t>
      </w:r>
    </w:p>
    <w:p>
      <w:pPr>
        <w:pStyle w:val="39"/>
        <w:spacing w:line="360" w:lineRule="auto"/>
        <w:ind w:right="840" w:firstLine="2520" w:firstLineChars="120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日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期：</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en-US" w:eastAsia="zh-CN"/>
        </w:rPr>
        <w:t>年</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en-US" w:eastAsia="zh-CN"/>
        </w:rPr>
        <w:t>月</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en-US" w:eastAsia="zh-CN"/>
        </w:rPr>
        <w:t>日</w:t>
      </w:r>
      <w:r>
        <w:rPr>
          <w:rFonts w:hint="eastAsia" w:asciiTheme="minorEastAsia" w:hAnsiTheme="minorEastAsia" w:eastAsiaTheme="minorEastAsia" w:cstheme="minorEastAsia"/>
          <w:color w:val="auto"/>
          <w:highlight w:val="none"/>
        </w:rPr>
        <w:t xml:space="preserve"> </w:t>
      </w:r>
    </w:p>
    <w:p>
      <w:pPr>
        <w:pStyle w:val="19"/>
        <w:rPr>
          <w:rFonts w:hint="eastAsia" w:asciiTheme="minorEastAsia" w:hAnsiTheme="minorEastAsia" w:eastAsiaTheme="minorEastAsia" w:cstheme="minorEastAsia"/>
          <w:color w:val="auto"/>
          <w:sz w:val="21"/>
          <w:szCs w:val="21"/>
          <w:highlight w:val="none"/>
          <w:u w:val="none"/>
          <w:lang w:val="en-US" w:eastAsia="zh-CN"/>
        </w:rPr>
      </w:pPr>
    </w:p>
    <w:p>
      <w:pPr>
        <w:pStyle w:val="7"/>
        <w:keepNext w:val="0"/>
        <w:keepLines w:val="0"/>
        <w:numPr>
          <w:ilvl w:val="0"/>
          <w:numId w:val="0"/>
        </w:numPr>
        <w:spacing w:line="3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lang w:val="en-US" w:eastAsia="zh-CN"/>
        </w:rPr>
        <w:t>5</w:t>
      </w:r>
      <w:r>
        <w:rPr>
          <w:rFonts w:hint="eastAsia" w:asciiTheme="minorEastAsia" w:hAnsiTheme="minorEastAsia" w:eastAsiaTheme="minorEastAsia" w:cstheme="minorEastAsia"/>
          <w:b w:val="0"/>
          <w:color w:val="auto"/>
          <w:sz w:val="21"/>
          <w:szCs w:val="21"/>
          <w:highlight w:val="none"/>
          <w:lang w:eastAsia="zh-CN"/>
        </w:rPr>
        <w:t>）提供投标人2023年1月至今任意一个月依法纳税凭证或有电子专用章的完税证明，依法免税的供应商，应提供相应文件证明其依法免税。</w:t>
      </w:r>
    </w:p>
    <w:p>
      <w:pPr>
        <w:pStyle w:val="7"/>
        <w:keepNext w:val="0"/>
        <w:keepLines w:val="0"/>
        <w:numPr>
          <w:ilvl w:val="0"/>
          <w:numId w:val="0"/>
        </w:numPr>
        <w:spacing w:line="300" w:lineRule="exac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eastAsia="zh-CN"/>
        </w:rPr>
        <w:t>（</w:t>
      </w:r>
      <w:r>
        <w:rPr>
          <w:rFonts w:hint="eastAsia" w:asciiTheme="minorEastAsia" w:hAnsiTheme="minorEastAsia" w:eastAsiaTheme="minorEastAsia" w:cstheme="minorEastAsia"/>
          <w:b w:val="0"/>
          <w:bCs w:val="0"/>
          <w:color w:val="auto"/>
          <w:kern w:val="2"/>
          <w:sz w:val="21"/>
          <w:szCs w:val="21"/>
          <w:highlight w:val="none"/>
          <w:lang w:val="en-US" w:eastAsia="zh-CN"/>
        </w:rPr>
        <w:t>6</w:t>
      </w:r>
      <w:r>
        <w:rPr>
          <w:rFonts w:hint="eastAsia" w:asciiTheme="minorEastAsia" w:hAnsiTheme="minorEastAsia" w:eastAsiaTheme="minorEastAsia" w:cstheme="minorEastAsia"/>
          <w:b w:val="0"/>
          <w:bCs w:val="0"/>
          <w:color w:val="auto"/>
          <w:kern w:val="2"/>
          <w:sz w:val="21"/>
          <w:szCs w:val="21"/>
          <w:highlight w:val="none"/>
          <w:lang w:eastAsia="zh-CN"/>
        </w:rPr>
        <w:t>）提供法定代表人或委托代理人2023年1月至今任意一个月依法缴纳社会保障资金证明，依法不需要缴纳社会保障资金，应提供相应文件证明其依法不需要缴纳社会保障资金。</w:t>
      </w:r>
    </w:p>
    <w:p>
      <w:pPr>
        <w:rPr>
          <w:rFonts w:hint="eastAsia" w:asciiTheme="minorEastAsia" w:hAnsiTheme="minorEastAsia" w:eastAsiaTheme="minorEastAsia" w:cstheme="minorEastAsia"/>
          <w:color w:val="auto"/>
          <w:highlight w:val="none"/>
        </w:rPr>
      </w:pPr>
    </w:p>
    <w:p>
      <w:pPr>
        <w:pStyle w:val="11"/>
        <w:numPr>
          <w:ilvl w:val="0"/>
          <w:numId w:val="0"/>
        </w:numPr>
        <w:autoSpaceDE/>
        <w:autoSpaceDN/>
        <w:adjustRightInd/>
        <w:spacing w:line="300" w:lineRule="exact"/>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）投标单位自行出具的无重大违法记录声明函；</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eastAsia="zh-CN"/>
        </w:rPr>
      </w:pP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声明函</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至</w:t>
      </w:r>
      <w:r>
        <w:rPr>
          <w:rFonts w:hint="eastAsia" w:ascii="宋体" w:hAnsi="宋体" w:eastAsia="宋体" w:cs="宋体"/>
          <w:b w:val="0"/>
          <w:bCs w:val="0"/>
          <w:color w:val="auto"/>
          <w:sz w:val="21"/>
          <w:szCs w:val="21"/>
          <w:highlight w:val="none"/>
          <w:u w:val="single"/>
          <w:lang w:val="en-US" w:eastAsia="zh-CN"/>
        </w:rPr>
        <w:t xml:space="preserve">      （采购人）     </w:t>
      </w:r>
      <w:r>
        <w:rPr>
          <w:rFonts w:hint="eastAsia" w:ascii="宋体" w:hAnsi="宋体" w:eastAsia="宋体" w:cs="宋体"/>
          <w:b w:val="0"/>
          <w:bCs w:val="0"/>
          <w:color w:val="auto"/>
          <w:sz w:val="21"/>
          <w:szCs w:val="21"/>
          <w:highlight w:val="none"/>
          <w:u w:val="none"/>
          <w:lang w:val="en-US" w:eastAsia="zh-CN"/>
        </w:rPr>
        <w:t>：</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我单位</w:t>
      </w:r>
      <w:r>
        <w:rPr>
          <w:rFonts w:hint="eastAsia" w:ascii="宋体" w:hAnsi="宋体" w:eastAsia="宋体" w:cs="宋体"/>
          <w:b w:val="0"/>
          <w:bCs w:val="0"/>
          <w:color w:val="auto"/>
          <w:sz w:val="21"/>
          <w:szCs w:val="21"/>
          <w:highlight w:val="none"/>
          <w:u w:val="single"/>
          <w:lang w:val="en-US" w:eastAsia="zh-CN"/>
        </w:rPr>
        <w:t xml:space="preserve">       （投标人全称）        </w:t>
      </w:r>
      <w:r>
        <w:rPr>
          <w:rFonts w:hint="eastAsia" w:ascii="宋体" w:hAnsi="宋体" w:eastAsia="宋体" w:cs="宋体"/>
          <w:b w:val="0"/>
          <w:bCs w:val="0"/>
          <w:color w:val="auto"/>
          <w:sz w:val="21"/>
          <w:szCs w:val="21"/>
          <w:highlight w:val="none"/>
          <w:u w:val="none"/>
          <w:lang w:val="en-US" w:eastAsia="zh-CN"/>
        </w:rPr>
        <w:t>自愿参加</w:t>
      </w:r>
      <w:r>
        <w:rPr>
          <w:rFonts w:hint="eastAsia" w:ascii="宋体" w:hAnsi="宋体" w:eastAsia="宋体" w:cs="宋体"/>
          <w:b w:val="0"/>
          <w:bCs w:val="0"/>
          <w:color w:val="auto"/>
          <w:sz w:val="21"/>
          <w:szCs w:val="21"/>
          <w:highlight w:val="none"/>
          <w:u w:val="single"/>
          <w:lang w:val="en-US" w:eastAsia="zh-CN"/>
        </w:rPr>
        <w:t xml:space="preserve">       （项目名称）   </w:t>
      </w:r>
      <w:r>
        <w:rPr>
          <w:rFonts w:hint="eastAsia" w:ascii="宋体" w:hAnsi="宋体" w:eastAsia="宋体" w:cs="宋体"/>
          <w:b w:val="0"/>
          <w:bCs w:val="0"/>
          <w:color w:val="auto"/>
          <w:sz w:val="21"/>
          <w:szCs w:val="21"/>
          <w:highlight w:val="none"/>
          <w:u w:val="none"/>
          <w:lang w:val="en-US" w:eastAsia="zh-CN"/>
        </w:rPr>
        <w:t>的投标活动，现郑重声明，参加政府采购活动前三年内，在经营活动中没有重大违法记录</w:t>
      </w:r>
      <w:r>
        <w:rPr>
          <w:rFonts w:hint="eastAsia" w:ascii="宋体" w:hAnsi="宋体" w:eastAsia="宋体" w:cs="宋体"/>
          <w:b w:val="0"/>
          <w:bCs w:val="0"/>
          <w:color w:val="auto"/>
          <w:sz w:val="21"/>
          <w:szCs w:val="21"/>
          <w:highlight w:val="none"/>
          <w:lang w:eastAsia="zh-CN"/>
        </w:rPr>
        <w:t>。声明</w:t>
      </w:r>
      <w:r>
        <w:rPr>
          <w:rFonts w:hint="eastAsia" w:ascii="宋体" w:hAnsi="宋体" w:eastAsia="宋体" w:cs="宋体"/>
          <w:b w:val="0"/>
          <w:bCs w:val="0"/>
          <w:color w:val="auto"/>
          <w:sz w:val="21"/>
          <w:szCs w:val="21"/>
          <w:highlight w:val="none"/>
          <w:lang w:val="en-US" w:eastAsia="zh-CN"/>
        </w:rPr>
        <w:t>如有虚假，本单位愿接受政府采购监管部门及其他有关部门给予的处罚，并主动放弃投标资格，已中标的中标无效。</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auto"/>
          <w:sz w:val="21"/>
          <w:szCs w:val="21"/>
          <w:highlight w:val="none"/>
          <w:lang w:val="en-US" w:eastAsia="zh-CN"/>
        </w:rPr>
      </w:pPr>
    </w:p>
    <w:p>
      <w:pPr>
        <w:pStyle w:val="39"/>
        <w:kinsoku/>
        <w:bidi w:val="0"/>
        <w:spacing w:line="360" w:lineRule="auto"/>
        <w:ind w:right="480" w:firstLine="2520" w:firstLineChars="1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（盖章）</w:t>
      </w:r>
    </w:p>
    <w:p>
      <w:pPr>
        <w:pStyle w:val="39"/>
        <w:kinsoku/>
        <w:bidi w:val="0"/>
        <w:spacing w:line="360" w:lineRule="auto"/>
        <w:ind w:right="84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p>
    <w:p>
      <w:pPr>
        <w:pStyle w:val="39"/>
        <w:kinsoku/>
        <w:bidi w:val="0"/>
        <w:spacing w:line="360" w:lineRule="auto"/>
        <w:ind w:right="840" w:firstLine="2520" w:firstLineChars="1200"/>
        <w:jc w:val="center"/>
        <w:outlineLvl w:val="9"/>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highlight w:val="none"/>
        </w:rPr>
        <w:t xml:space="preserve"> </w:t>
      </w:r>
    </w:p>
    <w:p>
      <w:pPr>
        <w:pStyle w:val="7"/>
        <w:keepNext w:val="0"/>
        <w:keepLines w:val="0"/>
        <w:spacing w:line="300" w:lineRule="exact"/>
        <w:rPr>
          <w:rFonts w:hint="eastAsia" w:asciiTheme="minorEastAsia" w:hAnsiTheme="minorEastAsia" w:eastAsiaTheme="minorEastAsia" w:cstheme="minorEastAsia"/>
          <w:b w:val="0"/>
          <w:color w:val="auto"/>
          <w:sz w:val="21"/>
          <w:szCs w:val="21"/>
          <w:highlight w:val="none"/>
          <w:lang w:eastAsia="zh-CN"/>
        </w:rPr>
      </w:pPr>
      <w:r>
        <w:rPr>
          <w:rFonts w:hint="eastAsia" w:asciiTheme="minorEastAsia" w:hAnsiTheme="minorEastAsia" w:eastAsiaTheme="minorEastAsia" w:cstheme="minorEastAsia"/>
          <w:b w:val="0"/>
          <w:color w:val="auto"/>
          <w:sz w:val="21"/>
          <w:szCs w:val="21"/>
          <w:highlight w:val="none"/>
        </w:rPr>
        <w:t>（</w:t>
      </w:r>
      <w:r>
        <w:rPr>
          <w:rFonts w:hint="eastAsia" w:asciiTheme="minorEastAsia" w:hAnsiTheme="minorEastAsia" w:eastAsiaTheme="minorEastAsia" w:cstheme="minorEastAsia"/>
          <w:b w:val="0"/>
          <w:color w:val="auto"/>
          <w:sz w:val="21"/>
          <w:szCs w:val="21"/>
          <w:highlight w:val="none"/>
          <w:lang w:val="en-US" w:eastAsia="zh-CN"/>
        </w:rPr>
        <w:t>8</w:t>
      </w:r>
      <w:r>
        <w:rPr>
          <w:rFonts w:hint="eastAsia" w:asciiTheme="minorEastAsia" w:hAnsiTheme="minorEastAsia" w:eastAsiaTheme="minorEastAsia" w:cstheme="minorEastAsia"/>
          <w:b w:val="0"/>
          <w:color w:val="auto"/>
          <w:sz w:val="21"/>
          <w:szCs w:val="21"/>
          <w:highlight w:val="none"/>
        </w:rPr>
        <w:t>）供应商应具备有效的</w:t>
      </w:r>
      <w:r>
        <w:rPr>
          <w:rFonts w:hint="eastAsia" w:asciiTheme="minorEastAsia" w:hAnsiTheme="minorEastAsia" w:eastAsiaTheme="minorEastAsia" w:cstheme="minorEastAsia"/>
          <w:b w:val="0"/>
          <w:color w:val="auto"/>
          <w:sz w:val="21"/>
          <w:szCs w:val="21"/>
          <w:highlight w:val="none"/>
          <w:lang w:val="en-US" w:eastAsia="zh-CN"/>
        </w:rPr>
        <w:t>工程咨询单位综合乙级及以上资信资质</w:t>
      </w:r>
      <w:r>
        <w:rPr>
          <w:rFonts w:hint="eastAsia" w:asciiTheme="minorEastAsia" w:hAnsiTheme="minorEastAsia" w:eastAsiaTheme="minorEastAsia" w:cstheme="minorEastAsia"/>
          <w:b w:val="0"/>
          <w:color w:val="auto"/>
          <w:sz w:val="21"/>
          <w:szCs w:val="21"/>
          <w:highlight w:val="none"/>
          <w:lang w:eastAsia="zh-CN"/>
        </w:rPr>
        <w:t>；</w:t>
      </w:r>
    </w:p>
    <w:p>
      <w:pPr>
        <w:pStyle w:val="7"/>
        <w:keepNext w:val="0"/>
        <w:keepLines w:val="0"/>
        <w:spacing w:line="300" w:lineRule="exact"/>
        <w:rPr>
          <w:rFonts w:hint="eastAsia" w:asciiTheme="minorEastAsia" w:hAnsiTheme="minorEastAsia" w:eastAsiaTheme="minorEastAsia" w:cstheme="minorEastAsia"/>
          <w:b w:val="0"/>
          <w:color w:val="auto"/>
          <w:sz w:val="21"/>
          <w:szCs w:val="21"/>
          <w:highlight w:val="none"/>
          <w:lang w:eastAsia="zh-CN"/>
        </w:rPr>
      </w:pP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lang w:val="en-US" w:eastAsia="zh-CN"/>
        </w:rPr>
        <w:t>9</w:t>
      </w: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rPr>
        <w:t>投标人未被列入中国政府采购网（http://www.ccgp.gov.cn）严重违法失信行为记录名单、“信用中国”网站（http://www.creditchina.gov.cn）失信被执行人、重大税收违法案件当事人名单（查询时间为自招标公告发布之日起至提交投标文件截止时间止）；</w:t>
      </w:r>
      <w:r>
        <w:rPr>
          <w:rFonts w:hint="eastAsia" w:asciiTheme="minorEastAsia" w:hAnsiTheme="minorEastAsia" w:eastAsiaTheme="minorEastAsia" w:cstheme="minorEastAsia"/>
          <w:b w:val="0"/>
          <w:color w:val="auto"/>
          <w:sz w:val="21"/>
          <w:szCs w:val="21"/>
          <w:highlight w:val="none"/>
          <w:lang w:eastAsia="zh-CN"/>
        </w:rPr>
        <w:t>注：附网页查询截图</w:t>
      </w:r>
    </w:p>
    <w:p>
      <w:pPr>
        <w:pStyle w:val="7"/>
        <w:keepNext w:val="0"/>
        <w:keepLines w:val="0"/>
        <w:spacing w:line="300" w:lineRule="exac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w:t>
      </w:r>
      <w:r>
        <w:rPr>
          <w:rFonts w:hint="eastAsia" w:asciiTheme="minorEastAsia" w:hAnsiTheme="minorEastAsia" w:eastAsiaTheme="minorEastAsia" w:cstheme="minorEastAsia"/>
          <w:b w:val="0"/>
          <w:color w:val="auto"/>
          <w:sz w:val="21"/>
          <w:szCs w:val="21"/>
          <w:highlight w:val="none"/>
          <w:lang w:val="en-US" w:eastAsia="zh-CN"/>
        </w:rPr>
        <w:t>10</w:t>
      </w:r>
      <w:r>
        <w:rPr>
          <w:rFonts w:hint="eastAsia" w:asciiTheme="minorEastAsia" w:hAnsiTheme="minorEastAsia" w:eastAsiaTheme="minorEastAsia" w:cstheme="minorEastAsia"/>
          <w:b w:val="0"/>
          <w:color w:val="auto"/>
          <w:sz w:val="21"/>
          <w:szCs w:val="21"/>
          <w:highlight w:val="none"/>
        </w:rPr>
        <w:t>）与采购人存在利害关系可能影响采购公正性的单位，单位负责人为同一人或者存在直接控股、管理关系的不同投标单位，不得参加同一合同项下的政府采购活动</w:t>
      </w: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rPr>
        <w:t>投标单位自行出具</w:t>
      </w:r>
      <w:r>
        <w:rPr>
          <w:rFonts w:hint="eastAsia" w:asciiTheme="minorEastAsia" w:hAnsiTheme="minorEastAsia" w:eastAsiaTheme="minorEastAsia" w:cstheme="minorEastAsia"/>
          <w:b w:val="0"/>
          <w:color w:val="auto"/>
          <w:sz w:val="21"/>
          <w:szCs w:val="21"/>
          <w:highlight w:val="none"/>
          <w:lang w:val="en-US" w:eastAsia="zh-CN"/>
        </w:rPr>
        <w:t>的承诺函，格式自拟，加盖公章）；</w:t>
      </w:r>
    </w:p>
    <w:p>
      <w:pPr>
        <w:pStyle w:val="7"/>
        <w:keepNext w:val="0"/>
        <w:keepLines w:val="0"/>
        <w:spacing w:line="300" w:lineRule="exact"/>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lang w:val="en-US" w:eastAsia="zh-CN"/>
        </w:rPr>
        <w:t>11</w:t>
      </w: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rPr>
        <w:t>投标保证金缴纳凭证</w:t>
      </w:r>
      <w:r>
        <w:rPr>
          <w:rFonts w:hint="eastAsia" w:asciiTheme="minorEastAsia" w:hAnsiTheme="minorEastAsia" w:eastAsiaTheme="minorEastAsia" w:cstheme="minorEastAsia"/>
          <w:b w:val="0"/>
          <w:color w:val="auto"/>
          <w:sz w:val="21"/>
          <w:szCs w:val="21"/>
          <w:highlight w:val="none"/>
          <w:lang w:eastAsia="zh-CN"/>
        </w:rPr>
        <w:t>或</w:t>
      </w:r>
      <w:r>
        <w:rPr>
          <w:rFonts w:hint="eastAsia" w:asciiTheme="minorEastAsia" w:hAnsiTheme="minorEastAsia" w:eastAsiaTheme="minorEastAsia" w:cstheme="minorEastAsia"/>
          <w:b w:val="0"/>
          <w:color w:val="auto"/>
          <w:sz w:val="21"/>
          <w:szCs w:val="21"/>
          <w:highlight w:val="none"/>
          <w:lang w:val="en-US" w:eastAsia="zh-CN"/>
        </w:rPr>
        <w:t>保函</w:t>
      </w:r>
    </w:p>
    <w:p>
      <w:pPr>
        <w:rPr>
          <w:rFonts w:hint="eastAsia" w:asciiTheme="minorEastAsia" w:hAnsiTheme="minorEastAsia" w:eastAsiaTheme="minorEastAsia" w:cstheme="minorEastAsia"/>
          <w:b w:val="0"/>
          <w:color w:val="auto"/>
          <w:sz w:val="21"/>
          <w:szCs w:val="21"/>
          <w:highlight w:val="none"/>
          <w:lang w:val="en-US" w:eastAsia="zh-CN"/>
        </w:rPr>
      </w:pPr>
    </w:p>
    <w:p>
      <w:pPr>
        <w:pStyle w:val="2"/>
        <w:ind w:left="0" w:leftChars="0" w:firstLine="0" w:firstLineChars="0"/>
        <w:rPr>
          <w:rFonts w:hint="default"/>
          <w:lang w:val="en-US" w:eastAsia="zh-CN"/>
        </w:rPr>
        <w:sectPr>
          <w:footerReference r:id="rId15" w:type="default"/>
          <w:pgSz w:w="11906" w:h="16838"/>
          <w:pgMar w:top="1247" w:right="1247" w:bottom="1247" w:left="1247" w:header="851" w:footer="992" w:gutter="0"/>
          <w:pgNumType w:fmt="decimal"/>
          <w:cols w:space="720" w:num="1"/>
          <w:rtlGutter w:val="0"/>
          <w:docGrid w:linePitch="312" w:charSpace="0"/>
        </w:sectPr>
      </w:pPr>
      <w:r>
        <w:rPr>
          <w:rFonts w:hint="default"/>
          <w:lang w:val="en-US" w:eastAsia="zh-CN"/>
        </w:rPr>
        <w:t>（1</w:t>
      </w:r>
      <w:r>
        <w:rPr>
          <w:rFonts w:hint="eastAsia"/>
          <w:lang w:val="en-US" w:eastAsia="zh-CN"/>
        </w:rPr>
        <w:t>2</w:t>
      </w:r>
      <w:r>
        <w:rPr>
          <w:rFonts w:hint="default"/>
          <w:lang w:val="en-US" w:eastAsia="zh-CN"/>
        </w:rPr>
        <w:t>）投标人认为需要提供的其他资格证明材料</w:t>
      </w:r>
    </w:p>
    <w:p>
      <w:pPr>
        <w:pStyle w:val="12"/>
        <w:rPr>
          <w:rFonts w:hint="eastAsia"/>
          <w:color w:val="auto"/>
          <w:highlight w:val="none"/>
          <w:lang w:val="en-US" w:eastAsia="zh-CN"/>
        </w:rPr>
      </w:pPr>
    </w:p>
    <w:p>
      <w:pPr>
        <w:pStyle w:val="10"/>
        <w:keepNext w:val="0"/>
        <w:keepLines w:val="0"/>
        <w:pageBreakBefore w:val="0"/>
        <w:widowControl w:val="0"/>
        <w:kinsoku/>
        <w:wordWrap/>
        <w:overflowPunct/>
        <w:topLinePunct w:val="0"/>
        <w:bidi w:val="0"/>
        <w:snapToGri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36"/>
          <w:szCs w:val="36"/>
          <w:highlight w:val="none"/>
          <w:lang w:val="en-US" w:eastAsia="zh-CN"/>
        </w:rPr>
      </w:pPr>
    </w:p>
    <w:p>
      <w:pPr>
        <w:numPr>
          <w:ilvl w:val="0"/>
          <w:numId w:val="0"/>
        </w:numPr>
        <w:autoSpaceDE w:val="0"/>
        <w:autoSpaceDN w:val="0"/>
        <w:adjustRightInd w:val="0"/>
        <w:jc w:val="center"/>
        <w:outlineLvl w:val="0"/>
        <w:rPr>
          <w:rFonts w:hint="eastAsia"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4、商务条款</w:t>
      </w:r>
      <w:r>
        <w:rPr>
          <w:rFonts w:hint="eastAsia" w:ascii="宋体" w:hAnsi="宋体" w:eastAsia="宋体" w:cs="宋体"/>
          <w:b/>
          <w:bCs/>
          <w:color w:val="auto"/>
          <w:sz w:val="36"/>
          <w:szCs w:val="36"/>
          <w:highlight w:val="none"/>
          <w:lang w:val="en-US" w:eastAsia="zh-CN"/>
        </w:rPr>
        <w:t>偏离表</w:t>
      </w:r>
    </w:p>
    <w:p>
      <w:pPr>
        <w:numPr>
          <w:ilvl w:val="0"/>
          <w:numId w:val="0"/>
        </w:numPr>
        <w:autoSpaceDE w:val="0"/>
        <w:autoSpaceDN w:val="0"/>
        <w:adjustRightInd w:val="0"/>
        <w:jc w:val="center"/>
        <w:outlineLvl w:val="0"/>
        <w:rPr>
          <w:rFonts w:hint="eastAsia" w:ascii="宋体" w:hAnsi="宋体" w:eastAsia="宋体" w:cs="宋体"/>
          <w:b/>
          <w:bCs/>
          <w:color w:val="auto"/>
          <w:sz w:val="36"/>
          <w:szCs w:val="36"/>
          <w:highlight w:val="none"/>
          <w:lang w:eastAsia="zh-CN"/>
        </w:rPr>
      </w:pPr>
    </w:p>
    <w:p>
      <w:pPr>
        <w:pStyle w:val="36"/>
        <w:widowControl w:val="0"/>
        <w:numPr>
          <w:ilvl w:val="0"/>
          <w:numId w:val="0"/>
        </w:numPr>
        <w:spacing w:line="480" w:lineRule="exact"/>
        <w:jc w:val="both"/>
        <w:rPr>
          <w:rFonts w:hint="eastAsia" w:ascii="宋体" w:hAnsi="宋体" w:eastAsia="宋体" w:cs="宋体"/>
          <w:b/>
          <w:bCs/>
          <w:color w:val="auto"/>
          <w:sz w:val="32"/>
          <w:szCs w:val="32"/>
          <w:highlight w:val="none"/>
          <w:lang w:eastAsia="zh-CN"/>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pPr>
        <w:pStyle w:val="12"/>
        <w:rPr>
          <w:rFonts w:hint="eastAsia"/>
          <w:color w:val="auto"/>
          <w:highlight w:val="none"/>
        </w:rPr>
      </w:pPr>
    </w:p>
    <w:tbl>
      <w:tblPr>
        <w:tblStyle w:val="22"/>
        <w:tblpPr w:leftFromText="180" w:rightFromText="180" w:vertAnchor="text" w:horzAnchor="page" w:tblpX="1255" w:tblpY="459"/>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560"/>
        <w:gridCol w:w="1860"/>
        <w:gridCol w:w="2057"/>
        <w:gridCol w:w="1593"/>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91" w:type="dxa"/>
            <w:vAlign w:val="center"/>
          </w:tcPr>
          <w:p>
            <w:pPr>
              <w:jc w:val="center"/>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shd w:val="clear" w:color="auto" w:fill="auto"/>
              </w:rPr>
              <w:t>序号</w:t>
            </w:r>
          </w:p>
        </w:tc>
        <w:tc>
          <w:tcPr>
            <w:tcW w:w="1560" w:type="dxa"/>
            <w:vAlign w:val="center"/>
          </w:tcPr>
          <w:p>
            <w:pPr>
              <w:jc w:val="center"/>
              <w:rPr>
                <w:rFonts w:hint="eastAsia" w:asciiTheme="minorEastAsia" w:hAnsiTheme="minorEastAsia" w:eastAsiaTheme="minorEastAsia" w:cstheme="minorEastAsia"/>
                <w:color w:val="auto"/>
                <w:sz w:val="24"/>
                <w:highlight w:val="none"/>
                <w:shd w:val="clear" w:color="auto" w:fill="auto"/>
              </w:rPr>
            </w:pPr>
            <w:r>
              <w:rPr>
                <w:rFonts w:hint="eastAsia" w:asciiTheme="minorEastAsia" w:hAnsiTheme="minorEastAsia" w:eastAsiaTheme="minorEastAsia" w:cstheme="minorEastAsia"/>
                <w:color w:val="auto"/>
                <w:sz w:val="24"/>
                <w:highlight w:val="none"/>
                <w:shd w:val="clear" w:color="auto" w:fill="auto"/>
              </w:rPr>
              <w:t>商务条款</w:t>
            </w:r>
          </w:p>
          <w:p>
            <w:pPr>
              <w:jc w:val="center"/>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shd w:val="clear" w:color="auto" w:fill="auto"/>
              </w:rPr>
              <w:t>内容</w:t>
            </w:r>
          </w:p>
        </w:tc>
        <w:tc>
          <w:tcPr>
            <w:tcW w:w="1860" w:type="dxa"/>
            <w:vAlign w:val="center"/>
          </w:tcPr>
          <w:p>
            <w:pPr>
              <w:jc w:val="center"/>
              <w:rPr>
                <w:rFonts w:hint="default" w:ascii="宋体"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shd w:val="clear" w:color="auto" w:fill="auto"/>
                <w:lang w:eastAsia="zh-CN"/>
              </w:rPr>
              <w:t>招标</w:t>
            </w:r>
            <w:r>
              <w:rPr>
                <w:rFonts w:hint="eastAsia" w:asciiTheme="minorEastAsia" w:hAnsiTheme="minorEastAsia" w:eastAsiaTheme="minorEastAsia" w:cstheme="minorEastAsia"/>
                <w:color w:val="auto"/>
                <w:sz w:val="24"/>
                <w:highlight w:val="none"/>
                <w:shd w:val="clear" w:color="auto" w:fill="auto"/>
              </w:rPr>
              <w:t>文件的商务条款</w:t>
            </w:r>
          </w:p>
        </w:tc>
        <w:tc>
          <w:tcPr>
            <w:tcW w:w="2057" w:type="dxa"/>
            <w:vAlign w:val="center"/>
          </w:tcPr>
          <w:p>
            <w:pPr>
              <w:jc w:val="center"/>
              <w:rPr>
                <w:rFonts w:hint="default" w:ascii="宋体"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shd w:val="clear" w:color="auto" w:fill="auto"/>
                <w:lang w:eastAsia="zh-CN"/>
              </w:rPr>
              <w:t>投标文件</w:t>
            </w:r>
            <w:r>
              <w:rPr>
                <w:rFonts w:hint="eastAsia" w:asciiTheme="minorEastAsia" w:hAnsiTheme="minorEastAsia" w:eastAsiaTheme="minorEastAsia" w:cstheme="minorEastAsia"/>
                <w:color w:val="auto"/>
                <w:sz w:val="24"/>
                <w:highlight w:val="none"/>
                <w:shd w:val="clear" w:color="auto" w:fill="auto"/>
              </w:rPr>
              <w:t>的商务条款</w:t>
            </w:r>
          </w:p>
        </w:tc>
        <w:tc>
          <w:tcPr>
            <w:tcW w:w="1593" w:type="dxa"/>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偏离</w:t>
            </w:r>
          </w:p>
        </w:tc>
        <w:tc>
          <w:tcPr>
            <w:tcW w:w="159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91" w:type="dxa"/>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560" w:type="dxa"/>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完成期限</w:t>
            </w:r>
          </w:p>
        </w:tc>
        <w:tc>
          <w:tcPr>
            <w:tcW w:w="1860" w:type="dxa"/>
            <w:vAlign w:val="center"/>
          </w:tcPr>
          <w:p>
            <w:pPr>
              <w:jc w:val="center"/>
              <w:rPr>
                <w:rFonts w:hint="eastAsia" w:ascii="宋体" w:hAnsi="宋体" w:eastAsia="宋体" w:cs="宋体"/>
                <w:color w:val="auto"/>
                <w:sz w:val="24"/>
                <w:highlight w:val="none"/>
              </w:rPr>
            </w:pPr>
          </w:p>
        </w:tc>
        <w:tc>
          <w:tcPr>
            <w:tcW w:w="2057" w:type="dxa"/>
            <w:vAlign w:val="center"/>
          </w:tcPr>
          <w:p>
            <w:pPr>
              <w:jc w:val="center"/>
              <w:rPr>
                <w:rFonts w:hint="eastAsia" w:ascii="宋体" w:hAnsi="宋体" w:eastAsia="宋体" w:cs="宋体"/>
                <w:color w:val="auto"/>
                <w:sz w:val="24"/>
                <w:highlight w:val="none"/>
              </w:rPr>
            </w:pPr>
          </w:p>
        </w:tc>
        <w:tc>
          <w:tcPr>
            <w:tcW w:w="1593" w:type="dxa"/>
            <w:vAlign w:val="center"/>
          </w:tcPr>
          <w:p>
            <w:pPr>
              <w:jc w:val="center"/>
              <w:rPr>
                <w:rFonts w:hint="eastAsia" w:ascii="宋体" w:hAnsi="宋体" w:eastAsia="宋体" w:cs="宋体"/>
                <w:color w:val="auto"/>
                <w:sz w:val="24"/>
                <w:highlight w:val="none"/>
              </w:rPr>
            </w:pPr>
          </w:p>
        </w:tc>
        <w:tc>
          <w:tcPr>
            <w:tcW w:w="159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91" w:type="dxa"/>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560" w:type="dxa"/>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质量要求</w:t>
            </w:r>
          </w:p>
        </w:tc>
        <w:tc>
          <w:tcPr>
            <w:tcW w:w="1860" w:type="dxa"/>
            <w:vAlign w:val="center"/>
          </w:tcPr>
          <w:p>
            <w:pPr>
              <w:jc w:val="center"/>
              <w:rPr>
                <w:rFonts w:hint="eastAsia" w:ascii="宋体" w:hAnsi="宋体" w:eastAsia="宋体" w:cs="宋体"/>
                <w:color w:val="auto"/>
                <w:sz w:val="24"/>
                <w:highlight w:val="none"/>
              </w:rPr>
            </w:pPr>
          </w:p>
        </w:tc>
        <w:tc>
          <w:tcPr>
            <w:tcW w:w="2057" w:type="dxa"/>
            <w:vAlign w:val="center"/>
          </w:tcPr>
          <w:p>
            <w:pPr>
              <w:jc w:val="center"/>
              <w:rPr>
                <w:rFonts w:hint="eastAsia" w:ascii="宋体" w:hAnsi="宋体" w:eastAsia="宋体" w:cs="宋体"/>
                <w:color w:val="auto"/>
                <w:sz w:val="24"/>
                <w:highlight w:val="none"/>
              </w:rPr>
            </w:pPr>
          </w:p>
        </w:tc>
        <w:tc>
          <w:tcPr>
            <w:tcW w:w="1593" w:type="dxa"/>
            <w:vAlign w:val="center"/>
          </w:tcPr>
          <w:p>
            <w:pPr>
              <w:jc w:val="center"/>
              <w:rPr>
                <w:rFonts w:hint="eastAsia" w:ascii="宋体" w:hAnsi="宋体" w:eastAsia="宋体" w:cs="宋体"/>
                <w:color w:val="auto"/>
                <w:sz w:val="24"/>
                <w:highlight w:val="none"/>
              </w:rPr>
            </w:pPr>
          </w:p>
        </w:tc>
        <w:tc>
          <w:tcPr>
            <w:tcW w:w="159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91" w:type="dxa"/>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860" w:type="dxa"/>
            <w:vAlign w:val="center"/>
          </w:tcPr>
          <w:p>
            <w:pPr>
              <w:jc w:val="center"/>
              <w:rPr>
                <w:rFonts w:hint="eastAsia" w:ascii="宋体" w:hAnsi="宋体" w:eastAsia="宋体" w:cs="宋体"/>
                <w:color w:val="auto"/>
                <w:sz w:val="24"/>
                <w:highlight w:val="none"/>
              </w:rPr>
            </w:pPr>
          </w:p>
        </w:tc>
        <w:tc>
          <w:tcPr>
            <w:tcW w:w="2057" w:type="dxa"/>
            <w:vAlign w:val="center"/>
          </w:tcPr>
          <w:p>
            <w:pPr>
              <w:jc w:val="center"/>
              <w:rPr>
                <w:rFonts w:hint="eastAsia" w:ascii="宋体" w:hAnsi="宋体" w:eastAsia="宋体" w:cs="宋体"/>
                <w:color w:val="auto"/>
                <w:sz w:val="24"/>
                <w:highlight w:val="none"/>
              </w:rPr>
            </w:pPr>
          </w:p>
        </w:tc>
        <w:tc>
          <w:tcPr>
            <w:tcW w:w="1593" w:type="dxa"/>
            <w:vAlign w:val="center"/>
          </w:tcPr>
          <w:p>
            <w:pPr>
              <w:jc w:val="center"/>
              <w:rPr>
                <w:rFonts w:hint="eastAsia" w:ascii="宋体" w:hAnsi="宋体" w:eastAsia="宋体" w:cs="宋体"/>
                <w:color w:val="auto"/>
                <w:sz w:val="24"/>
                <w:highlight w:val="none"/>
              </w:rPr>
            </w:pPr>
          </w:p>
        </w:tc>
        <w:tc>
          <w:tcPr>
            <w:tcW w:w="159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91" w:type="dxa"/>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56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1860" w:type="dxa"/>
            <w:vAlign w:val="center"/>
          </w:tcPr>
          <w:p>
            <w:pPr>
              <w:jc w:val="center"/>
              <w:rPr>
                <w:rFonts w:hint="eastAsia" w:ascii="宋体" w:hAnsi="宋体" w:eastAsia="宋体" w:cs="宋体"/>
                <w:color w:val="auto"/>
                <w:sz w:val="24"/>
                <w:highlight w:val="none"/>
              </w:rPr>
            </w:pPr>
          </w:p>
        </w:tc>
        <w:tc>
          <w:tcPr>
            <w:tcW w:w="2057" w:type="dxa"/>
            <w:vAlign w:val="center"/>
          </w:tcPr>
          <w:p>
            <w:pPr>
              <w:jc w:val="center"/>
              <w:rPr>
                <w:rFonts w:hint="eastAsia" w:ascii="宋体" w:hAnsi="宋体" w:eastAsia="宋体" w:cs="宋体"/>
                <w:color w:val="auto"/>
                <w:sz w:val="24"/>
                <w:highlight w:val="none"/>
              </w:rPr>
            </w:pPr>
          </w:p>
        </w:tc>
        <w:tc>
          <w:tcPr>
            <w:tcW w:w="1593" w:type="dxa"/>
            <w:vAlign w:val="center"/>
          </w:tcPr>
          <w:p>
            <w:pPr>
              <w:jc w:val="center"/>
              <w:rPr>
                <w:rFonts w:hint="eastAsia" w:ascii="宋体" w:hAnsi="宋体" w:eastAsia="宋体" w:cs="宋体"/>
                <w:color w:val="auto"/>
                <w:sz w:val="24"/>
                <w:highlight w:val="none"/>
              </w:rPr>
            </w:pPr>
          </w:p>
        </w:tc>
        <w:tc>
          <w:tcPr>
            <w:tcW w:w="159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91" w:type="dxa"/>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560" w:type="dxa"/>
            <w:vAlign w:val="center"/>
          </w:tcPr>
          <w:p>
            <w:pPr>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其它商务</w:t>
            </w:r>
          </w:p>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条款</w:t>
            </w:r>
          </w:p>
        </w:tc>
        <w:tc>
          <w:tcPr>
            <w:tcW w:w="1860" w:type="dxa"/>
            <w:vAlign w:val="center"/>
          </w:tcPr>
          <w:p>
            <w:pPr>
              <w:jc w:val="center"/>
              <w:rPr>
                <w:rFonts w:hint="eastAsia" w:ascii="宋体" w:hAnsi="宋体" w:eastAsia="宋体" w:cs="宋体"/>
                <w:color w:val="auto"/>
                <w:sz w:val="24"/>
                <w:highlight w:val="none"/>
              </w:rPr>
            </w:pPr>
          </w:p>
        </w:tc>
        <w:tc>
          <w:tcPr>
            <w:tcW w:w="2057" w:type="dxa"/>
            <w:vAlign w:val="center"/>
          </w:tcPr>
          <w:p>
            <w:pPr>
              <w:jc w:val="center"/>
              <w:rPr>
                <w:rFonts w:hint="eastAsia" w:ascii="宋体" w:hAnsi="宋体" w:eastAsia="宋体" w:cs="宋体"/>
                <w:color w:val="auto"/>
                <w:sz w:val="24"/>
                <w:highlight w:val="none"/>
              </w:rPr>
            </w:pPr>
          </w:p>
        </w:tc>
        <w:tc>
          <w:tcPr>
            <w:tcW w:w="1593" w:type="dxa"/>
            <w:vAlign w:val="center"/>
          </w:tcPr>
          <w:p>
            <w:pPr>
              <w:jc w:val="center"/>
              <w:rPr>
                <w:rFonts w:hint="eastAsia" w:ascii="宋体" w:hAnsi="宋体" w:eastAsia="宋体" w:cs="宋体"/>
                <w:color w:val="auto"/>
                <w:sz w:val="24"/>
                <w:highlight w:val="none"/>
              </w:rPr>
            </w:pPr>
          </w:p>
        </w:tc>
        <w:tc>
          <w:tcPr>
            <w:tcW w:w="159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91" w:type="dxa"/>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1560" w:type="dxa"/>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1860" w:type="dxa"/>
            <w:vAlign w:val="center"/>
          </w:tcPr>
          <w:p>
            <w:pPr>
              <w:jc w:val="center"/>
              <w:rPr>
                <w:rFonts w:hint="eastAsia" w:ascii="宋体" w:hAnsi="宋体" w:eastAsia="宋体" w:cs="宋体"/>
                <w:color w:val="auto"/>
                <w:sz w:val="24"/>
                <w:highlight w:val="none"/>
              </w:rPr>
            </w:pPr>
          </w:p>
        </w:tc>
        <w:tc>
          <w:tcPr>
            <w:tcW w:w="2057" w:type="dxa"/>
            <w:vAlign w:val="center"/>
          </w:tcPr>
          <w:p>
            <w:pPr>
              <w:jc w:val="center"/>
              <w:rPr>
                <w:rFonts w:hint="eastAsia" w:ascii="宋体" w:hAnsi="宋体" w:eastAsia="宋体" w:cs="宋体"/>
                <w:color w:val="auto"/>
                <w:sz w:val="24"/>
                <w:highlight w:val="none"/>
              </w:rPr>
            </w:pPr>
          </w:p>
        </w:tc>
        <w:tc>
          <w:tcPr>
            <w:tcW w:w="1593" w:type="dxa"/>
            <w:vAlign w:val="center"/>
          </w:tcPr>
          <w:p>
            <w:pPr>
              <w:jc w:val="center"/>
              <w:rPr>
                <w:rFonts w:hint="eastAsia" w:ascii="宋体" w:hAnsi="宋体" w:eastAsia="宋体" w:cs="宋体"/>
                <w:color w:val="auto"/>
                <w:sz w:val="24"/>
                <w:highlight w:val="none"/>
              </w:rPr>
            </w:pPr>
          </w:p>
        </w:tc>
        <w:tc>
          <w:tcPr>
            <w:tcW w:w="1598" w:type="dxa"/>
            <w:vAlign w:val="center"/>
          </w:tcPr>
          <w:p>
            <w:pPr>
              <w:jc w:val="center"/>
              <w:rPr>
                <w:rFonts w:hint="eastAsia" w:ascii="宋体" w:hAnsi="宋体" w:eastAsia="宋体" w:cs="宋体"/>
                <w:color w:val="auto"/>
                <w:sz w:val="24"/>
                <w:highlight w:val="none"/>
              </w:rPr>
            </w:pPr>
          </w:p>
        </w:tc>
      </w:tr>
    </w:tbl>
    <w:p>
      <w:pPr>
        <w:pStyle w:val="11"/>
        <w:rPr>
          <w:rFonts w:hint="eastAsia" w:ascii="宋体" w:hAnsi="宋体" w:eastAsia="宋体" w:cs="宋体"/>
          <w:color w:val="auto"/>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val="en-US" w:eastAsia="zh-CN"/>
        </w:rPr>
        <w:t xml:space="preserve"> 1.</w:t>
      </w:r>
      <w:r>
        <w:rPr>
          <w:rFonts w:hint="eastAsia" w:ascii="宋体" w:hAnsi="宋体" w:eastAsia="宋体" w:cs="宋体"/>
          <w:color w:val="auto"/>
          <w:sz w:val="24"/>
          <w:highlight w:val="none"/>
        </w:rPr>
        <w:t>若有偏离,请在</w:t>
      </w:r>
      <w:r>
        <w:rPr>
          <w:rFonts w:hint="eastAsia" w:ascii="宋体" w:hAnsi="宋体" w:eastAsia="宋体" w:cs="宋体"/>
          <w:color w:val="auto"/>
          <w:sz w:val="24"/>
          <w:highlight w:val="none"/>
          <w:lang w:eastAsia="zh-CN"/>
        </w:rPr>
        <w:t>“偏离”</w:t>
      </w:r>
      <w:r>
        <w:rPr>
          <w:rFonts w:hint="eastAsia" w:ascii="宋体" w:hAnsi="宋体" w:eastAsia="宋体" w:cs="宋体"/>
          <w:color w:val="auto"/>
          <w:sz w:val="24"/>
          <w:highlight w:val="none"/>
        </w:rPr>
        <w:t>一栏中</w:t>
      </w:r>
      <w:r>
        <w:rPr>
          <w:rFonts w:hint="eastAsia" w:ascii="宋体" w:hAnsi="宋体" w:eastAsia="宋体" w:cs="宋体"/>
          <w:color w:val="auto"/>
          <w:sz w:val="24"/>
          <w:highlight w:val="none"/>
          <w:lang w:eastAsia="zh-CN"/>
        </w:rPr>
        <w:t>写明“正偏离”或“负偏离”，并在“备注</w:t>
      </w:r>
      <w:r>
        <w:rPr>
          <w:rFonts w:hint="eastAsia" w:ascii="宋体" w:hAnsi="宋体" w:eastAsia="宋体" w:cs="宋体"/>
          <w:color w:val="auto"/>
          <w:sz w:val="24"/>
          <w:highlight w:val="none"/>
        </w:rPr>
        <w:t>”一栏中详细说明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若无偏离,请在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偏离”一栏中标注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字样。</w:t>
      </w:r>
    </w:p>
    <w:p>
      <w:pPr>
        <w:rPr>
          <w:rFonts w:hint="eastAsia" w:ascii="宋体" w:hAnsi="宋体" w:eastAsia="宋体" w:cs="宋体"/>
          <w:color w:val="auto"/>
          <w:sz w:val="24"/>
          <w:highlight w:val="none"/>
        </w:rPr>
      </w:pP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500" w:lineRule="exact"/>
        <w:jc w:val="left"/>
        <w:rPr>
          <w:rFonts w:hint="eastAsia" w:ascii="宋体" w:hAnsi="宋体" w:eastAsia="宋体" w:cs="宋体"/>
          <w:color w:val="auto"/>
          <w:sz w:val="24"/>
          <w:highlight w:val="none"/>
        </w:rPr>
        <w:sectPr>
          <w:pgSz w:w="11906" w:h="16838"/>
          <w:pgMar w:top="1247" w:right="1247" w:bottom="1247" w:left="1247" w:header="851" w:footer="992" w:gutter="0"/>
          <w:pgNumType w:fmt="decimal"/>
          <w:cols w:space="720" w:num="1"/>
          <w:rtlGutter w:val="0"/>
          <w:docGrid w:linePitch="312" w:charSpace="0"/>
        </w:sectPr>
      </w:pPr>
      <w:r>
        <w:rPr>
          <w:rFonts w:hint="eastAsia" w:ascii="宋体" w:hAnsi="宋体" w:eastAsia="宋体" w:cs="宋体"/>
          <w:color w:val="auto"/>
          <w:sz w:val="24"/>
          <w:highlight w:val="none"/>
        </w:rPr>
        <w:t xml:space="preserve">  </w:t>
      </w:r>
      <w:r>
        <w:rPr>
          <w:rFonts w:hint="eastAsia" w:ascii="宋体" w:hAnsi="宋体" w:eastAsia="宋体" w:cs="宋体"/>
          <w:color w:val="auto"/>
          <w:sz w:val="22"/>
          <w:szCs w:val="22"/>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2"/>
          <w:szCs w:val="22"/>
          <w:highlight w:val="none"/>
        </w:rPr>
        <w:t xml:space="preserve">  </w:t>
      </w:r>
    </w:p>
    <w:p>
      <w:pPr>
        <w:pStyle w:val="10"/>
        <w:keepNext w:val="0"/>
        <w:keepLines w:val="0"/>
        <w:pageBreakBefore w:val="0"/>
        <w:widowControl w:val="0"/>
        <w:kinsoku/>
        <w:wordWrap/>
        <w:overflowPunct/>
        <w:topLinePunct w:val="0"/>
        <w:bidi w:val="0"/>
        <w:snapToGri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val="en-US" w:eastAsia="zh-CN"/>
        </w:rPr>
        <w:t>5</w:t>
      </w:r>
      <w:r>
        <w:rPr>
          <w:rFonts w:hint="eastAsia" w:asciiTheme="minorEastAsia" w:hAnsiTheme="minorEastAsia" w:eastAsiaTheme="minorEastAsia" w:cstheme="minorEastAsia"/>
          <w:b/>
          <w:bCs/>
          <w:color w:val="auto"/>
          <w:sz w:val="36"/>
          <w:szCs w:val="36"/>
          <w:highlight w:val="none"/>
        </w:rPr>
        <w:t>、企业</w:t>
      </w:r>
      <w:r>
        <w:rPr>
          <w:rFonts w:hint="eastAsia" w:asciiTheme="minorEastAsia" w:hAnsiTheme="minorEastAsia" w:eastAsiaTheme="minorEastAsia" w:cstheme="minorEastAsia"/>
          <w:b/>
          <w:bCs/>
          <w:color w:val="auto"/>
          <w:sz w:val="36"/>
          <w:szCs w:val="36"/>
          <w:highlight w:val="none"/>
          <w:lang w:val="en-US" w:eastAsia="zh-CN"/>
        </w:rPr>
        <w:t>和项目负责人</w:t>
      </w:r>
      <w:r>
        <w:rPr>
          <w:rFonts w:hint="eastAsia" w:asciiTheme="minorEastAsia" w:hAnsiTheme="minorEastAsia" w:eastAsiaTheme="minorEastAsia" w:cstheme="minorEastAsia"/>
          <w:b/>
          <w:bCs/>
          <w:color w:val="auto"/>
          <w:sz w:val="36"/>
          <w:szCs w:val="36"/>
          <w:highlight w:val="none"/>
        </w:rPr>
        <w:t>近</w:t>
      </w:r>
      <w:r>
        <w:rPr>
          <w:rFonts w:hint="eastAsia" w:asciiTheme="minorEastAsia" w:hAnsiTheme="minorEastAsia" w:eastAsiaTheme="minorEastAsia" w:cstheme="minorEastAsia"/>
          <w:b/>
          <w:bCs/>
          <w:color w:val="auto"/>
          <w:sz w:val="36"/>
          <w:szCs w:val="36"/>
          <w:highlight w:val="none"/>
          <w:lang w:val="en-US" w:eastAsia="zh-CN"/>
        </w:rPr>
        <w:t>五</w:t>
      </w:r>
      <w:r>
        <w:rPr>
          <w:rFonts w:hint="eastAsia" w:asciiTheme="minorEastAsia" w:hAnsiTheme="minorEastAsia" w:eastAsiaTheme="minorEastAsia" w:cstheme="minorEastAsia"/>
          <w:b/>
          <w:bCs/>
          <w:color w:val="auto"/>
          <w:sz w:val="36"/>
          <w:szCs w:val="36"/>
          <w:highlight w:val="none"/>
        </w:rPr>
        <w:t>年</w:t>
      </w:r>
      <w:r>
        <w:rPr>
          <w:rFonts w:hint="eastAsia" w:asciiTheme="minorEastAsia" w:hAnsiTheme="minorEastAsia" w:eastAsiaTheme="minorEastAsia" w:cstheme="minorEastAsia"/>
          <w:b/>
          <w:bCs/>
          <w:color w:val="auto"/>
          <w:sz w:val="36"/>
          <w:szCs w:val="36"/>
          <w:highlight w:val="none"/>
          <w:lang w:eastAsia="zh-CN"/>
        </w:rPr>
        <w:t>类似项目业绩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提供近五年类似项目业绩，须提供业绩汇总表，表后附中标通知书（或成交通知书）或合同等证明材料；</w:t>
      </w:r>
    </w:p>
    <w:p>
      <w:pPr>
        <w:pStyle w:val="36"/>
        <w:ind w:firstLine="0" w:firstLineChars="0"/>
        <w:jc w:val="left"/>
        <w:rPr>
          <w:rFonts w:hint="eastAsia" w:asciiTheme="minorEastAsia" w:hAnsiTheme="minorEastAsia" w:eastAsiaTheme="minorEastAsia" w:cstheme="minorEastAsia"/>
          <w:b/>
          <w:color w:val="auto"/>
          <w:sz w:val="36"/>
          <w:szCs w:val="36"/>
          <w:highlight w:val="none"/>
          <w:lang w:val="en-US" w:eastAsia="zh-CN"/>
        </w:rPr>
      </w:pPr>
    </w:p>
    <w:p>
      <w:pPr>
        <w:pStyle w:val="36"/>
        <w:ind w:firstLine="0" w:firstLineChars="0"/>
        <w:jc w:val="left"/>
        <w:rPr>
          <w:rFonts w:hint="eastAsia" w:asciiTheme="minorEastAsia" w:hAnsiTheme="minorEastAsia" w:eastAsiaTheme="minorEastAsia" w:cstheme="minorEastAsia"/>
          <w:b/>
          <w:color w:val="auto"/>
          <w:sz w:val="36"/>
          <w:szCs w:val="36"/>
          <w:highlight w:val="none"/>
          <w:lang w:val="en-US" w:eastAsia="zh-CN"/>
        </w:rPr>
      </w:pPr>
    </w:p>
    <w:p>
      <w:pPr>
        <w:pStyle w:val="36"/>
        <w:ind w:firstLine="0" w:firstLineChars="0"/>
        <w:jc w:val="left"/>
        <w:rPr>
          <w:rFonts w:hint="eastAsia" w:asciiTheme="minorEastAsia" w:hAnsiTheme="minorEastAsia" w:eastAsiaTheme="minorEastAsia" w:cstheme="minorEastAsia"/>
          <w:b/>
          <w:color w:val="auto"/>
          <w:sz w:val="36"/>
          <w:szCs w:val="36"/>
          <w:highlight w:val="none"/>
          <w:lang w:val="en-US" w:eastAsia="zh-CN"/>
        </w:rPr>
      </w:pPr>
    </w:p>
    <w:p>
      <w:pPr>
        <w:pStyle w:val="36"/>
        <w:ind w:firstLine="0" w:firstLineChars="0"/>
        <w:jc w:val="left"/>
        <w:rPr>
          <w:rFonts w:hint="eastAsia" w:asciiTheme="minorEastAsia" w:hAnsiTheme="minorEastAsia" w:eastAsiaTheme="minorEastAsia" w:cstheme="minorEastAsia"/>
          <w:b/>
          <w:color w:val="auto"/>
          <w:sz w:val="36"/>
          <w:szCs w:val="36"/>
          <w:highlight w:val="none"/>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6、人员配备</w:t>
      </w: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lang w:val="en-US" w:eastAsia="zh-CN"/>
        </w:rPr>
      </w:pPr>
    </w:p>
    <w:p>
      <w:pPr>
        <w:pStyle w:val="36"/>
        <w:numPr>
          <w:ilvl w:val="0"/>
          <w:numId w:val="0"/>
        </w:numPr>
        <w:jc w:val="left"/>
        <w:rPr>
          <w:rFonts w:hint="eastAsia" w:asciiTheme="minorEastAsia" w:hAnsiTheme="minorEastAsia" w:eastAsiaTheme="minorEastAsia" w:cstheme="minorEastAsia"/>
          <w:b/>
          <w:color w:val="auto"/>
          <w:sz w:val="36"/>
          <w:szCs w:val="36"/>
          <w:highlight w:val="none"/>
        </w:rPr>
      </w:pPr>
    </w:p>
    <w:p>
      <w:pPr>
        <w:pStyle w:val="36"/>
        <w:numPr>
          <w:ilvl w:val="0"/>
          <w:numId w:val="0"/>
        </w:numPr>
        <w:jc w:val="left"/>
        <w:rPr>
          <w:rFonts w:hint="eastAsia" w:asciiTheme="minorEastAsia" w:hAnsiTheme="minorEastAsia" w:eastAsiaTheme="minorEastAsia" w:cstheme="minorEastAsia"/>
          <w:b/>
          <w:color w:val="auto"/>
          <w:sz w:val="36"/>
          <w:szCs w:val="36"/>
          <w:highlight w:val="none"/>
        </w:rPr>
      </w:pPr>
    </w:p>
    <w:p>
      <w:pPr>
        <w:pStyle w:val="36"/>
        <w:numPr>
          <w:ilvl w:val="0"/>
          <w:numId w:val="0"/>
        </w:numPr>
        <w:jc w:val="left"/>
        <w:rPr>
          <w:rFonts w:hint="eastAsia" w:asciiTheme="minorEastAsia" w:hAnsiTheme="minorEastAsia" w:eastAsiaTheme="minorEastAsia" w:cstheme="minorEastAsia"/>
          <w:b/>
          <w:color w:val="auto"/>
          <w:sz w:val="36"/>
          <w:szCs w:val="36"/>
          <w:highlight w:val="none"/>
        </w:rPr>
      </w:pPr>
    </w:p>
    <w:p>
      <w:pPr>
        <w:pStyle w:val="36"/>
        <w:numPr>
          <w:ilvl w:val="0"/>
          <w:numId w:val="0"/>
        </w:numPr>
        <w:ind w:leftChars="0"/>
        <w:jc w:val="left"/>
        <w:rPr>
          <w:rFonts w:hint="eastAsia" w:asciiTheme="minorEastAsia" w:hAnsiTheme="minorEastAsia" w:eastAsiaTheme="minorEastAsia" w:cstheme="minorEastAsia"/>
          <w:b/>
          <w:color w:val="auto"/>
          <w:sz w:val="36"/>
          <w:szCs w:val="36"/>
          <w:highlight w:val="none"/>
        </w:rPr>
      </w:pPr>
    </w:p>
    <w:p>
      <w:pPr>
        <w:pStyle w:val="36"/>
        <w:ind w:firstLine="0" w:firstLineChars="0"/>
        <w:jc w:val="left"/>
        <w:rPr>
          <w:rFonts w:hint="eastAsia" w:asciiTheme="minorEastAsia" w:hAnsiTheme="minorEastAsia" w:eastAsiaTheme="minorEastAsia" w:cstheme="minorEastAsia"/>
          <w:b/>
          <w:color w:val="auto"/>
          <w:sz w:val="36"/>
          <w:szCs w:val="36"/>
          <w:highlight w:val="none"/>
        </w:rPr>
      </w:pPr>
    </w:p>
    <w:p>
      <w:pPr>
        <w:pStyle w:val="36"/>
        <w:ind w:firstLine="0" w:firstLineChars="0"/>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7、咨询服务方案</w:t>
      </w: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both"/>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ind w:leftChars="0"/>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8、进度计划与保障措施</w:t>
      </w: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ind w:leftChars="0"/>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9、服务保证措施</w:t>
      </w: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ind w:leftChars="0"/>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10、质量保障</w:t>
      </w: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ind w:leftChars="0"/>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11、承诺</w:t>
      </w:r>
    </w:p>
    <w:p>
      <w:pPr>
        <w:pStyle w:val="36"/>
        <w:widowControl w:val="0"/>
        <w:numPr>
          <w:ilvl w:val="0"/>
          <w:numId w:val="0"/>
        </w:numPr>
        <w:spacing w:line="480" w:lineRule="exact"/>
        <w:ind w:leftChars="0"/>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lang w:val="en-US" w:eastAsia="zh-CN"/>
        </w:rPr>
      </w:pPr>
    </w:p>
    <w:p>
      <w:pPr>
        <w:pStyle w:val="36"/>
        <w:widowControl w:val="0"/>
        <w:numPr>
          <w:ilvl w:val="0"/>
          <w:numId w:val="0"/>
        </w:numPr>
        <w:spacing w:line="480" w:lineRule="exact"/>
        <w:jc w:val="center"/>
        <w:rPr>
          <w:rFonts w:hint="default"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12、保密措施</w:t>
      </w: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rPr>
      </w:pPr>
    </w:p>
    <w:p>
      <w:pPr>
        <w:pStyle w:val="36"/>
        <w:widowControl w:val="0"/>
        <w:numPr>
          <w:ilvl w:val="0"/>
          <w:numId w:val="0"/>
        </w:numPr>
        <w:spacing w:line="480" w:lineRule="exact"/>
        <w:jc w:val="left"/>
        <w:rPr>
          <w:rFonts w:hint="eastAsia" w:asciiTheme="minorEastAsia" w:hAnsiTheme="minorEastAsia" w:eastAsiaTheme="minorEastAsia" w:cstheme="minorEastAsia"/>
          <w:b/>
          <w:color w:val="auto"/>
          <w:sz w:val="36"/>
          <w:szCs w:val="36"/>
          <w:highlight w:val="none"/>
          <w:lang w:val="en-US" w:eastAsia="zh-CN"/>
        </w:rPr>
        <w:sectPr>
          <w:footerReference r:id="rId1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36"/>
        <w:widowControl w:val="0"/>
        <w:numPr>
          <w:ilvl w:val="0"/>
          <w:numId w:val="0"/>
        </w:numPr>
        <w:spacing w:line="48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val="en-US" w:eastAsia="zh-CN"/>
        </w:rPr>
        <w:t>13、投标人认为需要提供的其他材料说明</w:t>
      </w:r>
    </w:p>
    <w:p>
      <w:pPr>
        <w:pStyle w:val="36"/>
        <w:widowControl w:val="0"/>
        <w:numPr>
          <w:ilvl w:val="0"/>
          <w:numId w:val="0"/>
        </w:numPr>
        <w:spacing w:line="480" w:lineRule="exact"/>
        <w:jc w:val="left"/>
        <w:rPr>
          <w:rFonts w:hint="default" w:asciiTheme="minorEastAsia" w:hAnsiTheme="minorEastAsia" w:eastAsiaTheme="minorEastAsia" w:cstheme="minorEastAsia"/>
          <w:b/>
          <w:color w:val="auto"/>
          <w:sz w:val="36"/>
          <w:szCs w:val="36"/>
          <w:highlight w:val="none"/>
          <w:lang w:val="en-US" w:eastAsia="zh-CN"/>
        </w:rPr>
      </w:pPr>
    </w:p>
    <w:sectPr>
      <w:headerReference r:id="rId17" w:type="default"/>
      <w:footerReference r:id="rId18"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10"/>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706"/>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PEiccoBAACb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3iJryi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PEiccoBAACbAwAADgAAAAAAAAABACAAAAAeAQAAZHJzL2Uyb0Rv&#10;Yy54bWxQSwUGAAAAAAYABgBZAQAAW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70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ZpgcoBAACb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aEsctTvz888f515/z7+/k&#10;zTI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XZpgcoBAACbAwAADgAAAAAAAAABACAAAAAeAQAAZHJzL2Uyb0Rv&#10;Yy54bWxQSwUGAAAAAAYABgBZAQAAW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70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5qo8kBAACa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A0ljlsc+Pnnj/OvP+ff38nL&#10;V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rmqj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68</w:t>
                    </w:r>
                    <w:r>
                      <w:fldChar w:fldCharType="end"/>
                    </w:r>
                  </w:p>
                </w:txbxContent>
              </v:textbox>
            </v:shape>
          </w:pict>
        </mc:Fallback>
      </mc:AlternateConten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706"/>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XqtGzLAQAAmwMAAA4AAAAAAAAAAQAgAAAAHgEAAGRycy9lMm9E&#10;b2MueG1sUEsFBgAAAAAGAAYAWQEAAFs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68</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5108575</wp:posOffset>
              </wp:positionH>
              <wp:positionV relativeFrom="page">
                <wp:posOffset>546735</wp:posOffset>
              </wp:positionV>
              <wp:extent cx="1497965" cy="160020"/>
              <wp:effectExtent l="0" t="0" r="0" b="0"/>
              <wp:wrapNone/>
              <wp:docPr id="12" name="文本框 40"/>
              <wp:cNvGraphicFramePr/>
              <a:graphic xmlns:a="http://schemas.openxmlformats.org/drawingml/2006/main">
                <a:graphicData uri="http://schemas.microsoft.com/office/word/2010/wordprocessingShape">
                  <wps:wsp>
                    <wps:cNvSpPr txBox="1"/>
                    <wps:spPr>
                      <a:xfrm>
                        <a:off x="0" y="0"/>
                        <a:ext cx="1497965" cy="160020"/>
                      </a:xfrm>
                      <a:prstGeom prst="rect">
                        <a:avLst/>
                      </a:prstGeom>
                      <a:noFill/>
                      <a:ln>
                        <a:noFill/>
                      </a:ln>
                    </wps:spPr>
                    <wps:txbx>
                      <w:txbxContent>
                        <w:p/>
                      </w:txbxContent>
                    </wps:txbx>
                    <wps:bodyPr lIns="0" tIns="0" rIns="0" bIns="0" upright="1"/>
                  </wps:wsp>
                </a:graphicData>
              </a:graphic>
            </wp:anchor>
          </w:drawing>
        </mc:Choice>
        <mc:Fallback>
          <w:pict>
            <v:shape id="文本框 40" o:spid="_x0000_s1026" o:spt="202" type="#_x0000_t202" style="position:absolute;left:0pt;margin-left:402.25pt;margin-top:43.05pt;height:12.6pt;width:117.95pt;mso-position-horizontal-relative:page;mso-position-vertical-relative:page;z-index:-251653120;mso-width-relative:page;mso-height-relative:page;" filled="f" stroked="f" coordsize="21600,21600" o:gfxdata="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cOYnLYAAAACwEAAA8AAAAAAAAAAQAgAAAAIgAAAGRycy9kb3ducmV2LnhtbFBLAQIU&#10;ABQAAAAIAIdO4kBdmi3GugEAAHQDAAAOAAAAAAAAAAEAIAAAACcBAABkcnMvZTJvRG9jLnhtbFBL&#10;BQYAAAAABgAGAFkBAABTBQAAAAA=&#10;">
              <v:fill on="f" focussize="0,0"/>
              <v:stroke on="f"/>
              <v:imagedata o:title=""/>
              <o:lock v:ext="edit" aspectratio="f"/>
              <v:textbox inset="0mm,0mm,0mm,0mm">
                <w:txbxContent>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5108575</wp:posOffset>
              </wp:positionH>
              <wp:positionV relativeFrom="page">
                <wp:posOffset>546735</wp:posOffset>
              </wp:positionV>
              <wp:extent cx="1497965" cy="160020"/>
              <wp:effectExtent l="0" t="0" r="0" b="0"/>
              <wp:wrapNone/>
              <wp:docPr id="18" name="文本框 40"/>
              <wp:cNvGraphicFramePr/>
              <a:graphic xmlns:a="http://schemas.openxmlformats.org/drawingml/2006/main">
                <a:graphicData uri="http://schemas.microsoft.com/office/word/2010/wordprocessingShape">
                  <wps:wsp>
                    <wps:cNvSpPr txBox="1"/>
                    <wps:spPr>
                      <a:xfrm>
                        <a:off x="0" y="0"/>
                        <a:ext cx="1497965" cy="160020"/>
                      </a:xfrm>
                      <a:prstGeom prst="rect">
                        <a:avLst/>
                      </a:prstGeom>
                      <a:noFill/>
                      <a:ln>
                        <a:noFill/>
                      </a:ln>
                    </wps:spPr>
                    <wps:txbx>
                      <w:txbxContent>
                        <w:p/>
                      </w:txbxContent>
                    </wps:txbx>
                    <wps:bodyPr lIns="0" tIns="0" rIns="0" bIns="0" upright="1"/>
                  </wps:wsp>
                </a:graphicData>
              </a:graphic>
            </wp:anchor>
          </w:drawing>
        </mc:Choice>
        <mc:Fallback>
          <w:pict>
            <v:shape id="文本框 40" o:spid="_x0000_s1026" o:spt="202" type="#_x0000_t202" style="position:absolute;left:0pt;margin-left:402.25pt;margin-top:43.05pt;height:12.6pt;width:117.95pt;mso-position-horizontal-relative:page;mso-position-vertical-relative:page;z-index:-251653120;mso-width-relative:page;mso-height-relative:page;" filled="f" stroked="f" coordsize="21600,21600" o:gfxdata="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cOYnLYAAAACwEAAA8AAAAAAAAAAQAgAAAAIgAAAGRycy9kb3ducmV2LnhtbFBLAQIU&#10;ABQAAAAIAIdO4kCfPdQkugEAAHQDAAAOAAAAAAAAAAEAIAAAACcBAABkcnMvZTJvRG9jLnhtbFBL&#10;BQYAAAAABgAGAFkBAABTBQ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9EF24"/>
    <w:multiLevelType w:val="singleLevel"/>
    <w:tmpl w:val="BAC9EF24"/>
    <w:lvl w:ilvl="0" w:tentative="0">
      <w:start w:val="1"/>
      <w:numFmt w:val="chineseCounting"/>
      <w:suff w:val="nothing"/>
      <w:lvlText w:val="%1、"/>
      <w:lvlJc w:val="left"/>
      <w:rPr>
        <w:rFonts w:hint="eastAsia"/>
      </w:rPr>
    </w:lvl>
  </w:abstractNum>
  <w:abstractNum w:abstractNumId="1">
    <w:nsid w:val="DF9FE195"/>
    <w:multiLevelType w:val="singleLevel"/>
    <w:tmpl w:val="DF9FE195"/>
    <w:lvl w:ilvl="0" w:tentative="0">
      <w:start w:val="1"/>
      <w:numFmt w:val="decimal"/>
      <w:lvlText w:val="(%1)"/>
      <w:lvlJc w:val="left"/>
      <w:pPr>
        <w:ind w:left="425" w:hanging="425"/>
      </w:pPr>
      <w:rPr>
        <w:rFonts w:hint="default" w:ascii="宋体" w:hAnsi="宋体" w:eastAsia="宋体" w:cstheme="minorEastAsia"/>
        <w:b w:val="0"/>
        <w:bCs w:val="0"/>
      </w:rPr>
    </w:lvl>
  </w:abstractNum>
  <w:abstractNum w:abstractNumId="2">
    <w:nsid w:val="E93A2170"/>
    <w:multiLevelType w:val="singleLevel"/>
    <w:tmpl w:val="E93A2170"/>
    <w:lvl w:ilvl="0" w:tentative="0">
      <w:start w:val="5"/>
      <w:numFmt w:val="chineseCounting"/>
      <w:suff w:val="nothing"/>
      <w:lvlText w:val="%1、"/>
      <w:lvlJc w:val="left"/>
      <w:rPr>
        <w:rFonts w:hint="eastAsia"/>
      </w:rPr>
    </w:lvl>
  </w:abstractNum>
  <w:abstractNum w:abstractNumId="3">
    <w:nsid w:val="ED9A20B2"/>
    <w:multiLevelType w:val="singleLevel"/>
    <w:tmpl w:val="ED9A20B2"/>
    <w:lvl w:ilvl="0" w:tentative="0">
      <w:start w:val="1"/>
      <w:numFmt w:val="decimal"/>
      <w:lvlText w:val="%1."/>
      <w:lvlJc w:val="left"/>
      <w:pPr>
        <w:ind w:left="425" w:hanging="425"/>
      </w:pPr>
      <w:rPr>
        <w:rFonts w:hint="default"/>
      </w:rPr>
    </w:lvl>
  </w:abstractNum>
  <w:abstractNum w:abstractNumId="4">
    <w:nsid w:val="00000000"/>
    <w:multiLevelType w:val="multilevel"/>
    <w:tmpl w:val="00000000"/>
    <w:lvl w:ilvl="0" w:tentative="0">
      <w:start w:val="1"/>
      <w:numFmt w:val="none"/>
      <w:suff w:val="nothing"/>
      <w:lvlText w:val=""/>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9"/>
      <w:suff w:val="nothing"/>
      <w:lvlText w:val="%3．"/>
      <w:lvlJc w:val="left"/>
      <w:pPr>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00000006"/>
    <w:multiLevelType w:val="singleLevel"/>
    <w:tmpl w:val="00000006"/>
    <w:lvl w:ilvl="0" w:tentative="0">
      <w:start w:val="5"/>
      <w:numFmt w:val="japaneseCounting"/>
      <w:pStyle w:val="8"/>
      <w:lvlText w:val="%1、"/>
      <w:lvlJc w:val="left"/>
      <w:pPr>
        <w:tabs>
          <w:tab w:val="left" w:pos="720"/>
        </w:tabs>
        <w:ind w:left="720" w:hanging="720"/>
      </w:pPr>
      <w:rPr>
        <w:rFonts w:hint="eastAsia"/>
        <w:lang w:val="en-US"/>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TllMjM1NDNkMmM1YWJhZGIxYWUwYTI2MzM1MzYifQ=="/>
    <w:docVar w:name="KSO_WPS_MARK_KEY" w:val="2435ada8-4ce7-4d1a-99f7-13544671ac9e"/>
  </w:docVars>
  <w:rsids>
    <w:rsidRoot w:val="00B33FCF"/>
    <w:rsid w:val="00005687"/>
    <w:rsid w:val="0005145D"/>
    <w:rsid w:val="000B5A69"/>
    <w:rsid w:val="00105660"/>
    <w:rsid w:val="001A4716"/>
    <w:rsid w:val="001B223C"/>
    <w:rsid w:val="001F51B9"/>
    <w:rsid w:val="00257F15"/>
    <w:rsid w:val="00277EEF"/>
    <w:rsid w:val="0029408E"/>
    <w:rsid w:val="002F40BB"/>
    <w:rsid w:val="003C1657"/>
    <w:rsid w:val="004371A2"/>
    <w:rsid w:val="00516002"/>
    <w:rsid w:val="005246AE"/>
    <w:rsid w:val="0053564B"/>
    <w:rsid w:val="005A620E"/>
    <w:rsid w:val="00643F00"/>
    <w:rsid w:val="00647A30"/>
    <w:rsid w:val="00694E21"/>
    <w:rsid w:val="00941591"/>
    <w:rsid w:val="00A56F49"/>
    <w:rsid w:val="00AF2EEC"/>
    <w:rsid w:val="00B33FCF"/>
    <w:rsid w:val="00B35DF1"/>
    <w:rsid w:val="00B51EAE"/>
    <w:rsid w:val="00BA3939"/>
    <w:rsid w:val="00C243CA"/>
    <w:rsid w:val="00DB33FD"/>
    <w:rsid w:val="00F8106F"/>
    <w:rsid w:val="010C1FA6"/>
    <w:rsid w:val="010E4F6E"/>
    <w:rsid w:val="01126CBD"/>
    <w:rsid w:val="012B1797"/>
    <w:rsid w:val="0156352C"/>
    <w:rsid w:val="01571DE7"/>
    <w:rsid w:val="015E4AD6"/>
    <w:rsid w:val="016D6AC7"/>
    <w:rsid w:val="01714865"/>
    <w:rsid w:val="01A80891"/>
    <w:rsid w:val="01B441F5"/>
    <w:rsid w:val="01BE7323"/>
    <w:rsid w:val="01D87DDF"/>
    <w:rsid w:val="020B6DBB"/>
    <w:rsid w:val="021A4EEB"/>
    <w:rsid w:val="022E3D7B"/>
    <w:rsid w:val="023F6E41"/>
    <w:rsid w:val="02793BD3"/>
    <w:rsid w:val="0282276F"/>
    <w:rsid w:val="02831793"/>
    <w:rsid w:val="028626D3"/>
    <w:rsid w:val="0293661D"/>
    <w:rsid w:val="02955076"/>
    <w:rsid w:val="02BC2072"/>
    <w:rsid w:val="02C85270"/>
    <w:rsid w:val="02CB056D"/>
    <w:rsid w:val="02CD0ADC"/>
    <w:rsid w:val="02DA1F3A"/>
    <w:rsid w:val="02ED4364"/>
    <w:rsid w:val="03093E5A"/>
    <w:rsid w:val="03140EF9"/>
    <w:rsid w:val="032E24A6"/>
    <w:rsid w:val="03387BEA"/>
    <w:rsid w:val="0348176F"/>
    <w:rsid w:val="03546191"/>
    <w:rsid w:val="036F5BAB"/>
    <w:rsid w:val="03795BF7"/>
    <w:rsid w:val="037E083C"/>
    <w:rsid w:val="038F3967"/>
    <w:rsid w:val="039E7ED7"/>
    <w:rsid w:val="03B35534"/>
    <w:rsid w:val="03B44780"/>
    <w:rsid w:val="03B5544F"/>
    <w:rsid w:val="03C16E16"/>
    <w:rsid w:val="03C513CB"/>
    <w:rsid w:val="03D72894"/>
    <w:rsid w:val="03DA4BDD"/>
    <w:rsid w:val="03DE1278"/>
    <w:rsid w:val="03DE13B6"/>
    <w:rsid w:val="03EF34AF"/>
    <w:rsid w:val="04257DE7"/>
    <w:rsid w:val="04267B2D"/>
    <w:rsid w:val="0429128E"/>
    <w:rsid w:val="04750F0B"/>
    <w:rsid w:val="048240FC"/>
    <w:rsid w:val="049056C1"/>
    <w:rsid w:val="04AE54C2"/>
    <w:rsid w:val="04D37589"/>
    <w:rsid w:val="04DC18A3"/>
    <w:rsid w:val="04DC2CF9"/>
    <w:rsid w:val="04DF7408"/>
    <w:rsid w:val="04E42817"/>
    <w:rsid w:val="050C6397"/>
    <w:rsid w:val="050C73DF"/>
    <w:rsid w:val="0510733D"/>
    <w:rsid w:val="05256A85"/>
    <w:rsid w:val="05536B20"/>
    <w:rsid w:val="05976801"/>
    <w:rsid w:val="05A77632"/>
    <w:rsid w:val="05D0366B"/>
    <w:rsid w:val="05D2044D"/>
    <w:rsid w:val="05E330F8"/>
    <w:rsid w:val="05F85F66"/>
    <w:rsid w:val="06147080"/>
    <w:rsid w:val="062075CE"/>
    <w:rsid w:val="06237AA8"/>
    <w:rsid w:val="062C2B3E"/>
    <w:rsid w:val="064A7CEC"/>
    <w:rsid w:val="065E2849"/>
    <w:rsid w:val="06664082"/>
    <w:rsid w:val="06741C40"/>
    <w:rsid w:val="067953E3"/>
    <w:rsid w:val="067B11B8"/>
    <w:rsid w:val="068D0710"/>
    <w:rsid w:val="06991298"/>
    <w:rsid w:val="069D770D"/>
    <w:rsid w:val="06A212B8"/>
    <w:rsid w:val="06B01F22"/>
    <w:rsid w:val="06B07B82"/>
    <w:rsid w:val="06B973EA"/>
    <w:rsid w:val="06C86D43"/>
    <w:rsid w:val="06DA69AD"/>
    <w:rsid w:val="06DF54D3"/>
    <w:rsid w:val="06E337D3"/>
    <w:rsid w:val="06E64FF9"/>
    <w:rsid w:val="06F01350"/>
    <w:rsid w:val="06F3690D"/>
    <w:rsid w:val="06FF08C0"/>
    <w:rsid w:val="07061CCF"/>
    <w:rsid w:val="072861C7"/>
    <w:rsid w:val="072F524A"/>
    <w:rsid w:val="07461582"/>
    <w:rsid w:val="07476DC8"/>
    <w:rsid w:val="07492181"/>
    <w:rsid w:val="078107EC"/>
    <w:rsid w:val="07965118"/>
    <w:rsid w:val="07AD7C61"/>
    <w:rsid w:val="07C3370E"/>
    <w:rsid w:val="07C909D1"/>
    <w:rsid w:val="07CF5A7C"/>
    <w:rsid w:val="07DA2B29"/>
    <w:rsid w:val="07F340B7"/>
    <w:rsid w:val="07FA2698"/>
    <w:rsid w:val="080A61EE"/>
    <w:rsid w:val="08236EB4"/>
    <w:rsid w:val="08246075"/>
    <w:rsid w:val="082C2A06"/>
    <w:rsid w:val="083B52DD"/>
    <w:rsid w:val="08830D21"/>
    <w:rsid w:val="08984BE9"/>
    <w:rsid w:val="089D66A8"/>
    <w:rsid w:val="08B6737D"/>
    <w:rsid w:val="08B72EA7"/>
    <w:rsid w:val="08C5413D"/>
    <w:rsid w:val="08C6543B"/>
    <w:rsid w:val="08CE4484"/>
    <w:rsid w:val="08F52BF1"/>
    <w:rsid w:val="090807A6"/>
    <w:rsid w:val="09125C8D"/>
    <w:rsid w:val="093F534C"/>
    <w:rsid w:val="09502F56"/>
    <w:rsid w:val="09567263"/>
    <w:rsid w:val="09583265"/>
    <w:rsid w:val="09587FB0"/>
    <w:rsid w:val="096A077B"/>
    <w:rsid w:val="097E64CE"/>
    <w:rsid w:val="098C789E"/>
    <w:rsid w:val="099C2DEF"/>
    <w:rsid w:val="09B03ECA"/>
    <w:rsid w:val="09C40BA3"/>
    <w:rsid w:val="09C676BC"/>
    <w:rsid w:val="09CB0650"/>
    <w:rsid w:val="09D06537"/>
    <w:rsid w:val="09DD0FCC"/>
    <w:rsid w:val="09EE6936"/>
    <w:rsid w:val="09F5469F"/>
    <w:rsid w:val="0A0248E3"/>
    <w:rsid w:val="0A1C4BF5"/>
    <w:rsid w:val="0A2324E2"/>
    <w:rsid w:val="0A242B23"/>
    <w:rsid w:val="0A252635"/>
    <w:rsid w:val="0A325488"/>
    <w:rsid w:val="0A354448"/>
    <w:rsid w:val="0A39690A"/>
    <w:rsid w:val="0A446FAB"/>
    <w:rsid w:val="0A4D383C"/>
    <w:rsid w:val="0A5556FC"/>
    <w:rsid w:val="0A560319"/>
    <w:rsid w:val="0A653211"/>
    <w:rsid w:val="0A675E0B"/>
    <w:rsid w:val="0A6C33AB"/>
    <w:rsid w:val="0A6D20CC"/>
    <w:rsid w:val="0A913122"/>
    <w:rsid w:val="0AA02CB1"/>
    <w:rsid w:val="0AA105AE"/>
    <w:rsid w:val="0AB1201E"/>
    <w:rsid w:val="0ADE6D42"/>
    <w:rsid w:val="0AE12A96"/>
    <w:rsid w:val="0B12288C"/>
    <w:rsid w:val="0B1315A0"/>
    <w:rsid w:val="0B5E4163"/>
    <w:rsid w:val="0B6E096E"/>
    <w:rsid w:val="0B74505A"/>
    <w:rsid w:val="0B7609F6"/>
    <w:rsid w:val="0B835865"/>
    <w:rsid w:val="0BB90A49"/>
    <w:rsid w:val="0BD53BE7"/>
    <w:rsid w:val="0BEF274B"/>
    <w:rsid w:val="0C092F94"/>
    <w:rsid w:val="0C3473C4"/>
    <w:rsid w:val="0C3763EC"/>
    <w:rsid w:val="0C4323A7"/>
    <w:rsid w:val="0C4C0314"/>
    <w:rsid w:val="0C512A33"/>
    <w:rsid w:val="0C540C95"/>
    <w:rsid w:val="0C562014"/>
    <w:rsid w:val="0C70121E"/>
    <w:rsid w:val="0C703E24"/>
    <w:rsid w:val="0C725059"/>
    <w:rsid w:val="0C7402D3"/>
    <w:rsid w:val="0C8B44B0"/>
    <w:rsid w:val="0C9E094E"/>
    <w:rsid w:val="0CA53710"/>
    <w:rsid w:val="0CB16402"/>
    <w:rsid w:val="0CBF4793"/>
    <w:rsid w:val="0CD32E5B"/>
    <w:rsid w:val="0CD97AF1"/>
    <w:rsid w:val="0CDE0871"/>
    <w:rsid w:val="0CEF58ED"/>
    <w:rsid w:val="0CF92154"/>
    <w:rsid w:val="0D074A5E"/>
    <w:rsid w:val="0D1E69B7"/>
    <w:rsid w:val="0D341E9A"/>
    <w:rsid w:val="0D384A02"/>
    <w:rsid w:val="0D386636"/>
    <w:rsid w:val="0D4B1186"/>
    <w:rsid w:val="0D505B5E"/>
    <w:rsid w:val="0D585E8F"/>
    <w:rsid w:val="0D597DF1"/>
    <w:rsid w:val="0D5A7419"/>
    <w:rsid w:val="0D5E0E80"/>
    <w:rsid w:val="0D7A438B"/>
    <w:rsid w:val="0D8032C9"/>
    <w:rsid w:val="0D804FF9"/>
    <w:rsid w:val="0DAE46EF"/>
    <w:rsid w:val="0DBD4701"/>
    <w:rsid w:val="0DBE1C14"/>
    <w:rsid w:val="0DD8156C"/>
    <w:rsid w:val="0DDC11C0"/>
    <w:rsid w:val="0DE20BF4"/>
    <w:rsid w:val="0DE97258"/>
    <w:rsid w:val="0DF52558"/>
    <w:rsid w:val="0E0B27D9"/>
    <w:rsid w:val="0E142849"/>
    <w:rsid w:val="0E197DBB"/>
    <w:rsid w:val="0E26697C"/>
    <w:rsid w:val="0E2F75DE"/>
    <w:rsid w:val="0E3036A3"/>
    <w:rsid w:val="0E323D87"/>
    <w:rsid w:val="0E3B0D83"/>
    <w:rsid w:val="0E3E544E"/>
    <w:rsid w:val="0E635EF9"/>
    <w:rsid w:val="0E7172C2"/>
    <w:rsid w:val="0EAC0C2F"/>
    <w:rsid w:val="0EAF7592"/>
    <w:rsid w:val="0EB21FBD"/>
    <w:rsid w:val="0EE809DB"/>
    <w:rsid w:val="0EF734E3"/>
    <w:rsid w:val="0F1B79CD"/>
    <w:rsid w:val="0F1F1C72"/>
    <w:rsid w:val="0F304C7A"/>
    <w:rsid w:val="0F490E74"/>
    <w:rsid w:val="0F5C7687"/>
    <w:rsid w:val="0F786A38"/>
    <w:rsid w:val="0F805974"/>
    <w:rsid w:val="0F9A071B"/>
    <w:rsid w:val="0FA66E59"/>
    <w:rsid w:val="0FAC664F"/>
    <w:rsid w:val="0FAD1819"/>
    <w:rsid w:val="0FB80EA5"/>
    <w:rsid w:val="0FD970D9"/>
    <w:rsid w:val="0FDD2F07"/>
    <w:rsid w:val="0FF61602"/>
    <w:rsid w:val="102E3D66"/>
    <w:rsid w:val="104223A8"/>
    <w:rsid w:val="104F3B3E"/>
    <w:rsid w:val="10570905"/>
    <w:rsid w:val="10625FE6"/>
    <w:rsid w:val="106C2D6C"/>
    <w:rsid w:val="107379C2"/>
    <w:rsid w:val="10953945"/>
    <w:rsid w:val="10AE5EF1"/>
    <w:rsid w:val="11032FA4"/>
    <w:rsid w:val="111A4EF6"/>
    <w:rsid w:val="111D7BC2"/>
    <w:rsid w:val="11222E01"/>
    <w:rsid w:val="112E2417"/>
    <w:rsid w:val="113E195C"/>
    <w:rsid w:val="11584658"/>
    <w:rsid w:val="115961D3"/>
    <w:rsid w:val="11614179"/>
    <w:rsid w:val="11623BDC"/>
    <w:rsid w:val="116E48C1"/>
    <w:rsid w:val="11764D41"/>
    <w:rsid w:val="11824537"/>
    <w:rsid w:val="11926AC2"/>
    <w:rsid w:val="11AE76A2"/>
    <w:rsid w:val="11B41208"/>
    <w:rsid w:val="11B94340"/>
    <w:rsid w:val="11BD3F4E"/>
    <w:rsid w:val="11C126F0"/>
    <w:rsid w:val="11CE2536"/>
    <w:rsid w:val="11D40818"/>
    <w:rsid w:val="11D609F3"/>
    <w:rsid w:val="11EA5B78"/>
    <w:rsid w:val="11EE155E"/>
    <w:rsid w:val="11F667EB"/>
    <w:rsid w:val="11F75044"/>
    <w:rsid w:val="120803C1"/>
    <w:rsid w:val="120E1C7E"/>
    <w:rsid w:val="12132BAA"/>
    <w:rsid w:val="12241BCA"/>
    <w:rsid w:val="1231474C"/>
    <w:rsid w:val="125057E9"/>
    <w:rsid w:val="12B00869"/>
    <w:rsid w:val="12B81450"/>
    <w:rsid w:val="12C05E75"/>
    <w:rsid w:val="12C13ABE"/>
    <w:rsid w:val="12CB56D0"/>
    <w:rsid w:val="12D61B50"/>
    <w:rsid w:val="12E3307C"/>
    <w:rsid w:val="12EF0D61"/>
    <w:rsid w:val="1300779B"/>
    <w:rsid w:val="13044B14"/>
    <w:rsid w:val="13115CE5"/>
    <w:rsid w:val="135D19FE"/>
    <w:rsid w:val="135D6163"/>
    <w:rsid w:val="1368432A"/>
    <w:rsid w:val="13691348"/>
    <w:rsid w:val="13693592"/>
    <w:rsid w:val="137B2C9D"/>
    <w:rsid w:val="137D7ABD"/>
    <w:rsid w:val="13854144"/>
    <w:rsid w:val="13A079F3"/>
    <w:rsid w:val="13BE3A24"/>
    <w:rsid w:val="13BF2143"/>
    <w:rsid w:val="13C35687"/>
    <w:rsid w:val="13D0225A"/>
    <w:rsid w:val="13E22654"/>
    <w:rsid w:val="13EF4444"/>
    <w:rsid w:val="13F217DA"/>
    <w:rsid w:val="13FF4F14"/>
    <w:rsid w:val="140A549B"/>
    <w:rsid w:val="141911AF"/>
    <w:rsid w:val="142911C6"/>
    <w:rsid w:val="142D4E9F"/>
    <w:rsid w:val="14484F12"/>
    <w:rsid w:val="14503B11"/>
    <w:rsid w:val="1462250F"/>
    <w:rsid w:val="14823F65"/>
    <w:rsid w:val="14824E6C"/>
    <w:rsid w:val="14865353"/>
    <w:rsid w:val="148A6663"/>
    <w:rsid w:val="148D39B2"/>
    <w:rsid w:val="1492424A"/>
    <w:rsid w:val="149643D8"/>
    <w:rsid w:val="149E40D1"/>
    <w:rsid w:val="14A070D9"/>
    <w:rsid w:val="14A16D5C"/>
    <w:rsid w:val="14C47E5D"/>
    <w:rsid w:val="14CE4FD7"/>
    <w:rsid w:val="14DC1B42"/>
    <w:rsid w:val="14DE562A"/>
    <w:rsid w:val="14ED097E"/>
    <w:rsid w:val="1508701B"/>
    <w:rsid w:val="150A6A2B"/>
    <w:rsid w:val="150D43F1"/>
    <w:rsid w:val="1528122B"/>
    <w:rsid w:val="153652C1"/>
    <w:rsid w:val="153A5AC1"/>
    <w:rsid w:val="15491CD0"/>
    <w:rsid w:val="1570044F"/>
    <w:rsid w:val="15BF6CCE"/>
    <w:rsid w:val="15C178CE"/>
    <w:rsid w:val="15C50F74"/>
    <w:rsid w:val="15D4615C"/>
    <w:rsid w:val="15D73C55"/>
    <w:rsid w:val="15DA725F"/>
    <w:rsid w:val="15DB378C"/>
    <w:rsid w:val="161354D3"/>
    <w:rsid w:val="16137FCD"/>
    <w:rsid w:val="161B4325"/>
    <w:rsid w:val="161C2B3E"/>
    <w:rsid w:val="16204E1C"/>
    <w:rsid w:val="163245F0"/>
    <w:rsid w:val="16346C07"/>
    <w:rsid w:val="16483232"/>
    <w:rsid w:val="164C6F19"/>
    <w:rsid w:val="16702E8A"/>
    <w:rsid w:val="16717F7F"/>
    <w:rsid w:val="16733B55"/>
    <w:rsid w:val="167E55A7"/>
    <w:rsid w:val="168C2648"/>
    <w:rsid w:val="169B761A"/>
    <w:rsid w:val="169D46E3"/>
    <w:rsid w:val="16A72367"/>
    <w:rsid w:val="16B42807"/>
    <w:rsid w:val="16B96610"/>
    <w:rsid w:val="16C1616F"/>
    <w:rsid w:val="16CA52C0"/>
    <w:rsid w:val="16D73AFF"/>
    <w:rsid w:val="16DA2D45"/>
    <w:rsid w:val="16E358EA"/>
    <w:rsid w:val="16E97010"/>
    <w:rsid w:val="16F94FE6"/>
    <w:rsid w:val="16FB3B32"/>
    <w:rsid w:val="16FC296F"/>
    <w:rsid w:val="170F0B0D"/>
    <w:rsid w:val="1716413B"/>
    <w:rsid w:val="171C091C"/>
    <w:rsid w:val="172E0153"/>
    <w:rsid w:val="1732493C"/>
    <w:rsid w:val="174153D6"/>
    <w:rsid w:val="174D01AA"/>
    <w:rsid w:val="174D10D5"/>
    <w:rsid w:val="17563E2E"/>
    <w:rsid w:val="175F70FA"/>
    <w:rsid w:val="176D19EF"/>
    <w:rsid w:val="176E7D81"/>
    <w:rsid w:val="17783379"/>
    <w:rsid w:val="17790AAD"/>
    <w:rsid w:val="177D60B1"/>
    <w:rsid w:val="17830C25"/>
    <w:rsid w:val="178F7340"/>
    <w:rsid w:val="1790712A"/>
    <w:rsid w:val="179C572D"/>
    <w:rsid w:val="17A252C5"/>
    <w:rsid w:val="17A60164"/>
    <w:rsid w:val="17C660D2"/>
    <w:rsid w:val="17D34306"/>
    <w:rsid w:val="17D65848"/>
    <w:rsid w:val="17D80CE7"/>
    <w:rsid w:val="17E22F37"/>
    <w:rsid w:val="17E953E7"/>
    <w:rsid w:val="17EA3400"/>
    <w:rsid w:val="17F47084"/>
    <w:rsid w:val="17F91362"/>
    <w:rsid w:val="181461BB"/>
    <w:rsid w:val="182B458B"/>
    <w:rsid w:val="182F6FE1"/>
    <w:rsid w:val="18357EE7"/>
    <w:rsid w:val="18502D7A"/>
    <w:rsid w:val="186D3D90"/>
    <w:rsid w:val="186F52DC"/>
    <w:rsid w:val="18846756"/>
    <w:rsid w:val="188C2B28"/>
    <w:rsid w:val="189015C1"/>
    <w:rsid w:val="18B2029D"/>
    <w:rsid w:val="18BD0C97"/>
    <w:rsid w:val="18BE6B28"/>
    <w:rsid w:val="18CE5C46"/>
    <w:rsid w:val="18E27AE2"/>
    <w:rsid w:val="19062482"/>
    <w:rsid w:val="19097788"/>
    <w:rsid w:val="190A0F56"/>
    <w:rsid w:val="190B0E80"/>
    <w:rsid w:val="19177B2E"/>
    <w:rsid w:val="1928158C"/>
    <w:rsid w:val="195653AD"/>
    <w:rsid w:val="1966743E"/>
    <w:rsid w:val="196D0F89"/>
    <w:rsid w:val="196E6F69"/>
    <w:rsid w:val="19727A69"/>
    <w:rsid w:val="197423B1"/>
    <w:rsid w:val="198A45DC"/>
    <w:rsid w:val="199061E6"/>
    <w:rsid w:val="199A605B"/>
    <w:rsid w:val="19A13A63"/>
    <w:rsid w:val="19AD5DC4"/>
    <w:rsid w:val="19B75D6A"/>
    <w:rsid w:val="19B87DFB"/>
    <w:rsid w:val="19C879D1"/>
    <w:rsid w:val="19CC0BDD"/>
    <w:rsid w:val="19CF7EB1"/>
    <w:rsid w:val="19E75370"/>
    <w:rsid w:val="19F9528F"/>
    <w:rsid w:val="1A071E6B"/>
    <w:rsid w:val="1A1059E1"/>
    <w:rsid w:val="1A136006"/>
    <w:rsid w:val="1A22449B"/>
    <w:rsid w:val="1A70573A"/>
    <w:rsid w:val="1A80620A"/>
    <w:rsid w:val="1A9E3465"/>
    <w:rsid w:val="1AA66E7A"/>
    <w:rsid w:val="1AC6751C"/>
    <w:rsid w:val="1ACC4E55"/>
    <w:rsid w:val="1ADA2743"/>
    <w:rsid w:val="1ADC289C"/>
    <w:rsid w:val="1ADD6BFD"/>
    <w:rsid w:val="1AF278AE"/>
    <w:rsid w:val="1AF514BC"/>
    <w:rsid w:val="1B1069E9"/>
    <w:rsid w:val="1B1D33EC"/>
    <w:rsid w:val="1B220677"/>
    <w:rsid w:val="1B2946C9"/>
    <w:rsid w:val="1B343C8A"/>
    <w:rsid w:val="1B354779"/>
    <w:rsid w:val="1B3C789D"/>
    <w:rsid w:val="1B4D3B04"/>
    <w:rsid w:val="1B5B03E5"/>
    <w:rsid w:val="1B6255F7"/>
    <w:rsid w:val="1B792E66"/>
    <w:rsid w:val="1B9236E7"/>
    <w:rsid w:val="1B962398"/>
    <w:rsid w:val="1BAD5FE6"/>
    <w:rsid w:val="1BB5661F"/>
    <w:rsid w:val="1BE35EAC"/>
    <w:rsid w:val="1BFE2CE6"/>
    <w:rsid w:val="1C025F68"/>
    <w:rsid w:val="1C091C82"/>
    <w:rsid w:val="1C217551"/>
    <w:rsid w:val="1C252021"/>
    <w:rsid w:val="1C266338"/>
    <w:rsid w:val="1C323F5B"/>
    <w:rsid w:val="1C670E7D"/>
    <w:rsid w:val="1C7A236C"/>
    <w:rsid w:val="1C8C59C0"/>
    <w:rsid w:val="1C986C96"/>
    <w:rsid w:val="1CA23F30"/>
    <w:rsid w:val="1CCF15FF"/>
    <w:rsid w:val="1CE62C31"/>
    <w:rsid w:val="1CEF326C"/>
    <w:rsid w:val="1CF46BB7"/>
    <w:rsid w:val="1CF522CE"/>
    <w:rsid w:val="1CFD20DD"/>
    <w:rsid w:val="1D042C6C"/>
    <w:rsid w:val="1D1811B3"/>
    <w:rsid w:val="1D201B1E"/>
    <w:rsid w:val="1D252594"/>
    <w:rsid w:val="1D2A55A4"/>
    <w:rsid w:val="1D352737"/>
    <w:rsid w:val="1D600CDA"/>
    <w:rsid w:val="1D6B0C8A"/>
    <w:rsid w:val="1D722723"/>
    <w:rsid w:val="1D7671A5"/>
    <w:rsid w:val="1D772D50"/>
    <w:rsid w:val="1D7E04F4"/>
    <w:rsid w:val="1D8676B6"/>
    <w:rsid w:val="1D8C32B3"/>
    <w:rsid w:val="1DA63635"/>
    <w:rsid w:val="1DA6561E"/>
    <w:rsid w:val="1DB102F6"/>
    <w:rsid w:val="1DB56C55"/>
    <w:rsid w:val="1DBC4C07"/>
    <w:rsid w:val="1DC4124D"/>
    <w:rsid w:val="1DEF6D8A"/>
    <w:rsid w:val="1DF301E2"/>
    <w:rsid w:val="1DF61287"/>
    <w:rsid w:val="1E0C1C5C"/>
    <w:rsid w:val="1E1B5AB8"/>
    <w:rsid w:val="1E1D0FF5"/>
    <w:rsid w:val="1E386B21"/>
    <w:rsid w:val="1E4E2B61"/>
    <w:rsid w:val="1E5D1F46"/>
    <w:rsid w:val="1E647A90"/>
    <w:rsid w:val="1E6F27A9"/>
    <w:rsid w:val="1E9059FE"/>
    <w:rsid w:val="1E976769"/>
    <w:rsid w:val="1E9F1E17"/>
    <w:rsid w:val="1EB013E0"/>
    <w:rsid w:val="1EB853CE"/>
    <w:rsid w:val="1EC40AB3"/>
    <w:rsid w:val="1ED850D3"/>
    <w:rsid w:val="1EED5A99"/>
    <w:rsid w:val="1EF67CA4"/>
    <w:rsid w:val="1F056E8E"/>
    <w:rsid w:val="1F0B45D9"/>
    <w:rsid w:val="1F0E361B"/>
    <w:rsid w:val="1F176598"/>
    <w:rsid w:val="1F1C265B"/>
    <w:rsid w:val="1F1F68FD"/>
    <w:rsid w:val="1F233A33"/>
    <w:rsid w:val="1F244811"/>
    <w:rsid w:val="1F2470A3"/>
    <w:rsid w:val="1F44590D"/>
    <w:rsid w:val="1F674D8B"/>
    <w:rsid w:val="1F890B18"/>
    <w:rsid w:val="1F8F25D3"/>
    <w:rsid w:val="1F953961"/>
    <w:rsid w:val="1F9E78E5"/>
    <w:rsid w:val="1F9F18C3"/>
    <w:rsid w:val="1FAF4A23"/>
    <w:rsid w:val="1FCD744D"/>
    <w:rsid w:val="1FDC1251"/>
    <w:rsid w:val="1FDF48E9"/>
    <w:rsid w:val="1FFC3110"/>
    <w:rsid w:val="20023310"/>
    <w:rsid w:val="201D0F49"/>
    <w:rsid w:val="20247DD9"/>
    <w:rsid w:val="202C3010"/>
    <w:rsid w:val="202C77A9"/>
    <w:rsid w:val="203979FB"/>
    <w:rsid w:val="205A027D"/>
    <w:rsid w:val="205B4739"/>
    <w:rsid w:val="20815E9B"/>
    <w:rsid w:val="20C025DB"/>
    <w:rsid w:val="20E81014"/>
    <w:rsid w:val="20EB4D21"/>
    <w:rsid w:val="20F61162"/>
    <w:rsid w:val="20FB77F4"/>
    <w:rsid w:val="211A5ECC"/>
    <w:rsid w:val="213F51AC"/>
    <w:rsid w:val="21666B3C"/>
    <w:rsid w:val="216F4B4A"/>
    <w:rsid w:val="217032BE"/>
    <w:rsid w:val="217100D8"/>
    <w:rsid w:val="21807C33"/>
    <w:rsid w:val="21821CC3"/>
    <w:rsid w:val="21856A99"/>
    <w:rsid w:val="21907578"/>
    <w:rsid w:val="21B87493"/>
    <w:rsid w:val="21BA50E8"/>
    <w:rsid w:val="21D441BA"/>
    <w:rsid w:val="21DA38AD"/>
    <w:rsid w:val="21DD76D3"/>
    <w:rsid w:val="21E5472C"/>
    <w:rsid w:val="21E66D85"/>
    <w:rsid w:val="21EF0F22"/>
    <w:rsid w:val="22035C9A"/>
    <w:rsid w:val="220A5F40"/>
    <w:rsid w:val="220D3C83"/>
    <w:rsid w:val="221D6F7A"/>
    <w:rsid w:val="221E2D01"/>
    <w:rsid w:val="222D503D"/>
    <w:rsid w:val="22315F26"/>
    <w:rsid w:val="223A5F8C"/>
    <w:rsid w:val="224A1496"/>
    <w:rsid w:val="224A7FB5"/>
    <w:rsid w:val="2254334F"/>
    <w:rsid w:val="22596EC8"/>
    <w:rsid w:val="22623F0B"/>
    <w:rsid w:val="22714212"/>
    <w:rsid w:val="227D107F"/>
    <w:rsid w:val="227E10CD"/>
    <w:rsid w:val="22874EEB"/>
    <w:rsid w:val="229D5217"/>
    <w:rsid w:val="22A47C7D"/>
    <w:rsid w:val="22A61DA8"/>
    <w:rsid w:val="22AD7AD4"/>
    <w:rsid w:val="22AF4D3A"/>
    <w:rsid w:val="22B17F82"/>
    <w:rsid w:val="22C80FF7"/>
    <w:rsid w:val="22CB0AC0"/>
    <w:rsid w:val="22E91B93"/>
    <w:rsid w:val="22FE01F4"/>
    <w:rsid w:val="23012890"/>
    <w:rsid w:val="232079E6"/>
    <w:rsid w:val="232D6B4F"/>
    <w:rsid w:val="233B02D5"/>
    <w:rsid w:val="23470B30"/>
    <w:rsid w:val="23524EF3"/>
    <w:rsid w:val="236D16F9"/>
    <w:rsid w:val="236F51F5"/>
    <w:rsid w:val="23832A34"/>
    <w:rsid w:val="238824DC"/>
    <w:rsid w:val="23A46FD4"/>
    <w:rsid w:val="23AD145B"/>
    <w:rsid w:val="23B51AE6"/>
    <w:rsid w:val="23B62381"/>
    <w:rsid w:val="23C8671A"/>
    <w:rsid w:val="23CB477A"/>
    <w:rsid w:val="23D449AC"/>
    <w:rsid w:val="23E607E9"/>
    <w:rsid w:val="23F029AB"/>
    <w:rsid w:val="23FA330B"/>
    <w:rsid w:val="24134E54"/>
    <w:rsid w:val="24213561"/>
    <w:rsid w:val="242F4D00"/>
    <w:rsid w:val="24437331"/>
    <w:rsid w:val="244E3C62"/>
    <w:rsid w:val="245E323B"/>
    <w:rsid w:val="247B17CF"/>
    <w:rsid w:val="248378D0"/>
    <w:rsid w:val="24876B6E"/>
    <w:rsid w:val="249609F4"/>
    <w:rsid w:val="24A82D96"/>
    <w:rsid w:val="24D45411"/>
    <w:rsid w:val="24DF409A"/>
    <w:rsid w:val="24F13674"/>
    <w:rsid w:val="24F83DDA"/>
    <w:rsid w:val="24FB7D9C"/>
    <w:rsid w:val="24FD6356"/>
    <w:rsid w:val="2502190C"/>
    <w:rsid w:val="25025DDD"/>
    <w:rsid w:val="250C1FD0"/>
    <w:rsid w:val="250F5342"/>
    <w:rsid w:val="251530F7"/>
    <w:rsid w:val="25291735"/>
    <w:rsid w:val="25493224"/>
    <w:rsid w:val="254A0D4A"/>
    <w:rsid w:val="254A75FE"/>
    <w:rsid w:val="255D5E93"/>
    <w:rsid w:val="256C36E2"/>
    <w:rsid w:val="257F55B3"/>
    <w:rsid w:val="2589331D"/>
    <w:rsid w:val="25905A4D"/>
    <w:rsid w:val="259D721E"/>
    <w:rsid w:val="25A73309"/>
    <w:rsid w:val="25C35F45"/>
    <w:rsid w:val="25C50A6C"/>
    <w:rsid w:val="25C84DEC"/>
    <w:rsid w:val="25DC22A7"/>
    <w:rsid w:val="25DF6DB0"/>
    <w:rsid w:val="25E51FAA"/>
    <w:rsid w:val="25F02A7D"/>
    <w:rsid w:val="25F242C2"/>
    <w:rsid w:val="25F84043"/>
    <w:rsid w:val="25F926A0"/>
    <w:rsid w:val="261A1FFB"/>
    <w:rsid w:val="262228F2"/>
    <w:rsid w:val="26244F27"/>
    <w:rsid w:val="2629265F"/>
    <w:rsid w:val="263F4EE7"/>
    <w:rsid w:val="26423D72"/>
    <w:rsid w:val="26505083"/>
    <w:rsid w:val="265E0AD1"/>
    <w:rsid w:val="26835AC5"/>
    <w:rsid w:val="268F3A45"/>
    <w:rsid w:val="26A41201"/>
    <w:rsid w:val="26A413AC"/>
    <w:rsid w:val="26B869BB"/>
    <w:rsid w:val="26C03072"/>
    <w:rsid w:val="26C21C0A"/>
    <w:rsid w:val="26CB3A6A"/>
    <w:rsid w:val="26EE331A"/>
    <w:rsid w:val="26F804E2"/>
    <w:rsid w:val="27200D9F"/>
    <w:rsid w:val="27331C3F"/>
    <w:rsid w:val="27554665"/>
    <w:rsid w:val="27625DAF"/>
    <w:rsid w:val="27860590"/>
    <w:rsid w:val="278E3170"/>
    <w:rsid w:val="279369D8"/>
    <w:rsid w:val="27A52602"/>
    <w:rsid w:val="27B819EA"/>
    <w:rsid w:val="27CE3528"/>
    <w:rsid w:val="27D55529"/>
    <w:rsid w:val="27F32EFE"/>
    <w:rsid w:val="27F54A64"/>
    <w:rsid w:val="280B6C2A"/>
    <w:rsid w:val="280F42E0"/>
    <w:rsid w:val="28125B4F"/>
    <w:rsid w:val="2836046C"/>
    <w:rsid w:val="283E520D"/>
    <w:rsid w:val="28461C9C"/>
    <w:rsid w:val="286D7418"/>
    <w:rsid w:val="287F519B"/>
    <w:rsid w:val="288B3D93"/>
    <w:rsid w:val="289446E5"/>
    <w:rsid w:val="289643B9"/>
    <w:rsid w:val="289F2B7B"/>
    <w:rsid w:val="28C4718C"/>
    <w:rsid w:val="28CF308D"/>
    <w:rsid w:val="28D42E04"/>
    <w:rsid w:val="28E26730"/>
    <w:rsid w:val="28F6721F"/>
    <w:rsid w:val="291E0C87"/>
    <w:rsid w:val="291E6D7E"/>
    <w:rsid w:val="292D18AD"/>
    <w:rsid w:val="29696E8A"/>
    <w:rsid w:val="29787C34"/>
    <w:rsid w:val="298320F6"/>
    <w:rsid w:val="299F718C"/>
    <w:rsid w:val="29A053DC"/>
    <w:rsid w:val="29DC5FA6"/>
    <w:rsid w:val="29E17264"/>
    <w:rsid w:val="29F17DC2"/>
    <w:rsid w:val="29F25B16"/>
    <w:rsid w:val="2A044097"/>
    <w:rsid w:val="2A110088"/>
    <w:rsid w:val="2A16084C"/>
    <w:rsid w:val="2A17569E"/>
    <w:rsid w:val="2A5C04BB"/>
    <w:rsid w:val="2A647270"/>
    <w:rsid w:val="2A86226A"/>
    <w:rsid w:val="2A866CC1"/>
    <w:rsid w:val="2A917C3A"/>
    <w:rsid w:val="2AA67384"/>
    <w:rsid w:val="2AC6197D"/>
    <w:rsid w:val="2ACD2612"/>
    <w:rsid w:val="2B1E2A5D"/>
    <w:rsid w:val="2B565E14"/>
    <w:rsid w:val="2BAD316E"/>
    <w:rsid w:val="2BC66346"/>
    <w:rsid w:val="2BC83723"/>
    <w:rsid w:val="2BC865FB"/>
    <w:rsid w:val="2BD80CC3"/>
    <w:rsid w:val="2BE9306B"/>
    <w:rsid w:val="2BEE03F9"/>
    <w:rsid w:val="2BFF6A52"/>
    <w:rsid w:val="2C0D2E41"/>
    <w:rsid w:val="2C1A2F40"/>
    <w:rsid w:val="2C3B03BE"/>
    <w:rsid w:val="2C5C10EE"/>
    <w:rsid w:val="2C6770AE"/>
    <w:rsid w:val="2C714E0E"/>
    <w:rsid w:val="2C7E5C9B"/>
    <w:rsid w:val="2C81079F"/>
    <w:rsid w:val="2C8C2749"/>
    <w:rsid w:val="2CB071CE"/>
    <w:rsid w:val="2CC8567F"/>
    <w:rsid w:val="2CD20EAA"/>
    <w:rsid w:val="2CE15153"/>
    <w:rsid w:val="2CF12DC2"/>
    <w:rsid w:val="2D1A58F4"/>
    <w:rsid w:val="2D2D342B"/>
    <w:rsid w:val="2D4A600C"/>
    <w:rsid w:val="2D5854A9"/>
    <w:rsid w:val="2D5B69E0"/>
    <w:rsid w:val="2D7026EA"/>
    <w:rsid w:val="2D83304B"/>
    <w:rsid w:val="2D8C197D"/>
    <w:rsid w:val="2DA24C7F"/>
    <w:rsid w:val="2DAA2A5D"/>
    <w:rsid w:val="2DCA2704"/>
    <w:rsid w:val="2DCD1381"/>
    <w:rsid w:val="2DE33AEA"/>
    <w:rsid w:val="2DED755B"/>
    <w:rsid w:val="2E0702C6"/>
    <w:rsid w:val="2E150B56"/>
    <w:rsid w:val="2E35225C"/>
    <w:rsid w:val="2E4013FB"/>
    <w:rsid w:val="2E646AAA"/>
    <w:rsid w:val="2E942876"/>
    <w:rsid w:val="2E9E5762"/>
    <w:rsid w:val="2EA72D69"/>
    <w:rsid w:val="2EAA0879"/>
    <w:rsid w:val="2EAB69B7"/>
    <w:rsid w:val="2EAC0CBA"/>
    <w:rsid w:val="2EAD143F"/>
    <w:rsid w:val="2EBF05E6"/>
    <w:rsid w:val="2EC46404"/>
    <w:rsid w:val="2EDA70BB"/>
    <w:rsid w:val="2EE20FFB"/>
    <w:rsid w:val="2EE8586C"/>
    <w:rsid w:val="2EF41309"/>
    <w:rsid w:val="2F170942"/>
    <w:rsid w:val="2F183BDE"/>
    <w:rsid w:val="2F325C99"/>
    <w:rsid w:val="2F621CE7"/>
    <w:rsid w:val="2F7075FF"/>
    <w:rsid w:val="2F724E55"/>
    <w:rsid w:val="2F760689"/>
    <w:rsid w:val="2F87540D"/>
    <w:rsid w:val="2F991656"/>
    <w:rsid w:val="2FB67708"/>
    <w:rsid w:val="2FD22A27"/>
    <w:rsid w:val="2FE66EC4"/>
    <w:rsid w:val="2FF81ACE"/>
    <w:rsid w:val="2FFD5337"/>
    <w:rsid w:val="300812D7"/>
    <w:rsid w:val="30142680"/>
    <w:rsid w:val="301D3A65"/>
    <w:rsid w:val="30316D8E"/>
    <w:rsid w:val="303552B1"/>
    <w:rsid w:val="303B1131"/>
    <w:rsid w:val="3040528A"/>
    <w:rsid w:val="30461BED"/>
    <w:rsid w:val="30502924"/>
    <w:rsid w:val="305B205D"/>
    <w:rsid w:val="30651969"/>
    <w:rsid w:val="30701D29"/>
    <w:rsid w:val="30703D5A"/>
    <w:rsid w:val="3077659E"/>
    <w:rsid w:val="307E78DA"/>
    <w:rsid w:val="30824265"/>
    <w:rsid w:val="30901A97"/>
    <w:rsid w:val="30914BEF"/>
    <w:rsid w:val="309E6CCE"/>
    <w:rsid w:val="309F005E"/>
    <w:rsid w:val="30B94EAD"/>
    <w:rsid w:val="30BF7564"/>
    <w:rsid w:val="30C53344"/>
    <w:rsid w:val="30CD3EC7"/>
    <w:rsid w:val="30D12EDD"/>
    <w:rsid w:val="30FA2064"/>
    <w:rsid w:val="31003A74"/>
    <w:rsid w:val="31017E02"/>
    <w:rsid w:val="310B54FA"/>
    <w:rsid w:val="312D1C4B"/>
    <w:rsid w:val="31433B88"/>
    <w:rsid w:val="314A2BBB"/>
    <w:rsid w:val="314E202D"/>
    <w:rsid w:val="31550CDF"/>
    <w:rsid w:val="31566DD9"/>
    <w:rsid w:val="3185553E"/>
    <w:rsid w:val="3188410D"/>
    <w:rsid w:val="318E07F0"/>
    <w:rsid w:val="3199487B"/>
    <w:rsid w:val="31BB139D"/>
    <w:rsid w:val="31BD45DA"/>
    <w:rsid w:val="31D54840"/>
    <w:rsid w:val="31DC302E"/>
    <w:rsid w:val="31DE5D4D"/>
    <w:rsid w:val="31DF5ACE"/>
    <w:rsid w:val="31FE343D"/>
    <w:rsid w:val="321F5917"/>
    <w:rsid w:val="3220692E"/>
    <w:rsid w:val="32242EB3"/>
    <w:rsid w:val="32261BFF"/>
    <w:rsid w:val="323A443F"/>
    <w:rsid w:val="324731DE"/>
    <w:rsid w:val="3251626A"/>
    <w:rsid w:val="325925CC"/>
    <w:rsid w:val="326132ED"/>
    <w:rsid w:val="3264344B"/>
    <w:rsid w:val="326F471C"/>
    <w:rsid w:val="32754B20"/>
    <w:rsid w:val="327B5EEB"/>
    <w:rsid w:val="327D6262"/>
    <w:rsid w:val="328134B9"/>
    <w:rsid w:val="328224B2"/>
    <w:rsid w:val="32825603"/>
    <w:rsid w:val="32890CE1"/>
    <w:rsid w:val="328A12C2"/>
    <w:rsid w:val="328D1382"/>
    <w:rsid w:val="32905306"/>
    <w:rsid w:val="3292753F"/>
    <w:rsid w:val="32BE4EA1"/>
    <w:rsid w:val="32C14AD8"/>
    <w:rsid w:val="32D35F6B"/>
    <w:rsid w:val="32D37C2E"/>
    <w:rsid w:val="32D85BE7"/>
    <w:rsid w:val="32E35381"/>
    <w:rsid w:val="32ED445C"/>
    <w:rsid w:val="32EE71B8"/>
    <w:rsid w:val="33151A83"/>
    <w:rsid w:val="332F173A"/>
    <w:rsid w:val="333E3FEA"/>
    <w:rsid w:val="33440355"/>
    <w:rsid w:val="334B0542"/>
    <w:rsid w:val="335846BB"/>
    <w:rsid w:val="33615BDC"/>
    <w:rsid w:val="336268B5"/>
    <w:rsid w:val="3364052A"/>
    <w:rsid w:val="337644E0"/>
    <w:rsid w:val="338D69D1"/>
    <w:rsid w:val="339C7559"/>
    <w:rsid w:val="33AC2B3C"/>
    <w:rsid w:val="33B92FD9"/>
    <w:rsid w:val="33CB7CED"/>
    <w:rsid w:val="33CE75AC"/>
    <w:rsid w:val="33DD7A02"/>
    <w:rsid w:val="33ED19F6"/>
    <w:rsid w:val="33ED2CF5"/>
    <w:rsid w:val="33F10A33"/>
    <w:rsid w:val="34074028"/>
    <w:rsid w:val="340C4E4E"/>
    <w:rsid w:val="343444DD"/>
    <w:rsid w:val="34431149"/>
    <w:rsid w:val="34606176"/>
    <w:rsid w:val="3462283F"/>
    <w:rsid w:val="34842CC6"/>
    <w:rsid w:val="34AD46D8"/>
    <w:rsid w:val="34AF49B0"/>
    <w:rsid w:val="34BE2EEF"/>
    <w:rsid w:val="34C03937"/>
    <w:rsid w:val="34CF4080"/>
    <w:rsid w:val="34D640C1"/>
    <w:rsid w:val="34DC6C11"/>
    <w:rsid w:val="34E72721"/>
    <w:rsid w:val="34EE7BB1"/>
    <w:rsid w:val="34EF3E3F"/>
    <w:rsid w:val="34F57E20"/>
    <w:rsid w:val="34F63043"/>
    <w:rsid w:val="35181132"/>
    <w:rsid w:val="351F6701"/>
    <w:rsid w:val="35276A45"/>
    <w:rsid w:val="353D6D7C"/>
    <w:rsid w:val="35473A19"/>
    <w:rsid w:val="35475E3D"/>
    <w:rsid w:val="355157DD"/>
    <w:rsid w:val="35522A26"/>
    <w:rsid w:val="355256DD"/>
    <w:rsid w:val="355D0B7B"/>
    <w:rsid w:val="35643762"/>
    <w:rsid w:val="356D1D78"/>
    <w:rsid w:val="357146AE"/>
    <w:rsid w:val="3571645F"/>
    <w:rsid w:val="357A2F85"/>
    <w:rsid w:val="3586635B"/>
    <w:rsid w:val="3589141A"/>
    <w:rsid w:val="35903AFE"/>
    <w:rsid w:val="359141B7"/>
    <w:rsid w:val="359B6503"/>
    <w:rsid w:val="35A25C2E"/>
    <w:rsid w:val="35AA425A"/>
    <w:rsid w:val="35B61730"/>
    <w:rsid w:val="35C122FF"/>
    <w:rsid w:val="35CF3B70"/>
    <w:rsid w:val="35DB00AA"/>
    <w:rsid w:val="35DB7F95"/>
    <w:rsid w:val="35F06E69"/>
    <w:rsid w:val="35F26FC0"/>
    <w:rsid w:val="35FA2EC2"/>
    <w:rsid w:val="36046279"/>
    <w:rsid w:val="360B5752"/>
    <w:rsid w:val="361C3F1F"/>
    <w:rsid w:val="36345633"/>
    <w:rsid w:val="363922E8"/>
    <w:rsid w:val="363A2CC5"/>
    <w:rsid w:val="36493761"/>
    <w:rsid w:val="364C7F00"/>
    <w:rsid w:val="36500566"/>
    <w:rsid w:val="365354C0"/>
    <w:rsid w:val="36561089"/>
    <w:rsid w:val="365B671B"/>
    <w:rsid w:val="36620E30"/>
    <w:rsid w:val="3670458B"/>
    <w:rsid w:val="36972EAA"/>
    <w:rsid w:val="36BA7453"/>
    <w:rsid w:val="36C2233B"/>
    <w:rsid w:val="36D04F5D"/>
    <w:rsid w:val="36D13079"/>
    <w:rsid w:val="36D3756E"/>
    <w:rsid w:val="36FC21D8"/>
    <w:rsid w:val="371153EF"/>
    <w:rsid w:val="371F3698"/>
    <w:rsid w:val="37457A33"/>
    <w:rsid w:val="37503412"/>
    <w:rsid w:val="3756578C"/>
    <w:rsid w:val="376B365F"/>
    <w:rsid w:val="37785D02"/>
    <w:rsid w:val="377F7650"/>
    <w:rsid w:val="37991F65"/>
    <w:rsid w:val="379A6D81"/>
    <w:rsid w:val="37AC0606"/>
    <w:rsid w:val="37B31E12"/>
    <w:rsid w:val="37B940DA"/>
    <w:rsid w:val="37B95FE7"/>
    <w:rsid w:val="37B96691"/>
    <w:rsid w:val="37C979C0"/>
    <w:rsid w:val="37D11380"/>
    <w:rsid w:val="37EA43F2"/>
    <w:rsid w:val="37ED38F0"/>
    <w:rsid w:val="38171BB0"/>
    <w:rsid w:val="381B19D9"/>
    <w:rsid w:val="382E5770"/>
    <w:rsid w:val="387719FE"/>
    <w:rsid w:val="38854250"/>
    <w:rsid w:val="38B16705"/>
    <w:rsid w:val="38CA2ACC"/>
    <w:rsid w:val="38CF11A6"/>
    <w:rsid w:val="38D45CA1"/>
    <w:rsid w:val="38D6109A"/>
    <w:rsid w:val="38D617D9"/>
    <w:rsid w:val="38E506FD"/>
    <w:rsid w:val="38ED3D1E"/>
    <w:rsid w:val="38F35A4A"/>
    <w:rsid w:val="39103A0C"/>
    <w:rsid w:val="39137B15"/>
    <w:rsid w:val="392274DB"/>
    <w:rsid w:val="392D43DA"/>
    <w:rsid w:val="392E60E0"/>
    <w:rsid w:val="3934191F"/>
    <w:rsid w:val="393E36F6"/>
    <w:rsid w:val="39415BBA"/>
    <w:rsid w:val="39557F74"/>
    <w:rsid w:val="395B386D"/>
    <w:rsid w:val="396A40A2"/>
    <w:rsid w:val="396E4BAF"/>
    <w:rsid w:val="397303B7"/>
    <w:rsid w:val="39740E72"/>
    <w:rsid w:val="397A7847"/>
    <w:rsid w:val="397F1401"/>
    <w:rsid w:val="398E607F"/>
    <w:rsid w:val="39B14D04"/>
    <w:rsid w:val="39C9432E"/>
    <w:rsid w:val="39D1773D"/>
    <w:rsid w:val="39D528A9"/>
    <w:rsid w:val="39F05DE2"/>
    <w:rsid w:val="39F95CB2"/>
    <w:rsid w:val="39FE1325"/>
    <w:rsid w:val="3A0458FB"/>
    <w:rsid w:val="3A09044A"/>
    <w:rsid w:val="3A1514CF"/>
    <w:rsid w:val="3A2A58BC"/>
    <w:rsid w:val="3A3B3C26"/>
    <w:rsid w:val="3A487835"/>
    <w:rsid w:val="3A494D2C"/>
    <w:rsid w:val="3A596F10"/>
    <w:rsid w:val="3A5A625F"/>
    <w:rsid w:val="3A6C1955"/>
    <w:rsid w:val="3A777B7F"/>
    <w:rsid w:val="3A7A3F47"/>
    <w:rsid w:val="3A7C49FE"/>
    <w:rsid w:val="3A8350B0"/>
    <w:rsid w:val="3A9A61B4"/>
    <w:rsid w:val="3AA72495"/>
    <w:rsid w:val="3ABF2460"/>
    <w:rsid w:val="3B15430C"/>
    <w:rsid w:val="3B22722E"/>
    <w:rsid w:val="3B3B4338"/>
    <w:rsid w:val="3B3B6C20"/>
    <w:rsid w:val="3B49558D"/>
    <w:rsid w:val="3B50242C"/>
    <w:rsid w:val="3B5F4515"/>
    <w:rsid w:val="3B616C54"/>
    <w:rsid w:val="3B706F4E"/>
    <w:rsid w:val="3B7B2A18"/>
    <w:rsid w:val="3B7F4508"/>
    <w:rsid w:val="3B810333"/>
    <w:rsid w:val="3B894595"/>
    <w:rsid w:val="3BA32397"/>
    <w:rsid w:val="3BB3424F"/>
    <w:rsid w:val="3BBC679D"/>
    <w:rsid w:val="3BC535E3"/>
    <w:rsid w:val="3BD3758D"/>
    <w:rsid w:val="3BEF3EA6"/>
    <w:rsid w:val="3BF67F5B"/>
    <w:rsid w:val="3BFB1157"/>
    <w:rsid w:val="3BFC46F4"/>
    <w:rsid w:val="3C1C4B03"/>
    <w:rsid w:val="3C30741E"/>
    <w:rsid w:val="3C40613A"/>
    <w:rsid w:val="3C482FA7"/>
    <w:rsid w:val="3C4A077F"/>
    <w:rsid w:val="3C5C33E5"/>
    <w:rsid w:val="3C62038E"/>
    <w:rsid w:val="3C7C65DE"/>
    <w:rsid w:val="3C865BAB"/>
    <w:rsid w:val="3C8D408B"/>
    <w:rsid w:val="3C8F7897"/>
    <w:rsid w:val="3C952AFF"/>
    <w:rsid w:val="3CD3337D"/>
    <w:rsid w:val="3CE3282A"/>
    <w:rsid w:val="3CEB4407"/>
    <w:rsid w:val="3CF8338A"/>
    <w:rsid w:val="3CFA61E4"/>
    <w:rsid w:val="3D0073B9"/>
    <w:rsid w:val="3D023351"/>
    <w:rsid w:val="3D0D3376"/>
    <w:rsid w:val="3D221808"/>
    <w:rsid w:val="3D2C4762"/>
    <w:rsid w:val="3D3A1978"/>
    <w:rsid w:val="3D40019D"/>
    <w:rsid w:val="3D430613"/>
    <w:rsid w:val="3D4B2D05"/>
    <w:rsid w:val="3D533C89"/>
    <w:rsid w:val="3D54568C"/>
    <w:rsid w:val="3D622C7D"/>
    <w:rsid w:val="3D6F7BF9"/>
    <w:rsid w:val="3D711112"/>
    <w:rsid w:val="3D753B78"/>
    <w:rsid w:val="3D806AD7"/>
    <w:rsid w:val="3D81633A"/>
    <w:rsid w:val="3D836B33"/>
    <w:rsid w:val="3D8C6481"/>
    <w:rsid w:val="3D8C7CFA"/>
    <w:rsid w:val="3DB2604D"/>
    <w:rsid w:val="3DB44D42"/>
    <w:rsid w:val="3DC76F84"/>
    <w:rsid w:val="3DD87FEE"/>
    <w:rsid w:val="3DD93044"/>
    <w:rsid w:val="3DE511B8"/>
    <w:rsid w:val="3DE548B0"/>
    <w:rsid w:val="3DE82C81"/>
    <w:rsid w:val="3E214D1A"/>
    <w:rsid w:val="3E232233"/>
    <w:rsid w:val="3E433FDF"/>
    <w:rsid w:val="3E4B70D0"/>
    <w:rsid w:val="3E4F4374"/>
    <w:rsid w:val="3E5076A3"/>
    <w:rsid w:val="3E54672B"/>
    <w:rsid w:val="3E644161"/>
    <w:rsid w:val="3E7008ED"/>
    <w:rsid w:val="3E7136DB"/>
    <w:rsid w:val="3E725142"/>
    <w:rsid w:val="3E727F34"/>
    <w:rsid w:val="3E734148"/>
    <w:rsid w:val="3E7911A6"/>
    <w:rsid w:val="3E9606B8"/>
    <w:rsid w:val="3EA339B9"/>
    <w:rsid w:val="3EA863CC"/>
    <w:rsid w:val="3EAE28D5"/>
    <w:rsid w:val="3EAF7B29"/>
    <w:rsid w:val="3EB911A1"/>
    <w:rsid w:val="3ECC02BA"/>
    <w:rsid w:val="3EDC6A5F"/>
    <w:rsid w:val="3EE94E7C"/>
    <w:rsid w:val="3F0D7302"/>
    <w:rsid w:val="3F2C3F5A"/>
    <w:rsid w:val="3F400787"/>
    <w:rsid w:val="3F457155"/>
    <w:rsid w:val="3F510C2F"/>
    <w:rsid w:val="3F523D8A"/>
    <w:rsid w:val="3F572C80"/>
    <w:rsid w:val="3F687191"/>
    <w:rsid w:val="3F85124A"/>
    <w:rsid w:val="3F991334"/>
    <w:rsid w:val="3FA800DD"/>
    <w:rsid w:val="3FA85EFA"/>
    <w:rsid w:val="3FBE0D44"/>
    <w:rsid w:val="3FC76DC7"/>
    <w:rsid w:val="3FCF6E09"/>
    <w:rsid w:val="3FE67119"/>
    <w:rsid w:val="3FE756BB"/>
    <w:rsid w:val="3FF03BAC"/>
    <w:rsid w:val="400277B2"/>
    <w:rsid w:val="40094C95"/>
    <w:rsid w:val="401A783F"/>
    <w:rsid w:val="4025041F"/>
    <w:rsid w:val="402B3912"/>
    <w:rsid w:val="40370DD2"/>
    <w:rsid w:val="403A2AE6"/>
    <w:rsid w:val="404153C3"/>
    <w:rsid w:val="404F396D"/>
    <w:rsid w:val="405B760C"/>
    <w:rsid w:val="405D2C75"/>
    <w:rsid w:val="40662A84"/>
    <w:rsid w:val="40696622"/>
    <w:rsid w:val="406A5DD3"/>
    <w:rsid w:val="40723FA7"/>
    <w:rsid w:val="40822062"/>
    <w:rsid w:val="40910005"/>
    <w:rsid w:val="40AD1675"/>
    <w:rsid w:val="40AD3A13"/>
    <w:rsid w:val="40B90E06"/>
    <w:rsid w:val="40C14CA7"/>
    <w:rsid w:val="40C744EA"/>
    <w:rsid w:val="40D62E84"/>
    <w:rsid w:val="40E9181F"/>
    <w:rsid w:val="40EA7211"/>
    <w:rsid w:val="40F231FF"/>
    <w:rsid w:val="40F5223C"/>
    <w:rsid w:val="40FB003B"/>
    <w:rsid w:val="410A78B3"/>
    <w:rsid w:val="4129779A"/>
    <w:rsid w:val="41327662"/>
    <w:rsid w:val="41596CF1"/>
    <w:rsid w:val="416738FB"/>
    <w:rsid w:val="417A5A09"/>
    <w:rsid w:val="417A6101"/>
    <w:rsid w:val="418B0655"/>
    <w:rsid w:val="418C5433"/>
    <w:rsid w:val="419E64B2"/>
    <w:rsid w:val="41A055EF"/>
    <w:rsid w:val="41BD2796"/>
    <w:rsid w:val="41C336D4"/>
    <w:rsid w:val="42241D5C"/>
    <w:rsid w:val="42276C60"/>
    <w:rsid w:val="422C4181"/>
    <w:rsid w:val="4234714F"/>
    <w:rsid w:val="423952F0"/>
    <w:rsid w:val="42396C91"/>
    <w:rsid w:val="423C5C2A"/>
    <w:rsid w:val="42514E4A"/>
    <w:rsid w:val="425855C4"/>
    <w:rsid w:val="425925B4"/>
    <w:rsid w:val="426017B5"/>
    <w:rsid w:val="42651B17"/>
    <w:rsid w:val="426944AD"/>
    <w:rsid w:val="42805697"/>
    <w:rsid w:val="42843CDD"/>
    <w:rsid w:val="42945242"/>
    <w:rsid w:val="429E652D"/>
    <w:rsid w:val="42BB7A3C"/>
    <w:rsid w:val="42BE3A83"/>
    <w:rsid w:val="42D124A1"/>
    <w:rsid w:val="42D44DEC"/>
    <w:rsid w:val="42D52931"/>
    <w:rsid w:val="42DC50A6"/>
    <w:rsid w:val="42E013F1"/>
    <w:rsid w:val="42F566B6"/>
    <w:rsid w:val="42F61C9C"/>
    <w:rsid w:val="432B4318"/>
    <w:rsid w:val="43380DAB"/>
    <w:rsid w:val="433D353F"/>
    <w:rsid w:val="434E0EDC"/>
    <w:rsid w:val="434E5283"/>
    <w:rsid w:val="43593564"/>
    <w:rsid w:val="436153DF"/>
    <w:rsid w:val="437D0408"/>
    <w:rsid w:val="438429EF"/>
    <w:rsid w:val="43963680"/>
    <w:rsid w:val="43A542BD"/>
    <w:rsid w:val="43B90983"/>
    <w:rsid w:val="43C42D1B"/>
    <w:rsid w:val="43D07BB0"/>
    <w:rsid w:val="43D45F57"/>
    <w:rsid w:val="43E546EF"/>
    <w:rsid w:val="43E71B31"/>
    <w:rsid w:val="43EB0251"/>
    <w:rsid w:val="44062222"/>
    <w:rsid w:val="4413597E"/>
    <w:rsid w:val="44184095"/>
    <w:rsid w:val="441C3243"/>
    <w:rsid w:val="44250560"/>
    <w:rsid w:val="442B2E6D"/>
    <w:rsid w:val="443F3112"/>
    <w:rsid w:val="44420B3E"/>
    <w:rsid w:val="44420ED2"/>
    <w:rsid w:val="444A4A73"/>
    <w:rsid w:val="44534A8F"/>
    <w:rsid w:val="44621422"/>
    <w:rsid w:val="44631E4B"/>
    <w:rsid w:val="44650C44"/>
    <w:rsid w:val="446A55A5"/>
    <w:rsid w:val="449A6F98"/>
    <w:rsid w:val="449C422B"/>
    <w:rsid w:val="44A11D3B"/>
    <w:rsid w:val="44A55272"/>
    <w:rsid w:val="44B25897"/>
    <w:rsid w:val="44C657D6"/>
    <w:rsid w:val="44C91E6A"/>
    <w:rsid w:val="44DB75C1"/>
    <w:rsid w:val="44DF0C3C"/>
    <w:rsid w:val="44F33A56"/>
    <w:rsid w:val="44FA71E3"/>
    <w:rsid w:val="45033634"/>
    <w:rsid w:val="45080DD4"/>
    <w:rsid w:val="45154A79"/>
    <w:rsid w:val="454315E6"/>
    <w:rsid w:val="45570BED"/>
    <w:rsid w:val="45574BD1"/>
    <w:rsid w:val="455A64D9"/>
    <w:rsid w:val="456A3D78"/>
    <w:rsid w:val="456C1CF2"/>
    <w:rsid w:val="45B31AA5"/>
    <w:rsid w:val="45BD3146"/>
    <w:rsid w:val="45C23874"/>
    <w:rsid w:val="45C629F2"/>
    <w:rsid w:val="45CF4C28"/>
    <w:rsid w:val="45D24718"/>
    <w:rsid w:val="45D70B5F"/>
    <w:rsid w:val="45E618D3"/>
    <w:rsid w:val="45EE1096"/>
    <w:rsid w:val="46015802"/>
    <w:rsid w:val="461A4DE6"/>
    <w:rsid w:val="46262867"/>
    <w:rsid w:val="462F27CF"/>
    <w:rsid w:val="46306561"/>
    <w:rsid w:val="46326F64"/>
    <w:rsid w:val="463827CD"/>
    <w:rsid w:val="46386C71"/>
    <w:rsid w:val="463A68C1"/>
    <w:rsid w:val="464002AC"/>
    <w:rsid w:val="46621F15"/>
    <w:rsid w:val="46724679"/>
    <w:rsid w:val="468147C3"/>
    <w:rsid w:val="469C3108"/>
    <w:rsid w:val="46B92D40"/>
    <w:rsid w:val="46CF74B1"/>
    <w:rsid w:val="46D13D7B"/>
    <w:rsid w:val="46DD20CB"/>
    <w:rsid w:val="46FC5DD2"/>
    <w:rsid w:val="46FE283E"/>
    <w:rsid w:val="47024DD5"/>
    <w:rsid w:val="4708022F"/>
    <w:rsid w:val="471F1BDF"/>
    <w:rsid w:val="472A7D38"/>
    <w:rsid w:val="472C6B5D"/>
    <w:rsid w:val="474B13D4"/>
    <w:rsid w:val="47510CCB"/>
    <w:rsid w:val="47574ED5"/>
    <w:rsid w:val="475755D1"/>
    <w:rsid w:val="476F3AEC"/>
    <w:rsid w:val="477F563C"/>
    <w:rsid w:val="47910BDB"/>
    <w:rsid w:val="47A11BCB"/>
    <w:rsid w:val="47B148C9"/>
    <w:rsid w:val="47B577BB"/>
    <w:rsid w:val="47C938BB"/>
    <w:rsid w:val="47E95D5B"/>
    <w:rsid w:val="47FE278F"/>
    <w:rsid w:val="480662C1"/>
    <w:rsid w:val="481C472E"/>
    <w:rsid w:val="48333DD2"/>
    <w:rsid w:val="483A29F9"/>
    <w:rsid w:val="48457FC9"/>
    <w:rsid w:val="48464466"/>
    <w:rsid w:val="484D2511"/>
    <w:rsid w:val="484D44F4"/>
    <w:rsid w:val="48527E8F"/>
    <w:rsid w:val="485445AD"/>
    <w:rsid w:val="48575883"/>
    <w:rsid w:val="485C76C9"/>
    <w:rsid w:val="4879128B"/>
    <w:rsid w:val="488839CA"/>
    <w:rsid w:val="488D397D"/>
    <w:rsid w:val="48900989"/>
    <w:rsid w:val="489702E7"/>
    <w:rsid w:val="489D4D45"/>
    <w:rsid w:val="48AE32F4"/>
    <w:rsid w:val="48C22822"/>
    <w:rsid w:val="48C23D32"/>
    <w:rsid w:val="48D47AC2"/>
    <w:rsid w:val="48F254CD"/>
    <w:rsid w:val="48F36E7F"/>
    <w:rsid w:val="48F60C21"/>
    <w:rsid w:val="48F826E7"/>
    <w:rsid w:val="49092250"/>
    <w:rsid w:val="491A02E4"/>
    <w:rsid w:val="4924274A"/>
    <w:rsid w:val="49322532"/>
    <w:rsid w:val="4937254E"/>
    <w:rsid w:val="494508D1"/>
    <w:rsid w:val="494659F6"/>
    <w:rsid w:val="4966156F"/>
    <w:rsid w:val="496A55A2"/>
    <w:rsid w:val="496E1DF1"/>
    <w:rsid w:val="497647A5"/>
    <w:rsid w:val="497A71F5"/>
    <w:rsid w:val="497B3842"/>
    <w:rsid w:val="49837DDA"/>
    <w:rsid w:val="498C2802"/>
    <w:rsid w:val="4990049A"/>
    <w:rsid w:val="49A12941"/>
    <w:rsid w:val="49A81A17"/>
    <w:rsid w:val="49BA0414"/>
    <w:rsid w:val="49BC2F88"/>
    <w:rsid w:val="49C52A99"/>
    <w:rsid w:val="49CC5D95"/>
    <w:rsid w:val="49CF78B1"/>
    <w:rsid w:val="49EB676E"/>
    <w:rsid w:val="49ED0373"/>
    <w:rsid w:val="49EF5235"/>
    <w:rsid w:val="49F1623B"/>
    <w:rsid w:val="4A094B89"/>
    <w:rsid w:val="4A1C2405"/>
    <w:rsid w:val="4A5B0858"/>
    <w:rsid w:val="4A691009"/>
    <w:rsid w:val="4A6B5F82"/>
    <w:rsid w:val="4A6E0EB3"/>
    <w:rsid w:val="4A7A3BB1"/>
    <w:rsid w:val="4A7E6C1C"/>
    <w:rsid w:val="4A857C0B"/>
    <w:rsid w:val="4A865922"/>
    <w:rsid w:val="4A9B42A2"/>
    <w:rsid w:val="4AA347E2"/>
    <w:rsid w:val="4AA47BDB"/>
    <w:rsid w:val="4AB7068F"/>
    <w:rsid w:val="4ABB2E75"/>
    <w:rsid w:val="4ABE37E4"/>
    <w:rsid w:val="4AC41BD5"/>
    <w:rsid w:val="4AC9433B"/>
    <w:rsid w:val="4AD049E6"/>
    <w:rsid w:val="4ADA7857"/>
    <w:rsid w:val="4ADD1B0C"/>
    <w:rsid w:val="4AEF5DA4"/>
    <w:rsid w:val="4AF229C2"/>
    <w:rsid w:val="4AFC0A5E"/>
    <w:rsid w:val="4AFF598D"/>
    <w:rsid w:val="4B011EE9"/>
    <w:rsid w:val="4B012F86"/>
    <w:rsid w:val="4B044A52"/>
    <w:rsid w:val="4B0A55C1"/>
    <w:rsid w:val="4B200C2B"/>
    <w:rsid w:val="4B3043BA"/>
    <w:rsid w:val="4B3B7696"/>
    <w:rsid w:val="4B3C41ED"/>
    <w:rsid w:val="4B443A69"/>
    <w:rsid w:val="4B4A7FA9"/>
    <w:rsid w:val="4B546EB5"/>
    <w:rsid w:val="4B577D67"/>
    <w:rsid w:val="4B5A212D"/>
    <w:rsid w:val="4B644D30"/>
    <w:rsid w:val="4B692C5A"/>
    <w:rsid w:val="4B737427"/>
    <w:rsid w:val="4B773D97"/>
    <w:rsid w:val="4B7A7AAE"/>
    <w:rsid w:val="4B981ADA"/>
    <w:rsid w:val="4BA724C8"/>
    <w:rsid w:val="4BB52B12"/>
    <w:rsid w:val="4BD54102"/>
    <w:rsid w:val="4BEA4569"/>
    <w:rsid w:val="4BEE48EA"/>
    <w:rsid w:val="4BF316F9"/>
    <w:rsid w:val="4C0373D9"/>
    <w:rsid w:val="4C12487C"/>
    <w:rsid w:val="4C2D60C9"/>
    <w:rsid w:val="4C4D3F31"/>
    <w:rsid w:val="4C572E2C"/>
    <w:rsid w:val="4C5B79C8"/>
    <w:rsid w:val="4C6039A3"/>
    <w:rsid w:val="4C6170B7"/>
    <w:rsid w:val="4C8F59FE"/>
    <w:rsid w:val="4C960664"/>
    <w:rsid w:val="4C963FED"/>
    <w:rsid w:val="4CA15BBF"/>
    <w:rsid w:val="4CAC5CAC"/>
    <w:rsid w:val="4CD81C9A"/>
    <w:rsid w:val="4CEE0A45"/>
    <w:rsid w:val="4CEE62DB"/>
    <w:rsid w:val="4D01701D"/>
    <w:rsid w:val="4D0B480B"/>
    <w:rsid w:val="4D0C7A78"/>
    <w:rsid w:val="4D0E022A"/>
    <w:rsid w:val="4D195AB2"/>
    <w:rsid w:val="4D245ED4"/>
    <w:rsid w:val="4D2836B4"/>
    <w:rsid w:val="4D5D1613"/>
    <w:rsid w:val="4D6E5660"/>
    <w:rsid w:val="4D91424C"/>
    <w:rsid w:val="4DBC59B0"/>
    <w:rsid w:val="4DBD7A5B"/>
    <w:rsid w:val="4DC92710"/>
    <w:rsid w:val="4DCE4D06"/>
    <w:rsid w:val="4DD0778F"/>
    <w:rsid w:val="4DD74E5D"/>
    <w:rsid w:val="4E002684"/>
    <w:rsid w:val="4E0833CC"/>
    <w:rsid w:val="4E0C6778"/>
    <w:rsid w:val="4E0F420A"/>
    <w:rsid w:val="4E1B497E"/>
    <w:rsid w:val="4E2520E8"/>
    <w:rsid w:val="4E2568A5"/>
    <w:rsid w:val="4E4602E8"/>
    <w:rsid w:val="4E4B67A7"/>
    <w:rsid w:val="4E5469A3"/>
    <w:rsid w:val="4E760650"/>
    <w:rsid w:val="4E915384"/>
    <w:rsid w:val="4E976BA1"/>
    <w:rsid w:val="4E984750"/>
    <w:rsid w:val="4E9B7216"/>
    <w:rsid w:val="4E9D3C3D"/>
    <w:rsid w:val="4EA975AC"/>
    <w:rsid w:val="4EB73860"/>
    <w:rsid w:val="4EC63378"/>
    <w:rsid w:val="4EF179BD"/>
    <w:rsid w:val="4EF65C8D"/>
    <w:rsid w:val="4F145077"/>
    <w:rsid w:val="4F1B54D1"/>
    <w:rsid w:val="4F4837ED"/>
    <w:rsid w:val="4F4A06D7"/>
    <w:rsid w:val="4F722367"/>
    <w:rsid w:val="4F766C8C"/>
    <w:rsid w:val="4F813436"/>
    <w:rsid w:val="4F9518A3"/>
    <w:rsid w:val="4F9C6574"/>
    <w:rsid w:val="4F9E6CCC"/>
    <w:rsid w:val="4FA24FBC"/>
    <w:rsid w:val="4FAC304E"/>
    <w:rsid w:val="4FAD75CC"/>
    <w:rsid w:val="4FBA57C5"/>
    <w:rsid w:val="4FDB0268"/>
    <w:rsid w:val="4FDD5C6D"/>
    <w:rsid w:val="4FED2FE0"/>
    <w:rsid w:val="50125BD5"/>
    <w:rsid w:val="50154311"/>
    <w:rsid w:val="503262C7"/>
    <w:rsid w:val="504306EC"/>
    <w:rsid w:val="504D0492"/>
    <w:rsid w:val="504F1781"/>
    <w:rsid w:val="505C1973"/>
    <w:rsid w:val="509752E1"/>
    <w:rsid w:val="509D5E96"/>
    <w:rsid w:val="50A04144"/>
    <w:rsid w:val="50B374B6"/>
    <w:rsid w:val="50B83CD8"/>
    <w:rsid w:val="50B94813"/>
    <w:rsid w:val="50BB0F81"/>
    <w:rsid w:val="50C41FAD"/>
    <w:rsid w:val="50D00648"/>
    <w:rsid w:val="50DC5316"/>
    <w:rsid w:val="50DE6AD0"/>
    <w:rsid w:val="50E437C6"/>
    <w:rsid w:val="50F93FF4"/>
    <w:rsid w:val="510A33F1"/>
    <w:rsid w:val="510A5FD3"/>
    <w:rsid w:val="51110B93"/>
    <w:rsid w:val="51132FF6"/>
    <w:rsid w:val="51186881"/>
    <w:rsid w:val="51404BD9"/>
    <w:rsid w:val="51421703"/>
    <w:rsid w:val="514922BC"/>
    <w:rsid w:val="514C402F"/>
    <w:rsid w:val="514F52EA"/>
    <w:rsid w:val="51542485"/>
    <w:rsid w:val="51793912"/>
    <w:rsid w:val="51957526"/>
    <w:rsid w:val="51B954BA"/>
    <w:rsid w:val="51C1093A"/>
    <w:rsid w:val="51C72A13"/>
    <w:rsid w:val="51C81A83"/>
    <w:rsid w:val="51C97963"/>
    <w:rsid w:val="51DB2056"/>
    <w:rsid w:val="51E35879"/>
    <w:rsid w:val="52067CD3"/>
    <w:rsid w:val="520D1C16"/>
    <w:rsid w:val="52214A5D"/>
    <w:rsid w:val="522C6593"/>
    <w:rsid w:val="522E286C"/>
    <w:rsid w:val="524F3A33"/>
    <w:rsid w:val="52523649"/>
    <w:rsid w:val="525C6D5F"/>
    <w:rsid w:val="525F1D91"/>
    <w:rsid w:val="526F651E"/>
    <w:rsid w:val="52741030"/>
    <w:rsid w:val="52903FC3"/>
    <w:rsid w:val="52935C69"/>
    <w:rsid w:val="529E7106"/>
    <w:rsid w:val="52A94DE1"/>
    <w:rsid w:val="52BA0D25"/>
    <w:rsid w:val="52D00024"/>
    <w:rsid w:val="52D42126"/>
    <w:rsid w:val="52E262FD"/>
    <w:rsid w:val="52E2690C"/>
    <w:rsid w:val="52E83C02"/>
    <w:rsid w:val="52EE32FE"/>
    <w:rsid w:val="52FE2600"/>
    <w:rsid w:val="52FF3890"/>
    <w:rsid w:val="53026D00"/>
    <w:rsid w:val="5323653E"/>
    <w:rsid w:val="532A06EF"/>
    <w:rsid w:val="53307E13"/>
    <w:rsid w:val="533B38FC"/>
    <w:rsid w:val="5342771F"/>
    <w:rsid w:val="53673400"/>
    <w:rsid w:val="536A1A4B"/>
    <w:rsid w:val="536E0619"/>
    <w:rsid w:val="537875B5"/>
    <w:rsid w:val="539372EA"/>
    <w:rsid w:val="53A349DA"/>
    <w:rsid w:val="53B358E3"/>
    <w:rsid w:val="53D2112D"/>
    <w:rsid w:val="53E94CA4"/>
    <w:rsid w:val="53EA0E7E"/>
    <w:rsid w:val="53ED4C56"/>
    <w:rsid w:val="53F07155"/>
    <w:rsid w:val="53FB7509"/>
    <w:rsid w:val="541512AE"/>
    <w:rsid w:val="541C678F"/>
    <w:rsid w:val="54422A68"/>
    <w:rsid w:val="5454752F"/>
    <w:rsid w:val="548823F9"/>
    <w:rsid w:val="549B5255"/>
    <w:rsid w:val="54A83678"/>
    <w:rsid w:val="54B25668"/>
    <w:rsid w:val="54BF374C"/>
    <w:rsid w:val="54C6369A"/>
    <w:rsid w:val="54C66523"/>
    <w:rsid w:val="54CF22C7"/>
    <w:rsid w:val="54D1579F"/>
    <w:rsid w:val="54DB0D4D"/>
    <w:rsid w:val="54DC110F"/>
    <w:rsid w:val="54F33C44"/>
    <w:rsid w:val="54F77E7C"/>
    <w:rsid w:val="550A168B"/>
    <w:rsid w:val="5524646E"/>
    <w:rsid w:val="55447D3E"/>
    <w:rsid w:val="556B072D"/>
    <w:rsid w:val="556E6732"/>
    <w:rsid w:val="557443F4"/>
    <w:rsid w:val="558107E5"/>
    <w:rsid w:val="55873655"/>
    <w:rsid w:val="559B5926"/>
    <w:rsid w:val="55A76578"/>
    <w:rsid w:val="55B377FA"/>
    <w:rsid w:val="55E16B3B"/>
    <w:rsid w:val="55F63850"/>
    <w:rsid w:val="560A5808"/>
    <w:rsid w:val="561F1E01"/>
    <w:rsid w:val="56300339"/>
    <w:rsid w:val="563301AD"/>
    <w:rsid w:val="56421976"/>
    <w:rsid w:val="565F4EB3"/>
    <w:rsid w:val="56617B1E"/>
    <w:rsid w:val="566273F2"/>
    <w:rsid w:val="56632CCF"/>
    <w:rsid w:val="56677D97"/>
    <w:rsid w:val="566B4EA7"/>
    <w:rsid w:val="567C639F"/>
    <w:rsid w:val="56B023EA"/>
    <w:rsid w:val="56EC4BEB"/>
    <w:rsid w:val="56F110B1"/>
    <w:rsid w:val="56F50AD8"/>
    <w:rsid w:val="57000F31"/>
    <w:rsid w:val="571075C9"/>
    <w:rsid w:val="57133D85"/>
    <w:rsid w:val="57256629"/>
    <w:rsid w:val="5726041F"/>
    <w:rsid w:val="5730619A"/>
    <w:rsid w:val="573D4DBA"/>
    <w:rsid w:val="5740532A"/>
    <w:rsid w:val="574153AB"/>
    <w:rsid w:val="575B6E08"/>
    <w:rsid w:val="576B5326"/>
    <w:rsid w:val="576F68EC"/>
    <w:rsid w:val="578168B7"/>
    <w:rsid w:val="57A56B64"/>
    <w:rsid w:val="57AB3143"/>
    <w:rsid w:val="57AC6290"/>
    <w:rsid w:val="57C53231"/>
    <w:rsid w:val="57E75E01"/>
    <w:rsid w:val="57EA58F1"/>
    <w:rsid w:val="57F042D6"/>
    <w:rsid w:val="57FC4B45"/>
    <w:rsid w:val="57FD6FAD"/>
    <w:rsid w:val="5801378A"/>
    <w:rsid w:val="581C4BE1"/>
    <w:rsid w:val="581F4F4E"/>
    <w:rsid w:val="5822496A"/>
    <w:rsid w:val="5825107D"/>
    <w:rsid w:val="58356D78"/>
    <w:rsid w:val="58377CE9"/>
    <w:rsid w:val="583D41D7"/>
    <w:rsid w:val="585A1B1D"/>
    <w:rsid w:val="58721932"/>
    <w:rsid w:val="587B3A58"/>
    <w:rsid w:val="587D25C3"/>
    <w:rsid w:val="58850E97"/>
    <w:rsid w:val="588B0DA2"/>
    <w:rsid w:val="589333DC"/>
    <w:rsid w:val="58B00410"/>
    <w:rsid w:val="58B101BD"/>
    <w:rsid w:val="58BA3BEF"/>
    <w:rsid w:val="58D77C23"/>
    <w:rsid w:val="58DC7930"/>
    <w:rsid w:val="58E9604D"/>
    <w:rsid w:val="58ED3AF8"/>
    <w:rsid w:val="58F5279F"/>
    <w:rsid w:val="59012EF2"/>
    <w:rsid w:val="59074BBB"/>
    <w:rsid w:val="59080725"/>
    <w:rsid w:val="592E26EE"/>
    <w:rsid w:val="59343EB5"/>
    <w:rsid w:val="59362CE7"/>
    <w:rsid w:val="593D4189"/>
    <w:rsid w:val="59502250"/>
    <w:rsid w:val="595101BD"/>
    <w:rsid w:val="5960380D"/>
    <w:rsid w:val="597035FD"/>
    <w:rsid w:val="59723731"/>
    <w:rsid w:val="5990298C"/>
    <w:rsid w:val="59917297"/>
    <w:rsid w:val="59A432AA"/>
    <w:rsid w:val="59AA4177"/>
    <w:rsid w:val="59B23634"/>
    <w:rsid w:val="59B50CBF"/>
    <w:rsid w:val="59C6381C"/>
    <w:rsid w:val="59C83E8D"/>
    <w:rsid w:val="59D126A3"/>
    <w:rsid w:val="59DD502F"/>
    <w:rsid w:val="59DE0686"/>
    <w:rsid w:val="59DF2A7F"/>
    <w:rsid w:val="59F019A5"/>
    <w:rsid w:val="59FE6BD2"/>
    <w:rsid w:val="5A040C46"/>
    <w:rsid w:val="5A131A1A"/>
    <w:rsid w:val="5A3E00A8"/>
    <w:rsid w:val="5A3F1F24"/>
    <w:rsid w:val="5A515056"/>
    <w:rsid w:val="5A5A0B0C"/>
    <w:rsid w:val="5AA449A3"/>
    <w:rsid w:val="5AAA2C64"/>
    <w:rsid w:val="5AB26BF3"/>
    <w:rsid w:val="5AB47241"/>
    <w:rsid w:val="5AC60C79"/>
    <w:rsid w:val="5AC941AF"/>
    <w:rsid w:val="5AD82A9B"/>
    <w:rsid w:val="5AE667B2"/>
    <w:rsid w:val="5B096A1C"/>
    <w:rsid w:val="5B212432"/>
    <w:rsid w:val="5B2B0DE0"/>
    <w:rsid w:val="5B4436AB"/>
    <w:rsid w:val="5B461090"/>
    <w:rsid w:val="5B546059"/>
    <w:rsid w:val="5B7D20B7"/>
    <w:rsid w:val="5B823898"/>
    <w:rsid w:val="5BA364E3"/>
    <w:rsid w:val="5BB33C52"/>
    <w:rsid w:val="5BB85B27"/>
    <w:rsid w:val="5BC33ADC"/>
    <w:rsid w:val="5BC76459"/>
    <w:rsid w:val="5BCD355F"/>
    <w:rsid w:val="5BD96642"/>
    <w:rsid w:val="5BDF1302"/>
    <w:rsid w:val="5BE4452A"/>
    <w:rsid w:val="5BEC109C"/>
    <w:rsid w:val="5BED0911"/>
    <w:rsid w:val="5C096A9D"/>
    <w:rsid w:val="5C1141B0"/>
    <w:rsid w:val="5C114A2D"/>
    <w:rsid w:val="5C1155D7"/>
    <w:rsid w:val="5C1B076F"/>
    <w:rsid w:val="5C1B5839"/>
    <w:rsid w:val="5C403D31"/>
    <w:rsid w:val="5C4A4E28"/>
    <w:rsid w:val="5C5B0B5F"/>
    <w:rsid w:val="5C5B1B87"/>
    <w:rsid w:val="5C5B79CB"/>
    <w:rsid w:val="5C6E1733"/>
    <w:rsid w:val="5C6F6FAF"/>
    <w:rsid w:val="5C77653D"/>
    <w:rsid w:val="5C7A7323"/>
    <w:rsid w:val="5C820016"/>
    <w:rsid w:val="5C83341C"/>
    <w:rsid w:val="5C997AD2"/>
    <w:rsid w:val="5CA44D99"/>
    <w:rsid w:val="5CD027EB"/>
    <w:rsid w:val="5CE66C36"/>
    <w:rsid w:val="5CF337FF"/>
    <w:rsid w:val="5D197A91"/>
    <w:rsid w:val="5D1C479E"/>
    <w:rsid w:val="5D206FB1"/>
    <w:rsid w:val="5D25273E"/>
    <w:rsid w:val="5D2918B7"/>
    <w:rsid w:val="5D2C6CA1"/>
    <w:rsid w:val="5D2F4FBA"/>
    <w:rsid w:val="5D5D2F39"/>
    <w:rsid w:val="5D742E34"/>
    <w:rsid w:val="5D750113"/>
    <w:rsid w:val="5D79737D"/>
    <w:rsid w:val="5D7A3273"/>
    <w:rsid w:val="5D8354EF"/>
    <w:rsid w:val="5D8B4D95"/>
    <w:rsid w:val="5DA6152D"/>
    <w:rsid w:val="5DA855E7"/>
    <w:rsid w:val="5DA8677D"/>
    <w:rsid w:val="5DBD0F24"/>
    <w:rsid w:val="5DE60909"/>
    <w:rsid w:val="5DEE3BA9"/>
    <w:rsid w:val="5E004331"/>
    <w:rsid w:val="5E0A6A3E"/>
    <w:rsid w:val="5E15070A"/>
    <w:rsid w:val="5E194C14"/>
    <w:rsid w:val="5E2B4ABA"/>
    <w:rsid w:val="5E4643D2"/>
    <w:rsid w:val="5E522903"/>
    <w:rsid w:val="5E5E4943"/>
    <w:rsid w:val="5E6518A1"/>
    <w:rsid w:val="5E6F461B"/>
    <w:rsid w:val="5E744D65"/>
    <w:rsid w:val="5E9E2A79"/>
    <w:rsid w:val="5EAA4FB7"/>
    <w:rsid w:val="5EAB30B8"/>
    <w:rsid w:val="5EB62CFC"/>
    <w:rsid w:val="5EB822A5"/>
    <w:rsid w:val="5EBE4B51"/>
    <w:rsid w:val="5ED52E57"/>
    <w:rsid w:val="5EDF4DC3"/>
    <w:rsid w:val="5EE6080D"/>
    <w:rsid w:val="5EE92056"/>
    <w:rsid w:val="5EF45132"/>
    <w:rsid w:val="5EF9764B"/>
    <w:rsid w:val="5F0B5699"/>
    <w:rsid w:val="5F1073B8"/>
    <w:rsid w:val="5F1D6B8D"/>
    <w:rsid w:val="5F372364"/>
    <w:rsid w:val="5F387096"/>
    <w:rsid w:val="5F3F2E25"/>
    <w:rsid w:val="5F7B1D66"/>
    <w:rsid w:val="5F864151"/>
    <w:rsid w:val="5F9E6C7C"/>
    <w:rsid w:val="5FA36AB1"/>
    <w:rsid w:val="5FA43FC6"/>
    <w:rsid w:val="5FBC5111"/>
    <w:rsid w:val="5FC02949"/>
    <w:rsid w:val="5FEC0303"/>
    <w:rsid w:val="5FEC52C1"/>
    <w:rsid w:val="60114363"/>
    <w:rsid w:val="60205E6D"/>
    <w:rsid w:val="603D4EDA"/>
    <w:rsid w:val="603F140E"/>
    <w:rsid w:val="60641899"/>
    <w:rsid w:val="60654728"/>
    <w:rsid w:val="60684E91"/>
    <w:rsid w:val="60966616"/>
    <w:rsid w:val="609F5230"/>
    <w:rsid w:val="60A0625E"/>
    <w:rsid w:val="60B66CB8"/>
    <w:rsid w:val="60BD1F41"/>
    <w:rsid w:val="60BE5190"/>
    <w:rsid w:val="60CC489E"/>
    <w:rsid w:val="60E152F4"/>
    <w:rsid w:val="60F379AF"/>
    <w:rsid w:val="60F84A28"/>
    <w:rsid w:val="61086DAE"/>
    <w:rsid w:val="6109443E"/>
    <w:rsid w:val="61324473"/>
    <w:rsid w:val="6139328A"/>
    <w:rsid w:val="613B40D8"/>
    <w:rsid w:val="615565E3"/>
    <w:rsid w:val="616C244A"/>
    <w:rsid w:val="617B5216"/>
    <w:rsid w:val="618154D4"/>
    <w:rsid w:val="618D7A19"/>
    <w:rsid w:val="619B7808"/>
    <w:rsid w:val="61A06D65"/>
    <w:rsid w:val="61B259DE"/>
    <w:rsid w:val="61BE4076"/>
    <w:rsid w:val="61C251FB"/>
    <w:rsid w:val="61D147BD"/>
    <w:rsid w:val="61D45648"/>
    <w:rsid w:val="61DE5B9C"/>
    <w:rsid w:val="61DF7D1A"/>
    <w:rsid w:val="61EE5FDE"/>
    <w:rsid w:val="620D4663"/>
    <w:rsid w:val="621822C6"/>
    <w:rsid w:val="621B7B30"/>
    <w:rsid w:val="6223212B"/>
    <w:rsid w:val="622814F0"/>
    <w:rsid w:val="622F70D2"/>
    <w:rsid w:val="623E2EFD"/>
    <w:rsid w:val="62445596"/>
    <w:rsid w:val="624B1673"/>
    <w:rsid w:val="624E603C"/>
    <w:rsid w:val="625C4C24"/>
    <w:rsid w:val="626806FC"/>
    <w:rsid w:val="626A6293"/>
    <w:rsid w:val="626C3CBE"/>
    <w:rsid w:val="62791D4B"/>
    <w:rsid w:val="62802B50"/>
    <w:rsid w:val="62832BCA"/>
    <w:rsid w:val="62A26E13"/>
    <w:rsid w:val="62B12756"/>
    <w:rsid w:val="631901CC"/>
    <w:rsid w:val="631958C6"/>
    <w:rsid w:val="631D391A"/>
    <w:rsid w:val="633971C4"/>
    <w:rsid w:val="634636F1"/>
    <w:rsid w:val="634E768E"/>
    <w:rsid w:val="634F4921"/>
    <w:rsid w:val="6352658E"/>
    <w:rsid w:val="636325F0"/>
    <w:rsid w:val="636B3D8A"/>
    <w:rsid w:val="637A3FCD"/>
    <w:rsid w:val="637F36E5"/>
    <w:rsid w:val="6385354E"/>
    <w:rsid w:val="639D0A91"/>
    <w:rsid w:val="63BB4555"/>
    <w:rsid w:val="63C2266D"/>
    <w:rsid w:val="63D925CE"/>
    <w:rsid w:val="63DE27AE"/>
    <w:rsid w:val="63E610B5"/>
    <w:rsid w:val="63EC378A"/>
    <w:rsid w:val="64012C1C"/>
    <w:rsid w:val="64095351"/>
    <w:rsid w:val="641372F7"/>
    <w:rsid w:val="64182E0A"/>
    <w:rsid w:val="642A47A2"/>
    <w:rsid w:val="642F65ED"/>
    <w:rsid w:val="64306D81"/>
    <w:rsid w:val="64333F00"/>
    <w:rsid w:val="64350992"/>
    <w:rsid w:val="64354398"/>
    <w:rsid w:val="64365F40"/>
    <w:rsid w:val="64385065"/>
    <w:rsid w:val="644A623A"/>
    <w:rsid w:val="64664AB8"/>
    <w:rsid w:val="646C2B5C"/>
    <w:rsid w:val="646F78AA"/>
    <w:rsid w:val="64806BA6"/>
    <w:rsid w:val="64850008"/>
    <w:rsid w:val="648A19C7"/>
    <w:rsid w:val="648C5FB4"/>
    <w:rsid w:val="64A135B4"/>
    <w:rsid w:val="64CF20F6"/>
    <w:rsid w:val="64DE67DD"/>
    <w:rsid w:val="64FB066D"/>
    <w:rsid w:val="65200A2B"/>
    <w:rsid w:val="65217654"/>
    <w:rsid w:val="65254584"/>
    <w:rsid w:val="652B03E1"/>
    <w:rsid w:val="65343070"/>
    <w:rsid w:val="65401246"/>
    <w:rsid w:val="65685C3F"/>
    <w:rsid w:val="656A7049"/>
    <w:rsid w:val="659562A4"/>
    <w:rsid w:val="65A417D5"/>
    <w:rsid w:val="65AF1446"/>
    <w:rsid w:val="65D17ECF"/>
    <w:rsid w:val="65E47A8E"/>
    <w:rsid w:val="65F247A0"/>
    <w:rsid w:val="65F67CDA"/>
    <w:rsid w:val="65F9252F"/>
    <w:rsid w:val="66231EF4"/>
    <w:rsid w:val="662E4881"/>
    <w:rsid w:val="664D0717"/>
    <w:rsid w:val="66513C44"/>
    <w:rsid w:val="6666109A"/>
    <w:rsid w:val="666B57EB"/>
    <w:rsid w:val="66820B15"/>
    <w:rsid w:val="668B68B4"/>
    <w:rsid w:val="668C5E9D"/>
    <w:rsid w:val="66974873"/>
    <w:rsid w:val="66D55ED2"/>
    <w:rsid w:val="66E8228D"/>
    <w:rsid w:val="66E97853"/>
    <w:rsid w:val="66FD73EF"/>
    <w:rsid w:val="66FE6AB6"/>
    <w:rsid w:val="66FF4908"/>
    <w:rsid w:val="67165E07"/>
    <w:rsid w:val="67253585"/>
    <w:rsid w:val="672D3654"/>
    <w:rsid w:val="675C2576"/>
    <w:rsid w:val="676364EF"/>
    <w:rsid w:val="6773320D"/>
    <w:rsid w:val="67962590"/>
    <w:rsid w:val="67B24DCD"/>
    <w:rsid w:val="67CD2617"/>
    <w:rsid w:val="67CE3935"/>
    <w:rsid w:val="67CF1F03"/>
    <w:rsid w:val="67D20D1D"/>
    <w:rsid w:val="67E35F03"/>
    <w:rsid w:val="67F329A4"/>
    <w:rsid w:val="67F6781D"/>
    <w:rsid w:val="68040309"/>
    <w:rsid w:val="680C5285"/>
    <w:rsid w:val="68247685"/>
    <w:rsid w:val="68260DD0"/>
    <w:rsid w:val="68350A00"/>
    <w:rsid w:val="6856432F"/>
    <w:rsid w:val="68642D8E"/>
    <w:rsid w:val="68774F1E"/>
    <w:rsid w:val="687C06D8"/>
    <w:rsid w:val="687F0337"/>
    <w:rsid w:val="688C3A50"/>
    <w:rsid w:val="68AF03B2"/>
    <w:rsid w:val="68BB3B77"/>
    <w:rsid w:val="68C82E1D"/>
    <w:rsid w:val="68CA04BB"/>
    <w:rsid w:val="68CB18F9"/>
    <w:rsid w:val="68D11560"/>
    <w:rsid w:val="68D762A5"/>
    <w:rsid w:val="68D76E86"/>
    <w:rsid w:val="68EA0CDB"/>
    <w:rsid w:val="692065FB"/>
    <w:rsid w:val="692477B1"/>
    <w:rsid w:val="693F3D5D"/>
    <w:rsid w:val="694658D6"/>
    <w:rsid w:val="694F7031"/>
    <w:rsid w:val="69570CF1"/>
    <w:rsid w:val="698B4888"/>
    <w:rsid w:val="69992CD3"/>
    <w:rsid w:val="699A2E3D"/>
    <w:rsid w:val="69A24495"/>
    <w:rsid w:val="69AD70E6"/>
    <w:rsid w:val="69B07B37"/>
    <w:rsid w:val="69B809F8"/>
    <w:rsid w:val="69CD0AAF"/>
    <w:rsid w:val="69DB6EEF"/>
    <w:rsid w:val="69ED3251"/>
    <w:rsid w:val="69EF55DF"/>
    <w:rsid w:val="69FC1BE0"/>
    <w:rsid w:val="6A2E0B09"/>
    <w:rsid w:val="6A3D741E"/>
    <w:rsid w:val="6A3D7B02"/>
    <w:rsid w:val="6A520CEE"/>
    <w:rsid w:val="6A5C4D8F"/>
    <w:rsid w:val="6A625270"/>
    <w:rsid w:val="6A786D8C"/>
    <w:rsid w:val="6A7A67C6"/>
    <w:rsid w:val="6A9D33FA"/>
    <w:rsid w:val="6AA10091"/>
    <w:rsid w:val="6AA158D8"/>
    <w:rsid w:val="6AB342FC"/>
    <w:rsid w:val="6AB85E71"/>
    <w:rsid w:val="6AB901B5"/>
    <w:rsid w:val="6ABC7352"/>
    <w:rsid w:val="6ACA3A8C"/>
    <w:rsid w:val="6ACD0EA7"/>
    <w:rsid w:val="6ACF4DF6"/>
    <w:rsid w:val="6AD05DA7"/>
    <w:rsid w:val="6AE1483C"/>
    <w:rsid w:val="6AE713F3"/>
    <w:rsid w:val="6AF87310"/>
    <w:rsid w:val="6B1E4AE8"/>
    <w:rsid w:val="6B296FCD"/>
    <w:rsid w:val="6B380BB3"/>
    <w:rsid w:val="6B3B04E6"/>
    <w:rsid w:val="6B3E32D7"/>
    <w:rsid w:val="6B4A18B9"/>
    <w:rsid w:val="6B6A7A63"/>
    <w:rsid w:val="6B762F6F"/>
    <w:rsid w:val="6B7A03D0"/>
    <w:rsid w:val="6B7D52A4"/>
    <w:rsid w:val="6B835FF4"/>
    <w:rsid w:val="6B9B6FB4"/>
    <w:rsid w:val="6BAB4565"/>
    <w:rsid w:val="6BB57E92"/>
    <w:rsid w:val="6BB96046"/>
    <w:rsid w:val="6BBA728B"/>
    <w:rsid w:val="6BCF6E80"/>
    <w:rsid w:val="6BDF70C3"/>
    <w:rsid w:val="6BE07C1E"/>
    <w:rsid w:val="6BFE2CBE"/>
    <w:rsid w:val="6BFF15B9"/>
    <w:rsid w:val="6C0568AE"/>
    <w:rsid w:val="6C12061C"/>
    <w:rsid w:val="6C141C3C"/>
    <w:rsid w:val="6C1C0BC2"/>
    <w:rsid w:val="6C1D44E0"/>
    <w:rsid w:val="6C2703B4"/>
    <w:rsid w:val="6C28484D"/>
    <w:rsid w:val="6C3066D5"/>
    <w:rsid w:val="6C506213"/>
    <w:rsid w:val="6C674ADD"/>
    <w:rsid w:val="6C6B28B9"/>
    <w:rsid w:val="6C6D7F2B"/>
    <w:rsid w:val="6C787C4F"/>
    <w:rsid w:val="6CAC27E7"/>
    <w:rsid w:val="6CBB6C3D"/>
    <w:rsid w:val="6CD1527E"/>
    <w:rsid w:val="6CD314CA"/>
    <w:rsid w:val="6CE4528E"/>
    <w:rsid w:val="6CE70134"/>
    <w:rsid w:val="6CF3513B"/>
    <w:rsid w:val="6CFC6279"/>
    <w:rsid w:val="6D0E5E3B"/>
    <w:rsid w:val="6D100C92"/>
    <w:rsid w:val="6D1F7E35"/>
    <w:rsid w:val="6D6A6664"/>
    <w:rsid w:val="6D6D7B31"/>
    <w:rsid w:val="6D701077"/>
    <w:rsid w:val="6D7F7D40"/>
    <w:rsid w:val="6D9004D7"/>
    <w:rsid w:val="6DA37718"/>
    <w:rsid w:val="6DC76158"/>
    <w:rsid w:val="6DCE7454"/>
    <w:rsid w:val="6DF57C3C"/>
    <w:rsid w:val="6E014168"/>
    <w:rsid w:val="6E1B1018"/>
    <w:rsid w:val="6E2D29FA"/>
    <w:rsid w:val="6E4B5340"/>
    <w:rsid w:val="6E510020"/>
    <w:rsid w:val="6E5E15E6"/>
    <w:rsid w:val="6E61047A"/>
    <w:rsid w:val="6E7376FC"/>
    <w:rsid w:val="6E992D2A"/>
    <w:rsid w:val="6EA02DBF"/>
    <w:rsid w:val="6EA51672"/>
    <w:rsid w:val="6EA64A5D"/>
    <w:rsid w:val="6EAC1704"/>
    <w:rsid w:val="6EB71FB9"/>
    <w:rsid w:val="6EB81E4D"/>
    <w:rsid w:val="6EC4736D"/>
    <w:rsid w:val="6ED70A7B"/>
    <w:rsid w:val="6EE07B10"/>
    <w:rsid w:val="6EE60CD6"/>
    <w:rsid w:val="6EF820C6"/>
    <w:rsid w:val="6F023EDA"/>
    <w:rsid w:val="6F08090C"/>
    <w:rsid w:val="6F140B01"/>
    <w:rsid w:val="6F143527"/>
    <w:rsid w:val="6F41123E"/>
    <w:rsid w:val="6F556011"/>
    <w:rsid w:val="6F586E1D"/>
    <w:rsid w:val="6F6915AD"/>
    <w:rsid w:val="6F712728"/>
    <w:rsid w:val="6F892CB6"/>
    <w:rsid w:val="6F946416"/>
    <w:rsid w:val="6FA02883"/>
    <w:rsid w:val="6FBB24A9"/>
    <w:rsid w:val="6FC0209C"/>
    <w:rsid w:val="6FC550EA"/>
    <w:rsid w:val="6FDF03BA"/>
    <w:rsid w:val="6FE075B7"/>
    <w:rsid w:val="6FEA24DA"/>
    <w:rsid w:val="6FF37F5B"/>
    <w:rsid w:val="700C209B"/>
    <w:rsid w:val="701240E1"/>
    <w:rsid w:val="701B3328"/>
    <w:rsid w:val="70333E81"/>
    <w:rsid w:val="704020FA"/>
    <w:rsid w:val="70424365"/>
    <w:rsid w:val="70527555"/>
    <w:rsid w:val="70551C22"/>
    <w:rsid w:val="707B2AB7"/>
    <w:rsid w:val="708F632B"/>
    <w:rsid w:val="709E39D0"/>
    <w:rsid w:val="70A06F77"/>
    <w:rsid w:val="70B1389B"/>
    <w:rsid w:val="70C46C52"/>
    <w:rsid w:val="70E847A7"/>
    <w:rsid w:val="70EF2967"/>
    <w:rsid w:val="70F917D0"/>
    <w:rsid w:val="7118479E"/>
    <w:rsid w:val="712371BB"/>
    <w:rsid w:val="71375D1E"/>
    <w:rsid w:val="714A76D4"/>
    <w:rsid w:val="71674430"/>
    <w:rsid w:val="716C573D"/>
    <w:rsid w:val="718B1AF6"/>
    <w:rsid w:val="71A0201F"/>
    <w:rsid w:val="71A1355B"/>
    <w:rsid w:val="71AF56D0"/>
    <w:rsid w:val="71C5483C"/>
    <w:rsid w:val="71D7083C"/>
    <w:rsid w:val="71DE2000"/>
    <w:rsid w:val="71E12FD8"/>
    <w:rsid w:val="71E36043"/>
    <w:rsid w:val="71ED7492"/>
    <w:rsid w:val="72007D93"/>
    <w:rsid w:val="72091BF6"/>
    <w:rsid w:val="72092A3A"/>
    <w:rsid w:val="721E3CBF"/>
    <w:rsid w:val="722D3F7D"/>
    <w:rsid w:val="72333EAC"/>
    <w:rsid w:val="724815A7"/>
    <w:rsid w:val="725A1876"/>
    <w:rsid w:val="72710028"/>
    <w:rsid w:val="727B566C"/>
    <w:rsid w:val="727B6F09"/>
    <w:rsid w:val="728704B4"/>
    <w:rsid w:val="728A7E19"/>
    <w:rsid w:val="728B27F6"/>
    <w:rsid w:val="728E072E"/>
    <w:rsid w:val="72962CBF"/>
    <w:rsid w:val="729B0BD4"/>
    <w:rsid w:val="72BD2E4A"/>
    <w:rsid w:val="72C205DC"/>
    <w:rsid w:val="72CB37E7"/>
    <w:rsid w:val="72EA65E3"/>
    <w:rsid w:val="73083527"/>
    <w:rsid w:val="73122D08"/>
    <w:rsid w:val="731C3EFD"/>
    <w:rsid w:val="73241157"/>
    <w:rsid w:val="733B70A0"/>
    <w:rsid w:val="734142C1"/>
    <w:rsid w:val="7353536B"/>
    <w:rsid w:val="736E6FD1"/>
    <w:rsid w:val="737E3665"/>
    <w:rsid w:val="737F1D3A"/>
    <w:rsid w:val="73814F04"/>
    <w:rsid w:val="73855BD1"/>
    <w:rsid w:val="73A11102"/>
    <w:rsid w:val="73AD5087"/>
    <w:rsid w:val="73BD1C89"/>
    <w:rsid w:val="73C72B42"/>
    <w:rsid w:val="73CD0149"/>
    <w:rsid w:val="73D2546D"/>
    <w:rsid w:val="73DB6DCB"/>
    <w:rsid w:val="73EE0B9D"/>
    <w:rsid w:val="73FB1C8F"/>
    <w:rsid w:val="741A2753"/>
    <w:rsid w:val="741D62AC"/>
    <w:rsid w:val="743C1A12"/>
    <w:rsid w:val="74440FFA"/>
    <w:rsid w:val="744517A3"/>
    <w:rsid w:val="74543A55"/>
    <w:rsid w:val="746C6A6F"/>
    <w:rsid w:val="747412E5"/>
    <w:rsid w:val="74797710"/>
    <w:rsid w:val="748A775B"/>
    <w:rsid w:val="74984209"/>
    <w:rsid w:val="74AA0DFC"/>
    <w:rsid w:val="74AE4F09"/>
    <w:rsid w:val="74B73872"/>
    <w:rsid w:val="74B86703"/>
    <w:rsid w:val="74BC3546"/>
    <w:rsid w:val="74C44D9A"/>
    <w:rsid w:val="74C56FF3"/>
    <w:rsid w:val="74E00BA2"/>
    <w:rsid w:val="74ED03A4"/>
    <w:rsid w:val="750B0244"/>
    <w:rsid w:val="750C4CA1"/>
    <w:rsid w:val="75111BC1"/>
    <w:rsid w:val="751C03F0"/>
    <w:rsid w:val="754B4113"/>
    <w:rsid w:val="75696984"/>
    <w:rsid w:val="758332C4"/>
    <w:rsid w:val="75A27476"/>
    <w:rsid w:val="75AA4838"/>
    <w:rsid w:val="75AA5FF8"/>
    <w:rsid w:val="75AF53F1"/>
    <w:rsid w:val="75BA64AB"/>
    <w:rsid w:val="75D92177"/>
    <w:rsid w:val="75DE0B11"/>
    <w:rsid w:val="75E81BB2"/>
    <w:rsid w:val="75F01FF5"/>
    <w:rsid w:val="75F86525"/>
    <w:rsid w:val="75FB47C4"/>
    <w:rsid w:val="75FF3F53"/>
    <w:rsid w:val="76095C9B"/>
    <w:rsid w:val="760D1082"/>
    <w:rsid w:val="760E742B"/>
    <w:rsid w:val="761620A0"/>
    <w:rsid w:val="76165CF8"/>
    <w:rsid w:val="761B6535"/>
    <w:rsid w:val="76201591"/>
    <w:rsid w:val="76271E3C"/>
    <w:rsid w:val="7632192B"/>
    <w:rsid w:val="763418B6"/>
    <w:rsid w:val="763455AF"/>
    <w:rsid w:val="76392857"/>
    <w:rsid w:val="76407146"/>
    <w:rsid w:val="76491771"/>
    <w:rsid w:val="765B10A7"/>
    <w:rsid w:val="765D3A06"/>
    <w:rsid w:val="767743A3"/>
    <w:rsid w:val="76AC4ECF"/>
    <w:rsid w:val="76C61426"/>
    <w:rsid w:val="76D36C39"/>
    <w:rsid w:val="76D94F6C"/>
    <w:rsid w:val="76D97AFF"/>
    <w:rsid w:val="76DF1BCC"/>
    <w:rsid w:val="77056E0B"/>
    <w:rsid w:val="770F2826"/>
    <w:rsid w:val="772A0C70"/>
    <w:rsid w:val="772B467B"/>
    <w:rsid w:val="77310A3F"/>
    <w:rsid w:val="7734678B"/>
    <w:rsid w:val="773470DE"/>
    <w:rsid w:val="773D58DC"/>
    <w:rsid w:val="77436E8C"/>
    <w:rsid w:val="7744436F"/>
    <w:rsid w:val="77A15B74"/>
    <w:rsid w:val="77A17922"/>
    <w:rsid w:val="77A65777"/>
    <w:rsid w:val="77B24817"/>
    <w:rsid w:val="77B25DA1"/>
    <w:rsid w:val="77B41060"/>
    <w:rsid w:val="77B8724A"/>
    <w:rsid w:val="77BD13BC"/>
    <w:rsid w:val="77CC3AD2"/>
    <w:rsid w:val="77CC60B9"/>
    <w:rsid w:val="77CD0AAC"/>
    <w:rsid w:val="77D672AA"/>
    <w:rsid w:val="77ED4606"/>
    <w:rsid w:val="77FA4D51"/>
    <w:rsid w:val="77FD7BF3"/>
    <w:rsid w:val="78172246"/>
    <w:rsid w:val="78187313"/>
    <w:rsid w:val="7829361E"/>
    <w:rsid w:val="782E1AD6"/>
    <w:rsid w:val="78457416"/>
    <w:rsid w:val="785275A7"/>
    <w:rsid w:val="78681660"/>
    <w:rsid w:val="787136A7"/>
    <w:rsid w:val="789A3D30"/>
    <w:rsid w:val="78B503A8"/>
    <w:rsid w:val="78C372FB"/>
    <w:rsid w:val="78C74988"/>
    <w:rsid w:val="78F02FBE"/>
    <w:rsid w:val="79021DE9"/>
    <w:rsid w:val="791653E2"/>
    <w:rsid w:val="79183C14"/>
    <w:rsid w:val="792B305D"/>
    <w:rsid w:val="79361193"/>
    <w:rsid w:val="7960437D"/>
    <w:rsid w:val="796153F4"/>
    <w:rsid w:val="796920A1"/>
    <w:rsid w:val="797D43BF"/>
    <w:rsid w:val="797E1BE9"/>
    <w:rsid w:val="79834BEA"/>
    <w:rsid w:val="79920944"/>
    <w:rsid w:val="799B1F89"/>
    <w:rsid w:val="79A70B53"/>
    <w:rsid w:val="79D160E5"/>
    <w:rsid w:val="79D2073C"/>
    <w:rsid w:val="79DA5AB8"/>
    <w:rsid w:val="79E13B35"/>
    <w:rsid w:val="79E675CF"/>
    <w:rsid w:val="79F25261"/>
    <w:rsid w:val="79FB18B6"/>
    <w:rsid w:val="7A0B6D16"/>
    <w:rsid w:val="7A13262E"/>
    <w:rsid w:val="7A1328EC"/>
    <w:rsid w:val="7A1B6529"/>
    <w:rsid w:val="7A3500AD"/>
    <w:rsid w:val="7A3507F6"/>
    <w:rsid w:val="7A7D7AE8"/>
    <w:rsid w:val="7A856D10"/>
    <w:rsid w:val="7A8C0FAD"/>
    <w:rsid w:val="7A912060"/>
    <w:rsid w:val="7A9C4EA9"/>
    <w:rsid w:val="7A9F443F"/>
    <w:rsid w:val="7ACE2898"/>
    <w:rsid w:val="7AD0671B"/>
    <w:rsid w:val="7ADB12FB"/>
    <w:rsid w:val="7AF46D4D"/>
    <w:rsid w:val="7B076241"/>
    <w:rsid w:val="7B0B4988"/>
    <w:rsid w:val="7B234A9A"/>
    <w:rsid w:val="7B4B066B"/>
    <w:rsid w:val="7B50411F"/>
    <w:rsid w:val="7B504299"/>
    <w:rsid w:val="7B5D3D4B"/>
    <w:rsid w:val="7B6F236E"/>
    <w:rsid w:val="7B797B87"/>
    <w:rsid w:val="7B7B52C7"/>
    <w:rsid w:val="7B7C1067"/>
    <w:rsid w:val="7B871525"/>
    <w:rsid w:val="7B890DF9"/>
    <w:rsid w:val="7B906D30"/>
    <w:rsid w:val="7BA54094"/>
    <w:rsid w:val="7BB552E2"/>
    <w:rsid w:val="7BC171B5"/>
    <w:rsid w:val="7BC22849"/>
    <w:rsid w:val="7BD922CE"/>
    <w:rsid w:val="7BE0331E"/>
    <w:rsid w:val="7BEB03D0"/>
    <w:rsid w:val="7BED6023"/>
    <w:rsid w:val="7BF075E5"/>
    <w:rsid w:val="7C014E34"/>
    <w:rsid w:val="7C1659C1"/>
    <w:rsid w:val="7C172EF2"/>
    <w:rsid w:val="7C2C445F"/>
    <w:rsid w:val="7C3454B9"/>
    <w:rsid w:val="7C3779AE"/>
    <w:rsid w:val="7C3918FE"/>
    <w:rsid w:val="7C50112E"/>
    <w:rsid w:val="7C52568F"/>
    <w:rsid w:val="7C541407"/>
    <w:rsid w:val="7C7061BC"/>
    <w:rsid w:val="7C712105"/>
    <w:rsid w:val="7C73514F"/>
    <w:rsid w:val="7C8F47DE"/>
    <w:rsid w:val="7CA55770"/>
    <w:rsid w:val="7CE22A31"/>
    <w:rsid w:val="7CE3464A"/>
    <w:rsid w:val="7CE639E0"/>
    <w:rsid w:val="7D052242"/>
    <w:rsid w:val="7D0A79EC"/>
    <w:rsid w:val="7D0D2D49"/>
    <w:rsid w:val="7D1231F4"/>
    <w:rsid w:val="7D1851C3"/>
    <w:rsid w:val="7D1F072C"/>
    <w:rsid w:val="7D3261E6"/>
    <w:rsid w:val="7D492360"/>
    <w:rsid w:val="7D613AB1"/>
    <w:rsid w:val="7D69172C"/>
    <w:rsid w:val="7D6F1362"/>
    <w:rsid w:val="7D7259C4"/>
    <w:rsid w:val="7D7304D0"/>
    <w:rsid w:val="7D7A3E10"/>
    <w:rsid w:val="7D8B70AB"/>
    <w:rsid w:val="7D920C00"/>
    <w:rsid w:val="7DA93CDC"/>
    <w:rsid w:val="7DAC5273"/>
    <w:rsid w:val="7DBA7CAB"/>
    <w:rsid w:val="7DBB3082"/>
    <w:rsid w:val="7DBC050C"/>
    <w:rsid w:val="7DCC5037"/>
    <w:rsid w:val="7DCD6536"/>
    <w:rsid w:val="7DD30A52"/>
    <w:rsid w:val="7DE70C9C"/>
    <w:rsid w:val="7DEE3196"/>
    <w:rsid w:val="7DF02B7B"/>
    <w:rsid w:val="7DF07F25"/>
    <w:rsid w:val="7DFE10C5"/>
    <w:rsid w:val="7E245A9C"/>
    <w:rsid w:val="7E2F4A21"/>
    <w:rsid w:val="7E2F5812"/>
    <w:rsid w:val="7E503E50"/>
    <w:rsid w:val="7E645A60"/>
    <w:rsid w:val="7E704F93"/>
    <w:rsid w:val="7E7358D0"/>
    <w:rsid w:val="7E803E75"/>
    <w:rsid w:val="7E850F3F"/>
    <w:rsid w:val="7E957AB5"/>
    <w:rsid w:val="7E9D38A8"/>
    <w:rsid w:val="7EBC0762"/>
    <w:rsid w:val="7EC97A7B"/>
    <w:rsid w:val="7EEC5322"/>
    <w:rsid w:val="7EF13237"/>
    <w:rsid w:val="7EF41B9A"/>
    <w:rsid w:val="7EFE1E58"/>
    <w:rsid w:val="7F280929"/>
    <w:rsid w:val="7F287790"/>
    <w:rsid w:val="7F5D0386"/>
    <w:rsid w:val="7F88549A"/>
    <w:rsid w:val="7F886D70"/>
    <w:rsid w:val="7F8F70F1"/>
    <w:rsid w:val="7F9A331C"/>
    <w:rsid w:val="7F9D738C"/>
    <w:rsid w:val="7FA57BC9"/>
    <w:rsid w:val="7FB06C1C"/>
    <w:rsid w:val="7FC66816"/>
    <w:rsid w:val="7FCA19E0"/>
    <w:rsid w:val="7FE97641"/>
    <w:rsid w:val="7FF91E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30"/>
    <w:qFormat/>
    <w:uiPriority w:val="99"/>
    <w:pPr>
      <w:keepNext/>
      <w:keepLines/>
      <w:spacing w:before="340" w:after="330" w:line="576" w:lineRule="auto"/>
      <w:outlineLvl w:val="0"/>
    </w:pPr>
    <w:rPr>
      <w:b/>
      <w:bCs/>
      <w:kern w:val="44"/>
      <w:sz w:val="44"/>
      <w:szCs w:val="44"/>
    </w:rPr>
  </w:style>
  <w:style w:type="paragraph" w:styleId="8">
    <w:name w:val="heading 2"/>
    <w:basedOn w:val="1"/>
    <w:next w:val="1"/>
    <w:qFormat/>
    <w:locked/>
    <w:uiPriority w:val="0"/>
    <w:pPr>
      <w:keepNext/>
      <w:keepLines/>
      <w:numPr>
        <w:ilvl w:val="0"/>
        <w:numId w:val="1"/>
      </w:numPr>
      <w:spacing w:before="260" w:beforeLines="0" w:after="260" w:afterLines="0" w:line="413" w:lineRule="auto"/>
      <w:outlineLvl w:val="1"/>
    </w:pPr>
    <w:rPr>
      <w:rFonts w:ascii="Arial" w:hAnsi="Arial" w:eastAsia="黑体"/>
      <w:b/>
      <w:sz w:val="32"/>
    </w:rPr>
  </w:style>
  <w:style w:type="paragraph" w:styleId="9">
    <w:name w:val="heading 3"/>
    <w:basedOn w:val="1"/>
    <w:next w:val="1"/>
    <w:qFormat/>
    <w:locked/>
    <w:uiPriority w:val="0"/>
    <w:pPr>
      <w:keepNext/>
      <w:keepLines/>
      <w:numPr>
        <w:ilvl w:val="2"/>
        <w:numId w:val="2"/>
      </w:numPr>
      <w:spacing w:before="20" w:beforeAutospacing="0" w:after="20" w:afterAutospacing="0" w:line="240" w:lineRule="auto"/>
      <w:ind w:left="0" w:firstLine="400"/>
      <w:jc w:val="left"/>
      <w:outlineLvl w:val="2"/>
    </w:pPr>
    <w:rPr>
      <w:rFonts w:ascii="Times New Roman" w:hAnsi="Times New Roman" w:eastAsia="微软雅黑" w:cs="微软雅黑"/>
      <w:b/>
      <w:bCs/>
      <w:color w:val="000000"/>
      <w:sz w:val="30"/>
      <w:szCs w:val="30"/>
      <w:u w:val="single" w:color="FF0000"/>
    </w:rPr>
  </w:style>
  <w:style w:type="paragraph" w:styleId="4">
    <w:name w:val="heading 4"/>
    <w:basedOn w:val="1"/>
    <w:next w:val="1"/>
    <w:qFormat/>
    <w:locked/>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firstLine="480" w:firstLineChars="200"/>
    </w:pPr>
    <w:rPr>
      <w:lang w:val="zh-CN"/>
    </w:rPr>
  </w:style>
  <w:style w:type="paragraph" w:styleId="3">
    <w:name w:val="Body Text Indent"/>
    <w:basedOn w:val="1"/>
    <w:next w:val="4"/>
    <w:qFormat/>
    <w:uiPriority w:val="0"/>
    <w:pPr>
      <w:spacing w:after="120"/>
      <w:ind w:left="420" w:leftChars="200"/>
    </w:pPr>
    <w:rPr>
      <w:kern w:val="0"/>
      <w:sz w:val="20"/>
    </w:rPr>
  </w:style>
  <w:style w:type="paragraph" w:styleId="5">
    <w:name w:val="Body Text First Indent"/>
    <w:basedOn w:val="6"/>
    <w:next w:val="2"/>
    <w:qFormat/>
    <w:uiPriority w:val="0"/>
    <w:pPr>
      <w:tabs>
        <w:tab w:val="left" w:pos="567"/>
      </w:tabs>
      <w:autoSpaceDE w:val="0"/>
      <w:autoSpaceDN w:val="0"/>
      <w:adjustRightInd w:val="0"/>
      <w:spacing w:beforeAutospacing="0" w:afterAutospacing="0" w:line="360" w:lineRule="auto"/>
      <w:ind w:firstLine="420" w:firstLineChars="200"/>
    </w:pPr>
    <w:rPr>
      <w:rFonts w:ascii="Arial" w:hAnsi="Arial"/>
      <w:szCs w:val="21"/>
    </w:rPr>
  </w:style>
  <w:style w:type="paragraph" w:styleId="6">
    <w:name w:val="Body Text"/>
    <w:basedOn w:val="1"/>
    <w:next w:val="1"/>
    <w:link w:val="32"/>
    <w:qFormat/>
    <w:uiPriority w:val="99"/>
    <w:pPr>
      <w:spacing w:after="120"/>
    </w:pPr>
    <w:rPr>
      <w:kern w:val="0"/>
      <w:sz w:val="20"/>
    </w:rPr>
  </w:style>
  <w:style w:type="paragraph" w:styleId="10">
    <w:name w:val="List 3"/>
    <w:basedOn w:val="1"/>
    <w:qFormat/>
    <w:uiPriority w:val="99"/>
    <w:pPr>
      <w:ind w:left="100" w:leftChars="400" w:hanging="200" w:hangingChars="2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index 6"/>
    <w:basedOn w:val="1"/>
    <w:next w:val="1"/>
    <w:qFormat/>
    <w:uiPriority w:val="99"/>
    <w:pPr>
      <w:ind w:left="2100"/>
    </w:pPr>
  </w:style>
  <w:style w:type="paragraph" w:styleId="13">
    <w:name w:val="Plain Text"/>
    <w:basedOn w:val="1"/>
    <w:link w:val="33"/>
    <w:qFormat/>
    <w:uiPriority w:val="99"/>
    <w:pPr>
      <w:widowControl/>
      <w:spacing w:before="100" w:beforeAutospacing="1" w:after="100" w:afterAutospacing="1"/>
      <w:jc w:val="left"/>
    </w:pPr>
    <w:rPr>
      <w:rFonts w:ascii="宋体" w:hAnsi="宋体"/>
      <w:kern w:val="0"/>
      <w:sz w:val="24"/>
    </w:rPr>
  </w:style>
  <w:style w:type="paragraph" w:styleId="14">
    <w:name w:val="Date"/>
    <w:basedOn w:val="1"/>
    <w:next w:val="1"/>
    <w:qFormat/>
    <w:uiPriority w:val="0"/>
    <w:pPr>
      <w:ind w:left="100" w:leftChars="2500"/>
    </w:pPr>
    <w:rPr>
      <w:color w:val="000000"/>
      <w:kern w:val="0"/>
      <w:sz w:val="28"/>
    </w:rPr>
  </w:style>
  <w:style w:type="paragraph" w:styleId="15">
    <w:name w:val="Body Text Indent 2"/>
    <w:basedOn w:val="1"/>
    <w:qFormat/>
    <w:uiPriority w:val="0"/>
    <w:pPr>
      <w:spacing w:after="120" w:afterLines="0" w:line="480" w:lineRule="auto"/>
      <w:ind w:left="420" w:leftChars="200"/>
    </w:pPr>
    <w:rPr>
      <w:rFonts w:ascii="Times New Roman" w:hAnsi="Times New Roman" w:eastAsia="宋体" w:cs="Times New Roman"/>
    </w:rPr>
  </w:style>
  <w:style w:type="paragraph" w:styleId="16">
    <w:name w:val="Balloon Text"/>
    <w:basedOn w:val="1"/>
    <w:link w:val="41"/>
    <w:semiHidden/>
    <w:qFormat/>
    <w:uiPriority w:val="99"/>
    <w:rPr>
      <w:sz w:val="18"/>
      <w:szCs w:val="18"/>
    </w:rPr>
  </w:style>
  <w:style w:type="paragraph" w:styleId="17">
    <w:name w:val="footer"/>
    <w:basedOn w:val="1"/>
    <w:link w:val="34"/>
    <w:qFormat/>
    <w:uiPriority w:val="99"/>
    <w:pPr>
      <w:tabs>
        <w:tab w:val="center" w:pos="4153"/>
        <w:tab w:val="right" w:pos="8306"/>
      </w:tabs>
      <w:snapToGrid w:val="0"/>
      <w:jc w:val="left"/>
    </w:pPr>
    <w:rPr>
      <w:rFonts w:ascii="Calibri" w:hAnsi="Calibri"/>
      <w:kern w:val="0"/>
      <w:sz w:val="18"/>
      <w:szCs w:val="18"/>
    </w:rPr>
  </w:style>
  <w:style w:type="paragraph" w:styleId="18">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footnote text"/>
    <w:basedOn w:val="1"/>
    <w:next w:val="6"/>
    <w:link w:val="31"/>
    <w:qFormat/>
    <w:uiPriority w:val="99"/>
    <w:pPr>
      <w:snapToGrid w:val="0"/>
      <w:jc w:val="left"/>
    </w:pPr>
    <w:rPr>
      <w:sz w:val="18"/>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1">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ascii="Times New Roman" w:hAnsi="Times New Roman" w:eastAsia="宋体" w:cs="Times New Roman"/>
      <w:b/>
    </w:rPr>
  </w:style>
  <w:style w:type="character" w:styleId="26">
    <w:name w:val="HTML Sample"/>
    <w:basedOn w:val="24"/>
    <w:semiHidden/>
    <w:unhideWhenUsed/>
    <w:qFormat/>
    <w:uiPriority w:val="99"/>
    <w:rPr>
      <w:rFonts w:ascii="Courier New" w:hAnsi="Courier New"/>
    </w:rPr>
  </w:style>
  <w:style w:type="paragraph" w:customStyle="1" w:styleId="27">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8">
    <w:name w:val="一级条标题"/>
    <w:basedOn w:val="29"/>
    <w:next w:val="27"/>
    <w:qFormat/>
    <w:uiPriority w:val="99"/>
    <w:pPr>
      <w:spacing w:line="240" w:lineRule="auto"/>
      <w:ind w:left="420"/>
      <w:outlineLvl w:val="2"/>
    </w:pPr>
  </w:style>
  <w:style w:type="paragraph" w:customStyle="1" w:styleId="29">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character" w:customStyle="1" w:styleId="30">
    <w:name w:val="标题 1 Char"/>
    <w:link w:val="7"/>
    <w:qFormat/>
    <w:uiPriority w:val="9"/>
    <w:rPr>
      <w:b/>
      <w:bCs/>
      <w:kern w:val="44"/>
      <w:sz w:val="44"/>
      <w:szCs w:val="44"/>
    </w:rPr>
  </w:style>
  <w:style w:type="character" w:customStyle="1" w:styleId="31">
    <w:name w:val="脚注文本 Char"/>
    <w:link w:val="19"/>
    <w:semiHidden/>
    <w:qFormat/>
    <w:uiPriority w:val="99"/>
    <w:rPr>
      <w:sz w:val="18"/>
      <w:szCs w:val="18"/>
    </w:rPr>
  </w:style>
  <w:style w:type="character" w:customStyle="1" w:styleId="32">
    <w:name w:val="正文文本 Char"/>
    <w:link w:val="6"/>
    <w:semiHidden/>
    <w:qFormat/>
    <w:uiPriority w:val="99"/>
    <w:rPr>
      <w:szCs w:val="24"/>
    </w:rPr>
  </w:style>
  <w:style w:type="character" w:customStyle="1" w:styleId="33">
    <w:name w:val="纯文本 Char"/>
    <w:link w:val="13"/>
    <w:semiHidden/>
    <w:qFormat/>
    <w:uiPriority w:val="99"/>
    <w:rPr>
      <w:rFonts w:ascii="宋体" w:hAnsi="Courier New" w:cs="Courier New"/>
      <w:szCs w:val="21"/>
    </w:rPr>
  </w:style>
  <w:style w:type="character" w:customStyle="1" w:styleId="34">
    <w:name w:val="页脚 Char"/>
    <w:link w:val="17"/>
    <w:semiHidden/>
    <w:qFormat/>
    <w:uiPriority w:val="99"/>
    <w:rPr>
      <w:sz w:val="18"/>
      <w:szCs w:val="18"/>
    </w:rPr>
  </w:style>
  <w:style w:type="character" w:customStyle="1" w:styleId="35">
    <w:name w:val="页眉 Char"/>
    <w:link w:val="18"/>
    <w:semiHidden/>
    <w:qFormat/>
    <w:uiPriority w:val="99"/>
    <w:rPr>
      <w:sz w:val="18"/>
      <w:szCs w:val="18"/>
    </w:rPr>
  </w:style>
  <w:style w:type="paragraph" w:customStyle="1" w:styleId="36">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7">
    <w:name w:val="WPS Plain"/>
    <w:qFormat/>
    <w:uiPriority w:val="99"/>
    <w:rPr>
      <w:rFonts w:ascii="Times New Roman" w:hAnsi="Times New Roman" w:eastAsia="宋体" w:cs="Times New Roman"/>
      <w:lang w:val="en-US" w:eastAsia="zh-CN" w:bidi="ar-SA"/>
    </w:rPr>
  </w:style>
  <w:style w:type="paragraph" w:customStyle="1" w:styleId="38">
    <w:name w:val="List Paragraph1"/>
    <w:basedOn w:val="1"/>
    <w:qFormat/>
    <w:uiPriority w:val="99"/>
    <w:pPr>
      <w:ind w:firstLine="420" w:firstLineChars="200"/>
    </w:pPr>
    <w:rPr>
      <w:rFonts w:ascii="Calibri" w:hAnsi="Calibri"/>
      <w:szCs w:val="22"/>
    </w:rPr>
  </w:style>
  <w:style w:type="paragraph" w:customStyle="1" w:styleId="39">
    <w:name w:val="È¡ÀÊ¡ÎÄ¡À¾"/>
    <w:basedOn w:val="1"/>
    <w:qFormat/>
    <w:uiPriority w:val="99"/>
    <w:pPr>
      <w:overflowPunct w:val="0"/>
      <w:autoSpaceDE w:val="0"/>
      <w:autoSpaceDN w:val="0"/>
      <w:textAlignment w:val="baseline"/>
    </w:pPr>
    <w:rPr>
      <w:sz w:val="24"/>
      <w:szCs w:val="20"/>
    </w:rPr>
  </w:style>
  <w:style w:type="paragraph" w:customStyle="1" w:styleId="4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41">
    <w:name w:val="批注框文本 Char"/>
    <w:link w:val="16"/>
    <w:semiHidden/>
    <w:qFormat/>
    <w:uiPriority w:val="99"/>
    <w:rPr>
      <w:sz w:val="0"/>
      <w:szCs w:val="0"/>
    </w:rPr>
  </w:style>
  <w:style w:type="paragraph" w:styleId="42">
    <w:name w:val="List Paragraph"/>
    <w:basedOn w:val="1"/>
    <w:qFormat/>
    <w:uiPriority w:val="0"/>
    <w:pPr>
      <w:ind w:firstLine="420" w:firstLineChars="200"/>
    </w:pPr>
  </w:style>
  <w:style w:type="paragraph" w:customStyle="1" w:styleId="4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Heading 11"/>
    <w:basedOn w:val="1"/>
    <w:qFormat/>
    <w:uiPriority w:val="99"/>
    <w:pPr>
      <w:widowControl/>
      <w:spacing w:line="276" w:lineRule="auto"/>
      <w:ind w:left="119" w:leftChars="50"/>
      <w:jc w:val="center"/>
      <w:outlineLvl w:val="1"/>
    </w:pPr>
    <w:rPr>
      <w:rFonts w:ascii="Noto Sans CJK JP Regular" w:hAnsi="Noto Sans CJK JP Regular" w:eastAsia="宋体" w:cs="Noto Sans CJK JP Regular"/>
      <w:kern w:val="0"/>
      <w:sz w:val="32"/>
      <w:szCs w:val="32"/>
      <w:lang w:val="zh-CN"/>
    </w:rPr>
  </w:style>
  <w:style w:type="paragraph" w:customStyle="1" w:styleId="45">
    <w:name w:val="Table Paragraph"/>
    <w:basedOn w:val="1"/>
    <w:qFormat/>
    <w:uiPriority w:val="99"/>
    <w:pPr>
      <w:widowControl/>
      <w:spacing w:line="276" w:lineRule="auto"/>
      <w:ind w:left="50" w:leftChars="50"/>
      <w:jc w:val="left"/>
    </w:pPr>
    <w:rPr>
      <w:rFonts w:ascii="Noto Sans CJK JP Regular" w:hAnsi="Noto Sans CJK JP Regular" w:eastAsia="宋体" w:cs="Noto Sans CJK JP Regular"/>
      <w:kern w:val="0"/>
      <w:sz w:val="22"/>
      <w:lang w:val="zh-CN"/>
    </w:rPr>
  </w:style>
  <w:style w:type="paragraph" w:customStyle="1" w:styleId="46">
    <w:name w:val="Default Tex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47">
    <w:name w:val="列出段落1"/>
    <w:basedOn w:val="1"/>
    <w:qFormat/>
    <w:uiPriority w:val="0"/>
    <w:pPr>
      <w:ind w:firstLine="420" w:firstLineChars="200"/>
    </w:pPr>
    <w:rPr>
      <w:rFonts w:ascii="Calibri" w:hAnsi="Calibri" w:eastAsia="宋体" w:cs="Times New Roman"/>
      <w:szCs w:val="22"/>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列表段落1"/>
    <w:basedOn w:val="1"/>
    <w:qFormat/>
    <w:uiPriority w:val="34"/>
    <w:pPr>
      <w:ind w:firstLine="420" w:firstLineChars="200"/>
    </w:pPr>
  </w:style>
  <w:style w:type="paragraph" w:customStyle="1" w:styleId="5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51">
    <w:name w:val="索引 11"/>
    <w:basedOn w:val="1"/>
    <w:next w:val="1"/>
    <w:qFormat/>
    <w:uiPriority w:val="0"/>
    <w:pPr>
      <w:spacing w:line="360" w:lineRule="auto"/>
    </w:pPr>
    <w:rPr>
      <w:rFonts w:ascii="仿宋_GB2312" w:hAnsi="Calibri" w:eastAsia="仿宋_GB2312" w:cs="Times New Roman"/>
      <w:sz w:val="24"/>
      <w:szCs w:val="20"/>
    </w:rPr>
  </w:style>
  <w:style w:type="paragraph" w:customStyle="1" w:styleId="52">
    <w:name w:val="纯文本1"/>
    <w:basedOn w:val="1"/>
    <w:qFormat/>
    <w:uiPriority w:val="0"/>
    <w:rPr>
      <w:rFonts w:ascii="宋体" w:hAnsi="Courier New" w:eastAsia="宋体" w:cs="Times New Roman"/>
      <w:szCs w:val="22"/>
    </w:rPr>
  </w:style>
  <w:style w:type="paragraph" w:customStyle="1" w:styleId="53">
    <w:name w:val="样式111111111111"/>
    <w:basedOn w:val="1"/>
    <w:qFormat/>
    <w:uiPriority w:val="0"/>
    <w:pPr>
      <w:keepNext/>
      <w:spacing w:line="600" w:lineRule="exact"/>
    </w:pPr>
    <w:rPr>
      <w:rFonts w:ascii="等线" w:hAnsi="等线" w:eastAsia="微软雅黑"/>
      <w:color w:val="000000"/>
    </w:rPr>
  </w:style>
  <w:style w:type="paragraph" w:customStyle="1" w:styleId="54">
    <w:name w:val="列出段落2"/>
    <w:basedOn w:val="1"/>
    <w:qFormat/>
    <w:uiPriority w:val="99"/>
    <w:pPr>
      <w:ind w:firstLine="420" w:firstLineChars="200"/>
    </w:pPr>
    <w:rPr>
      <w:rFonts w:ascii="Calibri" w:hAnsi="Calibri"/>
      <w:sz w:val="21"/>
      <w:szCs w:val="20"/>
    </w:rPr>
  </w:style>
  <w:style w:type="paragraph" w:customStyle="1" w:styleId="55">
    <w:name w:val="列出段落3"/>
    <w:basedOn w:val="1"/>
    <w:qFormat/>
    <w:uiPriority w:val="0"/>
    <w:pPr>
      <w:widowControl w:val="0"/>
      <w:ind w:firstLine="420" w:firstLineChars="200"/>
      <w:jc w:val="both"/>
    </w:pPr>
    <w:rPr>
      <w:rFonts w:ascii="Calibri" w:hAnsi="Calibri"/>
      <w:kern w:val="2"/>
      <w:sz w:val="21"/>
    </w:rPr>
  </w:style>
  <w:style w:type="paragraph" w:styleId="56">
    <w:name w:val="No Spacing"/>
    <w:qFormat/>
    <w:uiPriority w:val="1"/>
    <w:pPr>
      <w:widowControl w:val="0"/>
      <w:jc w:val="both"/>
    </w:pPr>
    <w:rPr>
      <w:rFonts w:ascii="Times New Roman" w:hAnsi="Times New Roman" w:eastAsia="宋体" w:cs="Times New Roman"/>
      <w:lang w:val="en-US" w:eastAsia="zh-CN" w:bidi="ar-SA"/>
    </w:rPr>
  </w:style>
  <w:style w:type="character" w:customStyle="1" w:styleId="57">
    <w:name w:val="font11"/>
    <w:basedOn w:val="24"/>
    <w:qFormat/>
    <w:uiPriority w:val="0"/>
    <w:rPr>
      <w:rFonts w:hint="eastAsia" w:ascii="宋体" w:hAnsi="宋体" w:eastAsia="宋体" w:cs="宋体"/>
      <w:color w:val="FF0000"/>
      <w:sz w:val="24"/>
      <w:szCs w:val="24"/>
      <w:u w:val="none"/>
    </w:rPr>
  </w:style>
  <w:style w:type="character" w:customStyle="1" w:styleId="58">
    <w:name w:val="font01"/>
    <w:basedOn w:val="24"/>
    <w:qFormat/>
    <w:uiPriority w:val="0"/>
    <w:rPr>
      <w:rFonts w:hint="eastAsia" w:ascii="宋体" w:hAnsi="宋体" w:eastAsia="宋体" w:cs="宋体"/>
      <w:color w:val="000000"/>
      <w:sz w:val="24"/>
      <w:szCs w:val="24"/>
      <w:u w:val="none"/>
    </w:rPr>
  </w:style>
  <w:style w:type="character" w:customStyle="1" w:styleId="59">
    <w:name w:val="font71"/>
    <w:basedOn w:val="24"/>
    <w:qFormat/>
    <w:uiPriority w:val="0"/>
    <w:rPr>
      <w:rFonts w:hint="eastAsia" w:ascii="宋体" w:hAnsi="宋体" w:eastAsia="宋体" w:cs="宋体"/>
      <w:color w:val="000000"/>
      <w:sz w:val="22"/>
      <w:szCs w:val="22"/>
      <w:u w:val="none"/>
    </w:rPr>
  </w:style>
  <w:style w:type="character" w:customStyle="1" w:styleId="60">
    <w:name w:val="font41"/>
    <w:basedOn w:val="24"/>
    <w:qFormat/>
    <w:uiPriority w:val="0"/>
    <w:rPr>
      <w:rFonts w:hint="eastAsia" w:ascii="宋体" w:hAnsi="宋体" w:eastAsia="宋体" w:cs="宋体"/>
      <w:color w:val="2034F6"/>
      <w:sz w:val="22"/>
      <w:szCs w:val="22"/>
      <w:u w:val="none"/>
    </w:rPr>
  </w:style>
  <w:style w:type="character" w:customStyle="1" w:styleId="61">
    <w:name w:val="font81"/>
    <w:basedOn w:val="24"/>
    <w:qFormat/>
    <w:uiPriority w:val="0"/>
    <w:rPr>
      <w:rFonts w:hint="eastAsia" w:ascii="宋体" w:hAnsi="宋体" w:eastAsia="宋体" w:cs="宋体"/>
      <w:color w:val="FF0000"/>
      <w:sz w:val="22"/>
      <w:szCs w:val="22"/>
      <w:u w:val="none"/>
    </w:rPr>
  </w:style>
  <w:style w:type="character" w:customStyle="1" w:styleId="62">
    <w:name w:val="font91"/>
    <w:basedOn w:val="24"/>
    <w:qFormat/>
    <w:uiPriority w:val="0"/>
    <w:rPr>
      <w:rFonts w:hint="eastAsia" w:ascii="宋体" w:hAnsi="宋体" w:eastAsia="宋体" w:cs="宋体"/>
      <w:color w:val="1849FE"/>
      <w:sz w:val="22"/>
      <w:szCs w:val="22"/>
      <w:u w:val="none"/>
    </w:rPr>
  </w:style>
  <w:style w:type="character" w:customStyle="1" w:styleId="63">
    <w:name w:val="font61"/>
    <w:basedOn w:val="24"/>
    <w:qFormat/>
    <w:uiPriority w:val="0"/>
    <w:rPr>
      <w:rFonts w:hint="eastAsia" w:ascii="宋体" w:hAnsi="宋体" w:eastAsia="宋体" w:cs="宋体"/>
      <w:color w:val="000000"/>
      <w:sz w:val="16"/>
      <w:szCs w:val="16"/>
      <w:u w:val="none"/>
    </w:rPr>
  </w:style>
  <w:style w:type="character" w:customStyle="1" w:styleId="64">
    <w:name w:val="font101"/>
    <w:basedOn w:val="24"/>
    <w:qFormat/>
    <w:uiPriority w:val="0"/>
    <w:rPr>
      <w:rFonts w:hint="eastAsia" w:ascii="宋体" w:hAnsi="宋体" w:eastAsia="宋体" w:cs="宋体"/>
      <w:color w:val="FF0000"/>
      <w:sz w:val="16"/>
      <w:szCs w:val="16"/>
      <w:u w:val="none"/>
    </w:rPr>
  </w:style>
  <w:style w:type="paragraph" w:customStyle="1" w:styleId="6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表格文字"/>
    <w:basedOn w:val="1"/>
    <w:next w:val="6"/>
    <w:qFormat/>
    <w:uiPriority w:val="0"/>
    <w:pPr>
      <w:spacing w:before="25" w:after="25" w:line="300" w:lineRule="auto"/>
    </w:pPr>
    <w:rPr>
      <w:rFonts w:ascii="Times" w:hAnsi="Time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25913</Words>
  <Characters>27689</Characters>
  <Lines>158</Lines>
  <Paragraphs>44</Paragraphs>
  <TotalTime>46</TotalTime>
  <ScaleCrop>false</ScaleCrop>
  <LinksUpToDate>false</LinksUpToDate>
  <CharactersWithSpaces>31179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WPS_1678685704</cp:lastModifiedBy>
  <cp:lastPrinted>2023-04-14T05:04:00Z</cp:lastPrinted>
  <dcterms:modified xsi:type="dcterms:W3CDTF">2023-07-04T10:31:45Z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F282FA97F83F49DD934CDF779088F07C_13</vt:lpwstr>
  </property>
</Properties>
</file>