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val="0"/>
          <w:color w:val="auto"/>
          <w:sz w:val="40"/>
          <w:szCs w:val="40"/>
          <w:highlight w:val="none"/>
        </w:rPr>
      </w:pPr>
    </w:p>
    <w:p>
      <w:pPr>
        <w:spacing w:line="240" w:lineRule="auto"/>
        <w:jc w:val="center"/>
        <w:rPr>
          <w:rFonts w:hint="eastAsia" w:ascii="宋体" w:hAnsi="宋体" w:eastAsia="宋体" w:cs="宋体"/>
          <w:b/>
          <w:color w:val="auto"/>
          <w:sz w:val="84"/>
          <w:szCs w:val="84"/>
          <w:highlight w:val="none"/>
        </w:rPr>
      </w:pPr>
      <w:bookmarkStart w:id="0" w:name="_Toc527642950"/>
      <w:bookmarkStart w:id="1" w:name="_Toc267301280"/>
      <w:bookmarkStart w:id="2" w:name="_Toc349573119"/>
      <w:bookmarkStart w:id="3" w:name="_Toc349637918"/>
      <w:bookmarkStart w:id="4" w:name="_Toc20015"/>
      <w:bookmarkStart w:id="5" w:name="_Toc298240403"/>
      <w:r>
        <w:rPr>
          <w:rFonts w:hint="eastAsia" w:ascii="宋体" w:hAnsi="宋体" w:eastAsia="宋体" w:cs="宋体"/>
          <w:b/>
          <w:color w:val="auto"/>
          <w:sz w:val="84"/>
          <w:szCs w:val="84"/>
          <w:highlight w:val="none"/>
        </w:rPr>
        <w:t>竞争性</w:t>
      </w:r>
      <w:r>
        <w:rPr>
          <w:rFonts w:hint="eastAsia" w:ascii="宋体" w:hAnsi="宋体" w:eastAsia="宋体" w:cs="宋体"/>
          <w:b/>
          <w:color w:val="auto"/>
          <w:sz w:val="84"/>
          <w:szCs w:val="84"/>
          <w:highlight w:val="none"/>
          <w:lang w:eastAsia="zh-CN"/>
        </w:rPr>
        <w:t>磋商</w:t>
      </w:r>
      <w:r>
        <w:rPr>
          <w:rFonts w:hint="eastAsia" w:ascii="宋体" w:hAnsi="宋体" w:eastAsia="宋体" w:cs="宋体"/>
          <w:b/>
          <w:color w:val="auto"/>
          <w:sz w:val="84"/>
          <w:szCs w:val="84"/>
          <w:highlight w:val="none"/>
        </w:rPr>
        <w:t>文件</w:t>
      </w: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tabs>
          <w:tab w:val="left" w:pos="2700"/>
          <w:tab w:val="left" w:pos="3584"/>
        </w:tabs>
        <w:spacing w:line="360" w:lineRule="auto"/>
        <w:rPr>
          <w:rFonts w:hint="eastAsia" w:ascii="宋体" w:hAnsi="宋体" w:eastAsia="宋体" w:cs="宋体"/>
          <w:b/>
          <w:bCs/>
          <w:color w:val="auto"/>
          <w:sz w:val="44"/>
          <w:highlight w:val="none"/>
        </w:rPr>
      </w:pPr>
    </w:p>
    <w:p>
      <w:pPr>
        <w:spacing w:line="360" w:lineRule="auto"/>
        <w:jc w:val="center"/>
        <w:rPr>
          <w:rFonts w:hint="eastAsia" w:ascii="宋体" w:hAnsi="宋体" w:eastAsia="宋体" w:cs="宋体"/>
          <w:b/>
          <w:color w:val="auto"/>
          <w:sz w:val="72"/>
          <w:highlight w:val="none"/>
        </w:rPr>
      </w:pPr>
    </w:p>
    <w:p>
      <w:pPr>
        <w:spacing w:line="360" w:lineRule="auto"/>
        <w:jc w:val="center"/>
        <w:rPr>
          <w:rFonts w:hint="eastAsia" w:ascii="宋体" w:hAnsi="宋体" w:eastAsia="宋体" w:cs="宋体"/>
          <w:b/>
          <w:color w:val="auto"/>
          <w:sz w:val="72"/>
          <w:highlight w:val="none"/>
        </w:rPr>
      </w:pPr>
    </w:p>
    <w:p>
      <w:pPr>
        <w:widowControl w:val="0"/>
        <w:jc w:val="both"/>
        <w:rPr>
          <w:rFonts w:hint="eastAsia" w:ascii="宋体" w:hAnsi="宋体" w:eastAsia="宋体" w:cs="宋体"/>
          <w:color w:val="auto"/>
          <w:kern w:val="2"/>
          <w:sz w:val="28"/>
          <w:highlight w:val="none"/>
          <w:lang w:val="en-US" w:eastAsia="zh-CN" w:bidi="ar-SA"/>
        </w:rPr>
      </w:pPr>
    </w:p>
    <w:p>
      <w:pPr>
        <w:tabs>
          <w:tab w:val="left" w:pos="3240"/>
          <w:tab w:val="left" w:pos="3420"/>
        </w:tabs>
        <w:spacing w:line="360" w:lineRule="auto"/>
        <w:jc w:val="left"/>
        <w:rPr>
          <w:rFonts w:hint="eastAsia" w:ascii="宋体" w:hAnsi="宋体" w:eastAsia="宋体" w:cs="宋体"/>
          <w:bCs/>
          <w:color w:val="auto"/>
          <w:sz w:val="32"/>
          <w:szCs w:val="30"/>
          <w:highlight w:val="none"/>
          <w:lang w:val="en-US" w:eastAsia="zh-CN"/>
        </w:rPr>
      </w:pPr>
      <w:r>
        <w:rPr>
          <w:rFonts w:hint="eastAsia" w:ascii="宋体" w:hAnsi="宋体" w:eastAsia="宋体" w:cs="宋体"/>
          <w:bCs/>
          <w:color w:val="auto"/>
          <w:spacing w:val="106"/>
          <w:kern w:val="0"/>
          <w:sz w:val="32"/>
          <w:szCs w:val="30"/>
          <w:highlight w:val="none"/>
          <w:fitText w:val="1920" w:id="1233719883"/>
        </w:rPr>
        <w:t>项目名</w:t>
      </w:r>
      <w:r>
        <w:rPr>
          <w:rFonts w:hint="eastAsia" w:ascii="宋体" w:hAnsi="宋体" w:eastAsia="宋体" w:cs="宋体"/>
          <w:bCs/>
          <w:color w:val="auto"/>
          <w:spacing w:val="2"/>
          <w:kern w:val="0"/>
          <w:sz w:val="32"/>
          <w:szCs w:val="30"/>
          <w:highlight w:val="none"/>
          <w:fitText w:val="1920" w:id="1233719883"/>
        </w:rPr>
        <w:t>称</w:t>
      </w:r>
      <w:r>
        <w:rPr>
          <w:rFonts w:hint="eastAsia" w:ascii="宋体" w:hAnsi="宋体" w:eastAsia="宋体" w:cs="宋体"/>
          <w:bCs/>
          <w:color w:val="auto"/>
          <w:sz w:val="32"/>
          <w:szCs w:val="30"/>
          <w:highlight w:val="none"/>
        </w:rPr>
        <w:t>：</w:t>
      </w:r>
      <w:r>
        <w:rPr>
          <w:rFonts w:hint="eastAsia" w:ascii="宋体" w:hAnsi="宋体" w:cs="宋体"/>
          <w:bCs/>
          <w:color w:val="auto"/>
          <w:sz w:val="32"/>
          <w:szCs w:val="30"/>
          <w:highlight w:val="none"/>
          <w:u w:val="single"/>
          <w:lang w:eastAsia="zh-CN"/>
        </w:rPr>
        <w:t>自治区社会保险服务标准化工作（三次）</w:t>
      </w:r>
      <w:r>
        <w:rPr>
          <w:rFonts w:hint="eastAsia" w:ascii="宋体" w:hAnsi="宋体" w:eastAsia="宋体" w:cs="宋体"/>
          <w:bCs/>
          <w:color w:val="auto"/>
          <w:spacing w:val="106"/>
          <w:kern w:val="0"/>
          <w:sz w:val="32"/>
          <w:szCs w:val="30"/>
          <w:highlight w:val="none"/>
          <w:fitText w:val="1920" w:id="206470561"/>
        </w:rPr>
        <w:t>采购编</w:t>
      </w:r>
      <w:r>
        <w:rPr>
          <w:rFonts w:hint="eastAsia" w:ascii="宋体" w:hAnsi="宋体" w:eastAsia="宋体" w:cs="宋体"/>
          <w:bCs/>
          <w:color w:val="auto"/>
          <w:spacing w:val="2"/>
          <w:kern w:val="0"/>
          <w:sz w:val="32"/>
          <w:szCs w:val="30"/>
          <w:highlight w:val="none"/>
          <w:fitText w:val="1920" w:id="206470561"/>
        </w:rPr>
        <w:t>号</w:t>
      </w:r>
      <w:r>
        <w:rPr>
          <w:rFonts w:hint="eastAsia" w:ascii="宋体" w:hAnsi="宋体" w:eastAsia="宋体" w:cs="宋体"/>
          <w:bCs/>
          <w:color w:val="auto"/>
          <w:sz w:val="32"/>
          <w:szCs w:val="30"/>
          <w:highlight w:val="none"/>
        </w:rPr>
        <w:t>：</w:t>
      </w:r>
      <w:r>
        <w:rPr>
          <w:rFonts w:hint="eastAsia" w:ascii="宋体" w:hAnsi="宋体" w:cs="宋体"/>
          <w:bCs/>
          <w:color w:val="auto"/>
          <w:sz w:val="32"/>
          <w:szCs w:val="30"/>
          <w:highlight w:val="none"/>
          <w:u w:val="single"/>
          <w:lang w:eastAsia="zh-CN"/>
        </w:rPr>
        <w:t>2023(JKJ)134（02）</w:t>
      </w:r>
    </w:p>
    <w:p>
      <w:pPr>
        <w:tabs>
          <w:tab w:val="left" w:pos="3240"/>
          <w:tab w:val="left" w:pos="3420"/>
        </w:tabs>
        <w:spacing w:line="360" w:lineRule="auto"/>
        <w:rPr>
          <w:rFonts w:hint="eastAsia" w:ascii="宋体" w:hAnsi="宋体" w:eastAsia="宋体" w:cs="宋体"/>
          <w:bCs/>
          <w:color w:val="auto"/>
          <w:sz w:val="32"/>
          <w:szCs w:val="30"/>
          <w:highlight w:val="none"/>
        </w:rPr>
      </w:pPr>
      <w:r>
        <w:rPr>
          <w:rFonts w:hint="eastAsia" w:ascii="宋体" w:hAnsi="宋体" w:eastAsia="宋体" w:cs="宋体"/>
          <w:bCs/>
          <w:color w:val="auto"/>
          <w:spacing w:val="240"/>
          <w:kern w:val="0"/>
          <w:sz w:val="32"/>
          <w:szCs w:val="30"/>
          <w:highlight w:val="none"/>
          <w:fitText w:val="1920" w:id="1933604375"/>
        </w:rPr>
        <w:t>采购</w:t>
      </w:r>
      <w:r>
        <w:rPr>
          <w:rFonts w:hint="eastAsia" w:ascii="宋体" w:hAnsi="宋体" w:eastAsia="宋体" w:cs="宋体"/>
          <w:bCs/>
          <w:color w:val="auto"/>
          <w:spacing w:val="0"/>
          <w:kern w:val="0"/>
          <w:sz w:val="32"/>
          <w:szCs w:val="30"/>
          <w:highlight w:val="none"/>
          <w:fitText w:val="1920" w:id="1933604375"/>
        </w:rPr>
        <w:t>人</w:t>
      </w:r>
      <w:r>
        <w:rPr>
          <w:rFonts w:hint="eastAsia" w:ascii="宋体" w:hAnsi="宋体" w:eastAsia="宋体" w:cs="宋体"/>
          <w:bCs/>
          <w:color w:val="auto"/>
          <w:sz w:val="32"/>
          <w:szCs w:val="30"/>
          <w:highlight w:val="none"/>
        </w:rPr>
        <w:t>：</w:t>
      </w:r>
      <w:r>
        <w:rPr>
          <w:rFonts w:hint="eastAsia" w:ascii="宋体" w:hAnsi="宋体" w:eastAsia="宋体" w:cs="宋体"/>
          <w:bCs/>
          <w:color w:val="auto"/>
          <w:sz w:val="32"/>
          <w:szCs w:val="30"/>
          <w:highlight w:val="none"/>
          <w:u w:val="single"/>
          <w:lang w:val="en-US" w:eastAsia="zh-CN"/>
        </w:rPr>
        <w:t>新疆维吾尔自治区社会保险中心</w:t>
      </w:r>
      <w:r>
        <w:rPr>
          <w:rFonts w:hint="eastAsia" w:ascii="宋体" w:hAnsi="宋体" w:eastAsia="宋体" w:cs="宋体"/>
          <w:bCs/>
          <w:color w:val="auto"/>
          <w:sz w:val="32"/>
          <w:szCs w:val="30"/>
          <w:highlight w:val="none"/>
          <w:u w:val="single"/>
        </w:rPr>
        <w:t xml:space="preserve"> </w:t>
      </w:r>
    </w:p>
    <w:p>
      <w:pPr>
        <w:tabs>
          <w:tab w:val="left" w:pos="3240"/>
          <w:tab w:val="left" w:pos="3420"/>
        </w:tabs>
        <w:spacing w:line="360" w:lineRule="auto"/>
        <w:rPr>
          <w:rFonts w:hint="eastAsia" w:ascii="宋体" w:hAnsi="宋体" w:eastAsia="宋体" w:cs="宋体"/>
          <w:bCs/>
          <w:color w:val="auto"/>
          <w:sz w:val="32"/>
          <w:szCs w:val="30"/>
          <w:highlight w:val="none"/>
          <w:u w:val="single"/>
          <w:lang w:val="en-US" w:eastAsia="zh-CN"/>
        </w:rPr>
      </w:pPr>
      <w:r>
        <w:rPr>
          <w:rFonts w:hint="eastAsia" w:ascii="宋体" w:hAnsi="宋体" w:eastAsia="宋体" w:cs="宋体"/>
          <w:bCs/>
          <w:color w:val="auto"/>
          <w:sz w:val="32"/>
          <w:szCs w:val="30"/>
          <w:highlight w:val="none"/>
        </w:rPr>
        <w:t>采购代理机构：</w:t>
      </w:r>
      <w:r>
        <w:rPr>
          <w:rFonts w:hint="eastAsia" w:ascii="宋体" w:hAnsi="宋体" w:eastAsia="宋体" w:cs="宋体"/>
          <w:bCs/>
          <w:color w:val="auto"/>
          <w:sz w:val="32"/>
          <w:szCs w:val="30"/>
          <w:highlight w:val="none"/>
          <w:u w:val="single"/>
          <w:lang w:val="en-US" w:eastAsia="zh-CN"/>
        </w:rPr>
        <w:t>新疆君凯杰工程项目管理有限公司</w:t>
      </w:r>
    </w:p>
    <w:p>
      <w:pPr>
        <w:tabs>
          <w:tab w:val="left" w:pos="3240"/>
          <w:tab w:val="left" w:pos="3420"/>
        </w:tabs>
        <w:spacing w:line="360" w:lineRule="auto"/>
        <w:rPr>
          <w:rFonts w:hint="eastAsia" w:ascii="宋体" w:hAnsi="宋体" w:eastAsia="宋体" w:cs="宋体"/>
          <w:bCs/>
          <w:color w:val="auto"/>
          <w:sz w:val="32"/>
          <w:szCs w:val="36"/>
          <w:highlight w:val="none"/>
          <w:u w:val="single"/>
        </w:rPr>
      </w:pPr>
      <w:r>
        <w:rPr>
          <w:rFonts w:hint="eastAsia" w:ascii="宋体" w:hAnsi="宋体" w:eastAsia="宋体" w:cs="宋体"/>
          <w:bCs/>
          <w:color w:val="auto"/>
          <w:spacing w:val="640"/>
          <w:kern w:val="0"/>
          <w:sz w:val="32"/>
          <w:szCs w:val="36"/>
          <w:highlight w:val="none"/>
          <w:fitText w:val="1920" w:id="780540005"/>
        </w:rPr>
        <w:t>日</w:t>
      </w:r>
      <w:r>
        <w:rPr>
          <w:rFonts w:hint="eastAsia" w:ascii="宋体" w:hAnsi="宋体" w:eastAsia="宋体" w:cs="宋体"/>
          <w:bCs/>
          <w:color w:val="auto"/>
          <w:spacing w:val="0"/>
          <w:kern w:val="0"/>
          <w:sz w:val="32"/>
          <w:szCs w:val="36"/>
          <w:highlight w:val="none"/>
          <w:fitText w:val="1920" w:id="780540005"/>
        </w:rPr>
        <w:t>期</w:t>
      </w:r>
      <w:r>
        <w:rPr>
          <w:rFonts w:hint="eastAsia" w:ascii="宋体" w:hAnsi="宋体" w:eastAsia="宋体" w:cs="宋体"/>
          <w:bCs/>
          <w:color w:val="auto"/>
          <w:sz w:val="32"/>
          <w:szCs w:val="36"/>
          <w:highlight w:val="none"/>
        </w:rPr>
        <w:t>：</w:t>
      </w:r>
      <w:r>
        <w:rPr>
          <w:rFonts w:hint="eastAsia" w:ascii="宋体" w:hAnsi="宋体" w:eastAsia="宋体" w:cs="宋体"/>
          <w:bCs/>
          <w:color w:val="auto"/>
          <w:sz w:val="32"/>
          <w:szCs w:val="36"/>
          <w:highlight w:val="none"/>
          <w:u w:val="single"/>
        </w:rPr>
        <w:t>202</w:t>
      </w:r>
      <w:r>
        <w:rPr>
          <w:rFonts w:hint="eastAsia" w:ascii="宋体" w:hAnsi="宋体" w:eastAsia="宋体" w:cs="宋体"/>
          <w:bCs/>
          <w:color w:val="auto"/>
          <w:sz w:val="32"/>
          <w:szCs w:val="36"/>
          <w:highlight w:val="none"/>
          <w:u w:val="single"/>
          <w:lang w:val="en-US" w:eastAsia="zh-CN"/>
        </w:rPr>
        <w:t>3</w:t>
      </w:r>
      <w:r>
        <w:rPr>
          <w:rFonts w:hint="eastAsia" w:ascii="宋体" w:hAnsi="宋体" w:eastAsia="宋体" w:cs="宋体"/>
          <w:bCs/>
          <w:color w:val="auto"/>
          <w:sz w:val="32"/>
          <w:szCs w:val="36"/>
          <w:highlight w:val="none"/>
          <w:u w:val="single"/>
        </w:rPr>
        <w:t>年</w:t>
      </w:r>
      <w:r>
        <w:rPr>
          <w:rFonts w:hint="eastAsia" w:ascii="宋体" w:hAnsi="宋体" w:eastAsia="宋体" w:cs="宋体"/>
          <w:bCs/>
          <w:color w:val="auto"/>
          <w:sz w:val="32"/>
          <w:szCs w:val="36"/>
          <w:highlight w:val="none"/>
          <w:u w:val="single"/>
          <w:lang w:val="en-US" w:eastAsia="zh-CN"/>
        </w:rPr>
        <w:t>0</w:t>
      </w:r>
      <w:r>
        <w:rPr>
          <w:rFonts w:hint="eastAsia" w:ascii="宋体" w:hAnsi="宋体" w:cs="宋体"/>
          <w:bCs/>
          <w:color w:val="auto"/>
          <w:sz w:val="32"/>
          <w:szCs w:val="36"/>
          <w:highlight w:val="none"/>
          <w:u w:val="single"/>
          <w:lang w:val="en-US" w:eastAsia="zh-CN"/>
        </w:rPr>
        <w:t>6</w:t>
      </w:r>
      <w:r>
        <w:rPr>
          <w:rFonts w:hint="eastAsia" w:ascii="宋体" w:hAnsi="宋体" w:eastAsia="宋体" w:cs="宋体"/>
          <w:bCs/>
          <w:color w:val="auto"/>
          <w:sz w:val="32"/>
          <w:szCs w:val="36"/>
          <w:highlight w:val="none"/>
          <w:u w:val="single"/>
        </w:rPr>
        <w:t>月</w:t>
      </w:r>
    </w:p>
    <w:p>
      <w:pPr>
        <w:widowControl w:val="0"/>
        <w:jc w:val="both"/>
        <w:rPr>
          <w:rFonts w:hint="eastAsia" w:ascii="宋体" w:hAnsi="宋体" w:eastAsia="宋体" w:cs="宋体"/>
          <w:bCs/>
          <w:color w:val="auto"/>
          <w:kern w:val="2"/>
          <w:sz w:val="32"/>
          <w:szCs w:val="36"/>
          <w:highlight w:val="none"/>
          <w:u w:val="single"/>
          <w:lang w:val="en-US" w:eastAsia="zh-CN" w:bidi="ar-SA"/>
        </w:rPr>
      </w:pPr>
    </w:p>
    <w:p>
      <w:pPr>
        <w:widowControl w:val="0"/>
        <w:jc w:val="both"/>
        <w:rPr>
          <w:rFonts w:hint="eastAsia" w:ascii="宋体" w:hAnsi="宋体" w:eastAsia="宋体" w:cs="宋体"/>
          <w:bCs/>
          <w:color w:val="auto"/>
          <w:kern w:val="2"/>
          <w:sz w:val="32"/>
          <w:szCs w:val="36"/>
          <w:highlight w:val="none"/>
          <w:u w:val="single"/>
          <w:lang w:val="en-US" w:eastAsia="zh-CN" w:bidi="ar-SA"/>
        </w:rPr>
      </w:pPr>
    </w:p>
    <w:p>
      <w:pPr>
        <w:pStyle w:val="25"/>
        <w:rPr>
          <w:rFonts w:hint="eastAsia" w:ascii="宋体" w:hAnsi="宋体" w:eastAsia="宋体" w:cs="宋体"/>
          <w:bCs/>
          <w:color w:val="auto"/>
          <w:kern w:val="2"/>
          <w:sz w:val="32"/>
          <w:szCs w:val="36"/>
          <w:highlight w:val="none"/>
          <w:u w:val="single"/>
          <w:lang w:val="en-US" w:eastAsia="zh-CN" w:bidi="ar-SA"/>
        </w:rPr>
      </w:pPr>
    </w:p>
    <w:p>
      <w:pPr>
        <w:pStyle w:val="25"/>
        <w:rPr>
          <w:rFonts w:hint="eastAsia" w:ascii="宋体" w:hAnsi="宋体" w:eastAsia="宋体" w:cs="宋体"/>
          <w:bCs/>
          <w:color w:val="auto"/>
          <w:kern w:val="2"/>
          <w:sz w:val="32"/>
          <w:szCs w:val="36"/>
          <w:highlight w:val="none"/>
          <w:u w:val="single"/>
          <w:lang w:val="en-US" w:eastAsia="zh-CN" w:bidi="ar-SA"/>
        </w:rPr>
      </w:pPr>
    </w:p>
    <w:p>
      <w:pPr>
        <w:pStyle w:val="25"/>
        <w:rPr>
          <w:rFonts w:hint="eastAsia" w:ascii="宋体" w:hAnsi="宋体" w:eastAsia="宋体" w:cs="宋体"/>
          <w:bCs/>
          <w:color w:val="auto"/>
          <w:kern w:val="2"/>
          <w:sz w:val="32"/>
          <w:szCs w:val="36"/>
          <w:highlight w:val="none"/>
          <w:u w:val="single"/>
          <w:lang w:val="en-US" w:eastAsia="zh-CN" w:bidi="ar-SA"/>
        </w:rPr>
      </w:pPr>
    </w:p>
    <w:p>
      <w:pPr>
        <w:widowControl w:val="0"/>
        <w:jc w:val="both"/>
        <w:rPr>
          <w:rFonts w:hint="eastAsia" w:ascii="宋体" w:hAnsi="宋体" w:eastAsia="宋体" w:cs="宋体"/>
          <w:bCs/>
          <w:color w:val="auto"/>
          <w:kern w:val="2"/>
          <w:sz w:val="32"/>
          <w:szCs w:val="36"/>
          <w:highlight w:val="none"/>
          <w:u w:val="single"/>
          <w:lang w:val="en-US" w:eastAsia="zh-CN" w:bidi="ar-SA"/>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20"/>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自治区社会保险服务标准化工作（三次）</w:t>
            </w:r>
            <w:r>
              <w:rPr>
                <w:rFonts w:hint="eastAsia" w:ascii="宋体" w:hAnsi="宋体" w:eastAsia="宋体" w:cs="宋体"/>
                <w:color w:val="auto"/>
                <w:sz w:val="24"/>
                <w:highlight w:val="none"/>
              </w:rPr>
              <w:t xml:space="preserve"> </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pPr>
        <w:tabs>
          <w:tab w:val="left" w:pos="2377"/>
        </w:tabs>
        <w:bidi w:val="0"/>
        <w:jc w:val="left"/>
        <w:rPr>
          <w:rFonts w:hint="eastAsia" w:ascii="宋体" w:hAnsi="宋体" w:eastAsia="宋体" w:cs="宋体"/>
          <w:color w:val="auto"/>
          <w:highlight w:val="none"/>
          <w:lang w:eastAsia="zh-CN"/>
        </w:rPr>
        <w:sectPr>
          <w:footerReference r:id="rId3"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bookmarkStart w:id="6" w:name="_Toc521014774"/>
      <w:bookmarkStart w:id="7" w:name="_Toc5048"/>
      <w:r>
        <w:rPr>
          <w:rFonts w:hint="eastAsia" w:ascii="宋体" w:hAnsi="宋体" w:eastAsia="宋体" w:cs="宋体"/>
          <w:color w:val="auto"/>
          <w:highlight w:val="none"/>
          <w:lang w:eastAsia="zh-CN"/>
        </w:rPr>
        <w:tab/>
      </w:r>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1730"/>
      <w:bookmarkStart w:id="9" w:name="_Toc31279"/>
      <w:bookmarkStart w:id="10" w:name="_Toc24806"/>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19"/>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30"/>
          <w:szCs w:val="30"/>
          <w:highlight w:val="none"/>
          <w:lang w:val="en-US" w:eastAsia="zh-CN" w:bidi="ar-SA"/>
        </w:rPr>
        <w:t>自治区社会保险服务标准化工作（三次）</w:t>
      </w:r>
      <w:r>
        <w:rPr>
          <w:rFonts w:hint="eastAsia" w:ascii="宋体" w:hAnsi="宋体" w:eastAsia="宋体" w:cs="宋体"/>
          <w:b/>
          <w:color w:val="auto"/>
          <w:kern w:val="0"/>
          <w:sz w:val="30"/>
          <w:szCs w:val="30"/>
          <w:highlight w:val="none"/>
          <w:lang w:val="en-US" w:eastAsia="zh-CN" w:bidi="ar-SA"/>
        </w:rPr>
        <w:t>竞争性磋商公告</w:t>
      </w:r>
    </w:p>
    <w:tbl>
      <w:tblPr>
        <w:tblStyle w:val="21"/>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19"/>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sz w:val="24"/>
                <w:szCs w:val="24"/>
                <w:highlight w:val="none"/>
              </w:rPr>
            </w:pPr>
            <w:r>
              <w:rPr>
                <w:rFonts w:hint="eastAsia" w:cs="宋体"/>
                <w:color w:val="auto"/>
                <w:sz w:val="24"/>
                <w:szCs w:val="24"/>
                <w:highlight w:val="none"/>
                <w:u w:val="single"/>
                <w:lang w:eastAsia="zh-CN"/>
              </w:rPr>
              <w:t>自治区社会保险服务标准化工作（三次）</w:t>
            </w:r>
            <w:r>
              <w:rPr>
                <w:rFonts w:hint="eastAsia" w:ascii="宋体" w:hAnsi="宋体" w:eastAsia="宋体" w:cs="宋体"/>
                <w:color w:val="auto"/>
                <w:sz w:val="24"/>
                <w:szCs w:val="24"/>
                <w:highlight w:val="none"/>
                <w:u w:val="single"/>
              </w:rPr>
              <w:t>的潜在投标人在符合该招标（采购）公告投标人资格要求条件的前提下，可于本公告发布之日起供应商</w:t>
            </w:r>
            <w:r>
              <w:rPr>
                <w:rFonts w:hint="eastAsia" w:ascii="宋体" w:hAnsi="宋体" w:eastAsia="宋体" w:cs="宋体"/>
                <w:color w:val="auto"/>
                <w:sz w:val="24"/>
                <w:szCs w:val="24"/>
                <w:highlight w:val="none"/>
                <w:u w:val="single"/>
                <w:lang w:eastAsia="zh-CN"/>
              </w:rPr>
              <w:t>登录</w:t>
            </w:r>
            <w:r>
              <w:rPr>
                <w:rFonts w:hint="eastAsia" w:ascii="宋体" w:hAnsi="宋体" w:eastAsia="宋体" w:cs="宋体"/>
                <w:color w:val="auto"/>
                <w:sz w:val="24"/>
                <w:szCs w:val="24"/>
                <w:highlight w:val="none"/>
                <w:u w:val="single"/>
              </w:rPr>
              <w:t>政采云平台https：//www.zcygov.cn/在线下载获取采购文件，并于</w:t>
            </w:r>
            <w:r>
              <w:rPr>
                <w:rFonts w:hint="eastAsia" w:ascii="宋体" w:hAnsi="宋体" w:eastAsia="宋体" w:cs="宋体"/>
                <w:color w:val="auto"/>
                <w:sz w:val="24"/>
                <w:szCs w:val="24"/>
                <w:highlight w:val="none"/>
                <w:u w:val="single"/>
                <w:lang w:eastAsia="zh-CN"/>
              </w:rPr>
              <w:t>2023年</w:t>
            </w:r>
            <w:r>
              <w:rPr>
                <w:rFonts w:hint="eastAsia" w:cs="宋体"/>
                <w:color w:val="auto"/>
                <w:sz w:val="24"/>
                <w:szCs w:val="24"/>
                <w:highlight w:val="none"/>
                <w:u w:val="single"/>
                <w:lang w:eastAsia="zh-CN"/>
              </w:rPr>
              <w:t>7月14日11：00</w:t>
            </w:r>
            <w:r>
              <w:rPr>
                <w:rFonts w:hint="eastAsia" w:ascii="宋体" w:hAnsi="宋体" w:eastAsia="宋体" w:cs="宋体"/>
                <w:color w:val="auto"/>
                <w:sz w:val="24"/>
                <w:szCs w:val="24"/>
                <w:highlight w:val="none"/>
                <w:u w:val="single"/>
              </w:rPr>
              <w:t>（北京时间）前递交投标文件。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auto"/>
          <w:kern w:val="0"/>
          <w:sz w:val="24"/>
          <w:szCs w:val="24"/>
          <w:highlight w:val="none"/>
        </w:rPr>
      </w:pPr>
      <w:bookmarkStart w:id="12" w:name="_Toc35393798"/>
      <w:bookmarkStart w:id="13" w:name="_Toc35393629"/>
      <w:bookmarkStart w:id="14" w:name="_Toc28359012"/>
      <w:bookmarkStart w:id="15" w:name="_Toc28359089"/>
      <w:r>
        <w:rPr>
          <w:rFonts w:hint="eastAsia" w:ascii="宋体" w:hAnsi="宋体" w:eastAsia="宋体" w:cs="宋体"/>
          <w:b/>
          <w:bCs/>
          <w:color w:val="auto"/>
          <w:kern w:val="0"/>
          <w:sz w:val="24"/>
          <w:szCs w:val="24"/>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2023(JKJ)134（02）</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eastAsia="zh-CN"/>
        </w:rPr>
        <w:t>自治区社会保险服务标准化工作（三次）</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采购方式：竞争性</w:t>
      </w:r>
      <w:r>
        <w:rPr>
          <w:rFonts w:hint="eastAsia" w:ascii="宋体" w:hAnsi="宋体" w:eastAsia="宋体" w:cs="宋体"/>
          <w:color w:val="auto"/>
          <w:kern w:val="0"/>
          <w:sz w:val="24"/>
          <w:szCs w:val="24"/>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val="en-US" w:eastAsia="zh-CN"/>
        </w:rPr>
        <w:t>50.2万元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50.2万元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p>
    <w:tbl>
      <w:tblPr>
        <w:tblStyle w:val="20"/>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76"/>
        <w:gridCol w:w="2059"/>
        <w:gridCol w:w="926"/>
        <w:gridCol w:w="1802"/>
        <w:gridCol w:w="962"/>
        <w:gridCol w:w="2205"/>
        <w:gridCol w:w="12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标项序号</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标项名称</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hanging="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自治区社会保险服务标准化工作（三次）</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50.2万元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项</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自治区社会保险服务标准化工作（三次）</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具体参数详见招标文件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6个月</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本项目不接受联合体投标。</w:t>
      </w:r>
      <w:bookmarkStart w:id="16" w:name="_Toc35393630"/>
      <w:bookmarkStart w:id="17" w:name="_Toc28359090"/>
      <w:bookmarkStart w:id="18" w:name="_Toc35393799"/>
      <w:bookmarkStart w:id="19" w:name="_Toc28359013"/>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1.满足《中华人民共和国政府采购法》第二十二条规定</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2.落实政府采购政策需满足的资格要求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供应商为中小企业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提供税务机关出具近三个月的完税证明（2023年3月后成立的公司按实际发生提供）；</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提供2022年度由第三方财务审计机构出具的财务审计报告或提供银行出具的近期资信证明；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提供本单位缴纳的近三个月社保缴纳证明（单位社保缴费凭证，2023年3月后成立的公司按实际发生提供）；</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SA"/>
        </w:rPr>
        <w:t>6）未在“信用中国”网站（www.creditchina.gov.cn）、中国政府采购网（www.ccgp.gov.cn）等渠道列入失信被执行人、重大税收违法案件当事人名单、政府采购严重违法失信行为记录名单</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三、招标文件的发售时间、地址、售价：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1、发售时间：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日至2023年</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四、投标截止时间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eastAsia="zh-CN"/>
        </w:rPr>
        <w:t>7月</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lang w:eastAsia="zh-CN"/>
        </w:rPr>
        <w:t>日11：00</w:t>
      </w:r>
      <w:r>
        <w:rPr>
          <w:rFonts w:hint="eastAsia" w:ascii="宋体" w:hAnsi="宋体" w:eastAsia="宋体" w:cs="宋体"/>
          <w:color w:val="auto"/>
          <w:kern w:val="0"/>
          <w:sz w:val="24"/>
          <w:szCs w:val="24"/>
          <w:highlight w:val="none"/>
          <w:lang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五、投标地址（网址）：投标人应于</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eastAsia="zh-CN"/>
        </w:rPr>
        <w:t>7月14日11：00</w:t>
      </w:r>
      <w:r>
        <w:rPr>
          <w:rFonts w:hint="eastAsia" w:ascii="宋体" w:hAnsi="宋体" w:eastAsia="宋体" w:cs="宋体"/>
          <w:color w:val="auto"/>
          <w:kern w:val="0"/>
          <w:sz w:val="24"/>
          <w:szCs w:val="24"/>
          <w:highlight w:val="none"/>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六、开标时间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eastAsia="zh-CN"/>
        </w:rPr>
        <w:t>7月14日11：00</w:t>
      </w:r>
      <w:r>
        <w:rPr>
          <w:rFonts w:hint="eastAsia" w:ascii="宋体" w:hAnsi="宋体" w:eastAsia="宋体" w:cs="宋体"/>
          <w:color w:val="auto"/>
          <w:kern w:val="0"/>
          <w:sz w:val="24"/>
          <w:szCs w:val="24"/>
          <w:highlight w:val="none"/>
          <w:lang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七、</w:t>
      </w:r>
      <w:r>
        <w:rPr>
          <w:rFonts w:hint="eastAsia" w:ascii="宋体" w:hAnsi="宋体" w:eastAsia="宋体" w:cs="宋体"/>
          <w:color w:val="auto"/>
          <w:kern w:val="0"/>
          <w:sz w:val="24"/>
          <w:szCs w:val="24"/>
          <w:highlight w:val="none"/>
          <w:lang w:val="en-US" w:eastAsia="zh-CN"/>
        </w:rPr>
        <w:t>开标地点：政采云平台不见面开标</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各投标企业通过政采云平台上传投标文件。应按照本项目招标文件和政采云平台的要求编制、加密传输投标文件。 </w:t>
      </w:r>
    </w:p>
    <w:p>
      <w:pPr>
        <w:keepNext w:val="0"/>
        <w:keepLines w:val="0"/>
        <w:pageBreakBefore w:val="0"/>
        <w:widowControl w:val="0"/>
        <w:numPr>
          <w:ilvl w:val="0"/>
          <w:numId w:val="3"/>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p>
      <w:pPr>
        <w:pStyle w:val="9"/>
        <w:numPr>
          <w:ilvl w:val="0"/>
          <w:numId w:val="0"/>
        </w:numPr>
        <w:rPr>
          <w:rFonts w:hint="eastAsia" w:ascii="宋体" w:hAnsi="宋体" w:eastAsia="宋体" w:cs="宋体"/>
          <w:color w:val="auto"/>
          <w:sz w:val="24"/>
          <w:szCs w:val="24"/>
          <w:highlight w:val="none"/>
        </w:rPr>
      </w:pPr>
    </w:p>
    <w:tbl>
      <w:tblPr>
        <w:tblStyle w:val="20"/>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2162"/>
        <w:gridCol w:w="1430"/>
        <w:gridCol w:w="1507"/>
        <w:gridCol w:w="1115"/>
        <w:gridCol w:w="1163"/>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1"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771"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570"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自治区社会保险服务标准化工作（三次）</w:t>
            </w:r>
          </w:p>
        </w:tc>
        <w:tc>
          <w:tcPr>
            <w:tcW w:w="731" w:type="pct"/>
            <w:tcMar>
              <w:top w:w="72" w:type="dxa"/>
              <w:left w:w="132" w:type="dxa"/>
              <w:bottom w:w="72" w:type="dxa"/>
              <w:right w:w="132" w:type="dxa"/>
            </w:tcMar>
            <w:vAlign w:val="center"/>
          </w:tcPr>
          <w:p>
            <w:pPr>
              <w:pStyle w:val="18"/>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5000</w:t>
            </w:r>
          </w:p>
        </w:tc>
        <w:tc>
          <w:tcPr>
            <w:tcW w:w="7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中国农业银行乌鲁木齐昆仑路支行</w:t>
            </w:r>
          </w:p>
        </w:tc>
        <w:tc>
          <w:tcPr>
            <w:tcW w:w="5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30006 4010 400 10690</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新疆君凯杰工程项目管理有限公司</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自本公告发布之日起5个工作日。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十</w:t>
      </w:r>
      <w:r>
        <w:rPr>
          <w:rFonts w:hint="eastAsia" w:ascii="宋体" w:hAnsi="宋体" w:eastAsia="宋体" w:cs="宋体"/>
          <w:color w:val="auto"/>
          <w:kern w:val="0"/>
          <w:sz w:val="24"/>
          <w:szCs w:val="24"/>
          <w:highlight w:val="none"/>
        </w:rPr>
        <w:t>、其他补充事宜：</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1、本项目实行网上投标，采用电子投标文件。若供应商参与投标，自行承担投标一切费用。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投标保证金额及缴纳账号：</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投标保证金金额：</w:t>
      </w:r>
      <w:r>
        <w:rPr>
          <w:rFonts w:hint="eastAsia" w:ascii="宋体" w:hAnsi="宋体" w:eastAsia="宋体" w:cs="宋体"/>
          <w:color w:val="auto"/>
          <w:kern w:val="0"/>
          <w:sz w:val="24"/>
          <w:szCs w:val="24"/>
          <w:highlight w:val="none"/>
          <w:lang w:val="en-US" w:eastAsia="zh-CN"/>
        </w:rPr>
        <w:t>5000元（伍千元整）</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投标保证金账号：</w:t>
      </w:r>
      <w:r>
        <w:rPr>
          <w:rFonts w:hint="eastAsia" w:ascii="宋体" w:hAnsi="宋体" w:eastAsia="宋体" w:cs="宋体"/>
          <w:color w:val="auto"/>
          <w:kern w:val="0"/>
          <w:sz w:val="24"/>
          <w:szCs w:val="24"/>
          <w:highlight w:val="none"/>
        </w:rPr>
        <w:t>新疆君凯杰工程项目管理有限公司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开户银行：</w:t>
      </w:r>
      <w:r>
        <w:rPr>
          <w:rFonts w:hint="eastAsia" w:ascii="宋体" w:hAnsi="宋体" w:eastAsia="宋体" w:cs="宋体"/>
          <w:color w:val="auto"/>
          <w:kern w:val="0"/>
          <w:sz w:val="24"/>
          <w:szCs w:val="24"/>
          <w:highlight w:val="none"/>
          <w:lang w:eastAsia="zh-CN"/>
        </w:rPr>
        <w:t>中国农业银行乌鲁木齐昆仑路支行</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账     号：</w:t>
      </w:r>
      <w:r>
        <w:rPr>
          <w:rFonts w:hint="eastAsia" w:ascii="宋体" w:hAnsi="宋体" w:eastAsia="宋体" w:cs="宋体"/>
          <w:color w:val="auto"/>
          <w:kern w:val="0"/>
          <w:sz w:val="24"/>
          <w:szCs w:val="24"/>
          <w:highlight w:val="none"/>
          <w:lang w:eastAsia="zh-CN"/>
        </w:rPr>
        <w:t>30006 4010 400 10690</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开户行行号：10388 1000 646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注：必须由投标单位的基本账户转至指定账户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rPr>
        <w:t>十、联系方式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val="en-US" w:eastAsia="zh-CN"/>
        </w:rPr>
        <w:t>新疆维吾尔自治区社会保险中心</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联系人：  </w:t>
      </w:r>
      <w:r>
        <w:rPr>
          <w:rFonts w:hint="eastAsia" w:ascii="宋体" w:hAnsi="宋体" w:eastAsia="宋体" w:cs="宋体"/>
          <w:color w:val="auto"/>
          <w:kern w:val="0"/>
          <w:sz w:val="24"/>
          <w:szCs w:val="24"/>
          <w:highlight w:val="none"/>
          <w:lang w:eastAsia="zh-CN"/>
        </w:rPr>
        <w:t>陈先生</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bookmarkStart w:id="20" w:name="_Toc35393807"/>
      <w:bookmarkStart w:id="21" w:name="_Toc28359097"/>
      <w:bookmarkStart w:id="22" w:name="_Toc35393638"/>
      <w:bookmarkStart w:id="23" w:name="_Toc28359020"/>
      <w:r>
        <w:rPr>
          <w:rFonts w:hint="eastAsia" w:ascii="宋体" w:hAnsi="宋体" w:eastAsia="宋体" w:cs="宋体"/>
          <w:color w:val="auto"/>
          <w:kern w:val="0"/>
          <w:sz w:val="24"/>
          <w:szCs w:val="24"/>
          <w:highlight w:val="none"/>
          <w:lang w:val="en-US" w:eastAsia="zh-CN"/>
        </w:rPr>
        <w:t>0991-3689927</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bookmarkEnd w:id="20"/>
      <w:bookmarkEnd w:id="21"/>
      <w:bookmarkEnd w:id="22"/>
      <w:bookmarkEnd w:id="23"/>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新疆君凯杰工程项目管理有限公司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eastAsia="zh-CN"/>
        </w:rPr>
        <w:t>新疆乌鲁木齐市会展大道1119号晚报传媒大厦A栋901室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eastAsia="zh-CN"/>
        </w:rPr>
        <w:t>182 9081 2509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eastAsia="zh-CN"/>
        </w:rPr>
        <w:t>黄石嘉龙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lang w:eastAsia="zh-CN"/>
        </w:rPr>
        <w:t>182 9081 2509</w:t>
      </w:r>
    </w:p>
    <w:p>
      <w:pPr>
        <w:rPr>
          <w:rFonts w:hint="eastAsia" w:ascii="宋体" w:hAnsi="宋体" w:eastAsia="宋体" w:cs="宋体"/>
          <w:color w:val="auto"/>
          <w:highlight w:val="none"/>
        </w:rPr>
      </w:pPr>
    </w:p>
    <w:p>
      <w:pPr>
        <w:rPr>
          <w:rStyle w:val="29"/>
          <w:rFonts w:hint="eastAsia" w:ascii="宋体" w:hAnsi="宋体" w:eastAsia="宋体" w:cs="宋体"/>
          <w:b/>
          <w:bCs/>
          <w:color w:val="auto"/>
          <w:sz w:val="28"/>
          <w:szCs w:val="28"/>
          <w:highlight w:val="none"/>
        </w:rPr>
      </w:pPr>
      <w:r>
        <w:rPr>
          <w:rStyle w:val="29"/>
          <w:rFonts w:hint="eastAsia" w:ascii="宋体" w:hAnsi="宋体" w:eastAsia="宋体" w:cs="宋体"/>
          <w:b/>
          <w:bCs/>
          <w:color w:val="auto"/>
          <w:sz w:val="28"/>
          <w:szCs w:val="28"/>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Style w:val="29"/>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lang w:val="en-US" w:eastAsia="zh-CN"/>
        </w:rPr>
        <w:t xml:space="preserve"> </w:t>
      </w:r>
      <w:bookmarkEnd w:id="11"/>
      <w:r>
        <w:rPr>
          <w:rStyle w:val="29"/>
          <w:rFonts w:hint="eastAsia" w:ascii="宋体" w:hAnsi="宋体" w:eastAsia="宋体" w:cs="宋体"/>
          <w:b/>
          <w:bCs/>
          <w:color w:val="auto"/>
          <w:sz w:val="28"/>
          <w:szCs w:val="28"/>
          <w:highlight w:val="none"/>
        </w:rPr>
        <w:t>特别提醒：</w:t>
      </w:r>
    </w:p>
    <w:p>
      <w:pPr>
        <w:spacing w:line="360" w:lineRule="auto"/>
        <w:jc w:val="left"/>
        <w:outlineLvl w:val="9"/>
        <w:rPr>
          <w:rStyle w:val="29"/>
          <w:rFonts w:hint="eastAsia" w:ascii="宋体" w:hAnsi="宋体" w:eastAsia="宋体" w:cs="宋体"/>
          <w:b/>
          <w:color w:val="auto"/>
          <w:sz w:val="28"/>
          <w:szCs w:val="28"/>
          <w:highlight w:val="none"/>
        </w:rPr>
      </w:pPr>
      <w:r>
        <w:rPr>
          <w:rStyle w:val="29"/>
          <w:rFonts w:hint="eastAsia" w:ascii="宋体" w:hAnsi="宋体" w:eastAsia="宋体" w:cs="宋体"/>
          <w:b/>
          <w:color w:val="auto"/>
          <w:sz w:val="28"/>
          <w:szCs w:val="28"/>
          <w:highlight w:val="none"/>
          <w:lang w:val="en-US"/>
        </w:rPr>
        <w:t>1</w:t>
      </w:r>
      <w:r>
        <w:rPr>
          <w:rStyle w:val="29"/>
          <w:rFonts w:hint="eastAsia" w:ascii="宋体" w:hAnsi="宋体" w:eastAsia="宋体" w:cs="宋体"/>
          <w:b/>
          <w:color w:val="auto"/>
          <w:sz w:val="28"/>
          <w:szCs w:val="28"/>
          <w:highlight w:val="none"/>
        </w:rPr>
        <w:t>、由投标人基本账户汇出（投标保证金需</w:t>
      </w:r>
      <w:r>
        <w:rPr>
          <w:rStyle w:val="29"/>
          <w:rFonts w:hint="eastAsia" w:ascii="宋体" w:hAnsi="宋体" w:eastAsia="宋体" w:cs="宋体"/>
          <w:b/>
          <w:color w:val="auto"/>
          <w:sz w:val="28"/>
          <w:szCs w:val="28"/>
          <w:highlight w:val="none"/>
          <w:lang w:val="en-US" w:eastAsia="zh-CN"/>
        </w:rPr>
        <w:t>一次性足额</w:t>
      </w:r>
      <w:r>
        <w:rPr>
          <w:rStyle w:val="29"/>
          <w:rFonts w:hint="eastAsia" w:ascii="宋体" w:hAnsi="宋体" w:eastAsia="宋体" w:cs="宋体"/>
          <w:b/>
          <w:color w:val="auto"/>
          <w:sz w:val="28"/>
          <w:szCs w:val="28"/>
          <w:highlight w:val="none"/>
        </w:rPr>
        <w:t>汇出，分笔汇出银行系统将不予统计），且不得以分公司的名义转账，投标保证金需在</w:t>
      </w:r>
      <w:r>
        <w:rPr>
          <w:rStyle w:val="29"/>
          <w:rFonts w:hint="eastAsia" w:ascii="宋体" w:hAnsi="宋体" w:eastAsia="宋体" w:cs="宋体"/>
          <w:b/>
          <w:color w:val="auto"/>
          <w:sz w:val="28"/>
          <w:szCs w:val="28"/>
          <w:highlight w:val="none"/>
          <w:lang w:eastAsia="zh-CN"/>
        </w:rPr>
        <w:t>2023年</w:t>
      </w:r>
      <w:r>
        <w:rPr>
          <w:rStyle w:val="29"/>
          <w:rFonts w:hint="eastAsia" w:ascii="宋体" w:hAnsi="宋体" w:cs="宋体"/>
          <w:b/>
          <w:color w:val="auto"/>
          <w:sz w:val="28"/>
          <w:szCs w:val="28"/>
          <w:highlight w:val="none"/>
          <w:lang w:eastAsia="zh-CN"/>
        </w:rPr>
        <w:t>7月14日11：00</w:t>
      </w:r>
      <w:r>
        <w:rPr>
          <w:rStyle w:val="29"/>
          <w:rFonts w:hint="eastAsia" w:ascii="宋体" w:hAnsi="宋体" w:eastAsia="宋体" w:cs="宋体"/>
          <w:b/>
          <w:color w:val="auto"/>
          <w:sz w:val="28"/>
          <w:szCs w:val="28"/>
          <w:highlight w:val="none"/>
          <w:lang w:val="en-US" w:eastAsia="zh-CN"/>
        </w:rPr>
        <w:t>（北京时间）</w:t>
      </w:r>
      <w:r>
        <w:rPr>
          <w:rStyle w:val="29"/>
          <w:rFonts w:hint="eastAsia" w:ascii="宋体" w:hAnsi="宋体" w:eastAsia="宋体" w:cs="宋体"/>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29"/>
          <w:rFonts w:hint="eastAsia" w:ascii="宋体" w:hAnsi="宋体" w:eastAsia="宋体" w:cs="宋体"/>
          <w:b/>
          <w:color w:val="auto"/>
          <w:sz w:val="28"/>
          <w:szCs w:val="28"/>
          <w:highlight w:val="none"/>
        </w:rPr>
      </w:pPr>
      <w:r>
        <w:rPr>
          <w:rStyle w:val="29"/>
          <w:rFonts w:hint="eastAsia" w:ascii="宋体" w:hAnsi="宋体" w:eastAsia="宋体" w:cs="宋体"/>
          <w:b/>
          <w:color w:val="auto"/>
          <w:sz w:val="28"/>
          <w:szCs w:val="28"/>
          <w:highlight w:val="none"/>
          <w:lang w:val="en-US"/>
        </w:rPr>
        <w:t>2</w:t>
      </w:r>
      <w:r>
        <w:rPr>
          <w:rStyle w:val="29"/>
          <w:rFonts w:hint="eastAsia" w:ascii="宋体" w:hAnsi="宋体" w:eastAsia="宋体" w:cs="宋体"/>
          <w:b/>
          <w:color w:val="auto"/>
          <w:sz w:val="28"/>
          <w:szCs w:val="28"/>
          <w:highlight w:val="none"/>
        </w:rPr>
        <w:t>、投标企业下载招标文件后请仔细阅读，如对招标文件内容有质疑，投标人应按招标文件中载明的邮箱：</w:t>
      </w:r>
      <w:r>
        <w:rPr>
          <w:rStyle w:val="29"/>
          <w:rFonts w:hint="eastAsia" w:ascii="宋体" w:hAnsi="宋体" w:eastAsia="宋体" w:cs="宋体"/>
          <w:b/>
          <w:color w:val="auto"/>
          <w:sz w:val="28"/>
          <w:szCs w:val="28"/>
          <w:highlight w:val="none"/>
          <w:lang w:val="en-US" w:eastAsia="zh-CN"/>
        </w:rPr>
        <w:t>1730369389@qq.com</w:t>
      </w:r>
      <w:r>
        <w:rPr>
          <w:rStyle w:val="29"/>
          <w:rFonts w:hint="eastAsia" w:ascii="宋体" w:hAnsi="宋体" w:eastAsia="宋体" w:cs="宋体"/>
          <w:b/>
          <w:color w:val="auto"/>
          <w:sz w:val="28"/>
          <w:szCs w:val="28"/>
          <w:highlight w:val="none"/>
        </w:rPr>
        <w:t>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4" w:name="_Toc349637919"/>
      <w:bookmarkStart w:id="25" w:name="_Toc527642951"/>
      <w:bookmarkStart w:id="26" w:name="_Toc349573120"/>
      <w:bookmarkStart w:id="27" w:name="_Toc298240404"/>
      <w:bookmarkStart w:id="28" w:name="_Toc267301281"/>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4"/>
      <w:bookmarkEnd w:id="25"/>
      <w:bookmarkEnd w:id="26"/>
      <w:bookmarkEnd w:id="27"/>
      <w:bookmarkEnd w:id="28"/>
    </w:p>
    <w:tbl>
      <w:tblPr>
        <w:tblStyle w:val="21"/>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bCs/>
                <w:color w:val="auto"/>
                <w:sz w:val="28"/>
                <w:szCs w:val="28"/>
                <w:highlight w:val="none"/>
                <w:lang w:val="en-US" w:eastAsia="zh-CN"/>
              </w:rPr>
              <w:t>2023(JKJ)134（02）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cs="宋体"/>
                <w:color w:val="auto"/>
                <w:sz w:val="28"/>
                <w:szCs w:val="28"/>
                <w:highlight w:val="none"/>
                <w:lang w:eastAsia="zh-CN"/>
              </w:rPr>
              <w:t>自治区社会保险服务标准化工作（三次）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采购单位：</w:t>
            </w:r>
            <w:r>
              <w:rPr>
                <w:rFonts w:hint="eastAsia" w:ascii="宋体" w:hAnsi="宋体" w:eastAsia="宋体" w:cs="宋体"/>
                <w:color w:val="auto"/>
                <w:sz w:val="28"/>
                <w:szCs w:val="28"/>
                <w:highlight w:val="none"/>
                <w:lang w:val="en-US" w:eastAsia="zh-CN"/>
              </w:rPr>
              <w:t>新疆维吾尔自治区社会保险中心</w:t>
            </w:r>
            <w:r>
              <w:rPr>
                <w:rFonts w:hint="eastAsia" w:ascii="宋体" w:hAnsi="宋体" w:eastAsia="宋体" w:cs="宋体"/>
                <w:color w:val="auto"/>
                <w:sz w:val="28"/>
                <w:szCs w:val="28"/>
                <w:highlight w:val="none"/>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eastAsia="zh-CN"/>
              </w:rPr>
              <w:t>陈先生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eastAsia="zh-CN"/>
              </w:rPr>
              <w:t>09913689927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val="en-US" w:eastAsia="zh-CN"/>
              </w:rPr>
              <w:t>新疆君凯杰工程项目管理有限公司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eastAsia="zh-CN"/>
              </w:rPr>
              <w:t xml:space="preserve">黄石嘉龙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eastAsia="zh-CN"/>
              </w:rPr>
              <w:t>182 9081 2509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服务内容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自治区社会保险服务标准化工作（三次）</w:t>
            </w:r>
            <w:r>
              <w:rPr>
                <w:rFonts w:hint="eastAsia" w:ascii="宋体" w:hAnsi="宋体" w:eastAsia="宋体" w:cs="宋体"/>
                <w:color w:val="auto"/>
                <w:sz w:val="28"/>
                <w:szCs w:val="28"/>
                <w:highlight w:val="none"/>
                <w:lang w:val="en-US" w:eastAsia="zh-CN"/>
              </w:rPr>
              <w:t>（具体服务内容详见竞争性磋商文件第三章）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新疆维吾尔自治区社会保险中心 （以采购单位指定地点为准）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6个月（以签订合同为准）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供应商资格条件</w:t>
            </w:r>
          </w:p>
        </w:tc>
        <w:tc>
          <w:tcPr>
            <w:tcW w:w="6477" w:type="dxa"/>
            <w:vAlign w:val="center"/>
          </w:tcPr>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1.满足《中华人民共和国政府采购法》第二十二条规定；</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2.落实政府采购政策需满足的资格要求：供应商为中小企业。</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3.本项目的特定资格要求：</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（2）提供税务机关出具近三个月的完税证明（2023年3月后成立的公司按实际发生提供）；</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（3）提供2022年度由第三方财务审计机构出具的财务审计报告或提供银行出具的近期资信证明；</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（4）提供本单位缴纳的近三个月社保缴纳证明（单位社保缴费凭证，2023年3月后成立的公司按实际发生提供）；</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（6）未在“信用中国”网站（www.creditchina.gov.cn）、中国政府采购网（www.ccgp.gov.cn）等渠道列入失信被执行人、重大税收违法案件当事人名单、政府采购严重违法失信行为记录名单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保证金缴纳方式及金额</w:t>
            </w:r>
          </w:p>
        </w:tc>
        <w:tc>
          <w:tcPr>
            <w:tcW w:w="647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投标保证金的缴纳形式：转账、汇款、保函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投标保证金的金额：5000.00元（伍千元整)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递交方式：电汇、转账等（由投标人基本账户汇出，否则无效）</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投标保证金账号：新疆君凯杰工程项目管理有限公司</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开户银行：中国农业银行乌鲁木齐昆仑路支行</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账     号：30006 4010 400 10690</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开户行行号：10388 1000 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标前准备</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1、本项目实行网上投标，采用电子投标文件。若供应商参与投标，自行承担投标一切费用。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9</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时间：2023年7月3日至2023年7月10日</w:t>
            </w:r>
            <w:bookmarkStart w:id="185" w:name="_GoBack"/>
            <w:bookmarkEnd w:id="185"/>
          </w:p>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2023年</w:t>
            </w:r>
            <w:r>
              <w:rPr>
                <w:rFonts w:hint="eastAsia" w:ascii="宋体" w:hAnsi="宋体" w:cs="宋体"/>
                <w:b w:val="0"/>
                <w:bCs/>
                <w:i w:val="0"/>
                <w:caps w:val="0"/>
                <w:color w:val="auto"/>
                <w:spacing w:val="0"/>
                <w:kern w:val="0"/>
                <w:sz w:val="28"/>
                <w:szCs w:val="28"/>
                <w:highlight w:val="none"/>
                <w:lang w:val="en-US" w:eastAsia="zh-CN" w:bidi="ar"/>
              </w:rPr>
              <w:t>7月14日11：00</w:t>
            </w:r>
            <w:r>
              <w:rPr>
                <w:rFonts w:hint="eastAsia" w:ascii="宋体" w:hAnsi="宋体" w:eastAsia="宋体" w:cs="宋体"/>
                <w:b w:val="0"/>
                <w:bCs/>
                <w:i w:val="0"/>
                <w:caps w:val="0"/>
                <w:color w:val="auto"/>
                <w:spacing w:val="0"/>
                <w:kern w:val="0"/>
                <w:sz w:val="28"/>
                <w:szCs w:val="28"/>
                <w:highlight w:val="no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12</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递交投标文件的地点及方式</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投标人应于2023年</w:t>
            </w:r>
            <w:r>
              <w:rPr>
                <w:rFonts w:hint="eastAsia" w:ascii="宋体" w:hAnsi="宋体" w:cs="宋体"/>
                <w:b w:val="0"/>
                <w:bCs/>
                <w:i w:val="0"/>
                <w:caps w:val="0"/>
                <w:color w:val="auto"/>
                <w:spacing w:val="0"/>
                <w:kern w:val="0"/>
                <w:sz w:val="28"/>
                <w:szCs w:val="28"/>
                <w:highlight w:val="none"/>
                <w:lang w:val="en-US" w:eastAsia="zh-CN" w:bidi="ar"/>
              </w:rPr>
              <w:t>7月14日11：00</w:t>
            </w:r>
            <w:r>
              <w:rPr>
                <w:rFonts w:hint="eastAsia" w:ascii="宋体" w:hAnsi="宋体" w:eastAsia="宋体" w:cs="宋体"/>
                <w:b w:val="0"/>
                <w:bCs/>
                <w:i w:val="0"/>
                <w:caps w:val="0"/>
                <w:color w:val="auto"/>
                <w:spacing w:val="0"/>
                <w:kern w:val="0"/>
                <w:sz w:val="28"/>
                <w:szCs w:val="28"/>
                <w:highlight w:val="none"/>
                <w:lang w:val="en-US" w:eastAsia="zh-CN" w:bidi="ar"/>
              </w:rPr>
              <w:t>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p>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注：本项目采用“不见面”方式开标，如招标文件或招标公告中存在与“不见面”开标方式矛盾或不一致的规定或要求，均自动失效。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投标文件解密时间</w:t>
            </w:r>
          </w:p>
        </w:tc>
        <w:tc>
          <w:tcPr>
            <w:tcW w:w="6477" w:type="dxa"/>
            <w:vAlign w:val="center"/>
          </w:tcPr>
          <w:p>
            <w:pPr>
              <w:adjustRightInd w:val="0"/>
              <w:snapToGrid w:val="0"/>
              <w:spacing w:line="240" w:lineRule="auto"/>
              <w:jc w:val="left"/>
              <w:rPr>
                <w:rFonts w:hint="eastAsia" w:ascii="宋体" w:hAnsi="宋体" w:eastAsia="宋体" w:cs="宋体"/>
                <w:b/>
                <w:bCs w:val="0"/>
                <w:i w:val="0"/>
                <w:caps w:val="0"/>
                <w:color w:val="auto"/>
                <w:spacing w:val="0"/>
                <w:kern w:val="0"/>
                <w:sz w:val="28"/>
                <w:szCs w:val="28"/>
                <w:highlight w:val="none"/>
                <w:lang w:val="en-US" w:eastAsia="zh-CN" w:bidi="ar"/>
              </w:rPr>
            </w:pPr>
            <w:r>
              <w:rPr>
                <w:rFonts w:hint="eastAsia" w:ascii="宋体" w:hAnsi="宋体" w:eastAsia="宋体" w:cs="宋体"/>
                <w:b/>
                <w:bCs w:val="0"/>
                <w:i w:val="0"/>
                <w:caps w:val="0"/>
                <w:color w:val="auto"/>
                <w:spacing w:val="0"/>
                <w:kern w:val="0"/>
                <w:sz w:val="28"/>
                <w:szCs w:val="28"/>
                <w:highlight w:val="none"/>
                <w:lang w:val="en-US" w:eastAsia="zh-CN" w:bidi="ar"/>
              </w:rPr>
              <w:t>1、投标截止时间后，供应商应及时登录“政采云”平台，用“项目采购-开标评标”功能对投标文件进行解密。规定的解密时限为：2023年</w:t>
            </w:r>
            <w:r>
              <w:rPr>
                <w:rFonts w:hint="eastAsia" w:ascii="宋体" w:hAnsi="宋体" w:cs="宋体"/>
                <w:b/>
                <w:bCs w:val="0"/>
                <w:i w:val="0"/>
                <w:caps w:val="0"/>
                <w:color w:val="auto"/>
                <w:spacing w:val="0"/>
                <w:kern w:val="0"/>
                <w:sz w:val="28"/>
                <w:szCs w:val="28"/>
                <w:highlight w:val="none"/>
                <w:lang w:val="en-US" w:eastAsia="zh-CN" w:bidi="ar"/>
              </w:rPr>
              <w:t>7月14日11：00</w:t>
            </w:r>
            <w:r>
              <w:rPr>
                <w:rFonts w:hint="eastAsia" w:ascii="宋体" w:hAnsi="宋体" w:eastAsia="宋体" w:cs="宋体"/>
                <w:b/>
                <w:bCs w:val="0"/>
                <w:i w:val="0"/>
                <w:caps w:val="0"/>
                <w:color w:val="auto"/>
                <w:spacing w:val="0"/>
                <w:kern w:val="0"/>
                <w:sz w:val="28"/>
                <w:szCs w:val="28"/>
                <w:highlight w:val="none"/>
                <w:lang w:val="en-US" w:eastAsia="zh-CN" w:bidi="ar"/>
              </w:rPr>
              <w:t>-</w:t>
            </w:r>
            <w:r>
              <w:rPr>
                <w:rFonts w:hint="eastAsia" w:ascii="宋体" w:hAnsi="宋体" w:cs="宋体"/>
                <w:b/>
                <w:bCs w:val="0"/>
                <w:i w:val="0"/>
                <w:caps w:val="0"/>
                <w:color w:val="auto"/>
                <w:spacing w:val="0"/>
                <w:kern w:val="0"/>
                <w:sz w:val="28"/>
                <w:szCs w:val="28"/>
                <w:highlight w:val="none"/>
                <w:lang w:val="en-US" w:eastAsia="zh-CN" w:bidi="ar"/>
              </w:rPr>
              <w:t>11：30</w:t>
            </w:r>
            <w:r>
              <w:rPr>
                <w:rFonts w:hint="eastAsia" w:ascii="宋体" w:hAnsi="宋体" w:eastAsia="宋体" w:cs="宋体"/>
                <w:b/>
                <w:bCs w:val="0"/>
                <w:i w:val="0"/>
                <w:caps w:val="0"/>
                <w:color w:val="auto"/>
                <w:spacing w:val="0"/>
                <w:kern w:val="0"/>
                <w:sz w:val="28"/>
                <w:szCs w:val="28"/>
                <w:highlight w:val="none"/>
                <w:lang w:val="en-US" w:eastAsia="zh-CN" w:bidi="ar"/>
              </w:rPr>
              <w:t>前（30分钟内），若供应商在规定时间内（2023年</w:t>
            </w:r>
            <w:r>
              <w:rPr>
                <w:rFonts w:hint="eastAsia" w:ascii="宋体" w:hAnsi="宋体" w:cs="宋体"/>
                <w:b/>
                <w:bCs w:val="0"/>
                <w:i w:val="0"/>
                <w:caps w:val="0"/>
                <w:color w:val="auto"/>
                <w:spacing w:val="0"/>
                <w:kern w:val="0"/>
                <w:sz w:val="28"/>
                <w:szCs w:val="28"/>
                <w:highlight w:val="none"/>
                <w:lang w:val="en-US" w:eastAsia="zh-CN" w:bidi="ar"/>
              </w:rPr>
              <w:t>7月14日11：00</w:t>
            </w:r>
            <w:r>
              <w:rPr>
                <w:rFonts w:hint="eastAsia" w:ascii="宋体" w:hAnsi="宋体" w:eastAsia="宋体" w:cs="宋体"/>
                <w:b/>
                <w:bCs w:val="0"/>
                <w:i w:val="0"/>
                <w:caps w:val="0"/>
                <w:color w:val="auto"/>
                <w:spacing w:val="0"/>
                <w:kern w:val="0"/>
                <w:sz w:val="28"/>
                <w:szCs w:val="28"/>
                <w:highlight w:val="none"/>
                <w:lang w:val="en-US" w:eastAsia="zh-CN" w:bidi="ar"/>
              </w:rPr>
              <w:t>-</w:t>
            </w:r>
            <w:r>
              <w:rPr>
                <w:rFonts w:hint="eastAsia" w:ascii="宋体" w:hAnsi="宋体" w:cs="宋体"/>
                <w:b/>
                <w:bCs w:val="0"/>
                <w:i w:val="0"/>
                <w:caps w:val="0"/>
                <w:color w:val="auto"/>
                <w:spacing w:val="0"/>
                <w:kern w:val="0"/>
                <w:sz w:val="28"/>
                <w:szCs w:val="28"/>
                <w:highlight w:val="none"/>
                <w:lang w:val="en-US" w:eastAsia="zh-CN" w:bidi="ar"/>
              </w:rPr>
              <w:t>11：30</w:t>
            </w:r>
            <w:r>
              <w:rPr>
                <w:rFonts w:hint="eastAsia" w:ascii="宋体" w:hAnsi="宋体" w:eastAsia="宋体" w:cs="宋体"/>
                <w:b/>
                <w:bCs w:val="0"/>
                <w:i w:val="0"/>
                <w:caps w:val="0"/>
                <w:color w:val="auto"/>
                <w:spacing w:val="0"/>
                <w:kern w:val="0"/>
                <w:sz w:val="28"/>
                <w:szCs w:val="28"/>
                <w:highlight w:val="none"/>
                <w:lang w:val="en-US" w:eastAsia="zh-CN" w:bidi="ar"/>
              </w:rPr>
              <w:t>前）未能解密的，视为供应商对其投标文件的撤回。</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bCs w:val="0"/>
                <w:color w:val="auto"/>
                <w:kern w:val="2"/>
                <w:sz w:val="28"/>
                <w:szCs w:val="28"/>
                <w:highlight w:val="none"/>
              </w:rPr>
              <w:t>2、因系统（非投标供应商行为）的原因，造成投标供应商未能在规定的解密时限内解密的，请及时与招标代理机构或与新疆政府采购网投标客户端进行联系。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14</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rPr>
              <w:t>报价应包括采购货物、运输、装卸、验收、开具发票和相关售后等服务；不接受备选投标方案和多个报价。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采购预算金额（最高限价）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rPr>
              <w:t>预算金额：50.2万元</w:t>
            </w:r>
          </w:p>
          <w:p>
            <w:pPr>
              <w:adjustRightInd w:val="0"/>
              <w:snapToGrid w:val="0"/>
              <w:spacing w:line="240" w:lineRule="auto"/>
              <w:rPr>
                <w:rFonts w:hint="eastAsia" w:ascii="宋体" w:hAnsi="宋体" w:eastAsia="宋体" w:cs="宋体"/>
                <w:b/>
                <w:bCs w:val="0"/>
                <w:color w:val="auto"/>
                <w:kern w:val="2"/>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rPr>
              <w:t>最高限价：50.2万元</w:t>
            </w:r>
          </w:p>
          <w:p>
            <w:pPr>
              <w:adjustRightInd w:val="0"/>
              <w:snapToGrid w:val="0"/>
              <w:spacing w:line="240" w:lineRule="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rPr>
              <w:t>注：报价应包含：人员工资、法定的社会保险、法定税费、管理费、节假日福利、加班费、服装费、工具折旧费、日常耗材费、利润等（含为完成采购文件规定的服务工作所涉及的一切相关费用），包括完成该项目采购需求范围内保安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针对响应文件的商务、技术和价格等内容进行磋商并提交</w:t>
            </w:r>
            <w:r>
              <w:rPr>
                <w:rFonts w:hint="eastAsia" w:ascii="宋体" w:hAnsi="宋体" w:cs="宋体"/>
                <w:b w:val="0"/>
                <w:bCs/>
                <w:i w:val="0"/>
                <w:caps w:val="0"/>
                <w:color w:val="auto"/>
                <w:spacing w:val="0"/>
                <w:kern w:val="0"/>
                <w:sz w:val="28"/>
                <w:szCs w:val="28"/>
                <w:highlight w:val="none"/>
                <w:lang w:val="en-US" w:eastAsia="zh-CN" w:bidi="ar"/>
              </w:rPr>
              <w:t>二次</w:t>
            </w:r>
            <w:r>
              <w:rPr>
                <w:rFonts w:hint="eastAsia" w:ascii="宋体" w:hAnsi="宋体" w:eastAsia="宋体" w:cs="宋体"/>
                <w:b w:val="0"/>
                <w:bCs/>
                <w:i w:val="0"/>
                <w:caps w:val="0"/>
                <w:color w:val="auto"/>
                <w:spacing w:val="0"/>
                <w:kern w:val="0"/>
                <w:sz w:val="28"/>
                <w:szCs w:val="28"/>
                <w:highlight w:val="none"/>
                <w:lang w:val="en-US" w:eastAsia="zh-CN" w:bidi="ar"/>
              </w:rPr>
              <w:t>报价，最终报价以</w:t>
            </w:r>
            <w:r>
              <w:rPr>
                <w:rFonts w:hint="eastAsia" w:ascii="宋体" w:hAnsi="宋体" w:cs="宋体"/>
                <w:b w:val="0"/>
                <w:bCs/>
                <w:i w:val="0"/>
                <w:caps w:val="0"/>
                <w:color w:val="auto"/>
                <w:spacing w:val="0"/>
                <w:kern w:val="0"/>
                <w:sz w:val="28"/>
                <w:szCs w:val="28"/>
                <w:highlight w:val="none"/>
                <w:lang w:val="en-US" w:eastAsia="zh-CN" w:bidi="ar"/>
              </w:rPr>
              <w:t>三次</w:t>
            </w:r>
            <w:r>
              <w:rPr>
                <w:rFonts w:hint="eastAsia" w:ascii="宋体" w:hAnsi="宋体" w:eastAsia="宋体" w:cs="宋体"/>
                <w:b w:val="0"/>
                <w:bCs/>
                <w:i w:val="0"/>
                <w:caps w:val="0"/>
                <w:color w:val="auto"/>
                <w:spacing w:val="0"/>
                <w:kern w:val="0"/>
                <w:sz w:val="28"/>
                <w:szCs w:val="28"/>
                <w:highlight w:val="none"/>
                <w:lang w:val="en-US" w:eastAsia="zh-CN" w:bidi="ar"/>
              </w:rPr>
              <w:t>报价为准（</w:t>
            </w:r>
            <w:r>
              <w:rPr>
                <w:rFonts w:hint="eastAsia" w:ascii="宋体" w:hAnsi="宋体" w:cs="宋体"/>
                <w:b w:val="0"/>
                <w:bCs/>
                <w:i w:val="0"/>
                <w:caps w:val="0"/>
                <w:color w:val="auto"/>
                <w:spacing w:val="0"/>
                <w:kern w:val="0"/>
                <w:sz w:val="28"/>
                <w:szCs w:val="28"/>
                <w:highlight w:val="none"/>
                <w:lang w:val="en-US" w:eastAsia="zh-CN" w:bidi="ar"/>
              </w:rPr>
              <w:t>二次</w:t>
            </w:r>
            <w:r>
              <w:rPr>
                <w:rFonts w:hint="eastAsia" w:ascii="宋体" w:hAnsi="宋体" w:eastAsia="宋体" w:cs="宋体"/>
                <w:b w:val="0"/>
                <w:bCs/>
                <w:i w:val="0"/>
                <w:caps w:val="0"/>
                <w:color w:val="auto"/>
                <w:spacing w:val="0"/>
                <w:kern w:val="0"/>
                <w:sz w:val="28"/>
                <w:szCs w:val="28"/>
                <w:highlight w:val="none"/>
                <w:lang w:val="en-US" w:eastAsia="zh-CN" w:bidi="ar"/>
              </w:rPr>
              <w:t>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18</w:t>
            </w:r>
          </w:p>
        </w:tc>
        <w:tc>
          <w:tcPr>
            <w:tcW w:w="1980" w:type="dxa"/>
            <w:vAlign w:val="center"/>
          </w:tcPr>
          <w:p>
            <w:pPr>
              <w:spacing w:line="340" w:lineRule="exact"/>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lang w:eastAsia="zh-CN"/>
              </w:rPr>
              <w:t>评标委员会</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评标委员会构成：3人或3人以上单数组成，评标专家确定方式：由招标代理在开标前48小时在政采云专家库中随机抽取此次评标专家。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w:t>
            </w:r>
          </w:p>
        </w:tc>
        <w:tc>
          <w:tcPr>
            <w:tcW w:w="1980"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20</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履约担保 《中华人民共和国政府采购法实施条例》第四十八条　履约保证金的数额不得超过政府采购合同金额的10%，具体金额以合同签订为准。中标人与招标人签订合同前提交履约保证金，如中标人未按招标文件规定的服务，则扣除履约保证金。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优先采购原则</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□不适用</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适用，根据《中华人民共和国政府采购法》第九条规定：“政府采购应当有助于实现国家的经济和社会发展政策目标，包括保护环境，扶持不发达地区和少数民族地区，促进中小企业发展等”。中标候选人总价相同的条件下，优先就近采购本地或本县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restart"/>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23</w:t>
            </w:r>
          </w:p>
        </w:tc>
        <w:tc>
          <w:tcPr>
            <w:tcW w:w="1980" w:type="dxa"/>
            <w:vMerge w:val="restart"/>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continue"/>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p>
        </w:tc>
        <w:tc>
          <w:tcPr>
            <w:tcW w:w="1980" w:type="dxa"/>
            <w:vMerge w:val="continue"/>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本项目专门面向中小企业采购的项目，小型、微型企业投标的不再享受价格扣除。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本项目的企业划分标准所属行业为：其他未列明的行业。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24</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按差额定率累进法计算收取：100万元以下收取1.5%，100万-500万元收取0.8%，500万-1000万元收取0.45%，1000万-5000万元收取0.25%，5000万-1亿元收取0.1%，以此类推。（例如：中标金额为100.8万元，则招标代理服务收费额为（100万元X1.5%）+（0.8万元X1.1%）=15088.00元）。</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由中标单位在领取成交通知书时一次性支付。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答疑与澄清</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分，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rPr>
              <w:t>其他说明</w:t>
            </w:r>
          </w:p>
        </w:tc>
        <w:tc>
          <w:tcPr>
            <w:tcW w:w="6477" w:type="dxa"/>
            <w:vAlign w:val="center"/>
          </w:tcPr>
          <w:p>
            <w:pPr>
              <w:spacing w:line="34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投标供应商制作投标文件的CA锁必须和开标解密的CA锁为同一把锁，在解密过程中因为CA锁不同而导致解密失败的，由投标供应商自行承担。</w:t>
            </w:r>
          </w:p>
          <w:p>
            <w:pPr>
              <w:spacing w:line="340" w:lineRule="exact"/>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color w:val="auto"/>
                <w:sz w:val="24"/>
                <w:szCs w:val="24"/>
                <w:highlight w:val="none"/>
              </w:rPr>
              <w:t>备注</w:t>
            </w:r>
          </w:p>
        </w:tc>
        <w:tc>
          <w:tcPr>
            <w:tcW w:w="8457" w:type="dxa"/>
            <w:gridSpan w:val="2"/>
            <w:vAlign w:val="center"/>
          </w:tcPr>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spacing w:line="44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i w:val="0"/>
                <w:caps w:val="0"/>
                <w:color w:val="auto"/>
                <w:spacing w:val="0"/>
                <w:kern w:val="0"/>
                <w:sz w:val="28"/>
                <w:szCs w:val="28"/>
                <w:highlight w:val="none"/>
                <w:lang w:val="en-US" w:eastAsia="zh-CN" w:bidi="ar"/>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提示：（1）采购机构将拒绝接受未获取竞争性磋商文件的投标人的投标文件。</w:t>
            </w:r>
          </w:p>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（3）更正补充公告请自行登录新疆政府采购网查看下载。</w:t>
            </w:r>
          </w:p>
        </w:tc>
      </w:tr>
    </w:tbl>
    <w:p>
      <w:pPr>
        <w:rPr>
          <w:rFonts w:hint="eastAsia" w:ascii="宋体" w:hAnsi="宋体" w:eastAsia="宋体" w:cs="宋体"/>
          <w:color w:val="auto"/>
          <w:sz w:val="28"/>
          <w:szCs w:val="28"/>
          <w:highlight w:val="none"/>
        </w:rPr>
      </w:pPr>
      <w:bookmarkStart w:id="29" w:name="_Toc349637920"/>
      <w:bookmarkStart w:id="30" w:name="_Toc349573121"/>
      <w:bookmarkStart w:id="31" w:name="_Toc298240405"/>
      <w:bookmarkStart w:id="32" w:name="_Toc527642952"/>
      <w:bookmarkStart w:id="33" w:name="_Toc267301282"/>
      <w:r>
        <w:rPr>
          <w:rFonts w:hint="eastAsia" w:ascii="宋体" w:hAnsi="宋体" w:eastAsia="宋体" w:cs="宋体"/>
          <w:color w:val="auto"/>
          <w:sz w:val="28"/>
          <w:szCs w:val="28"/>
          <w:highlight w:val="none"/>
        </w:rPr>
        <w:br w:type="page"/>
      </w:r>
    </w:p>
    <w:p>
      <w:pPr>
        <w:pStyle w:val="2"/>
        <w:rPr>
          <w:rFonts w:hint="eastAsia"/>
        </w:rPr>
      </w:pP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29"/>
      <w:bookmarkEnd w:id="30"/>
      <w:bookmarkEnd w:id="31"/>
      <w:bookmarkEnd w:id="32"/>
      <w:bookmarkEnd w:id="33"/>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2.落实政府采购政策需满足的资格要求：供应商为中小企业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w:t>
      </w:r>
      <w:r>
        <w:rPr>
          <w:rFonts w:hint="eastAsia" w:ascii="宋体" w:hAnsi="宋体" w:cs="宋体"/>
          <w:b w:val="0"/>
          <w:bCs/>
          <w:i w:val="0"/>
          <w:caps w:val="0"/>
          <w:color w:val="auto"/>
          <w:spacing w:val="0"/>
          <w:kern w:val="0"/>
          <w:sz w:val="28"/>
          <w:szCs w:val="28"/>
          <w:highlight w:val="none"/>
          <w:lang w:val="en-US" w:eastAsia="zh-CN" w:bidi="ar"/>
        </w:rPr>
        <w:t>2</w:t>
      </w:r>
      <w:r>
        <w:rPr>
          <w:rFonts w:hint="eastAsia" w:ascii="宋体" w:hAnsi="宋体" w:eastAsia="宋体" w:cs="宋体"/>
          <w:b w:val="0"/>
          <w:bCs/>
          <w:i w:val="0"/>
          <w:caps w:val="0"/>
          <w:color w:val="auto"/>
          <w:spacing w:val="0"/>
          <w:kern w:val="0"/>
          <w:sz w:val="28"/>
          <w:szCs w:val="28"/>
          <w:highlight w:val="none"/>
          <w:lang w:val="en-US" w:eastAsia="zh-CN" w:bidi="ar"/>
        </w:rPr>
        <w:t>）提供税务机关出具近三个月的完税证明（2023年3月后成立的公司按实际发生提供）；</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w:t>
      </w:r>
      <w:r>
        <w:rPr>
          <w:rFonts w:hint="eastAsia" w:ascii="宋体" w:hAnsi="宋体" w:cs="宋体"/>
          <w:b w:val="0"/>
          <w:bCs/>
          <w:i w:val="0"/>
          <w:caps w:val="0"/>
          <w:color w:val="auto"/>
          <w:spacing w:val="0"/>
          <w:kern w:val="0"/>
          <w:sz w:val="28"/>
          <w:szCs w:val="28"/>
          <w:highlight w:val="none"/>
          <w:lang w:val="en-US" w:eastAsia="zh-CN" w:bidi="ar"/>
        </w:rPr>
        <w:t>3</w:t>
      </w:r>
      <w:r>
        <w:rPr>
          <w:rFonts w:hint="eastAsia" w:ascii="宋体" w:hAnsi="宋体" w:eastAsia="宋体" w:cs="宋体"/>
          <w:b w:val="0"/>
          <w:bCs/>
          <w:i w:val="0"/>
          <w:caps w:val="0"/>
          <w:color w:val="auto"/>
          <w:spacing w:val="0"/>
          <w:kern w:val="0"/>
          <w:sz w:val="28"/>
          <w:szCs w:val="28"/>
          <w:highlight w:val="none"/>
          <w:lang w:val="en-US" w:eastAsia="zh-CN" w:bidi="ar"/>
        </w:rPr>
        <w:t>）提供2022年度由第三方财务审计机构出具的财务审计报告或提供银行出具的近期资信证明；</w:t>
      </w:r>
    </w:p>
    <w:p>
      <w:pPr>
        <w:pStyle w:val="26"/>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w:t>
      </w:r>
      <w:r>
        <w:rPr>
          <w:rFonts w:hint="eastAsia" w:ascii="宋体" w:hAnsi="宋体" w:cs="宋体"/>
          <w:b w:val="0"/>
          <w:bCs/>
          <w:i w:val="0"/>
          <w:caps w:val="0"/>
          <w:color w:val="auto"/>
          <w:spacing w:val="0"/>
          <w:kern w:val="0"/>
          <w:sz w:val="28"/>
          <w:szCs w:val="28"/>
          <w:highlight w:val="none"/>
          <w:lang w:val="en-US" w:eastAsia="zh-CN" w:bidi="ar"/>
        </w:rPr>
        <w:t>4</w:t>
      </w:r>
      <w:r>
        <w:rPr>
          <w:rFonts w:hint="eastAsia" w:ascii="宋体" w:hAnsi="宋体" w:eastAsia="宋体" w:cs="宋体"/>
          <w:b w:val="0"/>
          <w:bCs/>
          <w:i w:val="0"/>
          <w:caps w:val="0"/>
          <w:color w:val="auto"/>
          <w:spacing w:val="0"/>
          <w:kern w:val="0"/>
          <w:sz w:val="28"/>
          <w:szCs w:val="28"/>
          <w:highlight w:val="none"/>
          <w:lang w:val="en-US" w:eastAsia="zh-CN" w:bidi="ar"/>
        </w:rPr>
        <w:t>）提供本单位缴纳的近三个月社保缴纳证明（单位社保缴费凭证，2023年3月后成立的公司按实际发生提供）；</w:t>
      </w:r>
    </w:p>
    <w:p>
      <w:pPr>
        <w:spacing w:line="460" w:lineRule="exact"/>
        <w:ind w:firstLine="560" w:firstLineChars="20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w:t>
      </w:r>
      <w:r>
        <w:rPr>
          <w:rFonts w:hint="eastAsia" w:ascii="宋体" w:hAnsi="宋体" w:cs="宋体"/>
          <w:b w:val="0"/>
          <w:bCs/>
          <w:i w:val="0"/>
          <w:caps w:val="0"/>
          <w:color w:val="auto"/>
          <w:spacing w:val="0"/>
          <w:kern w:val="0"/>
          <w:sz w:val="28"/>
          <w:szCs w:val="28"/>
          <w:highlight w:val="none"/>
          <w:lang w:val="en-US" w:eastAsia="zh-CN" w:bidi="ar"/>
        </w:rPr>
        <w:t>5</w:t>
      </w:r>
      <w:r>
        <w:rPr>
          <w:rFonts w:hint="eastAsia" w:ascii="宋体" w:hAnsi="宋体" w:eastAsia="宋体" w:cs="宋体"/>
          <w:b w:val="0"/>
          <w:bCs/>
          <w:i w:val="0"/>
          <w:caps w:val="0"/>
          <w:color w:val="auto"/>
          <w:spacing w:val="0"/>
          <w:kern w:val="0"/>
          <w:sz w:val="28"/>
          <w:szCs w:val="28"/>
          <w:highlight w:val="none"/>
          <w:lang w:val="en-US" w:eastAsia="zh-CN" w:bidi="ar"/>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文件的要求参与投标竞争的法人，中标后即为中标人，签定合同后即为卖方。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4" w:name="_Toc527642953"/>
      <w:bookmarkStart w:id="35" w:name="_Toc349573122"/>
      <w:bookmarkStart w:id="36" w:name="_Toc267301283"/>
      <w:bookmarkStart w:id="37" w:name="_Toc349637921"/>
      <w:bookmarkStart w:id="38" w:name="_Toc298240406"/>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4"/>
      <w:bookmarkEnd w:id="35"/>
      <w:bookmarkEnd w:id="36"/>
      <w:bookmarkEnd w:id="37"/>
      <w:bookmarkEnd w:id="38"/>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文件有疑问的，可以向招标代理机构提出询问，招标代理机构将及时做出答复；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文件之日起至质疑截止时间止，以书面形式向招标机构提出质疑；招标机构在收到书面质疑后，在投标截止时间3个工作日前做出答复，并以书面形式通知质疑供应商。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文件进行必要的修改，招标代理机构将在投标截止时间3个工作日前以书面形式通知所有购买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39" w:name="_Toc267301284"/>
      <w:bookmarkStart w:id="40" w:name="_Toc527642954"/>
      <w:bookmarkStart w:id="41" w:name="_Toc298240407"/>
      <w:bookmarkStart w:id="42" w:name="_Toc349637922"/>
      <w:bookmarkStart w:id="43" w:name="_Toc349573123"/>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39"/>
      <w:bookmarkEnd w:id="40"/>
      <w:bookmarkEnd w:id="41"/>
      <w:bookmarkEnd w:id="42"/>
      <w:bookmarkEnd w:id="43"/>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4"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4"/>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文件做出实质性响应。</w:t>
      </w:r>
    </w:p>
    <w:p>
      <w:pPr>
        <w:spacing w:line="460" w:lineRule="exact"/>
        <w:rPr>
          <w:rFonts w:hint="eastAsia" w:ascii="宋体" w:hAnsi="宋体" w:eastAsia="宋体" w:cs="宋体"/>
          <w:b/>
          <w:color w:val="auto"/>
          <w:sz w:val="28"/>
          <w:szCs w:val="28"/>
          <w:highlight w:val="none"/>
        </w:rPr>
      </w:pPr>
      <w:bookmarkStart w:id="45" w:name="_Toc349637924"/>
      <w:bookmarkStart w:id="46" w:name="_Toc527642956"/>
      <w:bookmarkStart w:id="47" w:name="_Toc298240409"/>
      <w:bookmarkStart w:id="48" w:name="_Toc349573125"/>
      <w:bookmarkStart w:id="49" w:name="_Toc267301286"/>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eastAsia="宋体" w:cs="宋体"/>
          <w:b/>
          <w:bCs/>
          <w:color w:val="auto"/>
          <w:sz w:val="28"/>
          <w:szCs w:val="28"/>
          <w:highlight w:val="none"/>
          <w:shd w:val="clear" w:color="auto" w:fill="auto"/>
          <w:lang w:eastAsia="zh-CN"/>
        </w:rPr>
        <w:t>2023年</w:t>
      </w:r>
      <w:r>
        <w:rPr>
          <w:rFonts w:hint="eastAsia" w:ascii="宋体" w:hAnsi="宋体" w:cs="宋体"/>
          <w:b/>
          <w:bCs/>
          <w:color w:val="auto"/>
          <w:sz w:val="28"/>
          <w:szCs w:val="28"/>
          <w:highlight w:val="none"/>
          <w:shd w:val="clear" w:color="auto" w:fill="auto"/>
          <w:lang w:eastAsia="zh-CN"/>
        </w:rPr>
        <w:t>7月14日11：00</w:t>
      </w:r>
      <w:r>
        <w:rPr>
          <w:rFonts w:hint="eastAsia" w:ascii="宋体" w:hAnsi="宋体" w:eastAsia="宋体" w:cs="宋体"/>
          <w:b/>
          <w:bCs/>
          <w:color w:val="auto"/>
          <w:sz w:val="28"/>
          <w:szCs w:val="28"/>
          <w:highlight w:val="none"/>
          <w:shd w:val="clear" w:color="auto" w:fill="auto"/>
          <w:lang w:eastAsia="zh-CN"/>
        </w:rPr>
        <w:t>分（北京时间）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7月14日11：00</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11：30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rPr>
        <w:t>分钟内供应商可以登录“政采云”平台，用“项目采购-开标评标”功能进行解密投标文件。若供应商在规定时间内</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7月14日11：00</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11：30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详见投标人须知前附表第</w:t>
      </w:r>
      <w:r>
        <w:rPr>
          <w:rFonts w:hint="eastAsia" w:ascii="宋体" w:hAnsi="宋体" w:eastAsia="宋体" w:cs="宋体"/>
          <w:b/>
          <w:color w:val="auto"/>
          <w:sz w:val="28"/>
          <w:szCs w:val="28"/>
          <w:highlight w:val="none"/>
          <w:u w:val="single"/>
          <w:lang w:val="en-US" w:eastAsia="zh-CN"/>
        </w:rPr>
        <w:t>9</w:t>
      </w:r>
      <w:r>
        <w:rPr>
          <w:rFonts w:hint="eastAsia" w:ascii="宋体" w:hAnsi="宋体" w:eastAsia="宋体" w:cs="宋体"/>
          <w:b/>
          <w:color w:val="auto"/>
          <w:sz w:val="28"/>
          <w:szCs w:val="28"/>
          <w:highlight w:val="none"/>
          <w:u w:val="single"/>
        </w:rPr>
        <w:t>条</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详见投标人须知前附表第</w:t>
      </w:r>
      <w:r>
        <w:rPr>
          <w:rFonts w:hint="eastAsia" w:ascii="宋体" w:hAnsi="宋体" w:eastAsia="宋体" w:cs="宋体"/>
          <w:b/>
          <w:color w:val="auto"/>
          <w:sz w:val="28"/>
          <w:szCs w:val="28"/>
          <w:highlight w:val="none"/>
          <w:u w:val="single"/>
          <w:lang w:val="en-US" w:eastAsia="zh-CN"/>
        </w:rPr>
        <w:t>9</w:t>
      </w:r>
      <w:r>
        <w:rPr>
          <w:rFonts w:hint="eastAsia" w:ascii="宋体" w:hAnsi="宋体" w:eastAsia="宋体" w:cs="宋体"/>
          <w:b/>
          <w:color w:val="auto"/>
          <w:sz w:val="28"/>
          <w:szCs w:val="28"/>
          <w:highlight w:val="none"/>
          <w:u w:val="single"/>
        </w:rPr>
        <w:t>条规定）</w:t>
      </w:r>
      <w:r>
        <w:rPr>
          <w:rFonts w:hint="eastAsia" w:ascii="宋体" w:hAnsi="宋体" w:eastAsia="宋体" w:cs="宋体"/>
          <w:color w:val="auto"/>
          <w:sz w:val="28"/>
          <w:szCs w:val="28"/>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发生以下情况投标保证金可能被没收：</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16.6.1 投标人在投标有效期内撤回投标的；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16.6.2 中标人未能做到：中标后，无正当理由放弃中标资格。</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16.6.3 投标人在投标过程中有违反有关法律法规行为的。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50" w:name="_Toc22171"/>
      <w:bookmarkStart w:id="51" w:name="_Toc22295"/>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50"/>
      <w:bookmarkEnd w:id="51"/>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”平台，用“项目采购-开标评标”功能对投标文件进行解密。规定的解密时限为：</w:t>
      </w:r>
      <w:bookmarkStart w:id="52" w:name="_Hlk49254376"/>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lang w:eastAsia="zh-CN"/>
        </w:rPr>
        <w:t>的规定</w:t>
      </w:r>
      <w:bookmarkEnd w:id="52"/>
      <w:r>
        <w:rPr>
          <w:rFonts w:hint="eastAsia" w:ascii="宋体" w:hAnsi="宋体" w:eastAsia="宋体" w:cs="宋体"/>
          <w:color w:val="auto"/>
          <w:sz w:val="28"/>
          <w:szCs w:val="28"/>
          <w:highlight w:val="none"/>
        </w:rPr>
        <w:t>，若供应商在规定的时间内（“投标人须知前附表”</w:t>
      </w:r>
      <w:r>
        <w:rPr>
          <w:rFonts w:hint="eastAsia" w:ascii="宋体" w:hAnsi="宋体" w:eastAsia="宋体" w:cs="宋体"/>
          <w:color w:val="auto"/>
          <w:sz w:val="28"/>
          <w:szCs w:val="28"/>
          <w:highlight w:val="none"/>
          <w:lang w:eastAsia="zh-CN"/>
        </w:rPr>
        <w:t>的规定</w:t>
      </w:r>
      <w:r>
        <w:rPr>
          <w:rFonts w:hint="eastAsia" w:ascii="宋体" w:hAnsi="宋体" w:eastAsia="宋体" w:cs="宋体"/>
          <w:color w:val="auto"/>
          <w:sz w:val="28"/>
          <w:szCs w:val="28"/>
          <w:highlight w:val="none"/>
        </w:rPr>
        <w:t>）未能解密的，视为供应商对其投标文件的撤回。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w:t>
      </w:r>
      <w:r>
        <w:rPr>
          <w:rFonts w:hint="eastAsia" w:ascii="宋体" w:hAnsi="宋体" w:eastAsia="宋体" w:cs="宋体"/>
          <w:color w:val="auto"/>
          <w:sz w:val="28"/>
          <w:szCs w:val="28"/>
          <w:highlight w:val="none"/>
          <w:lang w:eastAsia="zh-CN"/>
        </w:rPr>
        <w:t>的规定</w:t>
      </w:r>
      <w:r>
        <w:rPr>
          <w:rFonts w:hint="eastAsia" w:ascii="宋体" w:hAnsi="宋体" w:eastAsia="宋体" w:cs="宋体"/>
          <w:color w:val="auto"/>
          <w:sz w:val="28"/>
          <w:szCs w:val="28"/>
          <w:highlight w:val="none"/>
        </w:rPr>
        <w:t>）未能解密的，也将被视为供应商对其投标文件的撤回。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5"/>
      <w:bookmarkEnd w:id="46"/>
      <w:bookmarkEnd w:id="47"/>
      <w:bookmarkEnd w:id="48"/>
      <w:bookmarkEnd w:id="49"/>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w:t>
      </w:r>
      <w:r>
        <w:rPr>
          <w:rFonts w:hint="eastAsia" w:ascii="宋体" w:hAnsi="宋体" w:cs="宋体"/>
          <w:color w:val="auto"/>
          <w:sz w:val="28"/>
          <w:szCs w:val="28"/>
          <w:highlight w:val="none"/>
          <w:lang w:eastAsia="zh-CN"/>
        </w:rPr>
        <w:t>三次</w:t>
      </w:r>
      <w:r>
        <w:rPr>
          <w:rFonts w:hint="eastAsia" w:ascii="宋体" w:hAnsi="宋体" w:eastAsia="宋体" w:cs="宋体"/>
          <w:color w:val="auto"/>
          <w:sz w:val="28"/>
          <w:szCs w:val="28"/>
          <w:highlight w:val="none"/>
        </w:rPr>
        <w:t>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w:t>
      </w:r>
      <w:r>
        <w:rPr>
          <w:rFonts w:hint="eastAsia" w:ascii="宋体" w:hAnsi="宋体" w:cs="宋体"/>
          <w:color w:val="auto"/>
          <w:sz w:val="28"/>
          <w:szCs w:val="28"/>
          <w:highlight w:val="none"/>
          <w:lang w:eastAsia="zh-CN"/>
        </w:rPr>
        <w:t>三次</w:t>
      </w:r>
      <w:r>
        <w:rPr>
          <w:rFonts w:hint="eastAsia" w:ascii="宋体" w:hAnsi="宋体" w:eastAsia="宋体" w:cs="宋体"/>
          <w:color w:val="auto"/>
          <w:sz w:val="28"/>
          <w:szCs w:val="28"/>
          <w:highlight w:val="none"/>
        </w:rPr>
        <w:t>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7"/>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8"/>
          <w:szCs w:val="28"/>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10"/>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10"/>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评标依据：磋商小组按照磋商文件要求对磋商响应文件中的供应商资格、供应商资格证明文件、重要技术指标以及技术和商务上要求的其他重要内容进行审核。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他重要内容进行审核，审核合格后即视为实质性响应的投标文件，详细评审标准如下：</w:t>
      </w:r>
    </w:p>
    <w:p>
      <w:pPr>
        <w:pStyle w:val="10"/>
        <w:spacing w:line="3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 xml:space="preserve">  </w:t>
      </w:r>
    </w:p>
    <w:p>
      <w:pPr>
        <w:pStyle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29"/>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29"/>
                <w:rFonts w:hint="eastAsia" w:ascii="宋体" w:hAnsi="宋体" w:eastAsia="宋体" w:cs="宋体"/>
                <w:i w:val="0"/>
                <w:iCs w:val="0"/>
                <w:color w:val="auto"/>
                <w:spacing w:val="-2"/>
                <w:sz w:val="24"/>
                <w:szCs w:val="24"/>
                <w:highlight w:val="none"/>
                <w:lang w:val="en-US" w:eastAsia="zh-CN"/>
              </w:rPr>
            </w:pPr>
            <w:r>
              <w:rPr>
                <w:rStyle w:val="29"/>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29"/>
                <w:rFonts w:hint="eastAsia" w:ascii="宋体" w:hAnsi="宋体" w:eastAsia="宋体" w:cs="宋体"/>
                <w:b/>
                <w:i w:val="0"/>
                <w:iCs w:val="0"/>
                <w:color w:val="auto"/>
                <w:sz w:val="24"/>
                <w:szCs w:val="24"/>
                <w:highlight w:val="none"/>
              </w:rPr>
            </w:pPr>
            <w:r>
              <w:rPr>
                <w:rStyle w:val="29"/>
                <w:rFonts w:hint="eastAsia" w:ascii="宋体" w:hAnsi="宋体" w:eastAsia="宋体" w:cs="宋体"/>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29"/>
                <w:rFonts w:hint="eastAsia" w:ascii="宋体" w:hAnsi="宋体" w:eastAsia="宋体" w:cs="宋体"/>
                <w:i w:val="0"/>
                <w:iCs w:val="0"/>
                <w:color w:val="auto"/>
                <w:sz w:val="24"/>
                <w:szCs w:val="24"/>
                <w:highlight w:val="none"/>
              </w:rPr>
            </w:pPr>
            <w:r>
              <w:rPr>
                <w:rStyle w:val="29"/>
                <w:rFonts w:hint="eastAsia" w:ascii="宋体" w:hAnsi="宋体" w:eastAsia="宋体" w:cs="宋体"/>
                <w:i w:val="0"/>
                <w:iCs w:val="0"/>
                <w:color w:val="auto"/>
                <w:sz w:val="24"/>
                <w:szCs w:val="24"/>
                <w:highlight w:val="none"/>
              </w:rPr>
              <w:t>1</w:t>
            </w:r>
          </w:p>
        </w:tc>
        <w:tc>
          <w:tcPr>
            <w:tcW w:w="7446" w:type="dxa"/>
            <w:vAlign w:val="center"/>
          </w:tcPr>
          <w:p>
            <w:pPr>
              <w:spacing w:line="240" w:lineRule="auto"/>
              <w:jc w:val="left"/>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提供经年审合格的企业法人三证合一营业执照副本；</w:t>
            </w:r>
          </w:p>
        </w:tc>
        <w:tc>
          <w:tcPr>
            <w:tcW w:w="468"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Style w:val="29"/>
                <w:rFonts w:hint="eastAsia" w:ascii="宋体" w:hAnsi="宋体" w:eastAsia="宋体" w:cs="宋体"/>
                <w:i w:val="0"/>
                <w:iCs w:val="0"/>
                <w:color w:val="auto"/>
                <w:spacing w:val="-2"/>
                <w:sz w:val="24"/>
                <w:szCs w:val="24"/>
                <w:highlight w:val="none"/>
                <w:lang w:eastAsia="zh-CN"/>
              </w:rPr>
              <w:t>提供2022年度由第三方财务审计机构出具的财务审计报告或提供银行出具的近期资信证明；</w:t>
            </w:r>
          </w:p>
        </w:tc>
        <w:tc>
          <w:tcPr>
            <w:tcW w:w="468"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29"/>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Style w:val="29"/>
                <w:rFonts w:hint="eastAsia" w:ascii="宋体" w:hAnsi="宋体" w:eastAsia="宋体" w:cs="宋体"/>
                <w:i w:val="0"/>
                <w:iCs w:val="0"/>
                <w:color w:val="auto"/>
                <w:spacing w:val="-2"/>
                <w:sz w:val="24"/>
                <w:szCs w:val="24"/>
                <w:highlight w:val="none"/>
                <w:lang w:eastAsia="zh-CN"/>
              </w:rPr>
              <w:t>提供202</w:t>
            </w:r>
            <w:r>
              <w:rPr>
                <w:rStyle w:val="29"/>
                <w:rFonts w:hint="eastAsia" w:ascii="宋体" w:hAnsi="宋体" w:eastAsia="宋体" w:cs="宋体"/>
                <w:i w:val="0"/>
                <w:iCs w:val="0"/>
                <w:color w:val="auto"/>
                <w:spacing w:val="-2"/>
                <w:sz w:val="24"/>
                <w:szCs w:val="24"/>
                <w:highlight w:val="none"/>
                <w:lang w:val="en-US" w:eastAsia="zh-CN"/>
              </w:rPr>
              <w:t>3</w:t>
            </w:r>
            <w:r>
              <w:rPr>
                <w:rStyle w:val="29"/>
                <w:rFonts w:hint="eastAsia" w:ascii="宋体" w:hAnsi="宋体" w:eastAsia="宋体" w:cs="宋体"/>
                <w:i w:val="0"/>
                <w:iCs w:val="0"/>
                <w:color w:val="auto"/>
                <w:spacing w:val="-2"/>
                <w:sz w:val="24"/>
                <w:szCs w:val="24"/>
                <w:highlight w:val="none"/>
                <w:lang w:eastAsia="zh-CN"/>
              </w:rPr>
              <w:t>年税务机关出具近三个月的完税证明（2023年3月后成立的公司</w:t>
            </w:r>
            <w:r>
              <w:rPr>
                <w:rStyle w:val="29"/>
                <w:rFonts w:hint="eastAsia" w:ascii="宋体" w:hAnsi="宋体" w:eastAsia="宋体" w:cs="宋体"/>
                <w:i w:val="0"/>
                <w:iCs w:val="0"/>
                <w:color w:val="auto"/>
                <w:spacing w:val="-2"/>
                <w:sz w:val="24"/>
                <w:szCs w:val="24"/>
                <w:highlight w:val="none"/>
                <w:lang w:val="en-US" w:eastAsia="zh-CN"/>
              </w:rPr>
              <w:t>按实际发生</w:t>
            </w:r>
            <w:r>
              <w:rPr>
                <w:rStyle w:val="29"/>
                <w:rFonts w:hint="eastAsia" w:ascii="宋体" w:hAnsi="宋体" w:eastAsia="宋体" w:cs="宋体"/>
                <w:i w:val="0"/>
                <w:iCs w:val="0"/>
                <w:color w:val="auto"/>
                <w:spacing w:val="-2"/>
                <w:sz w:val="24"/>
                <w:szCs w:val="24"/>
                <w:highlight w:val="none"/>
                <w:lang w:eastAsia="zh-CN"/>
              </w:rPr>
              <w:t>提供）；</w:t>
            </w:r>
          </w:p>
        </w:tc>
        <w:tc>
          <w:tcPr>
            <w:tcW w:w="468"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29"/>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Style w:val="29"/>
                <w:rFonts w:hint="eastAsia" w:ascii="宋体" w:hAnsi="宋体" w:cs="宋体"/>
                <w:i w:val="0"/>
                <w:iCs w:val="0"/>
                <w:color w:val="auto"/>
                <w:spacing w:val="-2"/>
                <w:sz w:val="24"/>
                <w:szCs w:val="24"/>
                <w:highlight w:val="none"/>
                <w:lang w:eastAsia="zh-CN"/>
              </w:rPr>
              <w:t>投标人</w:t>
            </w:r>
            <w:r>
              <w:rPr>
                <w:rStyle w:val="29"/>
                <w:rFonts w:hint="eastAsia" w:ascii="宋体" w:hAnsi="宋体" w:eastAsia="宋体" w:cs="宋体"/>
                <w:i w:val="0"/>
                <w:iCs w:val="0"/>
                <w:color w:val="auto"/>
                <w:spacing w:val="-2"/>
                <w:sz w:val="24"/>
                <w:szCs w:val="24"/>
                <w:highlight w:val="none"/>
                <w:lang w:eastAsia="zh-CN"/>
              </w:rPr>
              <w:t>近3月社保缴纳证明（单位社保缴费凭证，2023年3月后成立的公司</w:t>
            </w:r>
            <w:r>
              <w:rPr>
                <w:rStyle w:val="29"/>
                <w:rFonts w:hint="eastAsia" w:ascii="宋体" w:hAnsi="宋体" w:eastAsia="宋体" w:cs="宋体"/>
                <w:i w:val="0"/>
                <w:iCs w:val="0"/>
                <w:color w:val="auto"/>
                <w:spacing w:val="-2"/>
                <w:sz w:val="24"/>
                <w:szCs w:val="24"/>
                <w:highlight w:val="none"/>
                <w:lang w:val="en-US" w:eastAsia="zh-CN"/>
              </w:rPr>
              <w:t>按实际发生</w:t>
            </w:r>
            <w:r>
              <w:rPr>
                <w:rStyle w:val="29"/>
                <w:rFonts w:hint="eastAsia" w:ascii="宋体" w:hAnsi="宋体" w:eastAsia="宋体" w:cs="宋体"/>
                <w:i w:val="0"/>
                <w:iCs w:val="0"/>
                <w:color w:val="auto"/>
                <w:spacing w:val="-2"/>
                <w:sz w:val="24"/>
                <w:szCs w:val="24"/>
                <w:highlight w:val="none"/>
                <w:lang w:eastAsia="zh-CN"/>
              </w:rPr>
              <w:t>提供）；</w:t>
            </w:r>
          </w:p>
        </w:tc>
        <w:tc>
          <w:tcPr>
            <w:tcW w:w="468"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Style w:val="29"/>
                <w:rFonts w:hint="default" w:ascii="宋体" w:hAnsi="宋体" w:eastAsia="宋体" w:cs="宋体"/>
                <w:i w:val="0"/>
                <w:iCs w:val="0"/>
                <w:color w:val="auto"/>
                <w:sz w:val="24"/>
                <w:szCs w:val="24"/>
                <w:highlight w:val="none"/>
                <w:lang w:val="en-US" w:eastAsia="zh-CN"/>
              </w:rPr>
            </w:pPr>
            <w:r>
              <w:rPr>
                <w:rStyle w:val="29"/>
                <w:rFonts w:hint="eastAsia" w:ascii="宋体" w:hAnsi="宋体" w:cs="宋体"/>
                <w:i w:val="0"/>
                <w:iCs w:val="0"/>
                <w:color w:val="auto"/>
                <w:sz w:val="24"/>
                <w:szCs w:val="24"/>
                <w:highlight w:val="none"/>
                <w:lang w:val="en-US" w:eastAsia="zh-CN"/>
              </w:rPr>
              <w:t>5</w:t>
            </w:r>
          </w:p>
        </w:tc>
        <w:tc>
          <w:tcPr>
            <w:tcW w:w="7446" w:type="dxa"/>
            <w:vAlign w:val="center"/>
          </w:tcPr>
          <w:p>
            <w:pPr>
              <w:spacing w:line="240" w:lineRule="auto"/>
              <w:jc w:val="left"/>
              <w:rPr>
                <w:rStyle w:val="29"/>
                <w:rFonts w:hint="eastAsia" w:ascii="宋体" w:hAnsi="宋体" w:cs="宋体"/>
                <w:i w:val="0"/>
                <w:iCs w:val="0"/>
                <w:color w:val="auto"/>
                <w:spacing w:val="-2"/>
                <w:sz w:val="24"/>
                <w:szCs w:val="24"/>
                <w:highlight w:val="none"/>
                <w:lang w:eastAsia="zh-CN"/>
              </w:rPr>
            </w:pPr>
            <w:r>
              <w:rPr>
                <w:rStyle w:val="29"/>
                <w:rFonts w:hint="eastAsia" w:ascii="宋体" w:hAnsi="宋体" w:cs="宋体"/>
                <w:i w:val="0"/>
                <w:iCs w:val="0"/>
                <w:color w:val="auto"/>
                <w:spacing w:val="-2"/>
                <w:sz w:val="24"/>
                <w:szCs w:val="24"/>
                <w:highlight w:val="none"/>
                <w:lang w:eastAsia="zh-CN"/>
              </w:rPr>
              <w:t>未在“信用中国”网站（www.creditchina.gov.cn）、中国政府采购网（www.ccgp.gov.cn）等渠道列入失信被执行人、重大税收违法案件当事人名单、政府采购严重违法失信行为记录名单</w:t>
            </w:r>
          </w:p>
        </w:tc>
        <w:tc>
          <w:tcPr>
            <w:tcW w:w="468"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29"/>
                <w:rFonts w:hint="eastAsia" w:ascii="宋体" w:hAnsi="宋体" w:eastAsia="宋体" w:cs="宋体"/>
                <w:i w:val="0"/>
                <w:iCs w:val="0"/>
                <w:color w:val="auto"/>
                <w:spacing w:val="-2"/>
                <w:sz w:val="24"/>
                <w:szCs w:val="24"/>
                <w:highlight w:val="none"/>
                <w:lang w:val="en-US" w:eastAsia="zh-CN"/>
              </w:rPr>
            </w:pPr>
            <w:r>
              <w:rPr>
                <w:rStyle w:val="29"/>
                <w:rFonts w:hint="eastAsia" w:ascii="宋体" w:hAnsi="宋体" w:cs="宋体"/>
                <w:i w:val="0"/>
                <w:iCs w:val="0"/>
                <w:color w:val="auto"/>
                <w:spacing w:val="-2"/>
                <w:sz w:val="24"/>
                <w:szCs w:val="24"/>
                <w:highlight w:val="none"/>
                <w:lang w:val="en-US" w:eastAsia="zh-CN"/>
              </w:rPr>
              <w:t>6</w:t>
            </w:r>
          </w:p>
        </w:tc>
        <w:tc>
          <w:tcPr>
            <w:tcW w:w="7446" w:type="dxa"/>
            <w:vAlign w:val="center"/>
          </w:tcPr>
          <w:p>
            <w:pPr>
              <w:spacing w:line="240" w:lineRule="auto"/>
              <w:jc w:val="left"/>
              <w:rPr>
                <w:rStyle w:val="29"/>
                <w:rFonts w:hint="eastAsia" w:ascii="宋体" w:hAnsi="宋体" w:eastAsia="宋体" w:cs="宋体"/>
                <w:i w:val="0"/>
                <w:iCs w:val="0"/>
                <w:color w:val="auto"/>
                <w:spacing w:val="-2"/>
                <w:sz w:val="24"/>
                <w:szCs w:val="24"/>
                <w:highlight w:val="none"/>
                <w:lang w:val="en-US" w:eastAsia="zh-CN"/>
              </w:rPr>
            </w:pPr>
            <w:r>
              <w:rPr>
                <w:rStyle w:val="29"/>
                <w:rFonts w:hint="eastAsia" w:ascii="宋体" w:hAnsi="宋体" w:eastAsia="宋体" w:cs="宋体"/>
                <w:i w:val="0"/>
                <w:iCs w:val="0"/>
                <w:color w:val="auto"/>
                <w:spacing w:val="-2"/>
                <w:sz w:val="24"/>
                <w:szCs w:val="24"/>
                <w:highlight w:val="none"/>
                <w:lang w:val="en-US" w:eastAsia="zh-CN"/>
              </w:rPr>
              <w:t>是否按照要求足额缴纳投标保证金；</w:t>
            </w:r>
          </w:p>
        </w:tc>
        <w:tc>
          <w:tcPr>
            <w:tcW w:w="468" w:type="dxa"/>
            <w:vAlign w:val="center"/>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29"/>
                <w:rFonts w:hint="default" w:ascii="宋体" w:hAnsi="宋体" w:eastAsia="宋体" w:cs="宋体"/>
                <w:i w:val="0"/>
                <w:iCs w:val="0"/>
                <w:color w:val="auto"/>
                <w:spacing w:val="-2"/>
                <w:sz w:val="24"/>
                <w:szCs w:val="24"/>
                <w:highlight w:val="none"/>
                <w:lang w:val="en-US" w:eastAsia="zh-CN"/>
              </w:rPr>
            </w:pPr>
            <w:r>
              <w:rPr>
                <w:rStyle w:val="29"/>
                <w:rFonts w:hint="eastAsia" w:ascii="宋体" w:hAnsi="宋体" w:cs="宋体"/>
                <w:i w:val="0"/>
                <w:iCs w:val="0"/>
                <w:color w:val="auto"/>
                <w:spacing w:val="-2"/>
                <w:sz w:val="24"/>
                <w:szCs w:val="24"/>
                <w:highlight w:val="none"/>
                <w:lang w:val="en-US" w:eastAsia="zh-CN"/>
              </w:rPr>
              <w:t>7</w:t>
            </w:r>
          </w:p>
        </w:tc>
        <w:tc>
          <w:tcPr>
            <w:tcW w:w="7446" w:type="dxa"/>
            <w:vAlign w:val="center"/>
          </w:tcPr>
          <w:p>
            <w:pPr>
              <w:spacing w:line="240" w:lineRule="auto"/>
              <w:jc w:val="left"/>
              <w:rPr>
                <w:rStyle w:val="29"/>
                <w:rFonts w:hint="eastAsia" w:ascii="宋体" w:hAnsi="宋体" w:eastAsia="宋体" w:cs="宋体"/>
                <w:i w:val="0"/>
                <w:iCs w:val="0"/>
                <w:color w:val="auto"/>
                <w:spacing w:val="-2"/>
                <w:sz w:val="24"/>
                <w:szCs w:val="24"/>
                <w:highlight w:val="none"/>
                <w:lang w:val="en-US" w:eastAsia="zh-CN"/>
              </w:rPr>
            </w:pPr>
            <w:r>
              <w:rPr>
                <w:rStyle w:val="29"/>
                <w:rFonts w:hint="eastAsia" w:ascii="宋体" w:hAnsi="宋体" w:eastAsia="宋体" w:cs="宋体"/>
                <w:i w:val="0"/>
                <w:iCs w:val="0"/>
                <w:color w:val="auto"/>
                <w:spacing w:val="-2"/>
                <w:sz w:val="24"/>
                <w:szCs w:val="24"/>
                <w:highlight w:val="none"/>
                <w:lang w:val="en-US" w:eastAsia="zh-CN"/>
              </w:rPr>
              <w:t>是否提供有效的中小企业声明函。</w:t>
            </w:r>
          </w:p>
        </w:tc>
        <w:tc>
          <w:tcPr>
            <w:tcW w:w="468" w:type="dxa"/>
            <w:vAlign w:val="center"/>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rPr>
              <w:t>结论：</w:t>
            </w:r>
            <w:r>
              <w:rPr>
                <w:rStyle w:val="29"/>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29"/>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29"/>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29"/>
                <w:rFonts w:hint="eastAsia" w:ascii="宋体" w:hAnsi="宋体" w:eastAsia="宋体" w:cs="宋体"/>
                <w:i w:val="0"/>
                <w:iCs w:val="0"/>
                <w:color w:val="auto"/>
                <w:spacing w:val="-2"/>
                <w:sz w:val="24"/>
                <w:szCs w:val="24"/>
                <w:highlight w:val="none"/>
              </w:rPr>
            </w:pPr>
            <w:r>
              <w:rPr>
                <w:rStyle w:val="29"/>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53" w:name="_Toc349573126"/>
      <w:bookmarkStart w:id="54" w:name="_Toc471489758"/>
      <w:bookmarkStart w:id="55" w:name="_Toc298240410"/>
      <w:bookmarkStart w:id="56" w:name="_Toc267301287"/>
      <w:bookmarkStart w:id="57" w:name="_Toc349637925"/>
      <w:bookmarkStart w:id="58" w:name="_Toc527642957"/>
      <w:bookmarkStart w:id="59"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0"/>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030"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投标人1</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投标人3</w:t>
            </w:r>
          </w:p>
        </w:tc>
        <w:tc>
          <w:tcPr>
            <w:tcW w:w="7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投标文件是否有投标人法定代表人（章）或其授权代表签字和加盖投标单位公章的；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auto"/>
                <w:sz w:val="24"/>
                <w:szCs w:val="24"/>
                <w:highlight w:val="none"/>
                <w:lang w:val="en-US" w:eastAsia="zh-CN"/>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投标文件是否不齐全或者内容虚假的；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投标文件记载的招标项目服务期限是否超过招标文件规定的服务期限；</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投标有效期是否满足招标文件要求的；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投标报价没有高于采购预算价；（采购预算资金额:50.2万元，单价最高限价50.2万元）</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投标人没有递交两份或两份以上内容不同的投标书，已声明哪一份有效的；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技术参数不符合技术规格和技术标准（技术规格、合同条款有偏离情况的）；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商务条款是否有偏离情况的；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投标文件是否附有招标人不能接受条件的；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是否满足招标文件实质性要求的其他情形；</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投标保证金的缴纳主体与投标人是否一致；</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结论：合格/不合格</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而予以废标，并且不允许投标人通过修改或撤销其不符合要求的差异或保留，使之成为具有响应性的投标。</w:t>
            </w:r>
          </w:p>
        </w:tc>
      </w:tr>
    </w:tbl>
    <w:p>
      <w:pPr>
        <w:rPr>
          <w:rFonts w:hint="eastAsia" w:ascii="宋体" w:hAnsi="宋体" w:eastAsia="宋体" w:cs="宋体"/>
          <w:b/>
          <w:color w:val="auto"/>
          <w:sz w:val="28"/>
          <w:szCs w:val="28"/>
          <w:highlight w:val="none"/>
        </w:rPr>
        <w:sectPr>
          <w:headerReference r:id="rId4" w:type="default"/>
          <w:footerReference r:id="rId5" w:type="default"/>
          <w:pgSz w:w="11907" w:h="16839"/>
          <w:pgMar w:top="1431" w:right="1226" w:bottom="0" w:left="1241" w:header="0" w:footer="0" w:gutter="0"/>
          <w:cols w:space="720" w:num="1"/>
        </w:sectPr>
      </w:pPr>
      <w:r>
        <w:rPr>
          <w:rFonts w:hint="eastAsia" w:ascii="宋体" w:hAnsi="宋体" w:eastAsia="宋体" w:cs="宋体"/>
          <w:b/>
          <w:color w:val="auto"/>
          <w:sz w:val="28"/>
          <w:szCs w:val="28"/>
          <w:highlight w:val="none"/>
        </w:rPr>
        <w:br w:type="page"/>
      </w:r>
    </w:p>
    <w:p>
      <w:pPr>
        <w:pStyle w:val="26"/>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表3：详细评审</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583"/>
        <w:gridCol w:w="4732"/>
        <w:gridCol w:w="698"/>
        <w:gridCol w:w="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83"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732"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评分细则</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权重</w:t>
            </w:r>
          </w:p>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82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p>
        </w:tc>
        <w:tc>
          <w:tcPr>
            <w:tcW w:w="7674" w:type="dxa"/>
            <w:gridSpan w:val="4"/>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技术部分（合计</w:t>
            </w:r>
            <w:r>
              <w:rPr>
                <w:rFonts w:hint="eastAsia" w:ascii="宋体" w:hAnsi="宋体" w:eastAsia="宋体" w:cs="宋体"/>
                <w:b/>
                <w:color w:val="auto"/>
                <w:sz w:val="24"/>
                <w:szCs w:val="24"/>
                <w:highlight w:val="none"/>
                <w:lang w:val="en-US" w:eastAsia="zh-CN"/>
              </w:rPr>
              <w:t>70</w:t>
            </w:r>
            <w:r>
              <w:rPr>
                <w:rFonts w:hint="eastAsia" w:ascii="宋体" w:hAnsi="宋体" w:eastAsia="宋体" w:cs="宋体"/>
                <w:b/>
                <w:color w:val="auto"/>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对项目的了解和熟悉程度</w:t>
            </w:r>
          </w:p>
        </w:tc>
        <w:tc>
          <w:tcPr>
            <w:tcW w:w="473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对本项目工作目标明确，项目认识到位，对项目背景、工作内容、相关业务及相关技术理解准确，得7分；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对本项目工作目标较明确，项目认识较到位，对项目背景、工作内容、相关业务及相关技术理解较准确，得4分；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对本项目工作目标不太明确，项目认识不太到位，对项目背景、工作内容、相关业务及相关技术不太理解、不准确，得1分；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无提供的，得0分。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总体技术方案</w:t>
            </w:r>
          </w:p>
        </w:tc>
        <w:tc>
          <w:tcPr>
            <w:tcW w:w="4732"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考察总体技术方案：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1、方案对项目理解深入透彻，整体 框架清晰，阐述内容主次分明，可操作性、可行性强的，得10分；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2、方案对项目理解较为深入，整体框架较清晰，阐述内容主次较为分明，具有一定的可操作性、可行性 较强的，得6分；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3、方案对项目基本理解，整体框架基本清晰，阐述内容主次基本分明，方案具有基本的可操作性、可行 性的，得3分；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4、其他情况或无响应，得0分。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w:t>
            </w:r>
          </w:p>
        </w:tc>
        <w:tc>
          <w:tcPr>
            <w:tcW w:w="4732"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考察投标人的培训方案：</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1、内容全面完整，科学合理，符合 本项目实际，可操作性强得5分；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2、内容基本完整，具有一定操作性 得2分；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3、内容不完整，可操作性差或其他 情况，得0分。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人员管理方案</w:t>
            </w:r>
          </w:p>
        </w:tc>
        <w:tc>
          <w:tcPr>
            <w:tcW w:w="473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方案内容完整、详细、表述清晰、 科学合理、切实可行，得5分；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方案内容比较完整、详细、表述清晰、</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比较合理、可行，得3分；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方案内容基本完整、详细、表述基本清晰、</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合理、可行性稍差，得1分；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其他或 无响应得0分。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质量保障措施</w:t>
            </w:r>
          </w:p>
        </w:tc>
        <w:tc>
          <w:tcPr>
            <w:tcW w:w="4732"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比较各投标人本项目质量保障措施：               1、内容全面完整，科学合理，符合 本项目实际，可操作性强的，得8分；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2、内容基本完整，具有一定操作性 的，得3分；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3、内容不完整，可操作性差的或其他情况，得0分。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进度保障措施</w:t>
            </w:r>
          </w:p>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4732" w:type="dxa"/>
            <w:noWrap w:val="0"/>
            <w:vAlign w:val="top"/>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进度保障措施</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进度保证措施完善、健全、合理并能有效执行的得</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进度保证措施相对较完善、相对较健全、相对较合理并能效执行的得3分；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进度保证措施基本完善、基本健全、基本合理且能执行的得2分；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进度保证措施不完善、不健全、不合理且执行困难的得1分；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无相关描述不得分。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保密措施</w:t>
            </w:r>
          </w:p>
        </w:tc>
        <w:tc>
          <w:tcPr>
            <w:tcW w:w="473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00" w:lineRule="exact"/>
              <w:ind w:left="42" w:leftChars="2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保密措施完善、健全、合理并能有效执行的得</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42" w:leftChars="2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基本完善、基本健全、基本合理且能执行的得</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不完善、不健全、不合理或无相关描述不得分。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w:t>
            </w:r>
          </w:p>
        </w:tc>
        <w:tc>
          <w:tcPr>
            <w:tcW w:w="4732"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比较各投标人的售后服务方案：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1、内容全面完整，科学合理，符合 本项目实际，可操作性强的，得5分；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2、内容基本完整，具有一定操作性 的，得2分；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3、内容不完整，可操作性差的或其他情况，得0分。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根据供应商针对本项目实施过程中重点和难点的分析及解决办法 进行评分</w:t>
            </w:r>
          </w:p>
        </w:tc>
        <w:tc>
          <w:tcPr>
            <w:tcW w:w="473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被评定为优（考虑全面、分析合理、解决办法可行） 得10分。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被评定为良 （考虑较全面、分析较合理、解决办法较可行） 得7分。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被评定为中（考  虑的全面性、分析的合理性、解决办法的可行性均被评定为中） 得4分。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被评定为差（考虑的全面性、分析的合理性、解决办法的可行性均被评定</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为差） 得1分。 </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没有提供重点和难点的分析及解决办法得分0。</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根据供应商针对本项目应急服务承诺到达现场处理的时间进行评分 </w:t>
            </w:r>
          </w:p>
        </w:tc>
        <w:tc>
          <w:tcPr>
            <w:tcW w:w="473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时间≤0.5小时得5分；  0.5小时&lt;时间≤1小时</w:t>
            </w:r>
            <w:r>
              <w:rPr>
                <w:rFonts w:hint="eastAsia" w:ascii="宋体" w:hAnsi="宋体" w:eastAsia="宋体" w:cs="宋体"/>
                <w:b w:val="0"/>
                <w:bCs w:val="0"/>
                <w:color w:val="auto"/>
                <w:sz w:val="24"/>
                <w:szCs w:val="24"/>
                <w:highlight w:val="none"/>
                <w:lang w:val="en-US" w:eastAsia="zh-CN"/>
              </w:rPr>
              <w:t xml:space="preserve">得4分； </w:t>
            </w:r>
            <w:r>
              <w:rPr>
                <w:rFonts w:hint="eastAsia" w:ascii="宋体" w:hAnsi="宋体" w:eastAsia="宋体" w:cs="宋体"/>
                <w:color w:val="auto"/>
                <w:sz w:val="24"/>
                <w:szCs w:val="24"/>
                <w:highlight w:val="none"/>
                <w:lang w:val="en-US" w:eastAsia="zh-CN"/>
              </w:rPr>
              <w:t xml:space="preserve"> 1小时&lt;时间≤1.5 小时得3分；  1.5小时&lt;时间≤2小时得2分；  时间＞2小时得分为1。【该项评分以供应商提供服务点与采购人在百度地图最短距离截图和到达时间承诺为评审依据，否则，该项得分为0 。】 (5 .0分)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51"/>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bidi="ar-SA"/>
              </w:rPr>
            </w:pPr>
          </w:p>
        </w:tc>
        <w:tc>
          <w:tcPr>
            <w:tcW w:w="1583" w:type="dxa"/>
            <w:noWrap w:val="0"/>
            <w:vAlign w:val="center"/>
          </w:tcPr>
          <w:p>
            <w:pPr>
              <w:spacing w:before="78" w:line="369" w:lineRule="auto"/>
              <w:ind w:left="115" w:leftChars="0" w:right="105" w:rightChars="0" w:hanging="1" w:firstLineChars="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规章管理制度</w:t>
            </w:r>
          </w:p>
        </w:tc>
        <w:tc>
          <w:tcPr>
            <w:tcW w:w="4732" w:type="dxa"/>
            <w:noWrap w:val="0"/>
            <w:vAlign w:val="top"/>
          </w:tcPr>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考查、对比投标人的各项规章管理制度是否详细、合理：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规章管理制度详细、合理的，得5 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规章管理制度较详细、合理的，得 3 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规章管理制度简略、扼要的，得 2 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规章管理制度粗略、不详细的，得 1 分；</w:t>
            </w:r>
          </w:p>
          <w:p>
            <w:pPr>
              <w:keepNext w:val="0"/>
              <w:keepLines w:val="0"/>
              <w:pageBreakBefore w:val="0"/>
              <w:widowControl/>
              <w:kinsoku/>
              <w:wordWrap/>
              <w:overflowPunct/>
              <w:topLinePunct w:val="0"/>
              <w:autoSpaceDE/>
              <w:autoSpaceDN/>
              <w:bidi w:val="0"/>
              <w:adjustRightInd/>
              <w:snapToGrid w:val="0"/>
              <w:spacing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没有规章管理制度的，得 0 分。</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821" w:type="dxa"/>
            <w:noWrap w:val="0"/>
            <w:vAlign w:val="center"/>
          </w:tcPr>
          <w:p>
            <w:pPr>
              <w:snapToGrid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p>
        </w:tc>
        <w:tc>
          <w:tcPr>
            <w:tcW w:w="7674" w:type="dxa"/>
            <w:gridSpan w:val="4"/>
            <w:noWrap w:val="0"/>
            <w:vAlign w:val="center"/>
          </w:tcPr>
          <w:p>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51"/>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业绩得分</w:t>
            </w:r>
          </w:p>
        </w:tc>
        <w:tc>
          <w:tcPr>
            <w:tcW w:w="4732" w:type="dxa"/>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年以来投标人具有同类项目经验，每提供一个同类项目经验，得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 提交的证明材料扫描件需包含</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合同，否则不得分。</w:t>
            </w:r>
            <w:r>
              <w:rPr>
                <w:rFonts w:hint="eastAsia" w:ascii="宋体" w:hAnsi="宋体" w:eastAsia="宋体" w:cs="宋体"/>
                <w:color w:val="auto"/>
                <w:sz w:val="24"/>
                <w:szCs w:val="24"/>
                <w:highlight w:val="none"/>
                <w:lang w:val="en-US" w:eastAsia="zh-CN"/>
              </w:rPr>
              <w:t>每提供一项</w:t>
            </w:r>
            <w:r>
              <w:rPr>
                <w:rFonts w:hint="eastAsia" w:ascii="宋体" w:hAnsi="宋体" w:eastAsia="宋体" w:cs="宋体"/>
                <w:color w:val="auto"/>
                <w:sz w:val="24"/>
                <w:szCs w:val="24"/>
                <w:highlight w:val="none"/>
              </w:rPr>
              <w:t xml:space="preserve">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1" w:type="dxa"/>
            <w:noWrap w:val="0"/>
            <w:vAlign w:val="center"/>
          </w:tcPr>
          <w:p>
            <w:pPr>
              <w:pStyle w:val="51"/>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参与本项目的技术人员</w:t>
            </w:r>
          </w:p>
        </w:tc>
        <w:tc>
          <w:tcPr>
            <w:tcW w:w="4732" w:type="dxa"/>
            <w:noWrap w:val="0"/>
            <w:vAlign w:val="center"/>
          </w:tcPr>
          <w:p>
            <w:pPr>
              <w:pStyle w:val="36"/>
              <w:keepNext w:val="0"/>
              <w:keepLines w:val="0"/>
              <w:pageBreakBefore w:val="0"/>
              <w:kinsoku/>
              <w:wordWrap/>
              <w:overflowPunct/>
              <w:topLinePunct w:val="0"/>
              <w:bidi w:val="0"/>
              <w:spacing w:line="410" w:lineRule="atLeast"/>
              <w:ind w:left="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投标人拟派的</w:t>
            </w:r>
            <w:r>
              <w:rPr>
                <w:rFonts w:hint="eastAsia" w:ascii="宋体" w:hAnsi="宋体" w:eastAsia="宋体" w:cs="宋体"/>
                <w:color w:val="auto"/>
                <w:sz w:val="24"/>
                <w:szCs w:val="24"/>
                <w:highlight w:val="none"/>
                <w:lang w:eastAsia="zh-CN"/>
              </w:rPr>
              <w:t>售后/技术</w:t>
            </w:r>
            <w:r>
              <w:rPr>
                <w:rFonts w:hint="eastAsia" w:ascii="宋体" w:hAnsi="宋体" w:eastAsia="宋体" w:cs="宋体"/>
                <w:color w:val="auto"/>
                <w:sz w:val="24"/>
                <w:szCs w:val="24"/>
                <w:highlight w:val="none"/>
              </w:rPr>
              <w:t>服务人员架构情况，包括但不限于技术</w:t>
            </w:r>
            <w:r>
              <w:rPr>
                <w:rFonts w:hint="eastAsia" w:ascii="宋体" w:hAnsi="宋体" w:eastAsia="宋体" w:cs="宋体"/>
                <w:color w:val="auto"/>
                <w:sz w:val="24"/>
                <w:szCs w:val="24"/>
                <w:highlight w:val="none"/>
                <w:lang w:val="en-US" w:eastAsia="zh-CN"/>
              </w:rPr>
              <w:t>售后</w:t>
            </w:r>
            <w:r>
              <w:rPr>
                <w:rFonts w:hint="eastAsia" w:ascii="宋体" w:hAnsi="宋体" w:eastAsia="宋体" w:cs="宋体"/>
                <w:color w:val="auto"/>
                <w:sz w:val="24"/>
                <w:szCs w:val="24"/>
                <w:highlight w:val="none"/>
              </w:rPr>
              <w:t>服务人员等：</w:t>
            </w:r>
          </w:p>
          <w:p>
            <w:pPr>
              <w:pStyle w:val="36"/>
              <w:keepNext w:val="0"/>
              <w:keepLines w:val="0"/>
              <w:pageBreakBefore w:val="0"/>
              <w:kinsoku/>
              <w:wordWrap/>
              <w:overflowPunct/>
              <w:topLinePunct w:val="0"/>
              <w:bidi w:val="0"/>
              <w:spacing w:line="410" w:lineRule="atLeast"/>
              <w:ind w:left="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售后/技术</w:t>
            </w:r>
            <w:r>
              <w:rPr>
                <w:rFonts w:hint="eastAsia" w:ascii="宋体" w:hAnsi="宋体" w:eastAsia="宋体" w:cs="宋体"/>
                <w:color w:val="auto"/>
                <w:sz w:val="24"/>
                <w:szCs w:val="24"/>
                <w:highlight w:val="none"/>
              </w:rPr>
              <w:t xml:space="preserve">服务人员架构方案全面、科学且能够结合项目特点的，得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pStyle w:val="36"/>
              <w:keepNext w:val="0"/>
              <w:keepLines w:val="0"/>
              <w:pageBreakBefore w:val="0"/>
              <w:kinsoku/>
              <w:wordWrap/>
              <w:overflowPunct/>
              <w:topLinePunct w:val="0"/>
              <w:bidi w:val="0"/>
              <w:spacing w:line="410" w:lineRule="atLeast"/>
              <w:ind w:left="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售后/技术</w:t>
            </w:r>
            <w:r>
              <w:rPr>
                <w:rFonts w:hint="eastAsia" w:ascii="宋体" w:hAnsi="宋体" w:eastAsia="宋体" w:cs="宋体"/>
                <w:color w:val="auto"/>
                <w:sz w:val="24"/>
                <w:szCs w:val="24"/>
                <w:highlight w:val="none"/>
              </w:rPr>
              <w:t xml:space="preserve">服务人员架构基本全面且具有一定的合理性的，得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36"/>
              <w:keepNext w:val="0"/>
              <w:keepLines w:val="0"/>
              <w:pageBreakBefore w:val="0"/>
              <w:kinsoku/>
              <w:wordWrap/>
              <w:overflowPunct/>
              <w:topLinePunct w:val="0"/>
              <w:bidi w:val="0"/>
              <w:spacing w:line="410" w:lineRule="atLeast"/>
              <w:ind w:left="0" w:leftChars="0" w:right="0" w:rightChars="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售后/技术</w:t>
            </w:r>
            <w:r>
              <w:rPr>
                <w:rFonts w:hint="eastAsia" w:ascii="宋体" w:hAnsi="宋体" w:eastAsia="宋体" w:cs="宋体"/>
                <w:color w:val="auto"/>
                <w:sz w:val="24"/>
                <w:szCs w:val="24"/>
                <w:highlight w:val="none"/>
              </w:rPr>
              <w:t xml:space="preserve">服务人员架构基本满足采购需求，部分方案不清晰且可行性一般的，得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部分不满足采购需求，部分方案不具有保障性且不可行的，不得分。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所投入的人员须提供佐证材料证明为投标人企业员工，未提供本项不得分）</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21" w:type="dxa"/>
            <w:noWrap w:val="0"/>
            <w:vAlign w:val="center"/>
          </w:tcPr>
          <w:p>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7674" w:type="dxa"/>
            <w:gridSpan w:val="4"/>
            <w:noWrap w:val="0"/>
            <w:vAlign w:val="center"/>
          </w:tcPr>
          <w:p>
            <w:pPr>
              <w:snapToGrid w:val="0"/>
              <w:jc w:val="center"/>
              <w:rPr>
                <w:rFonts w:hint="eastAsia" w:ascii="宋体" w:hAnsi="宋体" w:eastAsia="宋体" w:cs="宋体"/>
                <w:bCs/>
                <w:i/>
                <w:color w:val="auto"/>
                <w:sz w:val="24"/>
                <w:szCs w:val="24"/>
                <w:highlight w:val="none"/>
                <w:shd w:val="pct10" w:color="auto" w:fill="FFFFFF"/>
              </w:rPr>
            </w:pPr>
            <w:r>
              <w:rPr>
                <w:rFonts w:hint="eastAsia" w:ascii="宋体" w:hAnsi="宋体" w:eastAsia="宋体" w:cs="宋体"/>
                <w:b/>
                <w:color w:val="auto"/>
                <w:sz w:val="24"/>
                <w:szCs w:val="24"/>
                <w:highlight w:val="none"/>
              </w:rPr>
              <w:t>价格部分（合计10分）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51"/>
              <w:numPr>
                <w:ilvl w:val="0"/>
                <w:numId w:val="8"/>
              </w:numPr>
              <w:snapToGrid w:val="0"/>
              <w:spacing w:line="288" w:lineRule="auto"/>
              <w:ind w:firstLineChars="0"/>
              <w:jc w:val="center"/>
              <w:rPr>
                <w:rFonts w:hint="eastAsia" w:ascii="宋体" w:hAnsi="宋体" w:eastAsia="宋体" w:cs="宋体"/>
                <w:color w:val="auto"/>
                <w:sz w:val="24"/>
                <w:szCs w:val="24"/>
                <w:highlight w:val="none"/>
              </w:rPr>
            </w:pPr>
          </w:p>
        </w:tc>
        <w:tc>
          <w:tcPr>
            <w:tcW w:w="1583"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4732" w:type="dxa"/>
            <w:noWrap w:val="0"/>
            <w:vAlign w:val="center"/>
          </w:tcPr>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×100×权重</w:t>
            </w:r>
          </w:p>
          <w:p>
            <w:pPr>
              <w:snapToGrid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p>
            <w:pPr>
              <w:pStyle w:val="51"/>
              <w:numPr>
                <w:ilvl w:val="0"/>
                <w:numId w:val="9"/>
              </w:numPr>
              <w:snapToGrid w:val="0"/>
              <w:ind w:left="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因落实政府采购政策进行价格调整的，以调整后的价格计算评标基准价和投标报价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详见《价格扣除》。</w:t>
            </w:r>
          </w:p>
          <w:p>
            <w:pPr>
              <w:pStyle w:val="51"/>
              <w:numPr>
                <w:ilvl w:val="0"/>
                <w:numId w:val="9"/>
              </w:numPr>
              <w:snapToGrid w:val="0"/>
              <w:ind w:left="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投标报价得分四舍五入后，</w:t>
            </w:r>
            <w:r>
              <w:rPr>
                <w:rFonts w:hint="eastAsia" w:ascii="宋体" w:hAnsi="宋体" w:eastAsia="宋体" w:cs="宋体"/>
                <w:color w:val="auto"/>
                <w:sz w:val="24"/>
                <w:szCs w:val="24"/>
                <w:highlight w:val="none"/>
              </w:rPr>
              <w:t>小数点后保留两位有效数</w:t>
            </w:r>
            <w:r>
              <w:rPr>
                <w:rFonts w:hint="eastAsia" w:ascii="宋体" w:hAnsi="宋体" w:eastAsia="宋体" w:cs="宋体"/>
                <w:bCs/>
                <w:color w:val="auto"/>
                <w:sz w:val="24"/>
                <w:szCs w:val="24"/>
                <w:highlight w:val="none"/>
              </w:rPr>
              <w:t>；</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136" w:type="dxa"/>
            <w:gridSpan w:val="3"/>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u w:val="double"/>
              </w:rPr>
            </w:pPr>
            <w:r>
              <w:rPr>
                <w:rFonts w:hint="eastAsia" w:ascii="宋体" w:hAnsi="宋体" w:eastAsia="宋体" w:cs="宋体"/>
                <w:b/>
                <w:color w:val="auto"/>
                <w:sz w:val="24"/>
                <w:szCs w:val="24"/>
                <w:highlight w:val="none"/>
                <w:u w:val="double"/>
              </w:rPr>
              <w:t>合计</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 </w:t>
            </w:r>
          </w:p>
        </w:tc>
      </w:tr>
    </w:tbl>
    <w:p>
      <w:pPr>
        <w:rPr>
          <w:rFonts w:hint="eastAsia" w:ascii="宋体" w:hAnsi="宋体" w:eastAsia="宋体" w:cs="宋体"/>
          <w:b/>
          <w:color w:val="auto"/>
          <w:sz w:val="28"/>
          <w:szCs w:val="28"/>
          <w:highlight w:val="none"/>
          <w:lang w:val="en-US" w:eastAsia="zh-CN"/>
        </w:rPr>
      </w:pPr>
    </w:p>
    <w:p>
      <w:pPr>
        <w:pStyle w:val="26"/>
        <w:rPr>
          <w:rFonts w:hint="eastAsia" w:ascii="宋体" w:hAnsi="宋体" w:eastAsia="宋体" w:cs="宋体"/>
          <w:b/>
          <w:color w:val="auto"/>
          <w:sz w:val="28"/>
          <w:szCs w:val="28"/>
          <w:highlight w:val="none"/>
          <w:lang w:val="en-US" w:eastAsia="zh-CN"/>
        </w:rPr>
        <w:sectPr>
          <w:pgSz w:w="11907" w:h="16839"/>
          <w:pgMar w:top="1431" w:right="1226" w:bottom="0" w:left="1241" w:header="0" w:footer="0" w:gutter="0"/>
          <w:cols w:space="720" w:num="1"/>
        </w:sectPr>
      </w:pPr>
    </w:p>
    <w:p>
      <w:pPr>
        <w:pStyle w:val="26"/>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53"/>
      <w:bookmarkEnd w:id="54"/>
      <w:bookmarkEnd w:id="55"/>
      <w:bookmarkEnd w:id="56"/>
      <w:bookmarkEnd w:id="57"/>
      <w:bookmarkEnd w:id="58"/>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60" w:name="_Toc527642958"/>
      <w:bookmarkStart w:id="61" w:name="_Toc471489759"/>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60"/>
      <w:bookmarkEnd w:id="61"/>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62" w:name="_Toc349573127"/>
      <w:bookmarkStart w:id="63" w:name="_Toc349637926"/>
      <w:bookmarkStart w:id="64" w:name="_Toc527642959"/>
      <w:bookmarkStart w:id="65" w:name="_Toc298240411"/>
      <w:bookmarkStart w:id="66" w:name="_Toc28010"/>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46、本招标文件是根据《中华人民共和国政府采购法》规定编制的，解释权属新疆君凯杰工程项目管理有限公司。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质疑函</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致：               </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依据政府采购相关法规，我公司对</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 xml:space="preserve">           的项目（项目编号：           </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）评审活动存在疑问，特提出质疑（详见下表）。</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我公司和本人对此质疑函内容的真实性负责，并愿意承担由此引起的相应处理和法律责任。</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法定代表人（签字并盖名章）：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身份证号码：</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固话：</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传真：</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手机：</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本项目授权委托人（签字并盖名章）：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身份证号码：</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固话：</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传真：</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手机：</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公司地址：</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邮编：</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质疑人（公章）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年</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 xml:space="preserve">  月 </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质疑内容</w:t>
      </w:r>
    </w:p>
    <w:p>
      <w:pPr>
        <w:pStyle w:val="3"/>
        <w:numPr>
          <w:ilvl w:val="0"/>
          <w:numId w:val="0"/>
        </w:numPr>
        <w:spacing w:line="400" w:lineRule="atLeast"/>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项目名称：                         </w:t>
      </w:r>
    </w:p>
    <w:p>
      <w:pPr>
        <w:pStyle w:val="3"/>
        <w:numPr>
          <w:ilvl w:val="0"/>
          <w:numId w:val="0"/>
        </w:numPr>
        <w:spacing w:line="400" w:lineRule="atLeast"/>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项目编号：</w:t>
      </w:r>
    </w:p>
    <w:tbl>
      <w:tblPr>
        <w:tblStyle w:val="20"/>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restart"/>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具体内容</w:t>
            </w: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佐证材料：</w:t>
            </w:r>
          </w:p>
        </w:tc>
      </w:tr>
    </w:tbl>
    <w:p>
      <w:pPr>
        <w:rPr>
          <w:rFonts w:hint="eastAsia" w:ascii="宋体" w:hAnsi="宋体" w:eastAsia="宋体" w:cs="宋体"/>
          <w:color w:val="auto"/>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4、与质疑事项有关的材料应与质疑函合并装订。</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5、质疑函一式三份。</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pStyle w:val="5"/>
        <w:keepNext/>
        <w:keepLines/>
        <w:pageBreakBefore w:val="0"/>
        <w:widowControl w:val="0"/>
        <w:numPr>
          <w:ilvl w:val="0"/>
          <w:numId w:val="10"/>
        </w:numPr>
        <w:kinsoku/>
        <w:wordWrap/>
        <w:overflowPunct/>
        <w:topLinePunct w:val="0"/>
        <w:autoSpaceDE/>
        <w:autoSpaceDN/>
        <w:bidi w:val="0"/>
        <w:adjustRightInd/>
        <w:snapToGrid/>
        <w:spacing w:after="0" w:afterAutospacing="0"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t xml:space="preserve">  </w:t>
      </w:r>
      <w:bookmarkEnd w:id="59"/>
      <w:bookmarkEnd w:id="62"/>
      <w:bookmarkEnd w:id="63"/>
      <w:bookmarkEnd w:id="64"/>
      <w:bookmarkEnd w:id="65"/>
      <w:bookmarkEnd w:id="66"/>
      <w:bookmarkStart w:id="67" w:name="_Toc10290"/>
      <w:r>
        <w:rPr>
          <w:rFonts w:hint="eastAsia" w:ascii="宋体" w:hAnsi="宋体" w:eastAsia="宋体" w:cs="宋体"/>
          <w:color w:val="auto"/>
          <w:highlight w:val="none"/>
          <w:lang w:val="en-US" w:eastAsia="zh-CN"/>
        </w:rPr>
        <w:t>服务要求及需求表</w:t>
      </w:r>
    </w:p>
    <w:p>
      <w:pPr>
        <w:pageBreakBefore w:val="0"/>
        <w:numPr>
          <w:ilvl w:val="0"/>
          <w:numId w:val="11"/>
        </w:numPr>
        <w:kinsoku/>
        <w:wordWrap/>
        <w:overflowPunct/>
        <w:bidi w:val="0"/>
        <w:spacing w:beforeAutospacing="0" w:line="360" w:lineRule="auto"/>
        <w:ind w:left="0" w:leftChars="0" w:firstLine="480" w:firstLineChars="200"/>
        <w:outlineLvl w:val="9"/>
        <w:rPr>
          <w:rFonts w:hint="eastAsia" w:ascii="宋体" w:hAnsi="宋体" w:eastAsia="宋体" w:cs="宋体"/>
          <w:color w:val="auto"/>
          <w:sz w:val="24"/>
          <w:szCs w:val="24"/>
          <w:highlight w:val="none"/>
          <w:lang w:val="en-US" w:eastAsia="zh-CN"/>
        </w:rPr>
      </w:pPr>
      <w:bookmarkStart w:id="68" w:name="_Toc52223347"/>
      <w:bookmarkStart w:id="69" w:name="_Toc441065661"/>
      <w:bookmarkStart w:id="70" w:name="_Toc27052"/>
      <w:r>
        <w:rPr>
          <w:rFonts w:hint="eastAsia" w:ascii="宋体" w:hAnsi="宋体" w:eastAsia="宋体" w:cs="宋体"/>
          <w:color w:val="auto"/>
          <w:sz w:val="24"/>
          <w:szCs w:val="24"/>
          <w:highlight w:val="none"/>
          <w:lang w:val="en-US" w:eastAsia="zh-CN"/>
        </w:rPr>
        <w:t>招标项目</w:t>
      </w:r>
      <w:bookmarkEnd w:id="68"/>
      <w:bookmarkEnd w:id="69"/>
      <w:bookmarkEnd w:id="70"/>
      <w:r>
        <w:rPr>
          <w:rFonts w:hint="eastAsia" w:ascii="宋体" w:hAnsi="宋体" w:eastAsia="宋体" w:cs="宋体"/>
          <w:color w:val="auto"/>
          <w:sz w:val="24"/>
          <w:szCs w:val="24"/>
          <w:highlight w:val="none"/>
          <w:lang w:val="en-US" w:eastAsia="zh-CN"/>
        </w:rPr>
        <w:t>概况</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自治区社会保险服务标准化工作（三次）</w:t>
      </w:r>
      <w:r>
        <w:rPr>
          <w:rFonts w:hint="eastAsia" w:ascii="宋体" w:hAnsi="宋体" w:eastAsia="宋体" w:cs="宋体"/>
          <w:color w:val="auto"/>
          <w:kern w:val="2"/>
          <w:sz w:val="24"/>
          <w:szCs w:val="24"/>
          <w:highlight w:val="none"/>
          <w:lang w:val="en-US" w:eastAsia="zh-CN" w:bidi="ar-SA"/>
        </w:rPr>
        <w:t>项目预算：50.2万元</w:t>
      </w:r>
    </w:p>
    <w:p>
      <w:pPr>
        <w:pStyle w:val="2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最高限价按：50.2万元</w:t>
      </w:r>
    </w:p>
    <w:tbl>
      <w:tblPr>
        <w:tblStyle w:val="20"/>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91"/>
        <w:gridCol w:w="2100"/>
        <w:gridCol w:w="945"/>
        <w:gridCol w:w="1839"/>
        <w:gridCol w:w="982"/>
        <w:gridCol w:w="2250"/>
        <w:gridCol w:w="13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序号</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721"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914"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自治区社会保险服务标准化工作（三次）</w:t>
            </w:r>
          </w:p>
        </w:tc>
        <w:tc>
          <w:tcPr>
            <w:tcW w:w="861"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675"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eastAsia="zh-CN"/>
              </w:rPr>
              <w:t>50.2</w:t>
            </w:r>
            <w:r>
              <w:rPr>
                <w:rFonts w:hint="eastAsia" w:ascii="宋体" w:hAnsi="宋体" w:eastAsia="宋体" w:cs="宋体"/>
                <w:color w:val="auto"/>
                <w:kern w:val="0"/>
                <w:sz w:val="24"/>
                <w:szCs w:val="24"/>
                <w:highlight w:val="none"/>
                <w:lang w:val="en-US" w:eastAsia="zh-CN"/>
              </w:rPr>
              <w:t>万元</w:t>
            </w:r>
          </w:p>
        </w:tc>
        <w:tc>
          <w:tcPr>
            <w:tcW w:w="894"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批</w:t>
            </w:r>
          </w:p>
        </w:tc>
        <w:tc>
          <w:tcPr>
            <w:tcW w:w="2050"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自治区社会保险服务标准化工作（三次）</w:t>
            </w:r>
          </w:p>
        </w:tc>
        <w:tc>
          <w:tcPr>
            <w:tcW w:w="1196"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具体参数详见招标文件</w:t>
            </w:r>
          </w:p>
        </w:tc>
      </w:tr>
    </w:tbl>
    <w:p>
      <w:pPr>
        <w:pageBreakBefore w:val="0"/>
        <w:numPr>
          <w:ilvl w:val="0"/>
          <w:numId w:val="11"/>
        </w:numPr>
        <w:kinsoku/>
        <w:wordWrap/>
        <w:overflowPunct/>
        <w:bidi w:val="0"/>
        <w:spacing w:line="360" w:lineRule="auto"/>
        <w:ind w:left="0" w:leftChars="0" w:firstLine="540" w:firstLineChars="200"/>
        <w:outlineLvl w:val="9"/>
        <w:rPr>
          <w:rFonts w:hint="eastAsia" w:ascii="宋体" w:hAnsi="宋体" w:eastAsia="宋体" w:cs="宋体"/>
          <w:color w:val="auto"/>
          <w:spacing w:val="15"/>
          <w:kern w:val="10"/>
          <w:sz w:val="24"/>
          <w:szCs w:val="24"/>
          <w:highlight w:val="none"/>
          <w:lang w:val="en-US" w:eastAsia="zh-CN" w:bidi="ar-SA"/>
        </w:rPr>
      </w:pPr>
      <w:r>
        <w:rPr>
          <w:rFonts w:hint="eastAsia" w:ascii="宋体" w:hAnsi="宋体" w:eastAsia="宋体" w:cs="宋体"/>
          <w:color w:val="auto"/>
          <w:spacing w:val="15"/>
          <w:kern w:val="10"/>
          <w:sz w:val="24"/>
          <w:szCs w:val="24"/>
          <w:highlight w:val="none"/>
          <w:lang w:val="en-US" w:eastAsia="zh-CN" w:bidi="ar-SA"/>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任务描述：在贯彻实施《人力资源和社会保障标准体系》（人社部发〔2010〕53号）的基础上，结合自治区社会保险服务实际，研制自治区《社会保险服务标准化工作指南》等15个地方标准；构建自治区社会保险服务组织架构和标准体系架构；围绕社会保险标准体系架构研制一批自治区地方标准，2023年暂定15个，内容如下：</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社会保险服务标准化工作指南；</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城乡居民基本养老保险待遇办理规范；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领取社会保险待遇人员资格认证办理规范；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失业保险金申领办理规范；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工伤保险待遇办理规范；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 伤残待遇申领办理规范；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 工亡待遇申领办理规范；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 失业保险丧葬补助金和抚恤金申领办理规范；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 工伤医疗（康复）待遇办理规范；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 城镇职工养老保险待遇办理规范；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 职工基本养老保险一次性待遇申领办理规范；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 社会保险个人权益记录和单位参保证明查询受理规范；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社会保障卡业务办理规范；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 社会基本养老保险关系转移接续申请办理规范；</w:t>
      </w:r>
    </w:p>
    <w:p>
      <w:pPr>
        <w:pageBreakBefore w:val="0"/>
        <w:numPr>
          <w:ilvl w:val="0"/>
          <w:numId w:val="0"/>
        </w:numPr>
        <w:kinsoku/>
        <w:wordWrap/>
        <w:overflowPunct/>
        <w:bidi w:val="0"/>
        <w:spacing w:line="360" w:lineRule="auto"/>
        <w:ind w:leftChars="0" w:firstLine="480" w:firstLineChars="200"/>
        <w:outlineLvl w:val="9"/>
        <w:rPr>
          <w:rFonts w:hint="eastAsia" w:ascii="宋体" w:hAnsi="宋体" w:eastAsia="宋体" w:cs="宋体"/>
          <w:b/>
          <w:bCs/>
          <w:color w:val="auto"/>
          <w:sz w:val="28"/>
          <w:szCs w:val="28"/>
          <w:highlight w:val="none"/>
        </w:rPr>
      </w:pPr>
      <w:r>
        <w:rPr>
          <w:rFonts w:hint="eastAsia" w:ascii="宋体" w:hAnsi="宋体" w:eastAsia="宋体" w:cs="宋体"/>
          <w:color w:val="auto"/>
          <w:kern w:val="2"/>
          <w:sz w:val="24"/>
          <w:szCs w:val="24"/>
          <w:highlight w:val="none"/>
          <w:lang w:val="en-US" w:eastAsia="zh-CN" w:bidi="ar-SA"/>
        </w:rPr>
        <w:t>15 工程建设项目工伤保险参保登记和变更办理规范。</w:t>
      </w:r>
    </w:p>
    <w:p>
      <w:pPr>
        <w:keepNext w:val="0"/>
        <w:pageBreakBefore w:val="0"/>
        <w:numPr>
          <w:ilvl w:val="0"/>
          <w:numId w:val="11"/>
        </w:numPr>
        <w:kinsoku/>
        <w:wordWrap/>
        <w:overflowPunct/>
        <w:topLinePunct w:val="0"/>
        <w:autoSpaceDE/>
        <w:autoSpaceDN/>
        <w:bidi w:val="0"/>
        <w:spacing w:line="360" w:lineRule="auto"/>
        <w:ind w:left="0" w:leftChars="0" w:righ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商务要求</w:t>
      </w:r>
      <w:r>
        <w:rPr>
          <w:rFonts w:hint="eastAsia" w:ascii="宋体" w:hAnsi="宋体" w:eastAsia="宋体" w:cs="宋体"/>
          <w:color w:val="auto"/>
          <w:sz w:val="24"/>
          <w:szCs w:val="24"/>
          <w:highlight w:val="none"/>
          <w:lang w:val="en-US" w:eastAsia="zh-CN"/>
        </w:rPr>
        <w:t xml:space="preserve"> </w:t>
      </w:r>
    </w:p>
    <w:p>
      <w:pPr>
        <w:keepNext w:val="0"/>
        <w:pageBreakBefore w:val="0"/>
        <w:numPr>
          <w:ilvl w:val="0"/>
          <w:numId w:val="12"/>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★报价要求</w:t>
      </w:r>
    </w:p>
    <w:p>
      <w:pPr>
        <w:keepNext w:val="0"/>
        <w:pageBreakBefore w:val="0"/>
        <w:numPr>
          <w:ilvl w:val="0"/>
          <w:numId w:val="13"/>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2、报价不能超过该项目的最高限价，须精确到小数点后两位，如未按要求报价则为无效投标文件处理。</w:t>
      </w:r>
    </w:p>
    <w:p>
      <w:pPr>
        <w:keepNext w:val="0"/>
        <w:pageBreakBefore w:val="0"/>
        <w:numPr>
          <w:ilvl w:val="0"/>
          <w:numId w:val="12"/>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★投标报价已包含完成本项目所需的人力成本、投入成本、利润、税金、交通、中标服务费及其他相关费用等，采购人将不予支付除招标文件及承包合同约定的由投标人承担的风险因素之外的任何补偿。</w:t>
      </w:r>
    </w:p>
    <w:p>
      <w:pPr>
        <w:keepNext w:val="0"/>
        <w:pageBreakBefore w:val="0"/>
        <w:numPr>
          <w:ilvl w:val="0"/>
          <w:numId w:val="12"/>
        </w:numPr>
        <w:kinsoku/>
        <w:wordWrap/>
        <w:overflowPunct/>
        <w:topLinePunct w:val="0"/>
        <w:autoSpaceDE/>
        <w:autoSpaceDN/>
        <w:bidi w:val="0"/>
        <w:spacing w:line="360" w:lineRule="auto"/>
        <w:ind w:left="0" w:leftChars="0" w:right="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管理要求</w:t>
      </w:r>
    </w:p>
    <w:p>
      <w:pPr>
        <w:pStyle w:val="6"/>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★成交供应商不得将本项目的全部或任何部分分包和转包给他人，如在项目实施过程中，经采购人发现有此情况，采购人有权终止合同，由此造成的责任由成交供应商负责。（响应时须提供承诺函 ，格式自定）</w:t>
      </w:r>
    </w:p>
    <w:p>
      <w:pPr>
        <w:pStyle w:val="51"/>
        <w:pageBreakBefore w:val="0"/>
        <w:numPr>
          <w:ilvl w:val="0"/>
          <w:numId w:val="14"/>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付款方式</w:t>
      </w:r>
    </w:p>
    <w:p>
      <w:pPr>
        <w:pStyle w:val="51"/>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中标人凭以下有效文件与采购人结算：</w:t>
      </w:r>
    </w:p>
    <w:p>
      <w:pPr>
        <w:pStyle w:val="51"/>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合同；</w:t>
      </w:r>
    </w:p>
    <w:p>
      <w:pPr>
        <w:pStyle w:val="51"/>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中标人开具的正式发票；</w:t>
      </w:r>
    </w:p>
    <w:p>
      <w:pPr>
        <w:pStyle w:val="51"/>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中标通知书。</w:t>
      </w:r>
    </w:p>
    <w:p>
      <w:pPr>
        <w:pStyle w:val="51"/>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keepNext w:val="0"/>
        <w:pageBreakBefore w:val="0"/>
        <w:numPr>
          <w:ilvl w:val="0"/>
          <w:numId w:val="12"/>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2、交纳方式：以支票、汇票、本票、银行转账等非现金形式提交；采用支票、汇票、本票提交履约保证金的，有效期必须在供货期内保持有效；</w:t>
      </w:r>
    </w:p>
    <w:p>
      <w:pPr>
        <w:pStyle w:val="2"/>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3、交纳时间：签订合同前中标供应商向采购人交纳。</w:t>
      </w:r>
    </w:p>
    <w:p>
      <w:pPr>
        <w:keepNext w:val="0"/>
        <w:pageBreakBefore w:val="0"/>
        <w:numPr>
          <w:ilvl w:val="0"/>
          <w:numId w:val="12"/>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★为确保本项目顺利完成，供应商必须承诺：承诺在中标后所投入的专业技术人员为本企业项目工期要求人专业技术人员，并与投标文件提供的专业技术人员一致的承诺书。</w:t>
      </w:r>
      <w:bookmarkStart w:id="71" w:name="_Toc34315577"/>
      <w:bookmarkStart w:id="72" w:name="_Toc40204644"/>
      <w:bookmarkStart w:id="73" w:name="_Toc28027334"/>
      <w:bookmarkStart w:id="74" w:name="_Toc20305409"/>
      <w:bookmarkStart w:id="75" w:name="_Toc40707973"/>
      <w:bookmarkStart w:id="76" w:name="_Toc37256331"/>
      <w:bookmarkStart w:id="77" w:name="_Toc21881156"/>
      <w:bookmarkStart w:id="78" w:name="_Toc34774407"/>
    </w:p>
    <w:bookmarkEnd w:id="71"/>
    <w:bookmarkEnd w:id="72"/>
    <w:bookmarkEnd w:id="73"/>
    <w:bookmarkEnd w:id="74"/>
    <w:bookmarkEnd w:id="75"/>
    <w:bookmarkEnd w:id="76"/>
    <w:bookmarkEnd w:id="77"/>
    <w:bookmarkEnd w:id="78"/>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79" w:name="五、违约责任"/>
      <w:bookmarkEnd w:id="79"/>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中标人提供的</w:t>
      </w:r>
      <w:r>
        <w:rPr>
          <w:rFonts w:hint="eastAsia" w:ascii="宋体" w:hAnsi="宋体" w:eastAsia="宋体" w:cs="宋体"/>
          <w:color w:val="auto"/>
          <w:sz w:val="24"/>
          <w:szCs w:val="24"/>
          <w:highlight w:val="none"/>
          <w:lang w:val="en-US" w:eastAsia="zh-CN"/>
        </w:rPr>
        <w:t>法务</w:t>
      </w:r>
      <w:r>
        <w:rPr>
          <w:rFonts w:hint="eastAsia" w:ascii="宋体" w:hAnsi="宋体" w:eastAsia="宋体" w:cs="宋体"/>
          <w:color w:val="auto"/>
          <w:sz w:val="24"/>
          <w:szCs w:val="24"/>
          <w:highlight w:val="none"/>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中标人出现上述情形的，采购人有权要求中标人按合同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其它违约责任按《中华人民共和国合同法》处理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★五、诚信履约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诚信履约要求：</w:t>
      </w:r>
      <w:r>
        <w:rPr>
          <w:rFonts w:hint="eastAsia" w:ascii="宋体" w:hAnsi="宋体" w:eastAsia="宋体" w:cs="宋体"/>
          <w:color w:val="auto"/>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六、替补候选人的设定与使用</w:t>
      </w:r>
    </w:p>
    <w:p>
      <w:pPr>
        <w:pStyle w:val="52"/>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2"/>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szCs w:val="24"/>
          <w:highlight w:val="none"/>
          <w:lang w:val="en-US" w:eastAsia="zh-CN"/>
        </w:rPr>
        <w:t>2.★如果所有中标候选人均无法签订合同，采购人将依法重新招标或更改采购形式，对受影响的响应供应商不承担任何责任。</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67"/>
    </w:p>
    <w:p>
      <w:pPr>
        <w:pStyle w:val="1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80" w:name="_Toc7342_WPSOffice_Level1"/>
      <w:bookmarkStart w:id="81" w:name="_Toc372_WPSOffice_Level1"/>
      <w:bookmarkStart w:id="82" w:name="_Toc3044_WPSOffice_Level1"/>
      <w:bookmarkStart w:id="83" w:name="_Toc267301296"/>
      <w:bookmarkStart w:id="84" w:name="_Toc298240423"/>
      <w:bookmarkStart w:id="85" w:name="_Toc349637937"/>
      <w:bookmarkStart w:id="86" w:name="_Toc349573138"/>
      <w:bookmarkStart w:id="87" w:name="_Toc349573144"/>
      <w:bookmarkStart w:id="88" w:name="_Toc507690272"/>
      <w:bookmarkStart w:id="89" w:name="_Toc298240429"/>
      <w:bookmarkStart w:id="90" w:name="_Toc13252"/>
      <w:bookmarkStart w:id="91" w:name="_Toc349637943"/>
      <w:bookmarkStart w:id="92" w:name="_Toc527642969"/>
      <w:r>
        <w:rPr>
          <w:rFonts w:hint="eastAsia" w:ascii="宋体" w:hAnsi="宋体" w:eastAsia="宋体" w:cs="宋体"/>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1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80"/>
      <w:bookmarkEnd w:id="81"/>
      <w:bookmarkEnd w:id="82"/>
    </w:p>
    <w:bookmarkEnd w:id="83"/>
    <w:bookmarkEnd w:id="84"/>
    <w:bookmarkEnd w:id="85"/>
    <w:bookmarkEnd w:id="86"/>
    <w:p>
      <w:pPr>
        <w:spacing w:line="360" w:lineRule="auto"/>
        <w:rPr>
          <w:rFonts w:hint="eastAsia" w:ascii="宋体" w:hAnsi="宋体" w:eastAsia="宋体" w:cs="宋体"/>
          <w:b/>
          <w:color w:val="auto"/>
          <w:sz w:val="44"/>
          <w:highlight w:val="none"/>
        </w:rPr>
      </w:pPr>
    </w:p>
    <w:p>
      <w:pPr>
        <w:spacing w:line="360" w:lineRule="auto"/>
        <w:rPr>
          <w:rFonts w:hint="eastAsia" w:ascii="宋体" w:hAnsi="宋体" w:eastAsia="宋体" w:cs="宋体"/>
          <w:color w:val="auto"/>
          <w:sz w:val="44"/>
          <w:highlight w:val="none"/>
        </w:rPr>
      </w:pPr>
      <w:r>
        <w:rPr>
          <w:rFonts w:hint="eastAsia" w:ascii="宋体" w:hAnsi="宋体" w:eastAsia="宋体" w:cs="宋体"/>
          <w:b/>
          <w:color w:val="auto"/>
          <w:sz w:val="44"/>
          <w:highlight w:val="none"/>
          <w:lang w:val="en-US" w:eastAsia="zh-CN"/>
        </w:rPr>
        <w:t xml:space="preserve">  </w:t>
      </w:r>
      <w:r>
        <w:rPr>
          <w:rFonts w:hint="eastAsia" w:ascii="宋体" w:hAnsi="宋体" w:eastAsia="宋体" w:cs="宋体"/>
          <w:b/>
          <w:color w:val="auto"/>
          <w:sz w:val="44"/>
          <w:highlight w:val="none"/>
        </w:rPr>
        <w:t xml:space="preserve"> </w:t>
      </w:r>
      <w:r>
        <w:rPr>
          <w:rFonts w:hint="eastAsia" w:ascii="宋体" w:hAnsi="宋体" w:eastAsia="宋体" w:cs="宋体"/>
          <w:color w:val="auto"/>
          <w:sz w:val="36"/>
          <w:highlight w:val="none"/>
        </w:rPr>
        <w:t>项目名称：</w:t>
      </w:r>
      <w:r>
        <w:rPr>
          <w:rFonts w:hint="eastAsia" w:ascii="宋体" w:hAnsi="宋体" w:eastAsia="宋体" w:cs="宋体"/>
          <w:color w:val="auto"/>
          <w:sz w:val="36"/>
          <w:highlight w:val="none"/>
          <w:lang w:val="en-US" w:eastAsia="zh-CN"/>
        </w:rPr>
        <w:t xml:space="preserve">   </w:t>
      </w:r>
      <w:r>
        <w:rPr>
          <w:rFonts w:hint="eastAsia" w:ascii="宋体" w:hAnsi="宋体" w:eastAsia="宋体" w:cs="宋体"/>
          <w:b/>
          <w:bCs/>
          <w:color w:val="auto"/>
          <w:sz w:val="36"/>
          <w:highlight w:val="none"/>
          <w:u w:val="single"/>
          <w:lang w:val="en-US" w:eastAsia="zh-CN"/>
        </w:rPr>
        <w:t xml:space="preserve">                               </w:t>
      </w:r>
    </w:p>
    <w:p>
      <w:pPr>
        <w:spacing w:line="360" w:lineRule="auto"/>
        <w:jc w:val="center"/>
        <w:rPr>
          <w:rFonts w:hint="eastAsia" w:ascii="宋体" w:hAnsi="宋体" w:eastAsia="宋体" w:cs="宋体"/>
          <w:b/>
          <w:color w:val="auto"/>
          <w:sz w:val="44"/>
          <w:highlight w:val="none"/>
          <w:u w:val="singl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pStyle w:val="2"/>
        <w:spacing w:line="360" w:lineRule="auto"/>
        <w:ind w:firstLine="425"/>
        <w:rPr>
          <w:rFonts w:hint="eastAsia" w:ascii="宋体" w:hAnsi="宋体" w:eastAsia="宋体" w:cs="宋体"/>
          <w:b/>
          <w:bCs/>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color w:val="auto"/>
          <w:sz w:val="32"/>
          <w:highlight w:val="none"/>
        </w:rPr>
        <w:t>委托方（甲方）：</w:t>
      </w:r>
      <w:r>
        <w:rPr>
          <w:rFonts w:hint="eastAsia" w:ascii="宋体" w:hAnsi="宋体" w:eastAsia="宋体" w:cs="宋体"/>
          <w:b/>
          <w:bCs/>
          <w:color w:val="auto"/>
          <w:sz w:val="32"/>
          <w:highlight w:val="none"/>
          <w:u w:val="single"/>
          <w:lang w:val="en-US" w:eastAsia="zh-CN"/>
        </w:rPr>
        <w:t xml:space="preserve">                                           </w:t>
      </w:r>
    </w:p>
    <w:p>
      <w:pPr>
        <w:pStyle w:val="2"/>
        <w:spacing w:line="360" w:lineRule="auto"/>
        <w:ind w:firstLine="425"/>
        <w:rPr>
          <w:rFonts w:hint="eastAsia" w:ascii="宋体" w:hAnsi="宋体" w:eastAsia="宋体" w:cs="宋体"/>
          <w:b/>
          <w:color w:val="auto"/>
          <w:sz w:val="32"/>
          <w:highlight w:val="none"/>
          <w:u w:val="single"/>
        </w:rPr>
      </w:pPr>
      <w:r>
        <w:rPr>
          <w:rFonts w:hint="eastAsia" w:ascii="宋体" w:hAnsi="宋体" w:eastAsia="宋体" w:cs="宋体"/>
          <w:color w:val="auto"/>
          <w:sz w:val="32"/>
          <w:highlight w:val="none"/>
        </w:rPr>
        <w:t xml:space="preserve"> 承揽方（乙方）：</w:t>
      </w:r>
      <w:r>
        <w:rPr>
          <w:rFonts w:hint="eastAsia" w:ascii="宋体" w:hAnsi="宋体" w:eastAsia="宋体" w:cs="宋体"/>
          <w:b/>
          <w:bCs w:val="0"/>
          <w:color w:val="auto"/>
          <w:sz w:val="32"/>
          <w:highlight w:val="none"/>
          <w:u w:val="single"/>
          <w:lang w:val="en-US" w:eastAsia="zh-CN"/>
        </w:rPr>
        <w:t xml:space="preserve">                                   </w:t>
      </w:r>
      <w:r>
        <w:rPr>
          <w:rFonts w:hint="eastAsia" w:ascii="宋体" w:hAnsi="宋体" w:eastAsia="宋体" w:cs="宋体"/>
          <w:b/>
          <w:bCs/>
          <w:color w:val="auto"/>
          <w:sz w:val="32"/>
          <w:highlight w:val="none"/>
          <w:u w:val="single"/>
          <w:lang w:val="en-US" w:eastAsia="zh-CN"/>
        </w:rPr>
        <w:t xml:space="preserve">  </w:t>
      </w: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both"/>
        <w:rPr>
          <w:rFonts w:hint="eastAsia" w:ascii="宋体" w:hAnsi="宋体" w:eastAsia="宋体" w:cs="宋体"/>
          <w:b/>
          <w:color w:val="auto"/>
          <w:sz w:val="44"/>
          <w:highlight w:val="none"/>
        </w:rPr>
      </w:pPr>
    </w:p>
    <w:p>
      <w:pPr>
        <w:spacing w:line="415" w:lineRule="exact"/>
        <w:rPr>
          <w:rFonts w:hint="eastAsia" w:ascii="宋体" w:hAnsi="宋体" w:eastAsia="宋体" w:cs="宋体"/>
          <w:color w:val="auto"/>
          <w:highlight w:val="none"/>
          <w:lang w:eastAsia="zh-CN"/>
        </w:rPr>
      </w:pPr>
      <w:r>
        <w:rPr>
          <w:rFonts w:hint="eastAsia" w:ascii="宋体" w:hAnsi="宋体" w:eastAsia="宋体" w:cs="宋体"/>
          <w:color w:val="auto"/>
          <w:sz w:val="32"/>
          <w:highlight w:val="none"/>
        </w:rPr>
        <w:t xml:space="preserve">  </w:t>
      </w:r>
    </w:p>
    <w:p>
      <w:pPr>
        <w:spacing w:line="415"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二〇XX年</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lang w:eastAsia="zh-CN"/>
        </w:rPr>
        <w:t>月</w:t>
      </w:r>
    </w:p>
    <w:p>
      <w:pPr>
        <w:spacing w:line="415" w:lineRule="exact"/>
        <w:jc w:val="both"/>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合同标的</w:t>
      </w:r>
    </w:p>
    <w:p>
      <w:pPr>
        <w:pStyle w:val="17"/>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本协议签订后，甲乙双方达成</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服务合作伙伴关系，甲方委托乙方提供</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lang w:eastAsia="zh-CN"/>
        </w:rPr>
        <w:t>技术支持和咨询服务，乙方将委派技术人员甲方</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现场提供</w:t>
      </w:r>
      <w:r>
        <w:rPr>
          <w:rFonts w:hint="eastAsia" w:ascii="宋体" w:hAnsi="宋体" w:eastAsia="宋体" w:cs="宋体"/>
          <w:color w:val="auto"/>
          <w:sz w:val="24"/>
          <w:szCs w:val="24"/>
          <w:highlight w:val="none"/>
          <w:lang w:val="en-US" w:eastAsia="zh-CN"/>
        </w:rPr>
        <w:t>线路检测、验收、设备安装及维护、网络抢修</w:t>
      </w:r>
      <w:r>
        <w:rPr>
          <w:rFonts w:hint="eastAsia" w:ascii="宋体" w:hAnsi="宋体" w:eastAsia="宋体" w:cs="宋体"/>
          <w:color w:val="auto"/>
          <w:sz w:val="24"/>
          <w:szCs w:val="24"/>
          <w:highlight w:val="none"/>
          <w:lang w:eastAsia="zh-CN"/>
        </w:rPr>
        <w:t>等相关技术咨询及服务。甲方经营项目所需</w:t>
      </w:r>
      <w:r>
        <w:rPr>
          <w:rFonts w:hint="eastAsia" w:ascii="宋体" w:hAnsi="宋体" w:eastAsia="宋体" w:cs="宋体"/>
          <w:color w:val="auto"/>
          <w:sz w:val="24"/>
          <w:szCs w:val="24"/>
          <w:highlight w:val="none"/>
          <w:lang w:val="en-US" w:eastAsia="zh-CN"/>
        </w:rPr>
        <w:t>技术支持及咨询服务</w:t>
      </w:r>
      <w:r>
        <w:rPr>
          <w:rFonts w:hint="eastAsia" w:ascii="宋体" w:hAnsi="宋体" w:eastAsia="宋体" w:cs="宋体"/>
          <w:color w:val="auto"/>
          <w:sz w:val="24"/>
          <w:szCs w:val="24"/>
          <w:highlight w:val="none"/>
          <w:lang w:eastAsia="zh-CN"/>
        </w:rPr>
        <w:t>均委托乙方承接，</w:t>
      </w:r>
      <w:r>
        <w:rPr>
          <w:rFonts w:hint="eastAsia" w:ascii="宋体" w:hAnsi="宋体" w:eastAsia="宋体" w:cs="宋体"/>
          <w:color w:val="auto"/>
          <w:sz w:val="24"/>
          <w:szCs w:val="24"/>
          <w:highlight w:val="none"/>
          <w:lang w:val="en-US" w:eastAsia="zh-CN"/>
        </w:rPr>
        <w:t>乙方自愿接受甲方的委托，并努力提升服务质量</w:t>
      </w:r>
      <w:r>
        <w:rPr>
          <w:rFonts w:hint="eastAsia" w:ascii="宋体" w:hAnsi="宋体" w:eastAsia="宋体" w:cs="宋体"/>
          <w:color w:val="auto"/>
          <w:sz w:val="24"/>
          <w:szCs w:val="24"/>
          <w:highlight w:val="none"/>
          <w:lang w:eastAsia="zh-CN"/>
        </w:rPr>
        <w:t>，合作期间的具体的</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lang w:eastAsia="zh-CN"/>
        </w:rPr>
        <w:t>、报价、完成</w:t>
      </w:r>
      <w:r>
        <w:rPr>
          <w:rFonts w:hint="eastAsia" w:ascii="宋体" w:hAnsi="宋体" w:eastAsia="宋体" w:cs="宋体"/>
          <w:color w:val="auto"/>
          <w:sz w:val="24"/>
          <w:szCs w:val="24"/>
          <w:highlight w:val="none"/>
          <w:lang w:val="en-US" w:eastAsia="zh-CN"/>
        </w:rPr>
        <w:t>指标</w:t>
      </w:r>
      <w:r>
        <w:rPr>
          <w:rFonts w:hint="eastAsia" w:ascii="宋体" w:hAnsi="宋体" w:eastAsia="宋体" w:cs="宋体"/>
          <w:color w:val="auto"/>
          <w:sz w:val="24"/>
          <w:szCs w:val="24"/>
          <w:highlight w:val="none"/>
          <w:lang w:eastAsia="zh-CN"/>
        </w:rPr>
        <w:t>等具体细节，双方以附件形式约定，以附件为准。</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二、双方责任</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1、甲方负责提出</w:t>
      </w:r>
      <w:r>
        <w:rPr>
          <w:rFonts w:hint="eastAsia" w:ascii="宋体" w:hAnsi="宋体" w:eastAsia="宋体" w:cs="宋体"/>
          <w:color w:val="auto"/>
          <w:sz w:val="24"/>
          <w:szCs w:val="24"/>
          <w:highlight w:val="none"/>
          <w:lang w:val="en-US" w:eastAsia="zh-CN"/>
        </w:rPr>
        <w:t>经营</w:t>
      </w:r>
      <w:r>
        <w:rPr>
          <w:rFonts w:hint="eastAsia" w:ascii="宋体" w:hAnsi="宋体" w:eastAsia="宋体" w:cs="宋体"/>
          <w:color w:val="auto"/>
          <w:sz w:val="24"/>
          <w:szCs w:val="24"/>
          <w:highlight w:val="none"/>
          <w:lang w:eastAsia="zh-CN"/>
        </w:rPr>
        <w:t>项目相关</w:t>
      </w:r>
      <w:r>
        <w:rPr>
          <w:rFonts w:hint="eastAsia" w:ascii="宋体" w:hAnsi="宋体" w:eastAsia="宋体" w:cs="宋体"/>
          <w:color w:val="auto"/>
          <w:sz w:val="24"/>
          <w:szCs w:val="24"/>
          <w:highlight w:val="none"/>
          <w:lang w:val="en-US" w:eastAsia="zh-CN"/>
        </w:rPr>
        <w:t>技术支持及咨询服务</w:t>
      </w:r>
      <w:r>
        <w:rPr>
          <w:rFonts w:hint="eastAsia" w:ascii="宋体" w:hAnsi="宋体" w:eastAsia="宋体" w:cs="宋体"/>
          <w:color w:val="auto"/>
          <w:sz w:val="24"/>
          <w:szCs w:val="24"/>
          <w:highlight w:val="none"/>
        </w:rPr>
        <w:t>需求，并</w:t>
      </w:r>
      <w:r>
        <w:rPr>
          <w:rFonts w:hint="eastAsia" w:ascii="宋体" w:hAnsi="宋体" w:eastAsia="宋体" w:cs="宋体"/>
          <w:color w:val="auto"/>
          <w:sz w:val="24"/>
          <w:szCs w:val="24"/>
          <w:highlight w:val="none"/>
          <w:lang w:val="en-US" w:eastAsia="zh-CN"/>
        </w:rPr>
        <w:t>定期组织对项目成果进行</w:t>
      </w:r>
      <w:r>
        <w:rPr>
          <w:rFonts w:hint="eastAsia" w:ascii="宋体" w:hAnsi="宋体" w:eastAsia="宋体" w:cs="宋体"/>
          <w:color w:val="auto"/>
          <w:sz w:val="24"/>
          <w:szCs w:val="24"/>
          <w:highlight w:val="none"/>
        </w:rPr>
        <w:t>验收。</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2、乙方负责</w:t>
      </w:r>
      <w:r>
        <w:rPr>
          <w:rFonts w:hint="eastAsia" w:ascii="宋体" w:hAnsi="宋体" w:eastAsia="宋体" w:cs="宋体"/>
          <w:color w:val="auto"/>
          <w:sz w:val="24"/>
          <w:szCs w:val="24"/>
          <w:highlight w:val="none"/>
          <w:lang w:val="en-US" w:eastAsia="zh-CN"/>
        </w:rPr>
        <w:t>软件安装调试</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，保证按照甲方提出的</w:t>
      </w:r>
      <w:r>
        <w:rPr>
          <w:rFonts w:hint="eastAsia" w:ascii="宋体" w:hAnsi="宋体" w:eastAsia="宋体" w:cs="宋体"/>
          <w:color w:val="auto"/>
          <w:sz w:val="24"/>
          <w:szCs w:val="24"/>
          <w:highlight w:val="none"/>
          <w:lang w:eastAsia="zh-CN"/>
        </w:rPr>
        <w:t>技术支持及咨询服务</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为甲方提供优质的技术支持及咨询服务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3、为使项目</w:t>
      </w:r>
      <w:r>
        <w:rPr>
          <w:rFonts w:hint="eastAsia" w:ascii="宋体" w:hAnsi="宋体" w:eastAsia="宋体" w:cs="宋体"/>
          <w:color w:val="auto"/>
          <w:sz w:val="24"/>
          <w:szCs w:val="24"/>
          <w:highlight w:val="none"/>
          <w:lang w:val="en-US" w:eastAsia="zh-CN"/>
        </w:rPr>
        <w:t>运营过程中</w:t>
      </w:r>
      <w:r>
        <w:rPr>
          <w:rFonts w:hint="eastAsia" w:ascii="宋体" w:hAnsi="宋体" w:eastAsia="宋体" w:cs="宋体"/>
          <w:color w:val="auto"/>
          <w:sz w:val="24"/>
          <w:szCs w:val="24"/>
          <w:highlight w:val="none"/>
        </w:rPr>
        <w:t>能更好地满足用户的需要等，在项目实施过程中，甲方指派项目负责人，并组织有关人员参与本项目的组织管理</w:t>
      </w:r>
      <w:r>
        <w:rPr>
          <w:rFonts w:hint="eastAsia" w:ascii="宋体" w:hAnsi="宋体" w:eastAsia="宋体" w:cs="宋体"/>
          <w:color w:val="auto"/>
          <w:sz w:val="24"/>
          <w:szCs w:val="24"/>
          <w:highlight w:val="none"/>
          <w:lang w:eastAsia="zh-CN"/>
        </w:rPr>
        <w:t>，向乙方提供实施本项目所需的数据、文件和其它必要信息，</w:t>
      </w:r>
      <w:r>
        <w:rPr>
          <w:rFonts w:hint="eastAsia" w:ascii="宋体" w:hAnsi="宋体" w:eastAsia="宋体" w:cs="宋体"/>
          <w:color w:val="auto"/>
          <w:sz w:val="24"/>
          <w:szCs w:val="24"/>
          <w:highlight w:val="none"/>
        </w:rPr>
        <w:t>负责协调乙方在</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地点的</w:t>
      </w:r>
      <w:r>
        <w:rPr>
          <w:rFonts w:hint="eastAsia" w:ascii="宋体" w:hAnsi="宋体" w:eastAsia="宋体" w:cs="宋体"/>
          <w:color w:val="auto"/>
          <w:sz w:val="24"/>
          <w:szCs w:val="24"/>
          <w:highlight w:val="none"/>
          <w:lang w:val="en-US" w:eastAsia="zh-CN"/>
        </w:rPr>
        <w:t>活动实施，系统</w:t>
      </w:r>
      <w:r>
        <w:rPr>
          <w:rFonts w:hint="eastAsia" w:ascii="宋体" w:hAnsi="宋体" w:eastAsia="宋体" w:cs="宋体"/>
          <w:color w:val="auto"/>
          <w:sz w:val="24"/>
          <w:szCs w:val="24"/>
          <w:highlight w:val="none"/>
        </w:rPr>
        <w:t>安装调试</w:t>
      </w:r>
      <w:r>
        <w:rPr>
          <w:rFonts w:hint="eastAsia" w:ascii="宋体" w:hAnsi="宋体" w:eastAsia="宋体" w:cs="宋体"/>
          <w:color w:val="auto"/>
          <w:sz w:val="24"/>
          <w:szCs w:val="24"/>
          <w:highlight w:val="none"/>
          <w:lang w:val="en-US" w:eastAsia="zh-CN"/>
        </w:rPr>
        <w:t>和业务</w:t>
      </w:r>
      <w:r>
        <w:rPr>
          <w:rFonts w:hint="eastAsia" w:ascii="宋体" w:hAnsi="宋体" w:eastAsia="宋体" w:cs="宋体"/>
          <w:color w:val="auto"/>
          <w:sz w:val="24"/>
          <w:szCs w:val="24"/>
          <w:highlight w:val="none"/>
        </w:rPr>
        <w:t>培训等一系列工作</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4、根据甲方的实际情况，乙方为甲方提供可行性技术解决方案，并组织己方相关专业人员进行项目实施，或配合甲方进行项目实施。</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5、甲方在合同有效期内发生需求变更较大，引起合同中乙方</w:t>
      </w:r>
      <w:r>
        <w:rPr>
          <w:rFonts w:hint="eastAsia" w:ascii="宋体" w:hAnsi="宋体" w:eastAsia="宋体" w:cs="宋体"/>
          <w:color w:val="auto"/>
          <w:sz w:val="24"/>
          <w:szCs w:val="24"/>
          <w:highlight w:val="none"/>
          <w:lang w:val="en-US" w:eastAsia="zh-CN"/>
        </w:rPr>
        <w:t>实施方案和内容</w:t>
      </w:r>
      <w:r>
        <w:rPr>
          <w:rFonts w:hint="eastAsia" w:ascii="宋体" w:hAnsi="宋体" w:eastAsia="宋体" w:cs="宋体"/>
          <w:color w:val="auto"/>
          <w:sz w:val="24"/>
          <w:szCs w:val="24"/>
          <w:highlight w:val="none"/>
        </w:rPr>
        <w:t>调整时，双方对变更内容进行协商，协同解决，并形成备忘录。</w:t>
      </w:r>
    </w:p>
    <w:p>
      <w:pPr>
        <w:keepNext w:val="0"/>
        <w:keepLines w:val="0"/>
        <w:pageBreakBefore w:val="0"/>
        <w:widowControl w:val="0"/>
        <w:numPr>
          <w:ilvl w:val="0"/>
          <w:numId w:val="15"/>
        </w:numPr>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服务内容和</w:t>
      </w:r>
      <w:r>
        <w:rPr>
          <w:rFonts w:hint="eastAsia" w:ascii="宋体" w:hAnsi="宋体" w:eastAsia="宋体" w:cs="宋体"/>
          <w:b/>
          <w:color w:val="auto"/>
          <w:sz w:val="24"/>
          <w:szCs w:val="24"/>
          <w:highlight w:val="none"/>
        </w:rPr>
        <w:t>费用及付款方式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1.项目专项经费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本合同签订后7日内甲方支付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0%预付款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待最终成果按要求提交给甲方后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甲方支付剩余</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0%合同款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、服务支持</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技术支持及咨询服务合作期间，乙方主要根据甲方需求，提供相应的技术支持及服务，并达到有关服务质量的要求。</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2、服务内容包括</w:t>
      </w:r>
      <w:r>
        <w:rPr>
          <w:rFonts w:hint="eastAsia" w:ascii="宋体" w:hAnsi="宋体" w:eastAsia="宋体" w:cs="宋体"/>
          <w:color w:val="auto"/>
          <w:sz w:val="24"/>
          <w:szCs w:val="24"/>
          <w:highlight w:val="none"/>
          <w:lang w:eastAsia="zh-CN"/>
        </w:rPr>
        <w:t>技术支持、日常维护、故障处理等技术支持及咨询服务，保证项目合作正常运行。</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、在服务期内，</w:t>
      </w:r>
      <w:r>
        <w:rPr>
          <w:rFonts w:hint="eastAsia" w:ascii="宋体" w:hAnsi="宋体" w:eastAsia="宋体" w:cs="宋体"/>
          <w:color w:val="auto"/>
          <w:sz w:val="24"/>
          <w:szCs w:val="24"/>
          <w:highlight w:val="none"/>
          <w:lang w:eastAsia="zh-CN"/>
        </w:rPr>
        <w:t>双方协商确定多种应急处理方案，必要时进行应急预案演习，保证在出现意外情况时能够尽量减少或避免因为系统的故障而产生的不良影响。</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保密</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对因履行本合同而获悉的对方的商业信息和技术资料均负有保密义务。使用方只能基于履行本合同之目的并以本合同约定的方式使用对方提供的商业信息和技术资料，且仅限于在保密管理下透露给与本合同的履行直接有关的人员。在未获得对方书面认可的情况下不得将此类商业资料和信息直接或间接透露给任何无关人员及第三方；但因法律、法规、司法机关或其他有权行政机关、监管机构的要求应予以披露的除外。</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2、双方履行前述保密义务，不受本合同期满终止、中止或解除等任何情形的影响而被限制或取消，直至相关保密信息通过合法途径为公众所知，或对方书面同意解除此项义务时止。</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3、任何一方如违反保密承诺，违约方应承担守约方的损失。</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、不可抗力</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1、如合同双方中任何一方由于不可抗力，如：地震、水灾、台风、战争和其他双方都认为的不可抗力原因而无法按期履行合同，则合同执行的时间由于上述时间的发生做相应延期。</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2、受影响方应尽快将所发生的不可抗力事故的情况以电话或传真通知另一方，并在不可抗力发生14天内尽快用传真和挂号信将有关权威机构出具的证明文件提交另一方确认。</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3、当不可抗力事故终止或事故消除后，受阻方应尽快用传真或电传通知对方关于不可抗力形势的解除并以挂号信加以确认，并继续履行合同。</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4、如果不可抗力阻碍合同的履行超过180天，双方就合同的进一步履行问题进行讨论并达成一致意见。</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其他约定</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通知方式</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本合同要求所有通知应以信件或传真等书面方式送达对方于本合同所载地址，若地址有所变更应通知对方，否则视同于送达。一方变更通知或通讯地址，应自变更之日起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日内，以书面形式通知对方；否则，由未通知方承担由此而引起的相关责任。</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不可抗力</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合同修改</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本合同履行期间，发生特殊情况时，甲、乙任何一方需变更本合同的，要求变更一方应及时书面通知对方，征得对方同意后，双方在规定的时限内（书面通知发出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天内）签订书面变更协议，该协议将成为合同不可分割的部分。未经双方签署书面文件，任何一方无权变更本合同，否则，由此造成对方的经济损失，由责任方承担。</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合同终止</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需提前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个工作日书面通知对方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并说明正当的终止理由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由双方代表签字后方可终止本合同。</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法律适用</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有关本合同的解释履行等相关事宜皆适用中华人民共和国法律。</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因履行本合同所发生的争议，双（各）方应友好协商解决，如协商不成，按照下列方式解决（任选一项，且只能选择一项，在选定的一项前的方框内打“√”）：□ 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市</w:t>
      </w:r>
      <w:r>
        <w:rPr>
          <w:rFonts w:hint="eastAsia" w:ascii="宋体" w:hAnsi="宋体" w:eastAsia="宋体" w:cs="宋体"/>
          <w:color w:val="auto"/>
          <w:sz w:val="24"/>
          <w:szCs w:val="24"/>
          <w:highlight w:val="none"/>
        </w:rPr>
        <w:t>仲裁委员会申请仲裁；□ 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市</w:t>
      </w:r>
      <w:r>
        <w:rPr>
          <w:rFonts w:hint="eastAsia" w:ascii="宋体" w:hAnsi="宋体" w:eastAsia="宋体" w:cs="宋体"/>
          <w:color w:val="auto"/>
          <w:sz w:val="24"/>
          <w:szCs w:val="24"/>
          <w:highlight w:val="none"/>
        </w:rPr>
        <w:t>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附则</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1、合同签订前未尽事宜，双方协商解决；合同签订后，经双方当事人协商一致，对本合同有关条款进行变更或者补充时应以书面形式确认。</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2、本合同一式贰份，双方各执壹份。自签订之日起生效。附件与本合同具有相同法律效力。</w:t>
      </w:r>
    </w:p>
    <w:p>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甲方（签章）：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乙方（签章）：</w:t>
      </w:r>
    </w:p>
    <w:p>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代表人（签字）：                    代表人（签字）： </w:t>
      </w: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日期：     </w:t>
      </w:r>
      <w:r>
        <w:rPr>
          <w:rFonts w:hint="eastAsia" w:ascii="宋体" w:hAnsi="宋体" w:eastAsia="宋体" w:cs="宋体"/>
          <w:b/>
          <w:bCs/>
          <w:color w:val="auto"/>
          <w:sz w:val="24"/>
          <w:szCs w:val="24"/>
          <w:highlight w:val="none"/>
        </w:rPr>
        <w:t xml:space="preserve">年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日       </w:t>
      </w:r>
      <w:r>
        <w:rPr>
          <w:rFonts w:hint="eastAsia" w:ascii="宋体" w:hAnsi="宋体" w:eastAsia="宋体" w:cs="宋体"/>
          <w:b/>
          <w:bCs/>
          <w:color w:val="auto"/>
          <w:sz w:val="24"/>
          <w:szCs w:val="24"/>
          <w:highlight w:val="none"/>
          <w:lang w:val="en-US" w:eastAsia="zh-CN"/>
        </w:rPr>
        <w:t xml:space="preserve">      日期：     </w:t>
      </w:r>
      <w:r>
        <w:rPr>
          <w:rFonts w:hint="eastAsia" w:ascii="宋体" w:hAnsi="宋体" w:eastAsia="宋体" w:cs="宋体"/>
          <w:b/>
          <w:bCs/>
          <w:color w:val="auto"/>
          <w:sz w:val="24"/>
          <w:szCs w:val="24"/>
          <w:highlight w:val="none"/>
        </w:rPr>
        <w:t xml:space="preserve">年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日</w:t>
      </w: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87"/>
      <w:bookmarkEnd w:id="88"/>
      <w:bookmarkEnd w:id="89"/>
      <w:bookmarkEnd w:id="90"/>
      <w:bookmarkEnd w:id="91"/>
      <w:bookmarkEnd w:id="92"/>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93" w:name="_Toc6125"/>
      <w:bookmarkStart w:id="94" w:name="_Toc727"/>
      <w:r>
        <w:rPr>
          <w:rFonts w:hint="eastAsia" w:ascii="宋体" w:hAnsi="宋体" w:eastAsia="宋体" w:cs="宋体"/>
          <w:color w:val="auto"/>
          <w:sz w:val="28"/>
          <w:szCs w:val="28"/>
          <w:highlight w:val="none"/>
          <w:lang w:val="zh-CN"/>
        </w:rPr>
        <w:t>注：为了便于查找，标注目录及页码</w:t>
      </w:r>
      <w:bookmarkEnd w:id="93"/>
      <w:bookmarkEnd w:id="94"/>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95" w:name="_Toc23556"/>
      <w:bookmarkStart w:id="96" w:name="_Toc24845"/>
      <w:r>
        <w:rPr>
          <w:rFonts w:hint="eastAsia" w:ascii="宋体" w:hAnsi="宋体" w:eastAsia="宋体" w:cs="宋体"/>
          <w:color w:val="auto"/>
          <w:sz w:val="28"/>
          <w:szCs w:val="28"/>
          <w:highlight w:val="none"/>
          <w:lang w:val="zh-CN"/>
        </w:rPr>
        <w:t>（以下内容需按要求提供相应证明材料）</w:t>
      </w:r>
      <w:bookmarkEnd w:id="95"/>
      <w:bookmarkEnd w:id="96"/>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49"/>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val="0"/>
          <w:bCs/>
          <w:color w:val="auto"/>
          <w:sz w:val="28"/>
          <w:szCs w:val="28"/>
          <w:highlight w:val="none"/>
          <w:lang w:val="zh-CN"/>
        </w:rPr>
        <w:br w:type="page"/>
      </w:r>
      <w:r>
        <w:rPr>
          <w:rFonts w:hint="eastAsia" w:ascii="宋体" w:hAnsi="宋体" w:eastAsia="宋体" w:cs="宋体"/>
          <w:b/>
          <w:bCs/>
          <w:color w:val="auto"/>
          <w:sz w:val="52"/>
          <w:szCs w:val="52"/>
          <w:highlight w:val="none"/>
        </w:rPr>
        <w:t>投  标  文  件</w:t>
      </w:r>
    </w:p>
    <w:p>
      <w:pPr>
        <w:pStyle w:val="49"/>
        <w:spacing w:line="380" w:lineRule="exact"/>
        <w:jc w:val="center"/>
        <w:rPr>
          <w:rFonts w:hint="eastAsia" w:ascii="宋体" w:hAnsi="宋体" w:eastAsia="宋体" w:cs="宋体"/>
          <w:b/>
          <w:bCs/>
          <w:color w:val="auto"/>
          <w:sz w:val="44"/>
          <w:szCs w:val="44"/>
          <w:highlight w:val="none"/>
        </w:rPr>
      </w:pPr>
    </w:p>
    <w:p>
      <w:pPr>
        <w:pStyle w:val="49"/>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97" w:name="_Toc4262"/>
      <w:bookmarkStart w:id="98" w:name="_Toc27431"/>
      <w:bookmarkStart w:id="99" w:name="_Toc4074_WPSOffice_Level1"/>
      <w:bookmarkStart w:id="100" w:name="_Toc11176"/>
      <w:bookmarkStart w:id="101" w:name="_Toc27418_WPSOffice_Level1"/>
      <w:bookmarkStart w:id="102" w:name="_Toc9390"/>
      <w:r>
        <w:rPr>
          <w:rFonts w:hint="eastAsia" w:ascii="宋体" w:hAnsi="宋体" w:eastAsia="宋体" w:cs="宋体"/>
          <w:color w:val="auto"/>
          <w:sz w:val="28"/>
          <w:szCs w:val="28"/>
          <w:highlight w:val="none"/>
        </w:rPr>
        <w:t>（项目名称）</w:t>
      </w:r>
      <w:bookmarkEnd w:id="97"/>
      <w:bookmarkEnd w:id="98"/>
      <w:bookmarkEnd w:id="99"/>
      <w:bookmarkEnd w:id="100"/>
      <w:bookmarkEnd w:id="101"/>
      <w:bookmarkEnd w:id="102"/>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03" w:name="_Toc26498_WPSOffice_Level1"/>
      <w:bookmarkStart w:id="104" w:name="_Toc23913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03"/>
      <w:bookmarkEnd w:id="104"/>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05" w:name="_Toc17713_WPSOffice_Level1"/>
      <w:bookmarkStart w:id="106" w:name="_Toc23099_WPSOffice_Level1"/>
      <w:bookmarkStart w:id="107" w:name="_Toc21903"/>
      <w:bookmarkStart w:id="108" w:name="_Toc14257"/>
      <w:bookmarkStart w:id="109" w:name="_Toc25330"/>
      <w:bookmarkStart w:id="110" w:name="_Toc19352"/>
      <w:r>
        <w:rPr>
          <w:rFonts w:hint="eastAsia" w:ascii="宋体" w:hAnsi="宋体" w:eastAsia="宋体" w:cs="宋体"/>
          <w:color w:val="auto"/>
          <w:sz w:val="28"/>
          <w:szCs w:val="28"/>
          <w:highlight w:val="none"/>
        </w:rPr>
        <w:t>年        月        日</w:t>
      </w:r>
      <w:bookmarkEnd w:id="105"/>
      <w:bookmarkEnd w:id="106"/>
      <w:bookmarkEnd w:id="107"/>
      <w:bookmarkEnd w:id="108"/>
      <w:bookmarkEnd w:id="109"/>
      <w:bookmarkEnd w:id="110"/>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p>
    <w:p>
      <w:pPr>
        <w:pStyle w:val="5"/>
        <w:outlineLvl w:val="9"/>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5"/>
        <w:outlineLvl w:val="9"/>
        <w:rPr>
          <w:rFonts w:hint="eastAsia" w:ascii="宋体" w:hAnsi="宋体" w:eastAsia="宋体" w:cs="宋体"/>
          <w:color w:val="auto"/>
          <w:highlight w:val="none"/>
        </w:rPr>
      </w:pPr>
    </w:p>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11" w:name="_Toc17081"/>
      <w:bookmarkStart w:id="112" w:name="_Toc16670_WPSOffice_Level1"/>
      <w:bookmarkStart w:id="113" w:name="_Toc12934_WPSOffice_Level1"/>
      <w:bookmarkStart w:id="114" w:name="_Toc141"/>
      <w:bookmarkStart w:id="115" w:name="_Toc23615"/>
      <w:r>
        <w:rPr>
          <w:rFonts w:hint="eastAsia" w:ascii="宋体" w:hAnsi="宋体" w:eastAsia="宋体" w:cs="宋体"/>
          <w:b/>
          <w:bCs/>
          <w:color w:val="auto"/>
          <w:sz w:val="44"/>
          <w:szCs w:val="44"/>
          <w:highlight w:val="none"/>
        </w:rPr>
        <w:t>经济报价部分</w:t>
      </w:r>
      <w:bookmarkEnd w:id="111"/>
      <w:bookmarkEnd w:id="112"/>
      <w:bookmarkEnd w:id="113"/>
      <w:bookmarkEnd w:id="114"/>
      <w:bookmarkEnd w:id="115"/>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numPr>
          <w:ilvl w:val="0"/>
          <w:numId w:val="16"/>
        </w:numPr>
        <w:jc w:val="center"/>
        <w:outlineLvl w:val="9"/>
        <w:rPr>
          <w:rFonts w:hint="eastAsia" w:ascii="宋体" w:hAnsi="宋体" w:eastAsia="宋体" w:cs="宋体"/>
          <w:b/>
          <w:color w:val="auto"/>
          <w:sz w:val="28"/>
          <w:szCs w:val="28"/>
          <w:highlight w:val="none"/>
        </w:rPr>
      </w:pPr>
      <w:bookmarkStart w:id="116" w:name="_Toc9563_WPSOffice_Level1"/>
      <w:bookmarkStart w:id="117" w:name="_Toc341_WPSOffice_Level1"/>
      <w:r>
        <w:rPr>
          <w:rFonts w:hint="eastAsia" w:ascii="宋体" w:hAnsi="宋体" w:eastAsia="宋体" w:cs="宋体"/>
          <w:b/>
          <w:color w:val="auto"/>
          <w:sz w:val="28"/>
          <w:szCs w:val="28"/>
          <w:highlight w:val="none"/>
        </w:rPr>
        <w:br w:type="page"/>
      </w:r>
      <w:bookmarkStart w:id="118" w:name="_Toc20767"/>
      <w:bookmarkStart w:id="119" w:name="_Toc27135"/>
      <w:bookmarkStart w:id="120" w:name="_Toc19856"/>
      <w:r>
        <w:rPr>
          <w:rFonts w:hint="eastAsia" w:ascii="宋体" w:hAnsi="宋体" w:eastAsia="宋体" w:cs="宋体"/>
          <w:b/>
          <w:color w:val="auto"/>
          <w:sz w:val="28"/>
          <w:szCs w:val="28"/>
          <w:highlight w:val="none"/>
        </w:rPr>
        <w:t>投   标   书</w:t>
      </w:r>
      <w:bookmarkEnd w:id="116"/>
      <w:bookmarkEnd w:id="117"/>
      <w:bookmarkEnd w:id="118"/>
      <w:bookmarkEnd w:id="119"/>
      <w:bookmarkEnd w:id="120"/>
    </w:p>
    <w:p>
      <w:pPr>
        <w:outlineLvl w:val="9"/>
        <w:rPr>
          <w:rFonts w:hint="eastAsia" w:ascii="宋体" w:hAnsi="宋体" w:eastAsia="宋体" w:cs="宋体"/>
          <w:b/>
          <w:color w:val="auto"/>
          <w:sz w:val="28"/>
          <w:szCs w:val="28"/>
          <w:highlight w:val="none"/>
        </w:rPr>
      </w:pP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p>
    <w:p>
      <w:pPr>
        <w:numPr>
          <w:ilvl w:val="0"/>
          <w:numId w:val="0"/>
        </w:numPr>
        <w:ind w:firstLine="3092" w:firstLineChars="1100"/>
        <w:jc w:val="both"/>
        <w:outlineLvl w:val="9"/>
        <w:rPr>
          <w:rFonts w:hint="eastAsia" w:ascii="宋体" w:hAnsi="宋体" w:eastAsia="宋体" w:cs="宋体"/>
          <w:b/>
          <w:color w:val="auto"/>
          <w:sz w:val="28"/>
          <w:szCs w:val="28"/>
          <w:highlight w:val="none"/>
          <w:lang w:val="en-US" w:eastAsia="zh-CN"/>
        </w:rPr>
      </w:pPr>
      <w:bookmarkStart w:id="121" w:name="_Toc27588_WPSOffice_Level1"/>
      <w:bookmarkStart w:id="122" w:name="_Toc521_WPSOffice_Level1"/>
    </w:p>
    <w:p>
      <w:pPr>
        <w:pStyle w:val="7"/>
        <w:outlineLvl w:val="9"/>
        <w:rPr>
          <w:rFonts w:hint="eastAsia" w:ascii="宋体" w:hAnsi="宋体" w:eastAsia="宋体" w:cs="宋体"/>
          <w:b/>
          <w:color w:val="auto"/>
          <w:sz w:val="28"/>
          <w:szCs w:val="28"/>
          <w:highlight w:val="none"/>
          <w:lang w:val="en-US" w:eastAsia="zh-CN"/>
        </w:rPr>
      </w:pPr>
    </w:p>
    <w:p>
      <w:pPr>
        <w:pStyle w:val="7"/>
        <w:outlineLvl w:val="9"/>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bookmarkStart w:id="123" w:name="_Toc21293"/>
      <w:bookmarkStart w:id="124" w:name="_Toc20978"/>
      <w:bookmarkStart w:id="125" w:name="_Toc25683"/>
      <w:r>
        <w:rPr>
          <w:rFonts w:hint="eastAsia" w:ascii="宋体" w:hAnsi="宋体" w:eastAsia="宋体" w:cs="宋体"/>
          <w:b/>
          <w:color w:val="auto"/>
          <w:sz w:val="28"/>
          <w:szCs w:val="28"/>
          <w:highlight w:val="none"/>
          <w:lang w:val="en-US" w:eastAsia="zh-CN"/>
        </w:rPr>
        <w:br w:type="page"/>
      </w: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开标一览表</w:t>
      </w:r>
      <w:bookmarkEnd w:id="121"/>
      <w:bookmarkEnd w:id="122"/>
      <w:bookmarkEnd w:id="123"/>
      <w:bookmarkEnd w:id="124"/>
      <w:bookmarkEnd w:id="125"/>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项目编号：</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投标企业名称：</w:t>
      </w:r>
    </w:p>
    <w:tbl>
      <w:tblPr>
        <w:tblStyle w:val="20"/>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26" w:name="_Toc3478_WPSOffice_Level1"/>
      <w:bookmarkStart w:id="127" w:name="_Toc7158_WPSOffice_Level1"/>
      <w:r>
        <w:rPr>
          <w:rFonts w:hint="eastAsia" w:ascii="宋体" w:hAnsi="宋体" w:eastAsia="宋体" w:cs="宋体"/>
          <w:b/>
          <w:color w:val="auto"/>
          <w:sz w:val="28"/>
          <w:szCs w:val="28"/>
          <w:highlight w:val="none"/>
          <w:lang w:val="en-US" w:eastAsia="zh-CN"/>
        </w:rPr>
        <w:br w:type="page"/>
      </w:r>
      <w:bookmarkStart w:id="128" w:name="_Toc25075"/>
      <w:bookmarkStart w:id="129" w:name="_Toc8792"/>
      <w:bookmarkStart w:id="130" w:name="_Toc7219"/>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服务价格明细表</w:t>
      </w:r>
    </w:p>
    <w:bookmarkEnd w:id="126"/>
    <w:bookmarkEnd w:id="127"/>
    <w:bookmarkEnd w:id="128"/>
    <w:bookmarkEnd w:id="129"/>
    <w:bookmarkEnd w:id="130"/>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项目编号：</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投标企业名称：</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1"/>
          <w:highlight w:val="none"/>
        </w:rPr>
        <w:t>非法人组织负责人）或</w:t>
      </w:r>
      <w:r>
        <w:rPr>
          <w:rFonts w:hint="eastAsia" w:ascii="宋体" w:hAnsi="宋体" w:eastAsia="宋体" w:cs="宋体"/>
          <w:color w:val="auto"/>
          <w:highlight w:val="none"/>
        </w:rPr>
        <w:t>其委托代理人(签字或盖章)：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highlight w:val="none"/>
        </w:rPr>
      </w:pPr>
      <w:r>
        <w:rPr>
          <w:rFonts w:hint="eastAsia" w:ascii="宋体" w:hAnsi="宋体" w:eastAsia="宋体" w:cs="宋体"/>
          <w:b/>
          <w:color w:val="auto"/>
          <w:sz w:val="28"/>
          <w:szCs w:val="28"/>
          <w:highlight w:val="none"/>
        </w:rPr>
        <w:t xml:space="preserve">         </w:t>
      </w:r>
    </w:p>
    <w:p>
      <w:pPr>
        <w:outlineLvl w:val="9"/>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31" w:name="_Toc24765"/>
      <w:bookmarkStart w:id="132" w:name="_Toc11852"/>
      <w:bookmarkStart w:id="133" w:name="_Toc28309_WPSOffice_Level1"/>
      <w:bookmarkStart w:id="134" w:name="_Toc22032"/>
      <w:bookmarkStart w:id="135" w:name="_Toc20171_WPSOffice_Level1"/>
      <w:r>
        <w:rPr>
          <w:rFonts w:hint="eastAsia" w:ascii="宋体" w:hAnsi="宋体" w:eastAsia="宋体" w:cs="宋体"/>
          <w:b/>
          <w:bCs/>
          <w:color w:val="auto"/>
          <w:sz w:val="44"/>
          <w:szCs w:val="44"/>
          <w:highlight w:val="none"/>
        </w:rPr>
        <w:t>商务部分</w:t>
      </w:r>
      <w:bookmarkEnd w:id="131"/>
      <w:bookmarkEnd w:id="132"/>
      <w:bookmarkEnd w:id="133"/>
      <w:bookmarkEnd w:id="134"/>
      <w:bookmarkEnd w:id="135"/>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numPr>
          <w:ilvl w:val="0"/>
          <w:numId w:val="0"/>
        </w:numPr>
        <w:tabs>
          <w:tab w:val="left" w:pos="1080"/>
        </w:tabs>
        <w:spacing w:before="0" w:after="0" w:line="600" w:lineRule="exact"/>
        <w:jc w:val="center"/>
        <w:outlineLvl w:val="9"/>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numPr>
          <w:ilvl w:val="0"/>
          <w:numId w:val="0"/>
        </w:numPr>
        <w:tabs>
          <w:tab w:val="left" w:pos="1080"/>
        </w:tabs>
        <w:spacing w:before="0" w:after="0" w:line="600" w:lineRule="exact"/>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投标方的资格声明</w:t>
      </w:r>
    </w:p>
    <w:p>
      <w:pPr>
        <w:pStyle w:val="7"/>
        <w:ind w:firstLine="0"/>
        <w:outlineLvl w:val="9"/>
        <w:rPr>
          <w:rFonts w:hint="eastAsia" w:ascii="宋体" w:hAnsi="宋体" w:eastAsia="宋体" w:cs="宋体"/>
          <w:color w:val="auto"/>
          <w:highlight w:val="none"/>
        </w:rPr>
      </w:pP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pacing w:line="60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，本投标方愿意参加投标，并证明资格文件中和所要求的说明是真实和准确无误的。</w:t>
      </w:r>
    </w:p>
    <w:p>
      <w:pPr>
        <w:spacing w:line="600" w:lineRule="exact"/>
        <w:ind w:firstLine="57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本投标方对可能要求的进一步的资格资料表示理解和同意，并同意按贵方的要求提供任何有关资料。</w:t>
      </w:r>
    </w:p>
    <w:p>
      <w:pPr>
        <w:spacing w:line="600" w:lineRule="exact"/>
        <w:ind w:firstLine="576"/>
        <w:outlineLvl w:val="9"/>
        <w:rPr>
          <w:rFonts w:hint="eastAsia" w:ascii="宋体" w:hAnsi="宋体" w:eastAsia="宋体" w:cs="宋体"/>
          <w:color w:val="auto"/>
          <w:sz w:val="24"/>
          <w:szCs w:val="24"/>
          <w:highlight w:val="none"/>
        </w:rPr>
      </w:pPr>
    </w:p>
    <w:p>
      <w:pPr>
        <w:spacing w:line="600" w:lineRule="exact"/>
        <w:ind w:firstLine="576"/>
        <w:outlineLvl w:val="9"/>
        <w:rPr>
          <w:rFonts w:hint="eastAsia" w:ascii="宋体" w:hAnsi="宋体" w:eastAsia="宋体" w:cs="宋体"/>
          <w:color w:val="auto"/>
          <w:sz w:val="24"/>
          <w:szCs w:val="24"/>
          <w:highlight w:val="none"/>
        </w:rPr>
      </w:pPr>
    </w:p>
    <w:p>
      <w:pPr>
        <w:spacing w:line="600" w:lineRule="exact"/>
        <w:ind w:firstLine="576"/>
        <w:outlineLvl w:val="9"/>
        <w:rPr>
          <w:rFonts w:hint="eastAsia" w:ascii="宋体" w:hAnsi="宋体" w:eastAsia="宋体" w:cs="宋体"/>
          <w:color w:val="auto"/>
          <w:sz w:val="24"/>
          <w:szCs w:val="24"/>
          <w:highlight w:val="none"/>
        </w:rPr>
      </w:pP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p>
    <w:p>
      <w:pPr>
        <w:spacing w:line="6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600" w:lineRule="exact"/>
        <w:ind w:left="0" w:leftChars="0" w:firstLine="42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spacing w:line="600" w:lineRule="exact"/>
        <w:ind w:left="0" w:leftChars="0" w:firstLine="42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rPr>
        <w:t xml:space="preserve">                </w:t>
      </w: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numPr>
          <w:ilvl w:val="0"/>
          <w:numId w:val="0"/>
        </w:numPr>
        <w:jc w:val="both"/>
        <w:outlineLvl w:val="9"/>
        <w:rPr>
          <w:rFonts w:hint="eastAsia" w:ascii="宋体" w:hAnsi="宋体" w:eastAsia="宋体" w:cs="宋体"/>
          <w:b/>
          <w:color w:val="auto"/>
          <w:sz w:val="28"/>
          <w:szCs w:val="28"/>
          <w:highlight w:val="none"/>
        </w:rPr>
      </w:pPr>
    </w:p>
    <w:p>
      <w:pPr>
        <w:numPr>
          <w:ilvl w:val="0"/>
          <w:numId w:val="0"/>
        </w:numPr>
        <w:jc w:val="both"/>
        <w:outlineLvl w:val="9"/>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投标单位简介</w:t>
      </w: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由</w:t>
      </w:r>
      <w:r>
        <w:rPr>
          <w:rFonts w:hint="eastAsia" w:ascii="宋体" w:hAnsi="宋体" w:eastAsia="宋体" w:cs="宋体"/>
          <w:b/>
          <w:color w:val="auto"/>
          <w:sz w:val="24"/>
          <w:szCs w:val="24"/>
          <w:highlight w:val="none"/>
        </w:rPr>
        <w:t>投标人自行编制</w:t>
      </w:r>
      <w:r>
        <w:rPr>
          <w:rFonts w:hint="eastAsia" w:ascii="宋体" w:hAnsi="宋体" w:eastAsia="宋体" w:cs="宋体"/>
          <w:b/>
          <w:color w:val="auto"/>
          <w:sz w:val="24"/>
          <w:szCs w:val="24"/>
          <w:highlight w:val="none"/>
          <w:lang w:eastAsia="zh-CN"/>
        </w:rPr>
        <w:t>）</w:t>
      </w: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ind w:firstLine="482" w:firstLineChars="200"/>
        <w:outlineLvl w:val="9"/>
        <w:rPr>
          <w:rFonts w:hint="eastAsia" w:ascii="宋体" w:hAnsi="宋体" w:eastAsia="宋体" w:cs="宋体"/>
          <w:b/>
          <w:color w:val="auto"/>
          <w:sz w:val="24"/>
          <w:szCs w:val="24"/>
          <w:highlight w:val="none"/>
        </w:rPr>
      </w:pPr>
    </w:p>
    <w:p>
      <w:pPr>
        <w:ind w:firstLine="482" w:firstLineChars="2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附：投标人单位相关资质证件</w:t>
      </w:r>
      <w:r>
        <w:rPr>
          <w:rFonts w:hint="eastAsia" w:ascii="宋体" w:hAnsi="宋体" w:eastAsia="宋体" w:cs="宋体"/>
          <w:b/>
          <w:color w:val="auto"/>
          <w:sz w:val="24"/>
          <w:szCs w:val="24"/>
          <w:highlight w:val="none"/>
          <w:lang w:eastAsia="zh-CN"/>
        </w:rPr>
        <w:t>；</w:t>
      </w:r>
    </w:p>
    <w:p>
      <w:pPr>
        <w:ind w:firstLine="562" w:firstLineChars="200"/>
        <w:outlineLvl w:val="9"/>
        <w:rPr>
          <w:rFonts w:hint="eastAsia" w:ascii="宋体" w:hAnsi="宋体" w:eastAsia="宋体" w:cs="宋体"/>
          <w:b/>
          <w:color w:val="auto"/>
          <w:sz w:val="28"/>
          <w:szCs w:val="28"/>
          <w:highlight w:val="none"/>
        </w:rPr>
      </w:pPr>
    </w:p>
    <w:p>
      <w:pPr>
        <w:numPr>
          <w:ilvl w:val="0"/>
          <w:numId w:val="0"/>
        </w:numPr>
        <w:ind w:leftChars="0"/>
        <w:jc w:val="center"/>
        <w:outlineLvl w:val="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val="en-US" w:eastAsia="zh-CN"/>
        </w:rPr>
        <w:t>符合《政府采购法》第二十二条规定的条件</w:t>
      </w:r>
    </w:p>
    <w:p>
      <w:pPr>
        <w:numPr>
          <w:ilvl w:val="0"/>
          <w:numId w:val="17"/>
        </w:numPr>
        <w:bidi w:val="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具有独立承担民事责任的能力</w:t>
      </w:r>
    </w:p>
    <w:p>
      <w:pPr>
        <w:numPr>
          <w:ilvl w:val="0"/>
          <w:numId w:val="17"/>
        </w:numPr>
        <w:bidi w:val="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具有良好的商业信誉和健全的财务会计制度</w:t>
      </w:r>
    </w:p>
    <w:p>
      <w:pPr>
        <w:numPr>
          <w:ilvl w:val="0"/>
          <w:numId w:val="17"/>
        </w:numPr>
        <w:bidi w:val="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具有履行合同所必需的</w:t>
      </w:r>
      <w:r>
        <w:rPr>
          <w:rFonts w:hint="eastAsia" w:ascii="宋体" w:hAnsi="宋体" w:eastAsia="宋体" w:cs="宋体"/>
          <w:color w:val="auto"/>
          <w:sz w:val="24"/>
          <w:szCs w:val="32"/>
          <w:highlight w:val="none"/>
          <w:lang w:eastAsia="zh-CN"/>
        </w:rPr>
        <w:t>货物</w:t>
      </w:r>
      <w:r>
        <w:rPr>
          <w:rFonts w:hint="eastAsia" w:ascii="宋体" w:hAnsi="宋体" w:eastAsia="宋体" w:cs="宋体"/>
          <w:color w:val="auto"/>
          <w:sz w:val="24"/>
          <w:szCs w:val="32"/>
          <w:highlight w:val="none"/>
        </w:rPr>
        <w:t>和专业技术能力</w:t>
      </w:r>
    </w:p>
    <w:p>
      <w:pPr>
        <w:numPr>
          <w:ilvl w:val="0"/>
          <w:numId w:val="17"/>
        </w:numPr>
        <w:bidi w:val="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有依法缴纳税收和社会保障资金的良好记录</w:t>
      </w:r>
    </w:p>
    <w:p>
      <w:pPr>
        <w:numPr>
          <w:ilvl w:val="0"/>
          <w:numId w:val="17"/>
        </w:numPr>
        <w:bidi w:val="0"/>
        <w:ind w:left="0" w:leftChars="0" w:firstLine="0" w:firstLineChars="0"/>
        <w:outlineLvl w:val="9"/>
        <w:rPr>
          <w:rFonts w:hint="eastAsia" w:ascii="宋体" w:hAnsi="宋体" w:eastAsia="宋体" w:cs="宋体"/>
          <w:color w:val="auto"/>
          <w:sz w:val="28"/>
          <w:szCs w:val="36"/>
          <w:highlight w:val="none"/>
        </w:rPr>
      </w:pPr>
      <w:r>
        <w:rPr>
          <w:rFonts w:hint="eastAsia" w:ascii="宋体" w:hAnsi="宋体" w:eastAsia="宋体" w:cs="宋体"/>
          <w:color w:val="auto"/>
          <w:sz w:val="24"/>
          <w:szCs w:val="32"/>
          <w:highlight w:val="none"/>
        </w:rPr>
        <w:t>参加政府采购活动前三年内在经营活动中没有重大违法记录，法律、行政法规规定的其他条件</w:t>
      </w:r>
    </w:p>
    <w:p>
      <w:pPr>
        <w:numPr>
          <w:ilvl w:val="0"/>
          <w:numId w:val="0"/>
        </w:numPr>
        <w:bidi w:val="0"/>
        <w:outlineLvl w:val="9"/>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eastAsia="zh-CN"/>
        </w:rPr>
        <w:t>注：（包括</w:t>
      </w:r>
      <w:r>
        <w:rPr>
          <w:rFonts w:hint="eastAsia" w:ascii="宋体" w:hAnsi="宋体" w:eastAsia="宋体" w:cs="宋体"/>
          <w:b/>
          <w:bCs/>
          <w:color w:val="auto"/>
          <w:sz w:val="24"/>
          <w:szCs w:val="32"/>
          <w:highlight w:val="none"/>
        </w:rPr>
        <w:t>健全的</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"https://www.baidu.com/s?wd=财务会计制度&amp;tn=SE_PcZhidaonwhc_ngpagmjz&amp;rsv_dl=gh_pc_zhidao"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财务会计制度</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eastAsia="zh-CN"/>
        </w:rPr>
        <w:t>、</w:t>
      </w:r>
      <w:r>
        <w:rPr>
          <w:rFonts w:hint="eastAsia" w:ascii="宋体" w:hAnsi="宋体" w:eastAsia="宋体" w:cs="宋体"/>
          <w:b/>
          <w:bCs/>
          <w:color w:val="auto"/>
          <w:sz w:val="24"/>
          <w:szCs w:val="32"/>
          <w:highlight w:val="none"/>
        </w:rPr>
        <w:t>依法缴纳税收</w:t>
      </w:r>
      <w:r>
        <w:rPr>
          <w:rFonts w:hint="eastAsia" w:ascii="宋体" w:hAnsi="宋体" w:eastAsia="宋体" w:cs="宋体"/>
          <w:b/>
          <w:bCs/>
          <w:color w:val="auto"/>
          <w:sz w:val="24"/>
          <w:szCs w:val="32"/>
          <w:highlight w:val="none"/>
          <w:lang w:eastAsia="zh-CN"/>
        </w:rPr>
        <w:t>证明、依法缴纳</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"https://www.baidu.com/s?wd=社会保障资金&amp;tn=SE_PcZhidaonwhc_ngpagmjz&amp;rsv_dl=gh_pc_zhidao"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社会保障资金</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eastAsia="zh-CN"/>
        </w:rPr>
        <w:t>证明、</w:t>
      </w:r>
      <w:r>
        <w:rPr>
          <w:rFonts w:hint="eastAsia" w:ascii="宋体" w:hAnsi="宋体" w:eastAsia="宋体" w:cs="宋体"/>
          <w:b/>
          <w:bCs/>
          <w:color w:val="auto"/>
          <w:sz w:val="24"/>
          <w:szCs w:val="32"/>
          <w:highlight w:val="none"/>
        </w:rPr>
        <w:t>履行合同所必需的</w:t>
      </w:r>
      <w:r>
        <w:rPr>
          <w:rFonts w:hint="eastAsia" w:ascii="宋体" w:hAnsi="宋体" w:eastAsia="宋体" w:cs="宋体"/>
          <w:b/>
          <w:bCs/>
          <w:color w:val="auto"/>
          <w:sz w:val="24"/>
          <w:szCs w:val="32"/>
          <w:highlight w:val="none"/>
          <w:lang w:val="en-US" w:eastAsia="zh-CN"/>
        </w:rPr>
        <w:t>设备</w:t>
      </w:r>
      <w:r>
        <w:rPr>
          <w:rFonts w:hint="eastAsia" w:ascii="宋体" w:hAnsi="宋体" w:eastAsia="宋体" w:cs="宋体"/>
          <w:b/>
          <w:bCs/>
          <w:color w:val="auto"/>
          <w:sz w:val="24"/>
          <w:szCs w:val="32"/>
          <w:highlight w:val="none"/>
        </w:rPr>
        <w:t>和专业技术能力</w:t>
      </w:r>
      <w:r>
        <w:rPr>
          <w:rFonts w:hint="eastAsia" w:ascii="宋体" w:hAnsi="宋体" w:eastAsia="宋体" w:cs="宋体"/>
          <w:b/>
          <w:bCs/>
          <w:color w:val="auto"/>
          <w:sz w:val="24"/>
          <w:szCs w:val="32"/>
          <w:highlight w:val="none"/>
          <w:lang w:eastAsia="zh-CN"/>
        </w:rPr>
        <w:t>的证明或者承诺书等）</w:t>
      </w:r>
    </w:p>
    <w:p>
      <w:pPr>
        <w:pStyle w:val="2"/>
        <w:outlineLvl w:val="9"/>
        <w:rPr>
          <w:rFonts w:hint="eastAsia" w:ascii="宋体" w:hAnsi="宋体" w:eastAsia="宋体" w:cs="宋体"/>
          <w:b/>
          <w:bCs/>
          <w:color w:val="auto"/>
          <w:sz w:val="24"/>
          <w:szCs w:val="32"/>
          <w:highlight w:val="none"/>
          <w:lang w:eastAsia="zh-CN"/>
        </w:rPr>
      </w:pPr>
    </w:p>
    <w:p>
      <w:pPr>
        <w:ind w:firstLine="562" w:firstLineChars="200"/>
        <w:outlineLvl w:val="9"/>
        <w:rPr>
          <w:rFonts w:hint="eastAsia" w:ascii="宋体" w:hAnsi="宋体" w:eastAsia="宋体" w:cs="宋体"/>
          <w:b/>
          <w:color w:val="auto"/>
          <w:sz w:val="28"/>
          <w:szCs w:val="28"/>
          <w:highlight w:val="none"/>
        </w:rPr>
      </w:pPr>
    </w:p>
    <w:p>
      <w:pPr>
        <w:ind w:firstLine="562" w:firstLineChars="200"/>
        <w:outlineLvl w:val="9"/>
        <w:rPr>
          <w:rFonts w:hint="eastAsia" w:ascii="宋体" w:hAnsi="宋体" w:eastAsia="宋体" w:cs="宋体"/>
          <w:b/>
          <w:color w:val="auto"/>
          <w:sz w:val="28"/>
          <w:szCs w:val="28"/>
          <w:highlight w:val="none"/>
        </w:rPr>
      </w:pPr>
    </w:p>
    <w:p>
      <w:pPr>
        <w:ind w:firstLine="562" w:firstLineChars="200"/>
        <w:outlineLvl w:val="9"/>
        <w:rPr>
          <w:rFonts w:hint="eastAsia" w:ascii="宋体" w:hAnsi="宋体" w:eastAsia="宋体" w:cs="宋体"/>
          <w:b/>
          <w:color w:val="auto"/>
          <w:sz w:val="28"/>
          <w:szCs w:val="28"/>
          <w:highlight w:val="none"/>
        </w:rPr>
      </w:pPr>
    </w:p>
    <w:p>
      <w:pPr>
        <w:pStyle w:val="8"/>
        <w:numPr>
          <w:ilvl w:val="0"/>
          <w:numId w:val="0"/>
        </w:numPr>
        <w:spacing w:line="240" w:lineRule="auto"/>
        <w:jc w:val="both"/>
        <w:outlineLvl w:val="9"/>
        <w:rPr>
          <w:rFonts w:hint="eastAsia" w:ascii="宋体" w:hAnsi="宋体" w:eastAsia="宋体" w:cs="宋体"/>
          <w:b/>
          <w:color w:val="auto"/>
          <w:szCs w:val="28"/>
          <w:highlight w:val="none"/>
          <w:lang w:val="en-US" w:eastAsia="zh-CN"/>
        </w:rPr>
      </w:pPr>
    </w:p>
    <w:p>
      <w:pPr>
        <w:pStyle w:val="8"/>
        <w:numPr>
          <w:ilvl w:val="0"/>
          <w:numId w:val="0"/>
        </w:numPr>
        <w:spacing w:line="240" w:lineRule="auto"/>
        <w:jc w:val="center"/>
        <w:outlineLvl w:val="9"/>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val="en-US" w:eastAsia="zh-CN"/>
        </w:rPr>
        <w:br w:type="page"/>
      </w:r>
      <w:r>
        <w:rPr>
          <w:rFonts w:hint="eastAsia" w:ascii="宋体" w:hAnsi="宋体" w:eastAsia="宋体" w:cs="宋体"/>
          <w:b/>
          <w:color w:val="auto"/>
          <w:szCs w:val="28"/>
          <w:highlight w:val="none"/>
          <w:lang w:val="en-US" w:eastAsia="zh-CN"/>
        </w:rPr>
        <w:t>3、</w:t>
      </w:r>
      <w:r>
        <w:rPr>
          <w:rFonts w:hint="eastAsia" w:ascii="宋体" w:hAnsi="宋体" w:eastAsia="宋体" w:cs="宋体"/>
          <w:b/>
          <w:color w:val="auto"/>
          <w:szCs w:val="28"/>
          <w:highlight w:val="none"/>
        </w:rPr>
        <w:t>营业执照函</w:t>
      </w:r>
    </w:p>
    <w:p>
      <w:pPr>
        <w:pStyle w:val="8"/>
        <w:spacing w:line="240" w:lineRule="auto"/>
        <w:ind w:firstLine="0" w:firstLineChars="0"/>
        <w:outlineLvl w:val="9"/>
        <w:rPr>
          <w:rFonts w:hint="eastAsia" w:ascii="宋体" w:hAnsi="宋体" w:eastAsia="宋体" w:cs="宋体"/>
          <w:b/>
          <w:color w:val="auto"/>
          <w:szCs w:val="28"/>
          <w:highlight w:val="none"/>
        </w:rPr>
      </w:pPr>
    </w:p>
    <w:p>
      <w:pPr>
        <w:pStyle w:val="8"/>
        <w:spacing w:line="240" w:lineRule="auto"/>
        <w:ind w:firstLine="0" w:firstLineChars="0"/>
        <w:outlineLvl w:val="9"/>
        <w:rPr>
          <w:rFonts w:hint="eastAsia" w:ascii="宋体" w:hAnsi="宋体" w:eastAsia="宋体" w:cs="宋体"/>
          <w:b/>
          <w:color w:val="auto"/>
          <w:szCs w:val="28"/>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（签发机关名称）签发的我方法人营业执照复印件，该执照已经年检，真实有效。</w:t>
      </w:r>
    </w:p>
    <w:p>
      <w:pPr>
        <w:ind w:firstLine="852"/>
        <w:outlineLvl w:val="9"/>
        <w:rPr>
          <w:rFonts w:hint="eastAsia" w:ascii="宋体" w:hAnsi="宋体" w:eastAsia="宋体" w:cs="宋体"/>
          <w:color w:val="auto"/>
          <w:sz w:val="24"/>
          <w:szCs w:val="24"/>
          <w:highlight w:val="none"/>
        </w:rPr>
      </w:pPr>
    </w:p>
    <w:p>
      <w:pPr>
        <w:ind w:firstLine="852"/>
        <w:outlineLvl w:val="9"/>
        <w:rPr>
          <w:rFonts w:hint="eastAsia" w:ascii="宋体" w:hAnsi="宋体" w:eastAsia="宋体" w:cs="宋体"/>
          <w:color w:val="auto"/>
          <w:sz w:val="24"/>
          <w:szCs w:val="24"/>
          <w:highlight w:val="none"/>
        </w:rPr>
      </w:pPr>
    </w:p>
    <w:p>
      <w:pPr>
        <w:ind w:firstLine="852"/>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（盖单位章）</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rPr>
          <w:rFonts w:hint="eastAsia" w:ascii="宋体" w:hAnsi="宋体" w:eastAsia="宋体" w:cs="宋体"/>
          <w:b/>
          <w:color w:val="auto"/>
          <w:szCs w:val="28"/>
          <w:highlight w:val="none"/>
          <w:lang w:val="en-US" w:eastAsia="zh-CN"/>
        </w:rPr>
      </w:pPr>
      <w:r>
        <w:rPr>
          <w:rFonts w:hint="eastAsia" w:ascii="宋体" w:hAnsi="宋体" w:eastAsia="宋体" w:cs="宋体"/>
          <w:b/>
          <w:color w:val="auto"/>
          <w:szCs w:val="28"/>
          <w:highlight w:val="none"/>
          <w:lang w:val="en-US" w:eastAsia="zh-CN"/>
        </w:rPr>
        <w:br w:type="page"/>
      </w:r>
    </w:p>
    <w:p>
      <w:pPr>
        <w:pStyle w:val="8"/>
        <w:numPr>
          <w:ilvl w:val="0"/>
          <w:numId w:val="0"/>
        </w:numPr>
        <w:spacing w:line="240" w:lineRule="auto"/>
        <w:jc w:val="center"/>
        <w:outlineLvl w:val="9"/>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val="en-US" w:eastAsia="zh-CN"/>
        </w:rPr>
        <w:t>4、</w:t>
      </w:r>
      <w:r>
        <w:rPr>
          <w:rFonts w:hint="eastAsia" w:ascii="宋体" w:hAnsi="宋体" w:eastAsia="宋体" w:cs="宋体"/>
          <w:b/>
          <w:color w:val="auto"/>
          <w:szCs w:val="28"/>
          <w:highlight w:val="none"/>
        </w:rPr>
        <w:t>法定代表人证明书</w:t>
      </w:r>
    </w:p>
    <w:p>
      <w:pPr>
        <w:pStyle w:val="8"/>
        <w:spacing w:line="240" w:lineRule="auto"/>
        <w:ind w:firstLine="0" w:firstLineChars="0"/>
        <w:outlineLvl w:val="9"/>
        <w:rPr>
          <w:rFonts w:hint="eastAsia" w:ascii="宋体" w:hAnsi="宋体" w:eastAsia="宋体" w:cs="宋体"/>
          <w:b/>
          <w:color w:val="auto"/>
          <w:szCs w:val="28"/>
          <w:highlight w:val="none"/>
        </w:rPr>
      </w:pPr>
    </w:p>
    <w:p>
      <w:pPr>
        <w:pStyle w:val="8"/>
        <w:spacing w:line="240" w:lineRule="auto"/>
        <w:ind w:firstLine="0" w:firstLineChars="0"/>
        <w:outlineLvl w:val="9"/>
        <w:rPr>
          <w:rFonts w:hint="eastAsia" w:ascii="宋体" w:hAnsi="宋体" w:eastAsia="宋体" w:cs="宋体"/>
          <w:b/>
          <w:color w:val="auto"/>
          <w:szCs w:val="28"/>
          <w:highlight w:val="none"/>
        </w:rPr>
      </w:pP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tbl>
      <w:tblPr>
        <w:tblStyle w:val="21"/>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法定代表人身份证复印件正面</w:t>
            </w:r>
          </w:p>
          <w:p>
            <w:pPr>
              <w:outlineLvl w:val="9"/>
              <w:rPr>
                <w:rFonts w:hint="eastAsia" w:ascii="宋体" w:hAnsi="宋体" w:eastAsia="宋体" w:cs="宋体"/>
                <w:color w:val="auto"/>
                <w:sz w:val="24"/>
                <w:szCs w:val="24"/>
                <w:highlight w:val="none"/>
                <w:vertAlign w:val="baseli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bl>
      <w:tblPr>
        <w:tblStyle w:val="21"/>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outlineLvl w:val="9"/>
              <w:rPr>
                <w:rFonts w:hint="eastAsia" w:ascii="宋体" w:hAnsi="宋体" w:eastAsia="宋体" w:cs="宋体"/>
                <w:color w:val="auto"/>
                <w:sz w:val="24"/>
                <w:szCs w:val="24"/>
                <w:highlight w:val="none"/>
              </w:rPr>
            </w:pPr>
          </w:p>
          <w:p>
            <w:pPr>
              <w:ind w:firstLine="480" w:firstLineChars="200"/>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p>
            <w:pPr>
              <w:outlineLvl w:val="9"/>
              <w:rPr>
                <w:rFonts w:hint="eastAsia" w:ascii="宋体" w:hAnsi="宋体" w:eastAsia="宋体" w:cs="宋体"/>
                <w:color w:val="auto"/>
                <w:sz w:val="24"/>
                <w:szCs w:val="24"/>
                <w:highlight w:val="none"/>
                <w:vertAlign w:val="baseli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w:t>
      </w: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sectPr>
          <w:headerReference r:id="rId6" w:type="default"/>
          <w:footerReference r:id="rId7"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9"/>
        <w:rPr>
          <w:rFonts w:hint="eastAsia" w:ascii="宋体" w:hAnsi="宋体" w:eastAsia="宋体" w:cs="宋体"/>
          <w:b/>
          <w:color w:val="auto"/>
          <w:sz w:val="30"/>
          <w:szCs w:val="30"/>
          <w:highlight w:val="none"/>
        </w:rPr>
      </w:pPr>
      <w:bookmarkStart w:id="136" w:name="_Toc16844"/>
      <w:r>
        <w:rPr>
          <w:rFonts w:hint="eastAsia" w:ascii="宋体" w:hAnsi="宋体" w:eastAsia="宋体" w:cs="宋体"/>
          <w:b/>
          <w:color w:val="auto"/>
          <w:sz w:val="30"/>
          <w:szCs w:val="30"/>
          <w:highlight w:val="none"/>
          <w:lang w:val="en-US" w:eastAsia="zh-CN"/>
        </w:rPr>
        <w:t>4-1</w:t>
      </w:r>
      <w:r>
        <w:rPr>
          <w:rFonts w:hint="eastAsia" w:ascii="宋体" w:hAnsi="宋体" w:eastAsia="宋体" w:cs="宋体"/>
          <w:b/>
          <w:color w:val="auto"/>
          <w:sz w:val="30"/>
          <w:szCs w:val="30"/>
          <w:highlight w:val="none"/>
        </w:rPr>
        <w:t>法定代表人授权委托书</w:t>
      </w:r>
      <w:bookmarkEnd w:id="136"/>
    </w:p>
    <w:p>
      <w:pPr>
        <w:pageBreakBefore w:val="0"/>
        <w:topLinePunct w:val="0"/>
        <w:bidi w:val="0"/>
        <w:spacing w:line="240" w:lineRule="auto"/>
        <w:ind w:firstLine="420" w:firstLineChars="200"/>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发包人名称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本人</w:t>
      </w:r>
      <w:r>
        <w:rPr>
          <w:rFonts w:hint="eastAsia" w:ascii="宋体" w:hAnsi="宋体" w:eastAsia="宋体" w:cs="宋体"/>
          <w:color w:val="auto"/>
          <w:kern w:val="2"/>
          <w:sz w:val="24"/>
          <w:szCs w:val="24"/>
          <w:highlight w:val="none"/>
          <w:u w:val="single"/>
          <w:lang w:val="en-US" w:eastAsia="zh-CN" w:bidi="ar-SA"/>
        </w:rPr>
        <w:t xml:space="preserve">      姓名     </w:t>
      </w:r>
      <w:r>
        <w:rPr>
          <w:rFonts w:hint="eastAsia" w:ascii="宋体" w:hAnsi="宋体" w:eastAsia="宋体" w:cs="宋体"/>
          <w:color w:val="auto"/>
          <w:kern w:val="2"/>
          <w:sz w:val="24"/>
          <w:szCs w:val="24"/>
          <w:highlight w:val="none"/>
          <w:lang w:val="en-US" w:eastAsia="zh-CN" w:bidi="ar-SA"/>
        </w:rPr>
        <w:t>系</w:t>
      </w:r>
      <w:r>
        <w:rPr>
          <w:rFonts w:hint="eastAsia" w:ascii="宋体" w:hAnsi="宋体" w:eastAsia="宋体" w:cs="宋体"/>
          <w:color w:val="auto"/>
          <w:kern w:val="2"/>
          <w:sz w:val="24"/>
          <w:szCs w:val="24"/>
          <w:highlight w:val="none"/>
          <w:u w:val="single"/>
          <w:lang w:val="en-US" w:eastAsia="zh-CN" w:bidi="ar-SA"/>
        </w:rPr>
        <w:t xml:space="preserve">        （投标人全称）        的</w:t>
      </w:r>
      <w:r>
        <w:rPr>
          <w:rFonts w:hint="eastAsia" w:ascii="宋体" w:hAnsi="宋体" w:eastAsia="宋体" w:cs="宋体"/>
          <w:color w:val="auto"/>
          <w:kern w:val="2"/>
          <w:sz w:val="24"/>
          <w:szCs w:val="24"/>
          <w:highlight w:val="none"/>
          <w:lang w:val="en-US" w:eastAsia="zh-CN" w:bidi="ar-SA"/>
        </w:rPr>
        <w:t>法定代表人，现授权我公司</w:t>
      </w:r>
      <w:r>
        <w:rPr>
          <w:rFonts w:hint="eastAsia" w:ascii="宋体" w:hAnsi="宋体" w:eastAsia="宋体" w:cs="宋体"/>
          <w:color w:val="auto"/>
          <w:kern w:val="2"/>
          <w:sz w:val="24"/>
          <w:szCs w:val="24"/>
          <w:highlight w:val="none"/>
          <w:u w:val="single"/>
          <w:lang w:val="en-US" w:eastAsia="zh-CN" w:bidi="ar-SA"/>
        </w:rPr>
        <w:t xml:space="preserve">   （投标人代表姓名）  </w:t>
      </w:r>
      <w:r>
        <w:rPr>
          <w:rFonts w:hint="eastAsia" w:ascii="宋体" w:hAnsi="宋体" w:eastAsia="宋体" w:cs="宋体"/>
          <w:color w:val="auto"/>
          <w:kern w:val="2"/>
          <w:sz w:val="24"/>
          <w:szCs w:val="24"/>
          <w:highlight w:val="none"/>
          <w:lang w:val="en-US" w:eastAsia="zh-CN" w:bidi="ar-SA"/>
        </w:rPr>
        <w:t>为投标人代表，代表本公司参加贵司组织的</w:t>
      </w:r>
      <w:r>
        <w:rPr>
          <w:rFonts w:hint="eastAsia" w:ascii="宋体" w:hAnsi="宋体" w:eastAsia="宋体" w:cs="宋体"/>
          <w:color w:val="auto"/>
          <w:kern w:val="2"/>
          <w:sz w:val="24"/>
          <w:szCs w:val="24"/>
          <w:highlight w:val="none"/>
          <w:u w:val="single"/>
          <w:lang w:val="en-US" w:eastAsia="zh-CN" w:bidi="ar-SA"/>
        </w:rPr>
        <w:t xml:space="preserve">     项目名称、包段、招标编号     </w:t>
      </w:r>
      <w:r>
        <w:rPr>
          <w:rFonts w:hint="eastAsia" w:ascii="宋体" w:hAnsi="宋体" w:eastAsia="宋体" w:cs="宋体"/>
          <w:color w:val="auto"/>
          <w:kern w:val="2"/>
          <w:sz w:val="24"/>
          <w:szCs w:val="24"/>
          <w:highlight w:val="none"/>
          <w:lang w:val="en-US" w:eastAsia="zh-CN" w:bidi="ar-SA"/>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本授权书自出具之日起生效。</w:t>
      </w:r>
    </w:p>
    <w:p>
      <w:pPr>
        <w:pageBreakBefore w:val="0"/>
        <w:topLinePunct w:val="0"/>
        <w:bidi w:val="0"/>
        <w:spacing w:line="240" w:lineRule="auto"/>
        <w:ind w:left="126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3550920</wp:posOffset>
                </wp:positionH>
                <wp:positionV relativeFrom="paragraph">
                  <wp:posOffset>67945</wp:posOffset>
                </wp:positionV>
                <wp:extent cx="2290445" cy="128714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2336;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61312;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3528695</wp:posOffset>
                </wp:positionH>
                <wp:positionV relativeFrom="paragraph">
                  <wp:posOffset>110490</wp:posOffset>
                </wp:positionV>
                <wp:extent cx="2330450" cy="1330325"/>
                <wp:effectExtent l="4445" t="4445" r="14605" b="1143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4384;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304165</wp:posOffset>
                </wp:positionH>
                <wp:positionV relativeFrom="paragraph">
                  <wp:posOffset>147320</wp:posOffset>
                </wp:positionV>
                <wp:extent cx="2478405" cy="1311910"/>
                <wp:effectExtent l="4445" t="4445" r="635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3360;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outlineLvl w:val="9"/>
        <w:rPr>
          <w:rFonts w:hint="eastAsia" w:ascii="宋体" w:hAnsi="宋体" w:eastAsia="宋体" w:cs="宋体"/>
          <w:color w:val="auto"/>
          <w:szCs w:val="21"/>
          <w:highlight w:val="none"/>
        </w:rPr>
      </w:pPr>
    </w:p>
    <w:p>
      <w:pPr>
        <w:pStyle w:val="9"/>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lang w:val="en-US" w:eastAsia="zh-CN"/>
        </w:rPr>
        <w:t>姓名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年龄：_______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19"/>
        <w:outlineLvl w:val="9"/>
        <w:rPr>
          <w:rFonts w:hint="eastAsia" w:ascii="宋体" w:hAnsi="宋体" w:eastAsia="宋体" w:cs="宋体"/>
          <w:color w:val="auto"/>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19"/>
        <w:outlineLvl w:val="9"/>
        <w:rPr>
          <w:rFonts w:hint="eastAsia" w:ascii="宋体" w:hAnsi="宋体" w:eastAsia="宋体" w:cs="宋体"/>
          <w:color w:val="auto"/>
          <w:highlight w:val="none"/>
        </w:rPr>
      </w:pPr>
    </w:p>
    <w:p>
      <w:pPr>
        <w:numPr>
          <w:ilvl w:val="0"/>
          <w:numId w:val="18"/>
        </w:numPr>
        <w:jc w:val="center"/>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依法缴纳社会保障资金的证明材料</w:t>
      </w:r>
    </w:p>
    <w:p>
      <w:pPr>
        <w:numPr>
          <w:ilvl w:val="0"/>
          <w:numId w:val="0"/>
        </w:numPr>
        <w:ind w:firstLine="562" w:firstLineChars="200"/>
        <w:jc w:val="left"/>
        <w:outlineLvl w:val="9"/>
        <w:rPr>
          <w:rFonts w:hint="eastAsia" w:ascii="宋体" w:hAnsi="宋体" w:eastAsia="宋体" w:cs="宋体"/>
          <w:b/>
          <w:color w:val="auto"/>
          <w:spacing w:val="0"/>
          <w:kern w:val="2"/>
          <w:sz w:val="28"/>
          <w:szCs w:val="28"/>
          <w:highlight w:val="none"/>
          <w:lang w:val="en-US" w:eastAsia="zh-CN" w:bidi="ar-SA"/>
        </w:rPr>
      </w:pPr>
      <w:r>
        <w:rPr>
          <w:rFonts w:hint="eastAsia" w:ascii="宋体" w:hAnsi="宋体" w:eastAsia="宋体" w:cs="宋体"/>
          <w:b/>
          <w:color w:val="auto"/>
          <w:spacing w:val="0"/>
          <w:kern w:val="2"/>
          <w:sz w:val="28"/>
          <w:szCs w:val="28"/>
          <w:highlight w:val="none"/>
          <w:lang w:val="en-US" w:eastAsia="zh-CN" w:bidi="ar-SA"/>
        </w:rPr>
        <w:t>提供本单位缴纳的近3月社保缴纳证明（单位社保缴费凭证（税务、银行或社会保险基金管理部门出具），2023年3月后成立的公司按实际发生提供）；</w:t>
      </w:r>
    </w:p>
    <w:p>
      <w:pPr>
        <w:pStyle w:val="19"/>
        <w:rPr>
          <w:rFonts w:hint="eastAsia" w:ascii="宋体" w:hAnsi="宋体" w:eastAsia="宋体" w:cs="宋体"/>
          <w:color w:val="auto"/>
          <w:highlight w:val="none"/>
          <w:lang w:val="en-US" w:eastAsia="zh-CN"/>
        </w:rPr>
      </w:pPr>
    </w:p>
    <w:p>
      <w:pPr>
        <w:pStyle w:val="19"/>
        <w:tabs>
          <w:tab w:val="left" w:pos="295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b/>
      </w:r>
    </w:p>
    <w:p>
      <w:pPr>
        <w:pStyle w:val="19"/>
        <w:tabs>
          <w:tab w:val="left" w:pos="2959"/>
        </w:tabs>
        <w:rPr>
          <w:rFonts w:hint="eastAsia" w:ascii="宋体" w:hAnsi="宋体" w:eastAsia="宋体" w:cs="宋体"/>
          <w:color w:val="auto"/>
          <w:highlight w:val="none"/>
          <w:lang w:val="en-US" w:eastAsia="zh-CN"/>
        </w:rPr>
      </w:pPr>
    </w:p>
    <w:p>
      <w:pPr>
        <w:pStyle w:val="19"/>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pacing w:val="0"/>
          <w:kern w:val="2"/>
          <w:sz w:val="28"/>
          <w:szCs w:val="28"/>
          <w:highlight w:val="none"/>
          <w:lang w:val="en-US" w:eastAsia="zh-CN" w:bidi="ar-SA"/>
        </w:rPr>
        <w:t>6、提供税务机关出具近三个月的完税证明（2023年3月后成立的公司按实际发生提供）；</w:t>
      </w:r>
    </w:p>
    <w:p>
      <w:pPr>
        <w:pStyle w:val="19"/>
        <w:rPr>
          <w:rFonts w:hint="eastAsia" w:ascii="宋体" w:hAnsi="宋体" w:eastAsia="宋体" w:cs="宋体"/>
          <w:color w:val="auto"/>
          <w:sz w:val="28"/>
          <w:szCs w:val="28"/>
          <w:highlight w:val="none"/>
          <w:lang w:val="en-US" w:eastAsia="zh-CN"/>
        </w:rPr>
      </w:pPr>
    </w:p>
    <w:p>
      <w:pPr>
        <w:numPr>
          <w:ilvl w:val="0"/>
          <w:numId w:val="0"/>
        </w:numPr>
        <w:jc w:val="left"/>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7、提供202</w:t>
      </w:r>
      <w:r>
        <w:rPr>
          <w:rFonts w:hint="eastAsia" w:ascii="宋体" w:hAnsi="宋体" w:cs="宋体"/>
          <w:b/>
          <w:color w:val="auto"/>
          <w:kern w:val="2"/>
          <w:sz w:val="28"/>
          <w:szCs w:val="28"/>
          <w:highlight w:val="none"/>
          <w:lang w:val="en-US" w:eastAsia="zh-CN" w:bidi="ar-SA"/>
        </w:rPr>
        <w:t>2</w:t>
      </w:r>
      <w:r>
        <w:rPr>
          <w:rFonts w:hint="eastAsia" w:ascii="宋体" w:hAnsi="宋体" w:eastAsia="宋体" w:cs="宋体"/>
          <w:b/>
          <w:color w:val="auto"/>
          <w:kern w:val="2"/>
          <w:sz w:val="28"/>
          <w:szCs w:val="28"/>
          <w:highlight w:val="none"/>
          <w:lang w:val="en-US" w:eastAsia="zh-CN" w:bidi="ar-SA"/>
        </w:rPr>
        <w:t>年度由第三方财务审计机构出具的财务审计报告或提供银行出具的近期资信证明；</w:t>
      </w:r>
    </w:p>
    <w:p>
      <w:pPr>
        <w:numPr>
          <w:ilvl w:val="0"/>
          <w:numId w:val="0"/>
        </w:numPr>
        <w:jc w:val="center"/>
        <w:outlineLvl w:val="9"/>
        <w:rPr>
          <w:rFonts w:hint="eastAsia" w:ascii="宋体" w:hAnsi="宋体" w:eastAsia="宋体" w:cs="宋体"/>
          <w:b/>
          <w:color w:val="auto"/>
          <w:kern w:val="2"/>
          <w:sz w:val="28"/>
          <w:szCs w:val="28"/>
          <w:highlight w:val="none"/>
          <w:lang w:val="en-US" w:eastAsia="zh-CN" w:bidi="ar-SA"/>
        </w:rPr>
      </w:pPr>
    </w:p>
    <w:p>
      <w:pPr>
        <w:numPr>
          <w:ilvl w:val="0"/>
          <w:numId w:val="0"/>
        </w:numPr>
        <w:jc w:val="center"/>
        <w:outlineLvl w:val="9"/>
        <w:rPr>
          <w:rFonts w:hint="eastAsia" w:ascii="宋体" w:hAnsi="宋体" w:eastAsia="宋体" w:cs="宋体"/>
          <w:b/>
          <w:color w:val="auto"/>
          <w:kern w:val="2"/>
          <w:sz w:val="28"/>
          <w:szCs w:val="28"/>
          <w:highlight w:val="none"/>
          <w:lang w:val="en-US" w:eastAsia="zh-CN" w:bidi="ar-SA"/>
        </w:rPr>
      </w:pPr>
    </w:p>
    <w:p>
      <w:pPr>
        <w:numPr>
          <w:ilvl w:val="0"/>
          <w:numId w:val="0"/>
        </w:numPr>
        <w:jc w:val="both"/>
        <w:outlineLvl w:val="9"/>
        <w:rPr>
          <w:rFonts w:hint="eastAsia" w:ascii="宋体" w:hAnsi="宋体" w:eastAsia="宋体" w:cs="宋体"/>
          <w:color w:val="auto"/>
          <w:highlight w:val="none"/>
          <w:lang w:val="en-US" w:eastAsia="zh-CN"/>
        </w:rPr>
      </w:pPr>
      <w:r>
        <w:rPr>
          <w:rFonts w:hint="eastAsia" w:ascii="宋体" w:hAnsi="宋体" w:eastAsia="宋体" w:cs="宋体"/>
          <w:b/>
          <w:color w:val="auto"/>
          <w:kern w:val="2"/>
          <w:sz w:val="28"/>
          <w:szCs w:val="28"/>
          <w:highlight w:val="none"/>
          <w:lang w:val="en-US" w:eastAsia="zh-CN" w:bidi="ar-SA"/>
        </w:rPr>
        <w:t>8、信用查询结果</w:t>
      </w:r>
    </w:p>
    <w:p>
      <w:pPr>
        <w:numPr>
          <w:ilvl w:val="0"/>
          <w:numId w:val="0"/>
        </w:numPr>
        <w:ind w:firstLine="562" w:firstLineChars="200"/>
        <w:jc w:val="left"/>
        <w:outlineLvl w:val="9"/>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在（1）“信用中国（www.creditchina.gov.cn）”；（2）“中国政府采购网（www.ccgp.gov.cn）”；（3）国家企业信用信息公示系统(http://www.gsxt.gov.cn)的信用查询结果。</w:t>
      </w:r>
    </w:p>
    <w:p>
      <w:pPr>
        <w:pStyle w:val="7"/>
        <w:outlineLvl w:val="9"/>
        <w:rPr>
          <w:rFonts w:hint="eastAsia" w:ascii="宋体" w:hAnsi="宋体" w:eastAsia="宋体" w:cs="宋体"/>
          <w:color w:val="auto"/>
          <w:highlight w:val="none"/>
        </w:rPr>
      </w:pPr>
    </w:p>
    <w:p>
      <w:pPr>
        <w:jc w:val="center"/>
        <w:outlineLvl w:val="9"/>
        <w:rPr>
          <w:rFonts w:hint="eastAsia" w:ascii="宋体" w:hAnsi="宋体" w:eastAsia="宋体" w:cs="宋体"/>
          <w:b/>
          <w:bCs/>
          <w:color w:val="auto"/>
          <w:sz w:val="28"/>
          <w:szCs w:val="28"/>
          <w:highlight w:val="none"/>
        </w:rPr>
      </w:pPr>
    </w:p>
    <w:p>
      <w:pPr>
        <w:jc w:val="center"/>
        <w:outlineLvl w:val="9"/>
        <w:rPr>
          <w:rFonts w:hint="eastAsia" w:ascii="宋体" w:hAnsi="宋体" w:eastAsia="宋体" w:cs="宋体"/>
          <w:b/>
          <w:bCs/>
          <w:color w:val="auto"/>
          <w:sz w:val="28"/>
          <w:szCs w:val="28"/>
          <w:highlight w:val="none"/>
        </w:rPr>
      </w:pPr>
    </w:p>
    <w:p>
      <w:pPr>
        <w:jc w:val="center"/>
        <w:outlineLvl w:val="9"/>
        <w:rPr>
          <w:rFonts w:hint="eastAsia" w:ascii="宋体" w:hAnsi="宋体" w:eastAsia="宋体" w:cs="宋体"/>
          <w:b/>
          <w:bCs/>
          <w:color w:val="auto"/>
          <w:sz w:val="28"/>
          <w:szCs w:val="28"/>
          <w:highlight w:val="none"/>
        </w:rPr>
      </w:pPr>
    </w:p>
    <w:p>
      <w:pPr>
        <w:spacing w:line="46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2020年至今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7"/>
        <w:ind w:firstLine="0"/>
        <w:outlineLvl w:val="9"/>
        <w:rPr>
          <w:rFonts w:hint="eastAsia" w:ascii="宋体" w:hAnsi="宋体" w:eastAsia="宋体" w:cs="宋体"/>
          <w:color w:val="auto"/>
          <w:highlight w:val="none"/>
        </w:rPr>
      </w:pPr>
    </w:p>
    <w:p>
      <w:pPr>
        <w:pStyle w:val="49"/>
        <w:ind w:firstLine="240" w:firstLineChars="1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                        </w:t>
      </w:r>
    </w:p>
    <w:tbl>
      <w:tblPr>
        <w:tblStyle w:val="2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0"/>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附:提供相关证明（中标通知书或合同）</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pStyle w:val="49"/>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49"/>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49"/>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zh-CN"/>
        </w:rPr>
        <w:t>投标单位（投标人）反商业贿赂承诺书</w:t>
      </w:r>
    </w:p>
    <w:p>
      <w:pPr>
        <w:autoSpaceDE w:val="0"/>
        <w:autoSpaceDN w:val="0"/>
        <w:adjustRightInd w:val="0"/>
        <w:ind w:left="220"/>
        <w:jc w:val="left"/>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 xml:space="preserve">   </w:t>
      </w:r>
    </w:p>
    <w:p>
      <w:pPr>
        <w:autoSpaceDE w:val="0"/>
        <w:autoSpaceDN w:val="0"/>
        <w:adjustRightInd w:val="0"/>
        <w:ind w:left="220"/>
        <w:jc w:val="left"/>
        <w:outlineLvl w:val="9"/>
        <w:rPr>
          <w:rFonts w:hint="eastAsia" w:ascii="宋体" w:hAnsi="宋体" w:eastAsia="宋体" w:cs="宋体"/>
          <w:color w:val="auto"/>
          <w:kern w:val="0"/>
          <w:sz w:val="28"/>
          <w:szCs w:val="28"/>
          <w:highlight w:val="none"/>
          <w:lang w:val="zh-CN"/>
        </w:rPr>
      </w:pPr>
    </w:p>
    <w:p>
      <w:pPr>
        <w:autoSpaceDE w:val="0"/>
        <w:autoSpaceDN w:val="0"/>
        <w:adjustRightInd w:val="0"/>
        <w:ind w:firstLine="480" w:firstLineChars="200"/>
        <w:outlineLvl w:val="9"/>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投标保证金</w:t>
      </w:r>
      <w:r>
        <w:rPr>
          <w:rFonts w:hint="eastAsia" w:ascii="宋体" w:hAnsi="宋体" w:eastAsia="宋体" w:cs="宋体"/>
          <w:b/>
          <w:bCs/>
          <w:color w:val="auto"/>
          <w:sz w:val="24"/>
          <w:szCs w:val="24"/>
          <w:highlight w:val="none"/>
          <w:lang w:val="en-US" w:eastAsia="zh-CN"/>
        </w:rPr>
        <w:t>汇</w:t>
      </w:r>
      <w:r>
        <w:rPr>
          <w:rFonts w:hint="eastAsia" w:ascii="宋体" w:hAnsi="宋体" w:eastAsia="宋体" w:cs="宋体"/>
          <w:b/>
          <w:bCs/>
          <w:color w:val="auto"/>
          <w:sz w:val="24"/>
          <w:szCs w:val="24"/>
          <w:highlight w:val="none"/>
          <w:lang w:eastAsia="zh-CN"/>
        </w:rPr>
        <w:t>款凭证</w:t>
      </w:r>
      <w:r>
        <w:rPr>
          <w:rFonts w:hint="eastAsia" w:ascii="宋体" w:hAnsi="宋体" w:eastAsia="宋体" w:cs="宋体"/>
          <w:b/>
          <w:bCs/>
          <w:color w:val="auto"/>
          <w:sz w:val="24"/>
          <w:szCs w:val="24"/>
          <w:highlight w:val="none"/>
        </w:rPr>
        <w:t>；</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1"/>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 xml:space="preserve">                   保证金缴纳凭证</w:t>
            </w:r>
          </w:p>
        </w:tc>
      </w:tr>
    </w:tbl>
    <w:p>
      <w:pPr>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pStyle w:val="1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pStyle w:val="9"/>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37" w:name="_Toc18705"/>
      <w:bookmarkStart w:id="138" w:name="_Toc25918"/>
      <w:bookmarkStart w:id="139" w:name="_Toc25262_WPSOffice_Level1"/>
      <w:bookmarkStart w:id="140" w:name="_Toc4500"/>
      <w:bookmarkStart w:id="141" w:name="_Toc30654_WPSOffice_Level1"/>
      <w:r>
        <w:rPr>
          <w:rFonts w:hint="eastAsia" w:ascii="宋体" w:hAnsi="宋体" w:eastAsia="宋体" w:cs="宋体"/>
          <w:b/>
          <w:bCs/>
          <w:color w:val="auto"/>
          <w:sz w:val="44"/>
          <w:szCs w:val="44"/>
          <w:highlight w:val="none"/>
        </w:rPr>
        <w:t>技术部分</w:t>
      </w:r>
      <w:bookmarkEnd w:id="137"/>
      <w:bookmarkEnd w:id="138"/>
      <w:bookmarkEnd w:id="139"/>
      <w:bookmarkEnd w:id="140"/>
      <w:bookmarkEnd w:id="141"/>
    </w:p>
    <w:p>
      <w:pPr>
        <w:ind w:left="2880" w:hanging="2880"/>
        <w:jc w:val="center"/>
        <w:outlineLvl w:val="9"/>
        <w:rPr>
          <w:rFonts w:hint="eastAsia" w:ascii="宋体" w:hAnsi="宋体" w:eastAsia="宋体" w:cs="宋体"/>
          <w:b/>
          <w:color w:val="auto"/>
          <w:sz w:val="28"/>
          <w:szCs w:val="28"/>
          <w:highlight w:val="none"/>
        </w:rPr>
      </w:pPr>
    </w:p>
    <w:p>
      <w:pPr>
        <w:jc w:val="both"/>
        <w:outlineLvl w:val="9"/>
        <w:rPr>
          <w:rFonts w:hint="eastAsia" w:ascii="宋体" w:hAnsi="宋体" w:eastAsia="宋体" w:cs="宋体"/>
          <w:b/>
          <w:color w:val="auto"/>
          <w:sz w:val="28"/>
          <w:szCs w:val="28"/>
          <w:highlight w:val="none"/>
        </w:rPr>
      </w:pPr>
    </w:p>
    <w:p>
      <w:pPr>
        <w:adjustRightInd w:val="0"/>
        <w:snapToGrid w:val="0"/>
        <w:spacing w:before="319" w:beforeLines="100" w:line="360" w:lineRule="auto"/>
        <w:ind w:right="105" w:rightChars="50"/>
        <w:jc w:val="center"/>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0"/>
          <w:highlight w:val="none"/>
          <w:lang w:val="en-US" w:eastAsia="zh-CN"/>
        </w:rPr>
        <w:br w:type="page"/>
      </w:r>
      <w:bookmarkStart w:id="142" w:name="_Toc3724"/>
      <w:bookmarkStart w:id="143" w:name="_Toc20619"/>
      <w:bookmarkStart w:id="144" w:name="_Toc1732"/>
      <w:r>
        <w:rPr>
          <w:rFonts w:hint="eastAsia" w:ascii="宋体" w:hAnsi="宋体" w:eastAsia="宋体" w:cs="宋体"/>
          <w:b/>
          <w:color w:val="auto"/>
          <w:sz w:val="28"/>
          <w:szCs w:val="18"/>
          <w:highlight w:val="none"/>
          <w:lang w:val="en-US" w:eastAsia="zh-CN"/>
        </w:rPr>
        <w:t>1、</w:t>
      </w:r>
      <w:bookmarkEnd w:id="142"/>
      <w:bookmarkEnd w:id="143"/>
      <w:bookmarkEnd w:id="144"/>
      <w:bookmarkStart w:id="145" w:name="_Toc31555_WPSOffice_Level2"/>
      <w:bookmarkStart w:id="146" w:name="_Toc9235_WPSOffice_Level2"/>
      <w:r>
        <w:rPr>
          <w:rFonts w:hint="eastAsia" w:ascii="宋体" w:hAnsi="宋体" w:eastAsia="宋体" w:cs="宋体"/>
          <w:b/>
          <w:bCs/>
          <w:color w:val="auto"/>
          <w:sz w:val="32"/>
          <w:szCs w:val="32"/>
          <w:highlight w:val="none"/>
        </w:rPr>
        <w:t>服务需求响应表</w:t>
      </w:r>
      <w:bookmarkEnd w:id="145"/>
      <w:bookmarkEnd w:id="146"/>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44"/>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包号/序号：</w:t>
            </w:r>
          </w:p>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pPr>
              <w:tabs>
                <w:tab w:val="left" w:pos="0"/>
              </w:tabs>
              <w:spacing w:line="24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按服务需求填写</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填表要求：</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1．“投标文件响应内容”一栏由投标人按照</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要求填写并进行逐项响应。</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2．“偏离程度”一栏根据“投标文件响应内容”与</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逐项对照的结果填写。偏离必须用 “正偏离、负偏离或无偏离”三个名称中的一种进行标注。</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3．“偏离说明”一栏由投标人对偏离的情况做详细说明。</w:t>
      </w:r>
    </w:p>
    <w:p>
      <w:pPr>
        <w:adjustRightInd w:val="0"/>
        <w:snapToGrid w:val="0"/>
        <w:spacing w:line="360" w:lineRule="auto"/>
        <w:outlineLvl w:val="9"/>
        <w:rPr>
          <w:rFonts w:hint="eastAsia" w:ascii="宋体" w:hAnsi="宋体" w:eastAsia="宋体" w:cs="宋体"/>
          <w:color w:val="auto"/>
          <w:szCs w:val="21"/>
          <w:highlight w:val="none"/>
        </w:rPr>
      </w:pPr>
    </w:p>
    <w:p>
      <w:pPr>
        <w:adjustRightInd w:val="0"/>
        <w:snapToGrid w:val="0"/>
        <w:spacing w:line="360" w:lineRule="auto"/>
        <w:outlineLvl w:val="9"/>
        <w:rPr>
          <w:rFonts w:hint="eastAsia" w:ascii="宋体" w:hAnsi="宋体" w:eastAsia="宋体" w:cs="宋体"/>
          <w:color w:val="auto"/>
          <w:szCs w:val="21"/>
          <w:highlight w:val="none"/>
        </w:rPr>
      </w:pPr>
    </w:p>
    <w:p>
      <w:pPr>
        <w:adjustRightInd w:val="0"/>
        <w:snapToGrid w:val="0"/>
        <w:spacing w:line="360" w:lineRule="auto"/>
        <w:outlineLvl w:val="9"/>
        <w:rPr>
          <w:rFonts w:hint="eastAsia" w:ascii="宋体" w:hAnsi="宋体" w:eastAsia="宋体" w:cs="宋体"/>
          <w:color w:val="auto"/>
          <w:szCs w:val="21"/>
          <w:highlight w:val="none"/>
        </w:rPr>
      </w:pPr>
    </w:p>
    <w:p>
      <w:pPr>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1"/>
          <w:highlight w:val="none"/>
        </w:rPr>
        <w:t>非法人组织负责人）或</w:t>
      </w:r>
      <w:r>
        <w:rPr>
          <w:rFonts w:hint="eastAsia" w:ascii="宋体" w:hAnsi="宋体" w:eastAsia="宋体" w:cs="宋体"/>
          <w:color w:val="auto"/>
          <w:highlight w:val="none"/>
        </w:rPr>
        <w:t>其委托代理人(签字或盖章)：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 w:rightChars="5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p>
    <w:p>
      <w:pPr>
        <w:jc w:val="both"/>
        <w:outlineLvl w:val="9"/>
        <w:rPr>
          <w:rFonts w:hint="eastAsia" w:ascii="宋体" w:hAnsi="宋体" w:eastAsia="宋体" w:cs="宋体"/>
          <w:b/>
          <w:color w:val="auto"/>
          <w:sz w:val="28"/>
          <w:szCs w:val="28"/>
          <w:highlight w:val="none"/>
        </w:rPr>
      </w:pPr>
    </w:p>
    <w:p>
      <w:pPr>
        <w:pStyle w:val="9"/>
        <w:outlineLvl w:val="9"/>
        <w:rPr>
          <w:rFonts w:hint="eastAsia" w:ascii="宋体" w:hAnsi="宋体" w:eastAsia="宋体" w:cs="宋体"/>
          <w:b/>
          <w:color w:val="auto"/>
          <w:sz w:val="28"/>
          <w:szCs w:val="28"/>
          <w:highlight w:val="none"/>
        </w:rPr>
      </w:pPr>
    </w:p>
    <w:p>
      <w:pPr>
        <w:pStyle w:val="9"/>
        <w:outlineLvl w:val="9"/>
        <w:rPr>
          <w:rFonts w:hint="eastAsia" w:ascii="宋体" w:hAnsi="宋体" w:eastAsia="宋体" w:cs="宋体"/>
          <w:b/>
          <w:color w:val="auto"/>
          <w:sz w:val="28"/>
          <w:szCs w:val="28"/>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bookmarkStart w:id="147" w:name="_Toc480"/>
      <w:bookmarkStart w:id="148" w:name="_Toc11309"/>
      <w:bookmarkStart w:id="149" w:name="_Toc27850"/>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numPr>
          <w:ilvl w:val="0"/>
          <w:numId w:val="0"/>
        </w:numPr>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2、整体服务方案（格式自定）</w:t>
      </w:r>
    </w:p>
    <w:p>
      <w:pPr>
        <w:numPr>
          <w:ilvl w:val="0"/>
          <w:numId w:val="0"/>
        </w:numPr>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投标人应按竞争性磋商文件要求的内容和顺序，对完成整个项目提出相应的方案及提供认为必要的其它内容。对含糊不清或欠具体明确之处，评委会可视为投标人履约能力不足或响应不全处理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47"/>
      <w:bookmarkEnd w:id="148"/>
      <w:bookmarkEnd w:id="149"/>
    </w:p>
    <w:p>
      <w:pPr>
        <w:numPr>
          <w:ilvl w:val="0"/>
          <w:numId w:val="0"/>
        </w:numPr>
        <w:jc w:val="left"/>
        <w:outlineLvl w:val="9"/>
        <w:rPr>
          <w:rFonts w:hint="eastAsia" w:ascii="宋体" w:hAnsi="宋体" w:eastAsia="宋体" w:cs="宋体"/>
          <w:b/>
          <w:bCs/>
          <w:color w:val="auto"/>
          <w:sz w:val="24"/>
          <w:szCs w:val="24"/>
          <w:highlight w:val="none"/>
          <w:lang w:val="en-US" w:eastAsia="zh-CN"/>
        </w:rPr>
      </w:pPr>
      <w:bookmarkStart w:id="150" w:name="_Toc9535"/>
      <w:bookmarkStart w:id="151" w:name="_Toc16871"/>
      <w:bookmarkStart w:id="152" w:name="_Toc24349"/>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pStyle w:val="19"/>
        <w:rPr>
          <w:rFonts w:hint="eastAsia" w:ascii="宋体" w:hAnsi="宋体" w:eastAsia="宋体" w:cs="宋体"/>
          <w:b/>
          <w:bCs/>
          <w:color w:val="auto"/>
          <w:sz w:val="24"/>
          <w:szCs w:val="24"/>
          <w:highlight w:val="none"/>
          <w:lang w:val="en-US" w:eastAsia="zh-CN"/>
        </w:rPr>
      </w:pPr>
    </w:p>
    <w:p>
      <w:pPr>
        <w:pStyle w:val="19"/>
        <w:rPr>
          <w:rFonts w:hint="eastAsia" w:ascii="宋体" w:hAnsi="宋体" w:eastAsia="宋体" w:cs="宋体"/>
          <w:b/>
          <w:bCs/>
          <w:color w:val="auto"/>
          <w:sz w:val="24"/>
          <w:szCs w:val="24"/>
          <w:highlight w:val="none"/>
          <w:lang w:val="en-US" w:eastAsia="zh-CN"/>
        </w:rPr>
      </w:pPr>
    </w:p>
    <w:p>
      <w:pPr>
        <w:pStyle w:val="1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、对本次投标的详细说明(投标人视需要自行编写)；</w:t>
      </w: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50"/>
      <w:bookmarkEnd w:id="151"/>
      <w:bookmarkEnd w:id="152"/>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numPr>
          <w:ilvl w:val="0"/>
          <w:numId w:val="0"/>
        </w:numPr>
        <w:jc w:val="center"/>
        <w:outlineLvl w:val="9"/>
        <w:rPr>
          <w:rFonts w:hint="eastAsia" w:ascii="宋体" w:hAnsi="宋体" w:eastAsia="宋体" w:cs="宋体"/>
          <w:b/>
          <w:bCs/>
          <w:color w:val="auto"/>
          <w:sz w:val="28"/>
          <w:szCs w:val="28"/>
          <w:highlight w:val="none"/>
        </w:rPr>
      </w:pPr>
      <w:bookmarkStart w:id="153" w:name="_Toc25904"/>
      <w:bookmarkStart w:id="154" w:name="_Toc21223"/>
      <w:bookmarkStart w:id="155" w:name="_Toc12179"/>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、投标服务的质量保障（证）措施及技术支持等；</w:t>
      </w:r>
    </w:p>
    <w:p>
      <w:pPr>
        <w:numPr>
          <w:ilvl w:val="0"/>
          <w:numId w:val="0"/>
        </w:num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53"/>
      <w:bookmarkEnd w:id="154"/>
      <w:bookmarkEnd w:id="155"/>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8"/>
          <w:szCs w:val="28"/>
          <w:highlight w:val="none"/>
          <w:lang w:val="en-US" w:eastAsia="zh-CN"/>
        </w:rPr>
      </w:pPr>
      <w:bookmarkStart w:id="156" w:name="_Toc4776"/>
      <w:bookmarkStart w:id="157" w:name="_Toc17596"/>
      <w:bookmarkStart w:id="158" w:name="_Toc29463"/>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numPr>
          <w:ilvl w:val="0"/>
          <w:numId w:val="0"/>
        </w:num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5、关于对本投标文件（响应文件）中资料真实性的承诺</w:t>
      </w:r>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致</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u w:val="single"/>
        </w:rPr>
        <w:t xml:space="preserve"> （项目、包段名称）</w:t>
      </w:r>
      <w:r>
        <w:rPr>
          <w:rFonts w:hint="eastAsia" w:ascii="宋体" w:hAnsi="宋体" w:eastAsia="宋体" w:cs="宋体"/>
          <w:color w:val="auto"/>
          <w:sz w:val="24"/>
          <w:szCs w:val="22"/>
          <w:highlight w:val="none"/>
        </w:rPr>
        <w:t xml:space="preserve">评标委员会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根据《中华人民共和国政府采购法》、《中华人民共和国政府采购法实施条例》等有关法律、法规的规定和</w:t>
      </w:r>
      <w:r>
        <w:rPr>
          <w:rFonts w:hint="eastAsia" w:ascii="宋体" w:hAnsi="宋体" w:eastAsia="宋体" w:cs="宋体"/>
          <w:color w:val="auto"/>
          <w:sz w:val="24"/>
          <w:szCs w:val="22"/>
          <w:highlight w:val="none"/>
          <w:u w:val="single"/>
        </w:rPr>
        <w:t>    （项目、包段名称）    </w:t>
      </w:r>
      <w:r>
        <w:rPr>
          <w:rFonts w:hint="eastAsia" w:ascii="宋体" w:hAnsi="宋体" w:eastAsia="宋体" w:cs="宋体"/>
          <w:color w:val="auto"/>
          <w:sz w:val="24"/>
          <w:szCs w:val="22"/>
          <w:highlight w:val="none"/>
        </w:rPr>
        <w:t>的</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的要求，我公司在</w:t>
      </w:r>
      <w:r>
        <w:rPr>
          <w:rFonts w:hint="eastAsia" w:ascii="宋体" w:hAnsi="宋体" w:eastAsia="宋体" w:cs="宋体"/>
          <w:color w:val="auto"/>
          <w:sz w:val="24"/>
          <w:szCs w:val="22"/>
          <w:highlight w:val="none"/>
          <w:u w:val="single"/>
        </w:rPr>
        <w:t>   （项目、包段名称）   </w:t>
      </w:r>
      <w:r>
        <w:rPr>
          <w:rFonts w:hint="eastAsia" w:ascii="宋体" w:hAnsi="宋体" w:eastAsia="宋体" w:cs="宋体"/>
          <w:color w:val="auto"/>
          <w:sz w:val="24"/>
          <w:szCs w:val="22"/>
          <w:highlight w:val="none"/>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我公司将严格按</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 xml:space="preserve">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若</w:t>
      </w:r>
      <w:r>
        <w:rPr>
          <w:rFonts w:hint="eastAsia" w:ascii="宋体" w:hAnsi="宋体" w:eastAsia="宋体" w:cs="宋体"/>
          <w:color w:val="auto"/>
          <w:sz w:val="24"/>
          <w:szCs w:val="22"/>
          <w:highlight w:val="none"/>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投标人</w:t>
      </w:r>
      <w:r>
        <w:rPr>
          <w:rFonts w:hint="eastAsia" w:ascii="宋体" w:hAnsi="宋体" w:eastAsia="宋体" w:cs="宋体"/>
          <w:color w:val="auto"/>
          <w:sz w:val="24"/>
          <w:szCs w:val="22"/>
          <w:highlight w:val="none"/>
        </w:rPr>
        <w:t>（全称）：                        （盖单位章）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                           （签字）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      月       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cs="宋体"/>
          <w:b/>
          <w:bCs/>
          <w:color w:val="auto"/>
          <w:sz w:val="28"/>
          <w:szCs w:val="36"/>
          <w:highlight w:val="none"/>
          <w:lang w:val="en-US" w:eastAsia="zh-CN"/>
        </w:rPr>
      </w:pPr>
      <w:bookmarkStart w:id="159" w:name="_Toc4842"/>
      <w:bookmarkStart w:id="160" w:name="_Toc2371"/>
      <w:bookmarkStart w:id="161" w:name="_Toc6238"/>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36"/>
          <w:highlight w:val="none"/>
          <w:lang w:val="en-US" w:eastAsia="zh-CN"/>
        </w:rPr>
        <w:br w:type="page"/>
      </w:r>
      <w:bookmarkEnd w:id="159"/>
      <w:bookmarkEnd w:id="160"/>
      <w:bookmarkEnd w:id="161"/>
      <w:bookmarkStart w:id="162" w:name="_Toc5529"/>
      <w:bookmarkStart w:id="163" w:name="_Toc5425"/>
      <w:bookmarkStart w:id="164" w:name="_Toc27546"/>
      <w:bookmarkStart w:id="165" w:name="_Toc26203"/>
      <w:bookmarkStart w:id="166" w:name="_Toc19656"/>
      <w:bookmarkStart w:id="167" w:name="_Toc19298"/>
      <w:bookmarkStart w:id="168" w:name="_Toc13017"/>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中小企业声明函（符合本声明函填写）</w:t>
      </w:r>
      <w:bookmarkEnd w:id="162"/>
      <w:bookmarkEnd w:id="163"/>
      <w:bookmarkEnd w:id="164"/>
      <w:bookmarkEnd w:id="165"/>
      <w:bookmarkEnd w:id="166"/>
      <w:bookmarkEnd w:id="167"/>
      <w:bookmarkEnd w:id="168"/>
    </w:p>
    <w:p>
      <w:pPr>
        <w:jc w:val="center"/>
        <w:rPr>
          <w:rFonts w:hint="eastAsia" w:ascii="宋体" w:hAnsi="宋体" w:eastAsia="宋体" w:cs="宋体"/>
          <w:color w:val="auto"/>
          <w:sz w:val="21"/>
          <w:szCs w:val="21"/>
          <w:highlight w:val="none"/>
        </w:rPr>
      </w:pPr>
      <w:bookmarkStart w:id="169" w:name="_Toc14689"/>
      <w:bookmarkStart w:id="170" w:name="_Toc14195_WPSOffice_Level1"/>
      <w:bookmarkStart w:id="171" w:name="_Toc20603"/>
      <w:bookmarkStart w:id="172" w:name="_Toc21568"/>
      <w:r>
        <w:rPr>
          <w:rFonts w:hint="eastAsia" w:ascii="宋体" w:hAnsi="宋体" w:eastAsia="宋体" w:cs="宋体"/>
          <w:b/>
          <w:color w:val="auto"/>
          <w:sz w:val="21"/>
          <w:szCs w:val="21"/>
          <w:highlight w:val="none"/>
        </w:rPr>
        <w:t>中小企业声明函（服务）</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lang w:bidi="ar"/>
        </w:rPr>
        <w:t>（单位名称）</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u w:val="single"/>
          <w:lang w:bidi="ar"/>
        </w:rPr>
        <w:t>（项目名称）</w:t>
      </w:r>
      <w:r>
        <w:rPr>
          <w:rFonts w:hint="eastAsia" w:ascii="宋体" w:hAnsi="宋体" w:eastAsia="宋体" w:cs="宋体"/>
          <w:color w:val="auto"/>
          <w:sz w:val="21"/>
          <w:szCs w:val="21"/>
          <w:highlight w:val="none"/>
          <w:lang w:bidi="ar"/>
        </w:rPr>
        <w:t>采购活动，</w:t>
      </w:r>
      <w:r>
        <w:rPr>
          <w:rFonts w:hint="eastAsia" w:ascii="宋体" w:hAnsi="宋体" w:eastAsia="宋体" w:cs="宋体"/>
          <w:color w:val="auto"/>
          <w:sz w:val="21"/>
          <w:szCs w:val="21"/>
          <w:highlight w:val="none"/>
          <w:lang w:val="en-US" w:eastAsia="zh-CN" w:bidi="ar"/>
        </w:rPr>
        <w:t>服务</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1.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2.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本企业对上述声明内容的真实性负责。如有虚假，将依法承担相应责任。 </w:t>
      </w:r>
    </w:p>
    <w:p>
      <w:pPr>
        <w:widowControl/>
        <w:spacing w:line="360" w:lineRule="auto"/>
        <w:ind w:firstLine="3360" w:firstLineChars="1600"/>
        <w:jc w:val="left"/>
        <w:rPr>
          <w:rFonts w:hint="eastAsia" w:ascii="宋体" w:hAnsi="宋体" w:eastAsia="宋体" w:cs="宋体"/>
          <w:color w:val="auto"/>
          <w:sz w:val="21"/>
          <w:szCs w:val="21"/>
          <w:highlight w:val="none"/>
          <w:lang w:bidi="ar"/>
        </w:rPr>
      </w:pPr>
    </w:p>
    <w:p>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企业名称（盖章）： </w:t>
      </w:r>
    </w:p>
    <w:p>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日 期： </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1从业人员、营业收入、资产总额填报上一年度数据，无上一年度数据的新成立企业可不填报</w:t>
      </w:r>
    </w:p>
    <w:p>
      <w:pPr>
        <w:pStyle w:val="9"/>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pacing w:val="6"/>
          <w:sz w:val="21"/>
          <w:szCs w:val="21"/>
          <w:highlight w:val="none"/>
        </w:rPr>
        <w:t>注：</w:t>
      </w:r>
    </w:p>
    <w:p>
      <w:pPr>
        <w:pStyle w:val="9"/>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9"/>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highlight w:val="none"/>
        </w:rPr>
        <w:br w:type="page"/>
      </w:r>
      <w:r>
        <w:rPr>
          <w:rFonts w:hint="eastAsia" w:ascii="宋体" w:hAnsi="宋体" w:eastAsia="宋体" w:cs="宋体"/>
          <w:color w:val="auto"/>
          <w:sz w:val="21"/>
          <w:highlight w:val="none"/>
        </w:rPr>
        <w:t>附：工业和信息化部 国家统计局国家发展和改革委员会 财政部关于印发中小企业划型标准规定的通知（工信部联企业[2011]300号  2011.6.1）</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各省、自治区、直辖市人民政府，国务院各部委、各直属机构及有关单位：</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为贯彻落实《中华人民共和国中小企业促进法》和《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），工业和信息化部、国家统计局、发展改革委、财政部研究制定了《中小企业划型标准规定》。经国务院同意，现印发给你们，请遵照执行。</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附件：</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中小企业划型标准规定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一、根据《中华人民共和国中小企业促进法》和《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），制定本规定。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二、中小企业划分为中型、小型、微型三种类型，具体标准根据企业从业人员、营业收入、资产总额等指标，结合行业特点制定。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宋体" w:hAnsi="宋体" w:eastAsia="宋体" w:cs="宋体"/>
          <w:color w:val="auto"/>
          <w:sz w:val="21"/>
          <w:highlight w:val="none"/>
          <w:lang w:eastAsia="zh-CN"/>
        </w:rPr>
        <w:t>其他未列明的行业</w:t>
      </w:r>
      <w:r>
        <w:rPr>
          <w:rFonts w:hint="eastAsia" w:ascii="宋体" w:hAnsi="宋体" w:eastAsia="宋体" w:cs="宋体"/>
          <w:color w:val="auto"/>
          <w:sz w:val="21"/>
          <w:highlight w:val="none"/>
        </w:rPr>
        <w:t>，其他未列明行业（包括科学研究和技术服务业，水利、环境和公共设施管理业，居民服务、修理和其他服务业，社会工作，文化、体育和娱乐业等）。</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四、各行业划型标准为：</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（一）农、林、牧、渔业。营业收入20000万元以下的为中小微型企业。其中，营业收入500万元及以上的为中型企业，营业收入50万元及以上的为小型企业，营业收入50万元以下的为微型企业。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（十五）</w:t>
      </w:r>
      <w:r>
        <w:rPr>
          <w:rFonts w:hint="eastAsia" w:ascii="宋体" w:hAnsi="宋体" w:eastAsia="宋体" w:cs="宋体"/>
          <w:color w:val="auto"/>
          <w:sz w:val="21"/>
          <w:highlight w:val="none"/>
          <w:lang w:eastAsia="zh-CN"/>
        </w:rPr>
        <w:t>其他未列明的行业</w:t>
      </w:r>
      <w:r>
        <w:rPr>
          <w:rFonts w:hint="eastAsia" w:ascii="宋体" w:hAnsi="宋体" w:eastAsia="宋体" w:cs="宋体"/>
          <w:color w:val="auto"/>
          <w:sz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（十六）其他未列明行业。从业人员300人以下的为中小微型企业。其中，从业人员100人及以上的为中型企业；从业人员10人及以上的为小型企业；从业人员10人以下的为微型企业。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五、企业类型的划分以统计部门的统计数据为依据。</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六、本规定适用于在中华人民共和国境内依法设立的各类所有制和各种组织形式的企业。个体工商户和本规定以外的行业，参照本规定进行划型。</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八、本规定由工业和信息化部、国家统计局会同有关部门根据《国民经济行业分类》修订情况和企业发展变化情况适时修订。</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九、本规定由工业和信息化部、国家统计局会同有关部门负责解释。</w:t>
      </w:r>
    </w:p>
    <w:p>
      <w:pPr>
        <w:snapToGrid w:val="0"/>
        <w:spacing w:line="360" w:lineRule="auto"/>
        <w:ind w:firstLine="420" w:firstLineChars="200"/>
        <w:rPr>
          <w:rFonts w:hint="eastAsia" w:ascii="宋体" w:hAnsi="宋体" w:eastAsia="宋体" w:cs="宋体"/>
          <w:b/>
          <w:color w:val="auto"/>
          <w:sz w:val="21"/>
          <w:highlight w:val="none"/>
        </w:rPr>
      </w:pPr>
      <w:r>
        <w:rPr>
          <w:rFonts w:hint="eastAsia" w:ascii="宋体" w:hAnsi="宋体" w:eastAsia="宋体" w:cs="宋体"/>
          <w:color w:val="auto"/>
          <w:sz w:val="21"/>
          <w:highlight w:val="none"/>
        </w:rPr>
        <w:t>十、本规定自发布之日起执行，原国家经贸委、原国家计委、财政部和国家统计局2003年颁布的《</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中小企业标准暂行规定</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国经贸中小企[2003]143号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同时废止。</w:t>
      </w:r>
    </w:p>
    <w:p>
      <w:pPr>
        <w:snapToGrid w:val="0"/>
        <w:spacing w:line="360" w:lineRule="auto"/>
        <w:jc w:val="center"/>
        <w:rPr>
          <w:rFonts w:hint="eastAsia" w:ascii="宋体" w:hAnsi="宋体" w:eastAsia="宋体" w:cs="宋体"/>
          <w:b/>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color w:val="auto"/>
          <w:sz w:val="21"/>
          <w:highlight w:val="none"/>
        </w:rPr>
        <w:t>残疾人福利性单位声明函</w:t>
      </w:r>
      <w:r>
        <w:rPr>
          <w:rFonts w:hint="eastAsia" w:ascii="宋体" w:hAnsi="宋体" w:eastAsia="宋体" w:cs="宋体"/>
          <w:b/>
          <w:color w:val="auto"/>
          <w:sz w:val="21"/>
          <w:highlight w:val="none"/>
          <w:lang w:eastAsia="zh-CN"/>
        </w:rPr>
        <w:t>（</w:t>
      </w:r>
      <w:r>
        <w:rPr>
          <w:rFonts w:hint="eastAsia" w:ascii="宋体" w:hAnsi="宋体" w:eastAsia="宋体" w:cs="宋体"/>
          <w:b/>
          <w:color w:val="auto"/>
          <w:sz w:val="21"/>
          <w:highlight w:val="none"/>
          <w:lang w:val="en-US" w:eastAsia="zh-CN"/>
        </w:rPr>
        <w:t>如是</w:t>
      </w:r>
      <w:r>
        <w:rPr>
          <w:rFonts w:hint="eastAsia" w:ascii="宋体" w:hAnsi="宋体" w:eastAsia="宋体" w:cs="宋体"/>
          <w:b/>
          <w:color w:val="auto"/>
          <w:sz w:val="21"/>
          <w:highlight w:val="none"/>
          <w:lang w:eastAsia="zh-CN"/>
        </w:rPr>
        <w:t>）</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(填写:符合或不符合)条件的残疾人福利性单位，且本单位参加</w:t>
      </w:r>
      <w:r>
        <w:rPr>
          <w:rFonts w:hint="eastAsia" w:ascii="宋体" w:hAnsi="宋体" w:eastAsia="宋体" w:cs="宋体"/>
          <w:color w:val="auto"/>
          <w:sz w:val="21"/>
          <w:highlight w:val="none"/>
          <w:u w:val="single"/>
        </w:rPr>
        <w:t>西昌市人民医院保安服务采购项目</w:t>
      </w:r>
      <w:r>
        <w:rPr>
          <w:rFonts w:hint="eastAsia" w:ascii="宋体" w:hAnsi="宋体" w:eastAsia="宋体" w:cs="宋体"/>
          <w:color w:val="auto"/>
          <w:sz w:val="21"/>
          <w:highlight w:val="none"/>
        </w:rPr>
        <w:t>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本公司对上述声明的真实性负责。如有虚假，将按照提供虚假投标材料处理。</w:t>
      </w:r>
    </w:p>
    <w:p>
      <w:pPr>
        <w:snapToGrid w:val="0"/>
        <w:spacing w:line="588" w:lineRule="exact"/>
        <w:rPr>
          <w:rFonts w:hint="eastAsia" w:ascii="宋体" w:hAnsi="宋体" w:eastAsia="宋体" w:cs="宋体"/>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投标日期：</w:t>
      </w: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left"/>
        <w:rPr>
          <w:rFonts w:hint="eastAsia" w:ascii="宋体" w:hAnsi="宋体" w:eastAsia="宋体" w:cs="宋体"/>
          <w:b/>
          <w:color w:val="auto"/>
          <w:sz w:val="21"/>
          <w:highlight w:val="none"/>
        </w:rPr>
      </w:pPr>
      <w:r>
        <w:rPr>
          <w:rFonts w:hint="eastAsia" w:ascii="宋体" w:hAnsi="宋体" w:eastAsia="宋体" w:cs="宋体"/>
          <w:color w:val="auto"/>
          <w:highlight w:val="none"/>
        </w:rPr>
        <w:br w:type="page"/>
      </w:r>
    </w:p>
    <w:p>
      <w:pPr>
        <w:snapToGrid w:val="0"/>
        <w:spacing w:line="360" w:lineRule="auto"/>
        <w:jc w:val="center"/>
        <w:rPr>
          <w:rFonts w:hint="eastAsia" w:ascii="宋体" w:hAnsi="宋体" w:eastAsia="宋体" w:cs="宋体"/>
          <w:b/>
          <w:color w:val="auto"/>
          <w:spacing w:val="6"/>
          <w:sz w:val="21"/>
          <w:szCs w:val="21"/>
          <w:highlight w:val="none"/>
          <w:lang w:eastAsia="zh-CN"/>
        </w:rPr>
      </w:pPr>
      <w:r>
        <w:rPr>
          <w:rFonts w:hint="eastAsia" w:ascii="宋体" w:hAnsi="宋体" w:eastAsia="宋体" w:cs="宋体"/>
          <w:b/>
          <w:color w:val="auto"/>
          <w:spacing w:val="6"/>
          <w:sz w:val="21"/>
          <w:szCs w:val="21"/>
          <w:highlight w:val="none"/>
        </w:rPr>
        <w:t>监狱企业声明函</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如是</w:t>
      </w:r>
      <w:r>
        <w:rPr>
          <w:rFonts w:hint="eastAsia" w:ascii="宋体" w:hAnsi="宋体" w:eastAsia="宋体" w:cs="宋体"/>
          <w:b/>
          <w:color w:val="auto"/>
          <w:spacing w:val="6"/>
          <w:sz w:val="21"/>
          <w:szCs w:val="21"/>
          <w:highlight w:val="none"/>
          <w:lang w:eastAsia="zh-CN"/>
        </w:rPr>
        <w:t>）</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本公司参加本次</w:t>
      </w:r>
      <w:r>
        <w:rPr>
          <w:rFonts w:hint="eastAsia" w:ascii="宋体" w:hAnsi="宋体" w:eastAsia="宋体" w:cs="宋体"/>
          <w:color w:val="auto"/>
          <w:spacing w:val="6"/>
          <w:sz w:val="21"/>
          <w:szCs w:val="21"/>
          <w:highlight w:val="none"/>
          <w:lang w:val="en-US" w:eastAsia="zh-CN"/>
        </w:rPr>
        <w:t>昆仑公园保安服务采购项目</w:t>
      </w:r>
      <w:r>
        <w:rPr>
          <w:rFonts w:hint="eastAsia" w:ascii="宋体" w:hAnsi="宋体" w:eastAsia="宋体" w:cs="宋体"/>
          <w:color w:val="auto"/>
          <w:spacing w:val="6"/>
          <w:sz w:val="21"/>
          <w:szCs w:val="21"/>
          <w:highlight w:val="none"/>
        </w:rPr>
        <w:t>活动提供本企业制造的货物及服务，由本企业承担工程、提供服务。</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1"/>
          <w:szCs w:val="21"/>
          <w:highlight w:val="none"/>
        </w:rPr>
      </w:pP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投标日期：</w:t>
      </w:r>
    </w:p>
    <w:p>
      <w:pPr>
        <w:spacing w:line="360" w:lineRule="auto"/>
        <w:ind w:firstLine="420" w:firstLineChars="200"/>
        <w:rPr>
          <w:rFonts w:hint="eastAsia" w:ascii="宋体" w:hAnsi="宋体" w:eastAsia="宋体" w:cs="宋体"/>
          <w:color w:val="auto"/>
          <w:highlight w:val="none"/>
        </w:rPr>
      </w:pPr>
    </w:p>
    <w:p>
      <w:pPr>
        <w:pStyle w:val="9"/>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pacing w:val="6"/>
          <w:sz w:val="21"/>
          <w:szCs w:val="21"/>
          <w:highlight w:val="none"/>
        </w:rPr>
        <w:t>注：1.</w:t>
      </w:r>
      <w:r>
        <w:rPr>
          <w:rFonts w:hint="eastAsia" w:ascii="宋体" w:hAnsi="宋体" w:eastAsia="宋体" w:cs="宋体"/>
          <w:bCs/>
          <w:color w:val="auto"/>
          <w:sz w:val="21"/>
          <w:szCs w:val="21"/>
          <w:highlight w:val="none"/>
        </w:rPr>
        <w:t>如投标人为大型企业或未提供中小企业（监狱企业）声明函的，则其投标产品中的小型、微型企业生产的产品不能享受招标文件规定的价格扣除，但不影响投标人投标文件的有效性。</w:t>
      </w:r>
    </w:p>
    <w:p>
      <w:pPr>
        <w:pStyle w:val="9"/>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9"/>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9"/>
        <w:rPr>
          <w:rFonts w:hint="eastAsia" w:ascii="宋体" w:hAnsi="宋体" w:eastAsia="宋体" w:cs="宋体"/>
          <w:b/>
          <w:color w:val="auto"/>
          <w:sz w:val="21"/>
          <w:highlight w:val="none"/>
        </w:rPr>
      </w:pPr>
    </w:p>
    <w:p>
      <w:pPr>
        <w:pStyle w:val="11"/>
        <w:ind w:left="0" w:leftChars="0" w:firstLine="0" w:firstLineChars="0"/>
        <w:jc w:val="center"/>
        <w:outlineLvl w:val="9"/>
        <w:rPr>
          <w:rFonts w:hint="eastAsia" w:ascii="宋体" w:hAnsi="宋体" w:eastAsia="宋体" w:cs="宋体"/>
          <w:b/>
          <w:bCs/>
          <w:color w:val="auto"/>
          <w:spacing w:val="60"/>
          <w:sz w:val="32"/>
          <w:szCs w:val="20"/>
          <w:highlight w:val="none"/>
        </w:rPr>
      </w:pPr>
      <w:r>
        <w:rPr>
          <w:rFonts w:hint="eastAsia" w:ascii="宋体" w:hAnsi="宋体" w:eastAsia="宋体" w:cs="宋体"/>
          <w:b/>
          <w:bCs/>
          <w:color w:val="auto"/>
          <w:spacing w:val="60"/>
          <w:sz w:val="32"/>
          <w:szCs w:val="32"/>
          <w:highlight w:val="none"/>
        </w:rPr>
        <w:t>注意事项</w:t>
      </w:r>
      <w:bookmarkEnd w:id="169"/>
      <w:bookmarkEnd w:id="170"/>
      <w:bookmarkEnd w:id="171"/>
      <w:bookmarkEnd w:id="172"/>
    </w:p>
    <w:p>
      <w:pPr>
        <w:outlineLvl w:val="9"/>
        <w:rPr>
          <w:rFonts w:hint="eastAsia" w:ascii="宋体" w:hAnsi="宋体" w:eastAsia="宋体" w:cs="宋体"/>
          <w:color w:val="auto"/>
          <w:sz w:val="32"/>
          <w:szCs w:val="32"/>
          <w:highlight w:val="none"/>
        </w:rPr>
      </w:pPr>
    </w:p>
    <w:p>
      <w:pPr>
        <w:outlineLvl w:val="9"/>
        <w:rPr>
          <w:rFonts w:hint="eastAsia" w:ascii="宋体" w:hAnsi="宋体" w:eastAsia="宋体" w:cs="宋体"/>
          <w:color w:val="auto"/>
          <w:sz w:val="24"/>
          <w:highlight w:val="none"/>
        </w:rPr>
      </w:pPr>
      <w:bookmarkStart w:id="173" w:name="_Toc20171"/>
      <w:bookmarkStart w:id="174" w:name="_Toc1267"/>
      <w:bookmarkStart w:id="175" w:name="_Toc6869"/>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eastAsia="zh-CN"/>
        </w:rPr>
        <w:t>、</w:t>
      </w:r>
      <w:r>
        <w:rPr>
          <w:rFonts w:hint="eastAsia" w:ascii="宋体" w:hAnsi="宋体" w:eastAsia="宋体" w:cs="宋体"/>
          <w:color w:val="auto"/>
          <w:sz w:val="24"/>
          <w:highlight w:val="none"/>
        </w:rPr>
        <w:t>投标人对所附表格中要求的资料和询问应做出肯定的回答。</w:t>
      </w:r>
      <w:bookmarkEnd w:id="173"/>
      <w:bookmarkEnd w:id="174"/>
      <w:bookmarkEnd w:id="175"/>
    </w:p>
    <w:p>
      <w:pPr>
        <w:outlineLvl w:val="9"/>
        <w:rPr>
          <w:rFonts w:hint="eastAsia" w:ascii="宋体" w:hAnsi="宋体" w:eastAsia="宋体" w:cs="宋体"/>
          <w:color w:val="auto"/>
          <w:sz w:val="24"/>
          <w:highlight w:val="none"/>
        </w:rPr>
      </w:pPr>
      <w:bookmarkStart w:id="176" w:name="_Toc15065"/>
      <w:bookmarkStart w:id="177" w:name="_Toc2006"/>
      <w:bookmarkStart w:id="178" w:name="_Toc15830"/>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标文件的签字人应保证他所做的声明及对一切问题的回答的真实性和准确。</w:t>
      </w:r>
      <w:bookmarkEnd w:id="176"/>
      <w:bookmarkEnd w:id="177"/>
      <w:bookmarkEnd w:id="178"/>
    </w:p>
    <w:p>
      <w:pPr>
        <w:outlineLvl w:val="9"/>
        <w:rPr>
          <w:rFonts w:hint="eastAsia" w:ascii="宋体" w:hAnsi="宋体" w:eastAsia="宋体" w:cs="宋体"/>
          <w:color w:val="auto"/>
          <w:sz w:val="24"/>
          <w:highlight w:val="none"/>
        </w:rPr>
      </w:pPr>
      <w:bookmarkStart w:id="179" w:name="_Toc20049"/>
      <w:bookmarkStart w:id="180" w:name="_Toc20835"/>
      <w:bookmarkStart w:id="181" w:name="_Toc30717"/>
      <w:r>
        <w:rPr>
          <w:rFonts w:hint="eastAsia" w:ascii="宋体" w:hAnsi="宋体" w:eastAsia="宋体" w:cs="宋体"/>
          <w:color w:val="auto"/>
          <w:sz w:val="24"/>
          <w:highlight w:val="none"/>
        </w:rPr>
        <w:t>3、投标人提供的投标文件将由招标人使用，并据此进行评价和判断，确定投标人的能力。</w:t>
      </w:r>
      <w:bookmarkEnd w:id="179"/>
      <w:bookmarkEnd w:id="180"/>
      <w:bookmarkEnd w:id="181"/>
    </w:p>
    <w:p>
      <w:pPr>
        <w:outlineLvl w:val="9"/>
        <w:rPr>
          <w:rFonts w:hint="eastAsia" w:ascii="宋体" w:hAnsi="宋体" w:eastAsia="宋体" w:cs="宋体"/>
          <w:color w:val="auto"/>
          <w:sz w:val="24"/>
          <w:highlight w:val="none"/>
        </w:rPr>
      </w:pPr>
      <w:bookmarkStart w:id="182" w:name="_Toc27162"/>
      <w:bookmarkStart w:id="183" w:name="_Toc16011"/>
      <w:bookmarkStart w:id="184" w:name="_Toc15702"/>
      <w:r>
        <w:rPr>
          <w:rFonts w:hint="eastAsia" w:ascii="宋体" w:hAnsi="宋体" w:eastAsia="宋体" w:cs="宋体"/>
          <w:color w:val="auto"/>
          <w:sz w:val="24"/>
          <w:highlight w:val="none"/>
        </w:rPr>
        <w:t>4、投标人提交的文件将给予保密，但不退还。</w:t>
      </w:r>
      <w:bookmarkEnd w:id="182"/>
      <w:bookmarkEnd w:id="183"/>
      <w:bookmarkEnd w:id="184"/>
    </w:p>
    <w:p>
      <w:pPr>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sectPr>
      <w:headerReference r:id="rId8" w:type="default"/>
      <w:footerReference r:id="rId9" w:type="default"/>
      <w:pgSz w:w="11905" w:h="16838"/>
      <w:pgMar w:top="1440" w:right="1797" w:bottom="1440" w:left="179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r>
      <w:rPr>
        <w:lang w:val="zh-CN"/>
      </w:rPr>
      <w:t xml:space="preserve">  </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DDD7"/>
    <w:multiLevelType w:val="singleLevel"/>
    <w:tmpl w:val="8203DDD7"/>
    <w:lvl w:ilvl="0" w:tentative="0">
      <w:start w:val="2"/>
      <w:numFmt w:val="chineseCounting"/>
      <w:suff w:val="nothing"/>
      <w:lvlText w:val="（%1）"/>
      <w:lvlJc w:val="left"/>
      <w:rPr>
        <w:rFonts w:hint="eastAsia"/>
      </w:rPr>
    </w:lvl>
  </w:abstractNum>
  <w:abstractNum w:abstractNumId="1">
    <w:nsid w:val="94498789"/>
    <w:multiLevelType w:val="singleLevel"/>
    <w:tmpl w:val="94498789"/>
    <w:lvl w:ilvl="0" w:tentative="0">
      <w:start w:val="8"/>
      <w:numFmt w:val="chineseCounting"/>
      <w:suff w:val="nothing"/>
      <w:lvlText w:val="%1、"/>
      <w:lvlJc w:val="left"/>
      <w:rPr>
        <w:rFonts w:hint="eastAsia"/>
      </w:rPr>
    </w:lvl>
  </w:abstractNum>
  <w:abstractNum w:abstractNumId="2">
    <w:nsid w:val="CB66B541"/>
    <w:multiLevelType w:val="singleLevel"/>
    <w:tmpl w:val="CB66B541"/>
    <w:lvl w:ilvl="0" w:tentative="0">
      <w:start w:val="1"/>
      <w:numFmt w:val="decimal"/>
      <w:lvlText w:val="(%1)"/>
      <w:lvlJc w:val="left"/>
      <w:pPr>
        <w:ind w:left="425" w:hanging="425"/>
      </w:pPr>
      <w:rPr>
        <w:rFonts w:hint="default"/>
      </w:rPr>
    </w:lvl>
  </w:abstractNum>
  <w:abstractNum w:abstractNumId="3">
    <w:nsid w:val="D7A06E69"/>
    <w:multiLevelType w:val="singleLevel"/>
    <w:tmpl w:val="D7A06E69"/>
    <w:lvl w:ilvl="0" w:tentative="0">
      <w:start w:val="3"/>
      <w:numFmt w:val="chineseCounting"/>
      <w:suff w:val="space"/>
      <w:lvlText w:val="第%1章"/>
      <w:lvlJc w:val="left"/>
      <w:rPr>
        <w:rFonts w:hint="eastAsia"/>
      </w:rPr>
    </w:lvl>
  </w:abstractNum>
  <w:abstractNum w:abstractNumId="4">
    <w:nsid w:val="0000000E"/>
    <w:multiLevelType w:val="singleLevel"/>
    <w:tmpl w:val="0000000E"/>
    <w:lvl w:ilvl="0" w:tentative="0">
      <w:start w:val="1"/>
      <w:numFmt w:val="decimal"/>
      <w:suff w:val="nothing"/>
      <w:lvlText w:val="%1、"/>
      <w:lvlJc w:val="left"/>
    </w:lvl>
  </w:abstractNum>
  <w:abstractNum w:abstractNumId="5">
    <w:nsid w:val="105C7470"/>
    <w:multiLevelType w:val="singleLevel"/>
    <w:tmpl w:val="105C7470"/>
    <w:lvl w:ilvl="0" w:tentative="0">
      <w:start w:val="1"/>
      <w:numFmt w:val="chineseCounting"/>
      <w:suff w:val="space"/>
      <w:lvlText w:val="第%1章"/>
      <w:lvlJc w:val="left"/>
      <w:rPr>
        <w:rFonts w:hint="eastAsia"/>
      </w:r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2799386"/>
    <w:multiLevelType w:val="singleLevel"/>
    <w:tmpl w:val="22799386"/>
    <w:lvl w:ilvl="0" w:tentative="0">
      <w:start w:val="1"/>
      <w:numFmt w:val="chineseCounting"/>
      <w:suff w:val="nothing"/>
      <w:lvlText w:val="%1、"/>
      <w:lvlJc w:val="left"/>
      <w:pPr>
        <w:ind w:left="0"/>
      </w:pPr>
      <w:rPr>
        <w:rFonts w:hint="eastAsia"/>
      </w:rPr>
    </w:lvl>
  </w:abstractNum>
  <w:abstractNum w:abstractNumId="8">
    <w:nsid w:val="23F32BAE"/>
    <w:multiLevelType w:val="singleLevel"/>
    <w:tmpl w:val="23F32BAE"/>
    <w:lvl w:ilvl="0" w:tentative="0">
      <w:start w:val="1"/>
      <w:numFmt w:val="decimal"/>
      <w:suff w:val="nothing"/>
      <w:lvlText w:val="%1、"/>
      <w:lvlJc w:val="left"/>
    </w:lvl>
  </w:abstractNum>
  <w:abstractNum w:abstractNumId="9">
    <w:nsid w:val="24714A5A"/>
    <w:multiLevelType w:val="multilevel"/>
    <w:tmpl w:val="24714A5A"/>
    <w:lvl w:ilvl="0" w:tentative="0">
      <w:start w:val="1"/>
      <w:numFmt w:val="chineseCountingThousand"/>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2F7997"/>
    <w:multiLevelType w:val="singleLevel"/>
    <w:tmpl w:val="2C2F7997"/>
    <w:lvl w:ilvl="0" w:tentative="0">
      <w:start w:val="1"/>
      <w:numFmt w:val="chineseCounting"/>
      <w:suff w:val="nothing"/>
      <w:lvlText w:val="（%1）"/>
      <w:lvlJc w:val="left"/>
      <w:pPr>
        <w:ind w:left="0" w:firstLine="420"/>
      </w:pPr>
      <w:rPr>
        <w:rFonts w:hint="eastAsia"/>
      </w:rPr>
    </w:lvl>
  </w:abstractNum>
  <w:abstractNum w:abstractNumId="11">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4A9C6BA7"/>
    <w:multiLevelType w:val="singleLevel"/>
    <w:tmpl w:val="4A9C6BA7"/>
    <w:lvl w:ilvl="0" w:tentative="0">
      <w:start w:val="5"/>
      <w:numFmt w:val="decimal"/>
      <w:suff w:val="nothing"/>
      <w:lvlText w:val="%1、"/>
      <w:lvlJc w:val="left"/>
    </w:lvl>
  </w:abstractNum>
  <w:abstractNum w:abstractNumId="14">
    <w:nsid w:val="569894D5"/>
    <w:multiLevelType w:val="singleLevel"/>
    <w:tmpl w:val="569894D5"/>
    <w:lvl w:ilvl="0" w:tentative="0">
      <w:start w:val="3"/>
      <w:numFmt w:val="chineseCounting"/>
      <w:suff w:val="nothing"/>
      <w:lvlText w:val="%1、"/>
      <w:lvlJc w:val="left"/>
    </w:lvl>
  </w:abstractNum>
  <w:abstractNum w:abstractNumId="15">
    <w:nsid w:val="68EC5EEC"/>
    <w:multiLevelType w:val="singleLevel"/>
    <w:tmpl w:val="68EC5EEC"/>
    <w:lvl w:ilvl="0" w:tentative="0">
      <w:start w:val="1"/>
      <w:numFmt w:val="chineseCounting"/>
      <w:suff w:val="nothing"/>
      <w:lvlText w:val="（%1）"/>
      <w:lvlJc w:val="left"/>
      <w:pPr>
        <w:ind w:left="0" w:firstLine="420"/>
      </w:pPr>
      <w:rPr>
        <w:rFonts w:hint="eastAsia"/>
      </w:rPr>
    </w:lvl>
  </w:abstractNum>
  <w:abstractNum w:abstractNumId="16">
    <w:nsid w:val="6BDDFC4D"/>
    <w:multiLevelType w:val="singleLevel"/>
    <w:tmpl w:val="6BDDFC4D"/>
    <w:lvl w:ilvl="0" w:tentative="0">
      <w:start w:val="1"/>
      <w:numFmt w:val="chineseCounting"/>
      <w:suff w:val="nothing"/>
      <w:lvlText w:val="（%1）"/>
      <w:lvlJc w:val="left"/>
      <w:rPr>
        <w:rFonts w:hint="eastAsia"/>
      </w:rPr>
    </w:lvl>
  </w:abstractNum>
  <w:abstractNum w:abstractNumId="17">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12"/>
  </w:num>
  <w:num w:numId="5">
    <w:abstractNumId w:val="2"/>
  </w:num>
  <w:num w:numId="6">
    <w:abstractNumId w:val="15"/>
  </w:num>
  <w:num w:numId="7">
    <w:abstractNumId w:val="9"/>
  </w:num>
  <w:num w:numId="8">
    <w:abstractNumId w:val="11"/>
  </w:num>
  <w:num w:numId="9">
    <w:abstractNumId w:val="17"/>
  </w:num>
  <w:num w:numId="10">
    <w:abstractNumId w:val="3"/>
  </w:num>
  <w:num w:numId="11">
    <w:abstractNumId w:val="7"/>
  </w:num>
  <w:num w:numId="12">
    <w:abstractNumId w:val="10"/>
  </w:num>
  <w:num w:numId="13">
    <w:abstractNumId w:val="8"/>
  </w:num>
  <w:num w:numId="14">
    <w:abstractNumId w:val="0"/>
  </w:num>
  <w:num w:numId="15">
    <w:abstractNumId w:val="14"/>
  </w:num>
  <w:num w:numId="16">
    <w:abstractNumId w:val="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562A7F8C"/>
    <w:rsid w:val="001709D0"/>
    <w:rsid w:val="002102A4"/>
    <w:rsid w:val="006B390D"/>
    <w:rsid w:val="008764DD"/>
    <w:rsid w:val="0159301C"/>
    <w:rsid w:val="0167761B"/>
    <w:rsid w:val="017B56D8"/>
    <w:rsid w:val="01DC2A3E"/>
    <w:rsid w:val="02682574"/>
    <w:rsid w:val="026A06A9"/>
    <w:rsid w:val="028C44B2"/>
    <w:rsid w:val="02D23086"/>
    <w:rsid w:val="02F948B2"/>
    <w:rsid w:val="032136EA"/>
    <w:rsid w:val="035A2D65"/>
    <w:rsid w:val="03F637F9"/>
    <w:rsid w:val="0437120C"/>
    <w:rsid w:val="0462650F"/>
    <w:rsid w:val="050C225F"/>
    <w:rsid w:val="052D3FE4"/>
    <w:rsid w:val="05551D4C"/>
    <w:rsid w:val="06383B48"/>
    <w:rsid w:val="06B10483"/>
    <w:rsid w:val="070856F4"/>
    <w:rsid w:val="0719587F"/>
    <w:rsid w:val="073A569E"/>
    <w:rsid w:val="073E68E9"/>
    <w:rsid w:val="074C1DED"/>
    <w:rsid w:val="07C242FF"/>
    <w:rsid w:val="08117958"/>
    <w:rsid w:val="08850056"/>
    <w:rsid w:val="089A68B5"/>
    <w:rsid w:val="08CA31E9"/>
    <w:rsid w:val="08D47156"/>
    <w:rsid w:val="08E2169E"/>
    <w:rsid w:val="09383E5F"/>
    <w:rsid w:val="093942E6"/>
    <w:rsid w:val="09532A47"/>
    <w:rsid w:val="095A3DD5"/>
    <w:rsid w:val="095B4169"/>
    <w:rsid w:val="09DA3F01"/>
    <w:rsid w:val="09F676EA"/>
    <w:rsid w:val="0AA74DF8"/>
    <w:rsid w:val="0AA779FC"/>
    <w:rsid w:val="0AE0655C"/>
    <w:rsid w:val="0B387018"/>
    <w:rsid w:val="0B50249F"/>
    <w:rsid w:val="0C0A52F6"/>
    <w:rsid w:val="0C210272"/>
    <w:rsid w:val="0C2B1A59"/>
    <w:rsid w:val="0C3C4ED9"/>
    <w:rsid w:val="0C434FF4"/>
    <w:rsid w:val="0C5E598A"/>
    <w:rsid w:val="0C803F2C"/>
    <w:rsid w:val="0CA710DF"/>
    <w:rsid w:val="0CBC3F4A"/>
    <w:rsid w:val="0CC50EF3"/>
    <w:rsid w:val="0CD73F43"/>
    <w:rsid w:val="0CE27C09"/>
    <w:rsid w:val="0D673AAC"/>
    <w:rsid w:val="0DA567FA"/>
    <w:rsid w:val="0DC11EEC"/>
    <w:rsid w:val="0DC75B75"/>
    <w:rsid w:val="0E2230B3"/>
    <w:rsid w:val="0E224BE9"/>
    <w:rsid w:val="0E31014F"/>
    <w:rsid w:val="0E345BC0"/>
    <w:rsid w:val="0E611762"/>
    <w:rsid w:val="0E67321C"/>
    <w:rsid w:val="0F03484A"/>
    <w:rsid w:val="0F182F7D"/>
    <w:rsid w:val="0FCF53ED"/>
    <w:rsid w:val="0FE92E3B"/>
    <w:rsid w:val="0FF07241"/>
    <w:rsid w:val="10237CB7"/>
    <w:rsid w:val="10407D3F"/>
    <w:rsid w:val="1066305F"/>
    <w:rsid w:val="10B6067D"/>
    <w:rsid w:val="11093DA8"/>
    <w:rsid w:val="111331E7"/>
    <w:rsid w:val="111E3E94"/>
    <w:rsid w:val="112076B2"/>
    <w:rsid w:val="113A263D"/>
    <w:rsid w:val="11DC43DC"/>
    <w:rsid w:val="11DC6897"/>
    <w:rsid w:val="12135DC3"/>
    <w:rsid w:val="12295C3B"/>
    <w:rsid w:val="127C6B6A"/>
    <w:rsid w:val="12D05D18"/>
    <w:rsid w:val="132B1ABC"/>
    <w:rsid w:val="13462C73"/>
    <w:rsid w:val="134868DB"/>
    <w:rsid w:val="135B2C24"/>
    <w:rsid w:val="14B737AA"/>
    <w:rsid w:val="14FC1FEF"/>
    <w:rsid w:val="150B08E6"/>
    <w:rsid w:val="15364320"/>
    <w:rsid w:val="15FA4976"/>
    <w:rsid w:val="16111CBF"/>
    <w:rsid w:val="162278E8"/>
    <w:rsid w:val="163C29C8"/>
    <w:rsid w:val="163F7012"/>
    <w:rsid w:val="165B7F9E"/>
    <w:rsid w:val="166B0E3F"/>
    <w:rsid w:val="167C182F"/>
    <w:rsid w:val="169311EC"/>
    <w:rsid w:val="16C831A6"/>
    <w:rsid w:val="172C29AE"/>
    <w:rsid w:val="17481711"/>
    <w:rsid w:val="17E1744C"/>
    <w:rsid w:val="17F25099"/>
    <w:rsid w:val="18320317"/>
    <w:rsid w:val="183D6623"/>
    <w:rsid w:val="187A159E"/>
    <w:rsid w:val="18B43502"/>
    <w:rsid w:val="18D13137"/>
    <w:rsid w:val="19062F7F"/>
    <w:rsid w:val="19235F91"/>
    <w:rsid w:val="19332B35"/>
    <w:rsid w:val="193816C7"/>
    <w:rsid w:val="193F48D0"/>
    <w:rsid w:val="197B677C"/>
    <w:rsid w:val="199F0AAB"/>
    <w:rsid w:val="19A76508"/>
    <w:rsid w:val="19FF28E0"/>
    <w:rsid w:val="1AC02E15"/>
    <w:rsid w:val="1AD41657"/>
    <w:rsid w:val="1AE5303E"/>
    <w:rsid w:val="1AF271EC"/>
    <w:rsid w:val="1B75684C"/>
    <w:rsid w:val="1C074B5F"/>
    <w:rsid w:val="1C686DDC"/>
    <w:rsid w:val="1CA84156"/>
    <w:rsid w:val="1CF05B1D"/>
    <w:rsid w:val="1D411F19"/>
    <w:rsid w:val="1D7902E3"/>
    <w:rsid w:val="1D910DE4"/>
    <w:rsid w:val="1D9531D6"/>
    <w:rsid w:val="1DD302FB"/>
    <w:rsid w:val="1E053244"/>
    <w:rsid w:val="1E2A5750"/>
    <w:rsid w:val="1E3B0933"/>
    <w:rsid w:val="1E4D0A1C"/>
    <w:rsid w:val="1E9A6699"/>
    <w:rsid w:val="1EDC4AED"/>
    <w:rsid w:val="1EF06916"/>
    <w:rsid w:val="1F4D1FBA"/>
    <w:rsid w:val="1F5C3068"/>
    <w:rsid w:val="1F9749F8"/>
    <w:rsid w:val="1FB042F7"/>
    <w:rsid w:val="20196052"/>
    <w:rsid w:val="203C020F"/>
    <w:rsid w:val="20403220"/>
    <w:rsid w:val="20651585"/>
    <w:rsid w:val="207639E7"/>
    <w:rsid w:val="20E93740"/>
    <w:rsid w:val="21607F04"/>
    <w:rsid w:val="21AF47B7"/>
    <w:rsid w:val="21FF3314"/>
    <w:rsid w:val="22133536"/>
    <w:rsid w:val="222B5EB7"/>
    <w:rsid w:val="22360A87"/>
    <w:rsid w:val="227D2BB6"/>
    <w:rsid w:val="22DD5403"/>
    <w:rsid w:val="23230F2C"/>
    <w:rsid w:val="23812740"/>
    <w:rsid w:val="2386564E"/>
    <w:rsid w:val="24773635"/>
    <w:rsid w:val="24AB50AF"/>
    <w:rsid w:val="251A1B58"/>
    <w:rsid w:val="25755DF3"/>
    <w:rsid w:val="260E4558"/>
    <w:rsid w:val="260E7FC9"/>
    <w:rsid w:val="26450CC0"/>
    <w:rsid w:val="279E046E"/>
    <w:rsid w:val="27C61B43"/>
    <w:rsid w:val="27F13B68"/>
    <w:rsid w:val="27F76C9B"/>
    <w:rsid w:val="282B6C11"/>
    <w:rsid w:val="28331991"/>
    <w:rsid w:val="28342D4D"/>
    <w:rsid w:val="28CF3E4A"/>
    <w:rsid w:val="28EE6106"/>
    <w:rsid w:val="28F16B8C"/>
    <w:rsid w:val="29362F86"/>
    <w:rsid w:val="296970B4"/>
    <w:rsid w:val="296F6FD1"/>
    <w:rsid w:val="297E291D"/>
    <w:rsid w:val="297F2B8F"/>
    <w:rsid w:val="29D735AC"/>
    <w:rsid w:val="29DF65CD"/>
    <w:rsid w:val="2A23727D"/>
    <w:rsid w:val="2A302808"/>
    <w:rsid w:val="2A6A43BB"/>
    <w:rsid w:val="2AC05D36"/>
    <w:rsid w:val="2AF96FA6"/>
    <w:rsid w:val="2B367DA6"/>
    <w:rsid w:val="2BA469B4"/>
    <w:rsid w:val="2C11436F"/>
    <w:rsid w:val="2C1D4E6C"/>
    <w:rsid w:val="2C4016BA"/>
    <w:rsid w:val="2C546920"/>
    <w:rsid w:val="2C596B02"/>
    <w:rsid w:val="2C6710BB"/>
    <w:rsid w:val="2C8C39F6"/>
    <w:rsid w:val="2CAB0320"/>
    <w:rsid w:val="2CD8378E"/>
    <w:rsid w:val="2CF82668"/>
    <w:rsid w:val="2D0A522F"/>
    <w:rsid w:val="2D312F83"/>
    <w:rsid w:val="2D4A5C64"/>
    <w:rsid w:val="2D7822FD"/>
    <w:rsid w:val="2DAA0AE3"/>
    <w:rsid w:val="2DE3464D"/>
    <w:rsid w:val="2DE955A4"/>
    <w:rsid w:val="2E4418F4"/>
    <w:rsid w:val="2E574658"/>
    <w:rsid w:val="2E8850EF"/>
    <w:rsid w:val="2E944D6F"/>
    <w:rsid w:val="2E9E2416"/>
    <w:rsid w:val="2F3547AB"/>
    <w:rsid w:val="2F555E00"/>
    <w:rsid w:val="2F8B0851"/>
    <w:rsid w:val="2FB866BE"/>
    <w:rsid w:val="2FD60E9E"/>
    <w:rsid w:val="30654F90"/>
    <w:rsid w:val="30860F27"/>
    <w:rsid w:val="31A57A34"/>
    <w:rsid w:val="31BA2CDF"/>
    <w:rsid w:val="31DE2CAD"/>
    <w:rsid w:val="31E85B0F"/>
    <w:rsid w:val="31EE7FAA"/>
    <w:rsid w:val="320846B6"/>
    <w:rsid w:val="32883C32"/>
    <w:rsid w:val="32A72C61"/>
    <w:rsid w:val="32AE36C9"/>
    <w:rsid w:val="32B048E2"/>
    <w:rsid w:val="337A66A2"/>
    <w:rsid w:val="34014CFA"/>
    <w:rsid w:val="34237336"/>
    <w:rsid w:val="34252DDB"/>
    <w:rsid w:val="353271C8"/>
    <w:rsid w:val="353725BB"/>
    <w:rsid w:val="35591701"/>
    <w:rsid w:val="3588593F"/>
    <w:rsid w:val="362C39B2"/>
    <w:rsid w:val="37486F1C"/>
    <w:rsid w:val="375E6623"/>
    <w:rsid w:val="37C85FF7"/>
    <w:rsid w:val="37FF3F7C"/>
    <w:rsid w:val="381709EA"/>
    <w:rsid w:val="386812B7"/>
    <w:rsid w:val="38AC78FA"/>
    <w:rsid w:val="391A3A8C"/>
    <w:rsid w:val="3957131E"/>
    <w:rsid w:val="395A55A8"/>
    <w:rsid w:val="3A08060C"/>
    <w:rsid w:val="3A5C3116"/>
    <w:rsid w:val="3B390E5C"/>
    <w:rsid w:val="3B7566C9"/>
    <w:rsid w:val="3B8B4C6A"/>
    <w:rsid w:val="3BB645EB"/>
    <w:rsid w:val="3BCE5DD9"/>
    <w:rsid w:val="3BD93295"/>
    <w:rsid w:val="3C687FDC"/>
    <w:rsid w:val="3C6A6ACB"/>
    <w:rsid w:val="3C8A2401"/>
    <w:rsid w:val="3C9963E7"/>
    <w:rsid w:val="3CED04E1"/>
    <w:rsid w:val="3D3B6DEA"/>
    <w:rsid w:val="3D807426"/>
    <w:rsid w:val="3DF013CD"/>
    <w:rsid w:val="3EAE71FB"/>
    <w:rsid w:val="3ED657B5"/>
    <w:rsid w:val="3EE12F99"/>
    <w:rsid w:val="3F5A4156"/>
    <w:rsid w:val="3FA26E4D"/>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86740D"/>
    <w:rsid w:val="42882328"/>
    <w:rsid w:val="42896C0B"/>
    <w:rsid w:val="42A14BDF"/>
    <w:rsid w:val="42FA5706"/>
    <w:rsid w:val="43207507"/>
    <w:rsid w:val="4340580E"/>
    <w:rsid w:val="4364433D"/>
    <w:rsid w:val="436A51DA"/>
    <w:rsid w:val="437400BA"/>
    <w:rsid w:val="439711A6"/>
    <w:rsid w:val="43BE20C5"/>
    <w:rsid w:val="43D941C3"/>
    <w:rsid w:val="44011C2D"/>
    <w:rsid w:val="4412096A"/>
    <w:rsid w:val="44D51F86"/>
    <w:rsid w:val="452627E2"/>
    <w:rsid w:val="453B48F9"/>
    <w:rsid w:val="45407CA5"/>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A6F54"/>
    <w:rsid w:val="479539D4"/>
    <w:rsid w:val="47AB54FA"/>
    <w:rsid w:val="47E0660A"/>
    <w:rsid w:val="48021352"/>
    <w:rsid w:val="480A2692"/>
    <w:rsid w:val="481A666F"/>
    <w:rsid w:val="4883391C"/>
    <w:rsid w:val="490A4796"/>
    <w:rsid w:val="495B43A7"/>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E02038"/>
    <w:rsid w:val="4BF40E3E"/>
    <w:rsid w:val="4C191E51"/>
    <w:rsid w:val="4C1E305B"/>
    <w:rsid w:val="4C39311D"/>
    <w:rsid w:val="4CAA6BB8"/>
    <w:rsid w:val="4CC814AE"/>
    <w:rsid w:val="4CEC60BF"/>
    <w:rsid w:val="4D4569D0"/>
    <w:rsid w:val="4D62111E"/>
    <w:rsid w:val="4D697D65"/>
    <w:rsid w:val="4D7B33A4"/>
    <w:rsid w:val="4DA33313"/>
    <w:rsid w:val="4DD70B1D"/>
    <w:rsid w:val="4DED3334"/>
    <w:rsid w:val="4E065B01"/>
    <w:rsid w:val="4E3D66C3"/>
    <w:rsid w:val="4E71109E"/>
    <w:rsid w:val="4E8D3B81"/>
    <w:rsid w:val="4EAC3D58"/>
    <w:rsid w:val="4ECC64F1"/>
    <w:rsid w:val="4F4122A3"/>
    <w:rsid w:val="4F50502B"/>
    <w:rsid w:val="4FA15F89"/>
    <w:rsid w:val="4FB3211C"/>
    <w:rsid w:val="4FB40A26"/>
    <w:rsid w:val="4FCC21D8"/>
    <w:rsid w:val="50064A57"/>
    <w:rsid w:val="501F0559"/>
    <w:rsid w:val="503D798F"/>
    <w:rsid w:val="504B134F"/>
    <w:rsid w:val="50545D49"/>
    <w:rsid w:val="50566012"/>
    <w:rsid w:val="50B11AF9"/>
    <w:rsid w:val="511D2CEB"/>
    <w:rsid w:val="51874DAF"/>
    <w:rsid w:val="51CE7817"/>
    <w:rsid w:val="52225B87"/>
    <w:rsid w:val="522307D5"/>
    <w:rsid w:val="5250430D"/>
    <w:rsid w:val="527077C5"/>
    <w:rsid w:val="527904B0"/>
    <w:rsid w:val="52A511EA"/>
    <w:rsid w:val="52CA29FF"/>
    <w:rsid w:val="52F7761E"/>
    <w:rsid w:val="5310474C"/>
    <w:rsid w:val="531E1297"/>
    <w:rsid w:val="532D2B19"/>
    <w:rsid w:val="5359231A"/>
    <w:rsid w:val="53DA1367"/>
    <w:rsid w:val="540D249E"/>
    <w:rsid w:val="542F58CA"/>
    <w:rsid w:val="54393681"/>
    <w:rsid w:val="54415B3F"/>
    <w:rsid w:val="54851C81"/>
    <w:rsid w:val="548E7A76"/>
    <w:rsid w:val="54B70C4B"/>
    <w:rsid w:val="54F6197A"/>
    <w:rsid w:val="5520724E"/>
    <w:rsid w:val="552E5A45"/>
    <w:rsid w:val="5568601F"/>
    <w:rsid w:val="558C3776"/>
    <w:rsid w:val="55BF3C5C"/>
    <w:rsid w:val="55EC0C4B"/>
    <w:rsid w:val="560F0609"/>
    <w:rsid w:val="562969FC"/>
    <w:rsid w:val="562A7F8C"/>
    <w:rsid w:val="56462975"/>
    <w:rsid w:val="565A420A"/>
    <w:rsid w:val="5689497F"/>
    <w:rsid w:val="56C14289"/>
    <w:rsid w:val="57233025"/>
    <w:rsid w:val="5726041F"/>
    <w:rsid w:val="572B430E"/>
    <w:rsid w:val="572F5217"/>
    <w:rsid w:val="5739015C"/>
    <w:rsid w:val="57882E88"/>
    <w:rsid w:val="5799049A"/>
    <w:rsid w:val="58135565"/>
    <w:rsid w:val="58552FA4"/>
    <w:rsid w:val="5870229A"/>
    <w:rsid w:val="58782BD5"/>
    <w:rsid w:val="58A72C94"/>
    <w:rsid w:val="58FE78A6"/>
    <w:rsid w:val="58FF717A"/>
    <w:rsid w:val="590E45F0"/>
    <w:rsid w:val="59710010"/>
    <w:rsid w:val="59BB7545"/>
    <w:rsid w:val="5AC4701D"/>
    <w:rsid w:val="5AC76EF3"/>
    <w:rsid w:val="5AC778C6"/>
    <w:rsid w:val="5B36565B"/>
    <w:rsid w:val="5B4D02BE"/>
    <w:rsid w:val="5B935A55"/>
    <w:rsid w:val="5C6519EA"/>
    <w:rsid w:val="5C9122C7"/>
    <w:rsid w:val="5C9E1265"/>
    <w:rsid w:val="5CA27028"/>
    <w:rsid w:val="5D8A5C57"/>
    <w:rsid w:val="5DAD0036"/>
    <w:rsid w:val="5E305A39"/>
    <w:rsid w:val="5EC3487F"/>
    <w:rsid w:val="5F0B3163"/>
    <w:rsid w:val="5F150FC9"/>
    <w:rsid w:val="5F2F20B1"/>
    <w:rsid w:val="5F3C2ED6"/>
    <w:rsid w:val="5F815C47"/>
    <w:rsid w:val="5F8A3AFF"/>
    <w:rsid w:val="5FAD406B"/>
    <w:rsid w:val="5FCA54A8"/>
    <w:rsid w:val="5FDC6F72"/>
    <w:rsid w:val="605007E5"/>
    <w:rsid w:val="60900E16"/>
    <w:rsid w:val="60A06F3C"/>
    <w:rsid w:val="610D33D4"/>
    <w:rsid w:val="618C6696"/>
    <w:rsid w:val="61AD6F5F"/>
    <w:rsid w:val="61B229C5"/>
    <w:rsid w:val="61CB0541"/>
    <w:rsid w:val="61FC4B9F"/>
    <w:rsid w:val="620654F7"/>
    <w:rsid w:val="621771F3"/>
    <w:rsid w:val="62315E81"/>
    <w:rsid w:val="623F5A0E"/>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6073FA5"/>
    <w:rsid w:val="665A1E94"/>
    <w:rsid w:val="667C1E0A"/>
    <w:rsid w:val="66C23A0D"/>
    <w:rsid w:val="66F91D94"/>
    <w:rsid w:val="672D1422"/>
    <w:rsid w:val="67613F05"/>
    <w:rsid w:val="67672ABA"/>
    <w:rsid w:val="67902011"/>
    <w:rsid w:val="67EE1AA4"/>
    <w:rsid w:val="67F15564"/>
    <w:rsid w:val="68501AFF"/>
    <w:rsid w:val="68633A22"/>
    <w:rsid w:val="68B91067"/>
    <w:rsid w:val="68CA296D"/>
    <w:rsid w:val="69497468"/>
    <w:rsid w:val="69635503"/>
    <w:rsid w:val="69BF0D46"/>
    <w:rsid w:val="69E06B54"/>
    <w:rsid w:val="69FF522C"/>
    <w:rsid w:val="6A192BBD"/>
    <w:rsid w:val="6A2C3B47"/>
    <w:rsid w:val="6A84490C"/>
    <w:rsid w:val="6B44040B"/>
    <w:rsid w:val="6B676E2D"/>
    <w:rsid w:val="6BC61B26"/>
    <w:rsid w:val="6C2E1DF8"/>
    <w:rsid w:val="6C6455FC"/>
    <w:rsid w:val="6C7A5A27"/>
    <w:rsid w:val="6C942977"/>
    <w:rsid w:val="6CDE55CC"/>
    <w:rsid w:val="6CDE7F2B"/>
    <w:rsid w:val="6CEB1A97"/>
    <w:rsid w:val="6D1E1E6D"/>
    <w:rsid w:val="6D25480D"/>
    <w:rsid w:val="6D40407E"/>
    <w:rsid w:val="6D543AE1"/>
    <w:rsid w:val="6DA70DDE"/>
    <w:rsid w:val="6DFA54F2"/>
    <w:rsid w:val="6DFE0E51"/>
    <w:rsid w:val="6E0E1D04"/>
    <w:rsid w:val="6E162CF4"/>
    <w:rsid w:val="6E786D28"/>
    <w:rsid w:val="6EB365E5"/>
    <w:rsid w:val="6ED137D9"/>
    <w:rsid w:val="6EE113A4"/>
    <w:rsid w:val="6F656ED8"/>
    <w:rsid w:val="6F706EB8"/>
    <w:rsid w:val="6F8C5177"/>
    <w:rsid w:val="6FE949B4"/>
    <w:rsid w:val="70264B58"/>
    <w:rsid w:val="70476728"/>
    <w:rsid w:val="705E388D"/>
    <w:rsid w:val="706D4930"/>
    <w:rsid w:val="70955189"/>
    <w:rsid w:val="71557E27"/>
    <w:rsid w:val="716534DB"/>
    <w:rsid w:val="719A4140"/>
    <w:rsid w:val="71A23FE8"/>
    <w:rsid w:val="722C2936"/>
    <w:rsid w:val="726B026C"/>
    <w:rsid w:val="73094156"/>
    <w:rsid w:val="738B796F"/>
    <w:rsid w:val="73A51D13"/>
    <w:rsid w:val="73D809E1"/>
    <w:rsid w:val="73E6120B"/>
    <w:rsid w:val="7410790B"/>
    <w:rsid w:val="74153B95"/>
    <w:rsid w:val="7488316A"/>
    <w:rsid w:val="74956EB9"/>
    <w:rsid w:val="752E0B23"/>
    <w:rsid w:val="753777CB"/>
    <w:rsid w:val="755F25E1"/>
    <w:rsid w:val="7561071A"/>
    <w:rsid w:val="756C40D1"/>
    <w:rsid w:val="757C6CA5"/>
    <w:rsid w:val="758D6003"/>
    <w:rsid w:val="75F4354A"/>
    <w:rsid w:val="76260573"/>
    <w:rsid w:val="762A3631"/>
    <w:rsid w:val="762D3121"/>
    <w:rsid w:val="76404C02"/>
    <w:rsid w:val="768D1F2A"/>
    <w:rsid w:val="772A05B7"/>
    <w:rsid w:val="772E4591"/>
    <w:rsid w:val="773F135E"/>
    <w:rsid w:val="775C1833"/>
    <w:rsid w:val="77943A8C"/>
    <w:rsid w:val="779C7CB1"/>
    <w:rsid w:val="77B95D12"/>
    <w:rsid w:val="780222F2"/>
    <w:rsid w:val="782D126E"/>
    <w:rsid w:val="783E034C"/>
    <w:rsid w:val="784C3D32"/>
    <w:rsid w:val="786E011D"/>
    <w:rsid w:val="79495901"/>
    <w:rsid w:val="79741FA4"/>
    <w:rsid w:val="799F6CA3"/>
    <w:rsid w:val="7A0702F5"/>
    <w:rsid w:val="7A3B2DFB"/>
    <w:rsid w:val="7ACB0136"/>
    <w:rsid w:val="7AEF46D7"/>
    <w:rsid w:val="7AFC10FC"/>
    <w:rsid w:val="7B0D1441"/>
    <w:rsid w:val="7B424295"/>
    <w:rsid w:val="7B547D85"/>
    <w:rsid w:val="7B9B6EAF"/>
    <w:rsid w:val="7BC166F1"/>
    <w:rsid w:val="7C043DAD"/>
    <w:rsid w:val="7C4104B9"/>
    <w:rsid w:val="7C8415C1"/>
    <w:rsid w:val="7CEA232C"/>
    <w:rsid w:val="7D7B4C19"/>
    <w:rsid w:val="7D9B04C6"/>
    <w:rsid w:val="7DB05507"/>
    <w:rsid w:val="7DD07777"/>
    <w:rsid w:val="7DDA1DE0"/>
    <w:rsid w:val="7DE7105B"/>
    <w:rsid w:val="7E3B1D74"/>
    <w:rsid w:val="7E4016A1"/>
    <w:rsid w:val="7E42291F"/>
    <w:rsid w:val="7EA33A11"/>
    <w:rsid w:val="7EA9540C"/>
    <w:rsid w:val="7ED226A6"/>
    <w:rsid w:val="7F032C71"/>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1624"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sz w:val="24"/>
    </w:rPr>
  </w:style>
  <w:style w:type="paragraph" w:styleId="7">
    <w:name w:val="Normal Indent"/>
    <w:basedOn w:val="1"/>
    <w:next w:val="1"/>
    <w:qFormat/>
    <w:uiPriority w:val="0"/>
    <w:pPr>
      <w:ind w:firstLine="420" w:firstLineChars="200"/>
    </w:pPr>
    <w:rPr>
      <w:szCs w:val="24"/>
    </w:rPr>
  </w:style>
  <w:style w:type="paragraph" w:styleId="8">
    <w:name w:val="Body Text Indent"/>
    <w:basedOn w:val="1"/>
    <w:next w:val="9"/>
    <w:qFormat/>
    <w:uiPriority w:val="0"/>
    <w:pPr>
      <w:ind w:firstLine="480"/>
    </w:pPr>
    <w:rPr>
      <w:rFonts w:ascii="宋体" w:hAnsi="宋体"/>
      <w:sz w:val="24"/>
    </w:rPr>
  </w:style>
  <w:style w:type="paragraph" w:customStyle="1" w:styleId="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1624"/>
    <w:pPr>
      <w:spacing w:line="360" w:lineRule="auto"/>
      <w:ind w:firstLine="540"/>
    </w:pPr>
    <w:rPr>
      <w:sz w:val="24"/>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2"/>
    <w:basedOn w:val="8"/>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00"/>
      <w:u w:val="none"/>
    </w:rPr>
  </w:style>
  <w:style w:type="paragraph" w:customStyle="1" w:styleId="25">
    <w:name w:val="_Style 1"/>
    <w:qFormat/>
    <w:uiPriority w:val="0"/>
    <w:pPr>
      <w:widowControl w:val="0"/>
      <w:jc w:val="both"/>
    </w:pPr>
    <w:rPr>
      <w:rFonts w:ascii="Calibri" w:hAnsi="Calibri" w:eastAsia="宋体" w:cs="Times New Roman"/>
      <w:kern w:val="2"/>
      <w:sz w:val="21"/>
      <w:szCs w:val="22"/>
    </w:rPr>
  </w:style>
  <w:style w:type="paragraph" w:customStyle="1" w:styleId="26">
    <w:name w:val="正文首行缩进 21"/>
    <w:basedOn w:val="27"/>
    <w:qFormat/>
    <w:uiPriority w:val="0"/>
    <w:pPr>
      <w:ind w:firstLine="420" w:firstLineChars="200"/>
    </w:pPr>
  </w:style>
  <w:style w:type="paragraph" w:customStyle="1" w:styleId="27">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8">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29">
    <w:name w:val="NormalCharacter"/>
    <w:semiHidden/>
    <w:qFormat/>
    <w:uiPriority w:val="0"/>
  </w:style>
  <w:style w:type="paragraph" w:customStyle="1" w:styleId="30">
    <w:name w:val="1正文"/>
    <w:basedOn w:val="1"/>
    <w:qFormat/>
    <w:uiPriority w:val="0"/>
    <w:pPr>
      <w:ind w:left="-38"/>
      <w:textAlignment w:val="baseline"/>
    </w:pPr>
    <w:rPr>
      <w:rFonts w:ascii="宋体" w:hAnsi="宋体"/>
      <w:kern w:val="0"/>
      <w:sz w:val="24"/>
      <w:szCs w:val="20"/>
    </w:rPr>
  </w:style>
  <w:style w:type="paragraph" w:customStyle="1" w:styleId="31">
    <w:name w:val="列表_0"/>
    <w:basedOn w:val="32"/>
    <w:qFormat/>
    <w:uiPriority w:val="0"/>
    <w:pPr>
      <w:spacing w:afterAutospacing="1" w:line="360" w:lineRule="auto"/>
      <w:jc w:val="center"/>
    </w:pPr>
    <w:rPr>
      <w:rFonts w:ascii="宋体" w:hAnsi="宋体"/>
      <w:b/>
      <w:bCs/>
      <w:sz w:val="28"/>
      <w:szCs w:val="28"/>
    </w:rPr>
  </w:style>
  <w:style w:type="paragraph" w:customStyle="1" w:styleId="32">
    <w:name w:val="正文_15_0"/>
    <w:basedOn w:val="33"/>
    <w:next w:val="31"/>
    <w:qFormat/>
    <w:uiPriority w:val="0"/>
    <w:rPr>
      <w:rFonts w:ascii="Times New Roman" w:hAnsi="Times New Roman"/>
      <w:szCs w:val="21"/>
    </w:rPr>
  </w:style>
  <w:style w:type="paragraph" w:customStyle="1" w:styleId="33">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
    <w:name w:val="10_0"/>
    <w:basedOn w:val="22"/>
    <w:qFormat/>
    <w:uiPriority w:val="0"/>
    <w:rPr>
      <w:rFonts w:ascii="Times New Roman" w:hAnsi="Times New Roman" w:eastAsia="宋体" w:cs="Times New Roman"/>
    </w:rPr>
  </w:style>
  <w:style w:type="paragraph" w:customStyle="1" w:styleId="35">
    <w:name w:val="标题 3 + 宋体"/>
    <w:basedOn w:val="4"/>
    <w:qFormat/>
    <w:uiPriority w:val="0"/>
    <w:pPr>
      <w:spacing w:line="415" w:lineRule="auto"/>
      <w:jc w:val="both"/>
    </w:pPr>
    <w:rPr>
      <w:rFonts w:ascii="宋体" w:hAnsi="宋体" w:cs="Arial"/>
      <w:kern w:val="0"/>
      <w:sz w:val="28"/>
    </w:rPr>
  </w:style>
  <w:style w:type="paragraph" w:customStyle="1" w:styleId="36">
    <w:name w:val="Table Paragraph"/>
    <w:basedOn w:val="1"/>
    <w:qFormat/>
    <w:uiPriority w:val="1"/>
    <w:pPr>
      <w:jc w:val="center"/>
    </w:pPr>
    <w:rPr>
      <w:rFonts w:ascii="宋体" w:hAnsi="宋体" w:eastAsia="宋体" w:cs="宋体"/>
      <w:lang w:val="zh-CN" w:eastAsia="zh-CN" w:bidi="zh-CN"/>
    </w:rPr>
  </w:style>
  <w:style w:type="paragraph" w:customStyle="1" w:styleId="3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01"/>
    <w:basedOn w:val="22"/>
    <w:qFormat/>
    <w:uiPriority w:val="0"/>
    <w:rPr>
      <w:rFonts w:hint="eastAsia" w:ascii="宋体" w:hAnsi="宋体" w:eastAsia="宋体" w:cs="宋体"/>
      <w:color w:val="000000"/>
      <w:sz w:val="22"/>
      <w:szCs w:val="22"/>
      <w:u w:val="none"/>
    </w:rPr>
  </w:style>
  <w:style w:type="character" w:customStyle="1" w:styleId="39">
    <w:name w:val="font41"/>
    <w:basedOn w:val="22"/>
    <w:qFormat/>
    <w:uiPriority w:val="0"/>
    <w:rPr>
      <w:rFonts w:ascii="Tahoma" w:hAnsi="Tahoma" w:eastAsia="Tahoma" w:cs="Tahoma"/>
      <w:color w:val="808080"/>
      <w:sz w:val="24"/>
      <w:szCs w:val="24"/>
      <w:u w:val="none"/>
    </w:rPr>
  </w:style>
  <w:style w:type="character" w:customStyle="1" w:styleId="40">
    <w:name w:val="font21"/>
    <w:basedOn w:val="22"/>
    <w:qFormat/>
    <w:uiPriority w:val="0"/>
    <w:rPr>
      <w:rFonts w:hint="eastAsia" w:ascii="宋体" w:hAnsi="宋体" w:eastAsia="宋体" w:cs="宋体"/>
      <w:color w:val="666666"/>
      <w:sz w:val="24"/>
      <w:szCs w:val="24"/>
      <w:u w:val="none"/>
    </w:rPr>
  </w:style>
  <w:style w:type="character" w:customStyle="1" w:styleId="41">
    <w:name w:val="font51"/>
    <w:basedOn w:val="22"/>
    <w:qFormat/>
    <w:uiPriority w:val="0"/>
    <w:rPr>
      <w:rFonts w:hint="eastAsia" w:ascii="宋体" w:hAnsi="宋体" w:eastAsia="宋体" w:cs="宋体"/>
      <w:color w:val="808080"/>
      <w:sz w:val="24"/>
      <w:szCs w:val="24"/>
      <w:u w:val="none"/>
    </w:rPr>
  </w:style>
  <w:style w:type="paragraph" w:customStyle="1" w:styleId="42">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3">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4">
    <w:name w:val="p0"/>
    <w:basedOn w:val="1"/>
    <w:qFormat/>
    <w:uiPriority w:val="0"/>
    <w:pPr>
      <w:widowControl/>
      <w:jc w:val="left"/>
    </w:pPr>
    <w:rPr>
      <w:kern w:val="0"/>
      <w:szCs w:val="21"/>
    </w:rPr>
  </w:style>
  <w:style w:type="character" w:customStyle="1" w:styleId="45">
    <w:name w:val="font91"/>
    <w:basedOn w:val="22"/>
    <w:qFormat/>
    <w:uiPriority w:val="0"/>
    <w:rPr>
      <w:rFonts w:hint="eastAsia" w:ascii="宋体" w:hAnsi="宋体" w:eastAsia="宋体" w:cs="宋体"/>
      <w:color w:val="000000"/>
      <w:sz w:val="20"/>
      <w:szCs w:val="20"/>
      <w:u w:val="none"/>
    </w:rPr>
  </w:style>
  <w:style w:type="character" w:customStyle="1" w:styleId="46">
    <w:name w:val="font61"/>
    <w:basedOn w:val="22"/>
    <w:qFormat/>
    <w:uiPriority w:val="0"/>
    <w:rPr>
      <w:rFonts w:hint="eastAsia" w:ascii="宋体" w:hAnsi="宋体" w:eastAsia="宋体" w:cs="宋体"/>
      <w:color w:val="000000"/>
      <w:sz w:val="20"/>
      <w:szCs w:val="20"/>
      <w:u w:val="none"/>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Char Char Char Char"/>
    <w:basedOn w:val="1"/>
    <w:qFormat/>
    <w:uiPriority w:val="0"/>
    <w:rPr>
      <w:szCs w:val="21"/>
    </w:rPr>
  </w:style>
  <w:style w:type="paragraph" w:customStyle="1" w:styleId="49">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1">
    <w:name w:val="List Paragraph"/>
    <w:basedOn w:val="1"/>
    <w:qFormat/>
    <w:uiPriority w:val="1"/>
    <w:pPr>
      <w:ind w:left="106" w:hanging="301"/>
    </w:pPr>
    <w:rPr>
      <w:rFonts w:ascii="宋体" w:hAnsi="宋体" w:eastAsia="宋体" w:cs="宋体"/>
      <w:lang w:val="zh-CN" w:eastAsia="zh-CN" w:bidi="zh-CN"/>
    </w:rPr>
  </w:style>
  <w:style w:type="paragraph" w:customStyle="1" w:styleId="52">
    <w:name w:val="正文文本_1_0"/>
    <w:basedOn w:val="53"/>
    <w:unhideWhenUsed/>
    <w:qFormat/>
    <w:uiPriority w:val="0"/>
    <w:rPr>
      <w:rFonts w:ascii="Calibri" w:hAnsi="Calibri" w:eastAsia="黑体" w:cs="Times New Roman"/>
      <w:sz w:val="36"/>
    </w:rPr>
  </w:style>
  <w:style w:type="paragraph" w:customStyle="1" w:styleId="53">
    <w:name w:val="正文_2_0"/>
    <w:next w:val="5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4">
    <w:name w:val="表格文字_1_0"/>
    <w:basedOn w:val="53"/>
    <w:qFormat/>
    <w:uiPriority w:val="0"/>
    <w:pPr>
      <w:adjustRightInd w:val="0"/>
      <w:spacing w:line="420" w:lineRule="atLeast"/>
      <w:jc w:val="left"/>
    </w:pPr>
    <w:rPr>
      <w:rFonts w:ascii="Calibri" w:hAnsi="Calibri" w:eastAsia="宋体" w:cs="Times New Roman"/>
      <w:kern w:val="0"/>
      <w:szCs w:val="20"/>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34440</Words>
  <Characters>36754</Characters>
  <Lines>0</Lines>
  <Paragraphs>0</Paragraphs>
  <TotalTime>0</TotalTime>
  <ScaleCrop>false</ScaleCrop>
  <LinksUpToDate>false</LinksUpToDate>
  <CharactersWithSpaces>39187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阿强</cp:lastModifiedBy>
  <dcterms:modified xsi:type="dcterms:W3CDTF">2023-07-03T04:32:49Z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ACCAFD82E67B42A19B1DB4986CDAE4C5_13</vt:lpwstr>
  </property>
</Properties>
</file>