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line="540" w:lineRule="exact"/>
        <w:jc w:val="left"/>
        <w:rPr>
          <w:rFonts w:ascii="宋体" w:hAnsi="宋体"/>
          <w:color w:val="auto"/>
          <w:sz w:val="44"/>
          <w:highlight w:val="none"/>
        </w:rPr>
      </w:pPr>
    </w:p>
    <w:p>
      <w:pPr>
        <w:snapToGrid w:val="0"/>
        <w:spacing w:line="360" w:lineRule="auto"/>
        <w:jc w:val="center"/>
        <w:rPr>
          <w:rStyle w:val="39"/>
          <w:color w:val="auto"/>
          <w:sz w:val="36"/>
          <w:szCs w:val="36"/>
          <w:highlight w:val="none"/>
        </w:rPr>
      </w:pPr>
      <w:r>
        <w:rPr>
          <w:rFonts w:hint="eastAsia" w:ascii="宋体" w:hAnsi="宋体"/>
          <w:b/>
          <w:color w:val="auto"/>
          <w:sz w:val="52"/>
          <w:szCs w:val="52"/>
          <w:highlight w:val="none"/>
        </w:rPr>
        <w:t xml:space="preserve">招 标 </w:t>
      </w:r>
      <w:r>
        <w:rPr>
          <w:rFonts w:ascii="宋体" w:hAnsi="宋体"/>
          <w:b/>
          <w:color w:val="auto"/>
          <w:sz w:val="52"/>
          <w:szCs w:val="52"/>
          <w:highlight w:val="none"/>
        </w:rPr>
        <w:t>文</w:t>
      </w:r>
      <w:r>
        <w:rPr>
          <w:rFonts w:hint="eastAsia" w:ascii="宋体" w:hAnsi="宋体"/>
          <w:b/>
          <w:color w:val="auto"/>
          <w:sz w:val="52"/>
          <w:szCs w:val="52"/>
          <w:highlight w:val="none"/>
        </w:rPr>
        <w:t xml:space="preserve"> </w:t>
      </w:r>
      <w:r>
        <w:rPr>
          <w:rFonts w:ascii="宋体" w:hAnsi="宋体"/>
          <w:b/>
          <w:color w:val="auto"/>
          <w:sz w:val="52"/>
          <w:szCs w:val="52"/>
          <w:highlight w:val="none"/>
        </w:rPr>
        <w:t>件</w:t>
      </w:r>
    </w:p>
    <w:p>
      <w:pPr>
        <w:snapToGrid w:val="0"/>
        <w:jc w:val="center"/>
        <w:rPr>
          <w:rStyle w:val="39"/>
          <w:rFonts w:cs="仿宋"/>
          <w:b w:val="0"/>
          <w:bCs/>
          <w:color w:val="auto"/>
          <w:highlight w:val="none"/>
        </w:rPr>
      </w:pPr>
    </w:p>
    <w:p>
      <w:pPr>
        <w:snapToGrid w:val="0"/>
        <w:jc w:val="center"/>
        <w:rPr>
          <w:rStyle w:val="39"/>
          <w:rFonts w:cs="仿宋"/>
          <w:b w:val="0"/>
          <w:bCs/>
          <w:color w:val="auto"/>
          <w:highlight w:val="none"/>
        </w:rPr>
      </w:pPr>
    </w:p>
    <w:p>
      <w:pPr>
        <w:snapToGrid w:val="0"/>
        <w:spacing w:line="480" w:lineRule="auto"/>
        <w:ind w:firstLine="357"/>
        <w:rPr>
          <w:rStyle w:val="37"/>
          <w:rFonts w:hint="eastAsia" w:ascii="宋体" w:hAnsi="宋体" w:eastAsia="宋体"/>
          <w:bCs/>
          <w:color w:val="auto"/>
          <w:sz w:val="24"/>
          <w:highlight w:val="none"/>
          <w:lang w:eastAsia="zh-CN"/>
        </w:rPr>
      </w:pPr>
      <w:r>
        <w:rPr>
          <w:rStyle w:val="37"/>
          <w:rFonts w:hint="eastAsia" w:ascii="宋体" w:hAnsi="宋体"/>
          <w:bCs/>
          <w:color w:val="auto"/>
          <w:sz w:val="24"/>
          <w:highlight w:val="none"/>
        </w:rPr>
        <w:t>项目名称：</w:t>
      </w:r>
      <w:r>
        <w:rPr>
          <w:rStyle w:val="37"/>
          <w:rFonts w:hint="eastAsia" w:ascii="宋体" w:hAnsi="宋体"/>
          <w:bCs/>
          <w:color w:val="auto"/>
          <w:sz w:val="24"/>
          <w:highlight w:val="none"/>
          <w:lang w:eastAsia="zh-CN"/>
        </w:rPr>
        <w:t>新疆工程学院智慧“大思政课”一体化平台采购项目</w:t>
      </w:r>
    </w:p>
    <w:p>
      <w:pPr>
        <w:snapToGrid w:val="0"/>
        <w:spacing w:line="480" w:lineRule="auto"/>
        <w:ind w:firstLine="357"/>
        <w:rPr>
          <w:rStyle w:val="37"/>
          <w:rFonts w:hint="eastAsia" w:ascii="宋体" w:hAnsi="宋体" w:eastAsia="宋体"/>
          <w:bCs/>
          <w:color w:val="auto"/>
          <w:sz w:val="24"/>
          <w:highlight w:val="none"/>
          <w:lang w:eastAsia="zh-CN"/>
        </w:rPr>
      </w:pPr>
      <w:r>
        <w:rPr>
          <w:rStyle w:val="37"/>
          <w:rFonts w:hint="eastAsia" w:ascii="宋体" w:hAnsi="宋体"/>
          <w:bCs/>
          <w:color w:val="auto"/>
          <w:sz w:val="24"/>
          <w:highlight w:val="none"/>
        </w:rPr>
        <w:t>项目编号：</w:t>
      </w:r>
      <w:r>
        <w:rPr>
          <w:rStyle w:val="37"/>
          <w:rFonts w:hint="eastAsia" w:ascii="宋体" w:hAnsi="宋体"/>
          <w:bCs/>
          <w:color w:val="auto"/>
          <w:sz w:val="24"/>
          <w:highlight w:val="none"/>
          <w:lang w:eastAsia="zh-CN"/>
        </w:rPr>
        <w:t xml:space="preserve">  </w:t>
      </w:r>
      <w:r>
        <w:rPr>
          <w:rStyle w:val="37"/>
          <w:rFonts w:hint="eastAsia" w:ascii="宋体" w:hAnsi="宋体"/>
          <w:bCs/>
          <w:color w:val="auto"/>
          <w:sz w:val="24"/>
          <w:highlight w:val="none"/>
          <w:lang w:eastAsia="zh-CN"/>
        </w:rPr>
        <w:fldChar w:fldCharType="begin"/>
      </w:r>
      <w:r>
        <w:rPr>
          <w:rStyle w:val="37"/>
          <w:rFonts w:hint="eastAsia" w:ascii="宋体" w:hAnsi="宋体"/>
          <w:bCs/>
          <w:color w:val="auto"/>
          <w:sz w:val="24"/>
          <w:highlight w:val="none"/>
          <w:lang w:eastAsia="zh-CN"/>
        </w:rPr>
        <w:instrText xml:space="preserve"> HYPERLINK "https://pay.zcygov.cn/purchaseplan_front/" \l "/plan/list/detail?id=1000000000010400589&amp;encrypt=9cc59d8fc89e1eefa677e70b161da028" \t "https://www.zcygov.cn/project-center/purchasePlans/_blank" </w:instrText>
      </w:r>
      <w:r>
        <w:rPr>
          <w:rStyle w:val="37"/>
          <w:rFonts w:hint="eastAsia" w:ascii="宋体" w:hAnsi="宋体"/>
          <w:bCs/>
          <w:color w:val="auto"/>
          <w:sz w:val="24"/>
          <w:highlight w:val="none"/>
          <w:lang w:eastAsia="zh-CN"/>
        </w:rPr>
        <w:fldChar w:fldCharType="separate"/>
      </w:r>
      <w:r>
        <w:rPr>
          <w:rStyle w:val="37"/>
          <w:rFonts w:hint="eastAsia" w:ascii="宋体" w:hAnsi="宋体"/>
          <w:bCs/>
          <w:color w:val="auto"/>
          <w:sz w:val="24"/>
          <w:highlight w:val="none"/>
          <w:lang w:eastAsia="zh-CN"/>
        </w:rPr>
        <w:t>[2023]9379号</w:t>
      </w:r>
      <w:r>
        <w:rPr>
          <w:rStyle w:val="37"/>
          <w:rFonts w:hint="eastAsia" w:ascii="宋体" w:hAnsi="宋体"/>
          <w:bCs/>
          <w:color w:val="auto"/>
          <w:sz w:val="24"/>
          <w:highlight w:val="none"/>
          <w:lang w:eastAsia="zh-CN"/>
        </w:rPr>
        <w:fldChar w:fldCharType="end"/>
      </w:r>
    </w:p>
    <w:p>
      <w:pPr>
        <w:snapToGrid w:val="0"/>
        <w:spacing w:line="480" w:lineRule="auto"/>
        <w:ind w:firstLine="357"/>
        <w:rPr>
          <w:rStyle w:val="37"/>
          <w:rFonts w:hint="eastAsia" w:ascii="宋体" w:hAnsi="宋体" w:eastAsia="宋体"/>
          <w:bCs/>
          <w:color w:val="auto"/>
          <w:sz w:val="24"/>
          <w:highlight w:val="none"/>
          <w:lang w:eastAsia="zh-CN"/>
        </w:rPr>
      </w:pPr>
      <w:r>
        <w:rPr>
          <w:rStyle w:val="37"/>
          <w:rFonts w:hint="eastAsia" w:ascii="宋体" w:hAnsi="宋体"/>
          <w:bCs/>
          <w:color w:val="auto"/>
          <w:sz w:val="24"/>
          <w:highlight w:val="none"/>
        </w:rPr>
        <w:t>采购人（盖章）:</w:t>
      </w:r>
      <w:r>
        <w:rPr>
          <w:rStyle w:val="37"/>
          <w:rFonts w:hint="eastAsia" w:ascii="宋体" w:hAnsi="宋体"/>
          <w:bCs/>
          <w:color w:val="auto"/>
          <w:sz w:val="24"/>
          <w:highlight w:val="none"/>
          <w:lang w:eastAsia="zh-CN"/>
        </w:rPr>
        <w:t>新疆工程学院</w:t>
      </w:r>
    </w:p>
    <w:p>
      <w:pPr>
        <w:snapToGrid w:val="0"/>
        <w:spacing w:line="480" w:lineRule="auto"/>
        <w:ind w:firstLine="357"/>
        <w:rPr>
          <w:rStyle w:val="37"/>
          <w:rFonts w:ascii="宋体" w:hAnsi="宋体"/>
          <w:bCs/>
          <w:color w:val="auto"/>
          <w:sz w:val="24"/>
          <w:highlight w:val="none"/>
        </w:rPr>
      </w:pPr>
      <w:r>
        <w:rPr>
          <w:rStyle w:val="37"/>
          <w:rFonts w:hint="eastAsia" w:ascii="宋体" w:hAnsi="宋体"/>
          <w:bCs/>
          <w:color w:val="auto"/>
          <w:sz w:val="24"/>
          <w:highlight w:val="none"/>
        </w:rPr>
        <w:t>法定代表人（签章）:/</w:t>
      </w:r>
    </w:p>
    <w:p>
      <w:pPr>
        <w:snapToGrid w:val="0"/>
        <w:spacing w:line="480" w:lineRule="auto"/>
        <w:ind w:firstLine="357"/>
        <w:rPr>
          <w:rStyle w:val="37"/>
          <w:rFonts w:hint="eastAsia" w:ascii="宋体" w:hAnsi="宋体" w:eastAsia="宋体" w:cs="Times New Roman"/>
          <w:bCs/>
          <w:color w:val="auto"/>
          <w:sz w:val="24"/>
          <w:highlight w:val="none"/>
        </w:rPr>
      </w:pPr>
      <w:r>
        <w:rPr>
          <w:rStyle w:val="37"/>
          <w:rFonts w:hint="eastAsia" w:ascii="宋体" w:hAnsi="宋体" w:eastAsia="宋体" w:cs="Times New Roman"/>
          <w:bCs/>
          <w:color w:val="auto"/>
          <w:sz w:val="24"/>
          <w:highlight w:val="none"/>
        </w:rPr>
        <w:t>联系人：</w:t>
      </w:r>
      <w:r>
        <w:rPr>
          <w:rStyle w:val="37"/>
          <w:rFonts w:hint="eastAsia" w:ascii="宋体" w:hAnsi="宋体" w:cs="Times New Roman"/>
          <w:bCs/>
          <w:color w:val="auto"/>
          <w:sz w:val="24"/>
          <w:highlight w:val="none"/>
          <w:lang w:eastAsia="zh-CN"/>
        </w:rPr>
        <w:t>靳老师</w:t>
      </w:r>
      <w:r>
        <w:rPr>
          <w:rStyle w:val="37"/>
          <w:rFonts w:hint="eastAsia" w:ascii="宋体" w:hAnsi="宋体" w:eastAsia="宋体" w:cs="Times New Roman"/>
          <w:bCs/>
          <w:color w:val="auto"/>
          <w:sz w:val="24"/>
          <w:highlight w:val="none"/>
        </w:rPr>
        <w:t xml:space="preserve">  </w:t>
      </w:r>
    </w:p>
    <w:p>
      <w:pPr>
        <w:snapToGrid w:val="0"/>
        <w:spacing w:line="480" w:lineRule="auto"/>
        <w:ind w:firstLine="357"/>
        <w:rPr>
          <w:rStyle w:val="37"/>
          <w:rFonts w:hint="eastAsia" w:ascii="宋体" w:hAnsi="宋体" w:eastAsia="宋体" w:cs="Times New Roman"/>
          <w:bCs/>
          <w:color w:val="auto"/>
          <w:sz w:val="24"/>
          <w:highlight w:val="none"/>
          <w:lang w:val="en-US" w:eastAsia="zh-CN"/>
        </w:rPr>
      </w:pPr>
      <w:r>
        <w:rPr>
          <w:rStyle w:val="37"/>
          <w:rFonts w:hint="eastAsia" w:ascii="宋体" w:hAnsi="宋体" w:eastAsia="宋体" w:cs="Times New Roman"/>
          <w:bCs/>
          <w:color w:val="auto"/>
          <w:sz w:val="24"/>
          <w:highlight w:val="none"/>
        </w:rPr>
        <w:t>联系电话：</w:t>
      </w:r>
      <w:r>
        <w:rPr>
          <w:rStyle w:val="37"/>
          <w:rFonts w:hint="eastAsia" w:ascii="宋体" w:hAnsi="宋体" w:cs="Times New Roman"/>
          <w:bCs/>
          <w:color w:val="auto"/>
          <w:sz w:val="24"/>
          <w:highlight w:val="none"/>
          <w:lang w:val="en-US" w:eastAsia="zh-CN"/>
        </w:rPr>
        <w:t>13659995927</w:t>
      </w:r>
    </w:p>
    <w:p>
      <w:pPr>
        <w:snapToGrid w:val="0"/>
        <w:spacing w:line="480" w:lineRule="auto"/>
        <w:ind w:firstLine="357"/>
        <w:rPr>
          <w:rStyle w:val="37"/>
          <w:rFonts w:hint="eastAsia" w:ascii="宋体" w:hAnsi="宋体" w:eastAsia="宋体"/>
          <w:bCs/>
          <w:color w:val="auto"/>
          <w:sz w:val="24"/>
          <w:highlight w:val="none"/>
          <w:lang w:eastAsia="zh-CN"/>
        </w:rPr>
      </w:pPr>
      <w:r>
        <w:rPr>
          <w:rStyle w:val="37"/>
          <w:rFonts w:hint="eastAsia" w:ascii="宋体" w:hAnsi="宋体"/>
          <w:bCs/>
          <w:color w:val="auto"/>
          <w:sz w:val="24"/>
          <w:highlight w:val="none"/>
        </w:rPr>
        <w:t>详细地址：</w:t>
      </w:r>
      <w:r>
        <w:rPr>
          <w:rStyle w:val="37"/>
          <w:rFonts w:hint="eastAsia" w:ascii="宋体" w:hAnsi="宋体"/>
          <w:bCs/>
          <w:color w:val="auto"/>
          <w:sz w:val="24"/>
          <w:highlight w:val="none"/>
          <w:lang w:eastAsia="zh-CN"/>
        </w:rPr>
        <w:t>乌鲁木齐经济技术开发区（头屯河区）科创路1350号</w:t>
      </w:r>
    </w:p>
    <w:p>
      <w:pPr>
        <w:snapToGrid w:val="0"/>
        <w:spacing w:line="480" w:lineRule="auto"/>
        <w:ind w:firstLine="357"/>
        <w:rPr>
          <w:rStyle w:val="37"/>
          <w:rFonts w:ascii="宋体" w:hAnsi="宋体"/>
          <w:bCs/>
          <w:color w:val="auto"/>
          <w:sz w:val="24"/>
          <w:highlight w:val="none"/>
        </w:rPr>
      </w:pPr>
    </w:p>
    <w:p>
      <w:pPr>
        <w:snapToGrid w:val="0"/>
        <w:spacing w:line="480" w:lineRule="auto"/>
        <w:ind w:firstLine="357"/>
        <w:rPr>
          <w:rStyle w:val="37"/>
          <w:rFonts w:ascii="宋体" w:hAnsi="宋体"/>
          <w:bCs/>
          <w:color w:val="auto"/>
          <w:sz w:val="24"/>
          <w:highlight w:val="none"/>
        </w:rPr>
      </w:pPr>
    </w:p>
    <w:p>
      <w:pPr>
        <w:snapToGrid w:val="0"/>
        <w:spacing w:line="480" w:lineRule="auto"/>
        <w:ind w:firstLine="357"/>
        <w:rPr>
          <w:rStyle w:val="37"/>
          <w:rFonts w:ascii="宋体" w:hAnsi="宋体"/>
          <w:bCs/>
          <w:color w:val="auto"/>
          <w:sz w:val="24"/>
          <w:highlight w:val="none"/>
        </w:rPr>
      </w:pPr>
      <w:r>
        <w:rPr>
          <w:rStyle w:val="37"/>
          <w:rFonts w:hint="eastAsia" w:ascii="宋体" w:hAnsi="宋体"/>
          <w:bCs/>
          <w:color w:val="auto"/>
          <w:sz w:val="24"/>
          <w:highlight w:val="none"/>
        </w:rPr>
        <w:t>采购代理机构</w:t>
      </w:r>
      <w:r>
        <w:rPr>
          <w:rStyle w:val="37"/>
          <w:rFonts w:ascii="宋体" w:hAnsi="宋体"/>
          <w:bCs/>
          <w:color w:val="auto"/>
          <w:sz w:val="24"/>
          <w:highlight w:val="none"/>
        </w:rPr>
        <w:t>（盖章）:新疆拓源工程管理咨询有限公司</w:t>
      </w:r>
    </w:p>
    <w:p>
      <w:pPr>
        <w:snapToGrid w:val="0"/>
        <w:spacing w:line="480" w:lineRule="auto"/>
        <w:ind w:firstLine="357"/>
        <w:rPr>
          <w:rFonts w:ascii="宋体" w:hAnsi="宋体"/>
          <w:bCs/>
          <w:color w:val="auto"/>
          <w:sz w:val="24"/>
          <w:highlight w:val="none"/>
        </w:rPr>
      </w:pPr>
      <w:r>
        <w:rPr>
          <w:rStyle w:val="37"/>
          <w:rFonts w:ascii="宋体" w:hAnsi="宋体"/>
          <w:bCs/>
          <w:color w:val="auto"/>
          <w:spacing w:val="35"/>
          <w:kern w:val="0"/>
          <w:sz w:val="24"/>
          <w:highlight w:val="none"/>
        </w:rPr>
        <w:t>法定代表</w:t>
      </w:r>
      <w:r>
        <w:rPr>
          <w:rStyle w:val="37"/>
          <w:rFonts w:ascii="宋体" w:hAnsi="宋体"/>
          <w:bCs/>
          <w:color w:val="auto"/>
          <w:spacing w:val="3"/>
          <w:kern w:val="0"/>
          <w:sz w:val="24"/>
          <w:highlight w:val="none"/>
        </w:rPr>
        <w:t>人</w:t>
      </w:r>
      <w:r>
        <w:rPr>
          <w:rStyle w:val="37"/>
          <w:rFonts w:ascii="宋体" w:hAnsi="宋体"/>
          <w:bCs/>
          <w:color w:val="auto"/>
          <w:sz w:val="24"/>
          <w:highlight w:val="none"/>
        </w:rPr>
        <w:t>（盖章）:石崇华</w:t>
      </w:r>
    </w:p>
    <w:p>
      <w:pPr>
        <w:snapToGrid w:val="0"/>
        <w:spacing w:line="480" w:lineRule="auto"/>
        <w:ind w:firstLine="357"/>
        <w:rPr>
          <w:rStyle w:val="37"/>
          <w:rFonts w:ascii="宋体" w:hAnsi="宋体"/>
          <w:bCs/>
          <w:color w:val="auto"/>
          <w:sz w:val="24"/>
          <w:highlight w:val="none"/>
        </w:rPr>
      </w:pPr>
      <w:r>
        <w:rPr>
          <w:rStyle w:val="37"/>
          <w:rFonts w:ascii="宋体" w:hAnsi="宋体"/>
          <w:bCs/>
          <w:color w:val="auto"/>
          <w:spacing w:val="35"/>
          <w:kern w:val="0"/>
          <w:sz w:val="24"/>
          <w:highlight w:val="none"/>
        </w:rPr>
        <w:t>项</w:t>
      </w:r>
      <w:r>
        <w:rPr>
          <w:rStyle w:val="37"/>
          <w:rFonts w:hint="eastAsia" w:ascii="宋体" w:hAnsi="宋体"/>
          <w:bCs/>
          <w:color w:val="auto"/>
          <w:spacing w:val="35"/>
          <w:kern w:val="0"/>
          <w:sz w:val="24"/>
          <w:highlight w:val="none"/>
        </w:rPr>
        <w:t xml:space="preserve"> </w:t>
      </w:r>
      <w:r>
        <w:rPr>
          <w:rStyle w:val="37"/>
          <w:rFonts w:ascii="宋体" w:hAnsi="宋体"/>
          <w:bCs/>
          <w:color w:val="auto"/>
          <w:spacing w:val="35"/>
          <w:kern w:val="0"/>
          <w:sz w:val="24"/>
          <w:highlight w:val="none"/>
        </w:rPr>
        <w:t>目</w:t>
      </w:r>
      <w:r>
        <w:rPr>
          <w:rStyle w:val="37"/>
          <w:rFonts w:hint="eastAsia" w:ascii="宋体" w:hAnsi="宋体"/>
          <w:bCs/>
          <w:color w:val="auto"/>
          <w:spacing w:val="35"/>
          <w:kern w:val="0"/>
          <w:sz w:val="24"/>
          <w:highlight w:val="none"/>
        </w:rPr>
        <w:t xml:space="preserve"> 联系人</w:t>
      </w:r>
      <w:r>
        <w:rPr>
          <w:rStyle w:val="37"/>
          <w:rFonts w:ascii="宋体" w:hAnsi="宋体"/>
          <w:bCs/>
          <w:color w:val="auto"/>
          <w:sz w:val="24"/>
          <w:highlight w:val="none"/>
        </w:rPr>
        <w:t>：</w:t>
      </w:r>
      <w:r>
        <w:rPr>
          <w:rStyle w:val="37"/>
          <w:rFonts w:hint="eastAsia" w:ascii="宋体" w:hAnsi="宋体"/>
          <w:bCs/>
          <w:color w:val="auto"/>
          <w:sz w:val="24"/>
          <w:highlight w:val="none"/>
          <w:lang w:val="en-US" w:eastAsia="zh-CN"/>
        </w:rPr>
        <w:t>余宗键</w:t>
      </w:r>
    </w:p>
    <w:p>
      <w:pPr>
        <w:snapToGrid w:val="0"/>
        <w:spacing w:line="480" w:lineRule="auto"/>
        <w:ind w:firstLine="357"/>
        <w:rPr>
          <w:rStyle w:val="37"/>
          <w:rFonts w:hint="eastAsia" w:ascii="宋体" w:hAnsi="宋体"/>
          <w:bCs/>
          <w:color w:val="auto"/>
          <w:sz w:val="24"/>
          <w:highlight w:val="none"/>
          <w:lang w:val="en-US" w:eastAsia="zh-CN"/>
        </w:rPr>
      </w:pPr>
      <w:r>
        <w:rPr>
          <w:rStyle w:val="37"/>
          <w:rFonts w:ascii="宋体" w:hAnsi="宋体"/>
          <w:bCs/>
          <w:color w:val="auto"/>
          <w:spacing w:val="560"/>
          <w:kern w:val="0"/>
          <w:sz w:val="24"/>
          <w:highlight w:val="none"/>
        </w:rPr>
        <w:t>电</w:t>
      </w:r>
      <w:r>
        <w:rPr>
          <w:rStyle w:val="37"/>
          <w:rFonts w:ascii="宋体" w:hAnsi="宋体"/>
          <w:bCs/>
          <w:color w:val="auto"/>
          <w:kern w:val="0"/>
          <w:sz w:val="24"/>
          <w:highlight w:val="none"/>
        </w:rPr>
        <w:t>话</w:t>
      </w:r>
      <w:r>
        <w:rPr>
          <w:rStyle w:val="37"/>
          <w:rFonts w:ascii="宋体" w:hAnsi="宋体"/>
          <w:bCs/>
          <w:color w:val="auto"/>
          <w:sz w:val="24"/>
          <w:highlight w:val="none"/>
        </w:rPr>
        <w:t>：</w:t>
      </w:r>
      <w:r>
        <w:rPr>
          <w:rStyle w:val="37"/>
          <w:rFonts w:hint="eastAsia" w:ascii="宋体" w:hAnsi="宋体"/>
          <w:bCs/>
          <w:color w:val="auto"/>
          <w:sz w:val="24"/>
          <w:highlight w:val="none"/>
          <w:lang w:val="en-US" w:eastAsia="zh-CN"/>
        </w:rPr>
        <w:t>18699026580</w:t>
      </w:r>
    </w:p>
    <w:p>
      <w:pPr>
        <w:snapToGrid w:val="0"/>
        <w:spacing w:line="480" w:lineRule="auto"/>
        <w:ind w:firstLine="357"/>
        <w:rPr>
          <w:rStyle w:val="37"/>
          <w:rFonts w:ascii="宋体" w:hAnsi="宋体"/>
          <w:bCs/>
          <w:color w:val="auto"/>
          <w:sz w:val="24"/>
          <w:highlight w:val="none"/>
        </w:rPr>
      </w:pPr>
      <w:r>
        <w:rPr>
          <w:rStyle w:val="37"/>
          <w:rFonts w:ascii="宋体" w:hAnsi="宋体"/>
          <w:bCs/>
          <w:color w:val="auto"/>
          <w:spacing w:val="93"/>
          <w:kern w:val="0"/>
          <w:sz w:val="24"/>
          <w:highlight w:val="none"/>
        </w:rPr>
        <w:t>详细地</w:t>
      </w:r>
      <w:r>
        <w:rPr>
          <w:rStyle w:val="37"/>
          <w:rFonts w:ascii="宋体" w:hAnsi="宋体"/>
          <w:bCs/>
          <w:color w:val="auto"/>
          <w:spacing w:val="1"/>
          <w:kern w:val="0"/>
          <w:sz w:val="24"/>
          <w:highlight w:val="none"/>
        </w:rPr>
        <w:t>址</w:t>
      </w:r>
      <w:r>
        <w:rPr>
          <w:rStyle w:val="37"/>
          <w:rFonts w:hint="eastAsia" w:ascii="宋体" w:hAnsi="宋体"/>
          <w:bCs/>
          <w:color w:val="auto"/>
          <w:spacing w:val="1"/>
          <w:kern w:val="0"/>
          <w:sz w:val="24"/>
          <w:highlight w:val="none"/>
        </w:rPr>
        <w:t>：</w:t>
      </w:r>
      <w:r>
        <w:rPr>
          <w:rStyle w:val="37"/>
          <w:rFonts w:hint="eastAsia" w:ascii="宋体" w:hAnsi="宋体"/>
          <w:bCs/>
          <w:color w:val="auto"/>
          <w:sz w:val="24"/>
          <w:highlight w:val="none"/>
        </w:rPr>
        <w:t>乌鲁木齐市水磨沟区龙盛街898号万科中央公园S6栋5层</w:t>
      </w:r>
    </w:p>
    <w:p>
      <w:pPr>
        <w:pStyle w:val="13"/>
        <w:rPr>
          <w:rStyle w:val="37"/>
          <w:rFonts w:ascii="宋体" w:hAnsi="宋体"/>
          <w:bCs/>
          <w:color w:val="auto"/>
          <w:sz w:val="24"/>
          <w:highlight w:val="none"/>
        </w:rPr>
      </w:pPr>
    </w:p>
    <w:p>
      <w:pPr>
        <w:snapToGrid w:val="0"/>
        <w:spacing w:after="120" w:line="540" w:lineRule="exact"/>
        <w:ind w:firstLine="437"/>
        <w:jc w:val="center"/>
        <w:rPr>
          <w:rFonts w:ascii="宋体" w:hAnsi="宋体"/>
          <w:color w:val="auto"/>
          <w:sz w:val="44"/>
          <w:highlight w:val="none"/>
        </w:rPr>
      </w:pPr>
    </w:p>
    <w:p>
      <w:pPr>
        <w:snapToGrid w:val="0"/>
        <w:spacing w:after="120" w:line="540" w:lineRule="exact"/>
        <w:ind w:firstLine="437"/>
        <w:jc w:val="center"/>
        <w:rPr>
          <w:rFonts w:ascii="宋体" w:hAnsi="宋体"/>
          <w:color w:val="auto"/>
          <w:sz w:val="44"/>
          <w:highlight w:val="none"/>
        </w:rPr>
      </w:pPr>
    </w:p>
    <w:p>
      <w:pPr>
        <w:snapToGrid w:val="0"/>
        <w:spacing w:after="120" w:line="540" w:lineRule="exact"/>
        <w:rPr>
          <w:rFonts w:ascii="宋体" w:hAnsi="宋体"/>
          <w:color w:val="auto"/>
          <w:sz w:val="44"/>
          <w:highlight w:val="none"/>
        </w:rPr>
      </w:pPr>
    </w:p>
    <w:p>
      <w:pPr>
        <w:snapToGrid w:val="0"/>
        <w:spacing w:after="120" w:line="540" w:lineRule="exact"/>
        <w:ind w:firstLine="437"/>
        <w:jc w:val="center"/>
        <w:rPr>
          <w:rFonts w:ascii="宋体" w:hAnsi="宋体"/>
          <w:color w:val="auto"/>
          <w:sz w:val="44"/>
          <w:highlight w:val="none"/>
        </w:rPr>
      </w:pPr>
    </w:p>
    <w:p>
      <w:pPr>
        <w:pStyle w:val="13"/>
        <w:rPr>
          <w:color w:val="auto"/>
          <w:highlight w:val="none"/>
        </w:rPr>
      </w:pPr>
    </w:p>
    <w:p>
      <w:pPr>
        <w:pStyle w:val="28"/>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snapToGrid w:val="0"/>
        <w:spacing w:after="120" w:line="480" w:lineRule="auto"/>
        <w:jc w:val="left"/>
        <w:rPr>
          <w:rFonts w:hint="eastAsia" w:eastAsia="宋体"/>
          <w:color w:val="auto"/>
          <w:highlight w:val="none"/>
          <w:lang w:eastAsia="zh-CN"/>
        </w:rPr>
      </w:pPr>
      <w:r>
        <w:rPr>
          <w:rFonts w:ascii="宋体" w:hAnsi="宋体"/>
          <w:color w:val="auto"/>
          <w:sz w:val="28"/>
          <w:highlight w:val="none"/>
        </w:rPr>
        <w:t xml:space="preserve">                文件编制:</w:t>
      </w:r>
      <w:r>
        <w:rPr>
          <w:rFonts w:hint="eastAsia" w:ascii="宋体" w:hAnsi="宋体"/>
          <w:color w:val="auto"/>
          <w:sz w:val="28"/>
          <w:highlight w:val="none"/>
          <w:lang w:val="en-US" w:eastAsia="zh-CN"/>
        </w:rPr>
        <w:t>余宗键</w:t>
      </w:r>
    </w:p>
    <w:p>
      <w:pPr>
        <w:snapToGrid w:val="0"/>
        <w:spacing w:after="120" w:line="480" w:lineRule="auto"/>
        <w:jc w:val="left"/>
        <w:rPr>
          <w:color w:val="auto"/>
          <w:highlight w:val="none"/>
        </w:rPr>
      </w:pPr>
      <w:r>
        <w:rPr>
          <w:rFonts w:ascii="宋体" w:hAnsi="宋体"/>
          <w:color w:val="auto"/>
          <w:sz w:val="28"/>
          <w:highlight w:val="none"/>
        </w:rPr>
        <w:t xml:space="preserve">                文件复核:</w:t>
      </w:r>
      <w:r>
        <w:rPr>
          <w:rFonts w:hint="eastAsia" w:ascii="宋体" w:hAnsi="宋体"/>
          <w:color w:val="auto"/>
          <w:sz w:val="28"/>
          <w:highlight w:val="none"/>
          <w:lang w:val="en-US" w:eastAsia="zh-CN"/>
        </w:rPr>
        <w:t>张曼</w:t>
      </w:r>
      <w:r>
        <w:rPr>
          <w:rFonts w:hint="eastAsia" w:ascii="宋体" w:hAnsi="宋体"/>
          <w:color w:val="auto"/>
          <w:sz w:val="28"/>
          <w:highlight w:val="none"/>
        </w:rPr>
        <w:t xml:space="preserve"> </w:t>
      </w:r>
    </w:p>
    <w:p>
      <w:pPr>
        <w:snapToGrid w:val="0"/>
        <w:spacing w:after="120" w:line="480" w:lineRule="auto"/>
        <w:jc w:val="left"/>
        <w:rPr>
          <w:rFonts w:ascii="宋体" w:hAnsi="宋体"/>
          <w:color w:val="auto"/>
          <w:sz w:val="44"/>
          <w:highlight w:val="none"/>
        </w:rPr>
      </w:pPr>
      <w:r>
        <w:rPr>
          <w:rFonts w:ascii="宋体" w:hAnsi="宋体"/>
          <w:color w:val="auto"/>
          <w:sz w:val="28"/>
          <w:highlight w:val="none"/>
        </w:rPr>
        <w:t xml:space="preserve">                文件终审:</w:t>
      </w:r>
      <w:r>
        <w:rPr>
          <w:rFonts w:hint="eastAsia" w:ascii="宋体" w:hAnsi="宋体"/>
          <w:color w:val="auto"/>
          <w:sz w:val="28"/>
          <w:highlight w:val="none"/>
          <w:lang w:val="en-US" w:eastAsia="zh-CN"/>
        </w:rPr>
        <w:t>金山虎</w:t>
      </w:r>
      <w:r>
        <w:rPr>
          <w:rFonts w:ascii="宋体" w:hAnsi="宋体"/>
          <w:color w:val="auto"/>
          <w:sz w:val="28"/>
          <w:highlight w:val="none"/>
        </w:rPr>
        <w:t xml:space="preserve">   </w:t>
      </w:r>
    </w:p>
    <w:p>
      <w:pPr>
        <w:snapToGrid w:val="0"/>
        <w:spacing w:after="120" w:line="480" w:lineRule="auto"/>
        <w:jc w:val="left"/>
        <w:rPr>
          <w:rFonts w:ascii="宋体" w:hAnsi="宋体"/>
          <w:color w:val="auto"/>
          <w:sz w:val="44"/>
          <w:highlight w:val="none"/>
        </w:rPr>
      </w:pPr>
      <w:r>
        <w:rPr>
          <w:rFonts w:ascii="宋体" w:hAnsi="宋体"/>
          <w:color w:val="auto"/>
          <w:sz w:val="28"/>
          <w:highlight w:val="none"/>
        </w:rPr>
        <w:t xml:space="preserve">                法律顾问:杜红</w:t>
      </w:r>
    </w:p>
    <w:p>
      <w:pPr>
        <w:snapToGrid w:val="0"/>
        <w:spacing w:after="120" w:line="540" w:lineRule="exact"/>
        <w:jc w:val="left"/>
        <w:rPr>
          <w:rFonts w:ascii="宋体" w:hAnsi="宋体"/>
          <w:color w:val="auto"/>
          <w:sz w:val="44"/>
          <w:highlight w:val="none"/>
        </w:rPr>
      </w:pPr>
    </w:p>
    <w:p>
      <w:pPr>
        <w:snapToGrid w:val="0"/>
        <w:spacing w:after="120" w:line="540" w:lineRule="exact"/>
        <w:jc w:val="left"/>
        <w:rPr>
          <w:rFonts w:ascii="宋体" w:hAnsi="宋体"/>
          <w:color w:val="auto"/>
          <w:sz w:val="44"/>
          <w:highlight w:val="none"/>
        </w:rPr>
      </w:pPr>
    </w:p>
    <w:p>
      <w:pPr>
        <w:snapToGrid w:val="0"/>
        <w:spacing w:after="120" w:line="540" w:lineRule="exact"/>
        <w:jc w:val="left"/>
        <w:rPr>
          <w:rFonts w:ascii="宋体" w:hAnsi="宋体"/>
          <w:color w:val="auto"/>
          <w:sz w:val="44"/>
          <w:highlight w:val="none"/>
        </w:rPr>
      </w:pPr>
    </w:p>
    <w:p>
      <w:pPr>
        <w:snapToGrid w:val="0"/>
        <w:spacing w:after="120" w:line="540" w:lineRule="exact"/>
        <w:jc w:val="left"/>
        <w:rPr>
          <w:rFonts w:ascii="宋体" w:hAnsi="宋体"/>
          <w:color w:val="auto"/>
          <w:sz w:val="44"/>
          <w:highlight w:val="none"/>
        </w:rPr>
      </w:pPr>
    </w:p>
    <w:p>
      <w:pPr>
        <w:snapToGrid w:val="0"/>
        <w:spacing w:after="120" w:line="540" w:lineRule="exact"/>
        <w:jc w:val="left"/>
        <w:rPr>
          <w:rFonts w:ascii="宋体" w:hAnsi="宋体"/>
          <w:color w:val="auto"/>
          <w:sz w:val="44"/>
          <w:highlight w:val="none"/>
        </w:rPr>
      </w:pPr>
    </w:p>
    <w:p>
      <w:pPr>
        <w:snapToGrid w:val="0"/>
        <w:spacing w:after="120" w:line="540" w:lineRule="exact"/>
        <w:jc w:val="left"/>
        <w:rPr>
          <w:rFonts w:ascii="宋体" w:hAnsi="宋体"/>
          <w:color w:val="auto"/>
          <w:sz w:val="44"/>
          <w:highlight w:val="none"/>
        </w:rPr>
      </w:pPr>
    </w:p>
    <w:p>
      <w:pPr>
        <w:rPr>
          <w:color w:val="auto"/>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line="500" w:lineRule="exact"/>
        <w:jc w:val="center"/>
        <w:rPr>
          <w:rFonts w:hint="eastAsia" w:ascii="宋体" w:hAnsi="宋体" w:eastAsia="宋体" w:cs="宋体"/>
          <w:b/>
          <w:color w:val="auto"/>
          <w:sz w:val="24"/>
          <w:szCs w:val="24"/>
          <w:highlight w:val="none"/>
        </w:rPr>
      </w:pPr>
      <w:bookmarkStart w:id="0" w:name="_Toc31371"/>
      <w:r>
        <w:rPr>
          <w:rFonts w:hint="eastAsia" w:ascii="宋体" w:hAnsi="宋体" w:eastAsia="宋体" w:cs="宋体"/>
          <w:b/>
          <w:color w:val="auto"/>
          <w:sz w:val="24"/>
          <w:szCs w:val="24"/>
          <w:highlight w:val="none"/>
        </w:rPr>
        <w:t>目    录</w:t>
      </w:r>
      <w:bookmarkEnd w:id="0"/>
    </w:p>
    <w:p>
      <w:pPr>
        <w:pStyle w:val="22"/>
        <w:tabs>
          <w:tab w:val="right" w:leader="dot" w:pos="8959"/>
        </w:tabs>
        <w:rPr>
          <w:rFonts w:hint="eastAsia" w:ascii="宋体" w:hAnsi="宋体" w:eastAsia="宋体" w:cs="宋体"/>
          <w:color w:val="auto"/>
          <w:sz w:val="24"/>
          <w:szCs w:val="24"/>
          <w:highlight w:val="none"/>
        </w:rPr>
      </w:pP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"_Toc28983"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_Toc28983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第四章  招标项目技术要求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第五章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spacing w:after="0" w:line="500" w:lineRule="exact"/>
        <w:rPr>
          <w:rFonts w:ascii="宋体" w:hAnsi="宋体" w:cs="宋体"/>
          <w:color w:val="auto"/>
          <w:sz w:val="24"/>
          <w:highlight w:val="none"/>
        </w:rPr>
      </w:pPr>
      <w:r>
        <w:rPr>
          <w:rFonts w:hint="eastAsia" w:ascii="宋体" w:hAnsi="宋体" w:eastAsia="宋体" w:cs="宋体"/>
          <w:color w:val="auto"/>
          <w:sz w:val="24"/>
          <w:szCs w:val="24"/>
          <w:highlight w:val="none"/>
        </w:rPr>
        <w:fldChar w:fldCharType="end"/>
      </w:r>
    </w:p>
    <w:p>
      <w:pPr>
        <w:ind w:firstLine="480" w:firstLineChars="200"/>
        <w:rPr>
          <w:rFonts w:ascii="宋体" w:hAnsi="宋体" w:cs="宋体"/>
          <w:bCs/>
          <w:color w:val="auto"/>
          <w:sz w:val="24"/>
          <w:highlight w:val="none"/>
        </w:rPr>
      </w:pPr>
    </w:p>
    <w:p>
      <w:pPr>
        <w:pStyle w:val="4"/>
        <w:spacing w:line="360" w:lineRule="exact"/>
        <w:rPr>
          <w:rFonts w:ascii="宋体" w:hAnsi="宋体" w:cs="宋体"/>
          <w:bCs w:val="0"/>
          <w:color w:val="auto"/>
          <w:sz w:val="24"/>
          <w:szCs w:val="24"/>
          <w:highlight w:val="none"/>
        </w:rPr>
        <w:sectPr>
          <w:headerReference r:id="rId5" w:type="default"/>
          <w:footerReference r:id="rId6" w:type="default"/>
          <w:pgSz w:w="11907" w:h="16840"/>
          <w:pgMar w:top="1440" w:right="1080" w:bottom="1440" w:left="1080" w:header="851" w:footer="992" w:gutter="0"/>
          <w:pgNumType w:start="1"/>
          <w:cols w:space="720" w:num="1"/>
          <w:docGrid w:linePitch="312" w:charSpace="0"/>
        </w:sectPr>
      </w:pPr>
    </w:p>
    <w:p>
      <w:pPr>
        <w:pStyle w:val="4"/>
        <w:pageBreakBefore w:val="0"/>
        <w:widowControl w:val="0"/>
        <w:kinsoku/>
        <w:wordWrap/>
        <w:overflowPunct/>
        <w:topLinePunct w:val="0"/>
        <w:autoSpaceDE/>
        <w:autoSpaceDN/>
        <w:bidi w:val="0"/>
        <w:adjustRightInd/>
        <w:snapToGrid/>
        <w:spacing w:before="312" w:beforeLines="100" w:after="312" w:afterLines="100" w:line="400" w:lineRule="exact"/>
        <w:textAlignment w:val="auto"/>
        <w:rPr>
          <w:rFonts w:hint="eastAsia" w:ascii="宋体" w:hAnsi="宋体" w:eastAsia="宋体" w:cs="宋体"/>
          <w:bCs w:val="0"/>
          <w:color w:val="auto"/>
          <w:sz w:val="24"/>
          <w:szCs w:val="24"/>
          <w:highlight w:val="none"/>
        </w:rPr>
      </w:pPr>
      <w:bookmarkStart w:id="1" w:name="_Toc647_WPSOffice_Level1"/>
      <w:bookmarkStart w:id="2" w:name="_Toc3427"/>
      <w:r>
        <w:rPr>
          <w:rFonts w:hint="eastAsia" w:ascii="宋体" w:hAnsi="宋体" w:eastAsia="宋体" w:cs="宋体"/>
          <w:bCs w:val="0"/>
          <w:color w:val="auto"/>
          <w:sz w:val="24"/>
          <w:szCs w:val="24"/>
          <w:highlight w:val="none"/>
        </w:rPr>
        <w:t xml:space="preserve">第一章  </w:t>
      </w:r>
      <w:bookmarkEnd w:id="1"/>
      <w:r>
        <w:rPr>
          <w:rFonts w:hint="eastAsia" w:ascii="宋体" w:hAnsi="宋体" w:eastAsia="宋体" w:cs="宋体"/>
          <w:bCs w:val="0"/>
          <w:color w:val="auto"/>
          <w:sz w:val="24"/>
          <w:szCs w:val="24"/>
          <w:highlight w:val="none"/>
        </w:rPr>
        <w:t>招标公告</w:t>
      </w:r>
      <w:bookmarkEnd w:id="2"/>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bookmarkStart w:id="3" w:name="_Toc213496267"/>
      <w:bookmarkStart w:id="4" w:name="_Toc217446031"/>
      <w:bookmarkStart w:id="5" w:name="_Toc213396945"/>
      <w:bookmarkStart w:id="6" w:name="_Toc213397009"/>
      <w:bookmarkStart w:id="7" w:name="_Toc213396759"/>
      <w:bookmarkStart w:id="8" w:name="_Toc856_WPSOffice_Level1"/>
      <w:r>
        <w:rPr>
          <w:rFonts w:hint="eastAsia" w:ascii="宋体" w:hAnsi="宋体" w:eastAsia="宋体" w:cs="宋体"/>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新疆工程学院智慧“大思政课”一体化平台采购项目</w:t>
      </w:r>
      <w:r>
        <w:rPr>
          <w:rFonts w:hint="eastAsia" w:ascii="宋体" w:hAnsi="宋体" w:eastAsia="宋体" w:cs="宋体"/>
          <w:color w:val="auto"/>
          <w:sz w:val="24"/>
          <w:szCs w:val="24"/>
          <w:highlight w:val="none"/>
        </w:rPr>
        <w:t xml:space="preserve"> 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2023</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 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点 00 分（</w:t>
      </w:r>
      <w:r>
        <w:rPr>
          <w:rFonts w:hint="eastAsia" w:ascii="宋体" w:hAnsi="宋体" w:eastAsia="宋体" w:cs="宋体"/>
          <w:bCs/>
          <w:color w:val="auto"/>
          <w:sz w:val="24"/>
          <w:szCs w:val="24"/>
          <w:highlight w:val="none"/>
        </w:rPr>
        <w:t>北京时间）前</w:t>
      </w:r>
      <w:r>
        <w:rPr>
          <w:rFonts w:hint="eastAsia" w:ascii="宋体" w:hAnsi="宋体" w:cs="宋体"/>
          <w:bCs/>
          <w:color w:val="auto"/>
          <w:sz w:val="24"/>
          <w:szCs w:val="24"/>
          <w:highlight w:val="none"/>
          <w:lang w:eastAsia="zh-CN"/>
        </w:rPr>
        <w:t>上传</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9" w:name="_Toc28359080"/>
      <w:bookmarkStart w:id="10" w:name="_Toc35393622"/>
      <w:bookmarkStart w:id="11" w:name="_Toc28359003"/>
      <w:bookmarkStart w:id="12" w:name="_Toc35393791"/>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项目编号：</w:t>
      </w:r>
      <w:r>
        <w:rPr>
          <w:rFonts w:hint="eastAsia" w:ascii="宋体" w:hAnsi="宋体" w:eastAsia="宋体" w:cs="宋体"/>
          <w:b w:val="0"/>
          <w:bCs/>
          <w:color w:val="auto"/>
          <w:sz w:val="24"/>
          <w:szCs w:val="24"/>
          <w:highlight w:val="none"/>
          <w:shd w:val="clear" w:color="auto" w:fill="auto"/>
        </w:rPr>
        <w:fldChar w:fldCharType="begin"/>
      </w:r>
      <w:r>
        <w:rPr>
          <w:rFonts w:hint="eastAsia" w:ascii="宋体" w:hAnsi="宋体" w:eastAsia="宋体" w:cs="宋体"/>
          <w:b w:val="0"/>
          <w:bCs/>
          <w:color w:val="auto"/>
          <w:sz w:val="24"/>
          <w:szCs w:val="24"/>
          <w:highlight w:val="none"/>
          <w:shd w:val="clear" w:color="auto" w:fill="auto"/>
        </w:rPr>
        <w:instrText xml:space="preserve"> HYPERLINK "https://pay.zcygov.cn/purchaseplan_front/" \l "/plan/list/detail?id=1000000000010400589&amp;encrypt=9cc59d8fc89e1eefa677e70b161da028" \t "https://www.zcygov.cn/project-center/purchasePlans/_blank" </w:instrText>
      </w:r>
      <w:r>
        <w:rPr>
          <w:rFonts w:hint="eastAsia" w:ascii="宋体" w:hAnsi="宋体" w:eastAsia="宋体" w:cs="宋体"/>
          <w:b w:val="0"/>
          <w:bCs/>
          <w:color w:val="auto"/>
          <w:sz w:val="24"/>
          <w:szCs w:val="24"/>
          <w:highlight w:val="none"/>
          <w:shd w:val="clear" w:color="auto" w:fill="auto"/>
        </w:rPr>
        <w:fldChar w:fldCharType="separate"/>
      </w:r>
      <w:r>
        <w:rPr>
          <w:rFonts w:hint="eastAsia" w:hAnsi="宋体" w:cs="宋体"/>
          <w:b w:val="0"/>
          <w:bCs/>
          <w:color w:val="auto"/>
          <w:sz w:val="24"/>
          <w:szCs w:val="24"/>
          <w:highlight w:val="none"/>
          <w:shd w:val="clear" w:color="auto" w:fill="auto"/>
          <w:lang w:eastAsia="zh-CN"/>
        </w:rPr>
        <w:t>[2023]9379号</w:t>
      </w:r>
      <w:r>
        <w:rPr>
          <w:rFonts w:hint="eastAsia" w:ascii="宋体" w:hAnsi="宋体" w:eastAsia="宋体" w:cs="宋体"/>
          <w:b w:val="0"/>
          <w:bCs/>
          <w:color w:val="auto"/>
          <w:sz w:val="24"/>
          <w:szCs w:val="24"/>
          <w:highlight w:val="none"/>
          <w:shd w:val="clear" w:color="auto" w:fill="auto"/>
        </w:rPr>
        <w:fldChar w:fldCharType="end"/>
      </w:r>
      <w:r>
        <w:rPr>
          <w:rFonts w:hint="eastAsia" w:hAnsi="宋体" w:cs="宋体"/>
          <w:b w:val="0"/>
          <w:bCs/>
          <w:color w:val="auto"/>
          <w:sz w:val="24"/>
          <w:szCs w:val="24"/>
          <w:highlight w:val="none"/>
          <w:shd w:val="clear" w:color="auto" w:fill="auto"/>
          <w:lang w:eastAsia="zh-CN"/>
        </w:rPr>
        <w:t xml:space="preserve">  </w:t>
      </w:r>
      <w:r>
        <w:rPr>
          <w:rFonts w:hint="eastAsia" w:ascii="宋体" w:hAnsi="宋体" w:eastAsia="宋体" w:cs="宋体"/>
          <w:b w:val="0"/>
          <w:bCs/>
          <w:color w:val="auto"/>
          <w:sz w:val="24"/>
          <w:szCs w:val="24"/>
          <w:highlight w:val="none"/>
          <w:shd w:val="clear" w:color="auto" w:fill="auto"/>
        </w:rPr>
        <w:t xml:space="preserve"> </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color w:val="auto"/>
          <w:sz w:val="24"/>
          <w:szCs w:val="24"/>
          <w:highlight w:val="none"/>
          <w:u w:val="none"/>
          <w:lang w:eastAsia="zh-CN"/>
        </w:rPr>
        <w:t>新疆工程学院智慧“大思政课”一体化平台采购项目</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hAnsi="宋体" w:cs="宋体"/>
          <w:b w:val="0"/>
          <w:bCs/>
          <w:color w:val="auto"/>
          <w:sz w:val="24"/>
          <w:szCs w:val="24"/>
          <w:highlight w:val="none"/>
          <w:shd w:val="clear" w:color="auto" w:fill="auto"/>
          <w:lang w:val="en-US" w:eastAsia="zh-CN"/>
        </w:rPr>
        <w:t>公开招标</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12100</w:t>
      </w:r>
      <w:r>
        <w:rPr>
          <w:rFonts w:hint="eastAsia" w:ascii="宋体" w:hAnsi="宋体" w:eastAsia="宋体" w:cs="宋体"/>
          <w:b w:val="0"/>
          <w:bCs/>
          <w:color w:val="auto"/>
          <w:sz w:val="24"/>
          <w:szCs w:val="24"/>
          <w:highlight w:val="none"/>
          <w:shd w:val="clear" w:color="auto" w:fill="auto"/>
          <w:lang w:val="en-US" w:eastAsia="zh-CN"/>
        </w:rPr>
        <w:t>00.00</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12100</w:t>
      </w:r>
      <w:r>
        <w:rPr>
          <w:rFonts w:hint="eastAsia" w:ascii="宋体" w:hAnsi="宋体" w:eastAsia="宋体" w:cs="宋体"/>
          <w:b w:val="0"/>
          <w:bCs/>
          <w:color w:val="auto"/>
          <w:sz w:val="24"/>
          <w:szCs w:val="24"/>
          <w:highlight w:val="none"/>
          <w:shd w:val="clear" w:color="auto" w:fill="auto"/>
          <w:lang w:val="en-US" w:eastAsia="zh-CN"/>
        </w:rPr>
        <w:t>00.00</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简要规格描述或项目基本概况介绍、用途：</w:t>
      </w:r>
      <w:r>
        <w:rPr>
          <w:rFonts w:hint="eastAsia" w:hAnsi="宋体" w:cs="宋体"/>
          <w:sz w:val="24"/>
          <w:szCs w:val="24"/>
          <w:highlight w:val="none"/>
          <w:u w:val="none"/>
          <w:lang w:eastAsia="zh-CN"/>
        </w:rPr>
        <w:t>新疆工程学院智慧“大思政课”一体化平台采购</w:t>
      </w:r>
      <w:r>
        <w:rPr>
          <w:rFonts w:hint="eastAsia" w:ascii="宋体" w:hAnsi="宋体" w:eastAsia="宋体" w:cs="宋体"/>
          <w:b w:val="0"/>
          <w:bCs/>
          <w:color w:val="auto"/>
          <w:sz w:val="24"/>
          <w:szCs w:val="24"/>
          <w:highlight w:val="none"/>
          <w:shd w:val="clear" w:color="auto" w:fill="auto"/>
        </w:rPr>
        <w:t>。</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hAnsi="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pPr>
        <w:pStyle w:val="59"/>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9"/>
      <w:bookmarkEnd w:id="10"/>
      <w:bookmarkEnd w:id="11"/>
      <w:bookmarkEnd w:id="1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bookmarkStart w:id="13" w:name="_Toc28359081"/>
      <w:bookmarkStart w:id="14" w:name="_Toc28359004"/>
      <w:r>
        <w:rPr>
          <w:rFonts w:hint="eastAsia" w:ascii="宋体" w:hAnsi="宋体" w:eastAsia="宋体" w:cs="宋体"/>
          <w:color w:val="auto"/>
          <w:sz w:val="24"/>
          <w:szCs w:val="24"/>
          <w:highlight w:val="none"/>
        </w:rPr>
        <w:t>2.落实政府采购政策需满足的资格要求：</w:t>
      </w:r>
      <w:r>
        <w:rPr>
          <w:rFonts w:hint="eastAsia" w:ascii="宋体" w:hAnsi="宋体" w:cs="宋体"/>
          <w:b w:val="0"/>
          <w:bCs/>
          <w:color w:val="auto"/>
          <w:sz w:val="24"/>
          <w:szCs w:val="24"/>
          <w:highlight w:val="none"/>
          <w:shd w:val="clear" w:color="auto" w:fill="auto"/>
          <w:lang w:eastAsia="zh-CN"/>
        </w:rPr>
        <w:t>本项目为专门面向中小企业采购的项目，投标人所投产品生产厂家应均为中小微企业或监狱企业或残疾人福利性单位</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b w:val="0"/>
          <w:bCs/>
          <w:color w:val="auto"/>
          <w:sz w:val="24"/>
          <w:szCs w:val="24"/>
          <w:highlight w:val="none"/>
          <w:shd w:val="clear" w:color="auto" w:fill="auto"/>
          <w:lang w:eastAsia="zh-CN"/>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三、获取招标文件</w:t>
      </w:r>
      <w:bookmarkEnd w:id="13"/>
      <w:bookmarkEnd w:id="14"/>
      <w:bookmarkEnd w:id="15"/>
      <w:bookmarkEnd w:id="16"/>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时间：2023年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日至2023年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日，每天上午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（北京时间，线上获取法定节假日均可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登陆政采云平台http://www.zcygov.cn/，在线申请获取招标文件（登录政府采购云平台 → 项目采购 → 获取招标文件→申请，审核通过后可下载招标文件，如有操作性问题，可与政采云在线客服进行咨询，咨询电话：95763）。</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（登录政府采购云平台 → 项目采购 → 获取招标文件→ 申请，审核通过后可下载招标文件）</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lang w:eastAsia="zh-CN"/>
        </w:rPr>
        <w:t>2023年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点00分（北京时间）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2023年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bookmarkStart w:id="169" w:name="_GoBack"/>
      <w:bookmarkEnd w:id="169"/>
      <w:r>
        <w:rPr>
          <w:rFonts w:hint="eastAsia" w:ascii="宋体" w:hAnsi="宋体" w:eastAsia="宋体" w:cs="宋体"/>
          <w:color w:val="auto"/>
          <w:sz w:val="24"/>
          <w:szCs w:val="24"/>
          <w:highlight w:val="none"/>
        </w:rPr>
        <w:t>点00分（北京时间）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1" w:name="_Toc28359084"/>
      <w:bookmarkStart w:id="22" w:name="_Toc35393794"/>
      <w:bookmarkStart w:id="23" w:name="_Toc28359007"/>
      <w:bookmarkStart w:id="24" w:name="_Toc35393625"/>
      <w:r>
        <w:rPr>
          <w:rFonts w:hint="eastAsia" w:ascii="宋体" w:hAnsi="宋体" w:eastAsia="宋体" w:cs="宋体"/>
          <w:color w:val="auto"/>
          <w:sz w:val="24"/>
          <w:szCs w:val="24"/>
          <w:highlight w:val="none"/>
        </w:rPr>
        <w:t>政采云平台http://www.zcygov.cn/</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bookmarkEnd w:id="21"/>
      <w:bookmarkEnd w:id="22"/>
      <w:bookmarkEnd w:id="23"/>
      <w:bookmarkEnd w:id="24"/>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pPr>
        <w:pStyle w:val="59"/>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bookmarkStart w:id="27" w:name="_Toc35393627"/>
      <w:bookmarkStart w:id="28" w:name="_Toc28359008"/>
      <w:bookmarkStart w:id="29" w:name="_Toc35393796"/>
      <w:bookmarkStart w:id="30" w:name="_Toc28359085"/>
      <w:r>
        <w:rPr>
          <w:rFonts w:hint="eastAsia" w:ascii="宋体" w:hAnsi="宋体" w:eastAsia="宋体" w:cs="宋体"/>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pPr>
        <w:pStyle w:val="59"/>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59"/>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pPr>
        <w:pStyle w:val="59"/>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pPr>
        <w:pStyle w:val="59"/>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新疆工程学院</w:t>
      </w:r>
      <w:r>
        <w:rPr>
          <w:rFonts w:hint="eastAsia" w:ascii="宋体" w:hAnsi="宋体" w:eastAsia="宋体" w:cs="宋体"/>
          <w:color w:val="auto"/>
          <w:sz w:val="24"/>
          <w:szCs w:val="24"/>
          <w:highlight w:val="none"/>
        </w:rPr>
        <w:t>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乌鲁木齐经济技术开发区（头屯河区）科创路1350号</w:t>
      </w:r>
      <w:r>
        <w:rPr>
          <w:rFonts w:hint="eastAsia" w:ascii="宋体" w:hAnsi="宋体" w:eastAsia="宋体" w:cs="宋体"/>
          <w:color w:val="auto"/>
          <w:sz w:val="24"/>
          <w:szCs w:val="24"/>
          <w:highlight w:val="none"/>
        </w:rPr>
        <w:t>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靳老师</w:t>
      </w:r>
      <w:r>
        <w:rPr>
          <w:rFonts w:hint="eastAsia" w:ascii="宋体" w:hAnsi="宋体" w:eastAsia="宋体" w:cs="宋体"/>
          <w:color w:val="auto"/>
          <w:sz w:val="24"/>
          <w:szCs w:val="24"/>
          <w:highlight w:val="none"/>
          <w:lang w:eastAsia="zh-CN"/>
        </w:rPr>
        <w:t xml:space="preserve">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lang w:val="en-US" w:eastAsia="zh-CN"/>
        </w:rPr>
        <w:t>13659995927</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1" w:name="_Toc28359009"/>
      <w:bookmarkStart w:id="32" w:name="_Toc28359086"/>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1"/>
      <w:bookmarkEnd w:id="3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址：乌鲁木齐市水磨沟区龙盛街898号万科中央公园S6栋5层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余宗键</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18699026580</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4"/>
        <w:pageBreakBefore w:val="0"/>
        <w:kinsoku/>
        <w:wordWrap/>
        <w:overflowPunct/>
        <w:topLinePunct w:val="0"/>
        <w:autoSpaceDE/>
        <w:autoSpaceDN/>
        <w:bidi w:val="0"/>
        <w:spacing w:before="0" w:after="0"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3" w:name="_Toc28983"/>
      <w:r>
        <w:rPr>
          <w:rFonts w:hint="eastAsia" w:ascii="宋体" w:hAnsi="宋体" w:eastAsia="宋体" w:cs="宋体"/>
          <w:color w:val="auto"/>
          <w:sz w:val="24"/>
          <w:szCs w:val="24"/>
          <w:highlight w:val="none"/>
        </w:rPr>
        <w:t>第二章  投标人须知</w:t>
      </w:r>
      <w:bookmarkEnd w:id="3"/>
      <w:bookmarkEnd w:id="4"/>
      <w:bookmarkEnd w:id="5"/>
      <w:bookmarkEnd w:id="6"/>
      <w:bookmarkEnd w:id="7"/>
      <w:bookmarkEnd w:id="8"/>
      <w:bookmarkEnd w:id="33"/>
    </w:p>
    <w:p>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auto"/>
          <w:sz w:val="24"/>
          <w:szCs w:val="24"/>
          <w:highlight w:val="none"/>
        </w:rPr>
      </w:pPr>
      <w:bookmarkStart w:id="34" w:name="_Toc213496268"/>
      <w:bookmarkStart w:id="35" w:name="_Toc213396946"/>
      <w:bookmarkStart w:id="36" w:name="_Toc217446032"/>
      <w:bookmarkStart w:id="37" w:name="_Toc213396760"/>
      <w:bookmarkStart w:id="38" w:name="_Toc189727030"/>
      <w:bookmarkStart w:id="39" w:name="_Toc213397010"/>
      <w:r>
        <w:rPr>
          <w:rFonts w:hint="eastAsia" w:ascii="宋体" w:hAnsi="宋体" w:eastAsia="宋体" w:cs="宋体"/>
          <w:b/>
          <w:bCs/>
          <w:color w:val="auto"/>
          <w:sz w:val="24"/>
          <w:szCs w:val="24"/>
          <w:highlight w:val="none"/>
        </w:rPr>
        <w:t>一、投标人须知前附表</w:t>
      </w:r>
      <w:bookmarkEnd w:id="34"/>
      <w:bookmarkEnd w:id="35"/>
      <w:bookmarkEnd w:id="36"/>
      <w:bookmarkEnd w:id="37"/>
      <w:bookmarkEnd w:id="38"/>
      <w:bookmarkEnd w:id="39"/>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74"/>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3798"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新疆工程学院</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乌鲁木齐经济技术开发区（头屯河区）科创路1350号</w:t>
            </w:r>
          </w:p>
          <w:p>
            <w:pPr>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靳老师</w:t>
            </w:r>
            <w:r>
              <w:rPr>
                <w:rFonts w:hint="eastAsia" w:ascii="宋体" w:hAnsi="宋体" w:cs="宋体"/>
                <w:color w:val="auto"/>
                <w:sz w:val="24"/>
                <w:highlight w:val="non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联系电话：</w:t>
            </w:r>
            <w:r>
              <w:rPr>
                <w:rFonts w:hint="eastAsia" w:ascii="宋体" w:hAnsi="宋体" w:cs="宋体"/>
                <w:color w:val="auto"/>
                <w:kern w:val="0"/>
                <w:sz w:val="24"/>
                <w:highlight w:val="none"/>
                <w:lang w:val="en-US" w:eastAsia="zh-CN"/>
              </w:rPr>
              <w:t>136 5999 5927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乌鲁木齐市水磨沟区龙盛街898号万科中央公园S6栋5层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余宗键</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18699026580</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新疆工程学院智慧“大思政课”一体化平台采购项目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 xml:space="preserve">  </w:t>
            </w:r>
            <w:r>
              <w:rPr>
                <w:rFonts w:hint="eastAsia" w:ascii="宋体" w:hAnsi="宋体" w:eastAsia="宋体" w:cs="宋体"/>
                <w:b w:val="0"/>
                <w:bCs/>
                <w:color w:val="auto"/>
                <w:sz w:val="24"/>
                <w:szCs w:val="24"/>
                <w:highlight w:val="none"/>
                <w:shd w:val="clear" w:color="auto" w:fill="auto"/>
              </w:rPr>
              <w:fldChar w:fldCharType="begin"/>
            </w:r>
            <w:r>
              <w:rPr>
                <w:rFonts w:hint="eastAsia" w:ascii="宋体" w:hAnsi="宋体" w:eastAsia="宋体" w:cs="宋体"/>
                <w:b w:val="0"/>
                <w:bCs/>
                <w:color w:val="auto"/>
                <w:sz w:val="24"/>
                <w:szCs w:val="24"/>
                <w:highlight w:val="none"/>
                <w:shd w:val="clear" w:color="auto" w:fill="auto"/>
              </w:rPr>
              <w:instrText xml:space="preserve"> HYPERLINK "https://pay.zcygov.cn/purchaseplan_front/" \l "/plan/list/detail?id=1000000000010400589&amp;encrypt=9cc59d8fc89e1eefa677e70b161da028" \t "https://www.zcygov.cn/project-center/purchasePlans/_blank" </w:instrText>
            </w:r>
            <w:r>
              <w:rPr>
                <w:rFonts w:hint="eastAsia" w:ascii="宋体" w:hAnsi="宋体" w:eastAsia="宋体" w:cs="宋体"/>
                <w:b w:val="0"/>
                <w:bCs/>
                <w:color w:val="auto"/>
                <w:sz w:val="24"/>
                <w:szCs w:val="24"/>
                <w:highlight w:val="none"/>
                <w:shd w:val="clear" w:color="auto" w:fill="auto"/>
              </w:rPr>
              <w:fldChar w:fldCharType="separate"/>
            </w:r>
            <w:r>
              <w:rPr>
                <w:rFonts w:hint="eastAsia" w:ascii="宋体" w:hAnsi="宋体" w:cs="宋体"/>
                <w:b w:val="0"/>
                <w:bCs/>
                <w:color w:val="auto"/>
                <w:sz w:val="24"/>
                <w:szCs w:val="24"/>
                <w:highlight w:val="none"/>
                <w:shd w:val="clear" w:color="auto" w:fill="auto"/>
                <w:lang w:eastAsia="zh-CN"/>
              </w:rPr>
              <w:t>[2023]9379号</w:t>
            </w:r>
            <w:r>
              <w:rPr>
                <w:rFonts w:hint="eastAsia" w:ascii="宋体" w:hAnsi="宋体" w:eastAsia="宋体" w:cs="宋体"/>
                <w:b w:val="0"/>
                <w:bCs/>
                <w:color w:val="auto"/>
                <w:sz w:val="24"/>
                <w:szCs w:val="24"/>
                <w:highlight w:val="none"/>
                <w:shd w:val="clear" w:color="auto" w:fill="auto"/>
              </w:rPr>
              <w:fldChar w:fldCharType="end"/>
            </w:r>
            <w:r>
              <w:rPr>
                <w:rFonts w:hint="eastAsia" w:hAnsi="宋体" w:cs="宋体"/>
                <w:b w:val="0"/>
                <w:bCs/>
                <w:color w:val="auto"/>
                <w:sz w:val="24"/>
                <w:szCs w:val="24"/>
                <w:highlight w:val="none"/>
                <w:shd w:val="clear" w:color="auto" w:fil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预算金额（最</w:t>
            </w:r>
            <w:r>
              <w:rPr>
                <w:rFonts w:hint="eastAsia" w:ascii="宋体" w:hAnsi="宋体" w:cs="宋体"/>
                <w:color w:val="auto"/>
                <w:sz w:val="24"/>
                <w:szCs w:val="24"/>
                <w:highlight w:val="none"/>
                <w:lang w:val="en-US" w:eastAsia="zh-CN"/>
              </w:rPr>
              <w:t>高限价 ）：1210000.00元</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投标人投标报价若超过最高限价，投标无效。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采购需求</w:t>
            </w:r>
          </w:p>
        </w:tc>
        <w:tc>
          <w:tcPr>
            <w:tcW w:w="3798" w:type="pct"/>
            <w:vAlign w:val="center"/>
          </w:tcPr>
          <w:p>
            <w:pPr>
              <w:rPr>
                <w:rFonts w:hint="default"/>
                <w:color w:val="auto"/>
                <w:highlight w:val="none"/>
                <w:lang w:val="en-US" w:eastAsia="zh-CN"/>
              </w:rPr>
            </w:pPr>
            <w:r>
              <w:rPr>
                <w:rFonts w:hint="eastAsia" w:ascii="宋体" w:hAnsi="宋体" w:cs="宋体"/>
                <w:color w:val="auto"/>
                <w:sz w:val="24"/>
                <w:szCs w:val="24"/>
                <w:highlight w:val="none"/>
                <w:lang w:eastAsia="zh-CN"/>
              </w:rPr>
              <w:t>新疆工程学院智慧“大思政课”一体化平台采购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免费质保期 12 个月（免费质保期自通过甲方验收合格之日起计）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供货期</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自合同签订之日起30个日历日内交货并完成安装调试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采购人指定</w:t>
            </w:r>
            <w:r>
              <w:rPr>
                <w:rFonts w:hint="eastAsia" w:ascii="宋体" w:hAnsi="宋体" w:cs="宋体"/>
                <w:color w:val="auto"/>
                <w:sz w:val="24"/>
                <w:szCs w:val="24"/>
                <w:highlight w:val="no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3798" w:type="pct"/>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b w:val="0"/>
                <w:bCs/>
                <w:color w:val="auto"/>
                <w:kern w:val="0"/>
                <w:sz w:val="24"/>
                <w:szCs w:val="24"/>
                <w:highlight w:val="none"/>
                <w:shd w:val="clear" w:color="auto" w:fill="auto"/>
                <w:lang w:eastAsia="zh-CN"/>
              </w:rPr>
            </w:pPr>
            <w:r>
              <w:rPr>
                <w:rFonts w:hint="eastAsia" w:ascii="宋体" w:hAnsi="宋体" w:eastAsia="宋体" w:cs="宋体"/>
                <w:b w:val="0"/>
                <w:bCs/>
                <w:color w:val="auto"/>
                <w:kern w:val="0"/>
                <w:sz w:val="24"/>
                <w:szCs w:val="24"/>
                <w:highlight w:val="none"/>
                <w:shd w:val="clear" w:color="auto" w:fill="auto"/>
                <w:lang w:val="en-US" w:eastAsia="zh-CN"/>
              </w:rPr>
              <w:t>1、本项目为专门面向中小企业（含中型、小型、微型企业）采购项目，根据《政府采购促进中小企业发展管理办法》（财库[2020]46 号）的规定，不再执行价格评审优惠的扶持政策；</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0"/>
                <w:sz w:val="24"/>
                <w:szCs w:val="24"/>
                <w:highlight w:val="none"/>
                <w:shd w:val="clear" w:color="auto" w:fill="auto"/>
                <w:lang w:val="en-US" w:eastAsia="zh-CN"/>
              </w:rPr>
              <w:t>2</w:t>
            </w:r>
            <w:r>
              <w:rPr>
                <w:rFonts w:hint="eastAsia" w:ascii="宋体" w:hAnsi="宋体" w:eastAsia="宋体" w:cs="宋体"/>
                <w:b w:val="0"/>
                <w:bCs/>
                <w:color w:val="auto"/>
                <w:kern w:val="0"/>
                <w:sz w:val="24"/>
                <w:szCs w:val="24"/>
                <w:highlight w:val="none"/>
                <w:shd w:val="clear" w:color="auto" w:fill="auto"/>
                <w:lang w:eastAsia="zh-CN"/>
              </w:rPr>
              <w:t>、所属行业：</w:t>
            </w:r>
            <w:r>
              <w:rPr>
                <w:rFonts w:hint="eastAsia" w:ascii="新宋体" w:hAnsi="新宋体" w:eastAsia="新宋体" w:cs="新宋体"/>
                <w:color w:val="auto"/>
                <w:sz w:val="24"/>
                <w:szCs w:val="24"/>
                <w:highlight w:val="none"/>
              </w:rPr>
              <w:t>软件和信息技术服务业</w:t>
            </w:r>
            <w:r>
              <w:rPr>
                <w:rFonts w:hint="eastAsia" w:ascii="宋体" w:hAnsi="宋体" w:eastAsia="宋体" w:cs="宋体"/>
                <w:b w:val="0"/>
                <w:bCs/>
                <w:color w:val="auto"/>
                <w:kern w:val="0"/>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3798" w:type="pct"/>
            <w:vAlign w:val="center"/>
          </w:tcPr>
          <w:p>
            <w:pPr>
              <w:pStyle w:val="40"/>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val="0"/>
                <w:bCs/>
                <w:color w:val="auto"/>
                <w:kern w:val="0"/>
                <w:sz w:val="24"/>
                <w:szCs w:val="24"/>
                <w:highlight w:val="none"/>
                <w:shd w:val="clear" w:color="auto" w:fill="auto"/>
                <w:lang w:eastAsia="zh-CN"/>
              </w:rPr>
              <w:t>落实政府采购政策需满足的资格要求：</w:t>
            </w:r>
            <w:r>
              <w:rPr>
                <w:rFonts w:hint="eastAsia" w:ascii="宋体" w:hAnsi="宋体" w:cs="宋体"/>
                <w:b w:val="0"/>
                <w:bCs/>
                <w:color w:val="auto"/>
                <w:sz w:val="24"/>
                <w:szCs w:val="24"/>
                <w:highlight w:val="none"/>
                <w:shd w:val="clear" w:color="auto" w:fill="auto"/>
                <w:lang w:eastAsia="zh-CN"/>
              </w:rPr>
              <w:t>本项目为专门面向中小企业采购的项目，投标人所投产品生产厂家应均为中小微企业或监狱企业或残疾人福利性单位</w:t>
            </w:r>
            <w:r>
              <w:rPr>
                <w:rFonts w:hint="eastAsia" w:ascii="宋体" w:hAnsi="宋体" w:eastAsia="宋体" w:cs="宋体"/>
                <w:color w:val="000000"/>
                <w:sz w:val="24"/>
                <w:szCs w:val="24"/>
                <w:highlight w:val="none"/>
              </w:rPr>
              <w:t>；</w:t>
            </w:r>
          </w:p>
          <w:p>
            <w:pPr>
              <w:pStyle w:val="40"/>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3798" w:type="pct"/>
            <w:vAlign w:val="center"/>
          </w:tcPr>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小写：20000.00元（大写：贰万元整）</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一、投标保证金缴纳：</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1.投标保证金应当以电汇、网银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保函</w:t>
            </w:r>
            <w:r>
              <w:rPr>
                <w:rFonts w:hint="eastAsia" w:ascii="宋体" w:hAnsi="宋体" w:eastAsia="宋体" w:cs="宋体"/>
                <w:color w:val="auto"/>
                <w:sz w:val="24"/>
                <w:szCs w:val="24"/>
                <w:highlight w:val="none"/>
              </w:rPr>
              <w:t>等非现金形式提交；</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2.缴纳投标保证金时需备注项目名称；</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截止时间：与投标文件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截止时间相同；</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投标保证金缴纳账户：</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单位名称：新疆拓源工程管理咨询有限公司</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账号：107675470537</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开户行名称：中国银行乌鲁木齐市延安路支行</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行号：104881006135</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二、投标保证金退还：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1.未中标人的投标保证金将在中标通知书发出后5个工作日内退还；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2.中标人的投标保证金将在自采购合同签订之日起5个工作日内无息退还；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3.有下列情形之一的，投标保证金不予退还：详见总则第15.5条。</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auto"/>
                <w:sz w:val="24"/>
                <w:szCs w:val="24"/>
                <w:highlight w:val="none"/>
              </w:rPr>
              <w:t>需装订在投标文件中相应位置。</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注：投标人未按照招标文件的规定提交投标保证金的，将被视为</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财务部联系电话：0991-2338817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截止时间及地点</w:t>
            </w:r>
          </w:p>
        </w:tc>
        <w:tc>
          <w:tcPr>
            <w:tcW w:w="3798"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w:t>
            </w:r>
            <w:r>
              <w:rPr>
                <w:rFonts w:hint="eastAsia" w:ascii="宋体" w:hAnsi="宋体" w:eastAsia="宋体" w:cs="宋体"/>
                <w:b w:val="0"/>
                <w:bCs/>
                <w:color w:val="auto"/>
                <w:sz w:val="24"/>
                <w:szCs w:val="24"/>
                <w:highlight w:val="none"/>
                <w:u w:val="single"/>
                <w:shd w:val="clear" w:color="auto" w:fill="auto"/>
              </w:rPr>
              <w:t>202</w:t>
            </w:r>
            <w:r>
              <w:rPr>
                <w:rFonts w:hint="eastAsia" w:ascii="宋体" w:hAnsi="宋体" w:eastAsia="宋体" w:cs="宋体"/>
                <w:b w:val="0"/>
                <w:bCs/>
                <w:color w:val="auto"/>
                <w:sz w:val="24"/>
                <w:szCs w:val="24"/>
                <w:highlight w:val="none"/>
                <w:u w:val="single"/>
                <w:shd w:val="clear" w:color="auto" w:fill="auto"/>
                <w:lang w:val="en-US" w:eastAsia="zh-CN"/>
              </w:rPr>
              <w:t>3</w:t>
            </w:r>
            <w:r>
              <w:rPr>
                <w:rFonts w:hint="eastAsia" w:ascii="宋体" w:hAnsi="宋体" w:eastAsia="宋体" w:cs="宋体"/>
                <w:b w:val="0"/>
                <w:bCs/>
                <w:color w:val="auto"/>
                <w:sz w:val="24"/>
                <w:szCs w:val="24"/>
                <w:highlight w:val="none"/>
                <w:u w:val="none"/>
                <w:shd w:val="clear" w:color="auto" w:fill="auto"/>
              </w:rPr>
              <w:t>年</w:t>
            </w:r>
            <w:r>
              <w:rPr>
                <w:rFonts w:hint="eastAsia" w:ascii="宋体" w:hAnsi="宋体" w:cs="宋体"/>
                <w:b w:val="0"/>
                <w:bCs/>
                <w:color w:val="auto"/>
                <w:sz w:val="24"/>
                <w:szCs w:val="24"/>
                <w:highlight w:val="none"/>
                <w:u w:val="single"/>
                <w:shd w:val="clear" w:color="auto" w:fill="auto"/>
                <w:lang w:val="en-US" w:eastAsia="zh-CN"/>
              </w:rPr>
              <w:t>07</w:t>
            </w:r>
            <w:r>
              <w:rPr>
                <w:rFonts w:hint="eastAsia" w:ascii="宋体" w:hAnsi="宋体" w:eastAsia="宋体" w:cs="宋体"/>
                <w:b w:val="0"/>
                <w:bCs/>
                <w:color w:val="auto"/>
                <w:sz w:val="24"/>
                <w:szCs w:val="24"/>
                <w:highlight w:val="none"/>
                <w:u w:val="none"/>
                <w:shd w:val="clear" w:color="auto" w:fill="auto"/>
              </w:rPr>
              <w:t>月</w:t>
            </w:r>
            <w:r>
              <w:rPr>
                <w:rFonts w:hint="eastAsia" w:ascii="宋体" w:hAnsi="宋体" w:cs="宋体"/>
                <w:b w:val="0"/>
                <w:bCs/>
                <w:color w:val="auto"/>
                <w:sz w:val="24"/>
                <w:szCs w:val="24"/>
                <w:highlight w:val="none"/>
                <w:u w:val="none"/>
                <w:shd w:val="clear" w:color="auto" w:fill="auto"/>
                <w:lang w:val="en-US" w:eastAsia="zh-CN"/>
              </w:rPr>
              <w:t>18</w:t>
            </w:r>
            <w:r>
              <w:rPr>
                <w:rFonts w:hint="eastAsia" w:ascii="宋体" w:hAnsi="宋体" w:eastAsia="宋体" w:cs="宋体"/>
                <w:b w:val="0"/>
                <w:bCs/>
                <w:color w:val="auto"/>
                <w:sz w:val="24"/>
                <w:szCs w:val="24"/>
                <w:highlight w:val="none"/>
                <w:u w:val="none"/>
                <w:shd w:val="clear" w:color="auto" w:fill="auto"/>
              </w:rPr>
              <w:t>日</w:t>
            </w:r>
            <w:r>
              <w:rPr>
                <w:rFonts w:hint="eastAsia" w:ascii="宋体" w:hAnsi="宋体" w:eastAsia="宋体" w:cs="宋体"/>
                <w:b w:val="0"/>
                <w:bCs/>
                <w:color w:val="auto"/>
                <w:sz w:val="24"/>
                <w:szCs w:val="24"/>
                <w:highlight w:val="none"/>
                <w:u w:val="none"/>
                <w:shd w:val="clear" w:color="auto" w:fill="auto"/>
                <w:lang w:val="en-US" w:eastAsia="zh-CN"/>
              </w:rPr>
              <w:t>1</w:t>
            </w:r>
            <w:r>
              <w:rPr>
                <w:rFonts w:hint="eastAsia" w:ascii="宋体" w:hAnsi="宋体" w:cs="宋体"/>
                <w:b w:val="0"/>
                <w:bCs/>
                <w:color w:val="auto"/>
                <w:sz w:val="24"/>
                <w:szCs w:val="24"/>
                <w:highlight w:val="none"/>
                <w:u w:val="single"/>
                <w:shd w:val="clear" w:color="auto" w:fill="auto"/>
                <w:lang w:val="en-US" w:eastAsia="zh-CN"/>
              </w:rPr>
              <w:t>6</w:t>
            </w:r>
            <w:r>
              <w:rPr>
                <w:rFonts w:hint="eastAsia" w:ascii="宋体" w:hAnsi="宋体" w:eastAsia="宋体" w:cs="宋体"/>
                <w:b w:val="0"/>
                <w:bCs/>
                <w:color w:val="auto"/>
                <w:sz w:val="24"/>
                <w:szCs w:val="24"/>
                <w:highlight w:val="none"/>
                <w:u w:val="none"/>
                <w:shd w:val="clear" w:color="auto" w:fill="auto"/>
              </w:rPr>
              <w:t>时</w:t>
            </w:r>
            <w:r>
              <w:rPr>
                <w:rFonts w:hint="eastAsia" w:ascii="宋体" w:hAnsi="宋体" w:eastAsia="宋体" w:cs="宋体"/>
                <w:b w:val="0"/>
                <w:bCs/>
                <w:color w:val="auto"/>
                <w:sz w:val="24"/>
                <w:szCs w:val="24"/>
                <w:highlight w:val="none"/>
                <w:u w:val="single"/>
                <w:shd w:val="clear" w:color="auto" w:fill="auto"/>
              </w:rPr>
              <w:t>00</w:t>
            </w:r>
            <w:r>
              <w:rPr>
                <w:rFonts w:hint="eastAsia" w:ascii="宋体" w:hAnsi="宋体" w:eastAsia="宋体" w:cs="宋体"/>
                <w:b w:val="0"/>
                <w:bCs/>
                <w:color w:val="auto"/>
                <w:sz w:val="24"/>
                <w:szCs w:val="24"/>
                <w:highlight w:val="none"/>
                <w:u w:val="none"/>
                <w:shd w:val="clear" w:color="auto" w:fill="auto"/>
              </w:rPr>
              <w:t>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p>
          <w:p>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应在投标截止时间前将“电子加密投标文件”成功</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至“政府采购云平台”，否则投标无效。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采用电子招标投标</w:t>
            </w:r>
          </w:p>
        </w:tc>
        <w:tc>
          <w:tcPr>
            <w:tcW w:w="3798" w:type="pct"/>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1、投标文件解密时间：</w:t>
            </w:r>
            <w:r>
              <w:rPr>
                <w:rFonts w:hint="eastAsia" w:ascii="宋体" w:hAnsi="宋体" w:eastAsia="宋体" w:cs="宋体"/>
                <w:color w:val="auto"/>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cs="宋体"/>
                <w:color w:val="auto"/>
                <w:sz w:val="24"/>
                <w:szCs w:val="24"/>
                <w:highlight w:val="none"/>
                <w:lang w:eastAsia="zh-CN"/>
              </w:rPr>
              <w:t>投标无效</w:t>
            </w:r>
            <w:r>
              <w:rPr>
                <w:rFonts w:hint="eastAsia" w:ascii="宋体" w:hAnsi="宋体" w:eastAsia="宋体" w:cs="宋体"/>
                <w:color w:val="auto"/>
                <w:sz w:val="24"/>
                <w:szCs w:val="24"/>
                <w:highlight w:val="none"/>
              </w:rPr>
              <w:t>。（解密时间开始时政采云平台将以短信形式向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及时关注。）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须在20分钟内用CA证书对报价进行签字确认。</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（1）本次采购采用电子交易方式，电子交易平台为“政府采购云平台（www.zcygov.cn）”。</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参与本项目电子交易活动前，应注册成为政府采购平台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。编制电子投标文件前还需申领CA证书并绑定帐号.</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编制电子投标文件应安装“电子招投标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客户端”软件，并按照本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客户端的要求编制并加密投标文件。未按规定加密的投标文件，将被电子招投标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客户端拒收。“电子招投标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自行前往“新疆政府采购网—下载专区—新疆维吾尔自治区全流程电子招投标项目管理系统--电子招投标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客户端”版块获取。</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（5）服务与支持。各政府采购代理机构（含集采机构）及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对不见面开评标系统的技术操作咨询，可通过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”版面获取操作指南，同时对自助查询无法解决的问题可通过钉钉群及政采云在线客服获取服务支持。政采云热线人工号码：400-881-7190（工作时间：工作日08:00~20：00）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798" w:type="pct"/>
            <w:vAlign w:val="center"/>
          </w:tcPr>
          <w:p>
            <w:pPr>
              <w:keepNext w:val="0"/>
              <w:keepLines w:val="0"/>
              <w:pageBreakBefore w:val="0"/>
              <w:numPr>
                <w:ilvl w:val="0"/>
                <w:numId w:val="3"/>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报价明显低于其他通过符合性审查投标人的报价，有可能影响货物质量或者不能诚信履约的，应当要求其在评标现场合理的时间内提供书面说明，必要时提交相关证明材料;投标人不能证明其报价合理性的，评标委员会将其作为无效投标处理，自行承担相关责任。</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2、投标人的报价包含提供的所有</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及相关工作范围内所有费用的总价。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 xml:space="preserve">不召开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3798" w:type="pct"/>
            <w:vAlign w:val="center"/>
          </w:tcPr>
          <w:p>
            <w:pPr>
              <w:pStyle w:val="25"/>
              <w:keepNext w:val="0"/>
              <w:keepLines w:val="0"/>
              <w:pageBreakBefore w:val="0"/>
              <w:kinsoku/>
              <w:wordWrap/>
              <w:overflowPunct/>
              <w:topLinePunct w:val="0"/>
              <w:autoSpaceDE/>
              <w:autoSpaceDN/>
              <w:bidi w:val="0"/>
              <w:spacing w:line="400" w:lineRule="exact"/>
              <w:ind w:lef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FF0000"/>
                <w:sz w:val="24"/>
                <w:szCs w:val="24"/>
                <w:highlight w:val="none"/>
              </w:rPr>
              <w:t>2021年度</w:t>
            </w:r>
            <w:r>
              <w:rPr>
                <w:rFonts w:hint="eastAsia" w:ascii="宋体" w:hAnsi="宋体" w:eastAsia="宋体" w:cs="宋体"/>
                <w:color w:val="FF0000"/>
                <w:sz w:val="24"/>
                <w:szCs w:val="24"/>
                <w:highlight w:val="none"/>
                <w:lang w:val="en-US" w:eastAsia="zh-CN"/>
              </w:rPr>
              <w:t>或2022年度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从开标之日起60日历天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798" w:type="pct"/>
            <w:vAlign w:val="center"/>
          </w:tcPr>
          <w:p>
            <w:pPr>
              <w:pStyle w:val="44"/>
              <w:keepNext w:val="0"/>
              <w:keepLines w:val="0"/>
              <w:suppressLineNumbers w:val="0"/>
              <w:spacing w:before="0" w:beforeAutospacing="0" w:after="0" w:afterAutospacing="0" w:line="440" w:lineRule="exact"/>
              <w:ind w:left="0" w:right="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本项目不需要缴纳履约保证金。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r>
              <w:rPr>
                <w:rFonts w:hint="eastAsia" w:ascii="宋体" w:hAnsi="宋体" w:cs="宋体"/>
                <w:color w:val="auto"/>
                <w:sz w:val="24"/>
                <w:szCs w:val="24"/>
                <w:highlight w:val="none"/>
                <w:lang w:val="en-US" w:eastAsia="zh-CN"/>
              </w:rPr>
              <w:t>参照</w:t>
            </w:r>
            <w:r>
              <w:rPr>
                <w:rFonts w:hint="eastAsia" w:ascii="宋体" w:hAnsi="宋体" w:eastAsia="宋体" w:cs="宋体"/>
                <w:color w:val="auto"/>
                <w:sz w:val="24"/>
                <w:szCs w:val="24"/>
                <w:highlight w:val="none"/>
              </w:rPr>
              <w:t>原国家计委《关于印发＜招标代理服务收费管理暂行办法＞的通知》（计价格【2002】1980号文执行以中标价为计价依据，并按最终承诺下浮</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%计取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798" w:type="pct"/>
            <w:vAlign w:val="center"/>
          </w:tcPr>
          <w:p>
            <w:pPr>
              <w:pStyle w:val="5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第一次付款：通过</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初验后，支付合同金额的60%。</w:t>
            </w:r>
          </w:p>
          <w:p>
            <w:pPr>
              <w:pStyle w:val="5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第二次付款：根据</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内部管理规定，满足终验条件，</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提交全部验收材料，通过</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组织的验收后，支付至合同金额的95%。</w:t>
            </w:r>
          </w:p>
          <w:p>
            <w:pPr>
              <w:pStyle w:val="5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第三次付款：</w:t>
            </w:r>
            <w:r>
              <w:rPr>
                <w:rFonts w:hint="eastAsia" w:ascii="宋体" w:hAnsi="宋体" w:cs="宋体"/>
                <w:color w:val="auto"/>
                <w:sz w:val="24"/>
                <w:szCs w:val="24"/>
                <w:highlight w:val="none"/>
                <w:lang w:val="en-US" w:eastAsia="zh-CN"/>
              </w:rPr>
              <w:t>质保期</w:t>
            </w:r>
            <w:r>
              <w:rPr>
                <w:rFonts w:hint="eastAsia" w:ascii="宋体" w:hAnsi="宋体" w:eastAsia="宋体" w:cs="宋体"/>
                <w:color w:val="auto"/>
                <w:sz w:val="24"/>
                <w:szCs w:val="24"/>
                <w:highlight w:val="none"/>
                <w:lang w:val="en-US" w:eastAsia="zh-CN"/>
              </w:rPr>
              <w:t>满后，</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按合同实施、无违约责任、在免费</w:t>
            </w:r>
            <w:r>
              <w:rPr>
                <w:rFonts w:hint="eastAsia" w:ascii="宋体" w:hAnsi="宋体" w:cs="宋体"/>
                <w:color w:val="auto"/>
                <w:sz w:val="24"/>
                <w:szCs w:val="24"/>
                <w:highlight w:val="none"/>
                <w:lang w:val="en-US" w:eastAsia="zh-CN"/>
              </w:rPr>
              <w:t>质保期</w:t>
            </w:r>
            <w:r>
              <w:rPr>
                <w:rFonts w:hint="eastAsia" w:ascii="宋体" w:hAnsi="宋体" w:eastAsia="宋体" w:cs="宋体"/>
                <w:color w:val="auto"/>
                <w:sz w:val="24"/>
                <w:szCs w:val="24"/>
                <w:highlight w:val="none"/>
                <w:lang w:val="en-US" w:eastAsia="zh-CN"/>
              </w:rPr>
              <w:t>内认真履行维保义务，经</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 xml:space="preserve">确认后支付余款。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本次招标如有变更、澄清或其他通知将在发布招标公告的网站上公布。</w:t>
            </w:r>
          </w:p>
        </w:tc>
      </w:tr>
    </w:tbl>
    <w:p>
      <w:pPr>
        <w:pStyle w:val="5"/>
        <w:pageBreakBefore w:val="0"/>
        <w:widowControl w:val="0"/>
        <w:kinsoku/>
        <w:wordWrap/>
        <w:overflowPunct/>
        <w:topLinePunct w:val="0"/>
        <w:autoSpaceDE/>
        <w:autoSpaceDN/>
        <w:bidi w:val="0"/>
        <w:adjustRightInd/>
        <w:spacing w:before="156" w:after="156" w:line="48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0" w:name="_Toc183582205"/>
      <w:bookmarkStart w:id="41" w:name="_Toc183682342"/>
      <w:bookmarkStart w:id="42" w:name="_Toc217446034"/>
      <w:r>
        <w:rPr>
          <w:rFonts w:hint="eastAsia" w:ascii="宋体" w:hAnsi="宋体" w:eastAsia="宋体" w:cs="宋体"/>
          <w:color w:val="auto"/>
          <w:sz w:val="24"/>
          <w:szCs w:val="24"/>
          <w:highlight w:val="none"/>
        </w:rPr>
        <w:t>1.</w:t>
      </w:r>
      <w:bookmarkEnd w:id="40"/>
      <w:bookmarkEnd w:id="41"/>
      <w:r>
        <w:rPr>
          <w:rFonts w:hint="eastAsia" w:ascii="宋体" w:hAnsi="宋体" w:eastAsia="宋体" w:cs="宋体"/>
          <w:color w:val="auto"/>
          <w:sz w:val="24"/>
          <w:szCs w:val="24"/>
          <w:highlight w:val="none"/>
        </w:rPr>
        <w:t xml:space="preserve"> 适用范围</w:t>
      </w:r>
      <w:bookmarkEnd w:id="42"/>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3" w:name="_Toc183582206"/>
      <w:bookmarkStart w:id="44" w:name="_Toc183682343"/>
      <w:bookmarkStart w:id="45" w:name="_Toc217446035"/>
      <w:r>
        <w:rPr>
          <w:rFonts w:hint="eastAsia" w:ascii="宋体" w:hAnsi="宋体" w:eastAsia="宋体" w:cs="宋体"/>
          <w:color w:val="auto"/>
          <w:sz w:val="24"/>
          <w:szCs w:val="24"/>
          <w:highlight w:val="none"/>
        </w:rPr>
        <w:t xml:space="preserve">2. </w:t>
      </w:r>
      <w:bookmarkEnd w:id="43"/>
      <w:bookmarkEnd w:id="44"/>
      <w:r>
        <w:rPr>
          <w:rFonts w:hint="eastAsia" w:ascii="宋体" w:hAnsi="宋体" w:eastAsia="宋体" w:cs="宋体"/>
          <w:color w:val="auto"/>
          <w:sz w:val="24"/>
          <w:szCs w:val="24"/>
          <w:highlight w:val="none"/>
        </w:rPr>
        <w:t>有关定义</w:t>
      </w:r>
      <w:bookmarkEnd w:id="45"/>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新疆工程学院</w:t>
      </w:r>
      <w:r>
        <w:rPr>
          <w:rFonts w:hint="eastAsia" w:ascii="宋体" w:hAnsi="宋体" w:eastAsia="宋体" w:cs="宋体"/>
          <w:color w:val="auto"/>
          <w:sz w:val="24"/>
          <w:szCs w:val="24"/>
          <w:highlight w:val="none"/>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“投标人”系指下载了招标文件拟参加投标和向采购人提供货物的投标人。</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6" w:name="_Toc217446036"/>
      <w:bookmarkStart w:id="47" w:name="_Toc217390843"/>
      <w:bookmarkStart w:id="48" w:name="_Toc183682344"/>
      <w:bookmarkStart w:id="49" w:name="_Toc183582207"/>
      <w:r>
        <w:rPr>
          <w:rFonts w:hint="eastAsia" w:ascii="宋体" w:hAnsi="宋体" w:eastAsia="宋体" w:cs="宋体"/>
          <w:color w:val="auto"/>
          <w:sz w:val="24"/>
          <w:szCs w:val="24"/>
          <w:highlight w:val="none"/>
        </w:rPr>
        <w:t>3. 合格的</w:t>
      </w:r>
      <w:bookmarkEnd w:id="46"/>
      <w:bookmarkEnd w:id="47"/>
      <w:bookmarkEnd w:id="48"/>
      <w:bookmarkEnd w:id="49"/>
      <w:r>
        <w:rPr>
          <w:rFonts w:hint="eastAsia" w:ascii="宋体" w:hAnsi="宋体" w:eastAsia="宋体" w:cs="宋体"/>
          <w:color w:val="auto"/>
          <w:sz w:val="24"/>
          <w:szCs w:val="24"/>
          <w:highlight w:val="none"/>
        </w:rPr>
        <w:t>投标人</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（3）下载招标文件并参与竞争。</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50" w:name="_Toc183682345"/>
      <w:bookmarkStart w:id="51" w:name="_Toc183582208"/>
      <w:bookmarkStart w:id="52" w:name="_Toc217446037"/>
      <w:r>
        <w:rPr>
          <w:rFonts w:hint="eastAsia" w:ascii="宋体" w:hAnsi="宋体" w:eastAsia="宋体" w:cs="宋体"/>
          <w:color w:val="auto"/>
          <w:sz w:val="24"/>
          <w:szCs w:val="24"/>
          <w:highlight w:val="none"/>
        </w:rPr>
        <w:t>4. 投标费用</w:t>
      </w:r>
      <w:bookmarkEnd w:id="50"/>
      <w:bookmarkEnd w:id="51"/>
      <w:bookmarkEnd w:id="52"/>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highlight w:val="none"/>
        </w:rPr>
      </w:pPr>
      <w:bookmarkStart w:id="53" w:name="_Toc77400779"/>
      <w:bookmarkStart w:id="54" w:name="_Toc183582209"/>
      <w:bookmarkStart w:id="55" w:name="_Toc183682346"/>
      <w:bookmarkStart w:id="56" w:name="_Toc89075875"/>
      <w:bookmarkStart w:id="57" w:name="_Toc217446038"/>
      <w:r>
        <w:rPr>
          <w:rFonts w:hint="eastAsia" w:ascii="宋体" w:hAnsi="宋体" w:eastAsia="宋体" w:cs="宋体"/>
          <w:bCs w:val="0"/>
          <w:color w:val="auto"/>
          <w:sz w:val="24"/>
          <w:szCs w:val="24"/>
          <w:highlight w:val="none"/>
        </w:rPr>
        <w:t>三、</w:t>
      </w:r>
      <w:bookmarkEnd w:id="53"/>
      <w:bookmarkEnd w:id="54"/>
      <w:bookmarkEnd w:id="55"/>
      <w:bookmarkEnd w:id="56"/>
      <w:bookmarkEnd w:id="57"/>
      <w:r>
        <w:rPr>
          <w:rFonts w:hint="eastAsia" w:ascii="宋体" w:hAnsi="宋体" w:eastAsia="宋体" w:cs="宋体"/>
          <w:bCs w:val="0"/>
          <w:color w:val="auto"/>
          <w:sz w:val="24"/>
          <w:szCs w:val="24"/>
          <w:highlight w:val="none"/>
        </w:rPr>
        <w:t>招标文件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58" w:name="_Toc183682347"/>
      <w:bookmarkStart w:id="59" w:name="_Toc183582210"/>
      <w:bookmarkStart w:id="60" w:name="_Toc217446039"/>
      <w:r>
        <w:rPr>
          <w:rFonts w:hint="eastAsia" w:ascii="宋体" w:hAnsi="宋体" w:eastAsia="宋体" w:cs="宋体"/>
          <w:color w:val="auto"/>
          <w:sz w:val="24"/>
          <w:szCs w:val="24"/>
          <w:highlight w:val="none"/>
        </w:rPr>
        <w:t>5．招标文件的构成</w:t>
      </w:r>
      <w:bookmarkEnd w:id="58"/>
      <w:bookmarkEnd w:id="59"/>
      <w:bookmarkEnd w:id="60"/>
    </w:p>
    <w:p>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（4）招标项目技术要求</w:t>
      </w:r>
      <w:r>
        <w:rPr>
          <w:rFonts w:hint="eastAsia" w:ascii="宋体" w:hAnsi="宋体" w:eastAsia="宋体" w:cs="宋体"/>
          <w:color w:val="auto"/>
          <w:sz w:val="24"/>
          <w:szCs w:val="24"/>
          <w:highlight w:val="none"/>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1" w:name="_Toc183682348"/>
      <w:bookmarkStart w:id="62" w:name="_Toc183582211"/>
      <w:bookmarkStart w:id="63" w:name="_Toc217446040"/>
      <w:r>
        <w:rPr>
          <w:rFonts w:hint="eastAsia" w:ascii="宋体" w:hAnsi="宋体" w:eastAsia="宋体" w:cs="宋体"/>
          <w:color w:val="auto"/>
          <w:sz w:val="24"/>
          <w:szCs w:val="24"/>
          <w:highlight w:val="none"/>
        </w:rPr>
        <w:t>6. 招标文件的澄清</w:t>
      </w:r>
      <w:bookmarkEnd w:id="61"/>
      <w:bookmarkEnd w:id="62"/>
      <w:r>
        <w:rPr>
          <w:rFonts w:hint="eastAsia" w:ascii="宋体" w:hAnsi="宋体" w:eastAsia="宋体" w:cs="宋体"/>
          <w:color w:val="auto"/>
          <w:sz w:val="24"/>
          <w:szCs w:val="24"/>
          <w:highlight w:val="none"/>
        </w:rPr>
        <w:t>和修改</w:t>
      </w:r>
      <w:bookmarkEnd w:id="6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4" w:name="_Toc208848971"/>
      <w:bookmarkStart w:id="65" w:name="_Toc21744604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答疑会和现场考察</w:t>
      </w:r>
      <w:bookmarkEnd w:id="64"/>
      <w:bookmarkEnd w:id="65"/>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6" w:name="_Toc183682351"/>
      <w:bookmarkStart w:id="67" w:name="_Toc89075876"/>
      <w:bookmarkStart w:id="68" w:name="_Toc217446042"/>
      <w:bookmarkStart w:id="69" w:name="_Toc77400780"/>
      <w:bookmarkStart w:id="70" w:name="_Toc183582214"/>
      <w:r>
        <w:rPr>
          <w:rFonts w:hint="eastAsia" w:ascii="宋体" w:hAnsi="宋体" w:eastAsia="宋体" w:cs="宋体"/>
          <w:color w:val="auto"/>
          <w:sz w:val="24"/>
          <w:szCs w:val="24"/>
          <w:highlight w:val="none"/>
        </w:rPr>
        <w:t>7.1 本项目不组织答疑会和现场考察。</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66"/>
      <w:bookmarkEnd w:id="67"/>
      <w:bookmarkEnd w:id="68"/>
      <w:bookmarkEnd w:id="69"/>
      <w:bookmarkEnd w:id="70"/>
      <w:r>
        <w:rPr>
          <w:rFonts w:hint="eastAsia" w:ascii="宋体" w:hAnsi="宋体" w:eastAsia="宋体" w:cs="宋体"/>
          <w:bCs w:val="0"/>
          <w:color w:val="auto"/>
          <w:sz w:val="24"/>
          <w:szCs w:val="24"/>
          <w:highlight w:val="none"/>
        </w:rPr>
        <w:t>投标文件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1" w:name="_Toc183682352"/>
      <w:bookmarkStart w:id="72" w:name="_Toc217446043"/>
      <w:bookmarkStart w:id="73" w:name="_Toc183582215"/>
      <w:r>
        <w:rPr>
          <w:rFonts w:hint="eastAsia" w:ascii="宋体" w:hAnsi="宋体" w:eastAsia="宋体" w:cs="宋体"/>
          <w:color w:val="auto"/>
          <w:sz w:val="24"/>
          <w:szCs w:val="24"/>
          <w:highlight w:val="none"/>
        </w:rPr>
        <w:t>8．投标文件的语言</w:t>
      </w:r>
      <w:bookmarkEnd w:id="71"/>
      <w:bookmarkEnd w:id="72"/>
      <w:bookmarkEnd w:id="7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4" w:name="_Toc217446044"/>
      <w:bookmarkStart w:id="75" w:name="_Toc183582216"/>
      <w:bookmarkStart w:id="76" w:name="_Toc183682353"/>
      <w:r>
        <w:rPr>
          <w:rFonts w:hint="eastAsia" w:ascii="宋体" w:hAnsi="宋体" w:eastAsia="宋体" w:cs="宋体"/>
          <w:color w:val="auto"/>
          <w:sz w:val="24"/>
          <w:szCs w:val="24"/>
          <w:highlight w:val="none"/>
        </w:rPr>
        <w:t>9．计量单位</w:t>
      </w:r>
      <w:bookmarkEnd w:id="74"/>
      <w:bookmarkEnd w:id="75"/>
      <w:bookmarkEnd w:id="76"/>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7" w:name="_Toc217446045"/>
      <w:r>
        <w:rPr>
          <w:rFonts w:hint="eastAsia" w:ascii="宋体" w:hAnsi="宋体" w:eastAsia="宋体" w:cs="宋体"/>
          <w:color w:val="auto"/>
          <w:sz w:val="24"/>
          <w:szCs w:val="24"/>
          <w:highlight w:val="none"/>
        </w:rPr>
        <w:t>10. 投标货币</w:t>
      </w:r>
      <w:bookmarkEnd w:id="77"/>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8" w:name="_Toc217446046"/>
      <w:r>
        <w:rPr>
          <w:rFonts w:hint="eastAsia" w:ascii="宋体" w:hAnsi="宋体" w:eastAsia="宋体" w:cs="宋体"/>
          <w:color w:val="auto"/>
          <w:sz w:val="24"/>
          <w:szCs w:val="24"/>
          <w:highlight w:val="none"/>
        </w:rPr>
        <w:t>11. 联合体投标</w:t>
      </w:r>
      <w:bookmarkEnd w:id="78"/>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详见“投标人须知前附表”第13条。</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9" w:name="_Toc217446047"/>
      <w:r>
        <w:rPr>
          <w:rFonts w:hint="eastAsia" w:ascii="宋体" w:hAnsi="宋体" w:eastAsia="宋体" w:cs="宋体"/>
          <w:color w:val="auto"/>
          <w:sz w:val="24"/>
          <w:szCs w:val="24"/>
          <w:highlight w:val="none"/>
        </w:rPr>
        <w:t>12. 知识产权</w:t>
      </w:r>
      <w:bookmarkEnd w:id="79"/>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0" w:name="_Toc217446048"/>
      <w:bookmarkStart w:id="81" w:name="_Toc183582217"/>
      <w:bookmarkStart w:id="82" w:name="_Toc183682354"/>
      <w:r>
        <w:rPr>
          <w:rFonts w:hint="eastAsia" w:ascii="宋体" w:hAnsi="宋体" w:eastAsia="宋体" w:cs="宋体"/>
          <w:color w:val="auto"/>
          <w:sz w:val="24"/>
          <w:szCs w:val="24"/>
          <w:highlight w:val="none"/>
        </w:rPr>
        <w:t>13．投标文件的组成</w:t>
      </w:r>
      <w:bookmarkEnd w:id="80"/>
      <w:bookmarkEnd w:id="81"/>
      <w:bookmarkEnd w:id="82"/>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3" w:name="_Toc183682355"/>
      <w:bookmarkStart w:id="84" w:name="_Toc217446049"/>
      <w:bookmarkStart w:id="85" w:name="_Toc183582218"/>
      <w:r>
        <w:rPr>
          <w:rFonts w:hint="eastAsia" w:ascii="宋体" w:hAnsi="宋体" w:eastAsia="宋体" w:cs="宋体"/>
          <w:color w:val="auto"/>
          <w:sz w:val="24"/>
          <w:szCs w:val="24"/>
          <w:highlight w:val="none"/>
        </w:rPr>
        <w:t>一、投标函</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三、投标报价明细表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四、投标人基本情况表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五、投标人类似项目业绩一览表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六、商务、技术偏离表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七、拟配备人员情况</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八、实施方案</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、投标人认为需要提供的其他文件和资料</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14．投标文件格式</w:t>
      </w:r>
      <w:bookmarkEnd w:id="83"/>
      <w:bookmarkEnd w:id="84"/>
      <w:bookmarkEnd w:id="85"/>
      <w:r>
        <w:rPr>
          <w:rFonts w:hint="eastAsia" w:ascii="宋体" w:hAnsi="宋体" w:eastAsia="宋体" w:cs="宋体"/>
          <w:color w:val="auto"/>
          <w:sz w:val="24"/>
          <w:szCs w:val="24"/>
          <w:highlight w:val="none"/>
        </w:rPr>
        <w:tab/>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6" w:name="_Toc183682360"/>
      <w:bookmarkStart w:id="87" w:name="_Toc183582223"/>
      <w:bookmarkStart w:id="88" w:name="_Toc217446050"/>
      <w:r>
        <w:rPr>
          <w:rFonts w:hint="eastAsia" w:ascii="宋体" w:hAnsi="宋体" w:eastAsia="宋体" w:cs="宋体"/>
          <w:color w:val="auto"/>
          <w:sz w:val="24"/>
          <w:szCs w:val="24"/>
          <w:highlight w:val="none"/>
        </w:rPr>
        <w:t>15．投标保证金</w:t>
      </w:r>
      <w:bookmarkEnd w:id="86"/>
      <w:bookmarkEnd w:id="87"/>
      <w:bookmarkEnd w:id="88"/>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9" w:name="_Toc183682361"/>
      <w:bookmarkStart w:id="90" w:name="_Toc183582224"/>
      <w:bookmarkStart w:id="91" w:name="_Toc217446051"/>
      <w:r>
        <w:rPr>
          <w:rFonts w:hint="eastAsia" w:ascii="宋体" w:hAnsi="宋体" w:eastAsia="宋体" w:cs="宋体"/>
          <w:color w:val="auto"/>
          <w:sz w:val="24"/>
          <w:szCs w:val="24"/>
          <w:highlight w:val="none"/>
        </w:rPr>
        <w:t>（1）投标人在提交投标文件截止时间后撤回投标文件的；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16．投标有效期</w:t>
      </w:r>
      <w:bookmarkEnd w:id="89"/>
      <w:bookmarkEnd w:id="90"/>
      <w:bookmarkEnd w:id="91"/>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投标有效期详见投标人须知前附表。投标有效期短于此规定期限的，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color w:val="auto"/>
          <w:sz w:val="24"/>
          <w:szCs w:val="24"/>
          <w:highlight w:val="none"/>
        </w:rPr>
      </w:pPr>
      <w:bookmarkStart w:id="92" w:name="_Toc217446052"/>
      <w:bookmarkStart w:id="93" w:name="_Toc183582225"/>
      <w:bookmarkStart w:id="94" w:name="_Toc183682362"/>
      <w:r>
        <w:rPr>
          <w:rFonts w:hint="eastAsia" w:ascii="宋体" w:hAnsi="宋体" w:eastAsia="宋体" w:cs="宋体"/>
          <w:color w:val="auto"/>
          <w:sz w:val="24"/>
          <w:szCs w:val="24"/>
          <w:highlight w:val="none"/>
        </w:rPr>
        <w:t>17．投标文件的印制和签署</w:t>
      </w:r>
      <w:bookmarkEnd w:id="92"/>
      <w:bookmarkEnd w:id="93"/>
      <w:bookmarkEnd w:id="94"/>
    </w:p>
    <w:p>
      <w:pPr>
        <w:pStyle w:val="7"/>
        <w:pageBreakBefore w:val="0"/>
        <w:shd w:val="clear" w:color="auto" w:fill="auto"/>
        <w:kinsoku/>
        <w:wordWrap/>
        <w:overflowPunct/>
        <w:topLinePunct w:val="0"/>
        <w:autoSpaceDE/>
        <w:autoSpaceDN/>
        <w:bidi w:val="0"/>
        <w:spacing w:before="0" w:after="0" w:line="460" w:lineRule="exact"/>
        <w:ind w:left="0" w:leftChars="0" w:right="0" w:rightChars="0" w:firstLine="480" w:firstLineChars="200"/>
        <w:textAlignment w:val="auto"/>
        <w:rPr>
          <w:rFonts w:hint="eastAsia" w:ascii="宋体" w:hAnsi="宋体" w:eastAsia="宋体" w:cs="宋体"/>
          <w:b w:val="0"/>
          <w:bCs/>
          <w:color w:val="auto"/>
          <w:sz w:val="24"/>
          <w:szCs w:val="24"/>
          <w:highlight w:val="none"/>
          <w:shd w:val="clear" w:color="auto" w:fill="auto"/>
        </w:rPr>
      </w:pPr>
      <w:bookmarkStart w:id="95" w:name="_Toc217446054"/>
      <w:bookmarkStart w:id="96" w:name="_Toc183582227"/>
      <w:bookmarkStart w:id="97" w:name="_Toc183682364"/>
      <w:r>
        <w:rPr>
          <w:rFonts w:hint="eastAsia" w:ascii="宋体" w:hAnsi="宋体" w:eastAsia="宋体" w:cs="宋体"/>
          <w:b w:val="0"/>
          <w:bCs/>
          <w:color w:val="auto"/>
          <w:sz w:val="24"/>
          <w:szCs w:val="24"/>
          <w:highlight w:val="none"/>
          <w:shd w:val="clear" w:color="auto" w:fill="auto"/>
        </w:rPr>
        <w:t>1</w:t>
      </w:r>
      <w:r>
        <w:rPr>
          <w:rFonts w:hint="eastAsia" w:ascii="宋体" w:hAnsi="宋体" w:eastAsia="宋体" w:cs="宋体"/>
          <w:b w:val="0"/>
          <w:bCs/>
          <w:color w:val="auto"/>
          <w:sz w:val="24"/>
          <w:szCs w:val="24"/>
          <w:highlight w:val="none"/>
          <w:shd w:val="clear" w:color="auto" w:fill="auto"/>
          <w:lang w:val="en-US" w:eastAsia="zh-CN"/>
        </w:rPr>
        <w:t>7</w:t>
      </w:r>
      <w:r>
        <w:rPr>
          <w:rFonts w:hint="eastAsia" w:ascii="宋体" w:hAnsi="宋体" w:eastAsia="宋体" w:cs="宋体"/>
          <w:b w:val="0"/>
          <w:bCs/>
          <w:color w:val="auto"/>
          <w:sz w:val="24"/>
          <w:szCs w:val="24"/>
          <w:highlight w:val="none"/>
          <w:shd w:val="clear" w:color="auto" w:fill="auto"/>
        </w:rPr>
        <w:t>．响应文件的印制和签署</w:t>
      </w:r>
    </w:p>
    <w:p>
      <w:pPr>
        <w:pageBreakBefore w:val="0"/>
        <w:tabs>
          <w:tab w:val="left" w:pos="1080"/>
        </w:tabs>
        <w:kinsoku/>
        <w:wordWrap/>
        <w:overflowPunct/>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bCs/>
          <w:sz w:val="24"/>
          <w:szCs w:val="24"/>
          <w:highlight w:val="none"/>
          <w:lang w:eastAsia="zh-CN"/>
        </w:rPr>
      </w:pPr>
      <w:bookmarkStart w:id="98" w:name="_Toc183582226"/>
      <w:bookmarkStart w:id="99" w:name="_Toc183682363"/>
      <w:bookmarkStart w:id="100" w:name="_Toc77400781"/>
      <w:bookmarkStart w:id="101" w:name="_Toc89075877"/>
      <w:bookmarkStart w:id="102" w:name="_Toc217446053"/>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 xml:space="preserve">.1 </w:t>
      </w:r>
      <w:r>
        <w:rPr>
          <w:rFonts w:hint="eastAsia" w:ascii="宋体" w:hAnsi="宋体" w:eastAsia="宋体" w:cs="宋体"/>
          <w:b w:val="0"/>
          <w:bCs/>
          <w:sz w:val="24"/>
          <w:szCs w:val="24"/>
          <w:highlight w:val="none"/>
          <w:lang w:eastAsia="zh-CN"/>
        </w:rPr>
        <w:t>响应文件</w:t>
      </w:r>
      <w:r>
        <w:rPr>
          <w:rFonts w:hint="eastAsia" w:ascii="宋体" w:hAnsi="宋体" w:eastAsia="宋体" w:cs="宋体"/>
          <w:b w:val="0"/>
          <w:bCs/>
          <w:sz w:val="24"/>
          <w:szCs w:val="24"/>
          <w:highlight w:val="none"/>
        </w:rPr>
        <w:t>份数详见</w:t>
      </w:r>
      <w:r>
        <w:rPr>
          <w:rFonts w:hint="eastAsia" w:ascii="宋体" w:hAnsi="宋体" w:eastAsia="宋体" w:cs="宋体"/>
          <w:b w:val="0"/>
          <w:bCs/>
          <w:sz w:val="24"/>
          <w:szCs w:val="24"/>
          <w:highlight w:val="none"/>
          <w:lang w:eastAsia="zh-CN"/>
        </w:rPr>
        <w:t>“供应商</w:t>
      </w:r>
      <w:r>
        <w:rPr>
          <w:rFonts w:hint="eastAsia" w:ascii="宋体" w:hAnsi="宋体" w:eastAsia="宋体" w:cs="宋体"/>
          <w:b w:val="0"/>
          <w:bCs/>
          <w:sz w:val="24"/>
          <w:szCs w:val="24"/>
          <w:highlight w:val="none"/>
        </w:rPr>
        <w:t>须知前附表</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第16条</w:t>
      </w:r>
      <w:r>
        <w:rPr>
          <w:rFonts w:hint="eastAsia" w:ascii="宋体" w:hAnsi="宋体" w:eastAsia="宋体" w:cs="宋体"/>
          <w:b w:val="0"/>
          <w:bCs/>
          <w:sz w:val="24"/>
          <w:szCs w:val="24"/>
          <w:highlight w:val="none"/>
        </w:rPr>
        <w:t>。</w:t>
      </w:r>
    </w:p>
    <w:p>
      <w:pPr>
        <w:pageBreakBefore w:val="0"/>
        <w:tabs>
          <w:tab w:val="left" w:pos="1080"/>
        </w:tabs>
        <w:kinsoku/>
        <w:wordWrap/>
        <w:overflowPunct/>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.2 招标文件要求供应商法定代表人或者被授权代表签字处，均须加盖其个人电子印章，并逐页加盖单位公章的电子印章。</w:t>
      </w:r>
      <w:r>
        <w:rPr>
          <w:rFonts w:hint="eastAsia" w:ascii="宋体" w:hAnsi="宋体" w:eastAsia="宋体" w:cs="宋体"/>
          <w:b w:val="0"/>
          <w:bCs/>
          <w:sz w:val="24"/>
          <w:szCs w:val="24"/>
          <w:highlight w:val="none"/>
          <w:lang w:val="en-US" w:eastAsia="zh-CN"/>
        </w:rPr>
        <w:t xml:space="preserve">       </w:t>
      </w:r>
    </w:p>
    <w:p>
      <w:pPr>
        <w:pageBreakBefore w:val="0"/>
        <w:tabs>
          <w:tab w:val="left" w:pos="1080"/>
        </w:tabs>
        <w:kinsoku/>
        <w:wordWrap/>
        <w:overflowPunct/>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 xml:space="preserve">.4 </w:t>
      </w:r>
      <w:r>
        <w:rPr>
          <w:rFonts w:hint="eastAsia" w:ascii="宋体" w:hAnsi="宋体" w:eastAsia="宋体" w:cs="宋体"/>
          <w:b w:val="0"/>
          <w:bCs/>
          <w:color w:val="auto"/>
          <w:sz w:val="24"/>
          <w:szCs w:val="24"/>
          <w:highlight w:val="none"/>
          <w:lang w:eastAsia="zh-CN"/>
        </w:rPr>
        <w:t xml:space="preserve">本项目采用不见面开标 </w:t>
      </w:r>
    </w:p>
    <w:p>
      <w:pPr>
        <w:pStyle w:val="7"/>
        <w:pageBreakBefore w:val="0"/>
        <w:shd w:val="clear" w:color="auto" w:fill="auto"/>
        <w:kinsoku/>
        <w:wordWrap/>
        <w:overflowPunct/>
        <w:topLinePunct w:val="0"/>
        <w:autoSpaceDE/>
        <w:autoSpaceDN/>
        <w:bidi w:val="0"/>
        <w:spacing w:before="0" w:after="0" w:line="460" w:lineRule="exact"/>
        <w:ind w:left="0" w:leftChars="0" w:right="0" w:rightChars="0" w:firstLine="480" w:firstLineChars="2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18</w:t>
      </w:r>
      <w:r>
        <w:rPr>
          <w:rFonts w:hint="eastAsia" w:ascii="宋体" w:hAnsi="宋体" w:eastAsia="宋体" w:cs="宋体"/>
          <w:b w:val="0"/>
          <w:bCs/>
          <w:color w:val="auto"/>
          <w:sz w:val="24"/>
          <w:szCs w:val="24"/>
          <w:highlight w:val="none"/>
          <w:shd w:val="clear" w:color="auto" w:fill="auto"/>
        </w:rPr>
        <w:t>. 响应文件的密封和标</w:t>
      </w:r>
      <w:bookmarkEnd w:id="98"/>
      <w:bookmarkEnd w:id="99"/>
      <w:bookmarkEnd w:id="100"/>
      <w:bookmarkEnd w:id="101"/>
      <w:r>
        <w:rPr>
          <w:rFonts w:hint="eastAsia" w:ascii="宋体" w:hAnsi="宋体" w:eastAsia="宋体" w:cs="宋体"/>
          <w:b w:val="0"/>
          <w:bCs/>
          <w:color w:val="auto"/>
          <w:sz w:val="24"/>
          <w:szCs w:val="24"/>
          <w:highlight w:val="none"/>
          <w:shd w:val="clear" w:color="auto" w:fill="auto"/>
        </w:rPr>
        <w:t>注</w:t>
      </w:r>
      <w:bookmarkEnd w:id="102"/>
    </w:p>
    <w:p>
      <w:pPr>
        <w:pStyle w:val="7"/>
        <w:pageBreakBefore w:val="0"/>
        <w:shd w:val="clear" w:color="auto" w:fill="auto"/>
        <w:kinsoku/>
        <w:wordWrap/>
        <w:overflowPunct/>
        <w:topLinePunct w:val="0"/>
        <w:autoSpaceDE/>
        <w:autoSpaceDN/>
        <w:bidi w:val="0"/>
        <w:spacing w:before="0" w:after="0" w:line="460" w:lineRule="exact"/>
        <w:ind w:left="0" w:leftChars="0" w:right="0" w:rightChars="0" w:firstLine="480" w:firstLineChars="200"/>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本项目采用不见面开标，供应商须在投标截止时间前，将生成的“电子加密响应文件”上传递交至“政府采购云平台”，投标截止时间以后上传递交的响应文件将被“政府采购云平台”拒收。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19．投标文件的</w:t>
      </w:r>
      <w:bookmarkEnd w:id="95"/>
      <w:bookmarkEnd w:id="96"/>
      <w:bookmarkEnd w:id="97"/>
      <w:r>
        <w:rPr>
          <w:rFonts w:hint="eastAsia" w:ascii="宋体" w:hAnsi="宋体" w:cs="宋体"/>
          <w:color w:val="auto"/>
          <w:sz w:val="24"/>
          <w:szCs w:val="24"/>
          <w:highlight w:val="none"/>
          <w:lang w:eastAsia="zh-CN"/>
        </w:rPr>
        <w:t>上传</w:t>
      </w:r>
    </w:p>
    <w:p>
      <w:pPr>
        <w:pageBreakBefore w:val="0"/>
        <w:widowControl w:val="0"/>
        <w:tabs>
          <w:tab w:val="left" w:pos="10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投标人应在招标文件规定的投标截止时间前，按照投标人须知前附表规定及要求上传投标文件。</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bookmarkStart w:id="103" w:name="_Toc183682365"/>
      <w:bookmarkStart w:id="104" w:name="_Toc183582228"/>
      <w:bookmarkStart w:id="105" w:name="_Toc217446055"/>
      <w:r>
        <w:rPr>
          <w:rFonts w:hint="eastAsia" w:ascii="宋体" w:hAnsi="宋体" w:eastAsia="宋体" w:cs="宋体"/>
          <w:color w:val="auto"/>
          <w:sz w:val="24"/>
          <w:szCs w:val="24"/>
          <w:highlight w:val="none"/>
        </w:rPr>
        <w:t>20．投标文件的修改和撤</w:t>
      </w:r>
      <w:bookmarkEnd w:id="103"/>
      <w:bookmarkEnd w:id="104"/>
      <w:r>
        <w:rPr>
          <w:rFonts w:hint="eastAsia" w:ascii="宋体" w:hAnsi="宋体" w:eastAsia="宋体" w:cs="宋体"/>
          <w:color w:val="auto"/>
          <w:sz w:val="24"/>
          <w:szCs w:val="24"/>
          <w:highlight w:val="none"/>
        </w:rPr>
        <w:t>回</w:t>
      </w:r>
      <w:bookmarkEnd w:id="105"/>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20.1 投标人在投标截止时间前，可以对所</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的投标文件进行补充、修改或者撤回</w:t>
      </w:r>
      <w:r>
        <w:rPr>
          <w:rFonts w:hint="eastAsia" w:ascii="宋体" w:hAnsi="宋体" w:cs="宋体"/>
          <w:color w:val="auto"/>
          <w:sz w:val="24"/>
          <w:szCs w:val="24"/>
          <w:highlight w:val="none"/>
          <w:lang w:eastAsia="zh-CN"/>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在投标截止时间之后，投标人不得对其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的投标文件做任何修改或撤回投标。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投标文件中如果出现计算上或累加上的算术错误，可按以下原则进行修改：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（1）投标文件中投标函内容与投标报价明细表不一致的，以投标函为准；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（4）单价金额小数点或者百分比有明显错位的，以投标函的总价为准，并修改单价。</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06" w:name="_Toc77400782"/>
      <w:bookmarkStart w:id="107" w:name="_Toc183582231"/>
      <w:bookmarkStart w:id="108" w:name="_Toc217446056"/>
      <w:bookmarkStart w:id="109" w:name="_Toc89075878"/>
      <w:bookmarkStart w:id="110" w:name="_Toc183682368"/>
      <w:r>
        <w:rPr>
          <w:rFonts w:hint="eastAsia" w:ascii="宋体" w:hAnsi="宋体" w:eastAsia="宋体" w:cs="宋体"/>
          <w:color w:val="auto"/>
          <w:sz w:val="24"/>
          <w:szCs w:val="24"/>
          <w:highlight w:val="none"/>
        </w:rPr>
        <w:t>五、开标和</w:t>
      </w:r>
      <w:bookmarkEnd w:id="106"/>
      <w:bookmarkEnd w:id="107"/>
      <w:bookmarkEnd w:id="108"/>
      <w:bookmarkEnd w:id="109"/>
      <w:bookmarkEnd w:id="110"/>
      <w:r>
        <w:rPr>
          <w:rFonts w:hint="eastAsia" w:ascii="宋体" w:hAnsi="宋体" w:eastAsia="宋体" w:cs="宋体"/>
          <w:color w:val="auto"/>
          <w:sz w:val="24"/>
          <w:szCs w:val="24"/>
          <w:highlight w:val="none"/>
        </w:rPr>
        <w:t>中标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1" w:name="_Toc217446057"/>
      <w:bookmarkStart w:id="112" w:name="_Toc183682369"/>
      <w:bookmarkStart w:id="113" w:name="_Toc183582232"/>
      <w:r>
        <w:rPr>
          <w:rFonts w:hint="eastAsia" w:ascii="宋体" w:hAnsi="宋体" w:eastAsia="宋体" w:cs="宋体"/>
          <w:color w:val="auto"/>
          <w:sz w:val="24"/>
          <w:szCs w:val="24"/>
          <w:highlight w:val="none"/>
        </w:rPr>
        <w:t>21．开标</w:t>
      </w:r>
      <w:bookmarkEnd w:id="111"/>
      <w:bookmarkEnd w:id="112"/>
      <w:bookmarkEnd w:id="11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采购代理机构在招标文件规定的时间和地点组织招标活动，邀请下载招标文件并参与竞争的投标人参加开标，投标人未参加开标的，视同认可开标结果。</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开标时，采购代理机构可以邀请有关监督管理部门对开标进行现场监督。</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21.4宣布会场纪律和有关注意事项。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21.5开标时，</w:t>
      </w:r>
      <w:r>
        <w:rPr>
          <w:rFonts w:hint="eastAsia" w:ascii="宋体" w:hAnsi="宋体" w:cs="宋体"/>
          <w:color w:val="auto"/>
          <w:sz w:val="24"/>
          <w:szCs w:val="24"/>
          <w:highlight w:val="none"/>
          <w:lang w:eastAsia="zh-CN"/>
        </w:rPr>
        <w:t>投标单位完成在线解密后，由工作人员开始唱标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21.6</w:t>
      </w:r>
      <w:r>
        <w:rPr>
          <w:rFonts w:hint="eastAsia" w:ascii="宋体" w:hAnsi="宋体" w:cs="宋体"/>
          <w:color w:val="auto"/>
          <w:sz w:val="24"/>
          <w:szCs w:val="24"/>
          <w:highlight w:val="none"/>
          <w:lang w:eastAsia="zh-CN"/>
        </w:rPr>
        <w:t>唱标完毕后，如果投标人对所唱“报价一览表”内容有异议，应当立即提出。经现场监标人员确认，认为有必要重新唱标的，由唱标人员重新唱标。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22.资格审查及组建评标委员会</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22.1公开招标采购项目开标结束后，采购人或者采购代理机构应当依法对投标人的资格进行审查。合格投标人不足3家的，不得评标。</w:t>
      </w:r>
    </w:p>
    <w:p>
      <w:pPr>
        <w:pStyle w:val="41"/>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22.2符合性审查。符合性审查是指依据招标文件的规定，从商务和技术角度对投标文件的有效性和完整性进行审查，以确定是否对招标文件的实质性要求做出响应。</w:t>
      </w:r>
    </w:p>
    <w:p>
      <w:pPr>
        <w:pStyle w:val="41"/>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22.3评标委员会采用综合评分法对满足招标文件全部实质性要求的投标文件和投标报价进行综合评分。</w:t>
      </w:r>
    </w:p>
    <w:p>
      <w:pPr>
        <w:pStyle w:val="41"/>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pPr>
        <w:pStyle w:val="41"/>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22.5采购代理机构在评标结果后2个工作日内将评标报告送采购人确认。</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4" w:name="_Toc183582238"/>
      <w:bookmarkStart w:id="115" w:name="_Toc183682375"/>
      <w:bookmarkStart w:id="116" w:name="_Toc217446063"/>
      <w:r>
        <w:rPr>
          <w:rFonts w:hint="eastAsia" w:ascii="宋体" w:hAnsi="宋体" w:eastAsia="宋体" w:cs="宋体"/>
          <w:color w:val="auto"/>
          <w:sz w:val="24"/>
          <w:szCs w:val="24"/>
          <w:highlight w:val="none"/>
        </w:rPr>
        <w:t>23．中标通知</w:t>
      </w:r>
      <w:bookmarkEnd w:id="114"/>
      <w:bookmarkEnd w:id="115"/>
      <w:r>
        <w:rPr>
          <w:rFonts w:hint="eastAsia" w:ascii="宋体" w:hAnsi="宋体" w:eastAsia="宋体" w:cs="宋体"/>
          <w:color w:val="auto"/>
          <w:sz w:val="24"/>
          <w:szCs w:val="24"/>
          <w:highlight w:val="none"/>
        </w:rPr>
        <w:t>书</w:t>
      </w:r>
      <w:bookmarkEnd w:id="116"/>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中标通知书对采购人和中标人均具有法律效力。中标通知书发出后，采购人改变中标结果，或者中标人无正当理由放弃中标的，应当承担相应的法律责任。</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17" w:name="_Toc217446064"/>
      <w:bookmarkStart w:id="118" w:name="_Toc183682377"/>
      <w:bookmarkStart w:id="119" w:name="_Toc183582240"/>
      <w:r>
        <w:rPr>
          <w:rFonts w:hint="eastAsia" w:ascii="宋体" w:hAnsi="宋体" w:eastAsia="宋体" w:cs="宋体"/>
          <w:color w:val="auto"/>
          <w:sz w:val="24"/>
          <w:szCs w:val="24"/>
          <w:highlight w:val="none"/>
        </w:rPr>
        <w:t>六、签订及履行合同和验收</w:t>
      </w:r>
      <w:bookmarkEnd w:id="11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0" w:name="_Toc217446065"/>
      <w:r>
        <w:rPr>
          <w:rFonts w:hint="eastAsia" w:ascii="宋体" w:hAnsi="宋体" w:eastAsia="宋体" w:cs="宋体"/>
          <w:color w:val="auto"/>
          <w:sz w:val="24"/>
          <w:szCs w:val="24"/>
          <w:highlight w:val="none"/>
        </w:rPr>
        <w:t>24. 签订合同</w:t>
      </w:r>
      <w:bookmarkEnd w:id="120"/>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中标人因不可抗力原因不能履行招标合同或放弃中标的，采购人可以与排在中标人之后第一位的中标候选人签订采购合同，以此类推。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中标人在合同签订之后三个工作日内，将签订的合同（彩色扫描件）交至采购代理机构。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1" w:name="_Toc217446066"/>
      <w:r>
        <w:rPr>
          <w:rFonts w:hint="eastAsia" w:ascii="宋体" w:hAnsi="宋体" w:eastAsia="宋体" w:cs="宋体"/>
          <w:color w:val="auto"/>
          <w:sz w:val="24"/>
          <w:szCs w:val="24"/>
          <w:highlight w:val="none"/>
        </w:rPr>
        <w:t>25. 合同分包</w:t>
      </w:r>
      <w:bookmarkEnd w:id="121"/>
      <w:r>
        <w:rPr>
          <w:rFonts w:hint="eastAsia" w:ascii="宋体" w:hAnsi="宋体" w:eastAsia="宋体" w:cs="宋体"/>
          <w:color w:val="auto"/>
          <w:sz w:val="24"/>
          <w:szCs w:val="24"/>
          <w:highlight w:val="none"/>
        </w:rPr>
        <w:t>（如有）</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若本项目允许分包的，经采购人同意，中标人可以依法采取分包方式履行合同。这种要求应当在合同签订之前征得采购人同意，并且分包人履行分包项目的服务及技术要求等，必须与中标的一致。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招标合同实行分包履行的，中标人就招标项目和分包项目向采购人负责，分包人就分包项目承担责任。</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2" w:name="_Toc217446067"/>
      <w:r>
        <w:rPr>
          <w:rFonts w:hint="eastAsia" w:ascii="宋体" w:hAnsi="宋体" w:eastAsia="宋体" w:cs="宋体"/>
          <w:color w:val="auto"/>
          <w:sz w:val="24"/>
          <w:szCs w:val="24"/>
          <w:highlight w:val="none"/>
        </w:rPr>
        <w:t>26. 采购人增加合同标的权</w:t>
      </w:r>
      <w:bookmarkEnd w:id="122"/>
      <w:r>
        <w:rPr>
          <w:rFonts w:hint="eastAsia" w:ascii="宋体" w:hAnsi="宋体" w:eastAsia="宋体" w:cs="宋体"/>
          <w:color w:val="auto"/>
          <w:sz w:val="24"/>
          <w:szCs w:val="24"/>
          <w:highlight w:val="none"/>
        </w:rPr>
        <w:t>利</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3" w:name="_Toc217446068"/>
      <w:r>
        <w:rPr>
          <w:rFonts w:hint="eastAsia" w:ascii="宋体" w:hAnsi="宋体" w:eastAsia="宋体" w:cs="宋体"/>
          <w:color w:val="auto"/>
          <w:sz w:val="24"/>
          <w:szCs w:val="24"/>
          <w:highlight w:val="none"/>
        </w:rPr>
        <w:t>27. 履约保证金</w:t>
      </w:r>
      <w:bookmarkEnd w:id="12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27.1 详见“投标人须知前附表”第</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 xml:space="preserve">条。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4" w:name="_Toc217446069"/>
      <w:r>
        <w:rPr>
          <w:rFonts w:hint="eastAsia" w:ascii="宋体" w:hAnsi="宋体" w:eastAsia="宋体" w:cs="宋体"/>
          <w:color w:val="auto"/>
          <w:sz w:val="24"/>
          <w:szCs w:val="24"/>
          <w:highlight w:val="none"/>
        </w:rPr>
        <w:t>28. 履行合同</w:t>
      </w:r>
      <w:bookmarkEnd w:id="124"/>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中标人与采购人签订合同后，合同双方应严格执行合同条款，履行合同规定的义务，保证合同的顺利完成。</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在合同履行过程中，如发生合同纠纷，合同双方应按照《中华人民共和国民法典》的有关规定进行处理。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5" w:name="_Toc217446070"/>
      <w:r>
        <w:rPr>
          <w:rFonts w:hint="eastAsia" w:ascii="宋体" w:hAnsi="宋体" w:eastAsia="宋体" w:cs="宋体"/>
          <w:color w:val="auto"/>
          <w:sz w:val="24"/>
          <w:szCs w:val="24"/>
          <w:highlight w:val="none"/>
        </w:rPr>
        <w:t>29. 验收</w:t>
      </w:r>
      <w:bookmarkEnd w:id="125"/>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bookmarkStart w:id="126" w:name="_Toc217446071"/>
      <w:r>
        <w:rPr>
          <w:rFonts w:hint="eastAsia" w:ascii="宋体" w:hAnsi="宋体" w:eastAsia="宋体" w:cs="宋体"/>
          <w:color w:val="auto"/>
          <w:sz w:val="24"/>
          <w:szCs w:val="24"/>
          <w:highlight w:val="none"/>
        </w:rPr>
        <w:t>中标人与采购人应严格按照国家财政部《关于进一步加强政府采购需求和履约验收管理的指导意见》（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）的要求进行验收。</w:t>
      </w:r>
    </w:p>
    <w:bookmarkEnd w:id="118"/>
    <w:bookmarkEnd w:id="119"/>
    <w:bookmarkEnd w:id="126"/>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bookmarkStart w:id="127" w:name="_Toc217446074"/>
      <w:bookmarkStart w:id="128" w:name="_Toc183682380"/>
      <w:bookmarkStart w:id="129" w:name="_Toc183582243"/>
      <w:r>
        <w:rPr>
          <w:rFonts w:hint="eastAsia" w:ascii="宋体" w:hAnsi="宋体" w:eastAsia="宋体" w:cs="宋体"/>
          <w:color w:val="auto"/>
          <w:sz w:val="24"/>
          <w:szCs w:val="24"/>
          <w:highlight w:val="none"/>
        </w:rPr>
        <w:t>七、投标纪律要求</w:t>
      </w:r>
      <w:bookmarkEnd w:id="12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0" w:name="_Toc217446075"/>
      <w:r>
        <w:rPr>
          <w:rFonts w:hint="eastAsia" w:ascii="宋体" w:hAnsi="宋体" w:eastAsia="宋体" w:cs="宋体"/>
          <w:color w:val="auto"/>
          <w:sz w:val="24"/>
          <w:szCs w:val="24"/>
          <w:highlight w:val="none"/>
        </w:rPr>
        <w:t>30. 投标人不得具有的情形</w:t>
      </w:r>
      <w:bookmarkEnd w:id="130"/>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 w:val="0"/>
          <w:bCs w:val="0"/>
          <w:color w:val="auto"/>
          <w:sz w:val="24"/>
          <w:szCs w:val="24"/>
          <w:highlight w:val="none"/>
        </w:rPr>
      </w:pPr>
      <w:bookmarkStart w:id="131" w:name="_Toc217446076"/>
      <w:r>
        <w:rPr>
          <w:rFonts w:hint="eastAsia" w:ascii="宋体" w:hAnsi="宋体" w:eastAsia="宋体" w:cs="宋体"/>
          <w:color w:val="auto"/>
          <w:sz w:val="24"/>
          <w:szCs w:val="24"/>
          <w:highlight w:val="none"/>
        </w:rPr>
        <w:t>八、</w:t>
      </w:r>
      <w:bookmarkEnd w:id="131"/>
      <w:r>
        <w:rPr>
          <w:rFonts w:hint="eastAsia" w:ascii="宋体" w:hAnsi="宋体" w:eastAsia="宋体" w:cs="宋体"/>
          <w:color w:val="auto"/>
          <w:sz w:val="24"/>
          <w:szCs w:val="24"/>
          <w:highlight w:val="none"/>
        </w:rPr>
        <w:t>合同价款支付</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2" w:name="_Toc217446077"/>
      <w:r>
        <w:rPr>
          <w:rFonts w:hint="eastAsia" w:ascii="宋体" w:hAnsi="宋体" w:eastAsia="宋体" w:cs="宋体"/>
          <w:color w:val="auto"/>
          <w:sz w:val="24"/>
          <w:szCs w:val="24"/>
          <w:highlight w:val="none"/>
        </w:rPr>
        <w:t>31. 申请支付</w:t>
      </w:r>
      <w:bookmarkEnd w:id="132"/>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31.1招标项目验收合格，采购人签署《验收结算书》后，向财政部门提出支付申请。采购人的自有资金，由采购人直接支付给中标人或者按照有关合同规定执行。</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财政部门根据采购人的支付申请，并对采购合同进行审核后，直接支付给中标人。</w:t>
      </w:r>
      <w:bookmarkStart w:id="133" w:name="_Toc217446078"/>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3"/>
      <w:bookmarkStart w:id="134" w:name="_Toc217446079"/>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4"/>
      <w:r>
        <w:rPr>
          <w:rFonts w:hint="eastAsia" w:ascii="宋体" w:hAnsi="宋体" w:eastAsia="宋体" w:cs="宋体"/>
          <w:color w:val="auto"/>
          <w:sz w:val="24"/>
          <w:szCs w:val="24"/>
          <w:highlight w:val="none"/>
        </w:rPr>
        <w:t>2．质疑、投诉的接收和处理严格按照《中华人共和国政府采购法</w:t>
      </w:r>
      <w:bookmarkEnd w:id="128"/>
      <w:bookmarkEnd w:id="129"/>
      <w:r>
        <w:rPr>
          <w:rFonts w:hint="eastAsia" w:ascii="宋体" w:hAnsi="宋体" w:eastAsia="宋体" w:cs="宋体"/>
          <w:color w:val="auto"/>
          <w:sz w:val="24"/>
          <w:szCs w:val="24"/>
          <w:highlight w:val="none"/>
        </w:rPr>
        <w:t>》、《政府采购质疑和投诉办法》、《财政部关于加强政府采购投标人投诉受理审查工作的通知》的规定办理。</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32.1投标人认为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32.2潜在投标人已依法获取其可质疑的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的，可以对该文件提出质疑。对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提出质疑的，应当在获取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公告期限届满之日起7个工作日内提出。</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32.4投标人提出质疑应当提交质疑函和必要的证明材料。质疑函应当包括下列内容：</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pPr>
        <w:pStyle w:val="2"/>
        <w:pageBreakBefore w:val="0"/>
        <w:widowControl w:val="0"/>
        <w:kinsoku/>
        <w:wordWrap/>
        <w:overflowPunct/>
        <w:topLinePunct w:val="0"/>
        <w:autoSpaceDE/>
        <w:autoSpaceDN/>
        <w:bidi w:val="0"/>
        <w:adjustRightInd/>
        <w:spacing w:line="480" w:lineRule="exact"/>
        <w:ind w:firstLine="480"/>
        <w:textAlignment w:val="auto"/>
        <w:rPr>
          <w:rStyle w:val="37"/>
          <w:rFonts w:hint="default" w:ascii="宋体" w:hAnsi="宋体"/>
          <w:bCs/>
          <w:color w:val="auto"/>
          <w:sz w:val="24"/>
          <w:highlight w:val="none"/>
          <w:lang w:val="en-US"/>
        </w:rPr>
      </w:pPr>
      <w:r>
        <w:rPr>
          <w:rFonts w:hint="eastAsia" w:ascii="宋体" w:hAnsi="宋体" w:eastAsia="宋体" w:cs="宋体"/>
          <w:color w:val="auto"/>
          <w:sz w:val="24"/>
          <w:szCs w:val="24"/>
          <w:highlight w:val="none"/>
        </w:rPr>
        <w:t>联系人及联系电话：</w:t>
      </w:r>
      <w:r>
        <w:rPr>
          <w:rFonts w:hint="eastAsia" w:ascii="宋体" w:hAnsi="宋体" w:cs="宋体"/>
          <w:color w:val="auto"/>
          <w:sz w:val="24"/>
          <w:szCs w:val="24"/>
          <w:highlight w:val="none"/>
          <w:lang w:val="en-US" w:eastAsia="zh-CN"/>
        </w:rPr>
        <w:t>余宗键</w:t>
      </w:r>
      <w:r>
        <w:rPr>
          <w:rStyle w:val="37"/>
          <w:rFonts w:hint="eastAsia" w:ascii="宋体" w:hAnsi="宋体"/>
          <w:bCs/>
          <w:color w:val="auto"/>
          <w:sz w:val="24"/>
          <w:highlight w:val="none"/>
          <w:lang w:val="en-US" w:eastAsia="zh-CN"/>
        </w:rPr>
        <w:t>18699026580</w:t>
      </w:r>
    </w:p>
    <w:p>
      <w:pPr>
        <w:pStyle w:val="2"/>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通讯地址：乌鲁木齐市水磨沟区龙盛街898号万科中央公园S6栋5层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32.7投诉人应当根据《政府采购质疑和投诉办法》第七条第二款规定的信息内容，并按照其规定的方式提起投诉。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pPr>
        <w:pStyle w:val="29"/>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adjustRightInd w:val="0"/>
        <w:snapToGrid w:val="0"/>
        <w:spacing w:line="500" w:lineRule="exact"/>
        <w:ind w:firstLine="480" w:firstLineChars="200"/>
        <w:rPr>
          <w:rFonts w:hint="eastAsia" w:ascii="宋体" w:hAnsi="宋体" w:eastAsia="宋体" w:cs="宋体"/>
          <w:color w:val="auto"/>
          <w:sz w:val="24"/>
          <w:szCs w:val="24"/>
          <w:highlight w:val="none"/>
        </w:rPr>
      </w:pPr>
    </w:p>
    <w:p>
      <w:pPr>
        <w:spacing w:line="500" w:lineRule="exact"/>
        <w:ind w:firstLine="482" w:firstLineChars="200"/>
        <w:jc w:val="center"/>
        <w:rPr>
          <w:rFonts w:hint="eastAsia" w:ascii="宋体" w:hAnsi="宋体" w:eastAsia="宋体" w:cs="宋体"/>
          <w:b/>
          <w:bCs/>
          <w:color w:val="auto"/>
          <w:sz w:val="24"/>
          <w:szCs w:val="24"/>
          <w:highlight w:val="none"/>
        </w:rPr>
      </w:pP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
        <w:spacing w:line="500" w:lineRule="exact"/>
        <w:ind w:firstLine="480"/>
        <w:rPr>
          <w:rFonts w:hint="eastAsia" w:ascii="宋体" w:hAnsi="宋体" w:eastAsia="宋体" w:cs="宋体"/>
          <w:color w:val="auto"/>
          <w:sz w:val="24"/>
          <w:szCs w:val="24"/>
          <w:highlight w:val="none"/>
        </w:rPr>
      </w:pPr>
    </w:p>
    <w:p>
      <w:pPr>
        <w:spacing w:after="340"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5" w:name="_Toc21780"/>
      <w:bookmarkStart w:id="136" w:name="_Toc5850_WPSOffice_Level1"/>
      <w:r>
        <w:rPr>
          <w:rFonts w:hint="eastAsia" w:ascii="宋体" w:hAnsi="宋体" w:eastAsia="宋体" w:cs="宋体"/>
          <w:b/>
          <w:bCs/>
          <w:color w:val="auto"/>
          <w:sz w:val="24"/>
          <w:szCs w:val="24"/>
          <w:highlight w:val="none"/>
        </w:rPr>
        <w:t>第三章  投标文件格式</w:t>
      </w:r>
      <w:bookmarkEnd w:id="135"/>
      <w:bookmarkEnd w:id="136"/>
    </w:p>
    <w:p>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pPr>
        <w:spacing w:line="460" w:lineRule="exact"/>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pPr>
        <w:spacing w:line="460" w:lineRule="exact"/>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pPr>
        <w:pStyle w:val="29"/>
        <w:rPr>
          <w:rFonts w:hint="eastAsia" w:ascii="宋体" w:hAnsi="宋体" w:eastAsia="宋体" w:cs="宋体"/>
          <w:color w:val="auto"/>
          <w:sz w:val="24"/>
          <w:szCs w:val="24"/>
          <w:highlight w:val="none"/>
        </w:rPr>
      </w:pP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pPr>
        <w:spacing w:line="460" w:lineRule="exact"/>
        <w:ind w:firstLine="504"/>
        <w:rPr>
          <w:rFonts w:hint="eastAsia" w:ascii="宋体" w:hAnsi="宋体" w:eastAsia="宋体" w:cs="宋体"/>
          <w:b/>
          <w:color w:val="auto"/>
          <w:sz w:val="24"/>
          <w:szCs w:val="24"/>
          <w:highlight w:val="none"/>
        </w:rPr>
      </w:pPr>
    </w:p>
    <w:p>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pPr>
        <w:tabs>
          <w:tab w:val="left" w:pos="3480"/>
        </w:tabs>
        <w:spacing w:line="500" w:lineRule="exact"/>
        <w:ind w:firstLine="480" w:firstLineChars="200"/>
        <w:rPr>
          <w:rFonts w:hint="eastAsia" w:ascii="宋体" w:hAnsi="宋体" w:eastAsia="宋体" w:cs="宋体"/>
          <w:color w:val="auto"/>
          <w:sz w:val="24"/>
          <w:szCs w:val="24"/>
          <w:highlight w:val="none"/>
        </w:rPr>
      </w:pPr>
      <w:bookmarkStart w:id="137" w:name="_Toc217446082"/>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三、投标报价明细表</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四、投标人基本情况表</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五、投标人类似项目业绩一览表</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六、商务、技术需求偏离表</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七、拟配备人员情况</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八、实施方案</w:t>
      </w:r>
    </w:p>
    <w:p>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、投标人认为需要提供的其他文件和资料</w:t>
      </w:r>
    </w:p>
    <w:p>
      <w:pPr>
        <w:tabs>
          <w:tab w:val="left" w:pos="3480"/>
        </w:tabs>
        <w:spacing w:line="500" w:lineRule="exact"/>
        <w:ind w:firstLine="480" w:firstLineChars="200"/>
        <w:rPr>
          <w:rFonts w:hint="eastAsia" w:ascii="宋体" w:hAnsi="宋体" w:eastAsia="宋体" w:cs="宋体"/>
          <w:color w:val="auto"/>
          <w:sz w:val="24"/>
          <w:szCs w:val="24"/>
          <w:highlight w:val="none"/>
        </w:rPr>
      </w:pPr>
    </w:p>
    <w:p>
      <w:pPr>
        <w:pStyle w:val="2"/>
        <w:spacing w:line="500" w:lineRule="exact"/>
        <w:ind w:firstLine="480"/>
        <w:rPr>
          <w:rFonts w:hint="eastAsia" w:ascii="宋体" w:hAnsi="宋体" w:eastAsia="宋体" w:cs="宋体"/>
          <w:color w:val="auto"/>
          <w:sz w:val="24"/>
          <w:szCs w:val="24"/>
          <w:highlight w:val="none"/>
        </w:rPr>
      </w:pP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：投标人应按以上目录顺序编排投标文件，并标注相应页码。）</w:t>
      </w: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7"/>
      <w:r>
        <w:rPr>
          <w:rFonts w:hint="eastAsia" w:ascii="宋体" w:hAnsi="宋体" w:eastAsia="宋体" w:cs="宋体"/>
          <w:b/>
          <w:bCs/>
          <w:color w:val="auto"/>
          <w:sz w:val="24"/>
          <w:szCs w:val="24"/>
          <w:highlight w:val="none"/>
        </w:rPr>
        <w:t>投标函</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bookmarkStart w:id="138" w:name="_Toc217446083"/>
      <w:r>
        <w:rPr>
          <w:rFonts w:hint="eastAsia" w:ascii="宋体" w:hAnsi="宋体" w:eastAsia="宋体" w:cs="宋体"/>
          <w:bCs/>
          <w:color w:val="auto"/>
          <w:sz w:val="24"/>
          <w:szCs w:val="24"/>
          <w:highlight w:val="none"/>
        </w:rPr>
        <w:t>__________（采购人）：</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（投标人的名称）全权处理本项目投标的有关事宜。</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w:t>
      </w:r>
      <w:r>
        <w:rPr>
          <w:rFonts w:hint="eastAsia" w:ascii="宋体" w:hAnsi="宋体" w:cs="宋体"/>
          <w:bCs/>
          <w:color w:val="auto"/>
          <w:sz w:val="24"/>
          <w:szCs w:val="24"/>
          <w:highlight w:val="none"/>
          <w:lang w:val="en-US" w:eastAsia="zh-CN"/>
        </w:rPr>
        <w:t>货物</w:t>
      </w:r>
      <w:r>
        <w:rPr>
          <w:rFonts w:hint="eastAsia" w:ascii="宋体" w:hAnsi="宋体" w:eastAsia="宋体" w:cs="宋体"/>
          <w:bCs/>
          <w:color w:val="auto"/>
          <w:sz w:val="24"/>
          <w:szCs w:val="24"/>
          <w:highlight w:val="none"/>
        </w:rPr>
        <w:t>，总投标价为人民币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日历天。</w:t>
      </w:r>
    </w:p>
    <w:p>
      <w:pPr>
        <w:pStyle w:val="17"/>
        <w:spacing w:after="0" w:line="500" w:lineRule="exact"/>
        <w:ind w:left="0" w:left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 w:val="0"/>
          <w:bCs/>
          <w:color w:val="auto"/>
          <w:sz w:val="24"/>
          <w:szCs w:val="24"/>
          <w:highlight w:val="none"/>
          <w:shd w:val="clear" w:color="auto" w:fill="auto"/>
        </w:rPr>
        <w:t>一旦我方成交，我方将严格履行合同规定的责任和义务，</w:t>
      </w:r>
      <w:r>
        <w:rPr>
          <w:rFonts w:hint="eastAsia" w:ascii="宋体" w:hAnsi="宋体" w:cs="宋体"/>
          <w:b w:val="0"/>
          <w:bCs/>
          <w:color w:val="auto"/>
          <w:sz w:val="24"/>
          <w:szCs w:val="24"/>
          <w:highlight w:val="none"/>
          <w:shd w:val="clear" w:color="auto" w:fill="auto"/>
          <w:lang w:val="en-US" w:eastAsia="zh-CN"/>
        </w:rPr>
        <w:t>供货</w:t>
      </w:r>
      <w:r>
        <w:rPr>
          <w:rFonts w:hint="eastAsia" w:ascii="宋体" w:hAnsi="宋体" w:eastAsia="宋体" w:cs="宋体"/>
          <w:b w:val="0"/>
          <w:bCs/>
          <w:color w:val="auto"/>
          <w:sz w:val="24"/>
          <w:szCs w:val="24"/>
          <w:highlight w:val="none"/>
          <w:shd w:val="clear" w:color="auto" w:fill="auto"/>
          <w:lang w:eastAsia="zh-CN"/>
        </w:rPr>
        <w:t>期</w:t>
      </w:r>
      <w:r>
        <w:rPr>
          <w:rFonts w:hint="eastAsia" w:ascii="宋体" w:hAnsi="宋体" w:eastAsia="宋体" w:cs="宋体"/>
          <w:b w:val="0"/>
          <w:bCs/>
          <w:color w:val="auto"/>
          <w:sz w:val="24"/>
          <w:szCs w:val="24"/>
          <w:highlight w:val="none"/>
          <w:shd w:val="clear" w:color="auto" w:fill="auto"/>
        </w:rPr>
        <w:t>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u w:val="none"/>
          <w:shd w:val="clear" w:color="auto" w:fill="auto"/>
          <w:lang w:val="en-US" w:eastAsia="zh-CN"/>
        </w:rPr>
        <w:t>，</w:t>
      </w:r>
      <w:r>
        <w:rPr>
          <w:rFonts w:hint="eastAsia" w:ascii="宋体" w:hAnsi="宋体" w:cs="宋体"/>
          <w:b w:val="0"/>
          <w:bCs/>
          <w:color w:val="auto"/>
          <w:sz w:val="24"/>
          <w:szCs w:val="24"/>
          <w:highlight w:val="none"/>
          <w:u w:val="none"/>
          <w:shd w:val="clear" w:color="auto" w:fill="auto"/>
          <w:lang w:val="en-US" w:eastAsia="zh-CN"/>
        </w:rPr>
        <w:t>质保期</w:t>
      </w:r>
      <w:r>
        <w:rPr>
          <w:rFonts w:hint="eastAsia" w:ascii="宋体" w:hAnsi="宋体" w:cs="宋体"/>
          <w:b w:val="0"/>
          <w:bCs/>
          <w:color w:val="auto"/>
          <w:sz w:val="24"/>
          <w:szCs w:val="24"/>
          <w:highlight w:val="none"/>
          <w:u w:val="single"/>
          <w:shd w:val="clear" w:color="auto" w:fill="auto"/>
          <w:lang w:val="en-US" w:eastAsia="zh-CN"/>
        </w:rPr>
        <w:t>：      ，</w:t>
      </w:r>
      <w:r>
        <w:rPr>
          <w:rFonts w:hint="eastAsia" w:ascii="宋体" w:hAnsi="宋体" w:eastAsia="宋体" w:cs="宋体"/>
          <w:b w:val="0"/>
          <w:bCs/>
          <w:color w:val="auto"/>
          <w:sz w:val="24"/>
          <w:szCs w:val="24"/>
          <w:highlight w:val="none"/>
          <w:shd w:val="clear" w:color="auto" w:fill="auto"/>
        </w:rPr>
        <w:t>并达到采购人要</w:t>
      </w:r>
      <w:r>
        <w:rPr>
          <w:rFonts w:hint="eastAsia" w:ascii="宋体" w:hAnsi="宋体" w:eastAsia="宋体" w:cs="宋体"/>
          <w:b w:val="0"/>
          <w:bCs/>
          <w:color w:val="auto"/>
          <w:sz w:val="24"/>
          <w:szCs w:val="24"/>
          <w:highlight w:val="none"/>
          <w:u w:val="none"/>
          <w:shd w:val="clear" w:color="auto" w:fill="auto"/>
        </w:rPr>
        <w:t>求</w:t>
      </w:r>
      <w:r>
        <w:rPr>
          <w:rFonts w:hint="eastAsia" w:ascii="宋体" w:hAnsi="宋体" w:cs="宋体"/>
          <w:bCs/>
          <w:color w:val="auto"/>
          <w:sz w:val="24"/>
          <w:szCs w:val="24"/>
          <w:highlight w:val="none"/>
          <w:u w:val="none"/>
          <w:lang w:eastAsia="zh-CN"/>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pPr>
        <w:pStyle w:val="17"/>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pPr>
        <w:pStyle w:val="17"/>
        <w:spacing w:after="0" w:line="500" w:lineRule="exact"/>
        <w:ind w:left="0" w:leftChars="0" w:firstLine="480" w:firstLineChars="200"/>
        <w:jc w:val="center"/>
        <w:rPr>
          <w:rFonts w:hint="eastAsia" w:ascii="宋体" w:hAnsi="宋体" w:eastAsia="宋体" w:cs="宋体"/>
          <w:bCs/>
          <w:color w:val="auto"/>
          <w:sz w:val="24"/>
          <w:szCs w:val="24"/>
          <w:highlight w:val="none"/>
        </w:rPr>
      </w:pPr>
    </w:p>
    <w:p>
      <w:pPr>
        <w:pStyle w:val="17"/>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pPr>
        <w:pStyle w:val="17"/>
        <w:spacing w:after="0" w:line="500" w:lineRule="exact"/>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授权人或被授权人（签字或盖章）</w:t>
      </w:r>
      <w:r>
        <w:rPr>
          <w:rFonts w:hint="eastAsia" w:ascii="宋体" w:hAnsi="宋体" w:eastAsia="宋体" w:cs="宋体"/>
          <w:bCs/>
          <w:color w:val="auto"/>
          <w:sz w:val="24"/>
          <w:szCs w:val="24"/>
          <w:highlight w:val="none"/>
        </w:rPr>
        <w:t>：</w:t>
      </w:r>
    </w:p>
    <w:p>
      <w:pPr>
        <w:pStyle w:val="17"/>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pPr>
        <w:pStyle w:val="17"/>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pPr>
        <w:pStyle w:val="17"/>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pPr>
        <w:pStyle w:val="41"/>
        <w:spacing w:line="460" w:lineRule="exact"/>
        <w:ind w:firstLine="3360" w:firstLineChars="1400"/>
        <w:rPr>
          <w:rFonts w:hint="eastAsia" w:ascii="宋体" w:hAnsi="宋体" w:eastAsia="宋体" w:cs="宋体"/>
          <w:bCs/>
          <w:color w:val="auto"/>
          <w:sz w:val="24"/>
          <w:szCs w:val="24"/>
          <w:highlight w:val="none"/>
        </w:rPr>
      </w:pPr>
    </w:p>
    <w:p>
      <w:pPr>
        <w:pStyle w:val="41"/>
        <w:spacing w:line="460" w:lineRule="exact"/>
        <w:ind w:firstLine="3360" w:firstLineChars="1400"/>
        <w:rPr>
          <w:rFonts w:hint="eastAsia" w:ascii="宋体" w:hAnsi="宋体" w:eastAsia="宋体" w:cs="宋体"/>
          <w:bCs/>
          <w:color w:val="auto"/>
          <w:sz w:val="24"/>
          <w:szCs w:val="24"/>
          <w:highlight w:val="none"/>
        </w:rPr>
      </w:pPr>
    </w:p>
    <w:p>
      <w:pPr>
        <w:pStyle w:val="41"/>
        <w:spacing w:line="460" w:lineRule="exact"/>
        <w:ind w:firstLine="3360" w:firstLineChars="1400"/>
        <w:rPr>
          <w:rFonts w:hint="eastAsia" w:ascii="宋体" w:hAnsi="宋体" w:eastAsia="宋体" w:cs="宋体"/>
          <w:bCs/>
          <w:color w:val="auto"/>
          <w:sz w:val="24"/>
          <w:szCs w:val="24"/>
          <w:highlight w:val="none"/>
        </w:rPr>
      </w:pPr>
    </w:p>
    <w:p>
      <w:pPr>
        <w:pStyle w:val="41"/>
        <w:spacing w:line="460" w:lineRule="exact"/>
        <w:ind w:firstLine="3360" w:firstLineChars="1400"/>
        <w:rPr>
          <w:rFonts w:hint="eastAsia" w:ascii="宋体" w:hAnsi="宋体" w:eastAsia="宋体" w:cs="宋体"/>
          <w:bCs/>
          <w:color w:val="auto"/>
          <w:sz w:val="24"/>
          <w:szCs w:val="24"/>
          <w:highlight w:val="none"/>
        </w:rPr>
      </w:pPr>
    </w:p>
    <w:p>
      <w:pPr>
        <w:pStyle w:val="41"/>
        <w:spacing w:line="460" w:lineRule="exact"/>
        <w:ind w:firstLine="3360" w:firstLineChars="1400"/>
        <w:rPr>
          <w:rFonts w:hint="eastAsia" w:ascii="宋体" w:hAnsi="宋体" w:eastAsia="宋体" w:cs="宋体"/>
          <w:bCs/>
          <w:color w:val="auto"/>
          <w:sz w:val="24"/>
          <w:szCs w:val="24"/>
          <w:highlight w:val="none"/>
        </w:rPr>
      </w:pPr>
    </w:p>
    <w:p>
      <w:pPr>
        <w:pStyle w:val="5"/>
        <w:numPr>
          <w:ilvl w:val="0"/>
          <w:numId w:val="4"/>
        </w:numPr>
        <w:spacing w:before="156" w:after="156"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身份证明书及授权委托书</w:t>
      </w:r>
    </w:p>
    <w:p>
      <w:pPr>
        <w:spacing w:line="500" w:lineRule="exact"/>
        <w:ind w:firstLine="482" w:firstLineChars="200"/>
        <w:jc w:val="center"/>
        <w:rPr>
          <w:rFonts w:hint="eastAsia" w:ascii="宋体" w:hAnsi="宋体" w:eastAsia="宋体" w:cs="宋体"/>
          <w:b/>
          <w:bCs/>
          <w:color w:val="auto"/>
          <w:sz w:val="24"/>
          <w:szCs w:val="24"/>
          <w:highlight w:val="none"/>
        </w:rPr>
      </w:pPr>
    </w:p>
    <w:p>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身份证明书（投标人为法人）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法定代表人身份证正反面彩色扫描件</w:t>
      </w:r>
      <w:r>
        <w:rPr>
          <w:rFonts w:hint="eastAsia" w:ascii="宋体" w:hAnsi="宋体" w:eastAsia="宋体" w:cs="宋体"/>
          <w:b/>
          <w:bCs/>
          <w:color w:val="auto"/>
          <w:sz w:val="24"/>
          <w:szCs w:val="24"/>
          <w:highlight w:val="none"/>
          <w:lang w:eastAsia="zh-CN"/>
        </w:rPr>
        <w:t>。</w:t>
      </w: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投标人名称（盖章）：</w:t>
      </w:r>
      <w:r>
        <w:rPr>
          <w:rFonts w:hint="eastAsia" w:ascii="宋体" w:hAnsi="宋体" w:eastAsia="宋体" w:cs="宋体"/>
          <w:color w:val="auto"/>
          <w:sz w:val="24"/>
          <w:szCs w:val="24"/>
          <w:highlight w:val="none"/>
          <w:u w:val="single"/>
        </w:rPr>
        <w:t xml:space="preserve">                  </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pPr>
        <w:snapToGrid w:val="0"/>
        <w:spacing w:line="500" w:lineRule="exact"/>
        <w:ind w:firstLine="482" w:firstLineChars="200"/>
        <w:jc w:val="center"/>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spacing w:line="500" w:lineRule="exact"/>
        <w:ind w:firstLine="482" w:firstLineChars="200"/>
        <w:jc w:val="center"/>
        <w:rPr>
          <w:rFonts w:hint="eastAsia" w:ascii="宋体" w:hAnsi="宋体" w:eastAsia="宋体" w:cs="宋体"/>
          <w:b/>
          <w:bCs/>
          <w:color w:val="auto"/>
          <w:sz w:val="24"/>
          <w:szCs w:val="24"/>
          <w:highlight w:val="none"/>
        </w:rPr>
      </w:pPr>
    </w:p>
    <w:p>
      <w:pPr>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身份证明书（投标人为非法人）</w:t>
      </w:r>
    </w:p>
    <w:p>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color w:val="auto"/>
          <w:sz w:val="24"/>
          <w:szCs w:val="24"/>
          <w:highlight w:val="none"/>
        </w:rPr>
      </w:pPr>
    </w:p>
    <w:p>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       </w:t>
      </w:r>
    </w:p>
    <w:p>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pPr>
        <w:snapToGrid w:val="0"/>
        <w:spacing w:line="500" w:lineRule="exact"/>
        <w:ind w:firstLine="480" w:firstLineChars="200"/>
        <w:rPr>
          <w:rFonts w:hint="eastAsia" w:ascii="宋体" w:hAnsi="宋体" w:eastAsia="宋体" w:cs="宋体"/>
          <w:color w:val="auto"/>
          <w:sz w:val="24"/>
          <w:szCs w:val="24"/>
          <w:highlight w:val="none"/>
        </w:rPr>
      </w:pPr>
    </w:p>
    <w:p>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napToGrid w:val="0"/>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身份证正反面彩色扫描件</w:t>
      </w:r>
      <w:r>
        <w:rPr>
          <w:rFonts w:hint="eastAsia" w:ascii="宋体" w:hAnsi="宋体" w:eastAsia="宋体" w:cs="宋体"/>
          <w:b/>
          <w:bCs/>
          <w:color w:val="auto"/>
          <w:sz w:val="24"/>
          <w:szCs w:val="24"/>
          <w:highlight w:val="none"/>
          <w:lang w:eastAsia="zh-CN"/>
        </w:rPr>
        <w:t>。</w:t>
      </w: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投标人（签字或盖章）：</w:t>
      </w:r>
      <w:r>
        <w:rPr>
          <w:rFonts w:hint="eastAsia" w:ascii="宋体" w:hAnsi="宋体" w:eastAsia="宋体" w:cs="宋体"/>
          <w:color w:val="auto"/>
          <w:sz w:val="24"/>
          <w:szCs w:val="24"/>
          <w:highlight w:val="none"/>
          <w:u w:val="single"/>
        </w:rPr>
        <w:t xml:space="preserve">                  </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pPr>
        <w:pStyle w:val="13"/>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法定代表人授权委托书（投标人为法人）</w:t>
      </w:r>
    </w:p>
    <w:p>
      <w:pPr>
        <w:pStyle w:val="29"/>
        <w:spacing w:line="500" w:lineRule="exact"/>
        <w:ind w:firstLine="480" w:firstLineChars="200"/>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附：法定代表人及被授权人身份证正反面彩色扫描件</w:t>
      </w:r>
    </w:p>
    <w:p>
      <w:pPr>
        <w:pStyle w:val="29"/>
        <w:spacing w:line="500" w:lineRule="exact"/>
        <w:ind w:firstLine="480" w:firstLineChars="200"/>
        <w:rPr>
          <w:rFonts w:hint="eastAsia" w:ascii="宋体" w:hAnsi="宋体" w:eastAsia="宋体" w:cs="宋体"/>
          <w:color w:val="auto"/>
          <w:sz w:val="24"/>
          <w:szCs w:val="24"/>
          <w:highlight w:val="none"/>
        </w:rPr>
      </w:pPr>
    </w:p>
    <w:p>
      <w:pPr>
        <w:spacing w:line="500" w:lineRule="exact"/>
        <w:ind w:firstLine="480" w:firstLineChars="200"/>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pPr>
        <w:spacing w:line="500" w:lineRule="exact"/>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授权委托书（投标人为非法人）</w:t>
      </w:r>
    </w:p>
    <w:p>
      <w:pPr>
        <w:spacing w:line="500" w:lineRule="exact"/>
        <w:ind w:firstLine="480" w:firstLineChars="200"/>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附：授权人及被授权人身份证正反面彩色扫描件</w:t>
      </w:r>
    </w:p>
    <w:p>
      <w:pPr>
        <w:pStyle w:val="29"/>
        <w:spacing w:line="500" w:lineRule="exact"/>
        <w:ind w:firstLine="480" w:firstLineChars="200"/>
        <w:rPr>
          <w:rFonts w:hint="eastAsia" w:ascii="宋体" w:hAnsi="宋体" w:eastAsia="宋体" w:cs="宋体"/>
          <w:color w:val="auto"/>
          <w:sz w:val="24"/>
          <w:szCs w:val="24"/>
          <w:highlight w:val="none"/>
        </w:rPr>
      </w:pPr>
    </w:p>
    <w:p>
      <w:pPr>
        <w:spacing w:line="500" w:lineRule="exact"/>
        <w:ind w:firstLine="480" w:firstLineChars="200"/>
        <w:rPr>
          <w:rFonts w:hint="eastAsia" w:ascii="宋体" w:hAnsi="宋体" w:eastAsia="宋体" w:cs="宋体"/>
          <w:color w:val="auto"/>
          <w:sz w:val="24"/>
          <w:szCs w:val="24"/>
          <w:highlight w:val="none"/>
        </w:rPr>
      </w:pP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授权人（签字或盖章）：</w:t>
      </w:r>
    </w:p>
    <w:p>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   </w:t>
      </w:r>
    </w:p>
    <w:p>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pPr>
        <w:keepNext/>
        <w:keepLines/>
        <w:spacing w:line="500" w:lineRule="exact"/>
        <w:ind w:firstLine="480" w:firstLineChars="200"/>
        <w:jc w:val="center"/>
        <w:rPr>
          <w:rFonts w:hint="eastAsia" w:ascii="宋体" w:hAnsi="宋体" w:eastAsia="宋体" w:cs="宋体"/>
          <w:color w:val="auto"/>
          <w:sz w:val="24"/>
          <w:szCs w:val="24"/>
          <w:highlight w:val="none"/>
        </w:rPr>
      </w:pPr>
    </w:p>
    <w:p>
      <w:pPr>
        <w:spacing w:line="500" w:lineRule="exact"/>
        <w:ind w:firstLine="482" w:firstLineChars="200"/>
        <w:jc w:val="center"/>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三、投标报价明细表</w:t>
      </w:r>
    </w:p>
    <w:p>
      <w:p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项目名称：新疆工程学院智慧“大思政课”一体化平台采购项目</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265"/>
        <w:gridCol w:w="1549"/>
        <w:gridCol w:w="1355"/>
        <w:gridCol w:w="1239"/>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514"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9"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909"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95"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725"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总价</w:t>
            </w:r>
          </w:p>
        </w:tc>
        <w:tc>
          <w:tcPr>
            <w:tcW w:w="725"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514" w:type="pct"/>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29" w:type="pct"/>
            <w:vAlign w:val="center"/>
          </w:tcPr>
          <w:p>
            <w:pPr>
              <w:spacing w:line="500" w:lineRule="exact"/>
              <w:jc w:val="center"/>
              <w:rPr>
                <w:rFonts w:hint="eastAsia" w:ascii="宋体" w:hAnsi="宋体" w:eastAsia="宋体" w:cs="宋体"/>
                <w:color w:val="auto"/>
                <w:sz w:val="24"/>
                <w:szCs w:val="24"/>
                <w:highlight w:val="none"/>
                <w:lang w:val="en-US" w:eastAsia="zh-CN"/>
              </w:rPr>
            </w:pPr>
          </w:p>
        </w:tc>
        <w:tc>
          <w:tcPr>
            <w:tcW w:w="909" w:type="pct"/>
            <w:vAlign w:val="center"/>
          </w:tcPr>
          <w:p>
            <w:pPr>
              <w:spacing w:line="500" w:lineRule="exact"/>
              <w:jc w:val="center"/>
              <w:rPr>
                <w:rFonts w:hint="eastAsia" w:ascii="宋体" w:hAnsi="宋体" w:eastAsia="宋体" w:cs="宋体"/>
                <w:color w:val="auto"/>
                <w:sz w:val="24"/>
                <w:szCs w:val="24"/>
                <w:highlight w:val="none"/>
                <w:lang w:val="en-US" w:eastAsia="zh-CN"/>
              </w:rPr>
            </w:pPr>
          </w:p>
        </w:tc>
        <w:tc>
          <w:tcPr>
            <w:tcW w:w="79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514" w:type="pct"/>
            <w:vAlign w:val="center"/>
          </w:tcPr>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29" w:type="pct"/>
            <w:vAlign w:val="center"/>
          </w:tcPr>
          <w:p>
            <w:pPr>
              <w:spacing w:line="500" w:lineRule="exact"/>
              <w:jc w:val="center"/>
              <w:rPr>
                <w:rFonts w:hint="eastAsia" w:ascii="宋体" w:hAnsi="宋体" w:eastAsia="宋体" w:cs="宋体"/>
                <w:color w:val="auto"/>
                <w:sz w:val="24"/>
                <w:szCs w:val="24"/>
                <w:highlight w:val="none"/>
              </w:rPr>
            </w:pPr>
          </w:p>
        </w:tc>
        <w:tc>
          <w:tcPr>
            <w:tcW w:w="909" w:type="pct"/>
            <w:vAlign w:val="center"/>
          </w:tcPr>
          <w:p>
            <w:pPr>
              <w:spacing w:line="500" w:lineRule="exact"/>
              <w:jc w:val="center"/>
              <w:rPr>
                <w:rFonts w:hint="default" w:ascii="宋体" w:hAnsi="宋体" w:eastAsia="宋体" w:cs="宋体"/>
                <w:color w:val="auto"/>
                <w:sz w:val="24"/>
                <w:szCs w:val="24"/>
                <w:highlight w:val="none"/>
                <w:lang w:val="en-US" w:eastAsia="zh-CN"/>
              </w:rPr>
            </w:pPr>
          </w:p>
        </w:tc>
        <w:tc>
          <w:tcPr>
            <w:tcW w:w="79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514" w:type="pct"/>
            <w:vAlign w:val="center"/>
          </w:tcPr>
          <w:p>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329" w:type="pct"/>
            <w:vAlign w:val="center"/>
          </w:tcPr>
          <w:p>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909" w:type="pct"/>
            <w:vAlign w:val="center"/>
          </w:tcPr>
          <w:p>
            <w:pPr>
              <w:spacing w:line="500" w:lineRule="exact"/>
              <w:jc w:val="center"/>
              <w:rPr>
                <w:rFonts w:hint="default" w:ascii="宋体" w:hAnsi="宋体" w:eastAsia="宋体" w:cs="宋体"/>
                <w:color w:val="auto"/>
                <w:sz w:val="24"/>
                <w:szCs w:val="24"/>
                <w:highlight w:val="none"/>
                <w:lang w:val="en-US" w:eastAsia="zh-CN"/>
              </w:rPr>
            </w:pPr>
          </w:p>
        </w:tc>
        <w:tc>
          <w:tcPr>
            <w:tcW w:w="79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c>
          <w:tcPr>
            <w:tcW w:w="725" w:type="pct"/>
            <w:vAlign w:val="center"/>
          </w:tcPr>
          <w:p>
            <w:pPr>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4274" w:type="pct"/>
            <w:gridSpan w:val="5"/>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合计总价（元）：</w:t>
            </w:r>
          </w:p>
        </w:tc>
        <w:tc>
          <w:tcPr>
            <w:tcW w:w="725" w:type="pct"/>
            <w:vAlign w:val="center"/>
          </w:tcPr>
          <w:p>
            <w:pPr>
              <w:spacing w:line="500" w:lineRule="exact"/>
              <w:jc w:val="left"/>
              <w:rPr>
                <w:rFonts w:hint="eastAsia" w:ascii="宋体" w:hAnsi="宋体" w:eastAsia="宋体" w:cs="宋体"/>
                <w:color w:val="auto"/>
                <w:sz w:val="24"/>
                <w:szCs w:val="24"/>
                <w:highlight w:val="none"/>
              </w:rPr>
            </w:pPr>
          </w:p>
        </w:tc>
      </w:tr>
    </w:tbl>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kern w:val="0"/>
          <w:sz w:val="24"/>
          <w:szCs w:val="24"/>
          <w:highlight w:val="none"/>
        </w:rPr>
        <w:t>项目</w:t>
      </w:r>
      <w:r>
        <w:rPr>
          <w:rFonts w:hint="eastAsia" w:ascii="宋体" w:hAnsi="宋体" w:eastAsia="宋体" w:cs="宋体"/>
          <w:color w:val="auto"/>
          <w:sz w:val="24"/>
          <w:szCs w:val="24"/>
          <w:highlight w:val="none"/>
        </w:rPr>
        <w:t>和数量满足本项目招标范围，内容由投标人结合自身情况填写。</w:t>
      </w:r>
    </w:p>
    <w:p>
      <w:pPr>
        <w:spacing w:line="500" w:lineRule="exact"/>
        <w:jc w:val="lef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2、投标人填报价格总价应与投标函载明价格一致，若不一致，以投标函为准。</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3、此次报价包括所投项目相关人工费、专利费、税费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备件、交通</w:t>
      </w:r>
      <w:r>
        <w:rPr>
          <w:rFonts w:hint="eastAsia" w:ascii="宋体" w:hAnsi="宋体" w:eastAsia="宋体" w:cs="宋体"/>
          <w:color w:val="auto"/>
          <w:sz w:val="24"/>
          <w:szCs w:val="24"/>
          <w:highlight w:val="none"/>
        </w:rPr>
        <w:t>等所有技术和服务费用。</w:t>
      </w:r>
    </w:p>
    <w:p>
      <w:pPr>
        <w:spacing w:line="500" w:lineRule="exact"/>
        <w:rPr>
          <w:rFonts w:hint="eastAsia" w:ascii="宋体" w:hAnsi="宋体" w:eastAsia="宋体" w:cs="宋体"/>
          <w:color w:val="auto"/>
          <w:sz w:val="24"/>
          <w:szCs w:val="24"/>
          <w:highlight w:val="none"/>
        </w:rPr>
      </w:pPr>
    </w:p>
    <w:p>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授权人或被授权人（签字或盖章）</w:t>
      </w:r>
      <w:r>
        <w:rPr>
          <w:rFonts w:hint="eastAsia" w:ascii="宋体" w:hAnsi="宋体" w:eastAsia="宋体" w:cs="宋体"/>
          <w:bCs/>
          <w:color w:val="auto"/>
          <w:sz w:val="24"/>
          <w:szCs w:val="24"/>
          <w:highlight w:val="none"/>
        </w:rPr>
        <w:t>：</w:t>
      </w:r>
    </w:p>
    <w:p>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pPr>
        <w:spacing w:line="500" w:lineRule="exact"/>
        <w:jc w:val="left"/>
        <w:rPr>
          <w:rFonts w:hint="eastAsia" w:ascii="宋体" w:hAnsi="宋体" w:cs="宋体"/>
          <w:color w:val="auto"/>
          <w:sz w:val="24"/>
          <w:szCs w:val="24"/>
          <w:highlight w:val="none"/>
          <w:lang w:eastAsia="zh-CN"/>
        </w:rPr>
      </w:pPr>
    </w:p>
    <w:p>
      <w:pPr>
        <w:spacing w:line="500" w:lineRule="exact"/>
        <w:jc w:val="left"/>
        <w:rPr>
          <w:rFonts w:hint="eastAsia" w:ascii="宋体" w:hAnsi="宋体" w:cs="宋体"/>
          <w:color w:val="auto"/>
          <w:sz w:val="24"/>
          <w:szCs w:val="24"/>
          <w:highlight w:val="none"/>
          <w:lang w:eastAsia="zh-CN"/>
        </w:rPr>
      </w:pPr>
    </w:p>
    <w:p>
      <w:pPr>
        <w:spacing w:line="500" w:lineRule="exact"/>
        <w:jc w:val="left"/>
        <w:rPr>
          <w:rFonts w:hint="eastAsia" w:ascii="宋体" w:hAnsi="宋体" w:cs="宋体"/>
          <w:color w:val="auto"/>
          <w:sz w:val="24"/>
          <w:szCs w:val="24"/>
          <w:highlight w:val="none"/>
          <w:lang w:eastAsia="zh-CN"/>
        </w:rPr>
      </w:pPr>
    </w:p>
    <w:p>
      <w:pPr>
        <w:spacing w:line="500" w:lineRule="exact"/>
        <w:jc w:val="left"/>
        <w:rPr>
          <w:rFonts w:hint="eastAsia" w:ascii="宋体" w:hAnsi="宋体" w:cs="宋体"/>
          <w:color w:val="auto"/>
          <w:sz w:val="24"/>
          <w:szCs w:val="24"/>
          <w:highlight w:val="none"/>
          <w:lang w:eastAsia="zh-CN"/>
        </w:rPr>
      </w:pPr>
    </w:p>
    <w:p>
      <w:pPr>
        <w:spacing w:line="500" w:lineRule="exact"/>
        <w:jc w:val="left"/>
        <w:rPr>
          <w:rFonts w:hint="eastAsia" w:ascii="宋体" w:hAnsi="宋体" w:cs="宋体"/>
          <w:color w:val="auto"/>
          <w:sz w:val="24"/>
          <w:szCs w:val="24"/>
          <w:highlight w:val="none"/>
          <w:lang w:eastAsia="zh-CN"/>
        </w:rPr>
      </w:pPr>
    </w:p>
    <w:p>
      <w:pPr>
        <w:pStyle w:val="5"/>
        <w:spacing w:before="156" w:after="156" w:line="320" w:lineRule="exact"/>
        <w:ind w:firstLine="482" w:firstLineChars="200"/>
        <w:rPr>
          <w:rFonts w:hint="eastAsia" w:ascii="宋体" w:hAnsi="宋体" w:eastAsia="宋体" w:cs="宋体"/>
          <w:bCs w:val="0"/>
          <w:color w:val="auto"/>
          <w:kern w:val="0"/>
          <w:sz w:val="24"/>
          <w:szCs w:val="24"/>
          <w:highlight w:val="none"/>
        </w:rPr>
      </w:pPr>
      <w:bookmarkStart w:id="139" w:name="_Toc217446088"/>
      <w:r>
        <w:rPr>
          <w:rFonts w:hint="eastAsia" w:ascii="宋体" w:hAnsi="宋体" w:eastAsia="宋体" w:cs="宋体"/>
          <w:bCs w:val="0"/>
          <w:color w:val="auto"/>
          <w:kern w:val="0"/>
          <w:sz w:val="24"/>
          <w:szCs w:val="24"/>
          <w:highlight w:val="none"/>
        </w:rPr>
        <w:t>四、投标人基本情况表</w:t>
      </w:r>
      <w:bookmarkEnd w:id="139"/>
    </w:p>
    <w:tbl>
      <w:tblPr>
        <w:tblStyle w:val="30"/>
        <w:tblW w:w="9104" w:type="dxa"/>
        <w:jc w:val="center"/>
        <w:tblLayout w:type="fixed"/>
        <w:tblCellMar>
          <w:top w:w="0" w:type="dxa"/>
          <w:left w:w="108" w:type="dxa"/>
          <w:bottom w:w="0" w:type="dxa"/>
          <w:right w:w="108" w:type="dxa"/>
        </w:tblCellMar>
      </w:tblPr>
      <w:tblGrid>
        <w:gridCol w:w="1853"/>
        <w:gridCol w:w="1050"/>
        <w:gridCol w:w="2525"/>
        <w:gridCol w:w="1537"/>
        <w:gridCol w:w="2139"/>
      </w:tblGrid>
      <w:tr>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trike/>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5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p>
        </w:tc>
      </w:tr>
    </w:tbl>
    <w:p>
      <w:pPr>
        <w:adjustRightInd w:val="0"/>
        <w:spacing w:line="320" w:lineRule="exact"/>
        <w:ind w:firstLine="480" w:firstLineChars="200"/>
        <w:jc w:val="left"/>
        <w:rPr>
          <w:rFonts w:hint="eastAsia" w:ascii="宋体" w:hAnsi="宋体" w:eastAsia="宋体" w:cs="宋体"/>
          <w:bCs/>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1、投标人为法人时，后附营业执照等相关资料彩色扫描件；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2、投标人为非法人时，格式自拟，后附相关资料彩色扫描件。</w:t>
      </w:r>
    </w:p>
    <w:p>
      <w:pPr>
        <w:adjustRightInd w:val="0"/>
        <w:spacing w:line="500" w:lineRule="exact"/>
        <w:ind w:firstLine="480" w:firstLineChars="200"/>
        <w:jc w:val="center"/>
        <w:rPr>
          <w:rFonts w:hint="eastAsia" w:ascii="宋体" w:hAnsi="宋体" w:eastAsia="宋体" w:cs="宋体"/>
          <w:bCs/>
          <w:color w:val="auto"/>
          <w:sz w:val="24"/>
          <w:szCs w:val="24"/>
          <w:highlight w:val="none"/>
        </w:rPr>
      </w:pPr>
      <w:bookmarkStart w:id="140" w:name="_Toc217446089"/>
    </w:p>
    <w:p>
      <w:pPr>
        <w:adjustRightInd w:val="0"/>
        <w:spacing w:line="500" w:lineRule="exact"/>
        <w:ind w:firstLine="480" w:firstLineChars="200"/>
        <w:jc w:val="center"/>
        <w:rPr>
          <w:rFonts w:hint="eastAsia" w:ascii="宋体" w:hAnsi="宋体" w:eastAsia="宋体" w:cs="宋体"/>
          <w:bCs/>
          <w:color w:val="auto"/>
          <w:sz w:val="24"/>
          <w:szCs w:val="24"/>
          <w:highlight w:val="none"/>
        </w:rPr>
      </w:pPr>
    </w:p>
    <w:p>
      <w:pPr>
        <w:adjustRightInd w:val="0"/>
        <w:spacing w:line="500" w:lineRule="exact"/>
        <w:ind w:firstLine="480" w:firstLineChars="200"/>
        <w:jc w:val="center"/>
        <w:outlineLvl w:val="1"/>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color w:val="auto"/>
          <w:sz w:val="24"/>
          <w:szCs w:val="24"/>
          <w:highlight w:val="none"/>
        </w:rPr>
        <w:t>五、投标人类似项目业绩一览表</w:t>
      </w:r>
      <w:bookmarkEnd w:id="140"/>
    </w:p>
    <w:p>
      <w:pPr>
        <w:spacing w:line="400" w:lineRule="exact"/>
        <w:rPr>
          <w:rFonts w:hint="eastAsia" w:ascii="宋体" w:hAnsi="宋体" w:eastAsia="宋体" w:cs="宋体"/>
          <w:color w:val="auto"/>
          <w:sz w:val="24"/>
          <w:szCs w:val="24"/>
          <w:highlight w:val="none"/>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60"/>
        <w:gridCol w:w="1113"/>
        <w:gridCol w:w="1151"/>
        <w:gridCol w:w="1162"/>
        <w:gridCol w:w="1180"/>
        <w:gridCol w:w="1158"/>
        <w:gridCol w:w="1069"/>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top w:val="single" w:color="auto" w:sz="4" w:space="0"/>
            </w:tcBorders>
            <w:vAlign w:val="center"/>
          </w:tcPr>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70" w:type="pct"/>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661" w:type="pct"/>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联系人</w:t>
            </w:r>
          </w:p>
        </w:tc>
        <w:tc>
          <w:tcPr>
            <w:tcW w:w="684" w:type="pct"/>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c>
          <w:tcPr>
            <w:tcW w:w="690" w:type="pct"/>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01" w:type="pct"/>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688" w:type="pct"/>
            <w:vAlign w:val="center"/>
          </w:tcPr>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vAlign w:val="center"/>
          </w:tcPr>
          <w:p>
            <w:pPr>
              <w:spacing w:line="400" w:lineRule="exact"/>
              <w:jc w:val="center"/>
              <w:rPr>
                <w:rFonts w:hint="eastAsia" w:ascii="宋体" w:hAnsi="宋体" w:eastAsia="宋体" w:cs="宋体"/>
                <w:color w:val="auto"/>
                <w:sz w:val="24"/>
                <w:szCs w:val="24"/>
                <w:highlight w:val="none"/>
              </w:rPr>
            </w:pPr>
          </w:p>
        </w:tc>
        <w:tc>
          <w:tcPr>
            <w:tcW w:w="661" w:type="pct"/>
            <w:vAlign w:val="center"/>
          </w:tcPr>
          <w:p>
            <w:pPr>
              <w:spacing w:line="400" w:lineRule="exact"/>
              <w:jc w:val="center"/>
              <w:rPr>
                <w:rFonts w:hint="eastAsia" w:ascii="宋体" w:hAnsi="宋体" w:eastAsia="宋体" w:cs="宋体"/>
                <w:color w:val="auto"/>
                <w:sz w:val="24"/>
                <w:szCs w:val="24"/>
                <w:highlight w:val="none"/>
              </w:rPr>
            </w:pPr>
          </w:p>
        </w:tc>
        <w:tc>
          <w:tcPr>
            <w:tcW w:w="684" w:type="pct"/>
            <w:vAlign w:val="center"/>
          </w:tcPr>
          <w:p>
            <w:pPr>
              <w:spacing w:line="400" w:lineRule="exact"/>
              <w:jc w:val="center"/>
              <w:rPr>
                <w:rFonts w:hint="eastAsia" w:ascii="宋体" w:hAnsi="宋体" w:eastAsia="宋体" w:cs="宋体"/>
                <w:color w:val="auto"/>
                <w:sz w:val="24"/>
                <w:szCs w:val="24"/>
                <w:highlight w:val="none"/>
              </w:rPr>
            </w:pPr>
          </w:p>
        </w:tc>
        <w:tc>
          <w:tcPr>
            <w:tcW w:w="690" w:type="pct"/>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vAlign w:val="center"/>
          </w:tcPr>
          <w:p>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vAlign w:val="center"/>
          </w:tcPr>
          <w:p>
            <w:pPr>
              <w:spacing w:line="400" w:lineRule="exact"/>
              <w:jc w:val="center"/>
              <w:rPr>
                <w:rFonts w:hint="eastAsia" w:ascii="宋体" w:hAnsi="宋体" w:eastAsia="宋体" w:cs="宋体"/>
                <w:color w:val="auto"/>
                <w:sz w:val="24"/>
                <w:szCs w:val="24"/>
                <w:highlight w:val="none"/>
              </w:rPr>
            </w:pPr>
          </w:p>
        </w:tc>
        <w:tc>
          <w:tcPr>
            <w:tcW w:w="661" w:type="pct"/>
            <w:vAlign w:val="center"/>
          </w:tcPr>
          <w:p>
            <w:pPr>
              <w:spacing w:line="400" w:lineRule="exact"/>
              <w:jc w:val="center"/>
              <w:rPr>
                <w:rFonts w:hint="eastAsia" w:ascii="宋体" w:hAnsi="宋体" w:eastAsia="宋体" w:cs="宋体"/>
                <w:color w:val="auto"/>
                <w:sz w:val="24"/>
                <w:szCs w:val="24"/>
                <w:highlight w:val="none"/>
              </w:rPr>
            </w:pPr>
          </w:p>
        </w:tc>
        <w:tc>
          <w:tcPr>
            <w:tcW w:w="684" w:type="pct"/>
            <w:vAlign w:val="center"/>
          </w:tcPr>
          <w:p>
            <w:pPr>
              <w:spacing w:line="400" w:lineRule="exact"/>
              <w:jc w:val="center"/>
              <w:rPr>
                <w:rFonts w:hint="eastAsia" w:ascii="宋体" w:hAnsi="宋体" w:eastAsia="宋体" w:cs="宋体"/>
                <w:color w:val="auto"/>
                <w:sz w:val="24"/>
                <w:szCs w:val="24"/>
                <w:highlight w:val="none"/>
              </w:rPr>
            </w:pPr>
          </w:p>
        </w:tc>
        <w:tc>
          <w:tcPr>
            <w:tcW w:w="690" w:type="pct"/>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vAlign w:val="center"/>
          </w:tcPr>
          <w:p>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vAlign w:val="center"/>
          </w:tcPr>
          <w:p>
            <w:pPr>
              <w:spacing w:line="400" w:lineRule="exact"/>
              <w:jc w:val="center"/>
              <w:rPr>
                <w:rFonts w:hint="eastAsia" w:ascii="宋体" w:hAnsi="宋体" w:eastAsia="宋体" w:cs="宋体"/>
                <w:color w:val="auto"/>
                <w:sz w:val="24"/>
                <w:szCs w:val="24"/>
                <w:highlight w:val="none"/>
              </w:rPr>
            </w:pPr>
          </w:p>
        </w:tc>
        <w:tc>
          <w:tcPr>
            <w:tcW w:w="661" w:type="pct"/>
            <w:vAlign w:val="center"/>
          </w:tcPr>
          <w:p>
            <w:pPr>
              <w:spacing w:line="400" w:lineRule="exact"/>
              <w:jc w:val="center"/>
              <w:rPr>
                <w:rFonts w:hint="eastAsia" w:ascii="宋体" w:hAnsi="宋体" w:eastAsia="宋体" w:cs="宋体"/>
                <w:color w:val="auto"/>
                <w:sz w:val="24"/>
                <w:szCs w:val="24"/>
                <w:highlight w:val="none"/>
              </w:rPr>
            </w:pPr>
          </w:p>
        </w:tc>
        <w:tc>
          <w:tcPr>
            <w:tcW w:w="684" w:type="pct"/>
            <w:vAlign w:val="center"/>
          </w:tcPr>
          <w:p>
            <w:pPr>
              <w:spacing w:line="400" w:lineRule="exact"/>
              <w:jc w:val="center"/>
              <w:rPr>
                <w:rFonts w:hint="eastAsia" w:ascii="宋体" w:hAnsi="宋体" w:eastAsia="宋体" w:cs="宋体"/>
                <w:color w:val="auto"/>
                <w:sz w:val="24"/>
                <w:szCs w:val="24"/>
                <w:highlight w:val="none"/>
              </w:rPr>
            </w:pPr>
          </w:p>
        </w:tc>
        <w:tc>
          <w:tcPr>
            <w:tcW w:w="690" w:type="pct"/>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vAlign w:val="center"/>
          </w:tcPr>
          <w:p>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lef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lef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lef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vAlign w:val="center"/>
          </w:tcPr>
          <w:p>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70"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61"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84"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90"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701"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88"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41" w:type="pct"/>
            <w:gridSpan w:val="2"/>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rPr>
                <w:rFonts w:hint="eastAsia" w:ascii="宋体" w:hAnsi="宋体" w:eastAsia="宋体" w:cs="宋体"/>
                <w:color w:val="auto"/>
                <w:sz w:val="24"/>
                <w:szCs w:val="24"/>
                <w:highlight w:val="none"/>
              </w:rPr>
            </w:pPr>
          </w:p>
        </w:tc>
        <w:tc>
          <w:tcPr>
            <w:tcW w:w="570" w:type="pct"/>
            <w:vAlign w:val="center"/>
          </w:tcPr>
          <w:p>
            <w:pPr>
              <w:spacing w:line="400" w:lineRule="exact"/>
              <w:rPr>
                <w:rFonts w:hint="eastAsia" w:ascii="宋体" w:hAnsi="宋体" w:eastAsia="宋体" w:cs="宋体"/>
                <w:color w:val="auto"/>
                <w:sz w:val="24"/>
                <w:szCs w:val="24"/>
                <w:highlight w:val="none"/>
              </w:rPr>
            </w:pPr>
          </w:p>
        </w:tc>
        <w:tc>
          <w:tcPr>
            <w:tcW w:w="661" w:type="pct"/>
            <w:vAlign w:val="center"/>
          </w:tcPr>
          <w:p>
            <w:pPr>
              <w:spacing w:line="400" w:lineRule="exact"/>
              <w:rPr>
                <w:rFonts w:hint="eastAsia" w:ascii="宋体" w:hAnsi="宋体" w:eastAsia="宋体" w:cs="宋体"/>
                <w:color w:val="auto"/>
                <w:sz w:val="24"/>
                <w:szCs w:val="24"/>
                <w:highlight w:val="none"/>
              </w:rPr>
            </w:pPr>
          </w:p>
        </w:tc>
        <w:tc>
          <w:tcPr>
            <w:tcW w:w="684" w:type="pct"/>
            <w:vAlign w:val="center"/>
          </w:tcPr>
          <w:p>
            <w:pPr>
              <w:spacing w:line="400" w:lineRule="exact"/>
              <w:rPr>
                <w:rFonts w:hint="eastAsia" w:ascii="宋体" w:hAnsi="宋体" w:eastAsia="宋体" w:cs="宋体"/>
                <w:color w:val="auto"/>
                <w:sz w:val="24"/>
                <w:szCs w:val="24"/>
                <w:highlight w:val="none"/>
              </w:rPr>
            </w:pPr>
          </w:p>
        </w:tc>
        <w:tc>
          <w:tcPr>
            <w:tcW w:w="690" w:type="pct"/>
            <w:vAlign w:val="center"/>
          </w:tcPr>
          <w:p>
            <w:pPr>
              <w:spacing w:line="400" w:lineRule="exact"/>
              <w:rPr>
                <w:rFonts w:hint="eastAsia" w:ascii="宋体" w:hAnsi="宋体" w:eastAsia="宋体" w:cs="宋体"/>
                <w:color w:val="auto"/>
                <w:sz w:val="24"/>
                <w:szCs w:val="24"/>
                <w:highlight w:val="none"/>
              </w:rPr>
            </w:pPr>
          </w:p>
        </w:tc>
        <w:tc>
          <w:tcPr>
            <w:tcW w:w="701" w:type="pct"/>
            <w:vAlign w:val="center"/>
          </w:tcPr>
          <w:p>
            <w:pPr>
              <w:spacing w:line="400" w:lineRule="exact"/>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vAlign w:val="center"/>
          </w:tcPr>
          <w:p>
            <w:pPr>
              <w:spacing w:line="400" w:lineRule="exact"/>
              <w:jc w:val="center"/>
              <w:rPr>
                <w:rFonts w:hint="eastAsia" w:ascii="宋体" w:hAnsi="宋体" w:eastAsia="宋体" w:cs="宋体"/>
                <w:color w:val="auto"/>
                <w:sz w:val="24"/>
                <w:szCs w:val="24"/>
                <w:highlight w:val="none"/>
              </w:rPr>
            </w:pPr>
          </w:p>
        </w:tc>
        <w:tc>
          <w:tcPr>
            <w:tcW w:w="661" w:type="pct"/>
            <w:vAlign w:val="center"/>
          </w:tcPr>
          <w:p>
            <w:pPr>
              <w:spacing w:line="400" w:lineRule="exact"/>
              <w:jc w:val="center"/>
              <w:rPr>
                <w:rFonts w:hint="eastAsia" w:ascii="宋体" w:hAnsi="宋体" w:eastAsia="宋体" w:cs="宋体"/>
                <w:color w:val="auto"/>
                <w:sz w:val="24"/>
                <w:szCs w:val="24"/>
                <w:highlight w:val="none"/>
              </w:rPr>
            </w:pPr>
          </w:p>
        </w:tc>
        <w:tc>
          <w:tcPr>
            <w:tcW w:w="684" w:type="pct"/>
            <w:vAlign w:val="center"/>
          </w:tcPr>
          <w:p>
            <w:pPr>
              <w:spacing w:line="400" w:lineRule="exact"/>
              <w:jc w:val="center"/>
              <w:rPr>
                <w:rFonts w:hint="eastAsia" w:ascii="宋体" w:hAnsi="宋体" w:eastAsia="宋体" w:cs="宋体"/>
                <w:color w:val="auto"/>
                <w:sz w:val="24"/>
                <w:szCs w:val="24"/>
                <w:highlight w:val="none"/>
              </w:rPr>
            </w:pPr>
          </w:p>
        </w:tc>
        <w:tc>
          <w:tcPr>
            <w:tcW w:w="690" w:type="pct"/>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highlight w:val="none"/>
              </w:rPr>
            </w:pPr>
          </w:p>
        </w:tc>
        <w:tc>
          <w:tcPr>
            <w:tcW w:w="570" w:type="pct"/>
            <w:vAlign w:val="center"/>
          </w:tcPr>
          <w:p>
            <w:pPr>
              <w:spacing w:line="400" w:lineRule="exact"/>
              <w:jc w:val="center"/>
              <w:rPr>
                <w:rFonts w:hint="eastAsia" w:ascii="宋体" w:hAnsi="宋体" w:eastAsia="宋体" w:cs="宋体"/>
                <w:color w:val="auto"/>
                <w:sz w:val="24"/>
                <w:szCs w:val="24"/>
                <w:highlight w:val="none"/>
              </w:rPr>
            </w:pPr>
          </w:p>
        </w:tc>
        <w:tc>
          <w:tcPr>
            <w:tcW w:w="661" w:type="pct"/>
            <w:vAlign w:val="center"/>
          </w:tcPr>
          <w:p>
            <w:pPr>
              <w:spacing w:line="400" w:lineRule="exact"/>
              <w:jc w:val="center"/>
              <w:rPr>
                <w:rFonts w:hint="eastAsia" w:ascii="宋体" w:hAnsi="宋体" w:eastAsia="宋体" w:cs="宋体"/>
                <w:color w:val="auto"/>
                <w:sz w:val="24"/>
                <w:szCs w:val="24"/>
                <w:highlight w:val="none"/>
              </w:rPr>
            </w:pPr>
          </w:p>
        </w:tc>
        <w:tc>
          <w:tcPr>
            <w:tcW w:w="684" w:type="pct"/>
            <w:vAlign w:val="center"/>
          </w:tcPr>
          <w:p>
            <w:pPr>
              <w:spacing w:line="400" w:lineRule="exact"/>
              <w:jc w:val="center"/>
              <w:rPr>
                <w:rFonts w:hint="eastAsia" w:ascii="宋体" w:hAnsi="宋体" w:eastAsia="宋体" w:cs="宋体"/>
                <w:color w:val="auto"/>
                <w:sz w:val="24"/>
                <w:szCs w:val="24"/>
                <w:highlight w:val="none"/>
              </w:rPr>
            </w:pPr>
          </w:p>
        </w:tc>
        <w:tc>
          <w:tcPr>
            <w:tcW w:w="690" w:type="pct"/>
            <w:vAlign w:val="center"/>
          </w:tcPr>
          <w:p>
            <w:pPr>
              <w:spacing w:line="400" w:lineRule="exact"/>
              <w:jc w:val="center"/>
              <w:rPr>
                <w:rFonts w:hint="eastAsia" w:ascii="宋体" w:hAnsi="宋体" w:eastAsia="宋体" w:cs="宋体"/>
                <w:color w:val="auto"/>
                <w:sz w:val="24"/>
                <w:szCs w:val="24"/>
                <w:highlight w:val="none"/>
              </w:rPr>
            </w:pPr>
          </w:p>
        </w:tc>
        <w:tc>
          <w:tcPr>
            <w:tcW w:w="701" w:type="pct"/>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360"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tcBorders>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360"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highlight w:val="none"/>
              </w:rPr>
            </w:pPr>
          </w:p>
        </w:tc>
      </w:tr>
    </w:tbl>
    <w:p>
      <w:pPr>
        <w:spacing w:line="360" w:lineRule="auto"/>
        <w:jc w:val="left"/>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近三年完成的类似业绩</w:t>
      </w:r>
      <w:r>
        <w:rPr>
          <w:rFonts w:hint="eastAsia" w:ascii="宋体" w:hAnsi="宋体" w:eastAsia="宋体" w:cs="宋体"/>
          <w:bCs/>
          <w:color w:val="auto"/>
          <w:sz w:val="24"/>
          <w:szCs w:val="24"/>
          <w:highlight w:val="none"/>
        </w:rPr>
        <w:t>，须提供</w:t>
      </w:r>
      <w:r>
        <w:rPr>
          <w:rFonts w:hint="eastAsia" w:ascii="宋体" w:hAnsi="宋体" w:eastAsia="宋体" w:cs="宋体"/>
          <w:color w:val="auto"/>
          <w:spacing w:val="6"/>
          <w:kern w:val="0"/>
          <w:sz w:val="24"/>
          <w:szCs w:val="24"/>
          <w:highlight w:val="none"/>
        </w:rPr>
        <w:t>采购合同</w:t>
      </w:r>
      <w:r>
        <w:rPr>
          <w:rFonts w:hint="eastAsia" w:ascii="宋体" w:hAnsi="宋体" w:eastAsia="宋体" w:cs="宋体"/>
          <w:color w:val="auto"/>
          <w:sz w:val="24"/>
          <w:szCs w:val="24"/>
          <w:highlight w:val="none"/>
        </w:rPr>
        <w:t>彩色扫描件</w:t>
      </w:r>
      <w:r>
        <w:rPr>
          <w:rFonts w:hint="eastAsia" w:ascii="宋体" w:hAnsi="宋体" w:eastAsia="宋体" w:cs="宋体"/>
          <w:bCs/>
          <w:color w:val="auto"/>
          <w:sz w:val="24"/>
          <w:szCs w:val="24"/>
          <w:highlight w:val="none"/>
        </w:rPr>
        <w:t>，合同至少包含合同首页、关键页、签订时间、双方签章页</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2.具体年份要求：2020年01月01日-</w:t>
      </w:r>
      <w:r>
        <w:rPr>
          <w:rFonts w:hint="eastAsia" w:ascii="宋体" w:hAnsi="宋体" w:eastAsia="宋体" w:cs="宋体"/>
          <w:color w:val="auto"/>
          <w:sz w:val="24"/>
          <w:szCs w:val="24"/>
          <w:highlight w:val="none"/>
          <w:lang w:val="en-US" w:eastAsia="zh-CN"/>
        </w:rPr>
        <w:t>投标文件</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val="en-US" w:eastAsia="zh-CN"/>
        </w:rPr>
        <w:t>截止时间前</w:t>
      </w:r>
      <w:r>
        <w:rPr>
          <w:rFonts w:hint="eastAsia" w:ascii="宋体" w:hAnsi="宋体" w:eastAsia="宋体" w:cs="宋体"/>
          <w:color w:val="auto"/>
          <w:sz w:val="24"/>
          <w:szCs w:val="24"/>
          <w:highlight w:val="none"/>
        </w:rPr>
        <w:t>，业绩认定日期以</w:t>
      </w:r>
      <w:r>
        <w:rPr>
          <w:rFonts w:hint="eastAsia" w:ascii="宋体" w:hAnsi="宋体" w:eastAsia="宋体" w:cs="宋体"/>
          <w:color w:val="auto"/>
          <w:sz w:val="24"/>
          <w:szCs w:val="24"/>
          <w:highlight w:val="none"/>
          <w:lang w:val="en-US" w:eastAsia="zh-CN"/>
        </w:rPr>
        <w:t>合同签订日期</w:t>
      </w:r>
      <w:r>
        <w:rPr>
          <w:rFonts w:hint="eastAsia" w:ascii="宋体" w:hAnsi="宋体" w:eastAsia="宋体" w:cs="宋体"/>
          <w:color w:val="auto"/>
          <w:sz w:val="24"/>
          <w:szCs w:val="24"/>
          <w:highlight w:val="none"/>
        </w:rPr>
        <w:t>为准。</w:t>
      </w:r>
    </w:p>
    <w:p>
      <w:pPr>
        <w:spacing w:line="400" w:lineRule="exact"/>
        <w:ind w:left="360"/>
        <w:jc w:val="center"/>
        <w:rPr>
          <w:rFonts w:hint="eastAsia" w:ascii="宋体" w:hAnsi="宋体" w:eastAsia="宋体" w:cs="宋体"/>
          <w:color w:val="auto"/>
          <w:sz w:val="24"/>
          <w:szCs w:val="24"/>
          <w:highlight w:val="none"/>
        </w:rPr>
      </w:pPr>
    </w:p>
    <w:p>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授权人或被授权人（签字或盖章）</w:t>
      </w:r>
      <w:r>
        <w:rPr>
          <w:rFonts w:hint="eastAsia" w:ascii="宋体" w:hAnsi="宋体" w:eastAsia="宋体" w:cs="宋体"/>
          <w:bCs/>
          <w:color w:val="auto"/>
          <w:sz w:val="24"/>
          <w:szCs w:val="24"/>
          <w:highlight w:val="none"/>
        </w:rPr>
        <w:t>：</w:t>
      </w:r>
    </w:p>
    <w:p>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
        <w:numPr>
          <w:ilvl w:val="0"/>
          <w:numId w:val="5"/>
        </w:numPr>
        <w:spacing w:before="156" w:after="156" w:line="400" w:lineRule="exact"/>
        <w:rPr>
          <w:rFonts w:hint="eastAsia" w:ascii="宋体" w:hAnsi="宋体" w:eastAsia="宋体" w:cs="宋体"/>
          <w:color w:val="auto"/>
          <w:sz w:val="24"/>
          <w:szCs w:val="24"/>
          <w:highlight w:val="none"/>
        </w:rPr>
      </w:pPr>
      <w:bookmarkStart w:id="141" w:name="_Toc217446090"/>
      <w:bookmarkStart w:id="142" w:name="_Toc217446091"/>
      <w:r>
        <w:rPr>
          <w:rFonts w:hint="eastAsia" w:ascii="宋体" w:hAnsi="宋体" w:eastAsia="宋体" w:cs="宋体"/>
          <w:bCs w:val="0"/>
          <w:color w:val="auto"/>
          <w:kern w:val="0"/>
          <w:sz w:val="24"/>
          <w:szCs w:val="24"/>
          <w:highlight w:val="none"/>
        </w:rPr>
        <w:br w:type="page"/>
      </w:r>
      <w:bookmarkEnd w:id="141"/>
      <w:r>
        <w:rPr>
          <w:rFonts w:hint="eastAsia" w:ascii="宋体" w:hAnsi="宋体" w:eastAsia="宋体" w:cs="宋体"/>
          <w:color w:val="auto"/>
          <w:sz w:val="24"/>
          <w:szCs w:val="24"/>
          <w:highlight w:val="none"/>
        </w:rPr>
        <w:t>商务、技术需求偏离表</w:t>
      </w:r>
    </w:p>
    <w:p>
      <w:pPr>
        <w:numPr>
          <w:ilvl w:val="0"/>
          <w:numId w:val="0"/>
        </w:numPr>
        <w:jc w:val="center"/>
        <w:rPr>
          <w:rFonts w:hint="eastAsia" w:ascii="宋体" w:hAnsi="宋体" w:eastAsia="宋体" w:cs="宋体"/>
          <w:b/>
          <w:bCs/>
          <w:color w:val="auto"/>
          <w:sz w:val="24"/>
          <w:szCs w:val="24"/>
          <w:highlight w:val="none"/>
        </w:rPr>
      </w:pPr>
    </w:p>
    <w:p>
      <w:pPr>
        <w:numPr>
          <w:ilvl w:val="0"/>
          <w:numId w:val="0"/>
        </w:numPr>
        <w:jc w:val="center"/>
        <w:rPr>
          <w:rFonts w:hint="eastAsia" w:ascii="宋体" w:hAnsi="宋体" w:eastAsia="宋体" w:cs="宋体"/>
          <w:b/>
          <w:bCs/>
          <w:color w:val="auto"/>
          <w:sz w:val="24"/>
          <w:szCs w:val="24"/>
          <w:highlight w:val="none"/>
        </w:rPr>
      </w:pPr>
    </w:p>
    <w:p>
      <w:pPr>
        <w:numPr>
          <w:ilvl w:val="0"/>
          <w:numId w:val="0"/>
        </w:numPr>
        <w:jc w:val="center"/>
        <w:rPr>
          <w:rFonts w:hint="default" w:eastAsia="宋体"/>
          <w:b/>
          <w:bCs/>
          <w:color w:val="auto"/>
          <w:highlight w:val="none"/>
          <w:lang w:val="en-US" w:eastAsia="zh-CN"/>
        </w:rPr>
      </w:pPr>
      <w:r>
        <w:rPr>
          <w:rFonts w:hint="eastAsia" w:ascii="宋体" w:hAnsi="宋体" w:eastAsia="宋体" w:cs="宋体"/>
          <w:b/>
          <w:bCs/>
          <w:color w:val="auto"/>
          <w:sz w:val="24"/>
          <w:szCs w:val="24"/>
          <w:highlight w:val="none"/>
        </w:rPr>
        <w:t>商务</w:t>
      </w:r>
      <w:r>
        <w:rPr>
          <w:rFonts w:hint="eastAsia" w:ascii="宋体" w:hAnsi="宋体" w:cs="宋体"/>
          <w:b/>
          <w:bCs/>
          <w:color w:val="auto"/>
          <w:sz w:val="24"/>
          <w:szCs w:val="24"/>
          <w:highlight w:val="none"/>
          <w:lang w:val="en-US" w:eastAsia="zh-CN"/>
        </w:rPr>
        <w:t>条款偏离表</w:t>
      </w:r>
    </w:p>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lang w:val="en-US" w:eastAsia="zh-CN"/>
        </w:rPr>
      </w:pPr>
    </w:p>
    <w:tbl>
      <w:tblPr>
        <w:tblStyle w:val="30"/>
        <w:tblpPr w:leftFromText="180" w:rightFromText="180" w:vertAnchor="text" w:horzAnchor="page" w:tblpX="2160" w:tblpY="19"/>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065"/>
        <w:gridCol w:w="1954"/>
        <w:gridCol w:w="253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9"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1211"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条款号</w:t>
            </w:r>
          </w:p>
        </w:tc>
        <w:tc>
          <w:tcPr>
            <w:tcW w:w="1146" w:type="pct"/>
            <w:noWrap w:val="0"/>
            <w:vAlign w:val="center"/>
          </w:tcPr>
          <w:p>
            <w:pPr>
              <w:jc w:val="center"/>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要求</w:t>
            </w:r>
          </w:p>
        </w:tc>
        <w:tc>
          <w:tcPr>
            <w:tcW w:w="1484" w:type="pct"/>
            <w:noWrap w:val="0"/>
            <w:vAlign w:val="center"/>
          </w:tcPr>
          <w:p>
            <w:pPr>
              <w:jc w:val="center"/>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p>
        </w:tc>
        <w:tc>
          <w:tcPr>
            <w:tcW w:w="797"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p>
            <w:pPr>
              <w:rPr>
                <w:rFonts w:hint="eastAsia" w:ascii="宋体" w:hAnsi="宋体" w:eastAsia="宋体" w:cs="宋体"/>
                <w:b w:val="0"/>
                <w:bCs/>
                <w:color w:val="auto"/>
                <w:sz w:val="24"/>
                <w:highlight w:val="none"/>
              </w:rPr>
            </w:pPr>
          </w:p>
        </w:tc>
        <w:tc>
          <w:tcPr>
            <w:tcW w:w="1211" w:type="pct"/>
            <w:noWrap w:val="0"/>
            <w:vAlign w:val="top"/>
          </w:tcPr>
          <w:p>
            <w:pPr>
              <w:widowControl/>
              <w:jc w:val="left"/>
              <w:rPr>
                <w:rFonts w:hint="eastAsia" w:ascii="宋体" w:hAnsi="宋体" w:eastAsia="宋体" w:cs="宋体"/>
                <w:b w:val="0"/>
                <w:bCs/>
                <w:color w:val="auto"/>
                <w:sz w:val="24"/>
                <w:highlight w:val="none"/>
              </w:rPr>
            </w:pPr>
          </w:p>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bl>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备注</w:t>
      </w:r>
      <w:r>
        <w:rPr>
          <w:rFonts w:hint="eastAsia" w:ascii="宋体" w:hAnsi="宋体" w:eastAsia="宋体" w:cs="宋体"/>
          <w:b w:val="0"/>
          <w:bCs/>
          <w:color w:val="auto"/>
          <w:sz w:val="24"/>
          <w:highlight w:val="none"/>
        </w:rPr>
        <w:t>：与</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中“第五章</w:t>
      </w:r>
      <w:r>
        <w:rPr>
          <w:rFonts w:hint="eastAsia" w:ascii="宋体" w:hAnsi="宋体" w:eastAsia="宋体" w:cs="宋体"/>
          <w:b w:val="0"/>
          <w:bCs/>
          <w:color w:val="auto"/>
          <w:sz w:val="24"/>
          <w:highlight w:val="none"/>
          <w:lang w:eastAsia="zh-CN"/>
        </w:rPr>
        <w:t>评审办法</w:t>
      </w:r>
      <w:r>
        <w:rPr>
          <w:rFonts w:hint="eastAsia" w:ascii="宋体" w:hAnsi="宋体" w:eastAsia="宋体" w:cs="宋体"/>
          <w:b w:val="0"/>
          <w:bCs/>
          <w:color w:val="auto"/>
          <w:sz w:val="24"/>
          <w:highlight w:val="none"/>
        </w:rPr>
        <w:t>”逐条对应填写（除</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技术</w:t>
      </w:r>
      <w:r>
        <w:rPr>
          <w:rFonts w:hint="eastAsia" w:ascii="宋体" w:hAnsi="宋体" w:eastAsia="宋体" w:cs="宋体"/>
          <w:b w:val="0"/>
          <w:bCs/>
          <w:color w:val="auto"/>
          <w:sz w:val="24"/>
          <w:highlight w:val="none"/>
        </w:rPr>
        <w:t>需求偏离表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内容）。</w:t>
      </w:r>
    </w:p>
    <w:p>
      <w:pPr>
        <w:rPr>
          <w:rFonts w:hint="eastAsia" w:ascii="宋体" w:hAnsi="宋体" w:eastAsia="宋体" w:cs="宋体"/>
          <w:color w:val="auto"/>
          <w:sz w:val="24"/>
          <w:szCs w:val="24"/>
          <w:highlight w:val="none"/>
        </w:rPr>
      </w:pPr>
    </w:p>
    <w:p>
      <w:pPr>
        <w:pStyle w:val="17"/>
        <w:spacing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投标人名称（盖章）：</w:t>
      </w:r>
    </w:p>
    <w:p>
      <w:pPr>
        <w:pStyle w:val="17"/>
        <w:spacing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授权人和被授权人（签字或盖章）：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9"/>
        <w:rPr>
          <w:rFonts w:hint="eastAsia"/>
          <w:color w:val="auto"/>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技术需求偏离表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2"/>
        <w:gridCol w:w="1229"/>
        <w:gridCol w:w="1575"/>
        <w:gridCol w:w="1500"/>
        <w:gridCol w:w="105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23"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623"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货物</w:t>
            </w:r>
            <w:r>
              <w:rPr>
                <w:rFonts w:hint="eastAsia" w:ascii="宋体" w:hAnsi="宋体" w:eastAsia="宋体" w:cs="宋体"/>
                <w:b w:val="0"/>
                <w:bCs/>
                <w:color w:val="auto"/>
                <w:sz w:val="24"/>
                <w:highlight w:val="none"/>
              </w:rPr>
              <w:t>名称</w:t>
            </w:r>
          </w:p>
        </w:tc>
        <w:tc>
          <w:tcPr>
            <w:tcW w:w="721"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条款号</w:t>
            </w:r>
          </w:p>
        </w:tc>
        <w:tc>
          <w:tcPr>
            <w:tcW w:w="924"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要求</w:t>
            </w:r>
          </w:p>
        </w:tc>
        <w:tc>
          <w:tcPr>
            <w:tcW w:w="880" w:type="pct"/>
            <w:noWrap w:val="0"/>
            <w:vAlign w:val="center"/>
          </w:tcPr>
          <w:p>
            <w:pPr>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p>
        </w:tc>
        <w:tc>
          <w:tcPr>
            <w:tcW w:w="619"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偏离</w:t>
            </w:r>
          </w:p>
        </w:tc>
        <w:tc>
          <w:tcPr>
            <w:tcW w:w="607"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bl>
    <w:p>
      <w:pPr>
        <w:spacing w:line="4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备注：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投标人</w:t>
      </w:r>
      <w:r>
        <w:rPr>
          <w:rFonts w:hint="eastAsia" w:ascii="宋体" w:hAnsi="宋体" w:eastAsia="宋体" w:cs="宋体"/>
          <w:b w:val="0"/>
          <w:bCs/>
          <w:color w:val="auto"/>
          <w:sz w:val="24"/>
          <w:highlight w:val="none"/>
        </w:rPr>
        <w:t>应根据其提供的服务，对照</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“第四章</w:t>
      </w:r>
      <w:r>
        <w:rPr>
          <w:rFonts w:hint="eastAsia" w:ascii="宋体" w:hAnsi="宋体" w:cs="宋体"/>
          <w:b w:val="0"/>
          <w:bCs/>
          <w:color w:val="auto"/>
          <w:sz w:val="24"/>
          <w:highlight w:val="none"/>
          <w:lang w:val="en-US" w:eastAsia="zh-CN"/>
        </w:rPr>
        <w:t>招标项目技术要求</w:t>
      </w:r>
      <w:r>
        <w:rPr>
          <w:rFonts w:hint="eastAsia" w:ascii="宋体" w:hAnsi="宋体" w:eastAsia="宋体" w:cs="宋体"/>
          <w:b w:val="0"/>
          <w:bCs/>
          <w:color w:val="auto"/>
          <w:sz w:val="24"/>
          <w:highlight w:val="none"/>
        </w:rPr>
        <w:t>”中的条款号逐项填写，“</w:t>
      </w: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r>
        <w:rPr>
          <w:rFonts w:hint="eastAsia" w:ascii="宋体" w:hAnsi="宋体" w:eastAsia="宋体" w:cs="宋体"/>
          <w:b w:val="0"/>
          <w:bCs/>
          <w:color w:val="auto"/>
          <w:sz w:val="24"/>
          <w:highlight w:val="none"/>
        </w:rPr>
        <w:t>”一栏应如实反映响应服务</w:t>
      </w:r>
      <w:r>
        <w:rPr>
          <w:rFonts w:hint="eastAsia" w:ascii="宋体" w:hAnsi="宋体" w:eastAsia="宋体" w:cs="宋体"/>
          <w:b w:val="0"/>
          <w:bCs/>
          <w:color w:val="auto"/>
          <w:sz w:val="24"/>
          <w:highlight w:val="none"/>
          <w:lang w:val="en-US" w:eastAsia="zh-CN"/>
        </w:rPr>
        <w:t>情况</w:t>
      </w:r>
      <w:r>
        <w:rPr>
          <w:rFonts w:hint="eastAsia" w:ascii="宋体" w:hAnsi="宋体" w:eastAsia="宋体" w:cs="宋体"/>
          <w:b w:val="0"/>
          <w:bCs/>
          <w:color w:val="auto"/>
          <w:sz w:val="24"/>
          <w:highlight w:val="none"/>
        </w:rPr>
        <w:t>，不得复制</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内容，不得虚假响应，否则将视为未实质性响应</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要求，</w:t>
      </w:r>
      <w:r>
        <w:rPr>
          <w:rFonts w:hint="eastAsia" w:ascii="宋体" w:hAnsi="宋体" w:eastAsia="宋体" w:cs="宋体"/>
          <w:b w:val="0"/>
          <w:bCs/>
          <w:color w:val="auto"/>
          <w:sz w:val="24"/>
          <w:highlight w:val="none"/>
          <w:lang w:val="en-US" w:eastAsia="zh-CN"/>
        </w:rPr>
        <w:t>响应</w:t>
      </w:r>
      <w:r>
        <w:rPr>
          <w:rFonts w:hint="eastAsia" w:ascii="宋体" w:hAnsi="宋体" w:eastAsia="宋体" w:cs="宋体"/>
          <w:b w:val="0"/>
          <w:bCs/>
          <w:color w:val="auto"/>
          <w:sz w:val="24"/>
          <w:highlight w:val="none"/>
        </w:rPr>
        <w:t>无效</w:t>
      </w:r>
      <w:r>
        <w:rPr>
          <w:rFonts w:hint="eastAsia" w:ascii="宋体" w:hAnsi="宋体" w:eastAsia="宋体" w:cs="宋体"/>
          <w:b w:val="0"/>
          <w:bCs/>
          <w:color w:val="auto"/>
          <w:sz w:val="24"/>
          <w:highlight w:val="none"/>
          <w:lang w:eastAsia="zh-CN"/>
        </w:rPr>
        <w:t>。</w:t>
      </w:r>
    </w:p>
    <w:p>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第四章</w:t>
      </w:r>
      <w:r>
        <w:rPr>
          <w:rFonts w:hint="eastAsia" w:ascii="宋体" w:hAnsi="宋体" w:cs="宋体"/>
          <w:b w:val="0"/>
          <w:bCs/>
          <w:color w:val="auto"/>
          <w:sz w:val="24"/>
          <w:highlight w:val="none"/>
          <w:lang w:val="en-US" w:eastAsia="zh-CN"/>
        </w:rPr>
        <w:t>招标项目技术要求</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每项</w:t>
      </w:r>
      <w:r>
        <w:rPr>
          <w:rFonts w:hint="eastAsia" w:ascii="宋体" w:hAnsi="宋体" w:cs="宋体"/>
          <w:b w:val="0"/>
          <w:bCs/>
          <w:color w:val="auto"/>
          <w:kern w:val="2"/>
          <w:sz w:val="24"/>
          <w:szCs w:val="24"/>
          <w:highlight w:val="none"/>
          <w:lang w:val="en-US" w:eastAsia="zh-CN" w:bidi="ar-SA"/>
        </w:rPr>
        <w:t>参数要求投标人须提供与服务需求相应的证明材料，</w:t>
      </w:r>
      <w:r>
        <w:rPr>
          <w:rFonts w:hint="eastAsia" w:ascii="宋体" w:hAnsi="宋体" w:eastAsia="宋体" w:cs="宋体"/>
          <w:b w:val="0"/>
          <w:bCs/>
          <w:color w:val="auto"/>
          <w:sz w:val="24"/>
          <w:szCs w:val="24"/>
          <w:highlight w:val="none"/>
          <w:lang w:val="en-US" w:eastAsia="zh-CN"/>
        </w:rPr>
        <w:t>如供应商承诺书、类似</w:t>
      </w:r>
      <w:r>
        <w:rPr>
          <w:rFonts w:hint="eastAsia" w:ascii="宋体" w:hAnsi="宋体" w:cs="宋体"/>
          <w:b w:val="0"/>
          <w:bCs/>
          <w:color w:val="auto"/>
          <w:sz w:val="24"/>
          <w:szCs w:val="24"/>
          <w:highlight w:val="none"/>
          <w:lang w:val="en-US" w:eastAsia="zh-CN"/>
        </w:rPr>
        <w:t>成果软件操作截图、类似项目方案计划</w:t>
      </w:r>
      <w:r>
        <w:rPr>
          <w:rFonts w:hint="eastAsia" w:ascii="宋体" w:hAnsi="宋体" w:cs="宋体"/>
          <w:b w:val="0"/>
          <w:bCs/>
          <w:color w:val="auto"/>
          <w:kern w:val="2"/>
          <w:sz w:val="24"/>
          <w:szCs w:val="24"/>
          <w:highlight w:val="none"/>
          <w:lang w:val="en-US" w:eastAsia="zh-CN" w:bidi="ar-SA"/>
        </w:rPr>
        <w:t>等</w:t>
      </w:r>
      <w:r>
        <w:rPr>
          <w:rFonts w:hint="eastAsia" w:ascii="宋体" w:hAnsi="宋体" w:eastAsia="宋体" w:cs="宋体"/>
          <w:b w:val="0"/>
          <w:bCs/>
          <w:color w:val="auto"/>
          <w:kern w:val="2"/>
          <w:sz w:val="24"/>
          <w:szCs w:val="24"/>
          <w:highlight w:val="none"/>
          <w:lang w:val="en-US" w:eastAsia="zh-CN" w:bidi="ar-SA"/>
        </w:rPr>
        <w:t>。</w:t>
      </w:r>
    </w:p>
    <w:p>
      <w:pPr>
        <w:spacing w:line="360" w:lineRule="atLeast"/>
        <w:rPr>
          <w:rFonts w:hint="eastAsia" w:ascii="宋体" w:hAnsi="宋体" w:eastAsia="宋体" w:cs="宋体"/>
          <w:color w:val="auto"/>
          <w:sz w:val="24"/>
          <w:szCs w:val="24"/>
          <w:highlight w:val="none"/>
        </w:rPr>
      </w:pPr>
    </w:p>
    <w:p>
      <w:pPr>
        <w:pStyle w:val="17"/>
        <w:spacing w:line="360" w:lineRule="atLeast"/>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投标人名称（盖章）：</w:t>
      </w:r>
    </w:p>
    <w:p>
      <w:pPr>
        <w:pStyle w:val="17"/>
        <w:spacing w:line="360" w:lineRule="atLeast"/>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授权人和被授权人（签字或盖章）：</w:t>
      </w:r>
    </w:p>
    <w:p>
      <w:pPr>
        <w:spacing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numPr>
          <w:ilvl w:val="0"/>
          <w:numId w:val="6"/>
        </w:numPr>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br w:type="page"/>
      </w:r>
      <w:bookmarkEnd w:id="142"/>
      <w:r>
        <w:rPr>
          <w:rFonts w:hint="eastAsia" w:ascii="宋体" w:hAnsi="宋体" w:eastAsia="宋体" w:cs="宋体"/>
          <w:b/>
          <w:bCs/>
          <w:color w:val="auto"/>
          <w:kern w:val="0"/>
          <w:sz w:val="24"/>
          <w:szCs w:val="24"/>
          <w:highlight w:val="none"/>
        </w:rPr>
        <w:t>拟配备人员情况</w:t>
      </w:r>
    </w:p>
    <w:p>
      <w:pPr>
        <w:pStyle w:val="2"/>
        <w:numPr>
          <w:ilvl w:val="0"/>
          <w:numId w:val="0"/>
        </w:numPr>
        <w:rPr>
          <w:rFonts w:hint="eastAsia" w:ascii="宋体" w:hAnsi="宋体" w:eastAsia="宋体" w:cs="宋体"/>
          <w:color w:val="auto"/>
          <w:sz w:val="24"/>
          <w:szCs w:val="24"/>
          <w:highlight w:val="none"/>
        </w:rPr>
      </w:pP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1、项目负责人介绍应包括：姓名、性别、年龄、学历、参加工作时间等。</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、项目负责人简历格式自拟，后附身份证、学历证书等彩色扫描件。</w:t>
      </w:r>
    </w:p>
    <w:p>
      <w:pPr>
        <w:rPr>
          <w:rFonts w:hint="eastAsia"/>
          <w:color w:val="auto"/>
          <w:highlight w:val="none"/>
        </w:rPr>
      </w:pPr>
      <w:r>
        <w:rPr>
          <w:rFonts w:hint="eastAsia"/>
          <w:color w:val="auto"/>
          <w:highlight w:val="none"/>
          <w:lang w:val="en-US" w:eastAsia="zh-CN"/>
        </w:rPr>
        <w:t>3</w:t>
      </w:r>
      <w:r>
        <w:rPr>
          <w:rFonts w:hint="eastAsia" w:ascii="宋体" w:hAnsi="宋体" w:cs="宋体"/>
          <w:color w:val="auto"/>
          <w:sz w:val="24"/>
          <w:highlight w:val="none"/>
        </w:rPr>
        <w:t>、项目配备人员</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10" w:type="dxa"/>
            <w:vMerge w:val="restart"/>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12" w:type="dxa"/>
            <w:vMerge w:val="restart"/>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912" w:type="dxa"/>
            <w:vMerge w:val="restart"/>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职称或职务</w:t>
            </w:r>
          </w:p>
        </w:tc>
        <w:tc>
          <w:tcPr>
            <w:tcW w:w="912" w:type="dxa"/>
            <w:vMerge w:val="restart"/>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815" w:type="dxa"/>
            <w:gridSpan w:val="4"/>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pPr>
              <w:spacing w:line="400" w:lineRule="exact"/>
              <w:jc w:val="center"/>
              <w:rPr>
                <w:rFonts w:hint="eastAsia" w:ascii="宋体" w:hAnsi="宋体" w:cs="宋体"/>
                <w:color w:val="auto"/>
                <w:sz w:val="24"/>
                <w:highlight w:val="none"/>
              </w:rPr>
            </w:pPr>
          </w:p>
        </w:tc>
        <w:tc>
          <w:tcPr>
            <w:tcW w:w="910" w:type="dxa"/>
            <w:vMerge w:val="continue"/>
            <w:noWrap w:val="0"/>
            <w:vAlign w:val="center"/>
          </w:tcPr>
          <w:p>
            <w:pPr>
              <w:spacing w:line="400" w:lineRule="exact"/>
              <w:jc w:val="center"/>
              <w:rPr>
                <w:rFonts w:hint="eastAsia" w:ascii="宋体" w:hAnsi="宋体" w:cs="宋体"/>
                <w:color w:val="auto"/>
                <w:sz w:val="24"/>
                <w:highlight w:val="none"/>
              </w:rPr>
            </w:pPr>
          </w:p>
        </w:tc>
        <w:tc>
          <w:tcPr>
            <w:tcW w:w="912" w:type="dxa"/>
            <w:vMerge w:val="continue"/>
            <w:noWrap w:val="0"/>
            <w:vAlign w:val="center"/>
          </w:tcPr>
          <w:p>
            <w:pPr>
              <w:spacing w:line="400" w:lineRule="exact"/>
              <w:jc w:val="center"/>
              <w:rPr>
                <w:rFonts w:hint="eastAsia" w:ascii="宋体" w:hAnsi="宋体" w:cs="宋体"/>
                <w:color w:val="auto"/>
                <w:sz w:val="24"/>
                <w:highlight w:val="none"/>
              </w:rPr>
            </w:pPr>
          </w:p>
        </w:tc>
        <w:tc>
          <w:tcPr>
            <w:tcW w:w="912" w:type="dxa"/>
            <w:vMerge w:val="continue"/>
            <w:noWrap w:val="0"/>
            <w:vAlign w:val="center"/>
          </w:tcPr>
          <w:p>
            <w:pPr>
              <w:spacing w:line="400" w:lineRule="exact"/>
              <w:jc w:val="center"/>
              <w:rPr>
                <w:rFonts w:hint="eastAsia" w:ascii="宋体" w:hAnsi="宋体" w:cs="宋体"/>
                <w:color w:val="auto"/>
                <w:sz w:val="24"/>
                <w:highlight w:val="none"/>
              </w:rPr>
            </w:pPr>
          </w:p>
        </w:tc>
        <w:tc>
          <w:tcPr>
            <w:tcW w:w="912" w:type="dxa"/>
            <w:vMerge w:val="continue"/>
            <w:noWrap w:val="0"/>
            <w:vAlign w:val="center"/>
          </w:tcPr>
          <w:p>
            <w:pPr>
              <w:spacing w:line="400" w:lineRule="exact"/>
              <w:jc w:val="center"/>
              <w:rPr>
                <w:rFonts w:hint="eastAsia" w:ascii="宋体" w:hAnsi="宋体" w:cs="宋体"/>
                <w:color w:val="auto"/>
                <w:sz w:val="24"/>
                <w:highlight w:val="none"/>
              </w:rPr>
            </w:pPr>
          </w:p>
        </w:tc>
        <w:tc>
          <w:tcPr>
            <w:tcW w:w="1188"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证书名称</w:t>
            </w:r>
          </w:p>
        </w:tc>
        <w:tc>
          <w:tcPr>
            <w:tcW w:w="83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51"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841"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管</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理</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服</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务</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他</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color w:val="auto"/>
                <w:sz w:val="24"/>
                <w:highlight w:val="none"/>
              </w:rPr>
            </w:pPr>
          </w:p>
        </w:tc>
        <w:tc>
          <w:tcPr>
            <w:tcW w:w="1188" w:type="dxa"/>
            <w:noWrap w:val="0"/>
            <w:vAlign w:val="top"/>
          </w:tcPr>
          <w:p>
            <w:pPr>
              <w:spacing w:line="400" w:lineRule="exact"/>
              <w:jc w:val="center"/>
              <w:rPr>
                <w:rFonts w:hint="eastAsia" w:ascii="宋体" w:hAnsi="宋体" w:cs="宋体"/>
                <w:color w:val="auto"/>
                <w:sz w:val="24"/>
                <w:highlight w:val="none"/>
              </w:rPr>
            </w:pPr>
          </w:p>
        </w:tc>
        <w:tc>
          <w:tcPr>
            <w:tcW w:w="835" w:type="dxa"/>
            <w:noWrap w:val="0"/>
            <w:vAlign w:val="top"/>
          </w:tcPr>
          <w:p>
            <w:pPr>
              <w:spacing w:line="400" w:lineRule="exact"/>
              <w:jc w:val="center"/>
              <w:rPr>
                <w:rFonts w:hint="eastAsia" w:ascii="宋体" w:hAnsi="宋体" w:cs="宋体"/>
                <w:color w:val="auto"/>
                <w:sz w:val="24"/>
                <w:highlight w:val="none"/>
              </w:rPr>
            </w:pPr>
          </w:p>
        </w:tc>
        <w:tc>
          <w:tcPr>
            <w:tcW w:w="951" w:type="dxa"/>
            <w:noWrap w:val="0"/>
            <w:vAlign w:val="top"/>
          </w:tcPr>
          <w:p>
            <w:pPr>
              <w:spacing w:line="400" w:lineRule="exact"/>
              <w:jc w:val="center"/>
              <w:rPr>
                <w:rFonts w:hint="eastAsia" w:ascii="宋体" w:hAnsi="宋体" w:cs="宋体"/>
                <w:color w:val="auto"/>
                <w:sz w:val="24"/>
                <w:highlight w:val="none"/>
              </w:rPr>
            </w:pPr>
          </w:p>
        </w:tc>
        <w:tc>
          <w:tcPr>
            <w:tcW w:w="841" w:type="dxa"/>
            <w:noWrap w:val="0"/>
            <w:vAlign w:val="top"/>
          </w:tcPr>
          <w:p>
            <w:pPr>
              <w:spacing w:line="40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1188" w:type="dxa"/>
            <w:noWrap w:val="0"/>
            <w:vAlign w:val="top"/>
          </w:tcPr>
          <w:p>
            <w:pPr>
              <w:spacing w:line="400" w:lineRule="exact"/>
              <w:jc w:val="center"/>
              <w:rPr>
                <w:rFonts w:hint="eastAsia" w:ascii="宋体" w:hAnsi="宋体" w:cs="宋体"/>
                <w:b/>
                <w:bCs/>
                <w:color w:val="auto"/>
                <w:sz w:val="24"/>
                <w:highlight w:val="none"/>
              </w:rPr>
            </w:pPr>
          </w:p>
        </w:tc>
        <w:tc>
          <w:tcPr>
            <w:tcW w:w="835" w:type="dxa"/>
            <w:noWrap w:val="0"/>
            <w:vAlign w:val="top"/>
          </w:tcPr>
          <w:p>
            <w:pPr>
              <w:spacing w:line="400" w:lineRule="exact"/>
              <w:jc w:val="center"/>
              <w:rPr>
                <w:rFonts w:hint="eastAsia" w:ascii="宋体" w:hAnsi="宋体" w:cs="宋体"/>
                <w:b/>
                <w:bCs/>
                <w:color w:val="auto"/>
                <w:sz w:val="24"/>
                <w:highlight w:val="none"/>
              </w:rPr>
            </w:pPr>
          </w:p>
        </w:tc>
        <w:tc>
          <w:tcPr>
            <w:tcW w:w="951" w:type="dxa"/>
            <w:noWrap w:val="0"/>
            <w:vAlign w:val="top"/>
          </w:tcPr>
          <w:p>
            <w:pPr>
              <w:spacing w:line="400" w:lineRule="exact"/>
              <w:jc w:val="center"/>
              <w:rPr>
                <w:rFonts w:hint="eastAsia" w:ascii="宋体" w:hAnsi="宋体" w:cs="宋体"/>
                <w:b/>
                <w:bCs/>
                <w:color w:val="auto"/>
                <w:sz w:val="24"/>
                <w:highlight w:val="none"/>
              </w:rPr>
            </w:pPr>
          </w:p>
        </w:tc>
        <w:tc>
          <w:tcPr>
            <w:tcW w:w="841" w:type="dxa"/>
            <w:noWrap w:val="0"/>
            <w:vAlign w:val="top"/>
          </w:tcPr>
          <w:p>
            <w:pPr>
              <w:spacing w:line="400" w:lineRule="exact"/>
              <w:jc w:val="center"/>
              <w:rPr>
                <w:rFonts w:hint="eastAsia" w:ascii="宋体" w:hAnsi="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highlight w:val="none"/>
              </w:rPr>
            </w:pPr>
          </w:p>
        </w:tc>
        <w:tc>
          <w:tcPr>
            <w:tcW w:w="910" w:type="dxa"/>
            <w:noWrap w:val="0"/>
            <w:vAlign w:val="top"/>
          </w:tcPr>
          <w:p>
            <w:pPr>
              <w:spacing w:line="400" w:lineRule="exact"/>
              <w:jc w:val="center"/>
              <w:rPr>
                <w:rFonts w:hint="eastAsia" w:ascii="宋体" w:hAnsi="宋体" w:cs="宋体"/>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912" w:type="dxa"/>
            <w:noWrap w:val="0"/>
            <w:vAlign w:val="top"/>
          </w:tcPr>
          <w:p>
            <w:pPr>
              <w:spacing w:line="400" w:lineRule="exact"/>
              <w:jc w:val="center"/>
              <w:rPr>
                <w:rFonts w:hint="eastAsia" w:ascii="宋体" w:hAnsi="宋体" w:cs="宋体"/>
                <w:b/>
                <w:bCs/>
                <w:color w:val="auto"/>
                <w:sz w:val="24"/>
                <w:highlight w:val="none"/>
              </w:rPr>
            </w:pPr>
          </w:p>
        </w:tc>
        <w:tc>
          <w:tcPr>
            <w:tcW w:w="1188" w:type="dxa"/>
            <w:noWrap w:val="0"/>
            <w:vAlign w:val="top"/>
          </w:tcPr>
          <w:p>
            <w:pPr>
              <w:spacing w:line="400" w:lineRule="exact"/>
              <w:jc w:val="center"/>
              <w:rPr>
                <w:rFonts w:hint="eastAsia" w:ascii="宋体" w:hAnsi="宋体" w:cs="宋体"/>
                <w:b/>
                <w:bCs/>
                <w:color w:val="auto"/>
                <w:sz w:val="24"/>
                <w:highlight w:val="none"/>
              </w:rPr>
            </w:pPr>
          </w:p>
        </w:tc>
        <w:tc>
          <w:tcPr>
            <w:tcW w:w="835" w:type="dxa"/>
            <w:noWrap w:val="0"/>
            <w:vAlign w:val="top"/>
          </w:tcPr>
          <w:p>
            <w:pPr>
              <w:spacing w:line="400" w:lineRule="exact"/>
              <w:jc w:val="center"/>
              <w:rPr>
                <w:rFonts w:hint="eastAsia" w:ascii="宋体" w:hAnsi="宋体" w:cs="宋体"/>
                <w:b/>
                <w:bCs/>
                <w:color w:val="auto"/>
                <w:sz w:val="24"/>
                <w:highlight w:val="none"/>
              </w:rPr>
            </w:pPr>
          </w:p>
        </w:tc>
        <w:tc>
          <w:tcPr>
            <w:tcW w:w="951" w:type="dxa"/>
            <w:noWrap w:val="0"/>
            <w:vAlign w:val="top"/>
          </w:tcPr>
          <w:p>
            <w:pPr>
              <w:spacing w:line="400" w:lineRule="exact"/>
              <w:jc w:val="center"/>
              <w:rPr>
                <w:rFonts w:hint="eastAsia" w:ascii="宋体" w:hAnsi="宋体" w:cs="宋体"/>
                <w:b/>
                <w:bCs/>
                <w:color w:val="auto"/>
                <w:sz w:val="24"/>
                <w:highlight w:val="none"/>
              </w:rPr>
            </w:pPr>
          </w:p>
        </w:tc>
        <w:tc>
          <w:tcPr>
            <w:tcW w:w="841" w:type="dxa"/>
            <w:noWrap w:val="0"/>
            <w:vAlign w:val="top"/>
          </w:tcPr>
          <w:p>
            <w:pPr>
              <w:spacing w:line="400" w:lineRule="exact"/>
              <w:jc w:val="center"/>
              <w:rPr>
                <w:rFonts w:hint="eastAsia" w:ascii="宋体" w:hAnsi="宋体" w:cs="宋体"/>
                <w:b/>
                <w:bCs/>
                <w:color w:val="auto"/>
                <w:sz w:val="24"/>
                <w:highlight w:val="none"/>
              </w:rPr>
            </w:pPr>
          </w:p>
        </w:tc>
      </w:tr>
    </w:tbl>
    <w:p>
      <w:pPr>
        <w:adjustRightInd w:val="0"/>
        <w:spacing w:line="400" w:lineRule="exact"/>
        <w:ind w:firstLine="900" w:firstLineChars="375"/>
        <w:jc w:val="left"/>
        <w:rPr>
          <w:rFonts w:hint="eastAsia" w:ascii="宋体" w:hAnsi="宋体" w:cs="宋体"/>
          <w:bCs/>
          <w:color w:val="auto"/>
          <w:sz w:val="24"/>
          <w:highlight w:val="none"/>
        </w:rPr>
      </w:pPr>
      <w:r>
        <w:rPr>
          <w:rFonts w:hint="eastAsia" w:ascii="宋体" w:hAnsi="宋体" w:cs="宋体"/>
          <w:bCs/>
          <w:color w:val="auto"/>
          <w:sz w:val="24"/>
          <w:highlight w:val="none"/>
        </w:rPr>
        <w:t>注：后附人员相关证书彩色扫描件。</w:t>
      </w:r>
    </w:p>
    <w:p>
      <w:pPr>
        <w:pStyle w:val="13"/>
        <w:rPr>
          <w:rFonts w:hint="eastAsia" w:ascii="宋体" w:hAnsi="宋体" w:cs="宋体"/>
          <w:color w:val="auto"/>
          <w:sz w:val="24"/>
          <w:highlight w:val="none"/>
        </w:rPr>
      </w:pPr>
    </w:p>
    <w:p>
      <w:pPr>
        <w:adjustRightInd w:val="0"/>
        <w:spacing w:line="400" w:lineRule="exact"/>
        <w:ind w:firstLine="900" w:firstLineChars="375"/>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投标人名称（盖章）：        </w:t>
      </w:r>
    </w:p>
    <w:p>
      <w:pPr>
        <w:adjustRightInd w:val="0"/>
        <w:spacing w:line="400" w:lineRule="exact"/>
        <w:ind w:firstLine="4020" w:firstLineChars="1675"/>
        <w:rPr>
          <w:rFonts w:hint="eastAsia" w:ascii="宋体" w:hAnsi="宋体" w:cs="宋体"/>
          <w:bCs/>
          <w:color w:val="auto"/>
          <w:sz w:val="24"/>
          <w:highlight w:val="none"/>
        </w:rPr>
      </w:pPr>
      <w:r>
        <w:rPr>
          <w:rFonts w:hint="eastAsia" w:ascii="宋体" w:hAnsi="宋体" w:cs="宋体"/>
          <w:color w:val="auto"/>
          <w:sz w:val="24"/>
          <w:highlight w:val="none"/>
        </w:rPr>
        <w:t>授权人或被授权人（签字或盖章）</w:t>
      </w:r>
      <w:r>
        <w:rPr>
          <w:rFonts w:hint="eastAsia" w:ascii="宋体" w:hAnsi="宋体" w:cs="宋体"/>
          <w:bCs/>
          <w:color w:val="auto"/>
          <w:sz w:val="24"/>
          <w:highlight w:val="none"/>
        </w:rPr>
        <w:t>：</w:t>
      </w:r>
    </w:p>
    <w:p>
      <w:pPr>
        <w:adjustRightInd w:val="0"/>
        <w:spacing w:line="400" w:lineRule="exact"/>
        <w:ind w:firstLine="900" w:firstLineChars="375"/>
        <w:jc w:val="center"/>
        <w:rPr>
          <w:rFonts w:hint="eastAsia" w:ascii="宋体" w:hAnsi="宋体" w:cs="宋体"/>
          <w:bCs/>
          <w:color w:val="auto"/>
          <w:sz w:val="24"/>
          <w:highlight w:val="none"/>
        </w:rPr>
      </w:pPr>
      <w:r>
        <w:rPr>
          <w:rFonts w:hint="eastAsia" w:ascii="宋体" w:hAnsi="宋体" w:cs="宋体"/>
          <w:bCs/>
          <w:color w:val="auto"/>
          <w:sz w:val="24"/>
          <w:highlight w:val="none"/>
        </w:rPr>
        <w:t>日期:</w:t>
      </w:r>
    </w:p>
    <w:p>
      <w:pPr>
        <w:spacing w:line="360" w:lineRule="auto"/>
        <w:ind w:firstLine="4080" w:firstLineChars="1700"/>
        <w:jc w:val="left"/>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5"/>
        <w:spacing w:before="75" w:beforeAutospacing="0" w:after="75" w:afterAutospacing="0" w:line="540" w:lineRule="atLeast"/>
        <w:rPr>
          <w:rFonts w:hint="eastAsia" w:ascii="宋体" w:hAnsi="宋体" w:eastAsia="宋体" w:cs="宋体"/>
          <w:color w:val="auto"/>
          <w:sz w:val="24"/>
          <w:szCs w:val="24"/>
          <w:highlight w:val="none"/>
        </w:rPr>
      </w:pPr>
    </w:p>
    <w:p>
      <w:pPr>
        <w:pStyle w:val="15"/>
        <w:spacing w:before="75" w:beforeAutospacing="0" w:after="75" w:afterAutospacing="0" w:line="540" w:lineRule="atLeast"/>
        <w:rPr>
          <w:rFonts w:hint="eastAsia" w:ascii="宋体" w:hAnsi="宋体" w:eastAsia="宋体" w:cs="宋体"/>
          <w:color w:val="auto"/>
          <w:sz w:val="24"/>
          <w:szCs w:val="24"/>
          <w:highlight w:val="none"/>
        </w:rPr>
      </w:pPr>
    </w:p>
    <w:p>
      <w:pPr>
        <w:pStyle w:val="15"/>
        <w:spacing w:before="75" w:beforeAutospacing="0" w:after="75" w:afterAutospacing="0" w:line="540" w:lineRule="atLeast"/>
        <w:rPr>
          <w:rFonts w:hint="eastAsia" w:ascii="宋体" w:hAnsi="宋体" w:eastAsia="宋体" w:cs="宋体"/>
          <w:color w:val="auto"/>
          <w:sz w:val="24"/>
          <w:szCs w:val="24"/>
          <w:highlight w:val="none"/>
        </w:rPr>
      </w:pPr>
    </w:p>
    <w:p>
      <w:pPr>
        <w:pStyle w:val="29"/>
        <w:numPr>
          <w:ilvl w:val="0"/>
          <w:numId w:val="7"/>
        </w:numPr>
        <w:ind w:firstLine="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实施方案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投标人应根据本招标文件要求和项目的具体情况，自行编制实施方案，格式自拟，但应主要包括以下内容：</w:t>
      </w:r>
    </w:p>
    <w:bookmarkEnd w:id="138"/>
    <w:p>
      <w:pPr>
        <w:spacing w:line="360" w:lineRule="auto"/>
        <w:jc w:val="left"/>
        <w:rPr>
          <w:rFonts w:hint="eastAsia" w:ascii="宋体" w:hAnsi="宋体" w:cs="宋体"/>
          <w:b w:val="0"/>
          <w:bCs w:val="0"/>
          <w:color w:val="auto"/>
          <w:kern w:val="0"/>
          <w:sz w:val="24"/>
          <w:szCs w:val="24"/>
          <w:highlight w:val="none"/>
          <w:lang w:val="en-US" w:eastAsia="zh-CN"/>
        </w:rPr>
      </w:pPr>
      <w:bookmarkStart w:id="143" w:name="_Toc31271_WPSOffice_Level1"/>
    </w:p>
    <w:p>
      <w:pPr>
        <w:spacing w:line="36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项目建设方案</w:t>
      </w:r>
    </w:p>
    <w:p>
      <w:pPr>
        <w:spacing w:line="36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sz w:val="24"/>
          <w:szCs w:val="21"/>
          <w:lang w:val="en-US" w:eastAsia="zh-CN"/>
        </w:rPr>
        <w:t>项目实施措施</w:t>
      </w:r>
    </w:p>
    <w:p>
      <w:pPr>
        <w:spacing w:line="36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运营方案</w:t>
      </w:r>
    </w:p>
    <w:p>
      <w:pPr>
        <w:spacing w:line="36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售后服务方案</w:t>
      </w:r>
    </w:p>
    <w:p>
      <w:pPr>
        <w:spacing w:line="360" w:lineRule="auto"/>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培训方案</w:t>
      </w:r>
      <w:r>
        <w:rPr>
          <w:rFonts w:hint="eastAsia" w:ascii="宋体" w:hAnsi="宋体" w:cs="宋体"/>
          <w:b w:val="0"/>
          <w:bCs w:val="0"/>
          <w:color w:val="auto"/>
          <w:kern w:val="0"/>
          <w:sz w:val="24"/>
          <w:szCs w:val="24"/>
          <w:highlight w:val="none"/>
          <w:lang w:val="en-US" w:eastAsia="zh-CN"/>
        </w:rPr>
        <w:br w:type="page"/>
      </w:r>
    </w:p>
    <w:p>
      <w:pPr>
        <w:pStyle w:val="2"/>
        <w:ind w:firstLine="0" w:firstLineChars="0"/>
        <w:jc w:val="center"/>
        <w:outlineLvl w:val="1"/>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rPr>
        <w:t>、投标人认为需要提供的其他文件和资料</w:t>
      </w:r>
    </w:p>
    <w:p>
      <w:pPr>
        <w:spacing w:line="460" w:lineRule="exact"/>
        <w:rPr>
          <w:rFonts w:hint="eastAsia" w:ascii="宋体" w:hAnsi="宋体" w:eastAsia="宋体" w:cs="宋体"/>
          <w:bCs/>
          <w:color w:val="auto"/>
          <w:sz w:val="24"/>
          <w:szCs w:val="24"/>
          <w:highlight w:val="none"/>
        </w:rPr>
      </w:pPr>
    </w:p>
    <w:p>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1、以下《中小微企业声明函》、《监狱企业的证明文件》及《残疾人福利性单位声明函》投标人根据自身的实际情况选用（如有）。</w:t>
      </w:r>
    </w:p>
    <w:p>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2、投标人同时为小型（或微型）企业、监狱企业、残疾人福利性单位任两种或以上情况的，评审中只享受一次价格扣除（或评审得分优惠），不重复进行价格扣除。</w:t>
      </w:r>
    </w:p>
    <w:p>
      <w:pPr>
        <w:pStyle w:val="16"/>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val="en-US"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u w:val="single"/>
          <w:lang w:val="en-US"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，属于（中型企业、小型企业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微型企业</w:t>
      </w:r>
      <w:r>
        <w:rPr>
          <w:rFonts w:hint="eastAsia" w:ascii="宋体" w:hAnsi="宋体" w:eastAsia="宋体" w:cs="宋体"/>
          <w:color w:val="auto"/>
          <w:sz w:val="24"/>
          <w:szCs w:val="24"/>
          <w:highlight w:val="none"/>
        </w:rPr>
        <w:t>）；</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16"/>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16"/>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pStyle w:val="16"/>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spacing w:line="460" w:lineRule="exact"/>
        <w:jc w:val="center"/>
        <w:rPr>
          <w:rFonts w:hint="eastAsia" w:ascii="宋体" w:hAnsi="宋体" w:eastAsia="宋体" w:cs="宋体"/>
          <w:b/>
          <w:bCs/>
          <w:color w:val="auto"/>
          <w:sz w:val="24"/>
          <w:szCs w:val="24"/>
          <w:highlight w:val="none"/>
        </w:rPr>
      </w:pPr>
    </w:p>
    <w:p>
      <w:pPr>
        <w:pStyle w:val="26"/>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46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 xml:space="preserve">（二） </w:t>
      </w:r>
      <w:bookmarkStart w:id="144" w:name="OLE_LINK14"/>
      <w:bookmarkStart w:id="145" w:name="OLE_LINK13"/>
      <w:r>
        <w:rPr>
          <w:rFonts w:hint="eastAsia" w:ascii="宋体" w:hAnsi="宋体" w:eastAsia="宋体" w:cs="宋体"/>
          <w:b/>
          <w:color w:val="auto"/>
          <w:spacing w:val="6"/>
          <w:sz w:val="24"/>
          <w:szCs w:val="24"/>
          <w:highlight w:val="none"/>
        </w:rPr>
        <w:t>残疾人福利性单位声明函</w:t>
      </w:r>
    </w:p>
    <w:bookmarkEnd w:id="144"/>
    <w:bookmarkEnd w:id="145"/>
    <w:p>
      <w:pPr>
        <w:spacing w:line="460" w:lineRule="exact"/>
        <w:rPr>
          <w:rFonts w:hint="eastAsia" w:ascii="宋体" w:hAnsi="宋体" w:eastAsia="宋体" w:cs="宋体"/>
          <w:b/>
          <w:color w:val="auto"/>
          <w:spacing w:val="6"/>
          <w:sz w:val="24"/>
          <w:szCs w:val="24"/>
          <w:highlight w:val="none"/>
        </w:rPr>
      </w:pPr>
    </w:p>
    <w:p>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460" w:lineRule="exact"/>
        <w:ind w:firstLine="504" w:firstLineChars="200"/>
        <w:rPr>
          <w:rFonts w:hint="eastAsia" w:ascii="宋体" w:hAnsi="宋体" w:eastAsia="宋体" w:cs="宋体"/>
          <w:color w:val="auto"/>
          <w:spacing w:val="6"/>
          <w:sz w:val="24"/>
          <w:szCs w:val="24"/>
          <w:highlight w:val="none"/>
        </w:rPr>
      </w:pPr>
    </w:p>
    <w:p>
      <w:pPr>
        <w:spacing w:line="460" w:lineRule="exact"/>
        <w:ind w:firstLine="504" w:firstLineChars="200"/>
        <w:rPr>
          <w:rFonts w:hint="eastAsia" w:ascii="宋体" w:hAnsi="宋体" w:eastAsia="宋体" w:cs="宋体"/>
          <w:color w:val="auto"/>
          <w:spacing w:val="6"/>
          <w:sz w:val="24"/>
          <w:szCs w:val="24"/>
          <w:highlight w:val="none"/>
        </w:rPr>
      </w:pPr>
    </w:p>
    <w:p>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widowControl/>
        <w:adjustRightInd w:val="0"/>
        <w:snapToGrid w:val="0"/>
        <w:spacing w:line="460" w:lineRule="exact"/>
        <w:rPr>
          <w:rFonts w:hint="eastAsia" w:ascii="宋体" w:hAnsi="宋体" w:eastAsia="宋体" w:cs="宋体"/>
          <w:color w:val="auto"/>
          <w:sz w:val="24"/>
          <w:szCs w:val="24"/>
          <w:highlight w:val="none"/>
        </w:rPr>
      </w:pPr>
    </w:p>
    <w:p>
      <w:pPr>
        <w:spacing w:line="460" w:lineRule="exact"/>
        <w:jc w:val="left"/>
        <w:rPr>
          <w:rFonts w:hint="eastAsia" w:ascii="宋体" w:hAnsi="宋体" w:eastAsia="宋体" w:cs="宋体"/>
          <w:bCs/>
          <w:color w:val="auto"/>
          <w:sz w:val="24"/>
          <w:szCs w:val="24"/>
          <w:highlight w:val="none"/>
        </w:rPr>
      </w:pPr>
    </w:p>
    <w:p>
      <w:pPr>
        <w:widowControl/>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：须提供证明材料（能反映出企业残疾人的占比等情况的材料及残疾人证等）。</w:t>
      </w:r>
    </w:p>
    <w:p>
      <w:pPr>
        <w:spacing w:line="460" w:lineRule="exact"/>
        <w:jc w:val="center"/>
        <w:rPr>
          <w:rFonts w:hint="eastAsia" w:ascii="宋体" w:hAnsi="宋体" w:eastAsia="宋体" w:cs="宋体"/>
          <w:b/>
          <w:bCs/>
          <w:color w:val="auto"/>
          <w:sz w:val="24"/>
          <w:szCs w:val="24"/>
          <w:highlight w:val="none"/>
        </w:rPr>
      </w:pPr>
    </w:p>
    <w:p>
      <w:pPr>
        <w:spacing w:line="460" w:lineRule="exact"/>
        <w:jc w:val="center"/>
        <w:rPr>
          <w:rFonts w:hint="eastAsia" w:ascii="宋体" w:hAnsi="宋体" w:eastAsia="宋体" w:cs="宋体"/>
          <w:b/>
          <w:bCs/>
          <w:color w:val="auto"/>
          <w:sz w:val="24"/>
          <w:szCs w:val="24"/>
          <w:highlight w:val="none"/>
        </w:rPr>
      </w:pPr>
    </w:p>
    <w:p>
      <w:pPr>
        <w:widowControl/>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pPr>
        <w:spacing w:line="460" w:lineRule="exact"/>
        <w:ind w:firstLine="480" w:firstLineChars="200"/>
        <w:jc w:val="left"/>
        <w:rPr>
          <w:rFonts w:hint="eastAsia" w:ascii="宋体" w:hAnsi="宋体" w:eastAsia="宋体" w:cs="宋体"/>
          <w:color w:val="auto"/>
          <w:sz w:val="24"/>
          <w:szCs w:val="24"/>
          <w:highlight w:val="none"/>
        </w:rPr>
      </w:pPr>
    </w:p>
    <w:p>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pStyle w:val="16"/>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2.证明材料加盖投标人公章。</w:t>
      </w:r>
    </w:p>
    <w:p>
      <w:pPr>
        <w:pStyle w:val="16"/>
        <w:spacing w:line="460" w:lineRule="exact"/>
        <w:jc w:val="both"/>
        <w:rPr>
          <w:rFonts w:hint="eastAsia" w:ascii="宋体" w:hAnsi="宋体" w:eastAsia="宋体" w:cs="宋体"/>
          <w:b/>
          <w:bCs/>
          <w:color w:val="auto"/>
          <w:sz w:val="24"/>
          <w:szCs w:val="24"/>
          <w:highlight w:val="none"/>
        </w:rPr>
      </w:pPr>
    </w:p>
    <w:p>
      <w:pPr>
        <w:pStyle w:val="16"/>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（四）投标保证金</w:t>
      </w:r>
      <w:r>
        <w:rPr>
          <w:rFonts w:hint="eastAsia" w:ascii="宋体" w:hAnsi="宋体" w:eastAsia="宋体" w:cs="宋体"/>
          <w:b/>
          <w:bCs/>
          <w:color w:val="auto"/>
          <w:sz w:val="24"/>
          <w:szCs w:val="24"/>
          <w:highlight w:val="none"/>
          <w:lang w:eastAsia="zh-CN"/>
        </w:rPr>
        <w:t>缴纳凭证</w:t>
      </w:r>
    </w:p>
    <w:p>
      <w:pPr>
        <w:pStyle w:val="16"/>
        <w:spacing w:line="460" w:lineRule="exact"/>
        <w:jc w:val="center"/>
        <w:rPr>
          <w:rFonts w:hint="eastAsia" w:ascii="宋体" w:hAnsi="宋体" w:eastAsia="宋体" w:cs="宋体"/>
          <w:color w:val="auto"/>
          <w:sz w:val="24"/>
          <w:szCs w:val="24"/>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5000" w:type="pct"/>
            <w:tcBorders>
              <w:top w:val="single" w:color="auto" w:sz="4" w:space="0"/>
              <w:bottom w:val="single" w:color="auto" w:sz="4" w:space="0"/>
            </w:tcBorders>
            <w:vAlign w:val="center"/>
          </w:tcPr>
          <w:p>
            <w:pPr>
              <w:pStyle w:val="16"/>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w:t>
            </w:r>
          </w:p>
        </w:tc>
      </w:tr>
    </w:tbl>
    <w:p>
      <w:pPr>
        <w:adjustRightInd w:val="0"/>
        <w:snapToGrid w:val="0"/>
        <w:spacing w:line="460" w:lineRule="exact"/>
        <w:ind w:firstLine="480" w:firstLineChars="200"/>
        <w:rPr>
          <w:rFonts w:hint="eastAsia" w:ascii="宋体" w:hAnsi="宋体" w:eastAsia="宋体" w:cs="宋体"/>
          <w:color w:val="auto"/>
          <w:sz w:val="24"/>
          <w:szCs w:val="24"/>
          <w:highlight w:val="none"/>
        </w:rPr>
      </w:pPr>
    </w:p>
    <w:p>
      <w:pPr>
        <w:widowControl/>
        <w:shd w:val="clear" w:color="auto" w:fill="FFFFFF"/>
        <w:spacing w:line="460" w:lineRule="exact"/>
        <w:jc w:val="left"/>
        <w:rPr>
          <w:rFonts w:hint="eastAsia" w:ascii="宋体" w:hAnsi="宋体" w:eastAsia="宋体" w:cs="宋体"/>
          <w:color w:val="auto"/>
          <w:kern w:val="0"/>
          <w:sz w:val="24"/>
          <w:szCs w:val="24"/>
          <w:highlight w:val="none"/>
        </w:rPr>
      </w:pPr>
    </w:p>
    <w:p>
      <w:pPr>
        <w:spacing w:line="460" w:lineRule="exact"/>
        <w:rPr>
          <w:rFonts w:hint="eastAsia" w:ascii="宋体" w:hAnsi="宋体" w:eastAsia="宋体" w:cs="宋体"/>
          <w:color w:val="auto"/>
          <w:sz w:val="24"/>
          <w:szCs w:val="24"/>
          <w:highlight w:val="none"/>
        </w:rPr>
      </w:pPr>
    </w:p>
    <w:bookmarkEnd w:id="143"/>
    <w:p>
      <w:pPr>
        <w:pStyle w:val="16"/>
        <w:spacing w:line="460" w:lineRule="exact"/>
        <w:jc w:val="center"/>
        <w:rPr>
          <w:rFonts w:hint="eastAsia" w:ascii="宋体" w:hAnsi="宋体" w:eastAsia="宋体" w:cs="宋体"/>
          <w:b/>
          <w:bCs/>
          <w:color w:val="auto"/>
          <w:sz w:val="24"/>
          <w:szCs w:val="24"/>
          <w:highlight w:val="none"/>
          <w:lang w:eastAsia="zh-CN"/>
        </w:rPr>
      </w:pPr>
      <w:bookmarkStart w:id="146" w:name="_Toc2964"/>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）其他</w:t>
      </w:r>
    </w:p>
    <w:bookmarkEnd w:id="146"/>
    <w:p>
      <w:pPr>
        <w:spacing w:line="500" w:lineRule="exact"/>
        <w:ind w:firstLine="420" w:firstLineChars="200"/>
        <w:rPr>
          <w:rFonts w:hint="eastAsia" w:ascii="宋体" w:hAnsi="宋体" w:eastAsia="宋体" w:cs="宋体"/>
          <w:color w:val="auto"/>
          <w:sz w:val="24"/>
          <w:szCs w:val="24"/>
          <w:highlight w:val="none"/>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pPr>
        <w:pStyle w:val="42"/>
        <w:spacing w:line="460" w:lineRule="exact"/>
        <w:ind w:left="964" w:right="-50" w:rightChars="-24" w:firstLine="0"/>
        <w:jc w:val="center"/>
        <w:outlineLvl w:val="0"/>
        <w:rPr>
          <w:rStyle w:val="43"/>
          <w:rFonts w:hint="eastAsia" w:ascii="宋体" w:hAnsi="宋体" w:eastAsia="宋体" w:cs="宋体"/>
          <w:color w:val="auto"/>
          <w:sz w:val="24"/>
          <w:szCs w:val="24"/>
          <w:highlight w:val="none"/>
          <w:shd w:val="clear" w:color="auto" w:fill="FFFF00"/>
          <w:lang w:eastAsia="zh-CN"/>
        </w:rPr>
      </w:pPr>
      <w:r>
        <w:rPr>
          <w:rFonts w:hint="eastAsia" w:ascii="宋体" w:hAnsi="宋体" w:eastAsia="宋体" w:cs="宋体"/>
          <w:b/>
          <w:color w:val="auto"/>
          <w:sz w:val="24"/>
          <w:szCs w:val="24"/>
          <w:highlight w:val="none"/>
          <w:lang w:eastAsia="zh-CN"/>
        </w:rPr>
        <w:br w:type="page"/>
      </w:r>
      <w:bookmarkStart w:id="147" w:name="_Toc20068"/>
      <w:r>
        <w:rPr>
          <w:rFonts w:hint="eastAsia" w:ascii="宋体" w:hAnsi="宋体" w:eastAsia="宋体" w:cs="宋体"/>
          <w:b/>
          <w:bCs/>
          <w:color w:val="auto"/>
          <w:kern w:val="2"/>
          <w:sz w:val="24"/>
          <w:szCs w:val="24"/>
          <w:highlight w:val="none"/>
          <w:lang w:eastAsia="zh-CN"/>
        </w:rPr>
        <w:t>第四章  招标项目技术要求</w:t>
      </w:r>
      <w:bookmarkEnd w:id="14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bidi="ar"/>
        </w:rPr>
      </w:pPr>
      <w:bookmarkStart w:id="148" w:name="_Toc15082"/>
      <w:bookmarkStart w:id="149" w:name="_Toc17884_WPSOffice_Level1"/>
      <w:r>
        <w:rPr>
          <w:rFonts w:hint="eastAsia" w:ascii="宋体" w:hAnsi="宋体" w:eastAsia="宋体" w:cs="宋体"/>
          <w:color w:val="000000"/>
          <w:sz w:val="24"/>
          <w:szCs w:val="24"/>
          <w:lang w:val="en-US" w:eastAsia="zh-CN" w:bidi="ar"/>
        </w:rPr>
        <w:t>1、项目简要介绍（项目内容及预算金额）：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立足马克思主义学院高质量发展，专注社会服务职能，开发集大中小思政课一体化平台、乡村振兴“云学院”平台、新工育人馆管理平台等在内的新疆工程学院智慧“大思政课”一体化平台一套，旨在借助信息化技术手段，为新工院“大思政课”建设赋能。</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参数：</w:t>
      </w:r>
    </w:p>
    <w:tbl>
      <w:tblPr>
        <w:tblStyle w:val="30"/>
        <w:tblW w:w="4997" w:type="pct"/>
        <w:jc w:val="center"/>
        <w:tblLayout w:type="autofit"/>
        <w:tblCellMar>
          <w:top w:w="0" w:type="dxa"/>
          <w:left w:w="10" w:type="dxa"/>
          <w:bottom w:w="0" w:type="dxa"/>
          <w:right w:w="10" w:type="dxa"/>
        </w:tblCellMar>
      </w:tblPr>
      <w:tblGrid>
        <w:gridCol w:w="427"/>
        <w:gridCol w:w="638"/>
        <w:gridCol w:w="6598"/>
        <w:gridCol w:w="427"/>
        <w:gridCol w:w="427"/>
      </w:tblGrid>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序号</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eastAsia="zh-CN"/>
              </w:rPr>
            </w:pPr>
            <w:r>
              <w:rPr>
                <w:rFonts w:hint="eastAsia" w:ascii="宋体" w:hAnsi="宋体" w:eastAsia="宋体" w:cs="宋体"/>
                <w:b/>
                <w:bCs/>
                <w:color w:val="auto"/>
                <w:kern w:val="1"/>
                <w:sz w:val="21"/>
                <w:szCs w:val="21"/>
                <w:highlight w:val="none"/>
                <w:lang w:val="en-US" w:eastAsia="zh-CN"/>
              </w:rPr>
              <w:t>名称</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指标要求</w:t>
            </w:r>
          </w:p>
        </w:tc>
        <w:tc>
          <w:tcPr>
            <w:tcW w:w="25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单位</w:t>
            </w:r>
          </w:p>
        </w:tc>
        <w:tc>
          <w:tcPr>
            <w:tcW w:w="2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数量</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1</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整体技术要求</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numPr>
                <w:ilvl w:val="0"/>
                <w:numId w:val="9"/>
              </w:numPr>
              <w:spacing w:line="20" w:lineRule="atLeast"/>
              <w:ind w:left="0"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开发架构要求</w:t>
            </w:r>
          </w:p>
          <w:p>
            <w:pPr>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平台需采用SpringCloud等主流微服务开发架构开发。</w:t>
            </w:r>
          </w:p>
          <w:p>
            <w:pPr>
              <w:numPr>
                <w:ilvl w:val="0"/>
                <w:numId w:val="9"/>
              </w:numPr>
              <w:tabs>
                <w:tab w:val="left" w:pos="840"/>
              </w:tabs>
              <w:spacing w:line="20" w:lineRule="atLeast"/>
              <w:ind w:left="0"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易用性要求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用户界面的设计需是互联网应用级别，体验良好、操作简单并有新手引导，可适用于普通计算机知识的用户。基本操作不需要培训，但仍需备有电子用户手册便于查看。</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三、可靠性要求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系统设计满足高可靠性要求，有良好的灾难恢复机制，配合提供自动化运维和人工响应，保证运行安全可靠，避免系统出现性能瓶颈和由于系统崩溃造成的数据丢失。</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四、并发性要求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系统配置可灵活性伸缩，支持50,000人同时使用，系统能容纳100,000用户。浏览器前端使用异步加载页面的方式，页面响应时间&lt; 3秒，检索响应&lt; 3秒，普通后台请求完成时间&lt; 6秒,可满足7×24小时不间断运行。</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五、安全性要求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具备必要的网络安全和数据安全保障，保证系统的安全稳定运行和数据的安全使用。要求系统具备完备的权限分级、角色体系，系统管理员可依规定进行权限的定制、发放和收回操作。</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六、部署架构要求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平台本身需要基于B/S架构，采用标准的纯HTML的方式进行交互，支持多种浏览器，包括但不限于IE8以上、Firefox、Chrome、Safari、360浏览器等。平台采用公有云部署。</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七、开放性要求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采用开放式统一架构，具有良好的开放性、扩展性、安全性、稳定性、实用性以及先进性。系统可为相关应用系统提供共享数据访问服务，为第三方软件及二次开发提供服务接口和二次开发手册，满足第三方扩展功能的需要，服务接口符合JSON和Oauth等开放标准。具备成熟的业务系统开发框架，并能够结合学校的实际，进行二次开发实现特殊需求。系统能够提供完整的接口规范以及针对第三方系统的Webservice、API接口支持。</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八、多渠道一站式管控要求</w:t>
            </w:r>
          </w:p>
          <w:p>
            <w:pPr>
              <w:widowControl/>
              <w:spacing w:line="20" w:lineRule="atLeast"/>
              <w:ind w:firstLine="42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应提供针对pc、app等多种渠道的一站式管控和支撑服务。提供移动化解决方案，并能够结合学校实际需求进行开发，该平台具有应用开发、信息采集与抓取、通过接口或HTML5页面接入应用等能力，同时也能接入其他第三方应用与服务。</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九、技术对接要求</w:t>
            </w:r>
          </w:p>
          <w:p>
            <w:pPr>
              <w:widowControl/>
              <w:numPr>
                <w:ilvl w:val="0"/>
                <w:numId w:val="1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rPr>
              <w:t>。</w:t>
            </w:r>
          </w:p>
          <w:p>
            <w:pPr>
              <w:widowControl/>
              <w:numPr>
                <w:ilvl w:val="0"/>
                <w:numId w:val="1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★平台需要与新疆工程学院智慧马院平台无缝对接，同步新疆工程学院智慧马院平台账户信息、教学资源和数据，使用统一的身份认证系统，实现业务共通。</w:t>
            </w:r>
          </w:p>
          <w:p>
            <w:pPr>
              <w:widowControl/>
              <w:spacing w:line="20" w:lineRule="atLeast"/>
              <w:ind w:firstLine="0" w:firstLineChars="0"/>
              <w:jc w:val="left"/>
              <w:rPr>
                <w:rFonts w:hint="eastAsia" w:ascii="宋体" w:hAnsi="宋体" w:eastAsia="宋体" w:cs="宋体"/>
                <w:b/>
                <w:bCs/>
                <w:color w:val="auto"/>
                <w:kern w:val="1"/>
                <w:sz w:val="21"/>
                <w:szCs w:val="21"/>
                <w:highlight w:val="none"/>
              </w:rPr>
            </w:pPr>
            <w:r>
              <w:rPr>
                <w:rFonts w:hint="eastAsia" w:ascii="宋体" w:hAnsi="宋体" w:eastAsia="宋体" w:cs="宋体"/>
                <w:b/>
                <w:bCs/>
                <w:color w:val="auto"/>
                <w:kern w:val="1"/>
                <w:sz w:val="21"/>
                <w:szCs w:val="21"/>
                <w:highlight w:val="none"/>
              </w:rPr>
              <w:t>十、持续开发要求</w:t>
            </w:r>
          </w:p>
          <w:p>
            <w:pPr>
              <w:widowControl/>
              <w:spacing w:line="20" w:lineRule="atLeast"/>
              <w:ind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    平台服务方应承诺，对本平台开展的各项活动可持续开发活动页面。活动页面可独立分享传播，访问者可直接访问。</w:t>
            </w:r>
          </w:p>
        </w:tc>
        <w:tc>
          <w:tcPr>
            <w:tcW w:w="25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2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2</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大思政课教师信息采集系统</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val="0"/>
              <w:numPr>
                <w:ilvl w:val="0"/>
                <w:numId w:val="11"/>
              </w:numPr>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val="0"/>
              <w:numPr>
                <w:ilvl w:val="0"/>
                <w:numId w:val="11"/>
              </w:numPr>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支持对项目涉及范围内的大中小学“大思政课”工作队伍建设情况进行数据收集和分析展示。</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支持创建表单应用供个人填报者填报数据，也支持单位填报者批量导入数据。</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数据审核：对于采集人采集的不同数据表的数据进行审核，审核通过与不通过需要填写审核意见。</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表单引擎：样本数据流程采集配置，可通过平台自行配置采集的内容，可自建样本采集标准结构表，可自定义字段支持，包含分类，子集，单选，多选，附件上传，图文上传；可配置相关角色，支持多角色配置。</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系统设置：可对采集表单进行发布、删除、保存等管理，具有权限配置、工作分配、发布任务、状态设置、编辑控制、数据源匹配检测、指标及数据项关联性检测。</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发布平台：采集表单可发布到移动和PC等多终端平台。</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平台可以跟进日常管理需要，临时性、灵活性将采集表单发放给用户进行数据采集。</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设有学校基本信息、学校大思政课建设总体情况、思政课教师个人拓展信息等填报表。</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单行输入、单行输入、多行输入、数字输入、单选、多选、日期、日期区间、联系人、部门、说明文字、下拉框、下拉复选、多级下拉、子表单、图片、附件、计算公式、滑动条、手写签名、城市等数据填报类型，各表的发放、收集和审核过程中，支持设置字段可见状态、是否必填，支持设置表单布局、支持填写缓存；管理者可以对表单数据进行审核操作。</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需以学校为单位提供实时统计表，支持多维度对学校“大思政课”师资队伍构成进行数据分析。</w:t>
            </w:r>
          </w:p>
          <w:p>
            <w:pPr>
              <w:widowControl/>
              <w:numPr>
                <w:ilvl w:val="0"/>
                <w:numId w:val="12"/>
              </w:numPr>
              <w:spacing w:line="20" w:lineRule="atLeast"/>
              <w:ind w:left="420" w:leftChars="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bidi="ar-SA"/>
              </w:rPr>
              <w:t>。</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3</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大中小思政课一体化虚拟教研室</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系统为根据大中小思政课一体化实际需求为不同课程或主题备课教师团队提供在线备课空间和虚拟教研室建设功能。</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系统支持指定虚拟教研室负责人，支持统一管理各虚拟教研室成员。</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系统支持虚拟教研室负责人在线预约和组织集体备课活动，提交集体备课方案，支持管理员对方案进行审批。</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虚拟教研室负责人可以在后台发起集体备课活动并发布到活动日历。其它教师可以通过活动日历掌握集体备课活动，支持教师在线报名参加。</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系统支持为不同形式集体备课提供不同的过程和成果记录表单模板，帮助学校和教师快速生成集体备课活动纪要。</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于跨校异步集体备课，平台应为每个集体备课小组提供一个互动社区。管理员可以设定社区名称、介绍、加入的权限，权限包括公开加入、邀请加入、审批加入等。进入社区后，可以参与社区的讨论，查看社区成员。</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互动社区中提供讨论区与资料区。在讨论区中，成员可以发布话题，支持文字、图片、视频、音频等富媒体输入。小组其他成员可在话题中进行回复。在资料区中，小组成员可以上传资源或者查看其他人上传的资源。</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◆平台支持通过直播进行集体备课，直播过程可直接生成视频，形成过程留痕。服务方应为教师提供专门的直播客户端。</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◆平台支持通过自有视频会议系统开展集体备课，视频会议过程可以录制。供应商应为教师提供自有的视频会议软件。</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平台应支持多名教师在线共建教案和课程。</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平台为每个虚拟教研室提供共享资源功能，支持教研室成员上传、整理和共享优质资源。</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平台应支持自定义虚拟教研室门户网站，提供虚拟教研室网站模板，支持教研室自主编辑教研室和成员信息，发布虚拟教研活动，展示虚拟教研室活动风采。</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平台应支持在线申请创建新的虚拟教研室。申请者在线填写提交表单，支持文档和图片附件上传，支持后台审批，审批通过后自动生成虚拟教研室网站并给予申请者负责人权限。管理员可以检查虚拟教研室建设情况，建设完整的虚拟教研室才可以发布到平台。</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rPr>
              <w:t>。</w:t>
            </w:r>
          </w:p>
          <w:p>
            <w:pPr>
              <w:widowControl/>
              <w:numPr>
                <w:ilvl w:val="0"/>
                <w:numId w:val="13"/>
              </w:numPr>
              <w:spacing w:line="20" w:lineRule="atLeast"/>
              <w:ind w:left="425" w:leftChars="0"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远程教研系统（视频交互及录直播系统）</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智慧教室终端</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智慧教室终端为嵌入式架构一体化智能硬件设备，仅需1台终端，不接受X86架构产品和多主机的机柜集成方式；终端内嵌高清触控屏，所有应用功能通过终端触控屏操作来完成；终端支持壁挂式安装有效节省教室空间；</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要求智慧教室终端内置智慧控制、录播、远程互动、音频处理、无线覆盖、无线投屏、OPS电脑、高拍仪等信息化教学应用功能，可根据实际需求模块化增减扩展功能而无需更换主机；</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要求智慧教室终端通过登录即可自动开启教室显示大屏/投影幕布、灯光、窗帘、空调等外设，实现轻松开始授课；</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便于老师清晰观看和精准触控，要求终端触控屏不小于11英寸，支持1080P高清显示。能够实时显示并触摸控制相应功能，内容包括所在教室信息、用户名称、当前时间、WIFI名称和密码、信号源切换状态、设备开关状态、课程录制、远程互动、班级考勤等；</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◆要求具备屏幕切换显示功能：老师通过操作终端触控屏，可快捷切换智慧教室终端控制界面和授课电脑桌面，实现在终端触控屏上对两种内容切换显示，实现老师操控终端和快捷操作电脑通过一块屏幕完成；</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◆内置教师权限管理模块，支持扫码登录，支持在扫码登录界面一键开启登陆后自动开启课程录制，并且支持一键开启结束录制视频自动上传至智慧课堂系统云盘空间；</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◆直播功能，支持提前创建直播活动并支持在终端设备上一键开启直播，支持多终端观看，可以支持校内、校外远程直播，支持万人在线观看直播学习；</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◆支持在课程录制界面将已录制好的资源一键上传到智慧课堂系统个人云盘空间内；</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内置录播模块，具备录制、导播、音视频编解码、远程互动、音频处理及功放、存储、流媒体服务器等功能于一体；无需额外的跟踪主机、音频处理器、功放、流媒体服务器等外设；</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◆要求录播画面在终端触控屏上可实时预览，并支持录制、暂停、停止、加时等操作，录制开启时能在教室显示大屏/投影幕布上呈现准备开始的倒计时，提醒师生即将开始录制；</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◆终端接口要求：HDMI视频输入接口不少于1路，HDMI输出接口不少于2路，LAN口不少于4路，USB接口不少于3个，RS-232控制接口不少于1个，MIC音频输入接口不小于6路，每路均支持独立的48V幻象供电开关，LINE IN接口不少于1路，LINE OUT接口不少于1路，音箱输出接口不少于2通道；</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要求内置数字音频处理功能，支持MIC、LINE IN等音频混音、增益、降噪等处理，音视频互动中支持回声抑制处理功能；</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◆支持硬件无线投屏，能满足Airplay、Miracast等主流硬件无线投屏，支持触控切换到教学大屏显示；支持投屏内容的录制，完整记录老师投屏全过程；</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◆内置多路信号源快速切换功能，通过终端触控屏可对内置电脑、外接笔记本、无线投屏、远程教室等视频信号进行快速切换；</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内置数字音频功放，可直接驱动无源音箱扩声，也支持外接独立音频功放扩声；支持对音频输出通道进行音量调节，支持对音频输出通道进行静音设置；</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内置OPS电脑，处理器i5八代系列及以上，8G及以上内存，200G及以上固态硬盘；</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内置高拍仪模块，高拍仪可折叠，并配备实物托盘；采用1/3英寸CMOS镜头，分辨率不低于500万像素，具备LED补光灯；</w:t>
            </w:r>
          </w:p>
          <w:p>
            <w:pPr>
              <w:widowControl/>
              <w:numPr>
                <w:ilvl w:val="0"/>
                <w:numId w:val="15"/>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支持远程互动功能通过简单操作就可与其它互动教室进行音视频互动；</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智慧终端管理系统</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为保证系统的稳定性，所投产品需内置于智慧教室终端；</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采用智能操作系统，支持可视化集中管控终端所有功能；</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支持统一配置智慧终端网络信息；</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支持绑定管控平台，并对智慧终端进行相关系统设置；</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支持统一修改无线网络信息；</w:t>
            </w:r>
          </w:p>
          <w:p>
            <w:pPr>
              <w:widowControl/>
              <w:numPr>
                <w:ilvl w:val="0"/>
                <w:numId w:val="16"/>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支持统一设置教室设备串口信息，包括一体机、投影等。</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录播系统</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为保证系统的稳定性，所投产品需内置于智慧教室终端；</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采用B/S架构，具备直播、点播、录制管理、导播控制、系统设置、参数修改等功能，支持Linux、mac、Windows多操作系统访问，支持IE、谷歌、火狐、360等各版本浏览器访问；</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为保证系统与资源平台进行资源对接，要求系统支持RTP、RTSP、RTMP等音视频传输协议，支持所录制的视频文件FTP自动上传至服务器功能；</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为保证直播观看和视频交互流畅进行，要求画面延迟≤300ms（局域网）；</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◆支持公网CDN直播推送，支持公网视频平台进行直播对接，支持平台数量≥3个，进行活动视频的大规模直播；</w:t>
            </w:r>
          </w:p>
          <w:p>
            <w:pPr>
              <w:widowControl/>
              <w:numPr>
                <w:ilvl w:val="0"/>
                <w:numId w:val="17"/>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录制模式支持本地电影模式、资源模式视频录制和双模式同步录制。</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教师云镜摄像机</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846万像素1/2.5英寸4KCMOS传感器；</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支持30帧的网络H.265/H.264视频输出；</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单镜头可输出全景和特写两个景别；</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支持4码流，即特写双码流和全景双码流，并可支持特写和全景同时RTMP推流；</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具备RJ45网口，支持POE功能，可同时输出全景和特写两个景别的高清视频；</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支持老师跟踪，人脸识别+运动检测，单摄像机同时实现全景景别和跟踪特写景别拍摄。支持多种跟踪模式。支持多速度等级的电子云台控制；</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支持数字变焦、自动增益、自动白平衡等功能。</w:t>
            </w:r>
          </w:p>
          <w:p>
            <w:pPr>
              <w:widowControl/>
              <w:numPr>
                <w:ilvl w:val="0"/>
                <w:numId w:val="18"/>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为保证系统兼容性，所投产品需与智慧教室终端为同一品牌。</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学生云镜摄像机</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846万像素1/2.5英寸4KCMOS传感器；</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支持30帧的网络H.265/H.264视频输出；</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单镜头可输出全景和特写两个景别；</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支持4码流，即特写双码流和全景双码流，并可支持特写和全景同时RTMP推流；</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具备RJ45网口，支持POE功能，可同时输出全景和特写两个景别的高清视频；</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支持老师跟踪，人脸识别+运动检测，单摄像机同时实现全景景别和跟踪特写景别拍摄。支持多种跟踪模式。支持多速度等级的电子云台控制；</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支持数字变焦、自动增益、自动白平衡等功能。</w:t>
            </w:r>
          </w:p>
          <w:p>
            <w:pPr>
              <w:widowControl/>
              <w:numPr>
                <w:ilvl w:val="0"/>
                <w:numId w:val="19"/>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为保证系统兼容性，所投产品需与智慧教室终端为同一品牌。</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拾音吊麦</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频率范围：40-18000 Hz；</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灵敏度：-35dB（18mV/Pa）；指向性：超窄指向；拾音角度：100°；</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阻抗：200Ω；</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最大声压级：132dB；</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工作电压：48V幻象供电；</w:t>
            </w:r>
          </w:p>
          <w:p>
            <w:pPr>
              <w:widowControl/>
              <w:numPr>
                <w:ilvl w:val="0"/>
                <w:numId w:val="20"/>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信噪比65DB。</w:t>
            </w:r>
          </w:p>
          <w:p>
            <w:pPr>
              <w:widowControl/>
              <w:numPr>
                <w:ilvl w:val="0"/>
                <w:numId w:val="1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云直播系统</w:t>
            </w:r>
          </w:p>
          <w:p>
            <w:pPr>
              <w:widowControl/>
              <w:numPr>
                <w:ilvl w:val="0"/>
                <w:numId w:val="21"/>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云直播功能，支持多终端观看，与教学平台及APP对接，可在教学APP中定制直播间，同时直播时长、互动数据等均可统计到教学平台，实现无缝对接；</w:t>
            </w:r>
          </w:p>
          <w:p>
            <w:pPr>
              <w:widowControl/>
              <w:numPr>
                <w:ilvl w:val="0"/>
                <w:numId w:val="21"/>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支持扫码进入直播间，同时也支持观看地址连接加入直播间；</w:t>
            </w:r>
          </w:p>
          <w:p>
            <w:pPr>
              <w:widowControl/>
              <w:numPr>
                <w:ilvl w:val="0"/>
                <w:numId w:val="21"/>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具备直播管理行为，可设置云直播是否允许回放，是否允许评论，是否允许转发等功能。</w:t>
            </w:r>
          </w:p>
          <w:p>
            <w:pPr>
              <w:widowControl/>
              <w:numPr>
                <w:ilvl w:val="0"/>
                <w:numId w:val="21"/>
              </w:numPr>
              <w:spacing w:line="20" w:lineRule="atLeast"/>
              <w:ind w:left="0"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kern w:val="1"/>
                <w:szCs w:val="21"/>
                <w:highlight w:val="none"/>
              </w:rPr>
              <w:t>需提供相关平台/系统/功能软件著作权证书。</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4</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大思政课教学资源管理系统</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22"/>
              </w:numPr>
              <w:spacing w:line="20" w:lineRule="atLeast"/>
              <w:ind w:left="420" w:hanging="420"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站点门户管理</w:t>
            </w:r>
          </w:p>
          <w:p>
            <w:pPr>
              <w:widowControl/>
              <w:numPr>
                <w:ilvl w:val="0"/>
                <w:numId w:val="23"/>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具备信息发布和页面自定义、访问统计分析、统一检索等功能。</w:t>
            </w:r>
          </w:p>
          <w:p>
            <w:pPr>
              <w:widowControl/>
              <w:numPr>
                <w:ilvl w:val="0"/>
                <w:numId w:val="23"/>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具备精品资源的展示以及后台推荐控制功能。</w:t>
            </w:r>
          </w:p>
          <w:p>
            <w:pPr>
              <w:widowControl/>
              <w:numPr>
                <w:ilvl w:val="0"/>
                <w:numId w:val="23"/>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具备多种资源排行展示，如精品课程排行、课程网站排行、课程资料排行等。</w:t>
            </w:r>
          </w:p>
          <w:p>
            <w:pPr>
              <w:widowControl/>
              <w:numPr>
                <w:ilvl w:val="0"/>
                <w:numId w:val="22"/>
              </w:numPr>
              <w:spacing w:line="20" w:lineRule="atLeast"/>
              <w:ind w:left="420" w:hanging="420"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创建站点</w:t>
            </w:r>
          </w:p>
          <w:p>
            <w:pPr>
              <w:widowControl/>
              <w:numPr>
                <w:ilvl w:val="0"/>
                <w:numId w:val="2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支持创建多个站点，每个站点即一个教学资源库，管理员可指定某一专业负责人（教师用户），作为该站点的负责人。</w:t>
            </w:r>
          </w:p>
          <w:p>
            <w:pPr>
              <w:widowControl/>
              <w:numPr>
                <w:ilvl w:val="0"/>
                <w:numId w:val="24"/>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每个站点可有独立导航和栏目管理。教学资源库导航栏支持包括导航在内的至少5级栏目建设。</w:t>
            </w:r>
          </w:p>
          <w:p>
            <w:pPr>
              <w:widowControl/>
              <w:numPr>
                <w:ilvl w:val="0"/>
                <w:numId w:val="22"/>
              </w:numPr>
              <w:spacing w:line="20" w:lineRule="atLeast"/>
              <w:ind w:left="420" w:hanging="420"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资源建设</w:t>
            </w:r>
          </w:p>
          <w:p>
            <w:pPr>
              <w:widowControl/>
              <w:numPr>
                <w:ilvl w:val="0"/>
                <w:numId w:val="25"/>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资源上传：支持授权用户上传资源。支持单文件上传与批量上传。</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展示：每个资源有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对视频资源，需自动截取第一帧画面作为缩略图。</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资源下载：被授权具有资源下载权限的用户可直接下载资源库中的资源。</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在线浏览：被授权具有资源在线阅读权限的用户可在资源列表中，直接对感兴趣的资源进行在线阅读，增加资源的可利用性与价值。用户点击在线阅读，即可直接进入资源阅读页面，无需下载可优先查看资源详情。</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检索：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资源评分：平台登录用户可对资源进行星级评分和主观评价，为其他用户提供建设性意见。同时，学校管理者可针对资源的不同评分判断资源的价值，更加准确地管理资源。</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资源评论：登录用户可对资源进行评价，提供自己的意见或建议，帮助其他用户判断资源价值的同时为学校提供可建设性资源管理意见。</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资源收藏：登录用户可将自己在教学资源库中发现的比较好的资源收藏到个人空间中方便自己随用随取。用户可自主收藏优质资源，用户个性化个人空间的设置，充分发挥资源共享功能。</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◆资源添加到课程：教师用户可将教学资源库中的资源添加至自己的网络课程的共享资料中，也可以将资源直接推送到课程某个章节中，用于课程教学使用。</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课程建设者可通过系统推荐或者自行检索将教学资源库中的资源引用到网络课程章节中，并可以设置成为任务点，丰富课程资源；</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网络教学平台中的课程资源，也可推送至教学资源库中进行共享，最终达到教学资源库和网络教学平台双向互通。</w:t>
            </w:r>
          </w:p>
          <w:p>
            <w:pPr>
              <w:widowControl/>
              <w:numPr>
                <w:ilvl w:val="0"/>
                <w:numId w:val="25"/>
              </w:numPr>
              <w:spacing w:line="20" w:lineRule="atLeast"/>
              <w:ind w:left="425" w:hanging="425"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资源类型与文件格式：支持主流的视频、音频、文档、图片、压缩包等格式。</w:t>
            </w:r>
          </w:p>
          <w:p>
            <w:pPr>
              <w:widowControl/>
              <w:numPr>
                <w:ilvl w:val="0"/>
                <w:numId w:val="22"/>
              </w:numPr>
              <w:spacing w:line="20" w:lineRule="atLeast"/>
              <w:ind w:left="420" w:hanging="420"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资源审核</w:t>
            </w:r>
          </w:p>
          <w:p>
            <w:pPr>
              <w:widowControl/>
              <w:numPr>
                <w:ilvl w:val="0"/>
                <w:numId w:val="0"/>
              </w:numPr>
              <w:spacing w:line="20" w:lineRule="atLeast"/>
              <w:ind w:leftChars="0"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支持两级审核，由管理员指派站点负责人、二级栏目负责人、栏目参建人。栏目参建人提交初审，二级栏目负责人提交终审，专业负责人终审通过发布至站点。</w:t>
            </w:r>
          </w:p>
          <w:p>
            <w:pPr>
              <w:widowControl/>
              <w:numPr>
                <w:ilvl w:val="0"/>
                <w:numId w:val="22"/>
              </w:numPr>
              <w:spacing w:line="20" w:lineRule="atLeast"/>
              <w:ind w:left="420" w:hanging="42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后台管理</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系统管理员可在后台建立站点，并指定站点负责人进行站点管理。每个站点都是完整的一套网站，在后台管理中，系统管理员可对每个站点样式、导航等信息进行设置管理。</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系统管理员可对已上传的资源进行查看，并对不合适的资源进行删除。为了防止多删、误删等情况，系统设置资源回收站，可对错删的资源找回。</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系统管理员可对教师及学生用户设置平台权限，使平台管理个性化。</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◆后台管理员可以查看资源库的基本数据统计、使用情况统计、引用统计，包括所有站点的资源总量、存储总量、访问总量、慕课总数、微课总数等。</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管理员可以查看资源库的访问量统计数据，包括资源的浏览次数（PV）、访问IP数、点击量、累计使用时长、交流互动次数等。</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管理员可以查看资源库的用户使用详情统计，包括用户分布、活跃度，详细信息如收藏资源数、引用资源数、浏览资源数、下载资源数、评论资源数等内容。</w:t>
            </w:r>
          </w:p>
          <w:p>
            <w:pPr>
              <w:widowControl/>
              <w:numPr>
                <w:ilvl w:val="0"/>
                <w:numId w:val="26"/>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管理员可以查看系统的日志统计、课程统计、教学统计、学习统计等。</w:t>
            </w: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4.6 ▲</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b/>
                <w:bCs/>
                <w:color w:val="auto"/>
                <w:kern w:val="1"/>
                <w:sz w:val="21"/>
                <w:szCs w:val="21"/>
                <w:highlight w:val="none"/>
                <w:lang w:val="en-US" w:eastAsia="zh-CN"/>
              </w:rPr>
              <w:t>。</w:t>
            </w: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4.7 多媒体系统</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数字红外无线系统主机</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采用数字红外音频传输及控制技术，不受高频驱动光源干扰，可正常工作于阳光下的环境</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 xml:space="preserve">频率响应范围：主机-主机：50 Hz ~ 20 kHz </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麦克风-主机：50 Hz ~ 20 kHz</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信噪比（麦克风-主机）：≥85 dBA</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动态范围（麦克风-主机）：≥90 dB</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总谐波失真（麦克风-主机）：≤0.06%</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内置功放，可直接连接扬声器使用，最大输出功率：60 W×2（8 Ω），30 W×4（8 Ω）</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支持红外频点自定义，红外传输副载波符合IEC 61603-7数字红外国际标准</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具有LCD显示屏，可实时查询与设置系统状态，不少于2种系统语种</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具有RS-232连接串口，用于连接中控系统，可实现集中控制</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通过USB线连接到电脑，可配合红外无线麦克风实现PPT翻页功能</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具有多重警报触发功能，可通过主机报警开关、中控系统或红外麦克风触发报警</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不少于2路线路输入，不少于2路线路输出</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具备自动衰减功能，智能控制外接音频，保证无线麦克风发言音量</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具备自适应啸叫抑制AFC功能开关</w:t>
            </w:r>
          </w:p>
          <w:p>
            <w:pPr>
              <w:widowControl/>
              <w:numPr>
                <w:ilvl w:val="0"/>
                <w:numId w:val="2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具有不少于2个数字红外接收器接口，可扩展连接6个或以上红外信号接收器</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数字红外接收器</w:t>
            </w:r>
          </w:p>
          <w:p>
            <w:pPr>
              <w:widowControl/>
              <w:numPr>
                <w:ilvl w:val="0"/>
                <w:numId w:val="2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数字红外音频传输及控制技术，不受高频驱动光源干扰，可正常工作于阳光下的环境，可配2个数字红外无线麦克风</w:t>
            </w:r>
          </w:p>
          <w:p>
            <w:pPr>
              <w:widowControl/>
              <w:numPr>
                <w:ilvl w:val="0"/>
                <w:numId w:val="2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接收频点：2.33/3.67 MHz</w:t>
            </w:r>
          </w:p>
          <w:p>
            <w:pPr>
              <w:widowControl/>
              <w:numPr>
                <w:ilvl w:val="0"/>
                <w:numId w:val="2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 xml:space="preserve">接收角度：垂直：150° (±75°)，水平：360°   直视距离：25 m；覆盖面积：约80-100 m2 </w:t>
            </w:r>
          </w:p>
          <w:p>
            <w:pPr>
              <w:widowControl/>
              <w:numPr>
                <w:ilvl w:val="0"/>
                <w:numId w:val="2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1个RJ45接口，用于连接CBLRJ45系列延长网线</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麦克风</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包含一支有线麦克风及一支无线红外手持麦克风，有线鹅颈麦标配60 cm话筒杆，自带无线手持麦充电座，多用途智能扩声</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教室与教室之间保证互不干扰，无论多少个教室安装，同时使用都不会有串频和干扰现象</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不受无线电干扰，无电磁辐射</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先进的数字红外技术，不受高频驱动光源干扰，可正常工作于阳光下的环境</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红外麦克风在不同教室之间使用，无需对频，即开即用，简单方便</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可为教师配备个人专用麦克风，一师一麦，高效，卫生</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不受无线电频率使用限制，节省广电频率资源</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红外线不可穿透墙壁，确保私密性</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室内讲话不会被室外窃听</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私密空间内忘记关麦克风也无需担心声音外传</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全球领先的数字红外技术保证了卓越的音质</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提高声音清晰度，让教师能较长时间以自然声调讲课，保护教师声带，避免声嘶力竭</w:t>
            </w:r>
          </w:p>
          <w:p>
            <w:pPr>
              <w:widowControl/>
              <w:numPr>
                <w:ilvl w:val="0"/>
                <w:numId w:val="3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清晰的声音能调动学生注意力，减少上课分心、开小差现象，从而提高听课效果</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线阵列音柱</w:t>
            </w:r>
          </w:p>
          <w:p>
            <w:pPr>
              <w:widowControl/>
              <w:numPr>
                <w:ilvl w:val="0"/>
                <w:numId w:val="3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线阵列音箱</w:t>
            </w:r>
          </w:p>
          <w:p>
            <w:pPr>
              <w:widowControl/>
              <w:numPr>
                <w:ilvl w:val="0"/>
                <w:numId w:val="3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频率响应≥75 Hz ~ 20 kHz；</w:t>
            </w:r>
          </w:p>
          <w:p>
            <w:pPr>
              <w:widowControl/>
              <w:numPr>
                <w:ilvl w:val="0"/>
                <w:numId w:val="3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定阻输入： 6 Ω；</w:t>
            </w:r>
          </w:p>
          <w:p>
            <w:pPr>
              <w:widowControl/>
              <w:numPr>
                <w:ilvl w:val="0"/>
                <w:numId w:val="3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额定功率≥ 60 W；</w:t>
            </w:r>
          </w:p>
          <w:p>
            <w:pPr>
              <w:widowControl/>
              <w:numPr>
                <w:ilvl w:val="0"/>
                <w:numId w:val="3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灵敏度≥ 90 dB；</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无线AP</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企业级无线路由器；</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同时连接数支持&gt;60个终端，可靠性强；</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网络标准：IEEE 802.11n，IEEE 802.11g，IEEE 802.11b，IEEE 802.11a，IEEE 802.11ac，实现标准的802.11ac协议,采用双路双频设计，可同时工作在802.11ac和802.11a/b/g/n模式 ，工作频段支持2.4GHz和5.8GHz，实现2.4G+2.4G、2.4G+5.8G、5.8G+5.8G工作模式；</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频率范围：双频（2.4GHz，5GHz）</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传输速率：单射频卡最大提供1300Mbps和1300Mbps接入速率，整机最大提供2600Mbps接入速率；</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接收灵敏度：11b：-96dBm(1Mbps)，-91dBm(5Mbps)，-89dBm(11Mbps)</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11a/g：-91dBm（6Mbps），-83dBm（24Mbps），-79dBm（36Mbps），-74dBm（54Mbps）</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11n：-88dBm@MCS0，-70dBm@MCS7，-85dBm@MCS8，-67dBm@MCS15</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11ac HT20：-88dBm（MCS0）, -63dBm（MCS9）</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11ac HT40：-85dBm（MCS0）, -60dBm（MCS9）</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11ac HT80：-82dBm（MCS0）, -57dBm（MCS9）</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支持PoE+ 以太网供电（802.3at，30W标准）</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设备与无线控制器配合，支持iOS、安卓和windows等主流智能终端操作系统自动识别；</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支持Web认证、802.1X认证、WAPI认证以及实现mac认证；</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有无线定位功能，可定位人员或者资产；</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支持胖/瘦AP两种工作模式的切换；</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天线模式：要求AP内置天线，在AP的外观上不能有杆状的天线；使用定向天线阵列实现802.11n；</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用户策略控制功能：能够和无线控制器协调实现AP下每个无线用户的安全策略控制，上下行带宽及QoS控制；</w:t>
            </w:r>
          </w:p>
          <w:p>
            <w:pPr>
              <w:widowControl/>
              <w:numPr>
                <w:ilvl w:val="0"/>
                <w:numId w:val="3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用户隔离功能：支持同一个AP下的用户之间的隔离，隔离后的用户将不能相互访问，能够和交换机协调实现不同AP下用户的隔离功能；</w:t>
            </w:r>
          </w:p>
          <w:p>
            <w:pPr>
              <w:widowControl/>
              <w:numPr>
                <w:ilvl w:val="0"/>
                <w:numId w:val="27"/>
              </w:numPr>
              <w:spacing w:line="20" w:lineRule="atLeast"/>
              <w:ind w:left="0" w:firstLine="0" w:firstLineChars="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企业级VPN路由器</w:t>
            </w:r>
          </w:p>
          <w:p>
            <w:pPr>
              <w:widowControl/>
              <w:numPr>
                <w:ilvl w:val="0"/>
                <w:numId w:val="33"/>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LAN输出口：千兆网口；</w:t>
            </w:r>
          </w:p>
          <w:p>
            <w:pPr>
              <w:widowControl/>
              <w:numPr>
                <w:ilvl w:val="0"/>
                <w:numId w:val="33"/>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WAN接入口：千兆网口</w:t>
            </w:r>
          </w:p>
          <w:p>
            <w:pPr>
              <w:widowControl/>
              <w:numPr>
                <w:ilvl w:val="0"/>
                <w:numId w:val="33"/>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机身材质工艺：金属机身</w:t>
            </w:r>
          </w:p>
          <w:p>
            <w:pPr>
              <w:widowControl/>
              <w:numPr>
                <w:ilvl w:val="0"/>
                <w:numId w:val="33"/>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企业VPN：支持；</w:t>
            </w:r>
          </w:p>
          <w:p>
            <w:pPr>
              <w:widowControl/>
              <w:numPr>
                <w:ilvl w:val="0"/>
                <w:numId w:val="33"/>
              </w:numPr>
              <w:spacing w:line="20" w:lineRule="atLeast"/>
              <w:ind w:left="0" w:leftChars="0" w:firstLine="420" w:firstLineChars="200"/>
              <w:jc w:val="lef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8口PoE供电；</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5</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乡村振兴“云学院”</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34"/>
              </w:numPr>
              <w:spacing w:line="20" w:lineRule="atLeast"/>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34"/>
              </w:numPr>
              <w:spacing w:line="20" w:lineRule="atLeast"/>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34"/>
              </w:numPr>
              <w:spacing w:line="20" w:lineRule="atLeast"/>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34"/>
              </w:numPr>
              <w:spacing w:line="20" w:lineRule="atLeast"/>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34"/>
              </w:numPr>
              <w:spacing w:line="20" w:lineRule="atLeast"/>
              <w:ind w:firstLine="42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1"/>
                <w:numId w:val="34"/>
              </w:numPr>
              <w:spacing w:line="20" w:lineRule="atLeast"/>
              <w:ind w:left="576" w:hanging="576"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培训管理</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提供乡村振兴的实践探索课程供教师和干部群众在线学习，课程教学视频不少于20个。课程内容应围绕如何实现乡村产业振兴、文化复兴、农业科技发展、自然环境改善、乡村治理体系现代化等多方位、立体化的乡村振兴方案，提供理论知识和具体案例启发。课程应由国务院扶贫领导小组专家咨询委员会成员等专家、企业家讲授。</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支持在平台上建设自有培训课程资源，并对课程进行分类管理、在线学习和学习进度管理等。</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支持对在线课程进行课程管理、学时学分设置、获得学分学习条件设置。</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教师可在学习空间浏览已报名的线上课程列表，课程的学习进度和学习成果。</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在线课程可支持课程证书发放、查看，能进行学习数据统计、分析、导出。</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系统应具备创建设置研修计划的功能，可灵活设置研修活动定向发布给指定成员。研修活动类型需包含校本培训、选修课程、必修课程、自定义活动、作业等。</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具备研修计划作业布置、提交、批改等考核管理功能，支持多种作业类型设置，可实现互评、专家评价等多种评价方式。</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系统应支持培训活动发布、通知提醒、培训报名（可指定报名对象）、在线报名、请假管理、培训签到、作业管理、学时审核、培训满意度调查、培训成果管理、统计等业务流程一体化管理。</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系统应具备灵活的活动报名策略，可实现多端口报名和取消报名的功能，培训活动发布后可通过移动端、电脑端实现自由报名，还可实现定向等多种培训报名方式，支持批量导入报名功能。</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系统应具备报名申请的审核功能，支持批量审核操作和培训人员报名统计，可批量导出报名信息表。</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系统应具备培训签到设置功能，可灵活设置签到场次及时间，可对签到进行统计、管理，支持移动端手势、二维码、拍照、位置等签到形式。</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系统应支持根据培训情况进行学时学分审核，学时学分修改，并且在审核不通过时通知提醒教师审核结果及原因说明。</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系统应具备电子证书管理功能，并支持培训系统自动和手动两种形式发放证书。支持自定义证书模板。</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系统应支持在线考试。支持系统自动组卷：通过设置难度、章节和知识点对应题目数量，试题分数等参数，由系统自动生成试卷；试卷支持试题乱序、选项乱序、试卷混排。</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系统支持设置考试开始时间、截至时间、考试时长，最早交卷时间、最晚进入考试时间。</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系统应支持客观题自动批阅；支持主观题发放给教师在线批阅。</w:t>
            </w:r>
          </w:p>
          <w:p>
            <w:pPr>
              <w:widowControl/>
              <w:numPr>
                <w:ilvl w:val="0"/>
                <w:numId w:val="35"/>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bidi="ar-SA"/>
              </w:rPr>
              <w:t>。</w:t>
            </w:r>
          </w:p>
          <w:p>
            <w:pPr>
              <w:widowControl/>
              <w:numPr>
                <w:ilvl w:val="1"/>
                <w:numId w:val="34"/>
              </w:numPr>
              <w:spacing w:line="20" w:lineRule="atLeast"/>
              <w:ind w:left="576" w:hanging="576"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资讯和成果征选</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系统应支持思政活动相关资讯采编征选功能。各学校和采编员可在线提交资讯内容。采编的稿件需要审核提交到对应的稿件库中，由审核员审核后发布到平台上。</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支持创建一级管理员（审核员）、二级管理员（审核员）、采编员等角色。</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支持限制各学校每日提交稿件数量，同时平台管理员可以访问各学校稿件库主动进行采集，主动采集的稿件不受数量限制。</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系统需提供功能全面的稿件编辑器，使用方式类似于桌面文本编辑软件，稿件内可以根据稿件采集标准插入图片、视频等附件，可以进行分段，可以进行文本格式编辑。</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系统支持为各学校创建稿件库，经过审核后，稿件被提交到稿件库中。稿件入库时支持设置分类标签，方便后续整理发布。</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支持自主创建各主题成果征选表单，支持音频、视频等附件上传功能。</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经过征选平台遴选后的先进人物、事迹材料，可一键推送至平台进行展示。</w:t>
            </w:r>
          </w:p>
          <w:p>
            <w:pPr>
              <w:widowControl/>
              <w:numPr>
                <w:ilvl w:val="0"/>
                <w:numId w:val="36"/>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bidi="ar-SA"/>
              </w:rPr>
              <w:t>。</w:t>
            </w:r>
          </w:p>
          <w:p>
            <w:pPr>
              <w:widowControl/>
              <w:numPr>
                <w:ilvl w:val="1"/>
                <w:numId w:val="34"/>
              </w:numPr>
              <w:spacing w:line="20" w:lineRule="atLeast"/>
              <w:ind w:left="576" w:hanging="576" w:firstLine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智慧课堂系统</w:t>
            </w:r>
          </w:p>
          <w:p>
            <w:pPr>
              <w:widowControl/>
              <w:numPr>
                <w:ilvl w:val="0"/>
                <w:numId w:val="37"/>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备课系统</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只需通过“选择模板、编辑课程信息、编辑课程章节”等几个简单的步骤，就可以快速地建设课程。</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提供多套精美网络课程建课模板，教师可依据个人资料的丰富程度及喜欢的风格进行个性化的设置，支持教师在建课程自动生成课程网站。</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开始建课前，可以选择按周、课时自动生成课程章节，快速创建课程章节目录，提升建课效率。</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通过平台上传课程所需要的教材、参考书、参考文献、视频等资源。课程的内容建设，参考资料，课程介绍等任何位置都可以使用平台提供的图书、图片、视频的资源一键式搜索插入，插入的资源可以直接点击在线播放查阅，也支持自己上传资料，支持引用图书馆资源和联盟共享资源。</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支持课程教学流程管理，可在课程学习过程中任意位置添加随堂测验，可在单元学习完成后布置作业，可以在章节学习完成后安排考试。</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课程单元内容建设采用富媒体编辑器，编辑器包含视频、文档、图片、音频、图书、公式、符号、附件、网页、动画等常用组件。</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支持直接将从word中将内容复制粘贴到富媒体编辑器内，并完整保留里面的文字和图片等内容。</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支持rmvb、3gp、mpg、mpeg、mov、wmv、asf、avi、mkv、mp4、flv、vob、f4v等高清和网络格式视频上传，视频上传后自动转码，无需下载可以直接在线进行播放。</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支持多种文档格式的上传，包括DOC、PPT、PDF、TXT等，上传后自动转码，无需下载可以直接在线阅读。</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支持超大文件（2G以上）上传并可断点续传。</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支持将资源先批量上传至个人云盘中，然后在课程中引用。</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支持视频中任意时间点插入测验：上传视频后，可以在任意时间点插入测试题，包含单选题、多选题和对错题。</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◆支持视频中任意时间点插入图片或PPT：可以在任意时间点插入图片或PPT，同时支持对插入的内容在时间轴上随意拖动。插入的PPT可以任意拖动位置，并可以跟视频窗口进行切换。</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◆支持视频的虚拟剪辑，可以将视频文件按照课程的要求剪辑成适当长度。</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提供可视化的公式编辑器，可以在线进行公式的录入与编辑。</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支持在线录音功能，录完的声音可以直接在线播放。</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知识点拓展阅读功能，可以根据一个关键词自动生成相关知识点的知识树，插入到课程单元中，并自动推送知识点相关的图书、期刊、论文等资料。</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支持课程管理，设置试读范围、设置学生导航栏目、克隆与映射课程等。</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提供课程编辑的详细操作日志和学生退课日志，便于追溯问题、查找原因。</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无缝对接海量资源，教师在使用备课系统平台进行课程建设、备课、授课过程中随时可以搜索、引用、无缝插入备课资源库中的资源，全面辅助教师教学和学生学习。需包含以下资源：电子书。可以进行在线阅读，可以进行文字摘录;学术视频，需支持视频检索及一键式插入建课内容，视频需包含名校、名师的课程视频及讲座，可以在线进行播放；电子书和学术视频要求必须取得著作权人的授权，没有版权问题。</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◆示范课程包支持教室一键建课使用：示范课程包的资源种类包括PPT课件、资料、作业、章节和题库等，可作为教师建设线上课程和发布教学活动的辅助资源。</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包括全国课程资源中心资源：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推荐视频：教师可以从备课资源库中查找并添加课程相关的学术视频，推荐给学生直接进行在线观看。</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在学生进行课程学习过程时，系统提供人脸识别功能，学生通过认证后才可学习课程内容。</w:t>
            </w:r>
          </w:p>
          <w:p>
            <w:pPr>
              <w:widowControl/>
              <w:numPr>
                <w:ilvl w:val="0"/>
                <w:numId w:val="38"/>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教师可以在系统中将学生的学习成绩导出，提取成绩达标的学生ID，并为其发放学习证书，学生可以将学习证书下载并打印。</w:t>
            </w:r>
          </w:p>
          <w:p>
            <w:pPr>
              <w:widowControl/>
              <w:numPr>
                <w:ilvl w:val="0"/>
                <w:numId w:val="37"/>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智慧课堂教师端</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◆课程资源：可实现与备课系统中课程的对接，包含课程章节内容、作业模块、考试模块、学生管理等内容。支持教师在课堂中，随时调用备课系统中事先准备好的内容，实现课前、课中、课后的连贯性。</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资料：可实现与备课系统中课程资料的对接，支持教师课前在备课系统或移动端准备的资料直接在课堂上使用。</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教案：可实现与备课系统中课程教案的对接，支持教师课前在备课系统或移动端准备的教案直接在课堂上使用。。</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云盘资源：可以实现与教师云盘对接，可以随时调用云盘内容，支持云盘资源的在线查看、下载、发放等操作；支持将云盘中PPT文件直接点击上课使用。</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PPT投屏功能需要支持不借助三方硬件，仅用手机即可实现激光笔功能和聚光灯功能，并通过该功能对投屏PPT进行激光指引。聚光灯功能支持通过手机实现对投屏PPT进行聚光展示。</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本地资源：支持直接调用本地文件进行发放。</w:t>
            </w:r>
          </w:p>
          <w:p>
            <w:pPr>
              <w:widowControl/>
              <w:numPr>
                <w:ilvl w:val="0"/>
                <w:numId w:val="39"/>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步课堂：能够真实还原面授教学场景，实现零距离伴随式学习。移动端的同步课堂与课堂教学、课后学习和辅导有机结合的方式，通过同步课堂平台推送教学辅导资源、习题以及课堂活动，学生可以远程通过移动端同步参与课堂，实现双向或多向互动的同步课堂。</w:t>
            </w:r>
          </w:p>
          <w:p>
            <w:pPr>
              <w:widowControl/>
              <w:numPr>
                <w:ilvl w:val="0"/>
                <w:numId w:val="37"/>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教学互动系统</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签到：支持教师通过软件系统发起普通签到、手势签到、位置签到、二维码签到等多种签到方式功能，学生通过笔记本、PAD或移动端进行签到，学生端确认签到之后，教师端可以在主屏幕实时查看学生的签到情况，同时记录签到信息，汇总到平台中；支持教师手动修改学生出勤状态。</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选人：支持教师发起随机选人，屏幕上快速滚动学生的头像信息，最终定格在某一位学生，教师可以选择他起来回答，根据回答的情况进行打分，也可以继续选人，直到选择到合适的学生为止，学生获得的分值将统计到智慧教学系统学生个人成绩中。</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抢答：支持教师发起抢答，教师可以看到所有学生的抢答情况，并可按排名选择某位学生回答问题，每一次抢答教师都可以根据学生回答情况进行相应打分。</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投票：支持教师发起投票，投票结果可实时呈现。查看选项选择人员，点击头像给学生进行打分。</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评分：支持教师发起评分，学生与学生之间的互评，小组评分，以及学生的自评，教师点击评分口述本次评分的对象及题目，点击开始则发放评分，学生相应的就会接收到教师的发放的评分，学生可以进行打分，写评语。学生参与评分后，教师可以查看总的平均分及已评分的人数和未评分的人数。</w:t>
            </w:r>
          </w:p>
          <w:p>
            <w:pPr>
              <w:widowControl/>
              <w:numPr>
                <w:ilvl w:val="0"/>
                <w:numId w:val="40"/>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测验：支持与备课系统题库对接，教师从题库中选择一道题目进行随堂问答，也可选择多道题或已准备试卷进行随堂测验，教师端可随时看到学生的提交情况，以及测验中学生每个题目的作答情况。 </w:t>
            </w:r>
          </w:p>
          <w:p>
            <w:pPr>
              <w:widowControl/>
              <w:numPr>
                <w:ilvl w:val="0"/>
                <w:numId w:val="37"/>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智慧课堂移动端</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具有移动客户端，支持iOS和Android操作系统，用于手机、Pad等智能移动终端中，实现在线移动学习。</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PC端与移动端的学习进度保持同步，学生在任何终端上，都可以实现学习记录的持续性，系统也可对任何终端的学习行为进行监控。</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按照教学计划，可在移动端组织教学内容，有序安排资料推送、签到、问答、抢答、投票等教学活动，可实现互动内容课堂发放并复用。</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教师可以发布课堂签到，学生直接用手机通过扫描二维码、或输入教师分享的邀请码等方式进行签到，显示距离发起者的签到距离。</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教师可以在课堂上发布问题，通过抢答进行提问，学生同时在手机收到抢答请求进行抢答。</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教师可通过随机选人功能选择学生回答问题，并可以将选择结果投屏显示。</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教师可以在课堂上实时发布调查问卷，学生通过移动端进行投票。教师端可以立即统计投票结果。</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◆课堂结束后，可以将所有课堂上发布的控件进行记录，生成课堂历史记录。能实时查看任一活动的详细参与情况。</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可基于课程形成师生互动交流群，实时进行即时通讯，进行讨论与交流。</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教师可以编辑问答题并可将题目发布到学生端，学生可以回答问题并提交，教师可以实时查看学生提交结果。</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教师和学生可以开展话题讨论，利用发帖形式进行小组话题交流。</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教师在课前对资料进行云盘存储，课堂上可以利用云盘功能选择和自己课程相关的资料进行资料推送，推送完成后参与教学的学生和教师都可以查看资料的详细内容。</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在线课程的学习、做作业、考试，讨论、答疑等支持闯关模式学习，视频防拖拽、防窗口切换、防跳集等学习监控。</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学生的课堂签到情况、课堂表现等都以积分形式形成评价，可转换为平时成绩；在线课程的学习同时记录作业成绩、考试成绩、按照老师设计的成绩权重给出综合评价。</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可以阅读海量电子图书、报纸、期刊、专题等资源，可以订阅到自己的空间，并进行分类管理；可以对所有精彩的内容进行分享。</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基于真实身份、课程、读书等学习行为及学生活动的社交互动，形成趣味式的成长花瓣，引发学习激励。包括：小组、私有笔记、共享笔记、阅读时间等。</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可以按照组织架构建立通讯录，可查看组织内所有人的联系方式，也可以根据实际情况进行个人信息适当范围的私密保护设置。</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教务通知、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支持手机端、电脑端发起视频直播，学生可以通过手机观看直播并留言。</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移动端监考：教师发布考试后，可在移动端在线监控学生切出考试页面的次数和时间，并且有权强制收卷中止学生的作弊行为。</w:t>
            </w:r>
          </w:p>
          <w:p>
            <w:pPr>
              <w:widowControl/>
              <w:numPr>
                <w:ilvl w:val="0"/>
                <w:numId w:val="41"/>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支持异地同步课堂能够真实还原面授教学场景，实现零距离伴随式学习。移动端的同步课堂与课堂教学、课后学习和辅导有机结合的方式，通过同步课堂平台推送教学辅导资源、习题以及课堂活动，学生可以远程通过移动端同步参与课堂，实现双向或多向互动的同步课堂。</w:t>
            </w:r>
          </w:p>
          <w:p>
            <w:pPr>
              <w:widowControl/>
              <w:numPr>
                <w:ilvl w:val="0"/>
                <w:numId w:val="37"/>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w:t>
            </w:r>
            <w:r>
              <w:rPr>
                <w:rFonts w:hint="eastAsia" w:ascii="宋体" w:hAnsi="宋体" w:eastAsia="宋体" w:cs="宋体"/>
                <w:color w:val="auto"/>
                <w:kern w:val="1"/>
                <w:szCs w:val="21"/>
                <w:highlight w:val="none"/>
              </w:rPr>
              <w:t>需提供相关平台/系统/功能软件著作权证书</w:t>
            </w:r>
            <w:r>
              <w:rPr>
                <w:rFonts w:hint="eastAsia" w:ascii="宋体" w:hAnsi="宋体" w:eastAsia="宋体" w:cs="宋体"/>
                <w:color w:val="auto"/>
                <w:kern w:val="1"/>
                <w:sz w:val="21"/>
                <w:szCs w:val="21"/>
                <w:highlight w:val="none"/>
                <w:lang w:val="en-US" w:eastAsia="zh-CN" w:bidi="ar-SA"/>
              </w:rPr>
              <w:t>。</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6</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教学比赛系统</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系统应支持创建教学大赛并进行全流程在线管理。</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管理员可对大赛和专家进行分组管理，可随机或定向指定专家评审策略（既专家独立评审或分为专家组整体评审），也可支持教师互评。并通知告知评审任务。</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提供专属的大赛门户，支持显示发布的大赛信息、支持作品上传和管理、优秀作品显示等功能。</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支持管理员发布大赛信息，设置大赛的要求、参赛作品类别、大赛规则、赛事指南、常见问题、评审专家。</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支持管理员对参赛教师进行用户管理，可审核身份认定、密码重置以及删除。</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支持对参赛作品进行管理，设置评审评语、隐藏作品、下载作品及材料信息等；支持作品评论管理，对作品的评论内容、评论的来源、提交时间、所属比赛进行查看和删除操作。</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支持评审管理，可进行专家组管理、添加评审专家，进行评审作品管理；大赛作品保存在云盘空间，管理员选择优秀作品推送平台进行展示。</w:t>
            </w:r>
          </w:p>
          <w:p>
            <w:pPr>
              <w:widowControl/>
              <w:numPr>
                <w:ilvl w:val="0"/>
                <w:numId w:val="42"/>
              </w:numPr>
              <w:spacing w:line="20" w:lineRule="atLeast"/>
              <w:ind w:left="0" w:leftChars="0" w:firstLine="420" w:firstLineChars="20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支持投票及评论功能设置，设置是否开启评论投票功能，并设定登录/未登录用户的投票次数。</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7</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新工育人馆管理平台</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系统可实现育人馆和实训室线上预约、线上审批、线上管理功能。教师一键获取实训室可预约时间段，根据课程需要预约实训室。</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管理员可根据学校教学安排自由调整开放预约时间端，可导出教师预约及使用实训室记录。</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◆支持在课程编辑时，在课程学习页面插入obj、ply、stl、vtk、fbx等类型3D资源。</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◆支持在课程编辑时，在课程学习页面插入全景图片和全景视频。</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围绕马克思主义学院各类型社会服务“一项一品”工程建设5个特色论坛的主题门户网站，支持门户自主编辑和管理。</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平台重点突出思政宣传和教育的定位，提供完善的门户管理和站群管理，不仅可以提供全省统一的思政宣传和教学门户，在一期基础之上，改进和更新需求如下：</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系统应支持自主创建网站，支持创建多个站点网页，支持自定义网站名称，支持随时修改已建网站的样式内容。</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采用前后端分离技术，具有可视化页面设计后台，无需代码即可创建网站；系统应提供多种风格模板，支持直接套用。</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系统应支持多种服务的内容发布，例如:新闻公告、轮播图、内容页、标签页等；支持传统的文本、表格等在线编辑；支持上传各类图片、动画等，可实现自由排版。</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系统应支持查看所有内容的信息与状态；支持对已发布内容进行修改、下线操作。</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支持在门户页面上自主挂接资源推荐、检索、数据分析等应用。</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为本项目数字资源建设部分的所有资源匹配二维码，以一个展板配套一个二维码的方式，丰富现有育人阵地线下展馆展览形式，共建设290个电子二维码。扫码后可直接访问在线资源专题，包括文字、图片、音视频等资源。</w:t>
            </w:r>
          </w:p>
          <w:p>
            <w:pPr>
              <w:widowControl/>
              <w:numPr>
                <w:ilvl w:val="0"/>
                <w:numId w:val="43"/>
              </w:numPr>
              <w:spacing w:line="20" w:lineRule="atLeast"/>
              <w:ind w:left="0" w:leftChars="0" w:firstLine="400" w:firstLineChars="0"/>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w:t>
            </w:r>
            <w:r>
              <w:rPr>
                <w:rFonts w:hint="eastAsia" w:ascii="宋体" w:hAnsi="宋体" w:eastAsia="宋体" w:cs="宋体"/>
                <w:color w:val="auto"/>
                <w:kern w:val="1"/>
                <w:szCs w:val="21"/>
                <w:highlight w:val="none"/>
              </w:rPr>
              <w:t>需提供相关平台/系统/功能软件著作权证书。</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8</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“文化润心”理实一体化平台</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8.1 “文化润心”智慧门户</w:t>
            </w:r>
          </w:p>
          <w:p>
            <w:pPr>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管理员通过界面管理可以快速开通门户，输入门户基本信息即可定制域名。系统提供四种门户样式，可根据单位情况随意选择，快速进行门户个性化配置，内置多种功能控件。</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门户系统应支持业内标准的门户框架，提供标准接口和部署的应用组件，可以与不同应用系统或组件进行连接和组合。</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门户系统符合技术设计要求和系统性能整体要求，并基于数据存储性能以及稳定性要求进行整体设计。</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具有高的可用性，建立完善的数据备份与恢复机制，支持异地容灾；充分利用Cluster技术，实现负载与容错处理。支持万级用户同时在线。</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可以对门户的背景进行设置，可以将门户主题色修改为任意颜色；</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针对首页模块配置，提供基础模块和应用模块两类模块类型，基础模块包括图标列表、图文列表、轮播图、多图列表、搜索、文本列表；应用模块可以显示管理平台内对接进门户的应用；</w:t>
            </w:r>
            <w:r>
              <w:rPr>
                <w:rFonts w:hint="eastAsia" w:ascii="宋体" w:hAnsi="宋体" w:eastAsia="宋体" w:cs="宋体"/>
                <w:color w:val="auto"/>
                <w:sz w:val="22"/>
                <w:szCs w:val="22"/>
                <w:highlight w:val="none"/>
                <w:lang w:val="en-US" w:eastAsia="zh-CN"/>
              </w:rPr>
              <w:t>例如新闻资讯、通知公告、精彩集锦等</w:t>
            </w:r>
            <w:r>
              <w:rPr>
                <w:rFonts w:hint="eastAsia" w:ascii="宋体" w:hAnsi="宋体" w:eastAsia="宋体" w:cs="宋体"/>
                <w:color w:val="auto"/>
                <w:sz w:val="22"/>
                <w:szCs w:val="22"/>
                <w:highlight w:val="none"/>
                <w:lang w:eastAsia="zh-CN"/>
              </w:rPr>
              <w:t>。</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可以通过拖拽的形式将模块拖进首页，并可拖拽调整宽度和高度，系统可显示辅助线协助管理员调整。</w:t>
            </w:r>
          </w:p>
          <w:p>
            <w:pPr>
              <w:numPr>
                <w:ilvl w:val="0"/>
                <w:numId w:val="44"/>
              </w:numPr>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每一个模块可以设置模块名称、模块样式、是否显示头部、模块背景、是否显示更多。</w:t>
            </w:r>
          </w:p>
          <w:p>
            <w:pPr>
              <w:numPr>
                <w:ilvl w:val="0"/>
                <w:numId w:val="44"/>
              </w:numPr>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模块的内容可以调取本地资源、外接第三方数据；模块的更多页可以调整样式。</w:t>
            </w:r>
          </w:p>
          <w:p>
            <w:pPr>
              <w:numPr>
                <w:ilvl w:val="0"/>
                <w:numId w:val="44"/>
              </w:numPr>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照学校需求，以“文化润心”为主题进行门户设计，要求美观、大方、有文化底蕴，支持创建多个站点，自定义网站名称，具有可视化页面设计后台，无需代码，可实现资源推荐、检索、数据分析等应用的挂接。</w:t>
            </w:r>
          </w:p>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8.2 “文化润心”资源</w:t>
            </w:r>
          </w:p>
          <w:p>
            <w:pPr>
              <w:widowControl/>
              <w:numPr>
                <w:ilvl w:val="0"/>
                <w:numId w:val="0"/>
              </w:numPr>
              <w:spacing w:line="20" w:lineRule="atLeast"/>
              <w:ind w:firstLine="420" w:firstLineChars="200"/>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平台配置“文化润疆”主题的电子图书、学术视频、报纸期刊等数字化资源，并提供中华传统文化、革命文化与社会主义先进文化、科学文化、文化艺术、文化实践教育五大类型课程资源，并且支持拆分、拼接使用。</w:t>
            </w:r>
          </w:p>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8.3 “文化润心”理论学习广场</w:t>
            </w:r>
          </w:p>
          <w:p>
            <w:pPr>
              <w:widowControl/>
              <w:numPr>
                <w:ilvl w:val="0"/>
                <w:numId w:val="45"/>
              </w:numPr>
              <w:spacing w:line="20" w:lineRule="atLeast"/>
              <w:ind w:left="0" w:leftChars="0" w:firstLine="420" w:firstLineChars="200"/>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学习资源</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（1）学习资源应涵盖丰富类型，至少应有课程视频、图书、文档、试题等类型。</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（2）可供学生选择学习的知识点不少于200个，视频学习时长不少于3000分钟。</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（3）学习资源中应包含不少于1000道试题可供学生在线作答。</w:t>
            </w:r>
          </w:p>
          <w:p>
            <w:pPr>
              <w:widowControl/>
              <w:numPr>
                <w:ilvl w:val="0"/>
                <w:numId w:val="45"/>
              </w:numPr>
              <w:spacing w:line="20" w:lineRule="atLeast"/>
              <w:ind w:left="0" w:leftChars="0" w:firstLine="420" w:firstLineChars="200"/>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教学管理</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（1）日常学习考核以积分制模式进行。学生在系统内发生学习行为包括观看视频、阅读书籍、参与讨论、在线答题等，系统可以根据校方预先设置的分数值，自动记录其行为对应的分数。</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（2）系统应支持教师自主设置考核指标，设定总积分值、分项积分值、每日积分上限等；学生必需达到所有指标才能合格，每日达到积分上限后继续学习不再积分。</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（3）系统需支持知识点搜索功能，允许学生根据自身需求对知识点进行搜索，也可查看预先设置的推荐知识点、必学知识点。</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（4）学生学习完一个知识点后，系统应根据学生所学知识点内容，推荐2个以上相关知识点供学生选择学习。</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（5）学生页面应该明确可以看到当日积分、总积分、学习天数、考核指标完成情况等，以激励学生继续学习。</w:t>
            </w:r>
          </w:p>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val="0"/>
                <w:bCs w:val="0"/>
                <w:color w:val="auto"/>
                <w:kern w:val="1"/>
                <w:sz w:val="21"/>
                <w:szCs w:val="21"/>
                <w:highlight w:val="none"/>
                <w:lang w:val="en-US" w:eastAsia="zh-CN" w:bidi="ar-SA"/>
              </w:rPr>
              <w:t>（6）系统应支持学生每日登录获得奖励积分，支持自定义奖励积分值。</w:t>
            </w:r>
          </w:p>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8.4 “文化润心”实践积分广场</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w:t>
            </w:r>
            <w:r>
              <w:rPr>
                <w:rFonts w:hint="eastAsia" w:ascii="宋体" w:hAnsi="宋体" w:eastAsia="宋体" w:cs="宋体"/>
                <w:b w:val="0"/>
                <w:bCs w:val="0"/>
                <w:color w:val="auto"/>
                <w:kern w:val="1"/>
                <w:sz w:val="21"/>
                <w:szCs w:val="21"/>
                <w:highlight w:val="none"/>
                <w:lang w:val="en-IE" w:eastAsia="zh-CN" w:bidi="ar-SA"/>
              </w:rPr>
              <w:t>）系统应支持教师在线创建实践活动，编辑活动名称，标记活动分类。</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2</w:t>
            </w:r>
            <w:r>
              <w:rPr>
                <w:rFonts w:hint="eastAsia" w:ascii="宋体" w:hAnsi="宋体" w:eastAsia="宋体" w:cs="宋体"/>
                <w:b w:val="0"/>
                <w:bCs w:val="0"/>
                <w:color w:val="auto"/>
                <w:kern w:val="1"/>
                <w:sz w:val="21"/>
                <w:szCs w:val="21"/>
                <w:highlight w:val="none"/>
                <w:lang w:val="en-IE" w:eastAsia="zh-CN" w:bidi="ar-SA"/>
              </w:rPr>
              <w:t>）系统应支持教师在线自主设定和变更活动的开展时间、线下地址、活动要求和报名范围。</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3</w:t>
            </w:r>
            <w:r>
              <w:rPr>
                <w:rFonts w:hint="eastAsia" w:ascii="宋体" w:hAnsi="宋体" w:eastAsia="宋体" w:cs="宋体"/>
                <w:b w:val="0"/>
                <w:bCs w:val="0"/>
                <w:color w:val="auto"/>
                <w:kern w:val="1"/>
                <w:sz w:val="21"/>
                <w:szCs w:val="21"/>
                <w:highlight w:val="none"/>
                <w:lang w:val="en-IE" w:eastAsia="zh-CN" w:bidi="ar-SA"/>
              </w:rPr>
              <w:t>）系统应提供活动广场页面，所有创建的活动统一显示，师生可在活动广场页面分类查找活动。</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4</w:t>
            </w:r>
            <w:r>
              <w:rPr>
                <w:rFonts w:hint="eastAsia" w:ascii="宋体" w:hAnsi="宋体" w:eastAsia="宋体" w:cs="宋体"/>
                <w:b w:val="0"/>
                <w:bCs w:val="0"/>
                <w:color w:val="auto"/>
                <w:kern w:val="1"/>
                <w:sz w:val="21"/>
                <w:szCs w:val="21"/>
                <w:highlight w:val="none"/>
                <w:lang w:val="en-IE" w:eastAsia="zh-CN" w:bidi="ar-SA"/>
              </w:rPr>
              <w:t>）系统应支持学生在线报名，支持教师设置报名时间，配置报名表单，限制报名人数；可限制学生可同时报名的活动数量。</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5</w:t>
            </w:r>
            <w:r>
              <w:rPr>
                <w:rFonts w:hint="eastAsia" w:ascii="宋体" w:hAnsi="宋体" w:eastAsia="宋体" w:cs="宋体"/>
                <w:b w:val="0"/>
                <w:bCs w:val="0"/>
                <w:color w:val="auto"/>
                <w:kern w:val="1"/>
                <w:sz w:val="21"/>
                <w:szCs w:val="21"/>
                <w:highlight w:val="none"/>
                <w:lang w:val="en-IE" w:eastAsia="zh-CN" w:bidi="ar-SA"/>
              </w:rPr>
              <w:t>）系统应支持教师在线对报名者进行审核，支持批量通过或不通过报名申请，支持取消报名人员已报名状态后自动释放报名名额。</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6</w:t>
            </w:r>
            <w:r>
              <w:rPr>
                <w:rFonts w:hint="eastAsia" w:ascii="宋体" w:hAnsi="宋体" w:eastAsia="宋体" w:cs="宋体"/>
                <w:b w:val="0"/>
                <w:bCs w:val="0"/>
                <w:color w:val="auto"/>
                <w:kern w:val="1"/>
                <w:sz w:val="21"/>
                <w:szCs w:val="21"/>
                <w:highlight w:val="none"/>
                <w:lang w:val="en-IE" w:eastAsia="zh-CN" w:bidi="ar-SA"/>
              </w:rPr>
              <w:t>）系统应提供线下实践活动签到签退功能，可设置签到开始和结束时间，并统计签到结果；支持教师手动修改学生签到状态。</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7</w:t>
            </w:r>
            <w:r>
              <w:rPr>
                <w:rFonts w:hint="eastAsia" w:ascii="宋体" w:hAnsi="宋体" w:eastAsia="宋体" w:cs="宋体"/>
                <w:b w:val="0"/>
                <w:bCs w:val="0"/>
                <w:color w:val="auto"/>
                <w:kern w:val="1"/>
                <w:sz w:val="21"/>
                <w:szCs w:val="21"/>
                <w:highlight w:val="none"/>
                <w:lang w:val="en-IE" w:eastAsia="zh-CN" w:bidi="ar-SA"/>
              </w:rPr>
              <w:t>）系统应支持教师为实践活动绑定师生互动小组，小组支持成员通过笔记、发帖、日志等形式随时记录、分享实践教学过程中的收获和进展；小组需支持实践教学成果以文档、图片、视频等形式上传。</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8</w:t>
            </w:r>
            <w:r>
              <w:rPr>
                <w:rFonts w:hint="eastAsia" w:ascii="宋体" w:hAnsi="宋体" w:eastAsia="宋体" w:cs="宋体"/>
                <w:b w:val="0"/>
                <w:bCs w:val="0"/>
                <w:color w:val="auto"/>
                <w:kern w:val="1"/>
                <w:sz w:val="21"/>
                <w:szCs w:val="21"/>
                <w:highlight w:val="none"/>
                <w:lang w:val="en-IE" w:eastAsia="zh-CN" w:bidi="ar-SA"/>
              </w:rPr>
              <w:t>）小组发帖支持语音识别功能，同时生成语音和文字记录。</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9</w:t>
            </w:r>
            <w:r>
              <w:rPr>
                <w:rFonts w:hint="eastAsia" w:ascii="宋体" w:hAnsi="宋体" w:eastAsia="宋体" w:cs="宋体"/>
                <w:b w:val="0"/>
                <w:bCs w:val="0"/>
                <w:color w:val="auto"/>
                <w:kern w:val="1"/>
                <w:sz w:val="21"/>
                <w:szCs w:val="21"/>
                <w:highlight w:val="none"/>
                <w:lang w:val="en-IE" w:eastAsia="zh-CN" w:bidi="ar-SA"/>
              </w:rPr>
              <w:t>）小组可统计师生发帖数、回帖数、被点赞数、评分等信息，可导出统计数据方便教师评定实践教学成绩。</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10</w:t>
            </w:r>
            <w:r>
              <w:rPr>
                <w:rFonts w:hint="eastAsia" w:ascii="宋体" w:hAnsi="宋体" w:eastAsia="宋体" w:cs="宋体"/>
                <w:b w:val="0"/>
                <w:bCs w:val="0"/>
                <w:color w:val="auto"/>
                <w:kern w:val="1"/>
                <w:sz w:val="21"/>
                <w:szCs w:val="21"/>
                <w:highlight w:val="none"/>
                <w:lang w:val="en-IE" w:eastAsia="zh-CN" w:bidi="ar-SA"/>
              </w:rPr>
              <w:t>）支持教师给实践活动全体或特定参与人员发放通知。</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11</w:t>
            </w:r>
            <w:r>
              <w:rPr>
                <w:rFonts w:hint="eastAsia" w:ascii="宋体" w:hAnsi="宋体" w:eastAsia="宋体" w:cs="宋体"/>
                <w:b w:val="0"/>
                <w:bCs w:val="0"/>
                <w:color w:val="auto"/>
                <w:kern w:val="1"/>
                <w:sz w:val="21"/>
                <w:szCs w:val="21"/>
                <w:highlight w:val="none"/>
                <w:lang w:val="en-IE" w:eastAsia="zh-CN" w:bidi="ar-SA"/>
              </w:rPr>
              <w:t>）教师可设定实践活动提交的成果要求，可限制成果格式，支持文档、图片、视频、音频等，可配置作品提交表单。</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12</w:t>
            </w:r>
            <w:r>
              <w:rPr>
                <w:rFonts w:hint="eastAsia" w:ascii="宋体" w:hAnsi="宋体" w:eastAsia="宋体" w:cs="宋体"/>
                <w:b w:val="0"/>
                <w:bCs w:val="0"/>
                <w:color w:val="auto"/>
                <w:kern w:val="1"/>
                <w:sz w:val="21"/>
                <w:szCs w:val="21"/>
                <w:highlight w:val="none"/>
                <w:lang w:val="en-IE" w:eastAsia="zh-CN" w:bidi="ar-SA"/>
              </w:rPr>
              <w:t>）教师可以对学生提交的成果进行审核并评分，可以对优秀作品进行推优展示，展示时可以对作者姓名等信息脱敏，支持师生在线对展示作品进行评论、点赞、投票。</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13</w:t>
            </w:r>
            <w:r>
              <w:rPr>
                <w:rFonts w:hint="eastAsia" w:ascii="宋体" w:hAnsi="宋体" w:eastAsia="宋体" w:cs="宋体"/>
                <w:b w:val="0"/>
                <w:bCs w:val="0"/>
                <w:color w:val="auto"/>
                <w:kern w:val="1"/>
                <w:sz w:val="21"/>
                <w:szCs w:val="21"/>
                <w:highlight w:val="none"/>
                <w:lang w:val="en-IE" w:eastAsia="zh-CN" w:bidi="ar-SA"/>
              </w:rPr>
              <w:t>）系统应支持对各实践活动的报名人数、每日报名情况、作品数量、点击量、打卡数据、评论数等进行统计，方便管理者了解分析各项活动参与情况。</w:t>
            </w:r>
          </w:p>
          <w:p>
            <w:pPr>
              <w:widowControl/>
              <w:numPr>
                <w:ilvl w:val="0"/>
                <w:numId w:val="0"/>
              </w:numPr>
              <w:spacing w:line="20" w:lineRule="atLeast"/>
              <w:jc w:val="left"/>
              <w:rPr>
                <w:rFonts w:hint="eastAsia" w:ascii="宋体" w:hAnsi="宋体" w:eastAsia="宋体" w:cs="宋体"/>
                <w:b w:val="0"/>
                <w:bCs w:val="0"/>
                <w:color w:val="auto"/>
                <w:kern w:val="1"/>
                <w:sz w:val="21"/>
                <w:szCs w:val="21"/>
                <w:highlight w:val="none"/>
                <w:lang w:val="en-IE" w:eastAsia="zh-CN" w:bidi="ar-SA"/>
              </w:rPr>
            </w:pPr>
            <w:r>
              <w:rPr>
                <w:rFonts w:hint="eastAsia" w:ascii="宋体" w:hAnsi="宋体" w:eastAsia="宋体" w:cs="宋体"/>
                <w:b w:val="0"/>
                <w:bCs w:val="0"/>
                <w:color w:val="auto"/>
                <w:kern w:val="1"/>
                <w:sz w:val="21"/>
                <w:szCs w:val="21"/>
                <w:highlight w:val="none"/>
                <w:lang w:val="en-IE" w:eastAsia="zh-CN" w:bidi="ar-SA"/>
              </w:rPr>
              <w:t>（</w:t>
            </w:r>
            <w:r>
              <w:rPr>
                <w:rFonts w:hint="eastAsia" w:ascii="宋体" w:hAnsi="宋体" w:eastAsia="宋体" w:cs="宋体"/>
                <w:b w:val="0"/>
                <w:bCs w:val="0"/>
                <w:color w:val="auto"/>
                <w:kern w:val="1"/>
                <w:sz w:val="21"/>
                <w:szCs w:val="21"/>
                <w:highlight w:val="none"/>
                <w:lang w:val="en-US" w:eastAsia="zh-CN" w:bidi="ar-SA"/>
              </w:rPr>
              <w:t>14</w:t>
            </w:r>
            <w:r>
              <w:rPr>
                <w:rFonts w:hint="eastAsia" w:ascii="宋体" w:hAnsi="宋体" w:eastAsia="宋体" w:cs="宋体"/>
                <w:b w:val="0"/>
                <w:bCs w:val="0"/>
                <w:color w:val="auto"/>
                <w:kern w:val="1"/>
                <w:sz w:val="21"/>
                <w:szCs w:val="21"/>
                <w:highlight w:val="none"/>
                <w:lang w:val="en-IE" w:eastAsia="zh-CN" w:bidi="ar-SA"/>
              </w:rPr>
              <w:t>）支持设定活动合格标准，导出学生成绩。</w:t>
            </w:r>
          </w:p>
          <w:p>
            <w:pPr>
              <w:widowControl/>
              <w:numPr>
                <w:ilvl w:val="0"/>
                <w:numId w:val="0"/>
              </w:numPr>
              <w:spacing w:line="20" w:lineRule="atLeast"/>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8.5 其他要求</w:t>
            </w:r>
          </w:p>
          <w:p>
            <w:pPr>
              <w:widowControl/>
              <w:numPr>
                <w:ilvl w:val="0"/>
                <w:numId w:val="0"/>
              </w:numPr>
              <w:spacing w:line="20" w:lineRule="atLeast"/>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（1）系统支持与学校教务系统进行对接；</w:t>
            </w:r>
          </w:p>
          <w:p>
            <w:pPr>
              <w:widowControl/>
              <w:numPr>
                <w:ilvl w:val="0"/>
                <w:numId w:val="0"/>
              </w:numPr>
              <w:spacing w:line="20" w:lineRule="atLeast"/>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（2）可提供学生学习交流社区；</w:t>
            </w:r>
          </w:p>
          <w:p>
            <w:pPr>
              <w:widowControl/>
              <w:numPr>
                <w:ilvl w:val="0"/>
                <w:numId w:val="0"/>
              </w:numPr>
              <w:spacing w:line="20" w:lineRule="atLeast"/>
              <w:jc w:val="left"/>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（3）按照学校要求搭建符合需求的“文化润心”理实一体化平台。</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r>
        <w:tblPrEx>
          <w:tblCellMar>
            <w:top w:w="0" w:type="dxa"/>
            <w:left w:w="10" w:type="dxa"/>
            <w:bottom w:w="0" w:type="dxa"/>
            <w:right w:w="10" w:type="dxa"/>
          </w:tblCellMar>
        </w:tblPrEx>
        <w:trPr>
          <w:jc w:val="center"/>
        </w:trPr>
        <w:tc>
          <w:tcPr>
            <w:tcW w:w="23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9</w:t>
            </w:r>
          </w:p>
        </w:tc>
        <w:tc>
          <w:tcPr>
            <w:tcW w:w="3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firstLineChars="0"/>
              <w:jc w:val="center"/>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平台管理</w:t>
            </w:r>
          </w:p>
        </w:tc>
        <w:tc>
          <w:tcPr>
            <w:tcW w:w="38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firstLine="0" w:firstLineChars="0"/>
              <w:jc w:val="left"/>
              <w:rPr>
                <w:rFonts w:hint="eastAsia" w:ascii="宋体" w:hAnsi="宋体" w:eastAsia="宋体" w:cs="宋体"/>
                <w:b/>
                <w:bCs/>
                <w:vanish/>
                <w:color w:val="auto"/>
                <w:kern w:val="1"/>
                <w:sz w:val="21"/>
                <w:szCs w:val="21"/>
                <w:highlight w:val="none"/>
                <w:lang w:val="en-US" w:eastAsia="zh-CN" w:bidi="ar-SA"/>
              </w:rPr>
            </w:pP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9.1 用户管理</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基础信息管理：用户管理是对单位组织架构、用户基本信息、用户扩展属性、移动端通讯录进行管理。可以根据自身的情况，在平台上各业务系统进行组织架构的个性化管理。能够对用户进行启用/禁用、角色配置等编辑操作；能对上下线用户进行统计、管理等；可查看用户上下线日志，查看管理员所有登录操作日志。支持临时添加组织结构，如学习小组等，能够对小组进行账号开通/禁用、密码重置、资料修改等操作；能对个人分组数据进行新增、修改、删除等操作。</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管理员设置：支持进行多个管理员设置，并可设置一级及二级管理员，一级管理员应拥有平台所有权限，二级管理员需由一级管理员创建并分配应用权限。</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授权管理：根据组织结构、用户角色、用户拓展属性等信息，实现本项目所建设的全部业务的分级分权限授权管理。</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管理后台登录支持管理员移动端一键扫码登录，管理员可自建子单位，支持管理员快速生成子单位，配置子单位模块的应用。</w:t>
            </w: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9.2 应用管理</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用户管理员可以通过应用市场和自建应用两种方式添加应用，并对本项目所建设的业务应用进行自主管理。支持自定义应用分类及分类和应用的增、删、改操作。</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对个人空间和移动端展示的应用功能进行个性化配置和管理，能够实现所配即所得的后台配置；根据用户角色和权限，实现针对不同用户个人空间和移动端展示不同应用功能。</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对于单个应用可以修改基本信息、设置可见范围、设置二级管理员，包括启用/禁用、开放角色等管理功能。</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提供应用的集中发布和管理中心，需包含以下功能：①分类管理：支持应用的分类管理，支持分类的自定义添加修改、支持分类排序等；②应用排序：需支持后台拖拽式管理应用显示顺序，无须设置代码、修改程序等复杂操作；③应用修改：可修改名称和图标，自建应用支持修改访问方式。</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自建应用：平台内置可视化流程引擎、工具引擎、资源引擎，支持管理员自主创建预约、审批、表单、笔记、专题、课程、小组等多种形式的应用，应用创建后自动添加进单位应用市场。支持修改应用名称、icon、地址等基础信息。</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移动端支持消息通讯应用功能，可基于省平台的组织架构进行即时通讯，可发送语音、图片、笔记、视频、文件、位置等空间。</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支持对学习平台的课程及资源服务进行配置和管理，要求能够实现后台即配置即在PC以及移动端上进行针对展示；对于单个应用可以按标签设置可见权限，设置应用管理员，包括启用/禁用、开放角色等管理功能。</w:t>
            </w: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9.3 数据管理</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本项目所建设的每个应用应为独立闭环，具有一张独立的数据表，所有应用数据表聚合一个全量数据中心，留存每个应用所产生的过程数据及结果数据，要求数据中心可汇聚平台全部应用数据，并实现其他应用开发对数据的统一调用。</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要求所有应用开放api供第三方应用或行为分析系统调用。</w:t>
            </w:r>
          </w:p>
          <w:p>
            <w:pPr>
              <w:widowControl/>
              <w:numPr>
                <w:ilvl w:val="0"/>
                <w:numId w:val="0"/>
              </w:numPr>
              <w:spacing w:line="20" w:lineRule="atLeast"/>
              <w:ind w:leftChars="0"/>
              <w:jc w:val="left"/>
              <w:rPr>
                <w:rFonts w:hint="eastAsia" w:ascii="宋体" w:hAnsi="宋体" w:eastAsia="宋体" w:cs="宋体"/>
                <w:b/>
                <w:bCs/>
                <w:color w:val="auto"/>
                <w:kern w:val="1"/>
                <w:sz w:val="21"/>
                <w:szCs w:val="21"/>
                <w:highlight w:val="none"/>
                <w:lang w:val="en-US" w:eastAsia="zh-CN" w:bidi="ar-SA"/>
              </w:rPr>
            </w:pPr>
            <w:r>
              <w:rPr>
                <w:rFonts w:hint="eastAsia" w:ascii="宋体" w:hAnsi="宋体" w:eastAsia="宋体" w:cs="宋体"/>
                <w:b/>
                <w:bCs/>
                <w:color w:val="auto"/>
                <w:kern w:val="1"/>
                <w:sz w:val="21"/>
                <w:szCs w:val="21"/>
                <w:highlight w:val="none"/>
                <w:lang w:val="en-US" w:eastAsia="zh-CN" w:bidi="ar-SA"/>
              </w:rPr>
              <w:t>9.4 其他管理</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提供包括资源、工具、流程在内的三大引擎，用户使用3引擎工具可迅速构建自己的办公、管理、教学、资源等多种类型的应用。</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可对接平台统一身份认证，通过不同身份可分类展示出相关的不同应用。</w:t>
            </w:r>
          </w:p>
          <w:p>
            <w:pPr>
              <w:widowControl/>
              <w:numPr>
                <w:ilvl w:val="0"/>
                <w:numId w:val="0"/>
              </w:numPr>
              <w:spacing w:line="20" w:lineRule="atLeast"/>
              <w:ind w:left="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配置要求：平台应保持可生长性，符合主流终端的使用，可通过托拉拽的方式，实现可视化操作配置PC端，移动端，微信端等。</w:t>
            </w:r>
          </w:p>
          <w:p>
            <w:pPr>
              <w:widowControl/>
              <w:numPr>
                <w:ilvl w:val="0"/>
                <w:numId w:val="0"/>
              </w:numPr>
              <w:spacing w:line="20" w:lineRule="atLeast"/>
              <w:ind w:leftChars="0" w:firstLine="0" w:firstLineChars="0"/>
              <w:jc w:val="left"/>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 xml:space="preserve">9.5 </w:t>
            </w:r>
            <w:r>
              <w:rPr>
                <w:rFonts w:hint="eastAsia" w:ascii="宋体" w:hAnsi="宋体" w:eastAsia="宋体" w:cs="宋体"/>
                <w:color w:val="auto"/>
                <w:kern w:val="1"/>
                <w:sz w:val="21"/>
                <w:szCs w:val="21"/>
                <w:highlight w:val="none"/>
                <w:lang w:val="en-US" w:eastAsia="zh-CN"/>
              </w:rPr>
              <w:t>▲</w:t>
            </w:r>
            <w:r>
              <w:rPr>
                <w:rFonts w:hint="eastAsia" w:ascii="宋体" w:hAnsi="宋体" w:eastAsia="宋体" w:cs="宋体"/>
                <w:color w:val="auto"/>
                <w:kern w:val="1"/>
                <w:szCs w:val="21"/>
                <w:highlight w:val="none"/>
              </w:rPr>
              <w:t>需提供相关平台/系统/功能软件著作权证书。</w:t>
            </w:r>
          </w:p>
        </w:tc>
        <w:tc>
          <w:tcPr>
            <w:tcW w:w="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套</w:t>
            </w:r>
          </w:p>
        </w:tc>
        <w:tc>
          <w:tcPr>
            <w:tcW w:w="4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0" w:lineRule="atLeast"/>
              <w:ind w:firstLine="0" w:firstLineChars="0"/>
              <w:jc w:val="center"/>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r>
    </w:tbl>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lang w:val="en-US" w:eastAsia="zh-CN"/>
        </w:rPr>
        <w:t>“★”代表关键指标，不满足该指标项将导致响应被拒绝</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第五章  评标办法</w:t>
      </w:r>
      <w:bookmarkEnd w:id="148"/>
      <w:bookmarkEnd w:id="149"/>
      <w:bookmarkStart w:id="150" w:name="_Hlt101846155"/>
      <w:bookmarkEnd w:id="150"/>
      <w:bookmarkStart w:id="151" w:name="_Toc208849007"/>
      <w:bookmarkStart w:id="152" w:name="_Toc183682415"/>
      <w:bookmarkStart w:id="153" w:name="_Toc217446097"/>
      <w:bookmarkStart w:id="154" w:name="_Toc183582280"/>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1"/>
      <w:bookmarkEnd w:id="152"/>
      <w:bookmarkEnd w:id="153"/>
      <w:bookmarkEnd w:id="154"/>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（2）要求投标投标人对投标文件有关事项作出解释或者澄清；</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55" w:name="_Toc217446098"/>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55"/>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bookmarkStart w:id="156" w:name="_Toc217446099"/>
      <w:r>
        <w:rPr>
          <w:rFonts w:hint="eastAsia" w:ascii="宋体" w:hAnsi="宋体" w:eastAsia="宋体" w:cs="宋体"/>
          <w:color w:val="auto"/>
          <w:sz w:val="24"/>
          <w:szCs w:val="24"/>
          <w:highlight w:val="none"/>
        </w:rPr>
        <w:t>3.1资格审查</w:t>
      </w:r>
    </w:p>
    <w:p>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bCs w:val="0"/>
          <w:color w:val="auto"/>
          <w:sz w:val="24"/>
          <w:szCs w:val="24"/>
          <w:highlight w:val="none"/>
        </w:rPr>
        <w:t>资格审查表</w:t>
      </w:r>
    </w:p>
    <w:tbl>
      <w:tblPr>
        <w:tblStyle w:val="30"/>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2"/>
        <w:gridCol w:w="6516"/>
        <w:gridCol w:w="622"/>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319" w:type="pct"/>
            <w:vMerge w:val="restar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04" w:type="pct"/>
            <w:vMerge w:val="restar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775" w:type="pct"/>
            <w:gridSpan w:val="2"/>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19" w:type="pct"/>
            <w:vMerge w:val="continue"/>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904" w:type="pct"/>
            <w:vMerge w:val="continue"/>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04" w:type="pct"/>
            <w:vAlign w:val="center"/>
          </w:tcPr>
          <w:p>
            <w:pPr>
              <w:pStyle w:val="47"/>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p>
            <w:pPr>
              <w:pStyle w:val="47"/>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【法人、其他组织投标须提供营业执照等证明文件，自然人投标须提供自然人的身份证明。】</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【①以开标截止时间点投标单位未列入“信用中国”&lt;www.creditchina.gov.cn&gt;网站的“失信被执行人”和“重大税收违法失信主体”（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为自然人时无需提供）及“中国政府采购网”&lt;www.ccgp.gov.cn&gt;网站的“政府采购严重违法失信行为记录名单”，开标截止时间</w:t>
            </w:r>
            <w:r>
              <w:rPr>
                <w:rFonts w:hint="eastAsia" w:ascii="宋体" w:hAnsi="宋体" w:cs="宋体"/>
                <w:color w:val="auto"/>
                <w:sz w:val="24"/>
                <w:szCs w:val="24"/>
                <w:highlight w:val="none"/>
                <w:lang w:val="en-US" w:eastAsia="zh-CN"/>
              </w:rPr>
              <w:t>点</w:t>
            </w:r>
            <w:r>
              <w:rPr>
                <w:rFonts w:hint="eastAsia" w:ascii="宋体" w:hAnsi="宋体" w:eastAsia="宋体" w:cs="宋体"/>
                <w:color w:val="auto"/>
                <w:sz w:val="24"/>
                <w:szCs w:val="24"/>
                <w:highlight w:val="none"/>
              </w:rPr>
              <w:t>，由招标代理公司统一登陆网站查询</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投标文件的投标单位信誉情况，并以保存的网页查询截图为准；②银行出具的近1年内资信证明或</w:t>
            </w:r>
            <w:r>
              <w:rPr>
                <w:rFonts w:hint="eastAsia" w:ascii="宋体" w:hAnsi="宋体" w:cs="宋体"/>
                <w:color w:val="auto"/>
                <w:sz w:val="24"/>
                <w:szCs w:val="24"/>
                <w:highlight w:val="none"/>
                <w:lang w:val="en-US" w:eastAsia="zh-CN"/>
              </w:rPr>
              <w:t>近一年度</w:t>
            </w:r>
            <w:r>
              <w:rPr>
                <w:rFonts w:hint="eastAsia" w:ascii="宋体" w:hAnsi="宋体" w:eastAsia="宋体" w:cs="宋体"/>
                <w:color w:val="auto"/>
                <w:sz w:val="24"/>
                <w:szCs w:val="24"/>
                <w:highlight w:val="none"/>
              </w:rPr>
              <w:t>度经审计的财务报告，新成立企业无需提供。】</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【须提供：①相关设备或设施的购置发票或单据（任一）或提供承诺函；</w:t>
            </w:r>
            <w:r>
              <w:rPr>
                <w:rFonts w:hint="eastAsia" w:ascii="宋体" w:hAnsi="宋体" w:cs="宋体"/>
                <w:color w:val="auto"/>
                <w:sz w:val="24"/>
                <w:highlight w:val="none"/>
              </w:rPr>
              <w:t>②专业人员用工合同（任一人）或技术人员的职称证书或职业（执业）资格证或等级证书等相关证书（任一人）</w:t>
            </w:r>
            <w:r>
              <w:rPr>
                <w:rFonts w:hint="eastAsia" w:ascii="宋体" w:hAnsi="宋体" w:cs="宋体"/>
                <w:color w:val="auto"/>
                <w:sz w:val="24"/>
                <w:highlight w:val="none"/>
                <w:lang w:val="en-US" w:eastAsia="zh-CN"/>
              </w:rPr>
              <w:t>或承诺函</w:t>
            </w:r>
            <w:r>
              <w:rPr>
                <w:rFonts w:hint="eastAsia" w:ascii="宋体" w:hAnsi="宋体" w:cs="宋体"/>
                <w:color w:val="auto"/>
                <w:sz w:val="24"/>
                <w:highlight w:val="none"/>
              </w:rPr>
              <w:t>等的证明材料</w:t>
            </w:r>
            <w:r>
              <w:rPr>
                <w:rFonts w:hint="eastAsia" w:ascii="宋体" w:hAnsi="宋体" w:eastAsia="宋体" w:cs="宋体"/>
                <w:color w:val="auto"/>
                <w:sz w:val="24"/>
                <w:szCs w:val="24"/>
                <w:highlight w:val="none"/>
              </w:rPr>
              <w:t>。】</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04" w:type="pct"/>
            <w:vAlign w:val="center"/>
          </w:tcPr>
          <w:p>
            <w:pPr>
              <w:pStyle w:val="13"/>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pPr>
              <w:pStyle w:val="13"/>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参加本次政府采购活动前三年内，在经营活动中没有重大违法记录；</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【须提供书面声明（投标人自行承诺并承担后果，声明不实的，按《政府采购法》及相关法律法规中提供虚假材料的有关规定处理。】 </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【须提供书面声明（投标人自行承诺并承担后果，声明函不实的，按《政府采购法》及相关法律法规中提供虚假材料的有关规定处理。】 </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本项目为专门面向中小企业采购的项目，投标人所投产品生产厂家应均为中小微企业或监狱企业或残疾人福利性单位。</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szCs w:val="24"/>
              </w:rPr>
              <w:t>满足条件的企业需在投标文件中提供《中小企业声明函》、</w:t>
            </w:r>
            <w:r>
              <w:rPr>
                <w:rFonts w:hint="eastAsia" w:ascii="宋体" w:hAnsi="宋体" w:eastAsia="宋体" w:cs="宋体"/>
                <w:color w:val="auto"/>
                <w:sz w:val="24"/>
                <w:szCs w:val="24"/>
                <w:highlight w:val="none"/>
              </w:rPr>
              <w:t>《残疾人福利性单位声明函》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或省级以上监狱管理局、戒毒管理局（含新疆生产建设兵团）出具的属于监狱</w:t>
            </w:r>
            <w:r>
              <w:rPr>
                <w:rFonts w:hint="eastAsia" w:ascii="宋体" w:hAnsi="宋体" w:eastAsia="宋体" w:cs="宋体"/>
                <w:color w:val="auto"/>
                <w:sz w:val="24"/>
                <w:szCs w:val="24"/>
              </w:rPr>
              <w:t>企业的证明文件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b w:val="0"/>
                <w:bCs/>
                <w:color w:val="auto"/>
                <w:sz w:val="24"/>
                <w:szCs w:val="24"/>
                <w:highlight w:val="none"/>
                <w:shd w:val="clear" w:color="auto" w:fill="auto"/>
              </w:rPr>
              <w:t>】</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24" w:type="pct"/>
            <w:gridSpan w:val="2"/>
            <w:vAlign w:val="center"/>
          </w:tcPr>
          <w:p>
            <w:pPr>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373"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1"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5000" w:type="pct"/>
            <w:gridSpan w:val="4"/>
            <w:vAlign w:val="center"/>
          </w:tcPr>
          <w:p>
            <w:pPr>
              <w:pStyle w:val="47"/>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将认定整个</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件而予以无效处理，并且不允许</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通过修改或撤销其不符合要求的差异或保留，使之成为具有响应性的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tc>
      </w:tr>
    </w:tbl>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pPr>
        <w:pStyle w:val="29"/>
        <w:pageBreakBefore w:val="0"/>
        <w:kinsoku/>
        <w:wordWrap/>
        <w:overflowPunct/>
        <w:topLinePunct w:val="0"/>
        <w:autoSpaceDE/>
        <w:autoSpaceDN/>
        <w:bidi w:val="0"/>
        <w:adjustRightInd/>
        <w:spacing w:line="3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0"/>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6100"/>
        <w:gridCol w:w="78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69" w:type="pct"/>
            <w:vMerge w:val="restar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1" w:type="pct"/>
            <w:vMerge w:val="restar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978" w:type="pct"/>
            <w:gridSpan w:val="2"/>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69" w:type="pct"/>
            <w:vMerge w:val="continue"/>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651" w:type="pct"/>
            <w:vMerge w:val="continue"/>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符合招标文件要求；</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按照招标文件规定和要求</w:t>
            </w:r>
            <w:r>
              <w:rPr>
                <w:rFonts w:hint="eastAsia" w:ascii="宋体" w:hAnsi="宋体" w:cs="宋体"/>
                <w:color w:val="auto"/>
                <w:sz w:val="24"/>
                <w:szCs w:val="24"/>
                <w:highlight w:val="none"/>
                <w:lang w:val="en-US" w:eastAsia="zh-CN"/>
              </w:rPr>
              <w:t>加密</w:t>
            </w:r>
            <w:r>
              <w:rPr>
                <w:rFonts w:hint="eastAsia" w:ascii="宋体" w:hAnsi="宋体" w:eastAsia="宋体" w:cs="宋体"/>
                <w:color w:val="auto"/>
                <w:sz w:val="24"/>
                <w:szCs w:val="24"/>
                <w:highlight w:val="none"/>
              </w:rPr>
              <w:t>、签章；</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按照招标文件规定缴纳投标保证金；</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投标报价不得高于设定的最高限价；</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供货期、质保期</w:t>
            </w:r>
            <w:r>
              <w:rPr>
                <w:rFonts w:hint="eastAsia" w:ascii="宋体" w:hAnsi="宋体" w:eastAsia="宋体" w:cs="宋体"/>
                <w:color w:val="auto"/>
                <w:sz w:val="24"/>
                <w:szCs w:val="24"/>
                <w:highlight w:val="none"/>
              </w:rPr>
              <w:t>符合招标文件规定期限；</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按照招标文件规定的格式要求编制投标文件，实质性响应招标文件内容；</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369"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3651" w:type="pct"/>
            <w:vAlign w:val="center"/>
          </w:tcPr>
          <w:p>
            <w:pPr>
              <w:pStyle w:val="47"/>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投标文件不得附有采购人不能接受的条件</w:t>
            </w:r>
            <w:r>
              <w:rPr>
                <w:rFonts w:hint="eastAsia" w:ascii="宋体" w:hAnsi="宋体" w:eastAsia="宋体" w:cs="宋体"/>
                <w:color w:val="auto"/>
                <w:sz w:val="24"/>
                <w:szCs w:val="24"/>
                <w:highlight w:val="none"/>
                <w:lang w:eastAsia="zh-CN"/>
              </w:rPr>
              <w:t>。</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021" w:type="pct"/>
            <w:gridSpan w:val="2"/>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468"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pPr>
              <w:pStyle w:val="47"/>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5000" w:type="pct"/>
            <w:gridSpan w:val="4"/>
            <w:vAlign w:val="center"/>
          </w:tcPr>
          <w:p>
            <w:pPr>
              <w:pStyle w:val="47"/>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7" w:name="_Toc217446104"/>
      <w:bookmarkStart w:id="158" w:name="_Toc183682422"/>
      <w:bookmarkStart w:id="159" w:name="_Toc183582287"/>
    </w:p>
    <w:bookmarkEnd w:id="157"/>
    <w:bookmarkEnd w:id="158"/>
    <w:bookmarkEnd w:id="159"/>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pPr>
        <w:pStyle w:val="41"/>
        <w:pageBreakBefore w:val="0"/>
        <w:kinsoku/>
        <w:wordWrap/>
        <w:overflowPunct/>
        <w:topLinePunct w:val="0"/>
        <w:autoSpaceDE/>
        <w:autoSpaceDN/>
        <w:bidi w:val="0"/>
        <w:adjustRightInd/>
        <w:spacing w:line="38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3.6编写评标报告。评标报告是评标委员会根据评标委员成员签字的原始评标记录和评标结果编写的报告，其主要内容包括：</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（2）参与竞争的的投标人名单和评标委员会成员名单；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bookmarkStart w:id="160" w:name="_Toc217446103"/>
      <w:r>
        <w:rPr>
          <w:rFonts w:hint="eastAsia" w:ascii="宋体" w:hAnsi="宋体" w:eastAsia="宋体" w:cs="宋体"/>
          <w:color w:val="auto"/>
          <w:sz w:val="24"/>
          <w:szCs w:val="24"/>
          <w:highlight w:val="none"/>
        </w:rPr>
        <w:t>4. 评标细则及标准</w:t>
      </w:r>
      <w:bookmarkEnd w:id="160"/>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4.4评标细则及标准的制定以科学合理、降低评标委员会自由裁量权为原则。</w:t>
      </w:r>
    </w:p>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4.5评标委员会将按照下述评分标准对通过符合性审查的投标文件进行详细评标，投标人评标得分等于所有评委评分的算术平均值，结果保留两位小数。</w:t>
      </w:r>
    </w:p>
    <w:p>
      <w:pPr>
        <w:pStyle w:val="14"/>
        <w:tabs>
          <w:tab w:val="left" w:pos="600"/>
        </w:tabs>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评审因素权重表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3</w:t>
            </w:r>
            <w:r>
              <w:rPr>
                <w:rFonts w:hint="eastAsia" w:ascii="宋体" w:hAnsi="宋体" w:eastAsia="宋体" w:cs="宋体"/>
                <w:color w:val="auto"/>
                <w:spacing w:val="6"/>
                <w:kern w:val="0"/>
                <w:sz w:val="24"/>
                <w:szCs w:val="24"/>
                <w:highlight w:val="none"/>
              </w:rPr>
              <w:t>0%</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7</w:t>
            </w:r>
            <w:r>
              <w:rPr>
                <w:rFonts w:hint="eastAsia" w:ascii="宋体" w:hAnsi="宋体" w:eastAsia="宋体" w:cs="宋体"/>
                <w:color w:val="auto"/>
                <w:spacing w:val="6"/>
                <w:kern w:val="0"/>
                <w:sz w:val="24"/>
                <w:szCs w:val="24"/>
                <w:highlight w:val="none"/>
              </w:rPr>
              <w:t>0%</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pPr>
        <w:pStyle w:val="14"/>
        <w:tabs>
          <w:tab w:val="left" w:pos="600"/>
        </w:tabs>
        <w:spacing w:line="360" w:lineRule="auto"/>
        <w:ind w:firstLine="0"/>
        <w:jc w:val="center"/>
        <w:rPr>
          <w:rFonts w:hint="eastAsia" w:ascii="宋体" w:hAnsi="宋体" w:eastAsia="宋体" w:cs="宋体"/>
          <w:b/>
          <w:bCs/>
          <w:color w:val="auto"/>
          <w:sz w:val="24"/>
          <w:szCs w:val="24"/>
          <w:highlight w:val="none"/>
        </w:rPr>
      </w:pPr>
    </w:p>
    <w:p>
      <w:pPr>
        <w:pStyle w:val="14"/>
        <w:tabs>
          <w:tab w:val="left" w:pos="600"/>
        </w:tabs>
        <w:spacing w:line="360" w:lineRule="auto"/>
        <w:ind w:firstLine="0"/>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b/>
          <w:bCs/>
          <w:color w:val="auto"/>
          <w:sz w:val="24"/>
          <w:szCs w:val="24"/>
          <w:highlight w:val="none"/>
        </w:rPr>
        <w:t>技术、商务部分评审标准（</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0分）</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7"/>
        <w:gridCol w:w="992"/>
        <w:gridCol w:w="63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157" w:type="dxa"/>
            <w:tcBorders>
              <w:lef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评审因素</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分值 </w:t>
            </w:r>
          </w:p>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w:t>
            </w:r>
            <w:r>
              <w:rPr>
                <w:rFonts w:hint="eastAsia" w:ascii="宋体" w:hAnsi="宋体" w:cs="宋体"/>
                <w:b w:val="0"/>
                <w:bCs/>
                <w:color w:val="auto"/>
                <w:sz w:val="24"/>
                <w:szCs w:val="24"/>
                <w:highlight w:val="none"/>
                <w:shd w:val="clear" w:color="auto" w:fill="auto"/>
                <w:lang w:val="en-US" w:eastAsia="zh-CN"/>
              </w:rPr>
              <w:t>70</w:t>
            </w:r>
            <w:r>
              <w:rPr>
                <w:rFonts w:hint="eastAsia" w:ascii="宋体" w:hAnsi="宋体" w:eastAsia="宋体" w:cs="宋体"/>
                <w:b w:val="0"/>
                <w:bCs/>
                <w:color w:val="auto"/>
                <w:sz w:val="24"/>
                <w:szCs w:val="24"/>
                <w:highlight w:val="none"/>
                <w:shd w:val="clear" w:color="auto" w:fill="auto"/>
              </w:rPr>
              <w:t>分）</w:t>
            </w:r>
          </w:p>
        </w:tc>
        <w:tc>
          <w:tcPr>
            <w:tcW w:w="6334"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1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lang w:eastAsia="zh-CN"/>
              </w:rPr>
              <w:t>业</w:t>
            </w:r>
            <w:r>
              <w:rPr>
                <w:rFonts w:hint="eastAsia" w:ascii="宋体" w:hAnsi="宋体" w:eastAsia="宋体" w:cs="宋体"/>
                <w:b w:val="0"/>
                <w:bCs/>
                <w:color w:val="auto"/>
                <w:sz w:val="24"/>
                <w:szCs w:val="24"/>
                <w:highlight w:val="none"/>
                <w:shd w:val="clear" w:color="auto" w:fill="auto"/>
              </w:rPr>
              <w:t>绩</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cs="宋体"/>
                <w:b w:val="0"/>
                <w:bCs/>
                <w:color w:val="auto"/>
                <w:sz w:val="24"/>
                <w:szCs w:val="24"/>
                <w:highlight w:val="none"/>
                <w:shd w:val="clear" w:color="auto" w:fill="auto"/>
                <w:lang w:val="en-US" w:eastAsia="zh-CN"/>
              </w:rPr>
              <w:t>10</w:t>
            </w:r>
            <w:r>
              <w:rPr>
                <w:rFonts w:hint="eastAsia" w:ascii="宋体" w:hAnsi="宋体" w:eastAsia="宋体" w:cs="宋体"/>
                <w:b w:val="0"/>
                <w:bCs/>
                <w:color w:val="auto"/>
                <w:sz w:val="24"/>
                <w:szCs w:val="24"/>
                <w:highlight w:val="none"/>
                <w:shd w:val="clear" w:color="auto" w:fill="auto"/>
                <w:lang w:val="en-US" w:eastAsia="zh-CN"/>
              </w:rPr>
              <w:t>分</w:t>
            </w:r>
          </w:p>
        </w:tc>
        <w:tc>
          <w:tcPr>
            <w:tcW w:w="6334"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根据</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提供近三年（</w:t>
            </w:r>
            <w:r>
              <w:rPr>
                <w:rFonts w:hint="eastAsia" w:ascii="宋体" w:hAnsi="宋体" w:eastAsia="宋体" w:cs="宋体"/>
                <w:b w:val="0"/>
                <w:bCs/>
                <w:color w:val="auto"/>
                <w:sz w:val="24"/>
                <w:szCs w:val="24"/>
                <w:highlight w:val="none"/>
                <w:shd w:val="clear" w:color="auto" w:fill="auto"/>
                <w:lang w:eastAsia="zh-CN"/>
              </w:rPr>
              <w:t>2020</w:t>
            </w:r>
            <w:r>
              <w:rPr>
                <w:rFonts w:hint="eastAsia" w:ascii="宋体" w:hAnsi="宋体" w:eastAsia="宋体" w:cs="宋体"/>
                <w:b w:val="0"/>
                <w:bCs/>
                <w:color w:val="auto"/>
                <w:sz w:val="24"/>
                <w:szCs w:val="24"/>
                <w:highlight w:val="none"/>
                <w:shd w:val="clear" w:color="auto" w:fill="auto"/>
              </w:rPr>
              <w:t>年01月01日-至今</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业绩认定日期以</w:t>
            </w:r>
            <w:r>
              <w:rPr>
                <w:rFonts w:hint="eastAsia" w:ascii="宋体" w:hAnsi="宋体" w:eastAsia="宋体" w:cs="宋体"/>
                <w:b w:val="0"/>
                <w:bCs/>
                <w:color w:val="auto"/>
                <w:sz w:val="24"/>
                <w:szCs w:val="24"/>
                <w:highlight w:val="none"/>
                <w:shd w:val="clear" w:color="auto" w:fill="auto"/>
                <w:lang w:val="en-US" w:eastAsia="zh-CN"/>
              </w:rPr>
              <w:t>合同签订日期</w:t>
            </w:r>
            <w:r>
              <w:rPr>
                <w:rFonts w:hint="eastAsia" w:ascii="宋体" w:hAnsi="宋体" w:eastAsia="宋体" w:cs="宋体"/>
                <w:b w:val="0"/>
                <w:bCs/>
                <w:color w:val="auto"/>
                <w:sz w:val="24"/>
                <w:szCs w:val="24"/>
                <w:highlight w:val="none"/>
                <w:shd w:val="clear" w:color="auto" w:fill="auto"/>
              </w:rPr>
              <w:t>为准）类似业绩进行评分，1项得</w:t>
            </w:r>
            <w:r>
              <w:rPr>
                <w:rFonts w:hint="eastAsia" w:ascii="宋体" w:hAnsi="宋体" w:cs="宋体"/>
                <w:b w:val="0"/>
                <w:bCs/>
                <w:color w:val="auto"/>
                <w:sz w:val="24"/>
                <w:szCs w:val="24"/>
                <w:highlight w:val="none"/>
                <w:shd w:val="clear" w:color="auto" w:fill="auto"/>
                <w:lang w:val="en-US" w:eastAsia="zh-CN"/>
              </w:rPr>
              <w:t>2</w:t>
            </w:r>
            <w:r>
              <w:rPr>
                <w:rFonts w:hint="eastAsia" w:ascii="宋体" w:hAnsi="宋体" w:eastAsia="宋体" w:cs="宋体"/>
                <w:b w:val="0"/>
                <w:bCs/>
                <w:color w:val="auto"/>
                <w:sz w:val="24"/>
                <w:szCs w:val="24"/>
                <w:highlight w:val="none"/>
                <w:shd w:val="clear" w:color="auto" w:fill="auto"/>
              </w:rPr>
              <w:t>分，最高得</w:t>
            </w:r>
            <w:r>
              <w:rPr>
                <w:rFonts w:hint="eastAsia" w:ascii="宋体" w:hAnsi="宋体" w:cs="宋体"/>
                <w:b w:val="0"/>
                <w:bCs/>
                <w:color w:val="auto"/>
                <w:sz w:val="24"/>
                <w:szCs w:val="24"/>
                <w:highlight w:val="none"/>
                <w:shd w:val="clear" w:color="auto" w:fill="auto"/>
                <w:lang w:val="en-US" w:eastAsia="zh-CN"/>
              </w:rPr>
              <w:t>10</w:t>
            </w:r>
            <w:r>
              <w:rPr>
                <w:rFonts w:hint="eastAsia" w:ascii="宋体" w:hAnsi="宋体" w:eastAsia="宋体" w:cs="宋体"/>
                <w:b w:val="0"/>
                <w:bCs/>
                <w:color w:val="auto"/>
                <w:sz w:val="24"/>
                <w:szCs w:val="24"/>
                <w:highlight w:val="none"/>
                <w:shd w:val="clear" w:color="auto" w:fill="auto"/>
              </w:rPr>
              <w:t>分。</w:t>
            </w:r>
          </w:p>
          <w:p>
            <w:pPr>
              <w:pStyle w:val="47"/>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cs="宋体"/>
                <w:color w:val="auto"/>
                <w:sz w:val="24"/>
                <w:szCs w:val="24"/>
                <w:highlight w:val="none"/>
              </w:rPr>
              <w:t>须提供合同（至少包括合同首页、标的页、签字盖章页、服务内容页）彩色扫描件等证明材料</w:t>
            </w:r>
            <w:r>
              <w:rPr>
                <w:rFonts w:hint="eastAsia" w:ascii="宋体" w:hAnsi="宋体" w:eastAsia="宋体" w:cs="宋体"/>
                <w:b w:val="0"/>
                <w:bCs/>
                <w:color w:val="auto"/>
                <w:sz w:val="24"/>
                <w:szCs w:val="24"/>
                <w:highlight w:val="none"/>
                <w:shd w:val="clear" w:color="auto" w:fil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pacing w:val="-9"/>
                <w:sz w:val="24"/>
                <w:szCs w:val="24"/>
                <w:highlight w:val="none"/>
              </w:rPr>
              <w:t>服务保障的符合程度</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cs="宋体"/>
                <w:b w:val="0"/>
                <w:bCs/>
                <w:color w:val="auto"/>
                <w:sz w:val="24"/>
                <w:szCs w:val="24"/>
                <w:highlight w:val="none"/>
                <w:shd w:val="clear" w:color="auto" w:fill="auto"/>
                <w:lang w:val="en-US" w:eastAsia="zh-CN"/>
              </w:rPr>
              <w:t>45</w:t>
            </w:r>
            <w:r>
              <w:rPr>
                <w:rFonts w:hint="eastAsia" w:ascii="宋体" w:hAnsi="宋体" w:eastAsia="宋体" w:cs="宋体"/>
                <w:b w:val="0"/>
                <w:bCs/>
                <w:color w:val="auto"/>
                <w:sz w:val="24"/>
                <w:szCs w:val="24"/>
                <w:highlight w:val="none"/>
                <w:shd w:val="clear" w:color="auto" w:fill="auto"/>
                <w:lang w:val="en-US" w:eastAsia="zh-CN"/>
              </w:rPr>
              <w:t>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“★”代表关键指标，不满足该指标项将导致响应被拒绝</w:t>
            </w:r>
            <w:r>
              <w:rPr>
                <w:rFonts w:hint="eastAsia" w:ascii="宋体" w:hAnsi="宋体" w:cs="宋体"/>
                <w:b/>
                <w:bCs/>
                <w:color w:val="auto"/>
                <w:sz w:val="24"/>
                <w:szCs w:val="24"/>
                <w:highlight w:val="none"/>
                <w:lang w:val="en-US" w:eastAsia="zh-CN"/>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eastAsia="zh-CN"/>
              </w:rPr>
              <w:t>招标项目技术要求</w:t>
            </w:r>
            <w:r>
              <w:rPr>
                <w:rFonts w:hint="eastAsia" w:ascii="宋体" w:hAnsi="宋体" w:eastAsia="宋体" w:cs="宋体"/>
                <w:b/>
                <w:bCs/>
                <w:color w:val="auto"/>
                <w:kern w:val="2"/>
                <w:sz w:val="24"/>
                <w:szCs w:val="24"/>
                <w:highlight w:val="none"/>
                <w:lang w:val="en-US" w:eastAsia="zh-CN"/>
              </w:rPr>
              <w:t>中</w:t>
            </w:r>
            <w:r>
              <w:rPr>
                <w:rFonts w:hint="eastAsia" w:ascii="宋体" w:hAnsi="宋体" w:cs="宋体"/>
                <w:b w:val="0"/>
                <w:bCs/>
                <w:color w:val="auto"/>
                <w:kern w:val="2"/>
                <w:sz w:val="24"/>
                <w:szCs w:val="24"/>
                <w:highlight w:val="none"/>
                <w:lang w:val="en-US" w:eastAsia="zh-CN" w:bidi="ar-SA"/>
              </w:rPr>
              <w:t>“</w:t>
            </w:r>
            <w:r>
              <w:rPr>
                <w:rFonts w:hint="eastAsia" w:ascii="仿宋" w:hAnsi="仿宋" w:eastAsia="仿宋" w:cs="仿宋"/>
                <w:sz w:val="24"/>
                <w:szCs w:val="21"/>
              </w:rPr>
              <w:t>▲</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号的技术参数</w:t>
            </w:r>
            <w:r>
              <w:rPr>
                <w:rFonts w:hint="eastAsia" w:ascii="宋体" w:hAnsi="宋体" w:cs="宋体"/>
                <w:b w:val="0"/>
                <w:bCs/>
                <w:color w:val="auto"/>
                <w:kern w:val="2"/>
                <w:sz w:val="24"/>
                <w:szCs w:val="24"/>
                <w:highlight w:val="none"/>
                <w:lang w:val="en-US" w:eastAsia="zh-CN" w:bidi="ar-SA"/>
              </w:rPr>
              <w:t>满足要求</w:t>
            </w:r>
            <w:r>
              <w:rPr>
                <w:rFonts w:hint="eastAsia" w:ascii="宋体" w:hAnsi="宋体" w:eastAsia="宋体" w:cs="宋体"/>
                <w:b w:val="0"/>
                <w:bCs/>
                <w:color w:val="auto"/>
                <w:kern w:val="2"/>
                <w:sz w:val="24"/>
                <w:szCs w:val="24"/>
                <w:highlight w:val="none"/>
                <w:lang w:val="en-US" w:eastAsia="zh-CN" w:bidi="ar-SA"/>
              </w:rPr>
              <w:t>1项</w:t>
            </w:r>
            <w:r>
              <w:rPr>
                <w:rFonts w:hint="eastAsia" w:ascii="宋体" w:hAnsi="宋体" w:cs="宋体"/>
                <w:b w:val="0"/>
                <w:bCs/>
                <w:color w:val="auto"/>
                <w:kern w:val="2"/>
                <w:sz w:val="24"/>
                <w:szCs w:val="24"/>
                <w:highlight w:val="none"/>
                <w:lang w:val="en-US" w:eastAsia="zh-CN" w:bidi="ar-SA"/>
              </w:rPr>
              <w:t>得3</w:t>
            </w:r>
            <w:r>
              <w:rPr>
                <w:rFonts w:hint="eastAsia" w:ascii="宋体" w:hAnsi="宋体" w:eastAsia="宋体" w:cs="宋体"/>
                <w:b w:val="0"/>
                <w:bCs/>
                <w:color w:val="auto"/>
                <w:kern w:val="2"/>
                <w:sz w:val="24"/>
                <w:szCs w:val="24"/>
                <w:highlight w:val="none"/>
                <w:lang w:val="en-US" w:eastAsia="zh-CN" w:bidi="ar-SA"/>
              </w:rPr>
              <w:t>分</w:t>
            </w:r>
            <w:r>
              <w:rPr>
                <w:rFonts w:hint="eastAsia" w:ascii="宋体" w:hAnsi="宋体" w:cs="宋体"/>
                <w:b w:val="0"/>
                <w:bCs/>
                <w:color w:val="auto"/>
                <w:kern w:val="2"/>
                <w:sz w:val="24"/>
                <w:szCs w:val="24"/>
                <w:highlight w:val="none"/>
                <w:lang w:val="en-US" w:eastAsia="zh-CN" w:bidi="ar-SA"/>
              </w:rPr>
              <w:t>，满分30分</w:t>
            </w:r>
            <w:r>
              <w:rPr>
                <w:rFonts w:hint="eastAsia" w:ascii="宋体" w:hAnsi="宋体" w:eastAsia="宋体" w:cs="宋体"/>
                <w:b w:val="0"/>
                <w:bCs/>
                <w:color w:val="auto"/>
                <w:kern w:val="2"/>
                <w:sz w:val="24"/>
                <w:szCs w:val="24"/>
                <w:highlight w:val="none"/>
                <w:lang w:val="en-US" w:eastAsia="zh-CN" w:bidi="ar-SA"/>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eastAsia="zh-CN"/>
              </w:rPr>
              <w:t>招标项目技术要求</w:t>
            </w:r>
            <w:r>
              <w:rPr>
                <w:rFonts w:hint="eastAsia" w:ascii="宋体" w:hAnsi="宋体" w:eastAsia="宋体" w:cs="宋体"/>
                <w:b/>
                <w:bCs/>
                <w:color w:val="auto"/>
                <w:kern w:val="2"/>
                <w:sz w:val="24"/>
                <w:szCs w:val="24"/>
                <w:highlight w:val="none"/>
                <w:lang w:val="en-US" w:eastAsia="zh-CN"/>
              </w:rPr>
              <w:t>中</w:t>
            </w:r>
            <w:r>
              <w:rPr>
                <w:rFonts w:hint="eastAsia" w:ascii="宋体" w:hAnsi="宋体" w:eastAsia="宋体" w:cs="宋体"/>
                <w:b w:val="0"/>
                <w:bCs/>
                <w:color w:val="auto"/>
                <w:kern w:val="2"/>
                <w:sz w:val="24"/>
                <w:szCs w:val="24"/>
                <w:highlight w:val="none"/>
                <w:lang w:val="en-US" w:eastAsia="zh-CN" w:bidi="ar-SA"/>
              </w:rPr>
              <w:t>带“◆”号技术指标每有一项不满足扣1分，</w:t>
            </w:r>
            <w:r>
              <w:rPr>
                <w:rFonts w:hint="eastAsia" w:ascii="宋体" w:hAnsi="宋体" w:cs="宋体"/>
                <w:b w:val="0"/>
                <w:bCs/>
                <w:color w:val="auto"/>
                <w:kern w:val="2"/>
                <w:sz w:val="24"/>
                <w:szCs w:val="24"/>
                <w:highlight w:val="none"/>
                <w:lang w:val="en-US" w:eastAsia="zh-CN" w:bidi="ar-SA"/>
              </w:rPr>
              <w:t>其余技术参数</w:t>
            </w:r>
            <w:r>
              <w:rPr>
                <w:rFonts w:hint="eastAsia" w:ascii="宋体" w:hAnsi="宋体" w:eastAsia="宋体" w:cs="宋体"/>
                <w:b w:val="0"/>
                <w:bCs/>
                <w:color w:val="auto"/>
                <w:kern w:val="2"/>
                <w:sz w:val="24"/>
                <w:szCs w:val="24"/>
                <w:highlight w:val="none"/>
                <w:lang w:val="en-US" w:eastAsia="zh-CN" w:bidi="ar-SA"/>
              </w:rPr>
              <w:t>每有一项不满足要求的扣0.5分，满分1</w:t>
            </w: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分，扣完为止。</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color w:val="auto"/>
                <w:sz w:val="24"/>
                <w:highlight w:val="none"/>
              </w:rPr>
              <w:t>【</w:t>
            </w:r>
            <w:r>
              <w:rPr>
                <w:rFonts w:hint="eastAsia" w:ascii="宋体" w:hAnsi="宋体" w:eastAsia="宋体" w:cs="宋体"/>
                <w:b w:val="0"/>
                <w:bCs/>
                <w:color w:val="auto"/>
                <w:kern w:val="2"/>
                <w:sz w:val="24"/>
                <w:szCs w:val="24"/>
                <w:highlight w:val="none"/>
                <w:lang w:val="en-US" w:eastAsia="zh-CN" w:bidi="ar-SA"/>
              </w:rPr>
              <w:t>每项</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kern w:val="2"/>
                <w:sz w:val="24"/>
                <w:szCs w:val="24"/>
                <w:highlight w:val="none"/>
                <w:lang w:val="en-US" w:eastAsia="zh-CN" w:bidi="ar-SA"/>
              </w:rPr>
              <w:t>须提供与</w:t>
            </w:r>
            <w:r>
              <w:rPr>
                <w:rFonts w:hint="eastAsia" w:ascii="宋体" w:hAnsi="宋体" w:eastAsia="宋体" w:cs="宋体"/>
                <w:b w:val="0"/>
                <w:bCs/>
                <w:color w:val="auto"/>
                <w:sz w:val="24"/>
                <w:szCs w:val="24"/>
                <w:highlight w:val="none"/>
                <w:lang w:val="en-US" w:eastAsia="zh-CN"/>
              </w:rPr>
              <w:t>服务需求</w:t>
            </w:r>
            <w:r>
              <w:rPr>
                <w:rFonts w:hint="eastAsia" w:ascii="宋体" w:hAnsi="宋体" w:eastAsia="宋体" w:cs="宋体"/>
                <w:b w:val="0"/>
                <w:bCs/>
                <w:color w:val="auto"/>
                <w:kern w:val="2"/>
                <w:sz w:val="24"/>
                <w:szCs w:val="24"/>
                <w:highlight w:val="none"/>
                <w:lang w:val="en-US" w:eastAsia="zh-CN" w:bidi="ar-SA"/>
              </w:rPr>
              <w:t>相应的证明材料</w:t>
            </w:r>
            <w:r>
              <w:rPr>
                <w:rFonts w:hint="eastAsia" w:ascii="宋体" w:hAnsi="宋体" w:eastAsia="宋体" w:cs="宋体"/>
                <w:b w:val="0"/>
                <w:bCs/>
                <w:color w:val="auto"/>
                <w:sz w:val="24"/>
                <w:szCs w:val="24"/>
                <w:highlight w:val="none"/>
                <w:lang w:val="en-US" w:eastAsia="zh-CN"/>
              </w:rPr>
              <w:t>，如供应商承诺书、类似</w:t>
            </w:r>
            <w:r>
              <w:rPr>
                <w:rFonts w:hint="eastAsia" w:ascii="宋体" w:hAnsi="宋体" w:cs="宋体"/>
                <w:b w:val="0"/>
                <w:bCs/>
                <w:color w:val="auto"/>
                <w:sz w:val="24"/>
                <w:szCs w:val="24"/>
                <w:highlight w:val="none"/>
                <w:lang w:val="en-US" w:eastAsia="zh-CN"/>
              </w:rPr>
              <w:t>成果软件操作截图、类似项目方案计划</w:t>
            </w:r>
            <w:r>
              <w:rPr>
                <w:rFonts w:hint="eastAsia" w:ascii="宋体" w:hAnsi="宋体" w:cs="宋体"/>
                <w:bCs/>
                <w:color w:val="auto"/>
                <w:sz w:val="24"/>
                <w:szCs w:val="24"/>
                <w:highlight w:val="none"/>
              </w:rPr>
              <w:t>等</w:t>
            </w:r>
            <w:r>
              <w:rPr>
                <w:rFonts w:hint="eastAsia" w:ascii="宋体" w:hAnsi="宋体" w:cs="宋体"/>
                <w:color w:val="auto"/>
                <w:sz w:val="24"/>
                <w:highlight w:val="none"/>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投标参数不得照抄采购文件参数，照抄按无效标处理。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483" w:type="dxa"/>
            <w:gridSpan w:val="3"/>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shd w:val="clear" w:color="auto" w:fill="auto"/>
                <w:lang w:val="en-US" w:eastAsia="zh-CN"/>
              </w:rPr>
              <w:t>备注：以上须提供合格有效的相关证明材料彩色扫描件，</w:t>
            </w:r>
            <w:r>
              <w:rPr>
                <w:rFonts w:hint="eastAsia" w:ascii="宋体" w:hAnsi="宋体" w:eastAsia="宋体" w:cs="宋体"/>
                <w:b w:val="0"/>
                <w:bCs/>
                <w:color w:val="auto"/>
                <w:sz w:val="24"/>
                <w:szCs w:val="24"/>
                <w:highlight w:val="none"/>
                <w:shd w:val="clear" w:color="auto" w:fill="auto"/>
              </w:rPr>
              <w:t>不完整、不清楚、不准确不得分。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eastAsia" w:ascii="宋体" w:hAnsi="宋体" w:cs="宋体"/>
                <w:color w:val="auto"/>
                <w:sz w:val="24"/>
                <w:szCs w:val="24"/>
                <w:highlight w:val="none"/>
              </w:rPr>
            </w:pPr>
            <w:r>
              <w:rPr>
                <w:rFonts w:hint="eastAsia" w:ascii="宋体" w:hAnsi="宋体" w:cs="宋体"/>
                <w:color w:val="auto"/>
                <w:spacing w:val="6"/>
                <w:kern w:val="0"/>
                <w:sz w:val="24"/>
                <w:szCs w:val="24"/>
                <w:highlight w:val="none"/>
                <w:lang w:val="en-US" w:eastAsia="zh-CN"/>
              </w:rPr>
              <w:t>项目建设</w:t>
            </w:r>
            <w:r>
              <w:rPr>
                <w:rFonts w:hint="eastAsia" w:ascii="宋体" w:hAnsi="宋体" w:eastAsia="宋体" w:cs="宋体"/>
                <w:color w:val="auto"/>
                <w:spacing w:val="6"/>
                <w:kern w:val="0"/>
                <w:sz w:val="24"/>
                <w:szCs w:val="24"/>
                <w:highlight w:val="none"/>
              </w:rPr>
              <w:t>方案</w:t>
            </w:r>
          </w:p>
        </w:tc>
        <w:tc>
          <w:tcPr>
            <w:tcW w:w="992" w:type="dxa"/>
            <w:noWrap w:val="0"/>
            <w:vAlign w:val="center"/>
          </w:tcPr>
          <w:p>
            <w:pPr>
              <w:autoSpaceDE w:val="0"/>
              <w:autoSpaceDN w:val="0"/>
              <w:adjustRightInd w:val="0"/>
              <w:jc w:val="center"/>
              <w:rPr>
                <w:rFonts w:hint="eastAsia" w:ascii="宋体" w:hAnsi="宋体" w:cs="宋体"/>
                <w:color w:val="auto"/>
                <w:sz w:val="24"/>
                <w:szCs w:val="24"/>
                <w:highlight w:val="none"/>
              </w:rPr>
            </w:pPr>
            <w:r>
              <w:rPr>
                <w:rFonts w:hint="eastAsia" w:ascii="宋体" w:hAnsi="宋体" w:eastAsia="宋体" w:cs="宋体"/>
                <w:color w:val="auto"/>
                <w:spacing w:val="6"/>
                <w:kern w:val="0"/>
                <w:sz w:val="24"/>
                <w:szCs w:val="24"/>
                <w:highlight w:val="none"/>
                <w:lang w:val="en-US" w:eastAsia="zh-CN"/>
              </w:rPr>
              <w:t>3</w:t>
            </w:r>
            <w:r>
              <w:rPr>
                <w:rFonts w:hint="eastAsia" w:ascii="宋体" w:hAnsi="宋体" w:eastAsia="宋体" w:cs="宋体"/>
                <w:color w:val="auto"/>
                <w:spacing w:val="6"/>
                <w:kern w:val="0"/>
                <w:sz w:val="24"/>
                <w:szCs w:val="24"/>
                <w:highlight w:val="none"/>
              </w:rPr>
              <w:t>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根据投标人对本项目的建设背景、可行性与必要性、建设目标、建设内容、建设效果等进行了准确、详尽的阐述等情况提供的项目建设方案进行评分</w:t>
            </w:r>
            <w:r>
              <w:rPr>
                <w:rFonts w:hint="eastAsia" w:ascii="宋体" w:hAnsi="宋体" w:eastAsia="宋体" w:cs="宋体"/>
                <w:color w:val="auto"/>
                <w:sz w:val="24"/>
                <w:szCs w:val="24"/>
                <w:highlight w:val="none"/>
                <w:shd w:val="clear" w:color="auto" w:fill="auto"/>
                <w:lang w:val="en-US" w:eastAsia="zh-CN"/>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方案全面、细节合理性强得3分；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方案一般、细节较合理性较强得2分；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方案差、细节较合理性差得1分；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投标文件中未作针对性描述的</w:t>
            </w:r>
            <w:r>
              <w:rPr>
                <w:rFonts w:hint="eastAsia" w:ascii="宋体" w:hAnsi="宋体" w:eastAsia="宋体" w:cs="宋体"/>
                <w:color w:val="auto"/>
                <w:sz w:val="24"/>
                <w:szCs w:val="24"/>
                <w:highlight w:val="none"/>
                <w:shd w:val="clear" w:color="auto" w:fill="auto"/>
                <w:lang w:val="zh-CN" w:eastAsia="zh-CN"/>
              </w:rPr>
              <w:t>得0分</w:t>
            </w:r>
            <w:r>
              <w:rPr>
                <w:rFonts w:hint="eastAsia" w:ascii="宋体" w:hAnsi="宋体" w:eastAsia="宋体" w:cs="宋体"/>
                <w:color w:val="auto"/>
                <w:sz w:val="24"/>
                <w:szCs w:val="24"/>
                <w:highlight w:val="none"/>
                <w:shd w:val="clear" w:color="auto" w:fil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default" w:ascii="宋体" w:hAnsi="宋体" w:eastAsia="宋体" w:cs="宋体"/>
                <w:color w:val="auto"/>
                <w:spacing w:val="6"/>
                <w:kern w:val="0"/>
                <w:sz w:val="24"/>
                <w:szCs w:val="24"/>
                <w:highlight w:val="none"/>
                <w:lang w:val="en-US" w:eastAsia="zh-CN"/>
              </w:rPr>
            </w:pPr>
            <w:r>
              <w:rPr>
                <w:rFonts w:hint="eastAsia" w:ascii="宋体" w:hAnsi="宋体" w:cs="宋体"/>
                <w:sz w:val="24"/>
                <w:szCs w:val="21"/>
                <w:lang w:val="en-US" w:eastAsia="zh-CN"/>
              </w:rPr>
              <w:t>项目实施措施</w:t>
            </w:r>
          </w:p>
        </w:tc>
        <w:tc>
          <w:tcPr>
            <w:tcW w:w="992" w:type="dxa"/>
            <w:noWrap w:val="0"/>
            <w:vAlign w:val="center"/>
          </w:tcPr>
          <w:p>
            <w:pPr>
              <w:autoSpaceDE w:val="0"/>
              <w:autoSpaceDN w:val="0"/>
              <w:adjustRightInd w:val="0"/>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根据投标人提供的</w:t>
            </w:r>
            <w:r>
              <w:rPr>
                <w:rFonts w:hint="eastAsia" w:ascii="宋体" w:hAnsi="宋体" w:cs="宋体"/>
                <w:sz w:val="24"/>
                <w:szCs w:val="21"/>
                <w:lang w:val="en-US" w:eastAsia="zh-CN"/>
              </w:rPr>
              <w:t>项目实施措施</w:t>
            </w:r>
            <w:r>
              <w:rPr>
                <w:rFonts w:hint="eastAsia" w:ascii="宋体" w:hAnsi="宋体" w:eastAsia="宋体" w:cs="宋体"/>
                <w:sz w:val="24"/>
                <w:szCs w:val="21"/>
                <w:lang w:val="en-US" w:eastAsia="zh-CN"/>
              </w:rPr>
              <w:t>中</w:t>
            </w:r>
            <w:r>
              <w:rPr>
                <w:rFonts w:hint="eastAsia" w:ascii="宋体" w:hAnsi="宋体" w:eastAsia="宋体" w:cs="宋体"/>
                <w:sz w:val="24"/>
                <w:szCs w:val="21"/>
              </w:rPr>
              <w:t>时间规划、供货安装计划、团队配置及验收标准要素进行</w:t>
            </w:r>
            <w:r>
              <w:rPr>
                <w:rFonts w:hint="eastAsia" w:ascii="宋体" w:hAnsi="宋体" w:eastAsia="宋体" w:cs="宋体"/>
                <w:sz w:val="24"/>
                <w:szCs w:val="21"/>
                <w:lang w:val="en-US" w:eastAsia="zh-CN"/>
              </w:rPr>
              <w:t>评分：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方案全面、细节合理性强得3分；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方案一般、细节较合理性较强得2分；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方案差、细节较合理性差得1分；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投标文件中未作针对性描述的</w:t>
            </w:r>
            <w:r>
              <w:rPr>
                <w:rFonts w:hint="eastAsia" w:ascii="宋体" w:hAnsi="宋体" w:eastAsia="宋体" w:cs="宋体"/>
                <w:color w:val="auto"/>
                <w:sz w:val="24"/>
                <w:szCs w:val="24"/>
                <w:highlight w:val="none"/>
                <w:shd w:val="clear" w:color="auto" w:fill="auto"/>
                <w:lang w:val="zh-CN" w:eastAsia="zh-CN"/>
              </w:rPr>
              <w:t>得0分</w:t>
            </w:r>
            <w:r>
              <w:rPr>
                <w:rFonts w:hint="eastAsia" w:ascii="宋体" w:hAnsi="宋体" w:eastAsia="宋体" w:cs="宋体"/>
                <w:color w:val="auto"/>
                <w:sz w:val="24"/>
                <w:szCs w:val="24"/>
                <w:highlight w:val="none"/>
                <w:shd w:val="clear" w:color="auto" w:fil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eastAsia" w:ascii="宋体" w:hAnsi="宋体" w:eastAsia="宋体" w:cs="宋体"/>
                <w:sz w:val="24"/>
                <w:szCs w:val="21"/>
              </w:rPr>
            </w:pPr>
            <w:r>
              <w:rPr>
                <w:rFonts w:hint="eastAsia" w:ascii="宋体" w:hAnsi="宋体" w:eastAsia="宋体" w:cs="宋体"/>
                <w:sz w:val="24"/>
                <w:szCs w:val="21"/>
              </w:rPr>
              <w:t>运营方案</w:t>
            </w:r>
          </w:p>
        </w:tc>
        <w:tc>
          <w:tcPr>
            <w:tcW w:w="992" w:type="dxa"/>
            <w:noWrap w:val="0"/>
            <w:vAlign w:val="center"/>
          </w:tcPr>
          <w:p>
            <w:pPr>
              <w:autoSpaceDE w:val="0"/>
              <w:autoSpaceDN w:val="0"/>
              <w:adjustRightInd w:val="0"/>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根据投标人提供的运营方案中</w:t>
            </w:r>
            <w:r>
              <w:rPr>
                <w:rFonts w:hint="eastAsia" w:ascii="宋体" w:hAnsi="宋体" w:eastAsia="宋体" w:cs="宋体"/>
                <w:sz w:val="24"/>
                <w:szCs w:val="21"/>
              </w:rPr>
              <w:t>建设依据、指导思想、应用路径、活动清单、应用效果</w:t>
            </w:r>
            <w:r>
              <w:rPr>
                <w:rFonts w:hint="eastAsia" w:ascii="宋体" w:hAnsi="宋体" w:eastAsia="宋体" w:cs="宋体"/>
                <w:sz w:val="24"/>
                <w:szCs w:val="21"/>
                <w:lang w:val="en-US" w:eastAsia="zh-CN"/>
              </w:rPr>
              <w:t>等进行评分：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方案全面、细节合理性强得3分；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方案一般、细节较合理性较强得2分；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方案差、细节较合理性差得1分；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1"/>
                <w:lang w:val="en-US" w:eastAsia="zh-CN"/>
              </w:rPr>
            </w:pPr>
            <w:r>
              <w:rPr>
                <w:rFonts w:hint="eastAsia" w:ascii="宋体" w:hAnsi="宋体" w:eastAsia="宋体" w:cs="宋体"/>
                <w:color w:val="auto"/>
                <w:sz w:val="24"/>
                <w:szCs w:val="24"/>
                <w:highlight w:val="none"/>
                <w:shd w:val="clear" w:color="auto" w:fill="auto"/>
                <w:lang w:val="en-US" w:eastAsia="zh-CN"/>
              </w:rPr>
              <w:t>投标文件中未作针对性描述的</w:t>
            </w:r>
            <w:r>
              <w:rPr>
                <w:rFonts w:hint="eastAsia" w:ascii="宋体" w:hAnsi="宋体" w:eastAsia="宋体" w:cs="宋体"/>
                <w:color w:val="auto"/>
                <w:sz w:val="24"/>
                <w:szCs w:val="24"/>
                <w:highlight w:val="none"/>
                <w:shd w:val="clear" w:color="auto" w:fill="auto"/>
                <w:lang w:val="zh-CN" w:eastAsia="zh-CN"/>
              </w:rPr>
              <w:t>得0分</w:t>
            </w:r>
            <w:r>
              <w:rPr>
                <w:rFonts w:hint="eastAsia" w:ascii="宋体" w:hAnsi="宋体" w:eastAsia="宋体" w:cs="宋体"/>
                <w:color w:val="auto"/>
                <w:sz w:val="24"/>
                <w:szCs w:val="24"/>
                <w:highlight w:val="none"/>
                <w:shd w:val="clear" w:color="auto" w:fil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售后服务方案</w:t>
            </w:r>
          </w:p>
        </w:tc>
        <w:tc>
          <w:tcPr>
            <w:tcW w:w="99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3分</w:t>
            </w:r>
          </w:p>
        </w:tc>
        <w:tc>
          <w:tcPr>
            <w:tcW w:w="6334" w:type="dxa"/>
            <w:noWrap w:val="0"/>
            <w:vAlign w:val="center"/>
          </w:tcPr>
          <w:p>
            <w:pPr>
              <w:widowControl/>
              <w:numPr>
                <w:ilvl w:val="0"/>
                <w:numId w:val="0"/>
              </w:numPr>
              <w:ind w:leftChars="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根据投标人提供的</w:t>
            </w:r>
            <w:r>
              <w:rPr>
                <w:rFonts w:hint="eastAsia" w:ascii="宋体" w:hAnsi="宋体" w:eastAsia="宋体" w:cs="宋体"/>
                <w:sz w:val="24"/>
                <w:szCs w:val="21"/>
              </w:rPr>
              <w:t>售后服务方案</w:t>
            </w:r>
            <w:r>
              <w:rPr>
                <w:rFonts w:hint="eastAsia" w:ascii="宋体" w:hAnsi="宋体" w:eastAsia="宋体" w:cs="宋体"/>
                <w:sz w:val="24"/>
                <w:szCs w:val="21"/>
                <w:lang w:val="en-US" w:eastAsia="zh-CN"/>
              </w:rPr>
              <w:t>中</w:t>
            </w:r>
            <w:r>
              <w:rPr>
                <w:rFonts w:hint="eastAsia" w:ascii="宋体" w:hAnsi="宋体" w:eastAsia="宋体" w:cs="宋体"/>
                <w:sz w:val="24"/>
                <w:szCs w:val="21"/>
              </w:rPr>
              <w:t>售后服务计划、服务内容、企业状况、团队配置及拓展服务等方面</w:t>
            </w:r>
            <w:r>
              <w:rPr>
                <w:rFonts w:hint="eastAsia" w:ascii="宋体" w:hAnsi="宋体" w:eastAsia="宋体" w:cs="宋体"/>
                <w:color w:val="auto"/>
                <w:sz w:val="24"/>
                <w:highlight w:val="none"/>
              </w:rPr>
              <w:t>进行评分</w:t>
            </w:r>
            <w:r>
              <w:rPr>
                <w:rFonts w:hint="eastAsia" w:ascii="宋体" w:hAnsi="宋体" w:eastAsia="宋体" w:cs="宋体"/>
                <w:color w:val="auto"/>
                <w:sz w:val="24"/>
                <w:highlight w:val="none"/>
                <w:lang w:eastAsia="zh-CN"/>
              </w:rPr>
              <w:t>：</w:t>
            </w:r>
          </w:p>
          <w:p>
            <w:pPr>
              <w:widowControl/>
              <w:numPr>
                <w:ilvl w:val="0"/>
                <w:numId w:val="0"/>
              </w:numPr>
              <w:ind w:leftChars="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方案全面、切实可行、科学先进且符合实际操作得3分；</w:t>
            </w:r>
          </w:p>
          <w:p>
            <w:pPr>
              <w:widowControl/>
              <w:ind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方案基本全面、切实可行，科学先进且基本符合实际操作得2分；</w:t>
            </w:r>
          </w:p>
          <w:p>
            <w:pPr>
              <w:widowControl/>
              <w:ind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方案不够全面、基本可行，不够科学先进且不符合实际操作得1分。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投标文件中未作针对性描述的</w:t>
            </w:r>
            <w:r>
              <w:rPr>
                <w:rFonts w:hint="eastAsia" w:ascii="宋体" w:hAnsi="宋体" w:eastAsia="宋体" w:cs="宋体"/>
                <w:color w:val="auto"/>
                <w:sz w:val="24"/>
                <w:highlight w:val="none"/>
                <w:lang w:val="zh-CN"/>
              </w:rPr>
              <w:t>得0分</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eastAsia="en-US"/>
              </w:rPr>
              <w:t>培训方案</w:t>
            </w:r>
          </w:p>
        </w:tc>
        <w:tc>
          <w:tcPr>
            <w:tcW w:w="99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6334" w:type="dxa"/>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根据投标人提供的</w:t>
            </w:r>
            <w:r>
              <w:rPr>
                <w:rFonts w:hint="eastAsia" w:ascii="宋体" w:hAnsi="宋体" w:eastAsia="宋体" w:cs="宋体"/>
                <w:color w:val="auto"/>
                <w:sz w:val="24"/>
                <w:highlight w:val="none"/>
              </w:rPr>
              <w:t>培训方案</w:t>
            </w:r>
            <w:r>
              <w:rPr>
                <w:rFonts w:hint="eastAsia" w:ascii="宋体" w:hAnsi="宋体" w:cs="宋体"/>
                <w:color w:val="auto"/>
                <w:sz w:val="24"/>
                <w:highlight w:val="none"/>
                <w:lang w:val="en-US" w:eastAsia="zh-CN"/>
              </w:rPr>
              <w:t>中培训需求、培训目的、培训策略、培训对象、流程管理、培训计划、培训大纲等方面</w:t>
            </w:r>
            <w:r>
              <w:rPr>
                <w:rFonts w:hint="eastAsia" w:ascii="宋体" w:hAnsi="宋体" w:eastAsia="宋体" w:cs="宋体"/>
                <w:color w:val="auto"/>
                <w:sz w:val="24"/>
                <w:highlight w:val="none"/>
              </w:rPr>
              <w:t>进行评分：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培训方案内容全面、思路清晰，设计合理得3分；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培训方案内容较全面，但不够细致，设计简单得2分；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培训方案内容一般，无细节处理，基本不适用于本项目服务需求得1分；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投标文件中未作针对性描述的</w:t>
            </w:r>
            <w:r>
              <w:rPr>
                <w:rFonts w:hint="eastAsia" w:ascii="宋体" w:hAnsi="宋体" w:eastAsia="宋体" w:cs="宋体"/>
                <w:color w:val="auto"/>
                <w:sz w:val="24"/>
                <w:highlight w:val="none"/>
                <w:lang w:val="zh-CN"/>
              </w:rPr>
              <w:t>得0分</w:t>
            </w:r>
            <w:r>
              <w:rPr>
                <w:rFonts w:hint="eastAsia" w:ascii="宋体" w:hAnsi="宋体" w:eastAsia="宋体" w:cs="宋体"/>
                <w:color w:val="auto"/>
                <w:sz w:val="24"/>
                <w:highlight w:val="none"/>
              </w:rPr>
              <w:t>。</w:t>
            </w:r>
          </w:p>
        </w:tc>
      </w:tr>
    </w:tbl>
    <w:p>
      <w:pPr>
        <w:pStyle w:val="14"/>
        <w:tabs>
          <w:tab w:val="left" w:pos="600"/>
        </w:tabs>
        <w:spacing w:line="360" w:lineRule="auto"/>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4"/>
        <w:tabs>
          <w:tab w:val="left" w:pos="600"/>
        </w:tabs>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57"/>
        <w:gridCol w:w="1104"/>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975" w:type="pct"/>
            <w:gridSpan w:val="2"/>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3698" w:type="pct"/>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restart"/>
            <w:vAlign w:val="center"/>
          </w:tcPr>
          <w:p>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975" w:type="pct"/>
            <w:gridSpan w:val="2"/>
            <w:vMerge w:val="restart"/>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3698" w:type="pct"/>
            <w:vAlign w:val="center"/>
          </w:tcPr>
          <w:p>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评标基准价即满足招标文件要求且投标价格最低的投标报价。</w:t>
            </w:r>
          </w:p>
          <w:p>
            <w:pPr>
              <w:autoSpaceDE w:val="0"/>
              <w:autoSpaceDN w:val="0"/>
              <w:adjustRightIn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投标报价得分=（评标基准价/投标报价）×</w:t>
            </w:r>
            <w:r>
              <w:rPr>
                <w:rFonts w:hint="eastAsia" w:ascii="宋体" w:hAnsi="宋体" w:cs="宋体"/>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continue"/>
            <w:vAlign w:val="center"/>
          </w:tcPr>
          <w:p>
            <w:pPr>
              <w:autoSpaceDE w:val="0"/>
              <w:autoSpaceDN w:val="0"/>
              <w:adjustRightInd w:val="0"/>
              <w:jc w:val="center"/>
              <w:rPr>
                <w:rFonts w:hint="eastAsia" w:ascii="宋体" w:hAnsi="宋体" w:eastAsia="宋体" w:cs="宋体"/>
                <w:bCs/>
                <w:color w:val="auto"/>
                <w:sz w:val="24"/>
                <w:szCs w:val="24"/>
                <w:highlight w:val="none"/>
                <w:lang w:val="zh-CN"/>
              </w:rPr>
            </w:pPr>
          </w:p>
        </w:tc>
        <w:tc>
          <w:tcPr>
            <w:tcW w:w="975" w:type="pct"/>
            <w:gridSpan w:val="2"/>
            <w:vMerge w:val="continue"/>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3698" w:type="pct"/>
            <w:vAlign w:val="center"/>
          </w:tcPr>
          <w:p>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7" w:type="pct"/>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647" w:type="pct"/>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3698" w:type="pct"/>
            <w:vAlign w:val="center"/>
          </w:tcPr>
          <w:p>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号），按照本次采购标的所属行业的划型标准，本项目为专门面向中小企业采购的项目，投标人所投产品生产厂家应均为中小微企业或监狱企业或残疾人福利性单位。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26" w:type="pct"/>
            <w:vMerge w:val="continue"/>
            <w:vAlign w:val="center"/>
          </w:tcPr>
          <w:p>
            <w:pPr>
              <w:jc w:val="center"/>
              <w:rPr>
                <w:rFonts w:hint="eastAsia" w:ascii="宋体" w:hAnsi="宋体" w:eastAsia="宋体" w:cs="宋体"/>
                <w:color w:val="auto"/>
                <w:sz w:val="24"/>
                <w:szCs w:val="24"/>
                <w:highlight w:val="none"/>
              </w:rPr>
            </w:pPr>
          </w:p>
        </w:tc>
        <w:tc>
          <w:tcPr>
            <w:tcW w:w="327" w:type="pct"/>
            <w:vMerge w:val="continue"/>
            <w:vAlign w:val="center"/>
          </w:tcPr>
          <w:p>
            <w:pPr>
              <w:jc w:val="center"/>
              <w:rPr>
                <w:rFonts w:hint="eastAsia" w:ascii="宋体" w:hAnsi="宋体" w:eastAsia="宋体" w:cs="宋体"/>
                <w:color w:val="auto"/>
                <w:sz w:val="24"/>
                <w:szCs w:val="24"/>
                <w:highlight w:val="none"/>
              </w:rPr>
            </w:pPr>
          </w:p>
        </w:tc>
        <w:tc>
          <w:tcPr>
            <w:tcW w:w="647" w:type="pct"/>
            <w:vMerge w:val="continue"/>
            <w:vAlign w:val="center"/>
          </w:tcPr>
          <w:p>
            <w:pPr>
              <w:jc w:val="center"/>
              <w:rPr>
                <w:rFonts w:hint="eastAsia" w:ascii="宋体" w:hAnsi="宋体" w:eastAsia="宋体" w:cs="宋体"/>
                <w:color w:val="auto"/>
                <w:sz w:val="24"/>
                <w:szCs w:val="24"/>
                <w:highlight w:val="none"/>
              </w:rPr>
            </w:pPr>
          </w:p>
        </w:tc>
        <w:tc>
          <w:tcPr>
            <w:tcW w:w="3698" w:type="pct"/>
            <w:vAlign w:val="center"/>
          </w:tcPr>
          <w:p>
            <w:pPr>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shd w:val="clear" w:color="auto" w:fill="auto"/>
                <w:lang w:val="en-US" w:eastAsia="zh-CN"/>
              </w:rPr>
              <w:t>本项目为专门面向中小企业（含中型、小型、微型企业）采购项目，根据《政府采购促进中小企业发展管理办法》（财库[2020]46 号）的规定，不再执行价格评审优惠的扶持政策；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pPr>
              <w:jc w:val="center"/>
              <w:rPr>
                <w:rFonts w:hint="eastAsia" w:ascii="宋体" w:hAnsi="宋体" w:eastAsia="宋体" w:cs="宋体"/>
                <w:color w:val="auto"/>
                <w:sz w:val="24"/>
                <w:szCs w:val="24"/>
                <w:highlight w:val="none"/>
              </w:rPr>
            </w:pPr>
          </w:p>
        </w:tc>
        <w:tc>
          <w:tcPr>
            <w:tcW w:w="327" w:type="pct"/>
            <w:vMerge w:val="continue"/>
            <w:vAlign w:val="center"/>
          </w:tcPr>
          <w:p>
            <w:pPr>
              <w:jc w:val="center"/>
              <w:rPr>
                <w:rFonts w:hint="eastAsia" w:ascii="宋体" w:hAnsi="宋体" w:eastAsia="宋体" w:cs="宋体"/>
                <w:color w:val="auto"/>
                <w:sz w:val="24"/>
                <w:szCs w:val="24"/>
                <w:highlight w:val="none"/>
              </w:rPr>
            </w:pPr>
          </w:p>
        </w:tc>
        <w:tc>
          <w:tcPr>
            <w:tcW w:w="647"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3698" w:type="pct"/>
            <w:vAlign w:val="center"/>
          </w:tcPr>
          <w:p>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pPr>
              <w:jc w:val="center"/>
              <w:rPr>
                <w:rFonts w:hint="eastAsia" w:ascii="宋体" w:hAnsi="宋体" w:eastAsia="宋体" w:cs="宋体"/>
                <w:color w:val="auto"/>
                <w:sz w:val="24"/>
                <w:szCs w:val="24"/>
                <w:highlight w:val="none"/>
              </w:rPr>
            </w:pPr>
          </w:p>
        </w:tc>
        <w:tc>
          <w:tcPr>
            <w:tcW w:w="327" w:type="pct"/>
            <w:vMerge w:val="continue"/>
            <w:vAlign w:val="center"/>
          </w:tcPr>
          <w:p>
            <w:pPr>
              <w:jc w:val="center"/>
              <w:rPr>
                <w:rFonts w:hint="eastAsia" w:ascii="宋体" w:hAnsi="宋体" w:eastAsia="宋体" w:cs="宋体"/>
                <w:color w:val="auto"/>
                <w:sz w:val="24"/>
                <w:szCs w:val="24"/>
                <w:highlight w:val="none"/>
              </w:rPr>
            </w:pPr>
          </w:p>
        </w:tc>
        <w:tc>
          <w:tcPr>
            <w:tcW w:w="647"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3698" w:type="pct"/>
            <w:vAlign w:val="center"/>
          </w:tcPr>
          <w:p>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00" w:type="pct"/>
            <w:gridSpan w:val="4"/>
            <w:vAlign w:val="center"/>
          </w:tcPr>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pPr>
        <w:pStyle w:val="14"/>
        <w:tabs>
          <w:tab w:val="left" w:pos="600"/>
        </w:tabs>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pPr>
        <w:spacing w:line="460" w:lineRule="exact"/>
        <w:ind w:firstLine="480" w:firstLineChars="200"/>
        <w:rPr>
          <w:rFonts w:hint="eastAsia" w:ascii="宋体" w:hAnsi="宋体" w:eastAsia="宋体" w:cs="宋体"/>
          <w:color w:val="auto"/>
          <w:sz w:val="24"/>
          <w:szCs w:val="24"/>
          <w:highlight w:val="none"/>
        </w:rPr>
      </w:pPr>
      <w:bookmarkStart w:id="161" w:name="_Toc217446060"/>
      <w:r>
        <w:rPr>
          <w:rFonts w:hint="eastAsia" w:ascii="宋体" w:hAnsi="宋体" w:eastAsia="宋体" w:cs="宋体"/>
          <w:color w:val="auto"/>
          <w:sz w:val="24"/>
          <w:szCs w:val="24"/>
          <w:highlight w:val="none"/>
        </w:rPr>
        <w:t>5. 终止招标</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61"/>
      <w:bookmarkStart w:id="162" w:name="_Toc217446061"/>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62"/>
      <w:r>
        <w:rPr>
          <w:rFonts w:hint="eastAsia" w:ascii="宋体" w:hAnsi="宋体" w:eastAsia="宋体" w:cs="宋体"/>
          <w:color w:val="auto"/>
          <w:sz w:val="24"/>
          <w:szCs w:val="24"/>
          <w:highlight w:val="none"/>
        </w:rPr>
        <w:t>：本项目根据评标委员会推荐的中标候选人名单，按顺序确定中标人。</w:t>
      </w:r>
    </w:p>
    <w:p>
      <w:pPr>
        <w:spacing w:line="460" w:lineRule="exact"/>
        <w:ind w:firstLine="480" w:firstLineChars="200"/>
        <w:rPr>
          <w:rFonts w:hint="eastAsia" w:ascii="宋体" w:hAnsi="宋体" w:eastAsia="宋体" w:cs="宋体"/>
          <w:color w:val="auto"/>
          <w:sz w:val="24"/>
          <w:szCs w:val="24"/>
          <w:highlight w:val="none"/>
        </w:rPr>
      </w:pPr>
      <w:bookmarkStart w:id="163" w:name="_Toc217446062"/>
      <w:r>
        <w:rPr>
          <w:rFonts w:hint="eastAsia" w:ascii="宋体" w:hAnsi="宋体" w:eastAsia="宋体" w:cs="宋体"/>
          <w:color w:val="auto"/>
          <w:sz w:val="24"/>
          <w:szCs w:val="24"/>
          <w:highlight w:val="none"/>
        </w:rPr>
        <w:t>6.2. 定标程序</w:t>
      </w:r>
      <w:bookmarkEnd w:id="163"/>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56"/>
    <w:p>
      <w:pPr>
        <w:spacing w:line="460" w:lineRule="exact"/>
        <w:ind w:firstLine="480" w:firstLineChars="200"/>
        <w:rPr>
          <w:rFonts w:hint="eastAsia" w:ascii="宋体" w:hAnsi="宋体" w:eastAsia="宋体" w:cs="宋体"/>
          <w:color w:val="auto"/>
          <w:sz w:val="24"/>
          <w:szCs w:val="24"/>
          <w:highlight w:val="none"/>
        </w:rPr>
      </w:pPr>
      <w:bookmarkStart w:id="164" w:name="_Toc183682432"/>
      <w:bookmarkStart w:id="165" w:name="_Toc217446105"/>
      <w:bookmarkStart w:id="166" w:name="_Toc208849022"/>
      <w:bookmarkStart w:id="167" w:name="_Toc183582297"/>
      <w:r>
        <w:rPr>
          <w:rFonts w:hint="eastAsia" w:ascii="宋体" w:hAnsi="宋体" w:eastAsia="宋体" w:cs="宋体"/>
          <w:color w:val="auto"/>
          <w:sz w:val="24"/>
          <w:szCs w:val="24"/>
          <w:highlight w:val="none"/>
        </w:rPr>
        <w:t xml:space="preserve">7. </w:t>
      </w:r>
      <w:bookmarkEnd w:id="164"/>
      <w:bookmarkEnd w:id="165"/>
      <w:bookmarkEnd w:id="166"/>
      <w:bookmarkEnd w:id="167"/>
      <w:r>
        <w:rPr>
          <w:rFonts w:hint="eastAsia" w:ascii="宋体" w:hAnsi="宋体" w:eastAsia="宋体" w:cs="宋体"/>
          <w:color w:val="auto"/>
          <w:sz w:val="24"/>
          <w:szCs w:val="24"/>
          <w:highlight w:val="none"/>
        </w:rPr>
        <w:t>评标专家在政府采购活动中承担以下义务：</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pPr>
        <w:widowControl/>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pPr>
        <w:widowControl/>
        <w:autoSpaceDE w:val="0"/>
        <w:autoSpaceDN w:val="0"/>
        <w:spacing w:line="460" w:lineRule="exact"/>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pPr>
        <w:pStyle w:val="4"/>
        <w:spacing w:before="0" w:after="340" w:line="46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68" w:name="_Toc22113"/>
      <w:r>
        <w:rPr>
          <w:rFonts w:hint="eastAsia" w:ascii="宋体" w:hAnsi="宋体" w:eastAsia="宋体" w:cs="宋体"/>
          <w:b/>
          <w:bCs/>
          <w:color w:val="auto"/>
          <w:sz w:val="24"/>
          <w:szCs w:val="24"/>
          <w:highlight w:val="none"/>
        </w:rPr>
        <w:t>第六章  拟签订的合同文本</w:t>
      </w:r>
      <w:bookmarkEnd w:id="168"/>
    </w:p>
    <w:p>
      <w:pPr>
        <w:pStyle w:val="48"/>
        <w:widowControl/>
        <w:spacing w:line="480" w:lineRule="atLeast"/>
        <w:ind w:firstLine="480" w:firstLineChars="200"/>
        <w:jc w:val="center"/>
        <w:rPr>
          <w:rStyle w:val="3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（本合同仅供参考，具体以实际签订的为准）</w:t>
      </w:r>
    </w:p>
    <w:p>
      <w:pPr>
        <w:pStyle w:val="60"/>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合同主要条款</w:t>
      </w:r>
    </w:p>
    <w:p>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甲方（买方）：新疆工程学院</w:t>
      </w:r>
    </w:p>
    <w:p>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w:t>
      </w:r>
    </w:p>
    <w:p>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地址：新疆乌鲁木齐市经济技术开发区（头屯河区）科创路1350号</w:t>
      </w:r>
    </w:p>
    <w:p>
      <w:pPr>
        <w:spacing w:line="540" w:lineRule="exact"/>
        <w:jc w:val="left"/>
        <w:rPr>
          <w:rFonts w:hint="eastAsia" w:ascii="宋体" w:hAnsi="宋体" w:eastAsia="宋体" w:cs="宋体"/>
          <w:color w:val="auto"/>
          <w:sz w:val="28"/>
          <w:szCs w:val="28"/>
          <w:highlight w:val="none"/>
        </w:rPr>
      </w:pPr>
    </w:p>
    <w:p>
      <w:pPr>
        <w:spacing w:line="54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乙方（卖方）</w:t>
      </w:r>
    </w:p>
    <w:p>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pPr>
        <w:spacing w:line="54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val="en-US" w:eastAsia="zh-CN"/>
        </w:rPr>
        <w:t xml:space="preserve"> </w:t>
      </w:r>
    </w:p>
    <w:p>
      <w:pPr>
        <w:spacing w:line="540" w:lineRule="exact"/>
        <w:rPr>
          <w:rFonts w:hint="eastAsia" w:ascii="宋体" w:hAnsi="宋体" w:eastAsia="宋体" w:cs="宋体"/>
          <w:color w:val="auto"/>
          <w:sz w:val="28"/>
          <w:szCs w:val="28"/>
          <w:highlight w:val="none"/>
        </w:rPr>
      </w:pPr>
    </w:p>
    <w:p>
      <w:pPr>
        <w:spacing w:line="540" w:lineRule="exact"/>
        <w:ind w:firstLine="560" w:firstLineChars="200"/>
        <w:rPr>
          <w:rFonts w:hint="eastAsia" w:ascii="宋体" w:hAnsi="宋体" w:eastAsia="宋体" w:cs="宋体"/>
          <w:b/>
          <w:color w:val="auto"/>
          <w:sz w:val="28"/>
          <w:szCs w:val="28"/>
          <w:highlight w:val="none"/>
          <w:u w:val="single" w:color="FFFFFF"/>
        </w:rPr>
      </w:pPr>
      <w:r>
        <w:rPr>
          <w:rFonts w:hint="eastAsia" w:ascii="宋体" w:hAnsi="宋体" w:eastAsia="宋体" w:cs="宋体"/>
          <w:color w:val="auto"/>
          <w:sz w:val="28"/>
          <w:szCs w:val="28"/>
          <w:highlight w:val="none"/>
        </w:rPr>
        <w:t>甲、乙双方</w:t>
      </w:r>
      <w:r>
        <w:rPr>
          <w:rFonts w:hint="eastAsia" w:ascii="宋体" w:hAnsi="宋体" w:eastAsia="宋体" w:cs="宋体"/>
          <w:color w:val="auto"/>
          <w:spacing w:val="4"/>
          <w:sz w:val="28"/>
          <w:szCs w:val="28"/>
          <w:highlight w:val="none"/>
        </w:rPr>
        <w:t>根据</w:t>
      </w:r>
      <w:r>
        <w:rPr>
          <w:rFonts w:hint="eastAsia" w:ascii="宋体" w:hAnsi="宋体" w:eastAsia="宋体" w:cs="宋体"/>
          <w:color w:val="auto"/>
          <w:sz w:val="28"/>
          <w:szCs w:val="28"/>
          <w:highlight w:val="none"/>
        </w:rPr>
        <w:t>《中华人民共和国</w:t>
      </w:r>
      <w:r>
        <w:rPr>
          <w:rFonts w:hint="eastAsia" w:ascii="宋体" w:hAnsi="宋体" w:eastAsia="宋体" w:cs="宋体"/>
          <w:color w:val="auto"/>
          <w:sz w:val="28"/>
          <w:szCs w:val="28"/>
          <w:highlight w:val="none"/>
          <w:lang w:eastAsia="zh-Hans"/>
        </w:rPr>
        <w:t>民法典</w:t>
      </w:r>
      <w:r>
        <w:rPr>
          <w:rFonts w:hint="eastAsia" w:ascii="宋体" w:hAnsi="宋体" w:eastAsia="宋体" w:cs="宋体"/>
          <w:color w:val="auto"/>
          <w:sz w:val="28"/>
          <w:szCs w:val="28"/>
          <w:highlight w:val="none"/>
        </w:rPr>
        <w:t>》及国家、地方有关法律法规</w:t>
      </w:r>
      <w:r>
        <w:rPr>
          <w:rFonts w:hint="eastAsia" w:ascii="宋体" w:hAnsi="宋体" w:eastAsia="宋体" w:cs="宋体"/>
          <w:color w:val="auto"/>
          <w:spacing w:val="4"/>
          <w:sz w:val="28"/>
          <w:szCs w:val="28"/>
          <w:highlight w:val="none"/>
        </w:rPr>
        <w:t>，</w:t>
      </w:r>
      <w:r>
        <w:rPr>
          <w:rFonts w:hint="eastAsia" w:ascii="宋体" w:hAnsi="宋体" w:eastAsia="宋体" w:cs="宋体"/>
          <w:color w:val="auto"/>
          <w:sz w:val="28"/>
          <w:szCs w:val="28"/>
          <w:highlight w:val="none"/>
        </w:rPr>
        <w:t>经友好协商，双方本着自愿、平等、互利的原则，</w:t>
      </w:r>
      <w:r>
        <w:rPr>
          <w:rFonts w:hint="eastAsia" w:ascii="宋体" w:hAnsi="宋体" w:eastAsia="宋体" w:cs="宋体"/>
          <w:color w:val="auto"/>
          <w:spacing w:val="4"/>
          <w:sz w:val="28"/>
          <w:szCs w:val="28"/>
          <w:highlight w:val="none"/>
        </w:rPr>
        <w:t>就甲方采购</w:t>
      </w:r>
      <w:r>
        <w:rPr>
          <w:rFonts w:hint="eastAsia" w:ascii="宋体" w:hAnsi="宋体" w:eastAsia="宋体" w:cs="宋体"/>
          <w:color w:val="auto"/>
          <w:spacing w:val="4"/>
          <w:sz w:val="28"/>
          <w:szCs w:val="28"/>
          <w:highlight w:val="none"/>
          <w:u w:val="single"/>
        </w:rPr>
        <w:t xml:space="preserve"> </w:t>
      </w:r>
      <w:r>
        <w:rPr>
          <w:rFonts w:hint="eastAsia" w:ascii="宋体" w:hAnsi="宋体" w:cs="宋体"/>
          <w:color w:val="auto"/>
          <w:kern w:val="2"/>
          <w:sz w:val="28"/>
          <w:szCs w:val="28"/>
          <w:highlight w:val="none"/>
          <w:lang w:eastAsia="zh-CN"/>
        </w:rPr>
        <w:t>新疆工程学院智慧“大思政课”一体化平台采购项目</w:t>
      </w:r>
      <w:r>
        <w:rPr>
          <w:rFonts w:hint="eastAsia" w:ascii="宋体" w:hAnsi="宋体" w:eastAsia="宋体" w:cs="宋体"/>
          <w:color w:val="auto"/>
          <w:sz w:val="28"/>
          <w:szCs w:val="28"/>
          <w:highlight w:val="none"/>
          <w:u w:val="single" w:color="FFFFFF"/>
        </w:rPr>
        <w:t>相关事宜协商一致，订立本合同，以兹共同遵守。</w:t>
      </w:r>
    </w:p>
    <w:p>
      <w:pPr>
        <w:spacing w:line="700" w:lineRule="exact"/>
        <w:jc w:val="left"/>
        <w:rPr>
          <w:rFonts w:hint="eastAsia" w:ascii="宋体" w:hAnsi="宋体" w:eastAsia="宋体" w:cs="宋体"/>
          <w:color w:val="auto"/>
          <w:kern w:val="2"/>
          <w:sz w:val="28"/>
          <w:szCs w:val="28"/>
          <w:highlight w:val="none"/>
        </w:rPr>
      </w:pPr>
    </w:p>
    <w:p>
      <w:pPr>
        <w:spacing w:line="5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采购标的</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1.1甲方采购标的</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1627" w:type="dxa"/>
            <w:noWrap w:val="0"/>
            <w:vAlign w:val="center"/>
          </w:tcPr>
          <w:p>
            <w:pPr>
              <w:adjustRightInd w:val="0"/>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746" w:type="dxa"/>
            <w:noWrap w:val="0"/>
            <w:vAlign w:val="center"/>
          </w:tcPr>
          <w:p>
            <w:pPr>
              <w:adjustRightInd w:val="0"/>
              <w:snapToGrid w:val="0"/>
              <w:ind w:left="2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736" w:type="dxa"/>
            <w:noWrap w:val="0"/>
            <w:vAlign w:val="center"/>
          </w:tcPr>
          <w:p>
            <w:pPr>
              <w:adjustRightInd w:val="0"/>
              <w:snapToGrid w:val="0"/>
              <w:ind w:left="2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991" w:type="dxa"/>
            <w:noWrap w:val="0"/>
            <w:vAlign w:val="center"/>
          </w:tcPr>
          <w:p>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含税单价（元）</w:t>
            </w:r>
          </w:p>
        </w:tc>
        <w:tc>
          <w:tcPr>
            <w:tcW w:w="1009" w:type="dxa"/>
            <w:noWrap w:val="0"/>
            <w:vAlign w:val="center"/>
          </w:tcPr>
          <w:p>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含税总价（元）</w:t>
            </w:r>
          </w:p>
        </w:tc>
        <w:tc>
          <w:tcPr>
            <w:tcW w:w="2923" w:type="dxa"/>
            <w:noWrap w:val="0"/>
            <w:vAlign w:val="center"/>
          </w:tcPr>
          <w:p>
            <w:pPr>
              <w:adjustRightInd w:val="0"/>
              <w:snapToGrid w:val="0"/>
              <w:ind w:left="2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p>
        </w:tc>
        <w:tc>
          <w:tcPr>
            <w:tcW w:w="2923" w:type="dxa"/>
            <w:noWrap w:val="0"/>
            <w:vAlign w:val="center"/>
          </w:tcPr>
          <w:p>
            <w:pPr>
              <w:adjustRightInd w:val="0"/>
              <w:snapToGrid w:val="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元</w:t>
            </w:r>
          </w:p>
        </w:tc>
      </w:tr>
    </w:tbl>
    <w:p>
      <w:pPr>
        <w:spacing w:line="5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2供货及包装标准</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2.1所供货物必须满足甲方招标文件及乙方投标文件（或采购谈判文件）中的质量要求和技术标准，并不得低于国家标准的规定。</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2.2所供货物须符合保障人体健康和人身、财产安全的国家标准、行业标准，未制定国家标准、行业标准的，必须符合保障人体健康和人身、财产安全的通常要求。符合环境、职业健康安全管理标准。</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2.3所供货物符合在产品或者其包装上注明采用的产品标准，并符合以产品说明、实物样品等方式表明的质量状况。</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2.4所供货物及包装完好无损。对易碎、易潮、易腐蚀、不耐高温、不耐低温等货物其包装能保证设备运输、装卸、搬运、储存安全并具有明显标识。</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2.5乙方应将货物的使用方法及注意事项告知甲方。</w:t>
      </w:r>
    </w:p>
    <w:p>
      <w:pPr>
        <w:autoSpaceDE w:val="0"/>
        <w:autoSpaceDN w:val="0"/>
        <w:spacing w:line="540" w:lineRule="exac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2.6 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auto"/>
          <w:kern w:val="0"/>
          <w:sz w:val="28"/>
          <w:szCs w:val="28"/>
          <w:highlight w:val="none"/>
        </w:rPr>
        <w:t>如果乙方未能及时提供上述证明或声明，乙方应赔偿甲方因此遭受的所有损失和费用。</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2.7 其他：</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autoSpaceDE w:val="0"/>
        <w:autoSpaceDN w:val="0"/>
        <w:spacing w:line="540" w:lineRule="exact"/>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运输与交货</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3.1交货地点：</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autoSpaceDE w:val="0"/>
        <w:autoSpaceDN w:val="0"/>
        <w:spacing w:line="540" w:lineRule="exact"/>
        <w:textAlignment w:val="bottom"/>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3.2 交货时间：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乙方应根据货物特性采用符合包装、运输标准的方式包装、运输，对因包装、运输不当产生的设备灭失、毁损的责任均由乙方承担，并负责在甲方指定时间内补足，否则视为逾期交货。</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将货物运输至甲方指定交货地点并经甲方验收合格之前的设备运输、</w:t>
      </w:r>
      <w:r>
        <w:rPr>
          <w:rFonts w:hint="eastAsia" w:ascii="宋体" w:hAnsi="宋体" w:eastAsia="宋体" w:cs="宋体"/>
          <w:color w:val="auto"/>
          <w:sz w:val="28"/>
          <w:szCs w:val="28"/>
          <w:highlight w:val="none"/>
          <w:lang w:val="en-US" w:eastAsia="zh-Hans"/>
        </w:rPr>
        <w:t>装卸</w:t>
      </w:r>
      <w:r>
        <w:rPr>
          <w:rFonts w:hint="eastAsia" w:ascii="宋体" w:hAnsi="宋体" w:eastAsia="宋体" w:cs="宋体"/>
          <w:color w:val="auto"/>
          <w:sz w:val="28"/>
          <w:szCs w:val="28"/>
          <w:highlight w:val="none"/>
        </w:rPr>
        <w:t>由乙方负责，相关的运输费用、保险、货物灭失及毁损的风险亦由乙方承担。将设备运输至甲方指定地点并经甲方验收合格前因第三人原因造成的设备毁损、灭失所产生的损失由乙方承担。</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因货物运输对第三人人身、财产权利造成损害的，第三人主张损害赔偿的，该损害赔偿由乙方承担。</w:t>
      </w:r>
    </w:p>
    <w:p>
      <w:pPr>
        <w:spacing w:line="54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4 </w:t>
      </w:r>
      <w:r>
        <w:rPr>
          <w:rFonts w:hint="eastAsia" w:ascii="宋体" w:hAnsi="宋体" w:eastAsia="宋体" w:cs="宋体"/>
          <w:b/>
          <w:color w:val="auto"/>
          <w:sz w:val="28"/>
          <w:szCs w:val="28"/>
          <w:highlight w:val="none"/>
        </w:rPr>
        <w:t>验收标准</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auto"/>
          <w:sz w:val="28"/>
          <w:szCs w:val="28"/>
          <w:highlight w:val="none"/>
          <w:lang w:val="en-US" w:eastAsia="zh-Hans"/>
        </w:rPr>
        <w:t>甲方</w:t>
      </w:r>
      <w:r>
        <w:rPr>
          <w:rFonts w:hint="eastAsia" w:ascii="宋体" w:hAnsi="宋体" w:eastAsia="宋体" w:cs="宋体"/>
          <w:color w:val="auto"/>
          <w:sz w:val="28"/>
          <w:szCs w:val="28"/>
          <w:highlight w:val="none"/>
        </w:rPr>
        <w:t>验收合格，附验收报告。</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货物运抵甲方指定地点交货时，乙方随货向甲方交付设备必需的合格证、保修卡，相关资料（如操作手册、使用指南、维修手册、安装调试说明书、服务手册、出厂检验报告等）及配备的用件、工具等。</w:t>
      </w:r>
    </w:p>
    <w:p>
      <w:pPr>
        <w:spacing w:line="54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4.3 乙方提供货物未达到验收标准的，应在甲方指定期限内调换或重新供货。</w:t>
      </w:r>
    </w:p>
    <w:p>
      <w:pPr>
        <w:spacing w:line="540" w:lineRule="exact"/>
        <w:rPr>
          <w:rFonts w:hint="eastAsia" w:ascii="宋体" w:hAnsi="宋体" w:eastAsia="宋体" w:cs="宋体"/>
          <w:bCs/>
          <w:color w:val="auto"/>
          <w:sz w:val="28"/>
          <w:szCs w:val="28"/>
          <w:highlight w:val="none"/>
          <w:lang w:eastAsia="zh-Hans"/>
        </w:rPr>
      </w:pPr>
      <w:r>
        <w:rPr>
          <w:rFonts w:hint="eastAsia" w:ascii="宋体" w:hAnsi="宋体" w:eastAsia="宋体" w:cs="宋体"/>
          <w:bCs/>
          <w:color w:val="auto"/>
          <w:sz w:val="28"/>
          <w:szCs w:val="28"/>
          <w:highlight w:val="none"/>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auto"/>
          <w:sz w:val="28"/>
          <w:szCs w:val="28"/>
          <w:highlight w:val="none"/>
          <w:lang w:val="en-US" w:eastAsia="zh-Hans"/>
        </w:rPr>
        <w:t>货物验收情况及验收时间以验收报告为准</w:t>
      </w:r>
      <w:r>
        <w:rPr>
          <w:rFonts w:hint="eastAsia" w:ascii="宋体" w:hAnsi="宋体" w:eastAsia="宋体" w:cs="宋体"/>
          <w:bCs/>
          <w:color w:val="auto"/>
          <w:sz w:val="28"/>
          <w:szCs w:val="28"/>
          <w:highlight w:val="none"/>
          <w:lang w:eastAsia="zh-Hans"/>
        </w:rPr>
        <w:t>。</w:t>
      </w:r>
    </w:p>
    <w:p>
      <w:pPr>
        <w:pStyle w:val="35"/>
        <w:rPr>
          <w:rFonts w:hint="default" w:eastAsia="宋体"/>
          <w:color w:val="auto"/>
          <w:highlight w:val="none"/>
          <w:lang w:val="en-US" w:eastAsia="zh-CN"/>
        </w:rPr>
      </w:pPr>
      <w:r>
        <w:rPr>
          <w:rFonts w:hint="eastAsia" w:ascii="宋体" w:hAnsi="宋体" w:cs="宋体"/>
          <w:bCs/>
          <w:color w:val="auto"/>
          <w:sz w:val="28"/>
          <w:szCs w:val="28"/>
          <w:highlight w:val="none"/>
          <w:lang w:val="en-US" w:eastAsia="zh-CN"/>
        </w:rPr>
        <w:t>4.5验收过程须邀请三名校外专家，验收过程中产生的一切费用由乙方承担。</w:t>
      </w:r>
    </w:p>
    <w:p>
      <w:pPr>
        <w:spacing w:line="540" w:lineRule="exact"/>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rPr>
        <w:t>5 售后服务</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 乙方所供货物在使用过程中出现质量问题，乙方必须在接到甲方通知后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小时内答复，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小时内到达现场进行维修，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小时内</w:t>
      </w:r>
      <w:r>
        <w:rPr>
          <w:rFonts w:hint="eastAsia" w:ascii="宋体" w:hAnsi="宋体" w:eastAsia="宋体" w:cs="宋体"/>
          <w:color w:val="auto"/>
          <w:sz w:val="28"/>
          <w:szCs w:val="28"/>
          <w:highlight w:val="none"/>
          <w:lang w:val="en-US" w:eastAsia="zh-CN"/>
        </w:rPr>
        <w:t>提出解决方案，48小时内现场维护处理</w:t>
      </w:r>
      <w:r>
        <w:rPr>
          <w:rFonts w:hint="eastAsia" w:ascii="宋体" w:hAnsi="宋体" w:eastAsia="宋体" w:cs="宋体"/>
          <w:color w:val="auto"/>
          <w:sz w:val="28"/>
          <w:szCs w:val="28"/>
          <w:highlight w:val="none"/>
        </w:rPr>
        <w:t>。如设备在质保期内，全部维修费用由乙方承担，</w:t>
      </w:r>
      <w:r>
        <w:rPr>
          <w:rFonts w:hint="eastAsia" w:ascii="宋体" w:hAnsi="宋体" w:eastAsia="宋体" w:cs="宋体"/>
          <w:color w:val="auto"/>
          <w:sz w:val="28"/>
          <w:szCs w:val="28"/>
          <w:highlight w:val="none"/>
          <w:lang w:val="en-US" w:eastAsia="zh-Hans"/>
        </w:rPr>
        <w:t>如</w:t>
      </w:r>
      <w:r>
        <w:rPr>
          <w:rFonts w:hint="eastAsia" w:ascii="宋体" w:hAnsi="宋体" w:eastAsia="宋体" w:cs="宋体"/>
          <w:color w:val="auto"/>
          <w:sz w:val="28"/>
          <w:szCs w:val="28"/>
          <w:highlight w:val="none"/>
        </w:rPr>
        <w:t>出现</w:t>
      </w:r>
      <w:r>
        <w:rPr>
          <w:rFonts w:hint="eastAsia" w:ascii="宋体" w:hAnsi="宋体" w:eastAsia="宋体" w:cs="宋体"/>
          <w:color w:val="auto"/>
          <w:sz w:val="28"/>
          <w:szCs w:val="28"/>
          <w:highlight w:val="none"/>
          <w:lang w:val="en-US" w:eastAsia="zh-Hans"/>
        </w:rPr>
        <w:t>质保</w:t>
      </w:r>
      <w:r>
        <w:rPr>
          <w:rFonts w:hint="eastAsia" w:ascii="宋体" w:hAnsi="宋体" w:eastAsia="宋体" w:cs="宋体"/>
          <w:color w:val="auto"/>
          <w:sz w:val="28"/>
          <w:szCs w:val="28"/>
          <w:highlight w:val="none"/>
        </w:rPr>
        <w:t>问题</w:t>
      </w:r>
      <w:r>
        <w:rPr>
          <w:rFonts w:hint="eastAsia" w:ascii="宋体" w:hAnsi="宋体" w:eastAsia="宋体" w:cs="宋体"/>
          <w:color w:val="auto"/>
          <w:sz w:val="28"/>
          <w:szCs w:val="28"/>
          <w:highlight w:val="none"/>
          <w:lang w:val="en-US" w:eastAsia="zh-Hans"/>
        </w:rPr>
        <w:t>乙方未能在约定期限内</w:t>
      </w:r>
      <w:r>
        <w:rPr>
          <w:rFonts w:hint="eastAsia" w:ascii="宋体" w:hAnsi="宋体" w:eastAsia="宋体" w:cs="宋体"/>
          <w:color w:val="auto"/>
          <w:sz w:val="28"/>
          <w:szCs w:val="28"/>
          <w:highlight w:val="none"/>
        </w:rPr>
        <w:t>维修或解决，</w:t>
      </w:r>
      <w:r>
        <w:rPr>
          <w:rFonts w:hint="eastAsia" w:ascii="宋体" w:hAnsi="宋体" w:eastAsia="宋体" w:cs="宋体"/>
          <w:color w:val="auto"/>
          <w:sz w:val="28"/>
          <w:szCs w:val="28"/>
          <w:highlight w:val="none"/>
          <w:lang w:val="en-US" w:eastAsia="zh-Hans"/>
        </w:rPr>
        <w:t>甲方</w:t>
      </w:r>
      <w:r>
        <w:rPr>
          <w:rFonts w:hint="eastAsia" w:ascii="宋体" w:hAnsi="宋体" w:eastAsia="宋体" w:cs="宋体"/>
          <w:color w:val="auto"/>
          <w:sz w:val="28"/>
          <w:szCs w:val="28"/>
          <w:highlight w:val="none"/>
        </w:rPr>
        <w:t>有权委托他人进行处理，费用</w:t>
      </w:r>
      <w:r>
        <w:rPr>
          <w:rFonts w:hint="eastAsia" w:ascii="宋体" w:hAnsi="宋体" w:eastAsia="宋体" w:cs="宋体"/>
          <w:color w:val="auto"/>
          <w:sz w:val="28"/>
          <w:szCs w:val="28"/>
          <w:highlight w:val="none"/>
          <w:lang w:val="en-US" w:eastAsia="zh-Hans"/>
        </w:rPr>
        <w:t>由乙方承担</w:t>
      </w:r>
      <w:r>
        <w:rPr>
          <w:rFonts w:hint="eastAsia" w:ascii="宋体" w:hAnsi="宋体" w:eastAsia="宋体" w:cs="宋体"/>
          <w:color w:val="auto"/>
          <w:sz w:val="28"/>
          <w:szCs w:val="28"/>
          <w:highlight w:val="none"/>
        </w:rPr>
        <w:t>，维修项目的质量保修期相应顺延。货物质保期</w:t>
      </w:r>
      <w:r>
        <w:rPr>
          <w:rFonts w:hint="eastAsia" w:ascii="宋体" w:hAnsi="宋体" w:cs="宋体"/>
          <w:color w:val="auto"/>
          <w:sz w:val="28"/>
          <w:szCs w:val="28"/>
          <w:highlight w:val="none"/>
          <w:u w:val="single"/>
          <w:lang w:val="en-US" w:eastAsia="zh-CN"/>
        </w:rPr>
        <w:t>12个月</w:t>
      </w:r>
      <w:r>
        <w:rPr>
          <w:rFonts w:hint="eastAsia" w:ascii="宋体" w:hAnsi="宋体" w:eastAsia="宋体" w:cs="宋体"/>
          <w:color w:val="auto"/>
          <w:sz w:val="28"/>
          <w:szCs w:val="28"/>
          <w:highlight w:val="none"/>
        </w:rPr>
        <w:t>，自甲方验收合格之日起算。</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 所供货物在使用过程中需要乙方提供使用培训的，乙方应当负责对甲方使用人员进行培训，培训费用已计入合同价格总额，不再另行支付。</w:t>
      </w:r>
    </w:p>
    <w:p>
      <w:pPr>
        <w:spacing w:line="54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b/>
          <w:color w:val="auto"/>
          <w:sz w:val="28"/>
          <w:szCs w:val="28"/>
          <w:highlight w:val="none"/>
        </w:rPr>
        <w:t>合同价格和结算方式</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Hans"/>
        </w:rPr>
        <w:t>.2</w:t>
      </w:r>
      <w:r>
        <w:rPr>
          <w:rFonts w:hint="eastAsia" w:ascii="宋体" w:hAnsi="宋体" w:eastAsia="宋体" w:cs="宋体"/>
          <w:color w:val="auto"/>
          <w:sz w:val="28"/>
          <w:szCs w:val="28"/>
          <w:highlight w:val="none"/>
        </w:rPr>
        <w:t>本合同暂定含税金额￥：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%，不含税金额￥：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元（大写：</w:t>
      </w:r>
      <w:r>
        <w:rPr>
          <w:rFonts w:hint="eastAsia" w:ascii="宋体" w:hAnsi="宋体" w:eastAsia="宋体" w:cs="宋体"/>
          <w:color w:val="auto"/>
          <w:sz w:val="28"/>
          <w:szCs w:val="28"/>
          <w:highlight w:val="none"/>
          <w:u w:val="single"/>
          <w:lang w:val="en-US" w:eastAsia="zh-CN"/>
        </w:rPr>
        <w:t xml:space="preserve">       元 </w:t>
      </w:r>
      <w:r>
        <w:rPr>
          <w:rFonts w:hint="eastAsia" w:ascii="宋体" w:hAnsi="宋体" w:eastAsia="宋体" w:cs="宋体"/>
          <w:color w:val="auto"/>
          <w:sz w:val="28"/>
          <w:szCs w:val="28"/>
          <w:highlight w:val="none"/>
        </w:rPr>
        <w:t>）。</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Hans"/>
        </w:rPr>
        <w:t>.3</w:t>
      </w:r>
      <w:r>
        <w:rPr>
          <w:rFonts w:hint="eastAsia" w:ascii="宋体" w:hAnsi="宋体" w:eastAsia="宋体" w:cs="宋体"/>
          <w:color w:val="auto"/>
          <w:sz w:val="28"/>
          <w:szCs w:val="28"/>
          <w:highlight w:val="none"/>
        </w:rPr>
        <w:t>合同履行期限内，若国家对本项目所涉增值税税率进行调整的，甲方将以不含税价乘以调整后的增值税率计算新的含税价格，自国家调整增值税税率政策生效之日起，双方按新的含税价格进行结算。</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6.4本合同价格已含检验试验、包装、运输、装卸、保险、安装、调试、培训、技术服务以及考虑除不可抗力外的其他任何风险而增加的所有费用。</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6.5 甲方按照实际采购合格货物数量经验收合格后支付合同总价款的95%，剩余5%作为质量保证金，质保期结束无任何质量问题后付清。</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，乙方应当在甲方</w:t>
      </w:r>
      <w:r>
        <w:rPr>
          <w:rFonts w:hint="eastAsia" w:ascii="宋体" w:hAnsi="宋体" w:eastAsia="宋体" w:cs="宋体"/>
          <w:color w:val="auto"/>
          <w:sz w:val="28"/>
          <w:szCs w:val="28"/>
          <w:highlight w:val="none"/>
          <w:lang w:val="en-US" w:eastAsia="zh-Hans"/>
        </w:rPr>
        <w:t>每次</w:t>
      </w:r>
      <w:r>
        <w:rPr>
          <w:rFonts w:hint="eastAsia" w:ascii="宋体" w:hAnsi="宋体" w:eastAsia="宋体" w:cs="宋体"/>
          <w:color w:val="auto"/>
          <w:sz w:val="28"/>
          <w:szCs w:val="28"/>
          <w:highlight w:val="none"/>
        </w:rPr>
        <w:t>付款前向甲方交付</w:t>
      </w:r>
      <w:r>
        <w:rPr>
          <w:rFonts w:hint="eastAsia" w:ascii="宋体" w:hAnsi="宋体" w:eastAsia="宋体" w:cs="宋体"/>
          <w:color w:val="auto"/>
          <w:sz w:val="28"/>
          <w:szCs w:val="28"/>
          <w:highlight w:val="none"/>
          <w:lang w:val="en-US"/>
        </w:rPr>
        <w:t>足额</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Hans"/>
        </w:rPr>
        <w:t>符合甲方要求</w:t>
      </w:r>
      <w:r>
        <w:rPr>
          <w:rFonts w:hint="eastAsia" w:ascii="宋体" w:hAnsi="宋体" w:eastAsia="宋体" w:cs="宋体"/>
          <w:color w:val="auto"/>
          <w:sz w:val="28"/>
          <w:szCs w:val="28"/>
          <w:highlight w:val="none"/>
        </w:rPr>
        <w:t>的增值税发票，乙方未能及时交付发票或交付的发票不合格的，甲方有权拒绝付款并要求乙方赔偿损失。</w:t>
      </w:r>
    </w:p>
    <w:p>
      <w:pPr>
        <w:widowControl/>
        <w:spacing w:line="540" w:lineRule="exact"/>
        <w:ind w:firstLine="0" w:firstLineChars="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6.6</w:t>
      </w:r>
      <w:r>
        <w:rPr>
          <w:rFonts w:hint="eastAsia" w:ascii="宋体" w:hAnsi="宋体" w:eastAsia="宋体" w:cs="宋体"/>
          <w:color w:val="auto"/>
          <w:sz w:val="28"/>
          <w:szCs w:val="28"/>
          <w:highlight w:val="none"/>
        </w:rPr>
        <w:t>收款方账户信息为：</w:t>
      </w:r>
    </w:p>
    <w:p>
      <w:pPr>
        <w:widowControl/>
        <w:spacing w:line="54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户名：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widowControl/>
        <w:spacing w:line="54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widowControl/>
        <w:spacing w:line="54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widowControl/>
        <w:spacing w:line="54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收款方信息变更的，应以书面形式通知付款方，未及时通知给双方造成的全部损失由收款方承担。</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6.6.</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本合同计价及支付货币除非另有约定，均指人民币。</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6.6.</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收款方向付款方开具的收款凭证为：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widowControl/>
        <w:spacing w:line="54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（1）增值税专用发票，税率为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（2）增值税普通发票，税率为</w:t>
      </w:r>
      <w:r>
        <w:rPr>
          <w:rFonts w:hint="eastAsia" w:ascii="宋体" w:hAnsi="宋体" w:eastAsia="宋体" w:cs="宋体"/>
          <w:color w:val="auto"/>
          <w:sz w:val="28"/>
          <w:szCs w:val="28"/>
          <w:highlight w:val="none"/>
          <w:u w:val="single"/>
        </w:rPr>
        <w:t xml:space="preserve">      %；</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（3）行政事业单位收款收据</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（4）其他付款方认可的收款凭证</w:t>
      </w:r>
      <w:r>
        <w:rPr>
          <w:rFonts w:hint="eastAsia" w:ascii="宋体" w:hAnsi="宋体" w:eastAsia="宋体" w:cs="宋体"/>
          <w:color w:val="auto"/>
          <w:sz w:val="28"/>
          <w:szCs w:val="28"/>
          <w:highlight w:val="none"/>
          <w:u w:val="single"/>
        </w:rPr>
        <w:t xml:space="preserve">  </w:t>
      </w:r>
      <w:r>
        <w:rPr>
          <w:rFonts w:hint="eastAsia" w:ascii="宋体" w:hAnsi="宋体" w:eastAsia="宋体" w:cs="宋体"/>
          <w:i/>
          <w:color w:val="auto"/>
          <w:sz w:val="28"/>
          <w:szCs w:val="28"/>
          <w:highlight w:val="none"/>
          <w:u w:val="single"/>
        </w:rPr>
        <w:t>（注明名称）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6.7 收款方应按下列第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款约定的方式向付款方出具符合本合同约定收款凭证。收款方未依约提供，付款方有权暂停支付。</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6.7.1 每次付款前，收款方应出具与付款方支付金额等额的收款凭证；</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6.7.2 第一次付款前，收款方应出具与合同总价等额的收款凭证；</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6.7.3其他：</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6.8收款方委托其雇员办理收款事宜的，应出具加盖收款方公章的授权委托书，注明授权范围及期限，未出具有效授权委托书的，付款方可不予办理。</w:t>
      </w:r>
    </w:p>
    <w:p>
      <w:pPr>
        <w:autoSpaceDE w:val="0"/>
        <w:autoSpaceDN w:val="0"/>
        <w:spacing w:line="540" w:lineRule="exact"/>
        <w:textAlignment w:val="bottom"/>
        <w:rPr>
          <w:rFonts w:hint="eastAsia" w:ascii="宋体" w:hAnsi="宋体" w:eastAsia="宋体" w:cs="宋体"/>
          <w:b/>
          <w:color w:val="auto"/>
          <w:sz w:val="28"/>
          <w:szCs w:val="28"/>
          <w:highlight w:val="none"/>
        </w:rPr>
      </w:pPr>
      <w:r>
        <w:rPr>
          <w:rFonts w:hint="eastAsia" w:ascii="宋体" w:hAnsi="宋体" w:eastAsia="宋体" w:cs="宋体"/>
          <w:color w:val="auto"/>
          <w:kern w:val="0"/>
          <w:sz w:val="28"/>
          <w:szCs w:val="28"/>
          <w:highlight w:val="none"/>
        </w:rPr>
        <w:t xml:space="preserve">7 </w:t>
      </w:r>
      <w:r>
        <w:rPr>
          <w:rFonts w:hint="eastAsia" w:ascii="宋体" w:hAnsi="宋体" w:eastAsia="宋体" w:cs="宋体"/>
          <w:b/>
          <w:color w:val="auto"/>
          <w:sz w:val="28"/>
          <w:szCs w:val="28"/>
          <w:highlight w:val="none"/>
        </w:rPr>
        <w:t>甲乙双方权利义务</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 甲方权利与义务</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7.1.1甲方应积极配合乙方完成相关货物验收工作，提供货物运抵甲方指定地点后保管所必需的场所或者所需要的条件。</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7.1.2甲方有权对乙方提供的不合格货物提出异议，并要求限期调换。</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Hans"/>
        </w:rPr>
        <w:t>.</w:t>
      </w:r>
      <w:r>
        <w:rPr>
          <w:rFonts w:hint="eastAsia" w:ascii="宋体" w:hAnsi="宋体" w:eastAsia="宋体" w:cs="宋体"/>
          <w:color w:val="auto"/>
          <w:sz w:val="28"/>
          <w:szCs w:val="28"/>
          <w:highlight w:val="none"/>
          <w:lang w:eastAsia="zh-Hans"/>
        </w:rPr>
        <w:t>1</w:t>
      </w:r>
      <w:r>
        <w:rPr>
          <w:rFonts w:hint="eastAsia" w:ascii="宋体" w:hAnsi="宋体" w:eastAsia="宋体" w:cs="宋体"/>
          <w:color w:val="auto"/>
          <w:sz w:val="28"/>
          <w:szCs w:val="28"/>
          <w:highlight w:val="none"/>
          <w:lang w:val="en-US" w:eastAsia="zh-Hans"/>
        </w:rPr>
        <w:t>.</w:t>
      </w:r>
      <w:r>
        <w:rPr>
          <w:rFonts w:hint="eastAsia" w:ascii="宋体" w:hAnsi="宋体" w:eastAsia="宋体" w:cs="宋体"/>
          <w:color w:val="auto"/>
          <w:sz w:val="28"/>
          <w:szCs w:val="28"/>
          <w:highlight w:val="none"/>
          <w:lang w:eastAsia="zh-Hans"/>
        </w:rPr>
        <w:t>3</w:t>
      </w:r>
      <w:r>
        <w:rPr>
          <w:rFonts w:hint="eastAsia" w:ascii="宋体" w:hAnsi="宋体" w:eastAsia="宋体" w:cs="宋体"/>
          <w:color w:val="auto"/>
          <w:sz w:val="28"/>
          <w:szCs w:val="28"/>
          <w:highlight w:val="none"/>
        </w:rPr>
        <w:t>甲方有权要求乙方在甲方限期内对其服务过程中存在的问题进行整改。</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 乙方权利与义务</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7.2.1乙方应确保所提供的是全新的、配置齐全的、技术先进的、未被淘汰的合格产品。</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7.2.2所提供的设备及材料的产地、品牌、型号应符合合同约定的技术标准、质量标准的要求。</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7.2.3乙方应保证甲方在使用货物的任何一部分时，免受第三方提出的侵犯其专利权、商标权或其他知识产权的索赔或诉讼，否则由乙方承担一切赔偿责任。</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7.2.4乙方为执行本合同而提供的全套技术资料的使用权归甲方所有。</w:t>
      </w:r>
    </w:p>
    <w:p>
      <w:pPr>
        <w:autoSpaceDE w:val="0"/>
        <w:autoSpaceDN w:val="0"/>
        <w:spacing w:line="540" w:lineRule="exact"/>
        <w:textAlignment w:val="bottom"/>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7.2.5 派驻甲方负责调试的人员，应严格遵守甲方的相关规章制度，并办理相关手续。</w:t>
      </w:r>
    </w:p>
    <w:p>
      <w:pPr>
        <w:spacing w:line="540" w:lineRule="exact"/>
        <w:rPr>
          <w:rFonts w:hint="eastAsia" w:ascii="宋体" w:hAnsi="宋体" w:eastAsia="宋体" w:cs="宋体"/>
          <w:b/>
          <w:color w:val="auto"/>
          <w:sz w:val="28"/>
          <w:szCs w:val="28"/>
          <w:highlight w:val="none"/>
        </w:rPr>
      </w:pPr>
      <w:r>
        <w:rPr>
          <w:rFonts w:hint="eastAsia" w:ascii="宋体" w:hAnsi="宋体" w:eastAsia="宋体" w:cs="宋体"/>
          <w:color w:val="auto"/>
          <w:kern w:val="0"/>
          <w:sz w:val="28"/>
          <w:szCs w:val="28"/>
          <w:highlight w:val="none"/>
        </w:rPr>
        <w:t>8</w:t>
      </w:r>
      <w:r>
        <w:rPr>
          <w:rFonts w:hint="eastAsia" w:ascii="宋体" w:hAnsi="宋体" w:eastAsia="宋体" w:cs="宋体"/>
          <w:b/>
          <w:color w:val="auto"/>
          <w:sz w:val="28"/>
          <w:szCs w:val="28"/>
          <w:highlight w:val="none"/>
        </w:rPr>
        <w:t xml:space="preserve"> 违约责任</w:t>
      </w:r>
    </w:p>
    <w:p>
      <w:pPr>
        <w:spacing w:line="54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8.1 乙方应在约定期限内交货，</w:t>
      </w:r>
      <w:r>
        <w:rPr>
          <w:rFonts w:hint="eastAsia" w:ascii="宋体" w:hAnsi="宋体" w:eastAsia="宋体" w:cs="宋体"/>
          <w:color w:val="auto"/>
          <w:sz w:val="28"/>
          <w:szCs w:val="28"/>
          <w:highlight w:val="none"/>
          <w:lang w:val="en-US" w:eastAsia="zh-CN"/>
        </w:rPr>
        <w:t>每逾期一天按合同价的5</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计算违约金</w:t>
      </w:r>
      <w:r>
        <w:rPr>
          <w:rFonts w:hint="eastAsia" w:ascii="宋体" w:hAnsi="宋体" w:eastAsia="宋体" w:cs="宋体"/>
          <w:color w:val="auto"/>
          <w:sz w:val="28"/>
          <w:szCs w:val="28"/>
          <w:highlight w:val="none"/>
        </w:rPr>
        <w:t>；逾期交货时间超过</w:t>
      </w:r>
      <w:r>
        <w:rPr>
          <w:rFonts w:hint="eastAsia" w:ascii="宋体" w:hAnsi="宋体" w:eastAsia="宋体" w:cs="宋体"/>
          <w:color w:val="auto"/>
          <w:sz w:val="28"/>
          <w:szCs w:val="28"/>
          <w:highlight w:val="none"/>
          <w:u w:val="single"/>
        </w:rPr>
        <w:t xml:space="preserve"> 30 </w:t>
      </w:r>
      <w:r>
        <w:rPr>
          <w:rFonts w:hint="eastAsia" w:ascii="宋体" w:hAnsi="宋体" w:eastAsia="宋体" w:cs="宋体"/>
          <w:color w:val="auto"/>
          <w:sz w:val="28"/>
          <w:szCs w:val="28"/>
          <w:highlight w:val="none"/>
        </w:rPr>
        <w:t>天，甲方有权书面通知乙方后单方解除合同，乙方应向甲方支付合同价格总额</w:t>
      </w:r>
      <w:r>
        <w:rPr>
          <w:rFonts w:hint="eastAsia" w:ascii="宋体" w:hAnsi="宋体" w:eastAsia="宋体" w:cs="宋体"/>
          <w:color w:val="auto"/>
          <w:sz w:val="28"/>
          <w:szCs w:val="28"/>
          <w:highlight w:val="none"/>
          <w:u w:val="single"/>
        </w:rPr>
        <w:t xml:space="preserve"> 20 </w:t>
      </w:r>
      <w:r>
        <w:rPr>
          <w:rFonts w:hint="eastAsia" w:ascii="宋体" w:hAnsi="宋体" w:eastAsia="宋体" w:cs="宋体"/>
          <w:color w:val="auto"/>
          <w:sz w:val="28"/>
          <w:szCs w:val="28"/>
          <w:highlight w:val="none"/>
        </w:rPr>
        <w:t>％的违约金</w:t>
      </w:r>
      <w:r>
        <w:rPr>
          <w:rFonts w:hint="eastAsia" w:ascii="宋体" w:hAnsi="宋体" w:eastAsia="宋体" w:cs="宋体"/>
          <w:color w:val="auto"/>
          <w:sz w:val="28"/>
          <w:szCs w:val="28"/>
          <w:highlight w:val="none"/>
          <w:lang w:val="en-US" w:eastAsia="zh-Hans"/>
        </w:rPr>
        <w:t>并赔偿甲方全部损失</w:t>
      </w:r>
      <w:r>
        <w:rPr>
          <w:rFonts w:hint="eastAsia" w:ascii="宋体" w:hAnsi="宋体" w:eastAsia="宋体" w:cs="宋体"/>
          <w:color w:val="auto"/>
          <w:sz w:val="28"/>
          <w:szCs w:val="28"/>
          <w:highlight w:val="none"/>
        </w:rPr>
        <w:t>。</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auto"/>
          <w:sz w:val="28"/>
          <w:szCs w:val="28"/>
          <w:highlight w:val="none"/>
          <w:u w:val="single"/>
        </w:rPr>
        <w:t xml:space="preserve"> 20 </w:t>
      </w:r>
      <w:r>
        <w:rPr>
          <w:rFonts w:hint="eastAsia" w:ascii="宋体" w:hAnsi="宋体" w:eastAsia="宋体" w:cs="宋体"/>
          <w:color w:val="auto"/>
          <w:sz w:val="28"/>
          <w:szCs w:val="28"/>
          <w:highlight w:val="none"/>
        </w:rPr>
        <w:t>％的违约金，并赔偿给甲方造成的全部损失。</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auto"/>
          <w:sz w:val="28"/>
          <w:szCs w:val="28"/>
          <w:highlight w:val="none"/>
          <w:lang w:val="en-US" w:eastAsia="zh-Hans"/>
        </w:rPr>
        <w:t>在甲方指定期限内</w:t>
      </w:r>
      <w:r>
        <w:rPr>
          <w:rFonts w:hint="eastAsia" w:ascii="宋体" w:hAnsi="宋体" w:eastAsia="宋体" w:cs="宋体"/>
          <w:color w:val="auto"/>
          <w:sz w:val="28"/>
          <w:szCs w:val="28"/>
          <w:highlight w:val="none"/>
        </w:rPr>
        <w:t>返还甲方所付设备款，并向甲方支付合同价格总额</w:t>
      </w:r>
      <w:r>
        <w:rPr>
          <w:rFonts w:hint="eastAsia" w:ascii="宋体" w:hAnsi="宋体" w:eastAsia="宋体" w:cs="宋体"/>
          <w:color w:val="auto"/>
          <w:sz w:val="28"/>
          <w:szCs w:val="28"/>
          <w:highlight w:val="none"/>
          <w:u w:val="single"/>
        </w:rPr>
        <w:t xml:space="preserve"> 20 </w:t>
      </w:r>
      <w:r>
        <w:rPr>
          <w:rFonts w:hint="eastAsia" w:ascii="宋体" w:hAnsi="宋体" w:eastAsia="宋体" w:cs="宋体"/>
          <w:color w:val="auto"/>
          <w:sz w:val="28"/>
          <w:szCs w:val="28"/>
          <w:highlight w:val="none"/>
        </w:rPr>
        <w:t>％的违约金、</w:t>
      </w:r>
      <w:r>
        <w:rPr>
          <w:rFonts w:hint="eastAsia" w:ascii="宋体" w:hAnsi="宋体" w:eastAsia="宋体" w:cs="宋体"/>
          <w:color w:val="auto"/>
          <w:sz w:val="28"/>
          <w:szCs w:val="28"/>
          <w:highlight w:val="none"/>
          <w:lang w:val="en-US" w:eastAsia="zh-Hans"/>
        </w:rPr>
        <w:t>赔偿甲方全部损失</w:t>
      </w:r>
      <w:r>
        <w:rPr>
          <w:rFonts w:hint="eastAsia" w:ascii="宋体" w:hAnsi="宋体" w:eastAsia="宋体" w:cs="宋体"/>
          <w:color w:val="auto"/>
          <w:sz w:val="28"/>
          <w:szCs w:val="28"/>
          <w:highlight w:val="none"/>
        </w:rPr>
        <w:t>。</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违约金不足以弥补守约方实际损失的，违约方应补足不足部分。</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Hans"/>
        </w:rPr>
        <w:t>8.</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万元的违约金，违约金不足以弥补甲方损失的，乙方应赔偿甲方因此受到的全部损失。</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乙方不按照本合同履行义务或者履行义务不符合合同约定的，</w:t>
      </w:r>
      <w:r>
        <w:rPr>
          <w:rFonts w:hint="eastAsia" w:ascii="宋体" w:hAnsi="宋体" w:eastAsia="宋体" w:cs="宋体"/>
          <w:color w:val="auto"/>
          <w:sz w:val="28"/>
          <w:szCs w:val="28"/>
          <w:highlight w:val="none"/>
          <w:lang w:val="en-US" w:eastAsia="zh-Hans"/>
        </w:rPr>
        <w:t>除合同约定的责任外</w:t>
      </w:r>
      <w:r>
        <w:rPr>
          <w:rFonts w:hint="eastAsia" w:ascii="宋体" w:hAnsi="宋体" w:eastAsia="宋体" w:cs="宋体"/>
          <w:color w:val="auto"/>
          <w:sz w:val="28"/>
          <w:szCs w:val="28"/>
          <w:highlight w:val="none"/>
          <w:lang w:eastAsia="zh-Hans"/>
        </w:rPr>
        <w:t>，</w:t>
      </w:r>
      <w:r>
        <w:rPr>
          <w:rFonts w:hint="eastAsia" w:ascii="宋体" w:hAnsi="宋体" w:eastAsia="宋体" w:cs="宋体"/>
          <w:color w:val="auto"/>
          <w:sz w:val="28"/>
          <w:szCs w:val="28"/>
          <w:highlight w:val="none"/>
        </w:rPr>
        <w:t>甲方有权解除合同，乙方应当全额退还甲方已付费用、支付甲方合同总价款20%的违约金并且赔偿甲方全部损失，包括但不限于甲方的已有损失、预期损失、诉讼费、律师费、送达费、公告费等。</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上述条款中甲方不行使合同解除权的，乙方仍应按照约定承担违约责任</w:t>
      </w:r>
      <w:r>
        <w:rPr>
          <w:rFonts w:hint="eastAsia" w:ascii="宋体" w:hAnsi="宋体" w:eastAsia="宋体" w:cs="宋体"/>
          <w:color w:val="auto"/>
          <w:sz w:val="28"/>
          <w:szCs w:val="28"/>
          <w:highlight w:val="none"/>
          <w:lang w:val="en-US" w:eastAsia="zh-Hans"/>
        </w:rPr>
        <w:t>并继续履行合同义务</w:t>
      </w:r>
      <w:r>
        <w:rPr>
          <w:rFonts w:hint="eastAsia" w:ascii="宋体" w:hAnsi="宋体" w:eastAsia="宋体" w:cs="宋体"/>
          <w:color w:val="auto"/>
          <w:sz w:val="28"/>
          <w:szCs w:val="28"/>
          <w:highlight w:val="none"/>
        </w:rPr>
        <w:t>。</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本合同提及“损失”，包括但不限于人身及财产损害、行政罚款等直接损失、预期利益损失及维权产生的公证费、调查取证费、交通费、律师费等。</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9保密义务</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9.2本合同项下保密义务的期限不受本合同履行期限的限制，应在本</w:t>
      </w:r>
      <w:r>
        <w:rPr>
          <w:rFonts w:hint="eastAsia" w:ascii="宋体" w:hAnsi="宋体" w:eastAsia="宋体" w:cs="宋体"/>
          <w:color w:val="auto"/>
          <w:sz w:val="28"/>
          <w:szCs w:val="28"/>
          <w:highlight w:val="none"/>
          <w:lang w:val="en-US" w:eastAsia="zh-Hans"/>
        </w:rPr>
        <w:t>合同</w:t>
      </w:r>
      <w:r>
        <w:rPr>
          <w:rFonts w:hint="eastAsia" w:ascii="宋体" w:hAnsi="宋体" w:eastAsia="宋体" w:cs="宋体"/>
          <w:color w:val="auto"/>
          <w:sz w:val="28"/>
          <w:szCs w:val="28"/>
          <w:highlight w:val="none"/>
        </w:rPr>
        <w:t>期满、解除或终止后仍然有效。</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9.3如一方违反上述保密义务，致使另一方秘密信息泄露的，则泄密方应承担本合同金额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的违约责任；一方泄密造成严重后果的，另一方有权单方解除本合同，并书面通知泄密方。因泄密给相对方造成的一切损失，由泄密方负责赔偿。</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10 合同解除和终止</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10.1经双方协商一致并签订书面协议后，即终止或解除本合同。</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10.2发生如下情形时，本合同终止：</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10.2.1本合同约定有效期届满；</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10.2.2本合同一方或双方合并、分立、破产、清算等组织形式变更且未确定本合同权利义务承继主体，难以继续履行本合同；</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10.2.3因不可抗力导致本合同无法继续履行的，双方视不可抗力影响程度和范围可</w:t>
      </w:r>
      <w:r>
        <w:rPr>
          <w:rFonts w:hint="eastAsia" w:ascii="宋体" w:hAnsi="宋体" w:eastAsia="宋体" w:cs="宋体"/>
          <w:color w:val="auto"/>
          <w:sz w:val="28"/>
          <w:szCs w:val="28"/>
          <w:highlight w:val="none"/>
          <w:lang w:val="en-US" w:eastAsia="zh-Hans"/>
        </w:rPr>
        <w:t>书面</w:t>
      </w:r>
      <w:r>
        <w:rPr>
          <w:rFonts w:hint="eastAsia" w:ascii="宋体" w:hAnsi="宋体" w:eastAsia="宋体" w:cs="宋体"/>
          <w:color w:val="auto"/>
          <w:sz w:val="28"/>
          <w:szCs w:val="28"/>
          <w:highlight w:val="none"/>
        </w:rPr>
        <w:t>协商中止或终止本合同，本合同另有约定的除外；</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10.2.4本合同约定的其他终止情形。</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11 不可抗力</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widowControl/>
        <w:spacing w:line="540" w:lineRule="exac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11.3如果不可抗力发生或影响的时间连续超过30日以上且妨碍任何一方履行本合同时，</w:t>
      </w:r>
      <w:r>
        <w:rPr>
          <w:rFonts w:hint="eastAsia" w:ascii="宋体" w:hAnsi="宋体" w:eastAsia="宋体" w:cs="宋体"/>
          <w:color w:val="auto"/>
          <w:sz w:val="28"/>
          <w:szCs w:val="28"/>
          <w:highlight w:val="none"/>
          <w:lang w:val="en-US" w:eastAsia="zh-Hans"/>
        </w:rPr>
        <w:t>双方可书面协商</w:t>
      </w:r>
      <w:r>
        <w:rPr>
          <w:rFonts w:hint="eastAsia" w:ascii="宋体" w:hAnsi="宋体" w:eastAsia="宋体" w:cs="宋体"/>
          <w:color w:val="auto"/>
          <w:sz w:val="28"/>
          <w:szCs w:val="28"/>
          <w:highlight w:val="none"/>
        </w:rPr>
        <w:t>解除本合同。</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12  争议解决</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12.1甲、乙双方因履行本合同发生争议的，应友好协商解决，协商不成的，依法</w:t>
      </w:r>
      <w:r>
        <w:rPr>
          <w:rFonts w:hint="eastAsia" w:ascii="宋体" w:hAnsi="宋体" w:eastAsia="宋体" w:cs="宋体"/>
          <w:color w:val="auto"/>
          <w:sz w:val="28"/>
          <w:szCs w:val="28"/>
          <w:highlight w:val="none"/>
          <w:lang w:eastAsia="zh-Hans"/>
        </w:rPr>
        <w:t>向甲方所在</w:t>
      </w:r>
      <w:r>
        <w:rPr>
          <w:rFonts w:hint="eastAsia" w:ascii="宋体" w:hAnsi="宋体" w:eastAsia="宋体" w:cs="宋体"/>
          <w:color w:val="auto"/>
          <w:sz w:val="28"/>
          <w:szCs w:val="28"/>
          <w:highlight w:val="none"/>
        </w:rPr>
        <w:t>地法院提起诉讼。</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12.2违约一方需承担守约方支出的合理费用，包括但不限于诉讼费、律师费、公证费、鉴定费、担保费等。</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  附则</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13.1本合同未尽事宜，经双方协商一致，应签订补充协议。补充协议与本合同具有同等法律效力。</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13.2以下文件作为本合同附件，是本合同不可分割的部分：</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13.2.1采购文件和乙方的投标文件；</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13.2.2中标通知书；</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13.2.3甲乙双方商定的其他必要文件。</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本合同与合同附件就同一事项约定不一致的，适用足以保证符合甲方使用需求、技术或工艺要求的最严格的标准。</w:t>
      </w:r>
    </w:p>
    <w:p>
      <w:pPr>
        <w:ind w:left="141" w:hanging="141" w:hangingChars="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13.3送达条款</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13.3.1送达地址和联系方式:合同各方一致确认本合同中记载的各方地址和联系方式为各方履行合同、解决合同争议时接收其他方商业文件信函或司法机关(法院、仲裁机构)诉讼、仲裁文书的地址和联系方式。</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13.3.2送达地址和联系方式适用期间。上述送达地址和联系方式适用至本合同履行完毕或争议经过法院一审、二审、审判监督程序至执行程序完毕时止，除非各方依下款告知变更。</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13.3.3送达地址和联系方式的变更。任何一方送达地址和联系方式需要变更的，应提前五个工作日向合同其他方和司法机关送交书面变更告知书(若争议已经进入司法程序解决)。</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13.3.4合同各方承诺:上述确认的送达地址和联系方式真实有效，如有错误，导致的商业信函和诉讼文书送达不能的法律后果由自己承担。</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pStyle w:val="1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widowControl/>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13.4甲、乙双方的联系方式、联系人等基本信息以本合同记录的为准。</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甲方有效联系地址:                                            </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widowControl/>
        <w:spacing w:line="54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乙方有效联系地址: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pPr>
        <w:widowControl/>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 xml:space="preserve"> </w:t>
      </w:r>
    </w:p>
    <w:p>
      <w:pPr>
        <w:widowControl/>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 xml:space="preserve"> </w:t>
      </w:r>
    </w:p>
    <w:p>
      <w:pPr>
        <w:widowControl/>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lang w:val="en-US" w:eastAsia="zh-CN"/>
        </w:rPr>
        <w:t>lishan@xjhzfz.com</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13.5本合同一式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（以下无正文，为合同签署页）</w:t>
      </w:r>
    </w:p>
    <w:p>
      <w:pPr>
        <w:widowControl/>
        <w:spacing w:line="540" w:lineRule="exact"/>
        <w:rPr>
          <w:rFonts w:hint="eastAsia" w:ascii="宋体" w:hAnsi="宋体" w:eastAsia="宋体" w:cs="宋体"/>
          <w:color w:val="auto"/>
          <w:kern w:val="0"/>
          <w:sz w:val="28"/>
          <w:szCs w:val="28"/>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tc>
        <w:tc>
          <w:tcPr>
            <w:tcW w:w="4311" w:type="dxa"/>
            <w:noWrap w:val="0"/>
            <w:vAlign w:val="top"/>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单位名称（公章）：</w:t>
            </w:r>
            <w:r>
              <w:rPr>
                <w:rFonts w:hint="eastAsia" w:ascii="宋体" w:hAnsi="宋体" w:eastAsia="宋体" w:cs="宋体"/>
                <w:color w:val="auto"/>
                <w:sz w:val="28"/>
                <w:szCs w:val="28"/>
                <w:highlight w:val="none"/>
                <w:lang w:eastAsia="zh-Hans"/>
              </w:rPr>
              <w:t>新疆工程学院</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住所：新疆乌鲁木齐市经济技术开发区（头屯河区）科创路1350号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签订时间：</w:t>
            </w:r>
          </w:p>
        </w:tc>
        <w:tc>
          <w:tcPr>
            <w:tcW w:w="4311" w:type="dxa"/>
            <w:noWrap w:val="0"/>
            <w:vAlign w:val="top"/>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单位名称（公章）：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住所： </w:t>
            </w:r>
          </w:p>
          <w:p>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t>法定代表人：</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电话：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邮政编码：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签订时间：</w:t>
            </w:r>
          </w:p>
        </w:tc>
      </w:tr>
    </w:tbl>
    <w:p>
      <w:pPr>
        <w:pStyle w:val="29"/>
        <w:rPr>
          <w:rFonts w:hint="eastAsia" w:ascii="宋体" w:hAnsi="宋体" w:eastAsia="宋体" w:cs="宋体"/>
          <w:color w:val="auto"/>
          <w:sz w:val="24"/>
          <w:szCs w:val="24"/>
          <w:highlight w:val="none"/>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Style w:val="37"/>
        <w:rFonts w:hint="eastAsia" w:ascii="宋体" w:hAnsi="宋体"/>
        <w:bCs/>
        <w:sz w:val="24"/>
      </w:rPr>
      <w:t>地址：乌鲁木齐市</w:t>
    </w:r>
    <w:r>
      <w:rPr>
        <w:rStyle w:val="37"/>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hint="default" w:ascii="Times New Roman" w:eastAsia="Times New Roman"/>
        <w:kern w:val="0"/>
        <w:sz w:val="20"/>
      </w:rPr>
    </w:pPr>
    <w:r>
      <w:rPr>
        <w:rFonts w:hint="default"/>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000000" w:sz="0" w:space="1"/>
      </w:pBdr>
      <w:rPr>
        <w:rStyle w:val="37"/>
        <w:sz w:val="24"/>
      </w:rPr>
    </w:pPr>
    <w:r>
      <w:rPr>
        <w:rStyle w:val="37"/>
        <w:rFonts w:hint="eastAsia"/>
        <w:sz w:val="24"/>
      </w:rPr>
      <w:t xml:space="preserve"> </w:t>
    </w:r>
    <w:r>
      <w:rPr>
        <w:rStyle w:val="37"/>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7"/>
        <w:rFonts w:hint="eastAsia"/>
        <w:sz w:val="24"/>
      </w:rPr>
      <w:t xml:space="preserve">                                         新疆拓源工程管理咨询有限公司</w:t>
    </w:r>
  </w:p>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Style w:val="37"/>
        <w:rFonts w:hint="eastAsia"/>
        <w:sz w:val="24"/>
      </w:rPr>
      <w:t xml:space="preserve">  </w:t>
    </w:r>
    <w:r>
      <w:rPr>
        <w:rStyle w:val="37"/>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7"/>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845AB7E9"/>
    <w:multiLevelType w:val="singleLevel"/>
    <w:tmpl w:val="845AB7E9"/>
    <w:lvl w:ilvl="0" w:tentative="0">
      <w:start w:val="1"/>
      <w:numFmt w:val="decimalEnclosedCircleChinese"/>
      <w:suff w:val="nothing"/>
      <w:lvlText w:val="%1　"/>
      <w:lvlJc w:val="left"/>
      <w:pPr>
        <w:ind w:left="0" w:firstLine="400"/>
      </w:pPr>
      <w:rPr>
        <w:rFonts w:hint="eastAsia"/>
      </w:rPr>
    </w:lvl>
  </w:abstractNum>
  <w:abstractNum w:abstractNumId="2">
    <w:nsid w:val="8784D26F"/>
    <w:multiLevelType w:val="singleLevel"/>
    <w:tmpl w:val="8784D26F"/>
    <w:lvl w:ilvl="0" w:tentative="0">
      <w:start w:val="1"/>
      <w:numFmt w:val="decimal"/>
      <w:suff w:val="nothing"/>
      <w:lvlText w:val="%1．"/>
      <w:lvlJc w:val="left"/>
      <w:pPr>
        <w:ind w:left="0" w:firstLine="400"/>
      </w:pPr>
      <w:rPr>
        <w:rFonts w:hint="default"/>
      </w:rPr>
    </w:lvl>
  </w:abstractNum>
  <w:abstractNum w:abstractNumId="3">
    <w:nsid w:val="8B26DB5F"/>
    <w:multiLevelType w:val="singleLevel"/>
    <w:tmpl w:val="8B26DB5F"/>
    <w:lvl w:ilvl="0" w:tentative="0">
      <w:start w:val="1"/>
      <w:numFmt w:val="decimal"/>
      <w:suff w:val="nothing"/>
      <w:lvlText w:val="%1．"/>
      <w:lvlJc w:val="left"/>
      <w:pPr>
        <w:ind w:left="0" w:firstLine="400"/>
      </w:pPr>
      <w:rPr>
        <w:rFonts w:hint="default"/>
      </w:rPr>
    </w:lvl>
  </w:abstractNum>
  <w:abstractNum w:abstractNumId="4">
    <w:nsid w:val="8C0533C8"/>
    <w:multiLevelType w:val="singleLevel"/>
    <w:tmpl w:val="8C0533C8"/>
    <w:lvl w:ilvl="0" w:tentative="0">
      <w:start w:val="1"/>
      <w:numFmt w:val="decimal"/>
      <w:suff w:val="nothing"/>
      <w:lvlText w:val="%1．"/>
      <w:lvlJc w:val="left"/>
      <w:pPr>
        <w:ind w:left="0" w:firstLine="400"/>
      </w:pPr>
      <w:rPr>
        <w:rFonts w:hint="default"/>
      </w:rPr>
    </w:lvl>
  </w:abstractNum>
  <w:abstractNum w:abstractNumId="5">
    <w:nsid w:val="8EE46CD9"/>
    <w:multiLevelType w:val="singleLevel"/>
    <w:tmpl w:val="8EE46CD9"/>
    <w:lvl w:ilvl="0" w:tentative="0">
      <w:start w:val="1"/>
      <w:numFmt w:val="decimal"/>
      <w:suff w:val="nothing"/>
      <w:lvlText w:val="%1．"/>
      <w:lvlJc w:val="left"/>
      <w:pPr>
        <w:ind w:left="0" w:firstLine="400"/>
      </w:pPr>
      <w:rPr>
        <w:rFonts w:hint="default"/>
      </w:rPr>
    </w:lvl>
  </w:abstractNum>
  <w:abstractNum w:abstractNumId="6">
    <w:nsid w:val="A145CCAE"/>
    <w:multiLevelType w:val="singleLevel"/>
    <w:tmpl w:val="A145CCAE"/>
    <w:lvl w:ilvl="0" w:tentative="0">
      <w:start w:val="1"/>
      <w:numFmt w:val="decimal"/>
      <w:suff w:val="nothing"/>
      <w:lvlText w:val="%1、"/>
      <w:lvlJc w:val="left"/>
    </w:lvl>
  </w:abstractNum>
  <w:abstractNum w:abstractNumId="7">
    <w:nsid w:val="AD086537"/>
    <w:multiLevelType w:val="singleLevel"/>
    <w:tmpl w:val="AD086537"/>
    <w:lvl w:ilvl="0" w:tentative="0">
      <w:start w:val="1"/>
      <w:numFmt w:val="decimalEnclosedCircleChinese"/>
      <w:suff w:val="nothing"/>
      <w:lvlText w:val="%1　"/>
      <w:lvlJc w:val="left"/>
      <w:pPr>
        <w:ind w:left="0" w:firstLine="400"/>
      </w:pPr>
      <w:rPr>
        <w:rFonts w:hint="eastAsia"/>
      </w:rPr>
    </w:lvl>
  </w:abstractNum>
  <w:abstractNum w:abstractNumId="8">
    <w:nsid w:val="B2DB2A94"/>
    <w:multiLevelType w:val="singleLevel"/>
    <w:tmpl w:val="B2DB2A94"/>
    <w:lvl w:ilvl="0" w:tentative="0">
      <w:start w:val="1"/>
      <w:numFmt w:val="decimal"/>
      <w:lvlText w:val="(%1)"/>
      <w:lvlJc w:val="left"/>
      <w:pPr>
        <w:ind w:left="0" w:firstLine="0"/>
      </w:pPr>
    </w:lvl>
  </w:abstractNum>
  <w:abstractNum w:abstractNumId="9">
    <w:nsid w:val="C9BCCE1B"/>
    <w:multiLevelType w:val="singleLevel"/>
    <w:tmpl w:val="C9BCCE1B"/>
    <w:lvl w:ilvl="0" w:tentative="0">
      <w:start w:val="1"/>
      <w:numFmt w:val="decimalEnclosedCircleChinese"/>
      <w:suff w:val="nothing"/>
      <w:lvlText w:val="%1　"/>
      <w:lvlJc w:val="left"/>
      <w:pPr>
        <w:ind w:left="0" w:firstLine="400"/>
      </w:pPr>
      <w:rPr>
        <w:rFonts w:hint="eastAsia"/>
      </w:rPr>
    </w:lvl>
  </w:abstractNum>
  <w:abstractNum w:abstractNumId="10">
    <w:nsid w:val="CB28F82C"/>
    <w:multiLevelType w:val="singleLevel"/>
    <w:tmpl w:val="CB28F82C"/>
    <w:lvl w:ilvl="0" w:tentative="0">
      <w:start w:val="7"/>
      <w:numFmt w:val="chineseCounting"/>
      <w:suff w:val="nothing"/>
      <w:lvlText w:val="%1、"/>
      <w:lvlJc w:val="left"/>
      <w:rPr>
        <w:rFonts w:hint="eastAsia"/>
      </w:rPr>
    </w:lvl>
  </w:abstractNum>
  <w:abstractNum w:abstractNumId="11">
    <w:nsid w:val="CCE2D2EF"/>
    <w:multiLevelType w:val="singleLevel"/>
    <w:tmpl w:val="CCE2D2EF"/>
    <w:lvl w:ilvl="0" w:tentative="0">
      <w:start w:val="1"/>
      <w:numFmt w:val="decimal"/>
      <w:suff w:val="nothing"/>
      <w:lvlText w:val="%1．"/>
      <w:lvlJc w:val="left"/>
      <w:pPr>
        <w:ind w:left="0" w:firstLine="400"/>
      </w:pPr>
      <w:rPr>
        <w:rFonts w:hint="default"/>
      </w:rPr>
    </w:lvl>
  </w:abstractNum>
  <w:abstractNum w:abstractNumId="12">
    <w:nsid w:val="D5BCBB59"/>
    <w:multiLevelType w:val="singleLevel"/>
    <w:tmpl w:val="D5BCBB59"/>
    <w:lvl w:ilvl="0" w:tentative="0">
      <w:start w:val="1"/>
      <w:numFmt w:val="decimalEnclosedCircleChinese"/>
      <w:suff w:val="nothing"/>
      <w:lvlText w:val="%1　"/>
      <w:lvlJc w:val="left"/>
      <w:pPr>
        <w:ind w:left="0" w:firstLine="400"/>
      </w:pPr>
      <w:rPr>
        <w:rFonts w:hint="eastAsia"/>
      </w:rPr>
    </w:lvl>
  </w:abstractNum>
  <w:abstractNum w:abstractNumId="13">
    <w:nsid w:val="E6E7BD96"/>
    <w:multiLevelType w:val="singleLevel"/>
    <w:tmpl w:val="E6E7BD96"/>
    <w:lvl w:ilvl="0" w:tentative="0">
      <w:start w:val="1"/>
      <w:numFmt w:val="decimal"/>
      <w:lvlText w:val="(%1)"/>
      <w:lvlJc w:val="left"/>
      <w:pPr>
        <w:ind w:left="0" w:firstLine="0"/>
      </w:pPr>
    </w:lvl>
  </w:abstractNum>
  <w:abstractNum w:abstractNumId="14">
    <w:nsid w:val="EC070507"/>
    <w:multiLevelType w:val="singleLevel"/>
    <w:tmpl w:val="EC070507"/>
    <w:lvl w:ilvl="0" w:tentative="0">
      <w:start w:val="1"/>
      <w:numFmt w:val="decimal"/>
      <w:suff w:val="nothing"/>
      <w:lvlText w:val="%1．"/>
      <w:lvlJc w:val="left"/>
      <w:pPr>
        <w:ind w:left="0" w:firstLine="400"/>
      </w:pPr>
      <w:rPr>
        <w:rFonts w:hint="default"/>
      </w:rPr>
    </w:lvl>
  </w:abstractNum>
  <w:abstractNum w:abstractNumId="15">
    <w:nsid w:val="EF18A340"/>
    <w:multiLevelType w:val="singleLevel"/>
    <w:tmpl w:val="EF18A340"/>
    <w:lvl w:ilvl="0" w:tentative="0">
      <w:start w:val="1"/>
      <w:numFmt w:val="decimal"/>
      <w:suff w:val="nothing"/>
      <w:lvlText w:val="%1．"/>
      <w:lvlJc w:val="left"/>
      <w:pPr>
        <w:ind w:left="0" w:firstLine="400"/>
      </w:pPr>
      <w:rPr>
        <w:rFonts w:hint="default"/>
      </w:rPr>
    </w:lvl>
  </w:abstractNum>
  <w:abstractNum w:abstractNumId="16">
    <w:nsid w:val="F7A81B1A"/>
    <w:multiLevelType w:val="singleLevel"/>
    <w:tmpl w:val="F7A81B1A"/>
    <w:lvl w:ilvl="0" w:tentative="0">
      <w:start w:val="1"/>
      <w:numFmt w:val="decimalEnclosedCircleChinese"/>
      <w:suff w:val="nothing"/>
      <w:lvlText w:val="%1　"/>
      <w:lvlJc w:val="left"/>
      <w:pPr>
        <w:ind w:left="0" w:firstLine="400"/>
      </w:pPr>
      <w:rPr>
        <w:rFonts w:hint="eastAsia"/>
      </w:rPr>
    </w:lvl>
  </w:abstractNum>
  <w:abstractNum w:abstractNumId="17">
    <w:nsid w:val="F8568C15"/>
    <w:multiLevelType w:val="singleLevel"/>
    <w:tmpl w:val="F8568C15"/>
    <w:lvl w:ilvl="0" w:tentative="0">
      <w:start w:val="1"/>
      <w:numFmt w:val="decimal"/>
      <w:suff w:val="nothing"/>
      <w:lvlText w:val="%1．"/>
      <w:lvlJc w:val="left"/>
      <w:pPr>
        <w:ind w:left="0" w:firstLine="400"/>
      </w:pPr>
      <w:rPr>
        <w:rFonts w:hint="default"/>
      </w:rPr>
    </w:lvl>
  </w:abstractNum>
  <w:abstractNum w:abstractNumId="18">
    <w:nsid w:val="FC2C93FC"/>
    <w:multiLevelType w:val="singleLevel"/>
    <w:tmpl w:val="FC2C93FC"/>
    <w:lvl w:ilvl="0" w:tentative="0">
      <w:start w:val="1"/>
      <w:numFmt w:val="decimalEnclosedCircleChinese"/>
      <w:suff w:val="nothing"/>
      <w:lvlText w:val="%1　"/>
      <w:lvlJc w:val="left"/>
      <w:pPr>
        <w:ind w:left="0" w:firstLine="400"/>
      </w:pPr>
      <w:rPr>
        <w:rFonts w:hint="eastAsia"/>
      </w:rPr>
    </w:lvl>
  </w:abstractNum>
  <w:abstractNum w:abstractNumId="19">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8"/>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0">
    <w:nsid w:val="07C1DE86"/>
    <w:multiLevelType w:val="singleLevel"/>
    <w:tmpl w:val="07C1DE86"/>
    <w:lvl w:ilvl="0" w:tentative="0">
      <w:start w:val="1"/>
      <w:numFmt w:val="decimal"/>
      <w:suff w:val="nothing"/>
      <w:lvlText w:val="%1．"/>
      <w:lvlJc w:val="left"/>
      <w:pPr>
        <w:ind w:left="0" w:firstLine="400"/>
      </w:pPr>
      <w:rPr>
        <w:rFonts w:hint="default"/>
      </w:rPr>
    </w:lvl>
  </w:abstractNum>
  <w:abstractNum w:abstractNumId="21">
    <w:nsid w:val="0A951CA5"/>
    <w:multiLevelType w:val="singleLevel"/>
    <w:tmpl w:val="0A951CA5"/>
    <w:lvl w:ilvl="0" w:tentative="0">
      <w:start w:val="1"/>
      <w:numFmt w:val="decimal"/>
      <w:lvlText w:val="(%1)"/>
      <w:lvlJc w:val="left"/>
      <w:pPr>
        <w:ind w:left="0" w:firstLine="0"/>
      </w:pPr>
    </w:lvl>
  </w:abstractNum>
  <w:abstractNum w:abstractNumId="22">
    <w:nsid w:val="0ABCFCB8"/>
    <w:multiLevelType w:val="singleLevel"/>
    <w:tmpl w:val="0ABCFCB8"/>
    <w:lvl w:ilvl="0" w:tentative="0">
      <w:start w:val="1"/>
      <w:numFmt w:val="decimalEnclosedCircleChinese"/>
      <w:suff w:val="nothing"/>
      <w:lvlText w:val="%1　"/>
      <w:lvlJc w:val="left"/>
      <w:pPr>
        <w:ind w:left="0" w:firstLine="400"/>
      </w:pPr>
      <w:rPr>
        <w:rFonts w:hint="eastAsia"/>
      </w:rPr>
    </w:lvl>
  </w:abstractNum>
  <w:abstractNum w:abstractNumId="23">
    <w:nsid w:val="0D900A10"/>
    <w:multiLevelType w:val="multilevel"/>
    <w:tmpl w:val="0D900A1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0E454A03"/>
    <w:multiLevelType w:val="singleLevel"/>
    <w:tmpl w:val="0E454A03"/>
    <w:lvl w:ilvl="0" w:tentative="0">
      <w:start w:val="1"/>
      <w:numFmt w:val="decimalEnclosedCircleChinese"/>
      <w:suff w:val="nothing"/>
      <w:lvlText w:val="%1　"/>
      <w:lvlJc w:val="left"/>
      <w:pPr>
        <w:ind w:left="0" w:firstLine="400"/>
      </w:pPr>
      <w:rPr>
        <w:rFonts w:hint="eastAsia"/>
      </w:rPr>
    </w:lvl>
  </w:abstractNum>
  <w:abstractNum w:abstractNumId="25">
    <w:nsid w:val="1A8C2DEE"/>
    <w:multiLevelType w:val="multilevel"/>
    <w:tmpl w:val="1A8C2DEE"/>
    <w:lvl w:ilvl="0" w:tentative="0">
      <w:start w:val="1"/>
      <w:numFmt w:val="decimal"/>
      <w:lvlText w:val="%1"/>
      <w:lvlJc w:val="left"/>
      <w:pPr>
        <w:ind w:left="432" w:hanging="432"/>
      </w:pPr>
    </w:lvl>
    <w:lvl w:ilvl="1" w:tentative="0">
      <w:start w:val="1"/>
      <w:numFmt w:val="decimal"/>
      <w:lvlText w:val="%1.%2"/>
      <w:lvlJc w:val="left"/>
      <w:pPr>
        <w:ind w:left="576" w:hanging="576"/>
      </w:pPr>
      <w:rPr>
        <w:b/>
        <w:bCs/>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6">
    <w:nsid w:val="1DF57081"/>
    <w:multiLevelType w:val="multilevel"/>
    <w:tmpl w:val="1DF57081"/>
    <w:lvl w:ilvl="0" w:tentative="0">
      <w:start w:val="1"/>
      <w:numFmt w:val="decimal"/>
      <w:lvlText w:val="4.%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52AF275"/>
    <w:multiLevelType w:val="singleLevel"/>
    <w:tmpl w:val="252AF275"/>
    <w:lvl w:ilvl="0" w:tentative="0">
      <w:start w:val="1"/>
      <w:numFmt w:val="decimal"/>
      <w:suff w:val="nothing"/>
      <w:lvlText w:val="%1．"/>
      <w:lvlJc w:val="left"/>
      <w:pPr>
        <w:ind w:left="0" w:firstLine="400"/>
      </w:pPr>
      <w:rPr>
        <w:rFonts w:hint="default"/>
      </w:rPr>
    </w:lvl>
  </w:abstractNum>
  <w:abstractNum w:abstractNumId="28">
    <w:nsid w:val="28E0DBF2"/>
    <w:multiLevelType w:val="singleLevel"/>
    <w:tmpl w:val="28E0DBF2"/>
    <w:lvl w:ilvl="0" w:tentative="0">
      <w:start w:val="1"/>
      <w:numFmt w:val="decimalEnclosedCircleChinese"/>
      <w:suff w:val="nothing"/>
      <w:lvlText w:val="%1　"/>
      <w:lvlJc w:val="left"/>
      <w:pPr>
        <w:ind w:left="0" w:firstLine="400"/>
      </w:pPr>
      <w:rPr>
        <w:rFonts w:hint="eastAsia"/>
      </w:rPr>
    </w:lvl>
  </w:abstractNum>
  <w:abstractNum w:abstractNumId="29">
    <w:nsid w:val="2AF69EFE"/>
    <w:multiLevelType w:val="singleLevel"/>
    <w:tmpl w:val="2AF69EFE"/>
    <w:lvl w:ilvl="0" w:tentative="0">
      <w:start w:val="1"/>
      <w:numFmt w:val="decimalEnclosedCircleChinese"/>
      <w:suff w:val="nothing"/>
      <w:lvlText w:val="%1　"/>
      <w:lvlJc w:val="left"/>
      <w:pPr>
        <w:ind w:left="0" w:firstLine="400"/>
      </w:pPr>
      <w:rPr>
        <w:rFonts w:hint="eastAsia"/>
      </w:rPr>
    </w:lvl>
  </w:abstractNum>
  <w:abstractNum w:abstractNumId="30">
    <w:nsid w:val="2E755513"/>
    <w:multiLevelType w:val="singleLevel"/>
    <w:tmpl w:val="2E755513"/>
    <w:lvl w:ilvl="0" w:tentative="0">
      <w:start w:val="1"/>
      <w:numFmt w:val="decimalEnclosedCircleChinese"/>
      <w:suff w:val="nothing"/>
      <w:lvlText w:val="%1　"/>
      <w:lvlJc w:val="left"/>
      <w:pPr>
        <w:ind w:left="0" w:firstLine="400"/>
      </w:pPr>
      <w:rPr>
        <w:rFonts w:hint="eastAsia"/>
      </w:rPr>
    </w:lvl>
  </w:abstractNum>
  <w:abstractNum w:abstractNumId="31">
    <w:nsid w:val="2F41DFB9"/>
    <w:multiLevelType w:val="singleLevel"/>
    <w:tmpl w:val="2F41DFB9"/>
    <w:lvl w:ilvl="0" w:tentative="0">
      <w:start w:val="1"/>
      <w:numFmt w:val="decimalEnclosedCircleChinese"/>
      <w:suff w:val="nothing"/>
      <w:lvlText w:val="%1　"/>
      <w:lvlJc w:val="left"/>
      <w:pPr>
        <w:ind w:left="0" w:firstLine="400"/>
      </w:pPr>
      <w:rPr>
        <w:rFonts w:hint="eastAsia"/>
      </w:rPr>
    </w:lvl>
  </w:abstractNum>
  <w:abstractNum w:abstractNumId="32">
    <w:nsid w:val="33D41AC1"/>
    <w:multiLevelType w:val="singleLevel"/>
    <w:tmpl w:val="33D41AC1"/>
    <w:lvl w:ilvl="0" w:tentative="0">
      <w:start w:val="1"/>
      <w:numFmt w:val="decimal"/>
      <w:lvlText w:val="(%1)"/>
      <w:lvlJc w:val="left"/>
      <w:pPr>
        <w:ind w:left="0" w:firstLine="0"/>
      </w:pPr>
    </w:lvl>
  </w:abstractNum>
  <w:abstractNum w:abstractNumId="33">
    <w:nsid w:val="3E1D1F0C"/>
    <w:multiLevelType w:val="singleLevel"/>
    <w:tmpl w:val="3E1D1F0C"/>
    <w:lvl w:ilvl="0" w:tentative="0">
      <w:start w:val="1"/>
      <w:numFmt w:val="decimal"/>
      <w:lvlText w:val="(%1)"/>
      <w:lvlJc w:val="left"/>
      <w:pPr>
        <w:ind w:left="0" w:firstLine="0"/>
      </w:pPr>
    </w:lvl>
  </w:abstractNum>
  <w:abstractNum w:abstractNumId="3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58"/>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B9DD18D"/>
    <w:multiLevelType w:val="singleLevel"/>
    <w:tmpl w:val="4B9DD18D"/>
    <w:lvl w:ilvl="0" w:tentative="0">
      <w:start w:val="1"/>
      <w:numFmt w:val="decimalEnclosedCircleChinese"/>
      <w:suff w:val="nothing"/>
      <w:lvlText w:val="%1　"/>
      <w:lvlJc w:val="left"/>
      <w:pPr>
        <w:ind w:left="0" w:firstLine="400"/>
      </w:pPr>
      <w:rPr>
        <w:rFonts w:hint="eastAsia"/>
      </w:rPr>
    </w:lvl>
  </w:abstractNum>
  <w:abstractNum w:abstractNumId="36">
    <w:nsid w:val="5277D1E3"/>
    <w:multiLevelType w:val="singleLevel"/>
    <w:tmpl w:val="5277D1E3"/>
    <w:lvl w:ilvl="0" w:tentative="0">
      <w:start w:val="1"/>
      <w:numFmt w:val="decimalEnclosedCircleChinese"/>
      <w:suff w:val="nothing"/>
      <w:lvlText w:val="%1　"/>
      <w:lvlJc w:val="left"/>
      <w:pPr>
        <w:ind w:left="0" w:firstLine="400"/>
      </w:pPr>
      <w:rPr>
        <w:rFonts w:hint="eastAsia"/>
      </w:rPr>
    </w:lvl>
  </w:abstractNum>
  <w:abstractNum w:abstractNumId="37">
    <w:nsid w:val="52C27F4E"/>
    <w:multiLevelType w:val="singleLevel"/>
    <w:tmpl w:val="52C27F4E"/>
    <w:lvl w:ilvl="0" w:tentative="0">
      <w:start w:val="1"/>
      <w:numFmt w:val="decimalEnclosedCircleChinese"/>
      <w:suff w:val="nothing"/>
      <w:lvlText w:val="%1　"/>
      <w:lvlJc w:val="left"/>
      <w:pPr>
        <w:ind w:left="0" w:firstLine="400"/>
      </w:pPr>
      <w:rPr>
        <w:rFonts w:hint="eastAsia"/>
      </w:rPr>
    </w:lvl>
  </w:abstractNum>
  <w:abstractNum w:abstractNumId="38">
    <w:nsid w:val="5331F974"/>
    <w:multiLevelType w:val="singleLevel"/>
    <w:tmpl w:val="5331F974"/>
    <w:lvl w:ilvl="0" w:tentative="0">
      <w:start w:val="1"/>
      <w:numFmt w:val="decimalEnclosedCircleChinese"/>
      <w:suff w:val="nothing"/>
      <w:lvlText w:val="%1　"/>
      <w:lvlJc w:val="left"/>
      <w:pPr>
        <w:ind w:left="0" w:firstLine="400"/>
      </w:pPr>
      <w:rPr>
        <w:rFonts w:hint="eastAsia"/>
      </w:rPr>
    </w:lvl>
  </w:abstractNum>
  <w:abstractNum w:abstractNumId="39">
    <w:nsid w:val="60C8F99C"/>
    <w:multiLevelType w:val="singleLevel"/>
    <w:tmpl w:val="60C8F99C"/>
    <w:lvl w:ilvl="0" w:tentative="0">
      <w:start w:val="6"/>
      <w:numFmt w:val="chineseCounting"/>
      <w:suff w:val="nothing"/>
      <w:lvlText w:val="%1、"/>
      <w:lvlJc w:val="left"/>
      <w:rPr>
        <w:rFonts w:hint="eastAsia"/>
      </w:rPr>
    </w:lvl>
  </w:abstractNum>
  <w:abstractNum w:abstractNumId="40">
    <w:nsid w:val="64EF7B98"/>
    <w:multiLevelType w:val="singleLevel"/>
    <w:tmpl w:val="64EF7B98"/>
    <w:lvl w:ilvl="0" w:tentative="0">
      <w:start w:val="1"/>
      <w:numFmt w:val="decimal"/>
      <w:lvlText w:val="(%1)"/>
      <w:lvlJc w:val="left"/>
      <w:pPr>
        <w:ind w:left="0" w:firstLine="0"/>
      </w:pPr>
    </w:lvl>
  </w:abstractNum>
  <w:abstractNum w:abstractNumId="41">
    <w:nsid w:val="6598B15A"/>
    <w:multiLevelType w:val="singleLevel"/>
    <w:tmpl w:val="6598B15A"/>
    <w:lvl w:ilvl="0" w:tentative="0">
      <w:start w:val="2"/>
      <w:numFmt w:val="decimal"/>
      <w:suff w:val="nothing"/>
      <w:lvlText w:val="%1、"/>
      <w:lvlJc w:val="left"/>
    </w:lvl>
  </w:abstractNum>
  <w:abstractNum w:abstractNumId="42">
    <w:nsid w:val="6CB4C3CB"/>
    <w:multiLevelType w:val="singleLevel"/>
    <w:tmpl w:val="6CB4C3CB"/>
    <w:lvl w:ilvl="0" w:tentative="0">
      <w:start w:val="8"/>
      <w:numFmt w:val="chineseCounting"/>
      <w:suff w:val="nothing"/>
      <w:lvlText w:val="%1、"/>
      <w:lvlJc w:val="left"/>
      <w:rPr>
        <w:rFonts w:hint="eastAsia"/>
      </w:rPr>
    </w:lvl>
  </w:abstractNum>
  <w:abstractNum w:abstractNumId="43">
    <w:nsid w:val="774B5501"/>
    <w:multiLevelType w:val="singleLevel"/>
    <w:tmpl w:val="774B5501"/>
    <w:lvl w:ilvl="0" w:tentative="0">
      <w:start w:val="1"/>
      <w:numFmt w:val="chineseCounting"/>
      <w:suff w:val="nothing"/>
      <w:lvlText w:val="%1、"/>
      <w:lvlJc w:val="left"/>
      <w:pPr>
        <w:ind w:left="0" w:firstLine="0"/>
      </w:pPr>
    </w:lvl>
  </w:abstractNum>
  <w:abstractNum w:abstractNumId="44">
    <w:nsid w:val="78AA0629"/>
    <w:multiLevelType w:val="singleLevel"/>
    <w:tmpl w:val="78AA0629"/>
    <w:lvl w:ilvl="0" w:tentative="0">
      <w:start w:val="1"/>
      <w:numFmt w:val="decimalEnclosedCircleChinese"/>
      <w:suff w:val="nothing"/>
      <w:lvlText w:val="%1　"/>
      <w:lvlJc w:val="left"/>
      <w:pPr>
        <w:ind w:left="0" w:firstLine="400"/>
      </w:pPr>
      <w:rPr>
        <w:rFonts w:hint="eastAsia"/>
      </w:rPr>
    </w:lvl>
  </w:abstractNum>
  <w:num w:numId="1">
    <w:abstractNumId w:val="19"/>
  </w:num>
  <w:num w:numId="2">
    <w:abstractNumId w:val="34"/>
  </w:num>
  <w:num w:numId="3">
    <w:abstractNumId w:val="6"/>
  </w:num>
  <w:num w:numId="4">
    <w:abstractNumId w:val="0"/>
  </w:num>
  <w:num w:numId="5">
    <w:abstractNumId w:val="39"/>
  </w:num>
  <w:num w:numId="6">
    <w:abstractNumId w:val="10"/>
  </w:num>
  <w:num w:numId="7">
    <w:abstractNumId w:val="42"/>
  </w:num>
  <w:num w:numId="8">
    <w:abstractNumId w:val="41"/>
  </w:num>
  <w:num w:numId="9">
    <w:abstractNumId w:val="43"/>
  </w:num>
  <w:num w:numId="10">
    <w:abstractNumId w:val="2"/>
  </w:num>
  <w:num w:numId="11">
    <w:abstractNumId w:val="23"/>
  </w:num>
  <w:num w:numId="12">
    <w:abstractNumId w:val="4"/>
  </w:num>
  <w:num w:numId="13">
    <w:abstractNumId w:val="15"/>
  </w:num>
  <w:num w:numId="14">
    <w:abstractNumId w:val="21"/>
  </w:num>
  <w:num w:numId="15">
    <w:abstractNumId w:val="29"/>
  </w:num>
  <w:num w:numId="16">
    <w:abstractNumId w:val="1"/>
  </w:num>
  <w:num w:numId="17">
    <w:abstractNumId w:val="30"/>
  </w:num>
  <w:num w:numId="18">
    <w:abstractNumId w:val="7"/>
  </w:num>
  <w:num w:numId="19">
    <w:abstractNumId w:val="38"/>
  </w:num>
  <w:num w:numId="20">
    <w:abstractNumId w:val="24"/>
  </w:num>
  <w:num w:numId="21">
    <w:abstractNumId w:val="18"/>
  </w:num>
  <w:num w:numId="22">
    <w:abstractNumId w:val="26"/>
  </w:num>
  <w:num w:numId="23">
    <w:abstractNumId w:val="32"/>
  </w:num>
  <w:num w:numId="24">
    <w:abstractNumId w:val="40"/>
  </w:num>
  <w:num w:numId="25">
    <w:abstractNumId w:val="33"/>
  </w:num>
  <w:num w:numId="26">
    <w:abstractNumId w:val="8"/>
  </w:num>
  <w:num w:numId="27">
    <w:abstractNumId w:val="13"/>
  </w:num>
  <w:num w:numId="28">
    <w:abstractNumId w:val="12"/>
  </w:num>
  <w:num w:numId="29">
    <w:abstractNumId w:val="31"/>
  </w:num>
  <w:num w:numId="30">
    <w:abstractNumId w:val="35"/>
  </w:num>
  <w:num w:numId="31">
    <w:abstractNumId w:val="16"/>
  </w:num>
  <w:num w:numId="32">
    <w:abstractNumId w:val="37"/>
  </w:num>
  <w:num w:numId="33">
    <w:abstractNumId w:val="9"/>
  </w:num>
  <w:num w:numId="34">
    <w:abstractNumId w:val="25"/>
  </w:num>
  <w:num w:numId="35">
    <w:abstractNumId w:val="17"/>
  </w:num>
  <w:num w:numId="36">
    <w:abstractNumId w:val="5"/>
  </w:num>
  <w:num w:numId="37">
    <w:abstractNumId w:val="11"/>
  </w:num>
  <w:num w:numId="38">
    <w:abstractNumId w:val="36"/>
  </w:num>
  <w:num w:numId="39">
    <w:abstractNumId w:val="22"/>
  </w:num>
  <w:num w:numId="40">
    <w:abstractNumId w:val="28"/>
  </w:num>
  <w:num w:numId="41">
    <w:abstractNumId w:val="44"/>
  </w:num>
  <w:num w:numId="42">
    <w:abstractNumId w:val="14"/>
  </w:num>
  <w:num w:numId="43">
    <w:abstractNumId w:val="20"/>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51B6"/>
    <w:rsid w:val="006D6F44"/>
    <w:rsid w:val="00736F86"/>
    <w:rsid w:val="00754BD2"/>
    <w:rsid w:val="00A21929"/>
    <w:rsid w:val="00AD511E"/>
    <w:rsid w:val="00BD6145"/>
    <w:rsid w:val="00CC135F"/>
    <w:rsid w:val="00D651EE"/>
    <w:rsid w:val="00DF7C4C"/>
    <w:rsid w:val="00F846DC"/>
    <w:rsid w:val="011A058D"/>
    <w:rsid w:val="01867EF0"/>
    <w:rsid w:val="02563B57"/>
    <w:rsid w:val="02FC0103"/>
    <w:rsid w:val="03922815"/>
    <w:rsid w:val="057C2119"/>
    <w:rsid w:val="065A49AA"/>
    <w:rsid w:val="079A17ED"/>
    <w:rsid w:val="0822466A"/>
    <w:rsid w:val="082F62F4"/>
    <w:rsid w:val="0AE36F06"/>
    <w:rsid w:val="0B0D4C33"/>
    <w:rsid w:val="0D850FBB"/>
    <w:rsid w:val="0DD87DE8"/>
    <w:rsid w:val="0F2310FF"/>
    <w:rsid w:val="0F887012"/>
    <w:rsid w:val="11B80856"/>
    <w:rsid w:val="133C4867"/>
    <w:rsid w:val="14F00AA2"/>
    <w:rsid w:val="15BA29AC"/>
    <w:rsid w:val="160D123C"/>
    <w:rsid w:val="16B65467"/>
    <w:rsid w:val="17764E3E"/>
    <w:rsid w:val="18A04871"/>
    <w:rsid w:val="19C17CAA"/>
    <w:rsid w:val="1B0A4206"/>
    <w:rsid w:val="1BD7260B"/>
    <w:rsid w:val="1BE331C5"/>
    <w:rsid w:val="1C111736"/>
    <w:rsid w:val="1C37598E"/>
    <w:rsid w:val="1D5252D9"/>
    <w:rsid w:val="1DC57731"/>
    <w:rsid w:val="1DD957B9"/>
    <w:rsid w:val="1F48390E"/>
    <w:rsid w:val="1F684E59"/>
    <w:rsid w:val="20001D6A"/>
    <w:rsid w:val="206A5E42"/>
    <w:rsid w:val="21F17D04"/>
    <w:rsid w:val="2229259D"/>
    <w:rsid w:val="237E40D2"/>
    <w:rsid w:val="23E03502"/>
    <w:rsid w:val="246C62EA"/>
    <w:rsid w:val="24AE1898"/>
    <w:rsid w:val="24D65801"/>
    <w:rsid w:val="25302162"/>
    <w:rsid w:val="256F4866"/>
    <w:rsid w:val="26537F4E"/>
    <w:rsid w:val="26592325"/>
    <w:rsid w:val="267C3185"/>
    <w:rsid w:val="27BC2A5B"/>
    <w:rsid w:val="27CD0559"/>
    <w:rsid w:val="28BC5ABB"/>
    <w:rsid w:val="28D601EB"/>
    <w:rsid w:val="296C3771"/>
    <w:rsid w:val="2ACF41CB"/>
    <w:rsid w:val="2AEC5A97"/>
    <w:rsid w:val="2CB2345D"/>
    <w:rsid w:val="2E096E23"/>
    <w:rsid w:val="2FB971F8"/>
    <w:rsid w:val="301A2DFD"/>
    <w:rsid w:val="304A3722"/>
    <w:rsid w:val="3062625C"/>
    <w:rsid w:val="31D609DB"/>
    <w:rsid w:val="31E01A47"/>
    <w:rsid w:val="32382833"/>
    <w:rsid w:val="329E236C"/>
    <w:rsid w:val="33BB7ADC"/>
    <w:rsid w:val="342078D1"/>
    <w:rsid w:val="350A08F1"/>
    <w:rsid w:val="368A6A0B"/>
    <w:rsid w:val="374271D8"/>
    <w:rsid w:val="37D739CE"/>
    <w:rsid w:val="38BB1E22"/>
    <w:rsid w:val="38E01351"/>
    <w:rsid w:val="38EF5A38"/>
    <w:rsid w:val="39AC534F"/>
    <w:rsid w:val="39D119E0"/>
    <w:rsid w:val="3D661449"/>
    <w:rsid w:val="3DEA15D4"/>
    <w:rsid w:val="3DEF0E9E"/>
    <w:rsid w:val="3EA76402"/>
    <w:rsid w:val="3F143436"/>
    <w:rsid w:val="3FA92EE1"/>
    <w:rsid w:val="40A50767"/>
    <w:rsid w:val="40C1415E"/>
    <w:rsid w:val="4111524F"/>
    <w:rsid w:val="41686388"/>
    <w:rsid w:val="419378A9"/>
    <w:rsid w:val="428C078D"/>
    <w:rsid w:val="44F71EFD"/>
    <w:rsid w:val="45AB2CE7"/>
    <w:rsid w:val="477D2E4A"/>
    <w:rsid w:val="480908C5"/>
    <w:rsid w:val="486F624E"/>
    <w:rsid w:val="48F91625"/>
    <w:rsid w:val="492B03C7"/>
    <w:rsid w:val="494C5A26"/>
    <w:rsid w:val="49AB391A"/>
    <w:rsid w:val="4A3A4A1F"/>
    <w:rsid w:val="4ABA3D35"/>
    <w:rsid w:val="4BB350A6"/>
    <w:rsid w:val="4C522C98"/>
    <w:rsid w:val="4C8449BE"/>
    <w:rsid w:val="4CC27294"/>
    <w:rsid w:val="4F525097"/>
    <w:rsid w:val="501A62B0"/>
    <w:rsid w:val="506C358F"/>
    <w:rsid w:val="511215A9"/>
    <w:rsid w:val="5223325C"/>
    <w:rsid w:val="5334431C"/>
    <w:rsid w:val="54AB554E"/>
    <w:rsid w:val="54F55CD0"/>
    <w:rsid w:val="55666F24"/>
    <w:rsid w:val="55A7171D"/>
    <w:rsid w:val="567E11E9"/>
    <w:rsid w:val="56933C1B"/>
    <w:rsid w:val="57FA24E2"/>
    <w:rsid w:val="585F4408"/>
    <w:rsid w:val="58D00F8B"/>
    <w:rsid w:val="5AEB1782"/>
    <w:rsid w:val="5D54355A"/>
    <w:rsid w:val="5E17254C"/>
    <w:rsid w:val="60077FCA"/>
    <w:rsid w:val="616427FD"/>
    <w:rsid w:val="61F10144"/>
    <w:rsid w:val="656A1E1F"/>
    <w:rsid w:val="65983367"/>
    <w:rsid w:val="66CE7BBE"/>
    <w:rsid w:val="67982C74"/>
    <w:rsid w:val="69112CDD"/>
    <w:rsid w:val="69A022B3"/>
    <w:rsid w:val="6B4E536C"/>
    <w:rsid w:val="6BD928AA"/>
    <w:rsid w:val="6C183D6E"/>
    <w:rsid w:val="6D8A0DDF"/>
    <w:rsid w:val="724E21E5"/>
    <w:rsid w:val="7352461E"/>
    <w:rsid w:val="757B4FC6"/>
    <w:rsid w:val="760616F0"/>
    <w:rsid w:val="7654306E"/>
    <w:rsid w:val="795641A9"/>
    <w:rsid w:val="7A4B1DC7"/>
    <w:rsid w:val="7AD26B8E"/>
    <w:rsid w:val="7ADF569A"/>
    <w:rsid w:val="7CCD055A"/>
    <w:rsid w:val="7D7257F9"/>
    <w:rsid w:val="7D95153D"/>
    <w:rsid w:val="7D980184"/>
    <w:rsid w:val="7D9F0FBC"/>
    <w:rsid w:val="7EE27891"/>
    <w:rsid w:val="7F21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after="330" w:line="578" w:lineRule="auto"/>
    </w:pPr>
    <w:rPr>
      <w:rFonts w:ascii="Calibri" w:hAnsi="Calibri"/>
      <w:kern w:val="44"/>
      <w:sz w:val="44"/>
      <w:szCs w:val="44"/>
    </w:rPr>
  </w:style>
  <w:style w:type="paragraph" w:styleId="5">
    <w:name w:val="heading 2"/>
    <w:basedOn w:val="6"/>
    <w:next w:val="1"/>
    <w:qFormat/>
    <w:uiPriority w:val="0"/>
    <w:pPr>
      <w:keepLines/>
      <w:spacing w:before="260" w:after="260" w:line="416" w:lineRule="auto"/>
      <w:outlineLvl w:val="1"/>
    </w:pPr>
    <w:rPr>
      <w:rFonts w:ascii="Arial" w:hAnsi="Arial" w:eastAsia="黑体"/>
      <w:bCs/>
      <w:szCs w:val="32"/>
    </w:rPr>
  </w:style>
  <w:style w:type="paragraph" w:styleId="7">
    <w:name w:val="heading 3"/>
    <w:basedOn w:val="1"/>
    <w:next w:val="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ind w:left="1260" w:leftChars="600"/>
    </w:p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53"/>
    <w:qFormat/>
    <w:uiPriority w:val="0"/>
    <w:pPr>
      <w:jc w:val="left"/>
    </w:pPr>
  </w:style>
  <w:style w:type="paragraph" w:styleId="12">
    <w:name w:val="index 6"/>
    <w:basedOn w:val="1"/>
    <w:next w:val="1"/>
    <w:qFormat/>
    <w:uiPriority w:val="99"/>
    <w:pPr>
      <w:adjustRightInd w:val="0"/>
      <w:snapToGrid w:val="0"/>
      <w:ind w:left="2100"/>
    </w:pPr>
    <w:rPr>
      <w:rFonts w:ascii="Times New Roman" w:hAnsi="Times New Roman"/>
      <w:szCs w:val="21"/>
    </w:rPr>
  </w:style>
  <w:style w:type="paragraph" w:styleId="13">
    <w:name w:val="Body Text"/>
    <w:basedOn w:val="1"/>
    <w:next w:val="1"/>
    <w:qFormat/>
    <w:uiPriority w:val="0"/>
    <w:pPr>
      <w:spacing w:after="120"/>
    </w:pPr>
  </w:style>
  <w:style w:type="paragraph" w:styleId="14">
    <w:name w:val="Body Text Indent"/>
    <w:basedOn w:val="1"/>
    <w:next w:val="15"/>
    <w:qFormat/>
    <w:uiPriority w:val="0"/>
    <w:pPr>
      <w:ind w:firstLine="630"/>
    </w:pPr>
    <w:rPr>
      <w:sz w:val="32"/>
      <w:szCs w:val="20"/>
    </w:rPr>
  </w:style>
  <w:style w:type="paragraph" w:styleId="15">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52"/>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99"/>
    <w:pPr>
      <w:snapToGrid w:val="0"/>
    </w:pPr>
    <w:rPr>
      <w:rFonts w:ascii="Arial" w:hAnsi="Arial" w:cs="Arial"/>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pPr>
      <w:spacing w:line="480" w:lineRule="auto"/>
    </w:pPr>
    <w:rPr>
      <w:rFonts w:ascii="Times New Roman" w:hAnsi="Times New Roman"/>
      <w:sz w:val="30"/>
    </w:rPr>
  </w:style>
  <w:style w:type="paragraph" w:styleId="23">
    <w:name w:val="index heading"/>
    <w:basedOn w:val="1"/>
    <w:next w:val="24"/>
    <w:qFormat/>
    <w:uiPriority w:val="0"/>
    <w:pPr>
      <w:adjustRightInd w:val="0"/>
      <w:spacing w:line="312" w:lineRule="atLeast"/>
      <w:textAlignment w:val="baseline"/>
    </w:pPr>
    <w:rPr>
      <w:rFonts w:ascii="Arial" w:hAnsi="Arial" w:eastAsia="仿宋" w:cs="Arial"/>
      <w:b/>
      <w:bCs/>
      <w:kern w:val="0"/>
      <w:sz w:val="32"/>
      <w:szCs w:val="20"/>
    </w:rPr>
  </w:style>
  <w:style w:type="paragraph" w:styleId="24">
    <w:name w:val="index 1"/>
    <w:basedOn w:val="1"/>
    <w:next w:val="1"/>
    <w:unhideWhenUsed/>
    <w:qFormat/>
    <w:uiPriority w:val="0"/>
  </w:style>
  <w:style w:type="paragraph" w:styleId="25">
    <w:name w:val="List 5"/>
    <w:basedOn w:val="1"/>
    <w:qFormat/>
    <w:uiPriority w:val="0"/>
    <w:pPr>
      <w:ind w:left="2100" w:hanging="420"/>
    </w:pPr>
    <w:rPr>
      <w:rFonts w:eastAsia="楷体_GB2312"/>
      <w:sz w:val="32"/>
      <w:szCs w:val="20"/>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4"/>
    <w:qFormat/>
    <w:uiPriority w:val="0"/>
    <w:rPr>
      <w:b/>
      <w:bCs/>
    </w:rPr>
  </w:style>
  <w:style w:type="paragraph" w:styleId="28">
    <w:name w:val="Body Text First Indent"/>
    <w:basedOn w:val="13"/>
    <w:next w:val="1"/>
    <w:qFormat/>
    <w:uiPriority w:val="0"/>
    <w:pPr>
      <w:ind w:firstLine="420" w:firstLineChars="100"/>
    </w:pPr>
  </w:style>
  <w:style w:type="paragraph" w:styleId="29">
    <w:name w:val="Body Text First Indent 2"/>
    <w:basedOn w:val="14"/>
    <w:next w:val="13"/>
    <w:qFormat/>
    <w:uiPriority w:val="0"/>
    <w:pPr>
      <w:ind w:firstLine="420"/>
    </w:pPr>
  </w:style>
  <w:style w:type="character" w:styleId="32">
    <w:name w:val="Strong"/>
    <w:basedOn w:val="31"/>
    <w:qFormat/>
    <w:uiPriority w:val="22"/>
    <w:rPr>
      <w:b/>
      <w:bCs/>
    </w:rPr>
  </w:style>
  <w:style w:type="character" w:styleId="33">
    <w:name w:val="Hyperlink"/>
    <w:basedOn w:val="31"/>
    <w:qFormat/>
    <w:uiPriority w:val="0"/>
    <w:rPr>
      <w:rFonts w:ascii="Times New Roman" w:hAnsi="Times New Roman" w:eastAsia="微软雅黑" w:cs="Times New Roman"/>
      <w:color w:val="0000FF"/>
      <w:u w:val="single"/>
    </w:rPr>
  </w:style>
  <w:style w:type="character" w:styleId="34">
    <w:name w:val="annotation reference"/>
    <w:basedOn w:val="31"/>
    <w:qFormat/>
    <w:uiPriority w:val="0"/>
    <w:rPr>
      <w:sz w:val="21"/>
      <w:szCs w:val="21"/>
    </w:rPr>
  </w:style>
  <w:style w:type="paragraph" w:customStyle="1" w:styleId="35">
    <w:name w:val="样式1"/>
    <w:basedOn w:val="1"/>
    <w:next w:val="36"/>
    <w:qFormat/>
    <w:uiPriority w:val="0"/>
    <w:pPr>
      <w:spacing w:before="120" w:beforeLines="0" w:after="120" w:afterLines="0"/>
    </w:pPr>
  </w:style>
  <w:style w:type="paragraph" w:customStyle="1" w:styleId="36">
    <w:name w:val="样式2"/>
    <w:basedOn w:val="1"/>
    <w:qFormat/>
    <w:uiPriority w:val="0"/>
    <w:pPr>
      <w:spacing w:before="120" w:beforeLines="0" w:after="120" w:afterLines="0"/>
    </w:pPr>
  </w:style>
  <w:style w:type="character" w:customStyle="1" w:styleId="37">
    <w:name w:val="NormalCharacter"/>
    <w:link w:val="38"/>
    <w:qFormat/>
    <w:uiPriority w:val="0"/>
  </w:style>
  <w:style w:type="paragraph" w:customStyle="1" w:styleId="38">
    <w:name w:val="UserStyle_5"/>
    <w:basedOn w:val="1"/>
    <w:link w:val="37"/>
    <w:qFormat/>
    <w:uiPriority w:val="0"/>
    <w:pPr>
      <w:widowControl/>
      <w:spacing w:after="160" w:line="240" w:lineRule="exact"/>
      <w:jc w:val="left"/>
      <w:textAlignment w:val="baseline"/>
    </w:pPr>
  </w:style>
  <w:style w:type="character" w:customStyle="1" w:styleId="39">
    <w:name w:val="UserStyle_3"/>
    <w:qFormat/>
    <w:uiPriority w:val="0"/>
    <w:rPr>
      <w:rFonts w:ascii="宋体" w:hAnsi="宋体" w:eastAsia="宋体"/>
      <w:b/>
      <w:sz w:val="32"/>
      <w:szCs w:val="32"/>
    </w:rPr>
  </w:style>
  <w:style w:type="paragraph" w:customStyle="1" w:styleId="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4正文"/>
    <w:basedOn w:val="1"/>
    <w:qFormat/>
    <w:uiPriority w:val="0"/>
    <w:pPr>
      <w:snapToGrid w:val="0"/>
      <w:spacing w:line="360" w:lineRule="auto"/>
      <w:ind w:firstLine="480" w:firstLineChars="200"/>
    </w:pPr>
    <w:rPr>
      <w:rFonts w:eastAsia="仿宋"/>
      <w:sz w:val="24"/>
    </w:rPr>
  </w:style>
  <w:style w:type="paragraph" w:customStyle="1" w:styleId="42">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3">
    <w:name w:val="标题 1 Char"/>
    <w:link w:val="4"/>
    <w:qFormat/>
    <w:uiPriority w:val="0"/>
    <w:rPr>
      <w:rFonts w:ascii="Calibri" w:hAnsi="Calibri" w:eastAsia="宋体" w:cs="Times New Roman"/>
      <w:kern w:val="44"/>
      <w:sz w:val="44"/>
      <w:szCs w:val="44"/>
    </w:rPr>
  </w:style>
  <w:style w:type="paragraph" w:customStyle="1" w:styleId="44">
    <w:name w:val="Table Paragraph"/>
    <w:basedOn w:val="1"/>
    <w:unhideWhenUsed/>
    <w:qFormat/>
    <w:uiPriority w:val="1"/>
    <w:rPr>
      <w:sz w:val="24"/>
    </w:rPr>
  </w:style>
  <w:style w:type="paragraph" w:customStyle="1" w:styleId="45">
    <w:name w:val="列出段落1"/>
    <w:basedOn w:val="1"/>
    <w:qFormat/>
    <w:uiPriority w:val="0"/>
    <w:pPr>
      <w:spacing w:line="360" w:lineRule="auto"/>
      <w:ind w:firstLine="420" w:firstLineChars="200"/>
    </w:pPr>
    <w:rPr>
      <w:rFonts w:ascii="等线" w:hAnsi="等线"/>
      <w:szCs w:val="22"/>
    </w:rPr>
  </w:style>
  <w:style w:type="paragraph" w:customStyle="1" w:styleId="46">
    <w:name w:val="样式 正文缩进 + 首行缩进:  2 字符"/>
    <w:basedOn w:val="2"/>
    <w:qFormat/>
    <w:uiPriority w:val="0"/>
    <w:pPr>
      <w:spacing w:line="360" w:lineRule="auto"/>
      <w:ind w:firstLine="200"/>
    </w:pPr>
    <w:rPr>
      <w:rFonts w:cs="宋体"/>
      <w:sz w:val="24"/>
      <w:szCs w:val="20"/>
    </w:rPr>
  </w:style>
  <w:style w:type="paragraph" w:customStyle="1" w:styleId="47">
    <w:name w:val="WPS Plain"/>
    <w:basedOn w:val="1"/>
    <w:qFormat/>
    <w:uiPriority w:val="0"/>
    <w:pPr>
      <w:widowControl/>
      <w:jc w:val="left"/>
    </w:pPr>
    <w:rPr>
      <w:rFonts w:ascii="Times New Roman"/>
      <w:sz w:val="24"/>
    </w:rPr>
  </w:style>
  <w:style w:type="paragraph" w:customStyle="1" w:styleId="48">
    <w:name w:val="普通(网站)1"/>
    <w:basedOn w:val="1"/>
    <w:qFormat/>
    <w:uiPriority w:val="0"/>
    <w:pPr>
      <w:jc w:val="left"/>
    </w:pPr>
    <w:rPr>
      <w:kern w:val="0"/>
      <w:sz w:val="24"/>
    </w:rPr>
  </w:style>
  <w:style w:type="paragraph" w:customStyle="1" w:styleId="49">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0">
    <w:name w:val="纯文本1"/>
    <w:basedOn w:val="1"/>
    <w:qFormat/>
    <w:uiPriority w:val="0"/>
    <w:rPr>
      <w:rFonts w:ascii="宋体" w:hAnsi="Courier New"/>
      <w:szCs w:val="22"/>
    </w:rPr>
  </w:style>
  <w:style w:type="paragraph" w:styleId="51">
    <w:name w:val="List Paragraph"/>
    <w:basedOn w:val="1"/>
    <w:qFormat/>
    <w:uiPriority w:val="99"/>
    <w:pPr>
      <w:ind w:firstLine="420" w:firstLineChars="200"/>
    </w:pPr>
  </w:style>
  <w:style w:type="character" w:customStyle="1" w:styleId="52">
    <w:name w:val="批注框文本 Char"/>
    <w:basedOn w:val="31"/>
    <w:link w:val="18"/>
    <w:qFormat/>
    <w:uiPriority w:val="0"/>
    <w:rPr>
      <w:rFonts w:ascii="Calibri" w:hAnsi="Calibri"/>
      <w:kern w:val="2"/>
      <w:sz w:val="18"/>
      <w:szCs w:val="18"/>
    </w:rPr>
  </w:style>
  <w:style w:type="character" w:customStyle="1" w:styleId="53">
    <w:name w:val="批注文字 Char"/>
    <w:basedOn w:val="31"/>
    <w:link w:val="11"/>
    <w:qFormat/>
    <w:uiPriority w:val="0"/>
    <w:rPr>
      <w:rFonts w:ascii="Calibri" w:hAnsi="Calibri"/>
      <w:kern w:val="2"/>
      <w:sz w:val="21"/>
      <w:szCs w:val="24"/>
    </w:rPr>
  </w:style>
  <w:style w:type="character" w:customStyle="1" w:styleId="54">
    <w:name w:val="批注主题 Char"/>
    <w:basedOn w:val="53"/>
    <w:link w:val="27"/>
    <w:qFormat/>
    <w:uiPriority w:val="0"/>
    <w:rPr>
      <w:rFonts w:ascii="Calibri" w:hAnsi="Calibri"/>
      <w:b/>
      <w:bCs/>
      <w:kern w:val="2"/>
      <w:sz w:val="21"/>
      <w:szCs w:val="24"/>
    </w:rPr>
  </w:style>
  <w:style w:type="paragraph" w:customStyle="1" w:styleId="55">
    <w:name w:val="普通(网站)2"/>
    <w:basedOn w:val="1"/>
    <w:qFormat/>
    <w:uiPriority w:val="0"/>
    <w:pPr>
      <w:jc w:val="left"/>
    </w:pPr>
    <w:rPr>
      <w:rFonts w:ascii="Times New Roman" w:hAnsi="Times New Roman"/>
      <w:kern w:val="0"/>
      <w:sz w:val="24"/>
    </w:rPr>
  </w:style>
  <w:style w:type="paragraph" w:customStyle="1" w:styleId="5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8">
    <w:name w:val="题注5"/>
    <w:basedOn w:val="1"/>
    <w:next w:val="9"/>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5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正文_1"/>
    <w:qFormat/>
    <w:uiPriority w:val="0"/>
    <w:pPr>
      <w:widowControl w:val="0"/>
      <w:jc w:val="both"/>
    </w:pPr>
    <w:rPr>
      <w:rFonts w:ascii="Calibri" w:hAnsi="Calibri" w:eastAsia="宋体" w:cs="Times New Roman"/>
      <w:kern w:val="2"/>
      <w:sz w:val="21"/>
      <w:szCs w:val="24"/>
      <w:lang w:val="en-US" w:eastAsia="zh-CN" w:bidi="ar-SA"/>
    </w:rPr>
  </w:style>
  <w:style w:type="table" w:customStyle="1" w:styleId="61">
    <w:name w:val="无格式表格 11"/>
    <w:basedOn w:val="30"/>
    <w:qFormat/>
    <w:uiPriority w:val="41"/>
    <w:rPr>
      <w:rFonts w:ascii="Calibri" w:hAnsi="Calibri"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62">
    <w:name w:val="AONormal"/>
    <w:qFormat/>
    <w:uiPriority w:val="0"/>
    <w:pPr>
      <w:spacing w:line="260" w:lineRule="atLeast"/>
    </w:pPr>
    <w:rPr>
      <w:rFonts w:ascii="Times New Roman" w:hAnsi="Times New Roman" w:eastAsia="宋体" w:cs="Times New Roman"/>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80</Pages>
  <Words>42642</Words>
  <Characters>44842</Characters>
  <Lines>214</Lines>
  <Paragraphs>60</Paragraphs>
  <TotalTime>55</TotalTime>
  <ScaleCrop>false</ScaleCrop>
  <LinksUpToDate>false</LinksUpToDate>
  <CharactersWithSpaces>47789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冰</cp:lastModifiedBy>
  <dcterms:modified xsi:type="dcterms:W3CDTF">2023-06-27T04:14:14Z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B6453DBCC9794EE59E6446C101A6BA95_13</vt:lpwstr>
  </property>
</Properties>
</file>