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w:t>
      </w:r>
      <w:r>
        <w:rPr>
          <w:rFonts w:hint="eastAsia" w:ascii="华文中宋" w:hAnsi="华文中宋" w:eastAsia="华文中宋"/>
          <w:highlight w:val="none"/>
          <w:lang w:val="en-US" w:eastAsia="zh-CN"/>
        </w:rPr>
        <w:t>磋商</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阿勒泰市人民医院急救、监护设备采购</w:t>
      </w:r>
      <w:r>
        <w:rPr>
          <w:rFonts w:hint="eastAsia" w:ascii="仿宋" w:hAnsi="仿宋" w:eastAsia="仿宋"/>
          <w:sz w:val="28"/>
          <w:szCs w:val="28"/>
          <w:highlight w:val="none"/>
        </w:rPr>
        <w:t>项目的潜在供应商应在</w:t>
      </w:r>
      <w:r>
        <w:rPr>
          <w:rFonts w:hint="eastAsia" w:ascii="仿宋" w:hAnsi="仿宋" w:eastAsia="仿宋"/>
          <w:sz w:val="28"/>
          <w:szCs w:val="28"/>
          <w:highlight w:val="none"/>
          <w:u w:val="single"/>
          <w:lang w:val="en-US" w:eastAsia="zh-CN"/>
        </w:rPr>
        <w:t>新疆泽源和忻项目管理咨询有限公司</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07</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31</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5"/>
        <w:numPr>
          <w:ilvl w:val="0"/>
          <w:numId w:val="0"/>
        </w:numPr>
        <w:spacing w:line="360" w:lineRule="auto"/>
        <w:rPr>
          <w:rFonts w:ascii="黑体" w:hAnsi="黑体" w:cs="宋体"/>
          <w:b w:val="0"/>
          <w:sz w:val="28"/>
          <w:szCs w:val="28"/>
          <w:highlight w:val="none"/>
        </w:rPr>
      </w:pPr>
      <w:bookmarkStart w:id="0" w:name="_Toc28359012"/>
      <w:bookmarkStart w:id="1" w:name="_Toc35393798"/>
      <w:bookmarkStart w:id="2" w:name="_Toc35393629"/>
      <w:bookmarkStart w:id="3" w:name="_Toc28359089"/>
      <w:r>
        <w:rPr>
          <w:rFonts w:hint="eastAsia" w:ascii="黑体" w:hAnsi="黑体" w:cs="宋体"/>
          <w:b w:val="0"/>
          <w:sz w:val="28"/>
          <w:szCs w:val="28"/>
          <w:highlight w:val="none"/>
        </w:rPr>
        <w:t>一、项目基本情况</w:t>
      </w:r>
      <w:bookmarkEnd w:id="0"/>
      <w:bookmarkEnd w:id="1"/>
      <w:bookmarkEnd w:id="2"/>
      <w:bookmarkEnd w:id="3"/>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项目编号：ZFCGA-ZYHXZB2023-32</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项目名称：阿勒泰市人民医院急救、监护设备采购</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 xml:space="preserve">采购方式： </w:t>
      </w:r>
      <w:r>
        <w:rPr>
          <w:rFonts w:hint="eastAsia" w:ascii="仿宋" w:hAnsi="仿宋" w:eastAsia="仿宋"/>
          <w:sz w:val="28"/>
          <w:szCs w:val="28"/>
          <w:highlight w:val="none"/>
          <w:lang w:eastAsia="zh-CN"/>
        </w:rPr>
        <w:t>□</w:t>
      </w:r>
      <w:r>
        <w:rPr>
          <w:rFonts w:hint="eastAsia" w:ascii="仿宋" w:hAnsi="仿宋" w:eastAsia="仿宋"/>
          <w:sz w:val="28"/>
          <w:szCs w:val="28"/>
          <w:highlight w:val="none"/>
        </w:rPr>
        <w:t>竞争性</w:t>
      </w:r>
      <w:r>
        <w:rPr>
          <w:rFonts w:hint="eastAsia" w:ascii="仿宋" w:hAnsi="仿宋" w:eastAsia="仿宋"/>
          <w:sz w:val="28"/>
          <w:szCs w:val="28"/>
          <w:highlight w:val="none"/>
          <w:lang w:eastAsia="zh-CN"/>
        </w:rPr>
        <w:t>谈判</w:t>
      </w: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tabs>
          <w:tab w:val="left" w:pos="5311"/>
        </w:tabs>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152.2万元</w:t>
      </w:r>
    </w:p>
    <w:p>
      <w:pPr>
        <w:tabs>
          <w:tab w:val="left" w:pos="5311"/>
        </w:tabs>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最高限价：152.2万元</w:t>
      </w:r>
      <w:r>
        <w:rPr>
          <w:rFonts w:hint="eastAsia" w:ascii="仿宋" w:hAnsi="仿宋" w:eastAsia="仿宋"/>
          <w:sz w:val="28"/>
          <w:szCs w:val="28"/>
          <w:highlight w:val="none"/>
          <w:lang w:val="en-US" w:eastAsia="zh-CN"/>
        </w:rPr>
        <w:tab/>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pStyle w:val="2"/>
        <w:ind w:firstLine="560" w:firstLineChars="200"/>
        <w:rPr>
          <w:rFonts w:hint="eastAsia"/>
          <w:highlight w:val="none"/>
          <w:lang w:val="en-US" w:eastAsia="zh-CN"/>
        </w:rPr>
      </w:pPr>
      <w:r>
        <w:rPr>
          <w:rFonts w:hint="eastAsia" w:ascii="仿宋" w:hAnsi="仿宋" w:eastAsia="仿宋"/>
          <w:sz w:val="28"/>
          <w:szCs w:val="28"/>
          <w:highlight w:val="none"/>
          <w:lang w:val="en-US" w:eastAsia="zh-CN"/>
        </w:rPr>
        <w:t>合同履约期限：</w:t>
      </w:r>
      <w:r>
        <w:rPr>
          <w:rFonts w:ascii="仿宋" w:hAnsi="仿宋" w:eastAsia="仿宋" w:cs="仿宋"/>
          <w:i w:val="0"/>
          <w:iCs w:val="0"/>
          <w:caps w:val="0"/>
          <w:color w:val="000000"/>
          <w:spacing w:val="0"/>
          <w:sz w:val="27"/>
          <w:szCs w:val="27"/>
          <w:highlight w:val="none"/>
        </w:rPr>
        <w:t>甲乙双方协商</w:t>
      </w:r>
      <w:r>
        <w:rPr>
          <w:rFonts w:hint="eastAsia" w:ascii="仿宋" w:hAnsi="仿宋" w:eastAsia="仿宋" w:cs="仿宋"/>
          <w:i w:val="0"/>
          <w:iCs w:val="0"/>
          <w:caps w:val="0"/>
          <w:color w:val="000000"/>
          <w:spacing w:val="0"/>
          <w:sz w:val="27"/>
          <w:szCs w:val="27"/>
          <w:highlight w:val="none"/>
        </w:rPr>
        <w:t> </w:t>
      </w:r>
      <w:r>
        <w:rPr>
          <w:rFonts w:hint="eastAsia" w:ascii="仿宋" w:hAnsi="仿宋" w:eastAsia="仿宋" w:cs="仿宋"/>
          <w:i w:val="0"/>
          <w:iCs w:val="0"/>
          <w:caps w:val="0"/>
          <w:color w:val="000000"/>
          <w:spacing w:val="0"/>
          <w:sz w:val="24"/>
          <w:szCs w:val="24"/>
          <w:highlight w:val="none"/>
        </w:rPr>
        <w:t> </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4" w:name="_Toc28359013"/>
      <w:bookmarkStart w:id="5" w:name="_Toc28359090"/>
      <w:bookmarkStart w:id="6" w:name="_Toc35393799"/>
      <w:bookmarkStart w:id="7" w:name="_Toc35393630"/>
    </w:p>
    <w:p>
      <w:pPr>
        <w:pStyle w:val="5"/>
        <w:numPr>
          <w:ilvl w:val="0"/>
          <w:numId w:val="0"/>
        </w:numPr>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4"/>
      <w:bookmarkEnd w:id="5"/>
      <w:bookmarkEnd w:id="6"/>
      <w:bookmarkEnd w:id="7"/>
      <w:bookmarkStart w:id="8" w:name="_Toc35393631"/>
      <w:bookmarkStart w:id="9" w:name="_Toc35393800"/>
      <w:bookmarkStart w:id="10" w:name="_Toc28359014"/>
      <w:bookmarkStart w:id="11" w:name="_Toc28359091"/>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落实政府采购政策需满足的资格要求：本项目专门面向中小微企业采购。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3、具有良好的商业信誉和健全的</w:t>
      </w:r>
      <w:r>
        <w:rPr>
          <w:rFonts w:hint="eastAsia" w:ascii="仿宋" w:hAnsi="仿宋" w:eastAsia="仿宋" w:cs="仿宋"/>
          <w:i w:val="0"/>
          <w:iCs w:val="0"/>
          <w:caps w:val="0"/>
          <w:color w:val="auto"/>
          <w:spacing w:val="0"/>
          <w:sz w:val="27"/>
          <w:szCs w:val="27"/>
          <w:highlight w:val="none"/>
          <w:lang w:val="en-US" w:eastAsia="zh-CN"/>
        </w:rPr>
        <w:fldChar w:fldCharType="begin"/>
      </w:r>
      <w:r>
        <w:rPr>
          <w:rFonts w:hint="eastAsia" w:ascii="仿宋" w:hAnsi="仿宋" w:eastAsia="仿宋" w:cs="仿宋"/>
          <w:i w:val="0"/>
          <w:iCs w:val="0"/>
          <w:caps w:val="0"/>
          <w:color w:val="auto"/>
          <w:spacing w:val="0"/>
          <w:sz w:val="27"/>
          <w:szCs w:val="27"/>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仿宋"/>
          <w:i w:val="0"/>
          <w:iCs w:val="0"/>
          <w:caps w:val="0"/>
          <w:color w:val="auto"/>
          <w:spacing w:val="0"/>
          <w:sz w:val="27"/>
          <w:szCs w:val="27"/>
          <w:highlight w:val="none"/>
          <w:lang w:val="en-US" w:eastAsia="zh-CN"/>
        </w:rPr>
        <w:fldChar w:fldCharType="separate"/>
      </w:r>
      <w:r>
        <w:rPr>
          <w:rFonts w:hint="eastAsia" w:ascii="仿宋" w:hAnsi="仿宋" w:eastAsia="仿宋" w:cs="仿宋"/>
          <w:i w:val="0"/>
          <w:iCs w:val="0"/>
          <w:caps w:val="0"/>
          <w:color w:val="auto"/>
          <w:spacing w:val="0"/>
          <w:sz w:val="27"/>
          <w:szCs w:val="27"/>
          <w:highlight w:val="none"/>
          <w:lang w:val="en-US" w:eastAsia="zh-CN"/>
        </w:rPr>
        <w:t>财务会计制度</w:t>
      </w:r>
      <w:r>
        <w:rPr>
          <w:rFonts w:hint="eastAsia" w:ascii="仿宋" w:hAnsi="仿宋" w:eastAsia="仿宋" w:cs="仿宋"/>
          <w:i w:val="0"/>
          <w:iCs w:val="0"/>
          <w:caps w:val="0"/>
          <w:color w:val="auto"/>
          <w:spacing w:val="0"/>
          <w:sz w:val="27"/>
          <w:szCs w:val="27"/>
          <w:highlight w:val="none"/>
          <w:lang w:val="en-US" w:eastAsia="zh-CN"/>
        </w:rPr>
        <w:fldChar w:fldCharType="end"/>
      </w:r>
      <w:r>
        <w:rPr>
          <w:rFonts w:hint="eastAsia" w:ascii="仿宋" w:hAnsi="仿宋" w:eastAsia="仿宋" w:cs="仿宋"/>
          <w:i w:val="0"/>
          <w:iCs w:val="0"/>
          <w:caps w:val="0"/>
          <w:color w:val="000000"/>
          <w:spacing w:val="0"/>
          <w:sz w:val="27"/>
          <w:szCs w:val="27"/>
          <w:highlight w:val="none"/>
          <w:lang w:val="en-US" w:eastAsia="zh-CN"/>
        </w:rPr>
        <w:t>；</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4、投标人必须是有提供招标公告中所采购货物的能力、独立完成供货、安装及维护其正常运转的能力；并具有良好的售后服务能力和相应的质量保证措施； </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5、参加政府采购活动前三年内，在经营活动中没有重大违法记录，</w:t>
      </w:r>
      <w:r>
        <w:rPr>
          <w:rFonts w:hint="eastAsia" w:ascii="仿宋" w:hAnsi="仿宋" w:eastAsia="仿宋" w:cs="仿宋"/>
          <w:i w:val="0"/>
          <w:iCs w:val="0"/>
          <w:caps w:val="0"/>
          <w:color w:val="000000"/>
          <w:spacing w:val="0"/>
          <w:sz w:val="27"/>
          <w:szCs w:val="27"/>
          <w:highlight w:val="none"/>
        </w:rPr>
        <w:t>无不良</w:t>
      </w:r>
      <w:r>
        <w:rPr>
          <w:rFonts w:hint="eastAsia" w:ascii="仿宋" w:hAnsi="仿宋" w:eastAsia="仿宋" w:cs="仿宋"/>
          <w:i w:val="0"/>
          <w:iCs w:val="0"/>
          <w:caps w:val="0"/>
          <w:color w:val="000000"/>
          <w:spacing w:val="0"/>
          <w:sz w:val="27"/>
          <w:szCs w:val="27"/>
          <w:highlight w:val="none"/>
          <w:lang w:val="en-US" w:eastAsia="zh-CN"/>
        </w:rPr>
        <w:t>行为记录；</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6、法律、行政法规规定的其他条件；</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6.1、具有有效的营业执照，投标人必须是有提供招标公告中所采购货物的能力、独立完成供货、安装及维护其正常运转的能力；并具有良好的售后服务能力和相应的质量保证措施；</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6.2、根据《医疗器械监督管理条例》（国务院令第680号）有关内容办理医疗器械产品注册与备案，未取得医疗器械注册证的产品不予认可；</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9、供应商为代理商，且所投产品属于第二类及以上（含二类）医疗器械，则须提供中华人民共和国医疗器械经营许可证。</w:t>
      </w:r>
    </w:p>
    <w:p>
      <w:pPr>
        <w:pStyle w:val="5"/>
        <w:numPr>
          <w:ilvl w:val="0"/>
          <w:numId w:val="0"/>
        </w:numPr>
        <w:spacing w:line="360" w:lineRule="auto"/>
        <w:rPr>
          <w:rFonts w:hint="eastAsia" w:ascii="黑体" w:hAnsi="黑体" w:cs="宋体"/>
          <w:b w:val="0"/>
          <w:sz w:val="28"/>
          <w:szCs w:val="28"/>
          <w:highlight w:val="none"/>
          <w:u w:val="none"/>
          <w:lang w:val="en-US" w:eastAsia="zh-CN"/>
        </w:rPr>
      </w:pPr>
      <w:r>
        <w:rPr>
          <w:rFonts w:hint="eastAsia" w:ascii="黑体" w:hAnsi="黑体" w:cs="宋体"/>
          <w:b w:val="0"/>
          <w:sz w:val="28"/>
          <w:szCs w:val="28"/>
          <w:highlight w:val="none"/>
          <w:u w:val="none"/>
          <w:lang w:val="en-US" w:eastAsia="zh-CN"/>
        </w:rPr>
        <w:t>三、获取（下载）采购文件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25</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sz w:val="28"/>
          <w:szCs w:val="28"/>
          <w:lang w:val="en-US" w:eastAsia="zh-CN"/>
        </w:rPr>
      </w:pPr>
      <w:bookmarkStart w:id="12" w:name="_Toc28359092"/>
      <w:bookmarkStart w:id="13" w:name="_Toc35393801"/>
      <w:bookmarkStart w:id="14" w:name="_Toc28359015"/>
      <w:bookmarkStart w:id="15" w:name="_Toc35393632"/>
      <w:r>
        <w:rPr>
          <w:rFonts w:hint="eastAsia" w:ascii="仿宋" w:hAnsi="仿宋" w:eastAsia="仿宋" w:cs="Times New Roman"/>
          <w:color w:val="auto"/>
          <w:sz w:val="28"/>
          <w:szCs w:val="28"/>
          <w:lang w:val="en-US" w:eastAsia="zh-CN"/>
        </w:rPr>
        <w:t>地点（网址）：</w:t>
      </w:r>
      <w:r>
        <w:rPr>
          <w:rFonts w:ascii="仿宋" w:hAnsi="仿宋" w:eastAsia="仿宋" w:cs="仿宋"/>
          <w:i w:val="0"/>
          <w:iCs w:val="0"/>
          <w:caps w:val="0"/>
          <w:color w:val="auto"/>
          <w:spacing w:val="0"/>
          <w:sz w:val="27"/>
          <w:szCs w:val="27"/>
        </w:rPr>
        <w:t>政采云平台线上获取</w:t>
      </w:r>
      <w:r>
        <w:rPr>
          <w:rFonts w:hint="eastAsia" w:ascii="仿宋" w:hAnsi="仿宋" w:eastAsia="仿宋" w:cs="Times New Roman"/>
          <w:color w:val="auto"/>
          <w:sz w:val="28"/>
          <w:szCs w:val="28"/>
          <w:lang w:val="en-US" w:eastAsia="zh-CN"/>
        </w:rPr>
        <w:t xml:space="preserve">。 </w:t>
      </w:r>
    </w:p>
    <w:p>
      <w:pPr>
        <w:spacing w:line="360" w:lineRule="auto"/>
        <w:rPr>
          <w:rFonts w:ascii="仿宋" w:hAnsi="仿宋" w:eastAsia="仿宋" w:cs="仿宋"/>
          <w:i w:val="0"/>
          <w:iCs w:val="0"/>
          <w:caps w:val="0"/>
          <w:color w:val="auto"/>
          <w:spacing w:val="0"/>
          <w:sz w:val="27"/>
          <w:szCs w:val="27"/>
        </w:rPr>
      </w:pPr>
      <w:r>
        <w:rPr>
          <w:rFonts w:hint="eastAsia" w:ascii="仿宋" w:hAnsi="仿宋" w:eastAsia="仿宋" w:cs="Times New Roman"/>
          <w:color w:val="auto"/>
          <w:sz w:val="28"/>
          <w:szCs w:val="28"/>
          <w:lang w:val="en-US" w:eastAsia="zh-CN"/>
        </w:rPr>
        <w:t>获取方式：</w:t>
      </w:r>
      <w:r>
        <w:rPr>
          <w:rFonts w:ascii="仿宋" w:hAnsi="仿宋" w:eastAsia="仿宋" w:cs="仿宋"/>
          <w:i w:val="0"/>
          <w:iCs w:val="0"/>
          <w:caps w:val="0"/>
          <w:color w:val="auto"/>
          <w:spacing w:val="0"/>
          <w:sz w:val="27"/>
          <w:szCs w:val="27"/>
        </w:rPr>
        <w:t>供应商登录政采云平台https://www.zcygov.cn/在线申请获取采购文件（进入“项目采购”应用，在获取采购文件菜单中选择项目，申请获取采购文件）</w:t>
      </w:r>
    </w:p>
    <w:p>
      <w:pPr>
        <w:spacing w:line="360" w:lineRule="auto"/>
        <w:rPr>
          <w:rFonts w:hint="eastAsia" w:ascii="黑体" w:hAnsi="黑体" w:eastAsia="黑体" w:cs="宋体"/>
          <w:b w:val="0"/>
          <w:sz w:val="28"/>
          <w:szCs w:val="28"/>
          <w:highlight w:val="none"/>
          <w:lang w:val="en-US" w:eastAsia="zh-CN"/>
        </w:rPr>
      </w:pPr>
      <w:r>
        <w:rPr>
          <w:rFonts w:hint="eastAsia" w:ascii="黑体" w:hAnsi="黑体" w:cs="宋体"/>
          <w:b w:val="0"/>
          <w:sz w:val="28"/>
          <w:szCs w:val="28"/>
          <w:highlight w:val="none"/>
        </w:rPr>
        <w:t>四、响应文件提交</w:t>
      </w:r>
      <w:bookmarkEnd w:id="12"/>
      <w:bookmarkEnd w:id="13"/>
      <w:bookmarkEnd w:id="14"/>
      <w:bookmarkEnd w:id="15"/>
    </w:p>
    <w:p>
      <w:pPr>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07</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31</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sz w:val="28"/>
          <w:szCs w:val="28"/>
          <w:highlight w:val="none"/>
        </w:rPr>
        <w:t>（北京时间）</w:t>
      </w:r>
      <w:r>
        <w:rPr>
          <w:rFonts w:hint="eastAsia" w:ascii="仿宋" w:hAnsi="仿宋" w:eastAsia="仿宋"/>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sz w:val="28"/>
          <w:szCs w:val="28"/>
          <w:lang w:val="en-US" w:eastAsia="zh-CN"/>
        </w:rPr>
      </w:pPr>
      <w:bookmarkStart w:id="16" w:name="_Toc35393803"/>
      <w:bookmarkStart w:id="17" w:name="_Toc28359094"/>
      <w:bookmarkStart w:id="18" w:name="_Toc28359017"/>
      <w:bookmarkStart w:id="19" w:name="_Toc35393634"/>
      <w:r>
        <w:rPr>
          <w:rFonts w:hint="eastAsia" w:ascii="仿宋" w:hAnsi="仿宋" w:eastAsia="仿宋" w:cs="Times New Roman"/>
          <w:color w:val="auto"/>
          <w:sz w:val="28"/>
          <w:szCs w:val="28"/>
          <w:lang w:val="en-US" w:eastAsia="zh-CN"/>
        </w:rPr>
        <w:t xml:space="preserve">地点（网址）： </w:t>
      </w:r>
      <w:r>
        <w:rPr>
          <w:rFonts w:ascii="仿宋" w:hAnsi="仿宋" w:eastAsia="仿宋" w:cs="仿宋"/>
          <w:i w:val="0"/>
          <w:iCs w:val="0"/>
          <w:caps w:val="0"/>
          <w:color w:val="auto"/>
          <w:spacing w:val="0"/>
          <w:sz w:val="27"/>
          <w:szCs w:val="27"/>
        </w:rPr>
        <w:t>政采云平台https://www.zcygov.cn</w:t>
      </w:r>
    </w:p>
    <w:p>
      <w:pPr>
        <w:pStyle w:val="5"/>
        <w:numPr>
          <w:ilvl w:val="0"/>
          <w:numId w:val="0"/>
        </w:numPr>
        <w:spacing w:line="360" w:lineRule="auto"/>
        <w:rPr>
          <w:rFonts w:ascii="黑体" w:hAnsi="黑体" w:cs="宋体"/>
          <w:b w:val="0"/>
          <w:sz w:val="28"/>
          <w:szCs w:val="28"/>
          <w:highlight w:val="none"/>
        </w:rPr>
      </w:pPr>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16"/>
      <w:bookmarkEnd w:id="17"/>
      <w:bookmarkEnd w:id="18"/>
      <w:bookmarkEnd w:id="19"/>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5"/>
        <w:numPr>
          <w:ilvl w:val="0"/>
          <w:numId w:val="2"/>
        </w:numPr>
        <w:spacing w:line="360" w:lineRule="auto"/>
        <w:ind w:left="0" w:leftChars="0" w:firstLine="0" w:firstLineChars="0"/>
        <w:rPr>
          <w:rFonts w:hint="eastAsia" w:ascii="黑体" w:hAnsi="黑体" w:cs="宋体"/>
          <w:b w:val="0"/>
          <w:sz w:val="28"/>
          <w:szCs w:val="28"/>
          <w:highlight w:val="none"/>
        </w:rPr>
      </w:pPr>
      <w:bookmarkStart w:id="20" w:name="_Toc35393804"/>
      <w:bookmarkStart w:id="21" w:name="_Toc35393635"/>
      <w:r>
        <w:rPr>
          <w:rFonts w:hint="eastAsia" w:ascii="黑体" w:hAnsi="黑体" w:cs="宋体"/>
          <w:b w:val="0"/>
          <w:sz w:val="28"/>
          <w:szCs w:val="28"/>
          <w:highlight w:val="none"/>
        </w:rPr>
        <w:t>其他补充事宜</w:t>
      </w:r>
      <w:bookmarkEnd w:id="20"/>
      <w:bookmarkEnd w:id="21"/>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textAlignment w:val="auto"/>
        <w:rPr>
          <w:rFonts w:hint="eastAsia" w:ascii="仿宋" w:hAnsi="仿宋" w:eastAsia="仿宋" w:cs="宋体"/>
          <w:color w:val="auto"/>
          <w:kern w:val="0"/>
          <w:sz w:val="28"/>
          <w:szCs w:val="28"/>
          <w:highlight w:val="none"/>
        </w:rPr>
      </w:pPr>
      <w:bookmarkStart w:id="22" w:name="_Toc28359095"/>
      <w:bookmarkStart w:id="23" w:name="_Toc35393636"/>
      <w:bookmarkStart w:id="24" w:name="_Toc35393805"/>
      <w:bookmarkStart w:id="25" w:name="_Toc28359018"/>
      <w:r>
        <w:rPr>
          <w:rFonts w:ascii="仿宋" w:hAnsi="仿宋" w:eastAsia="仿宋" w:cs="仿宋"/>
          <w:i w:val="0"/>
          <w:iCs w:val="0"/>
          <w:caps w:val="0"/>
          <w:color w:val="auto"/>
          <w:spacing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textAlignment w:val="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textAlignment w:val="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textAlignment w:val="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textAlignment w:val="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供应商应当在投标截止时间前，将生成的“电子加密响应文件”上传递交至“政府采购云平台”，投标截止时间以后上传递交响应文件将被“政府采购云平台”拒收。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textAlignment w:val="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  </w:t>
      </w:r>
    </w:p>
    <w:p>
      <w:pPr>
        <w:pStyle w:val="5"/>
        <w:numPr>
          <w:ilvl w:val="0"/>
          <w:numId w:val="0"/>
        </w:numPr>
        <w:spacing w:line="360" w:lineRule="auto"/>
        <w:rPr>
          <w:rFonts w:ascii="黑体" w:hAnsi="黑体" w:cs="宋体"/>
          <w:b w:val="0"/>
          <w:sz w:val="28"/>
          <w:szCs w:val="28"/>
          <w:highlight w:val="none"/>
        </w:rPr>
      </w:pPr>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pPr>
        <w:pStyle w:val="5"/>
        <w:pageBreakBefore w:val="0"/>
        <w:widowControl w:val="0"/>
        <w:numPr>
          <w:ilvl w:val="0"/>
          <w:numId w:val="0"/>
        </w:numPr>
        <w:kinsoku/>
        <w:wordWrap/>
        <w:overflowPunct/>
        <w:topLinePunct w:val="0"/>
        <w:autoSpaceDE/>
        <w:autoSpaceDN/>
        <w:bidi w:val="0"/>
        <w:adjustRightInd/>
        <w:snapToGrid w:val="0"/>
        <w:spacing w:line="540" w:lineRule="exact"/>
        <w:ind w:leftChars="300"/>
        <w:rPr>
          <w:rFonts w:ascii="仿宋" w:hAnsi="仿宋" w:eastAsia="仿宋" w:cs="宋体"/>
          <w:b w:val="0"/>
          <w:sz w:val="28"/>
          <w:szCs w:val="28"/>
          <w:highlight w:val="none"/>
        </w:rPr>
      </w:pPr>
      <w:bookmarkStart w:id="26" w:name="_Toc35393806"/>
      <w:bookmarkStart w:id="27" w:name="_Toc28359019"/>
      <w:bookmarkStart w:id="28" w:name="_Toc28359096"/>
      <w:bookmarkStart w:id="29" w:name="_Toc35393637"/>
      <w:r>
        <w:rPr>
          <w:rFonts w:hint="eastAsia" w:ascii="仿宋" w:hAnsi="仿宋" w:eastAsia="仿宋" w:cs="宋体"/>
          <w:b w:val="0"/>
          <w:sz w:val="28"/>
          <w:szCs w:val="28"/>
          <w:highlight w:val="none"/>
        </w:rPr>
        <w:t>1.采购人信息</w:t>
      </w:r>
      <w:bookmarkEnd w:id="26"/>
      <w:bookmarkEnd w:id="27"/>
      <w:bookmarkEnd w:id="28"/>
      <w:bookmarkEnd w:id="29"/>
      <w:bookmarkStart w:id="34" w:name="_GoBack"/>
      <w:bookmarkEnd w:id="34"/>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default" w:ascii="仿宋" w:hAnsi="仿宋" w:eastAsia="仿宋"/>
          <w:sz w:val="28"/>
          <w:szCs w:val="28"/>
          <w:highlight w:val="none"/>
          <w:u w:val="single"/>
          <w:lang w:val="en-US" w:eastAsia="zh-CN"/>
        </w:rPr>
      </w:pPr>
      <w:bookmarkStart w:id="30" w:name="_Toc28359097"/>
      <w:bookmarkStart w:id="31" w:name="_Toc35393638"/>
      <w:bookmarkStart w:id="32" w:name="_Toc28359020"/>
      <w:bookmarkStart w:id="33" w:name="_Toc35393807"/>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val="en-US" w:eastAsia="zh-CN"/>
        </w:rPr>
        <w:t xml:space="preserve">阿勒泰市人民医院     </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潘玉                  </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18609068885</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pStyle w:val="5"/>
        <w:pageBreakBefore w:val="0"/>
        <w:widowControl w:val="0"/>
        <w:numPr>
          <w:ilvl w:val="0"/>
          <w:numId w:val="0"/>
        </w:numPr>
        <w:kinsoku/>
        <w:wordWrap/>
        <w:overflowPunct/>
        <w:topLinePunct w:val="0"/>
        <w:autoSpaceDE/>
        <w:autoSpaceDN/>
        <w:bidi w:val="0"/>
        <w:adjustRightInd/>
        <w:snapToGrid w:val="0"/>
        <w:spacing w:line="540" w:lineRule="exact"/>
        <w:ind w:left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0"/>
      <w:bookmarkEnd w:id="31"/>
      <w:bookmarkEnd w:id="32"/>
      <w:bookmarkEnd w:id="33"/>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新疆泽源和忻项目管理咨询有限公司</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邓胜楠  　　　　　　 　　   　　</w:t>
      </w:r>
    </w:p>
    <w:p>
      <w:pPr>
        <w:pageBreakBefore w:val="0"/>
        <w:widowControl w:val="0"/>
        <w:kinsoku/>
        <w:wordWrap/>
        <w:overflowPunct/>
        <w:topLinePunct w:val="0"/>
        <w:autoSpaceDE/>
        <w:autoSpaceDN/>
        <w:bidi w:val="0"/>
        <w:adjustRightInd/>
        <w:snapToGrid w:val="0"/>
        <w:spacing w:line="540" w:lineRule="exact"/>
        <w:ind w:left="1129" w:leftChars="371" w:hanging="350" w:hangingChars="125"/>
        <w:jc w:val="left"/>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17699069293　　　　   　　　  </w:t>
      </w:r>
      <w:r>
        <w:rPr>
          <w:rFonts w:hint="eastAsia" w:ascii="仿宋" w:hAnsi="仿宋" w:eastAsia="仿宋"/>
          <w:sz w:val="28"/>
          <w:szCs w:val="28"/>
          <w:highlight w:val="none"/>
          <w:u w:val="single"/>
        </w:rPr>
        <w:t>　</w:t>
      </w: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D10A7DF2"/>
    <w:multiLevelType w:val="singleLevel"/>
    <w:tmpl w:val="D10A7DF2"/>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5"/>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NTY1ZTIxYzVlMjE4NjRmYTBhM2YwNmY3N2M4MzYifQ=="/>
  </w:docVars>
  <w:rsids>
    <w:rsidRoot w:val="71F37675"/>
    <w:rsid w:val="32447804"/>
    <w:rsid w:val="358D350B"/>
    <w:rsid w:val="4092514C"/>
    <w:rsid w:val="56717CE6"/>
    <w:rsid w:val="5A28268C"/>
    <w:rsid w:val="65EE4DFF"/>
    <w:rsid w:val="71F37675"/>
    <w:rsid w:val="7326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cs="Tahoma"/>
      <w:b/>
      <w:bCs/>
      <w:w w:val="80"/>
      <w:kern w:val="1"/>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spacing w:line="312" w:lineRule="auto"/>
      <w:ind w:firstLine="420"/>
    </w:pPr>
  </w:style>
  <w:style w:type="paragraph" w:customStyle="1" w:styleId="8">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1782</Words>
  <Characters>2026</Characters>
  <Lines>0</Lines>
  <Paragraphs>0</Paragraphs>
  <TotalTime>0</TotalTime>
  <ScaleCrop>false</ScaleCrop>
  <LinksUpToDate>false</LinksUpToDate>
  <CharactersWithSpaces>2121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2022-12-13T10:57:00Z</dcterms:created>
  <dc:creator>WPS_1618539004</dc:creator>
  <cp:lastModifiedBy>WPS_1618539004</cp:lastModifiedBy>
  <dcterms:modified xsi:type="dcterms:W3CDTF">2023-07-18T10:35:05Z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BDCBCCDA247D463995CD32A8BE85DAA6</vt:lpwstr>
  </property>
</Properties>
</file>