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cs="宋体"/>
          <w:highlight w:val="none"/>
        </w:rPr>
      </w:pPr>
      <w:r>
        <w:rPr>
          <w:rFonts w:hint="eastAsia" w:ascii="宋体" w:cs="宋体"/>
          <w:highlight w:val="none"/>
        </w:rPr>
        <w:t xml:space="preserve"> </w:t>
      </w:r>
      <w:r>
        <w:rPr>
          <w:rFonts w:ascii="宋体" w:cs="宋体"/>
          <w:highlight w:val="none"/>
        </w:rPr>
        <w:t xml:space="preserve"> </w:t>
      </w:r>
    </w:p>
    <w:p>
      <w:pPr>
        <w:pStyle w:val="21"/>
        <w:rPr>
          <w:highlight w:val="none"/>
        </w:rPr>
      </w:pPr>
    </w:p>
    <w:p>
      <w:pPr>
        <w:spacing w:line="360" w:lineRule="auto"/>
        <w:jc w:val="center"/>
        <w:rPr>
          <w:rFonts w:ascii="宋体" w:cs="宋体"/>
          <w:b/>
          <w:bCs/>
          <w:sz w:val="72"/>
          <w:szCs w:val="52"/>
          <w:highlight w:val="none"/>
        </w:rPr>
      </w:pPr>
      <w:r>
        <w:rPr>
          <w:rFonts w:hint="eastAsia" w:ascii="宋体" w:hAnsi="宋体" w:cs="宋体"/>
          <w:b/>
          <w:bCs/>
          <w:sz w:val="72"/>
          <w:szCs w:val="52"/>
          <w:highlight w:val="none"/>
        </w:rPr>
        <w:t>招</w:t>
      </w:r>
      <w:r>
        <w:rPr>
          <w:rFonts w:ascii="宋体" w:hAnsi="宋体" w:cs="宋体"/>
          <w:b/>
          <w:bCs/>
          <w:sz w:val="72"/>
          <w:szCs w:val="52"/>
          <w:highlight w:val="none"/>
        </w:rPr>
        <w:t xml:space="preserve"> </w:t>
      </w:r>
      <w:r>
        <w:rPr>
          <w:rFonts w:hint="eastAsia" w:ascii="宋体" w:hAnsi="宋体" w:cs="宋体"/>
          <w:b/>
          <w:bCs/>
          <w:sz w:val="72"/>
          <w:szCs w:val="52"/>
          <w:highlight w:val="none"/>
        </w:rPr>
        <w:t>标</w:t>
      </w:r>
      <w:r>
        <w:rPr>
          <w:rFonts w:ascii="宋体" w:hAnsi="宋体" w:cs="宋体"/>
          <w:b/>
          <w:bCs/>
          <w:sz w:val="72"/>
          <w:szCs w:val="52"/>
          <w:highlight w:val="none"/>
        </w:rPr>
        <w:t xml:space="preserve"> </w:t>
      </w:r>
      <w:r>
        <w:rPr>
          <w:rFonts w:hint="eastAsia" w:ascii="宋体" w:hAnsi="宋体" w:cs="宋体"/>
          <w:b/>
          <w:bCs/>
          <w:sz w:val="72"/>
          <w:szCs w:val="52"/>
          <w:highlight w:val="none"/>
        </w:rPr>
        <w:t>文</w:t>
      </w:r>
      <w:r>
        <w:rPr>
          <w:rFonts w:ascii="宋体" w:hAnsi="宋体" w:cs="宋体"/>
          <w:b/>
          <w:bCs/>
          <w:sz w:val="72"/>
          <w:szCs w:val="52"/>
          <w:highlight w:val="none"/>
        </w:rPr>
        <w:t xml:space="preserve"> </w:t>
      </w:r>
      <w:r>
        <w:rPr>
          <w:rFonts w:hint="eastAsia" w:ascii="宋体" w:hAnsi="宋体" w:cs="宋体"/>
          <w:b/>
          <w:bCs/>
          <w:sz w:val="72"/>
          <w:szCs w:val="52"/>
          <w:highlight w:val="none"/>
        </w:rPr>
        <w:t>件</w:t>
      </w:r>
    </w:p>
    <w:p>
      <w:pPr>
        <w:tabs>
          <w:tab w:val="left" w:pos="2700"/>
          <w:tab w:val="left" w:pos="3584"/>
        </w:tabs>
        <w:spacing w:line="360" w:lineRule="auto"/>
        <w:rPr>
          <w:rFonts w:ascii="宋体" w:cs="宋体"/>
          <w:b/>
          <w:bCs/>
          <w:sz w:val="44"/>
          <w:highlight w:val="none"/>
        </w:rPr>
      </w:pPr>
    </w:p>
    <w:p>
      <w:pPr>
        <w:tabs>
          <w:tab w:val="left" w:pos="2700"/>
          <w:tab w:val="left" w:pos="3584"/>
        </w:tabs>
        <w:spacing w:line="360" w:lineRule="auto"/>
        <w:rPr>
          <w:rFonts w:ascii="宋体" w:cs="宋体"/>
          <w:b/>
          <w:bCs/>
          <w:sz w:val="44"/>
          <w:highlight w:val="none"/>
        </w:rPr>
      </w:pPr>
    </w:p>
    <w:p>
      <w:pPr>
        <w:tabs>
          <w:tab w:val="left" w:pos="2700"/>
          <w:tab w:val="left" w:pos="3584"/>
        </w:tabs>
        <w:spacing w:line="360" w:lineRule="auto"/>
        <w:rPr>
          <w:rFonts w:ascii="宋体" w:cs="宋体"/>
          <w:b/>
          <w:bCs/>
          <w:sz w:val="44"/>
          <w:highlight w:val="none"/>
        </w:rPr>
      </w:pPr>
    </w:p>
    <w:p>
      <w:pPr>
        <w:spacing w:line="360" w:lineRule="auto"/>
        <w:jc w:val="center"/>
        <w:rPr>
          <w:rFonts w:hint="eastAsia" w:ascii="宋体" w:eastAsia="宋体" w:cs="宋体"/>
          <w:b/>
          <w:sz w:val="72"/>
          <w:highlight w:val="none"/>
          <w:lang w:eastAsia="zh-CN"/>
        </w:rPr>
      </w:pPr>
      <w:r>
        <w:rPr>
          <w:rFonts w:hint="eastAsia" w:ascii="宋体" w:eastAsia="宋体" w:cs="宋体"/>
          <w:b/>
          <w:sz w:val="72"/>
          <w:highlight w:val="none"/>
          <w:lang w:eastAsia="zh-CN"/>
        </w:rPr>
        <w:drawing>
          <wp:inline distT="0" distB="0" distL="114300" distR="114300">
            <wp:extent cx="2843530" cy="2416810"/>
            <wp:effectExtent l="0" t="0" r="13970" b="2540"/>
            <wp:docPr id="2" name="图片 2"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1"/>
                    <pic:cNvPicPr>
                      <a:picLocks noChangeAspect="1"/>
                    </pic:cNvPicPr>
                  </pic:nvPicPr>
                  <pic:blipFill>
                    <a:blip r:embed="rId11"/>
                    <a:stretch>
                      <a:fillRect/>
                    </a:stretch>
                  </pic:blipFill>
                  <pic:spPr>
                    <a:xfrm>
                      <a:off x="0" y="0"/>
                      <a:ext cx="2843530" cy="2416810"/>
                    </a:xfrm>
                    <a:prstGeom prst="rect">
                      <a:avLst/>
                    </a:prstGeom>
                  </pic:spPr>
                </pic:pic>
              </a:graphicData>
            </a:graphic>
          </wp:inline>
        </w:drawing>
      </w:r>
    </w:p>
    <w:p>
      <w:pPr>
        <w:pStyle w:val="21"/>
        <w:rPr>
          <w:highlight w:val="none"/>
        </w:rPr>
      </w:pPr>
    </w:p>
    <w:p>
      <w:pPr>
        <w:tabs>
          <w:tab w:val="left" w:pos="3240"/>
          <w:tab w:val="left" w:pos="3420"/>
        </w:tabs>
        <w:spacing w:line="360" w:lineRule="auto"/>
        <w:jc w:val="left"/>
        <w:rPr>
          <w:rFonts w:hint="eastAsia" w:ascii="宋体" w:eastAsia="宋体" w:cs="宋体"/>
          <w:bCs/>
          <w:sz w:val="32"/>
          <w:szCs w:val="30"/>
          <w:highlight w:val="none"/>
          <w:lang w:eastAsia="zh-CN"/>
        </w:rPr>
      </w:pPr>
      <w:r>
        <w:rPr>
          <w:rFonts w:hint="eastAsia" w:ascii="宋体" w:hAnsi="宋体" w:cs="宋体"/>
          <w:bCs/>
          <w:spacing w:val="106"/>
          <w:kern w:val="0"/>
          <w:sz w:val="32"/>
          <w:szCs w:val="30"/>
          <w:highlight w:val="none"/>
          <w:fitText w:val="1920" w:id="-2026047488"/>
        </w:rPr>
        <w:t>项目名</w:t>
      </w:r>
      <w:r>
        <w:rPr>
          <w:rFonts w:hint="eastAsia" w:ascii="宋体" w:hAnsi="宋体" w:cs="宋体"/>
          <w:bCs/>
          <w:spacing w:val="2"/>
          <w:kern w:val="0"/>
          <w:sz w:val="32"/>
          <w:szCs w:val="30"/>
          <w:highlight w:val="none"/>
          <w:fitText w:val="1920" w:id="-2026047488"/>
        </w:rPr>
        <w:t>称</w:t>
      </w:r>
      <w:r>
        <w:rPr>
          <w:rFonts w:hint="eastAsia" w:ascii="宋体" w:hAnsi="宋体" w:cs="宋体"/>
          <w:bCs/>
          <w:sz w:val="32"/>
          <w:szCs w:val="30"/>
          <w:highlight w:val="none"/>
        </w:rPr>
        <w:t>：</w:t>
      </w:r>
      <w:r>
        <w:rPr>
          <w:rFonts w:hint="eastAsia" w:ascii="宋体" w:hAnsi="宋体" w:cs="宋体"/>
          <w:bCs/>
          <w:sz w:val="32"/>
          <w:szCs w:val="30"/>
          <w:highlight w:val="none"/>
          <w:u w:val="single"/>
          <w:lang w:eastAsia="zh-CN"/>
        </w:rPr>
        <w:t>乌鲁木齐高新区（新市区）某单位车辆维修服务项目</w:t>
      </w:r>
    </w:p>
    <w:p>
      <w:pPr>
        <w:tabs>
          <w:tab w:val="left" w:pos="3240"/>
          <w:tab w:val="left" w:pos="3420"/>
        </w:tabs>
        <w:spacing w:line="360" w:lineRule="auto"/>
        <w:jc w:val="left"/>
        <w:rPr>
          <w:rFonts w:hint="default" w:ascii="宋体" w:hAnsi="宋体" w:eastAsia="宋体" w:cs="宋体"/>
          <w:bCs/>
          <w:sz w:val="32"/>
          <w:szCs w:val="30"/>
          <w:highlight w:val="none"/>
          <w:lang w:val="en-US" w:eastAsia="zh-CN"/>
        </w:rPr>
      </w:pPr>
      <w:r>
        <w:rPr>
          <w:rFonts w:hint="eastAsia" w:ascii="宋体" w:hAnsi="宋体" w:cs="宋体"/>
          <w:bCs/>
          <w:spacing w:val="106"/>
          <w:kern w:val="0"/>
          <w:sz w:val="32"/>
          <w:szCs w:val="30"/>
          <w:highlight w:val="none"/>
          <w:fitText w:val="1920" w:id="-2026047487"/>
        </w:rPr>
        <w:t>招标编</w:t>
      </w:r>
      <w:r>
        <w:rPr>
          <w:rFonts w:hint="eastAsia" w:ascii="宋体" w:hAnsi="宋体" w:cs="宋体"/>
          <w:bCs/>
          <w:spacing w:val="2"/>
          <w:kern w:val="0"/>
          <w:sz w:val="32"/>
          <w:szCs w:val="30"/>
          <w:highlight w:val="none"/>
          <w:fitText w:val="1920" w:id="-2026047487"/>
        </w:rPr>
        <w:t>号</w:t>
      </w:r>
      <w:r>
        <w:rPr>
          <w:rFonts w:hint="eastAsia" w:ascii="宋体" w:hAnsi="宋体" w:cs="宋体"/>
          <w:bCs/>
          <w:sz w:val="32"/>
          <w:szCs w:val="30"/>
          <w:highlight w:val="none"/>
        </w:rPr>
        <w:t>：</w:t>
      </w:r>
      <w:r>
        <w:rPr>
          <w:rFonts w:hint="eastAsia" w:ascii="宋体" w:hAnsi="宋体" w:cs="宋体"/>
          <w:bCs/>
          <w:sz w:val="32"/>
          <w:szCs w:val="30"/>
          <w:highlight w:val="none"/>
          <w:u w:val="single"/>
          <w:lang w:eastAsia="zh-CN"/>
        </w:rPr>
        <w:t>GXXG-2023-ZFCG052-2</w:t>
      </w:r>
    </w:p>
    <w:p>
      <w:pPr>
        <w:tabs>
          <w:tab w:val="left" w:pos="3240"/>
          <w:tab w:val="left" w:pos="3420"/>
        </w:tabs>
        <w:spacing w:line="360" w:lineRule="auto"/>
        <w:jc w:val="left"/>
        <w:rPr>
          <w:rFonts w:hint="eastAsia" w:ascii="宋体" w:eastAsia="宋体" w:cs="宋体"/>
          <w:bCs/>
          <w:sz w:val="32"/>
          <w:szCs w:val="30"/>
          <w:highlight w:val="none"/>
          <w:lang w:eastAsia="zh-CN"/>
        </w:rPr>
      </w:pPr>
      <w:r>
        <w:rPr>
          <w:rFonts w:hint="eastAsia" w:ascii="宋体" w:hAnsi="宋体" w:cs="宋体"/>
          <w:bCs/>
          <w:spacing w:val="80"/>
          <w:kern w:val="0"/>
          <w:sz w:val="32"/>
          <w:szCs w:val="30"/>
          <w:highlight w:val="none"/>
          <w:fitText w:val="1920" w:id="-2026047486"/>
        </w:rPr>
        <w:t>采</w:t>
      </w:r>
      <w:r>
        <w:rPr>
          <w:rFonts w:ascii="宋体" w:hAnsi="宋体" w:cs="宋体"/>
          <w:bCs/>
          <w:spacing w:val="80"/>
          <w:kern w:val="0"/>
          <w:sz w:val="32"/>
          <w:szCs w:val="30"/>
          <w:highlight w:val="none"/>
          <w:fitText w:val="1920" w:id="-2026047486"/>
        </w:rPr>
        <w:t xml:space="preserve"> </w:t>
      </w:r>
      <w:r>
        <w:rPr>
          <w:rFonts w:hint="eastAsia" w:ascii="宋体" w:hAnsi="宋体" w:cs="宋体"/>
          <w:bCs/>
          <w:spacing w:val="80"/>
          <w:kern w:val="0"/>
          <w:sz w:val="32"/>
          <w:szCs w:val="30"/>
          <w:highlight w:val="none"/>
          <w:fitText w:val="1920" w:id="-2026047486"/>
        </w:rPr>
        <w:t>购</w:t>
      </w:r>
      <w:r>
        <w:rPr>
          <w:rFonts w:ascii="宋体" w:hAnsi="宋体" w:cs="宋体"/>
          <w:bCs/>
          <w:spacing w:val="80"/>
          <w:kern w:val="0"/>
          <w:sz w:val="32"/>
          <w:szCs w:val="30"/>
          <w:highlight w:val="none"/>
          <w:fitText w:val="1920" w:id="-2026047486"/>
        </w:rPr>
        <w:t xml:space="preserve"> </w:t>
      </w:r>
      <w:r>
        <w:rPr>
          <w:rFonts w:hint="eastAsia" w:ascii="宋体" w:hAnsi="宋体" w:cs="宋体"/>
          <w:bCs/>
          <w:spacing w:val="0"/>
          <w:kern w:val="0"/>
          <w:sz w:val="32"/>
          <w:szCs w:val="30"/>
          <w:highlight w:val="none"/>
          <w:fitText w:val="1920" w:id="-2026047486"/>
        </w:rPr>
        <w:t>人</w:t>
      </w:r>
      <w:r>
        <w:rPr>
          <w:rFonts w:hint="eastAsia" w:ascii="宋体" w:hAnsi="宋体" w:cs="宋体"/>
          <w:bCs/>
          <w:sz w:val="32"/>
          <w:szCs w:val="30"/>
          <w:highlight w:val="none"/>
        </w:rPr>
        <w:t>：</w:t>
      </w:r>
      <w:r>
        <w:rPr>
          <w:rFonts w:hint="eastAsia" w:ascii="宋体" w:hAnsi="宋体" w:cs="宋体"/>
          <w:bCs/>
          <w:sz w:val="32"/>
          <w:szCs w:val="30"/>
          <w:highlight w:val="none"/>
          <w:u w:val="single"/>
          <w:lang w:eastAsia="zh-CN"/>
        </w:rPr>
        <w:t>乌鲁木齐市公安局高新技术产业开发区（新市区）分局（</w:t>
      </w:r>
      <w:r>
        <w:rPr>
          <w:rFonts w:hint="eastAsia" w:ascii="宋体" w:hAnsi="宋体" w:cs="宋体"/>
          <w:bCs/>
          <w:sz w:val="32"/>
          <w:szCs w:val="30"/>
          <w:highlight w:val="none"/>
          <w:u w:val="single"/>
          <w:lang w:val="en-US" w:eastAsia="zh-CN"/>
        </w:rPr>
        <w:t>盖章</w:t>
      </w:r>
      <w:r>
        <w:rPr>
          <w:rFonts w:hint="eastAsia" w:ascii="宋体" w:hAnsi="宋体" w:cs="宋体"/>
          <w:bCs/>
          <w:sz w:val="32"/>
          <w:szCs w:val="30"/>
          <w:highlight w:val="none"/>
          <w:u w:val="single"/>
          <w:lang w:eastAsia="zh-CN"/>
        </w:rPr>
        <w:t>）</w:t>
      </w:r>
    </w:p>
    <w:p>
      <w:pPr>
        <w:tabs>
          <w:tab w:val="left" w:pos="3240"/>
          <w:tab w:val="left" w:pos="3420"/>
        </w:tabs>
        <w:spacing w:line="360" w:lineRule="auto"/>
        <w:jc w:val="left"/>
        <w:rPr>
          <w:rFonts w:hint="eastAsia" w:ascii="宋体" w:eastAsia="宋体" w:cs="宋体"/>
          <w:bCs/>
          <w:sz w:val="32"/>
          <w:szCs w:val="30"/>
          <w:highlight w:val="none"/>
          <w:u w:val="single"/>
          <w:lang w:eastAsia="zh-CN"/>
        </w:rPr>
      </w:pPr>
      <w:r>
        <w:rPr>
          <w:rFonts w:hint="eastAsia" w:ascii="宋体" w:hAnsi="宋体" w:cs="宋体"/>
          <w:bCs/>
          <w:sz w:val="32"/>
          <w:szCs w:val="30"/>
          <w:highlight w:val="none"/>
        </w:rPr>
        <w:t>采购代理机构：</w:t>
      </w:r>
      <w:r>
        <w:rPr>
          <w:rFonts w:hint="eastAsia" w:ascii="宋体" w:hAnsi="宋体" w:cs="宋体"/>
          <w:bCs/>
          <w:sz w:val="32"/>
          <w:szCs w:val="30"/>
          <w:highlight w:val="none"/>
          <w:u w:val="single"/>
          <w:lang w:eastAsia="zh-CN"/>
        </w:rPr>
        <w:t>乌鲁木齐高新建设工程项目管理咨询有限公司（盖章）</w:t>
      </w:r>
    </w:p>
    <w:p>
      <w:pPr>
        <w:tabs>
          <w:tab w:val="left" w:pos="3240"/>
          <w:tab w:val="left" w:pos="3420"/>
        </w:tabs>
        <w:spacing w:line="360" w:lineRule="auto"/>
        <w:jc w:val="left"/>
        <w:rPr>
          <w:rFonts w:ascii="宋体" w:cs="宋体"/>
          <w:bCs/>
          <w:sz w:val="32"/>
          <w:szCs w:val="36"/>
          <w:highlight w:val="none"/>
          <w:u w:val="single"/>
        </w:rPr>
      </w:pPr>
      <w:r>
        <w:rPr>
          <w:rFonts w:hint="eastAsia" w:ascii="宋体" w:hAnsi="宋体" w:cs="宋体"/>
          <w:bCs/>
          <w:spacing w:val="640"/>
          <w:kern w:val="0"/>
          <w:sz w:val="32"/>
          <w:szCs w:val="36"/>
          <w:highlight w:val="none"/>
          <w:fitText w:val="1920" w:id="-2026047485"/>
        </w:rPr>
        <w:t>日</w:t>
      </w:r>
      <w:r>
        <w:rPr>
          <w:rFonts w:hint="eastAsia" w:ascii="宋体" w:hAnsi="宋体" w:cs="宋体"/>
          <w:bCs/>
          <w:spacing w:val="0"/>
          <w:kern w:val="0"/>
          <w:sz w:val="32"/>
          <w:szCs w:val="36"/>
          <w:highlight w:val="none"/>
          <w:fitText w:val="1920" w:id="-2026047485"/>
        </w:rPr>
        <w:t>期</w:t>
      </w:r>
      <w:r>
        <w:rPr>
          <w:rFonts w:hint="eastAsia" w:ascii="宋体" w:hAnsi="宋体" w:cs="宋体"/>
          <w:bCs/>
          <w:sz w:val="32"/>
          <w:szCs w:val="36"/>
          <w:highlight w:val="none"/>
        </w:rPr>
        <w:t>：</w:t>
      </w:r>
      <w:r>
        <w:rPr>
          <w:rFonts w:ascii="宋体" w:hAnsi="宋体" w:cs="宋体"/>
          <w:bCs/>
          <w:sz w:val="32"/>
          <w:szCs w:val="36"/>
          <w:highlight w:val="none"/>
          <w:u w:val="single"/>
        </w:rPr>
        <w:t>20</w:t>
      </w:r>
      <w:r>
        <w:rPr>
          <w:rFonts w:hint="eastAsia" w:ascii="宋体" w:hAnsi="宋体" w:cs="宋体"/>
          <w:bCs/>
          <w:sz w:val="32"/>
          <w:szCs w:val="36"/>
          <w:highlight w:val="none"/>
          <w:u w:val="single"/>
        </w:rPr>
        <w:t>2</w:t>
      </w:r>
      <w:r>
        <w:rPr>
          <w:rFonts w:hint="eastAsia" w:ascii="宋体" w:hAnsi="宋体" w:cs="宋体"/>
          <w:bCs/>
          <w:sz w:val="32"/>
          <w:szCs w:val="36"/>
          <w:highlight w:val="none"/>
          <w:u w:val="single"/>
          <w:lang w:val="en-US" w:eastAsia="zh-CN"/>
        </w:rPr>
        <w:t>3</w:t>
      </w:r>
      <w:r>
        <w:rPr>
          <w:rFonts w:hint="eastAsia" w:ascii="宋体" w:hAnsi="宋体" w:cs="宋体"/>
          <w:bCs/>
          <w:sz w:val="32"/>
          <w:szCs w:val="36"/>
          <w:highlight w:val="none"/>
          <w:u w:val="single"/>
        </w:rPr>
        <w:t>年</w:t>
      </w:r>
      <w:r>
        <w:rPr>
          <w:rFonts w:hint="eastAsia" w:ascii="宋体" w:hAnsi="宋体" w:cs="宋体"/>
          <w:bCs/>
          <w:sz w:val="32"/>
          <w:szCs w:val="36"/>
          <w:highlight w:val="none"/>
          <w:u w:val="single"/>
          <w:lang w:val="en-US" w:eastAsia="zh-CN"/>
        </w:rPr>
        <w:t>6</w:t>
      </w:r>
      <w:r>
        <w:rPr>
          <w:rFonts w:hint="eastAsia" w:ascii="宋体" w:hAnsi="宋体" w:cs="宋体"/>
          <w:bCs/>
          <w:sz w:val="32"/>
          <w:szCs w:val="36"/>
          <w:highlight w:val="none"/>
          <w:u w:val="single"/>
        </w:rPr>
        <w:t>月</w:t>
      </w:r>
    </w:p>
    <w:p>
      <w:pPr>
        <w:widowControl/>
        <w:jc w:val="center"/>
        <w:rPr>
          <w:rFonts w:cs="宋体"/>
          <w:sz w:val="44"/>
          <w:szCs w:val="48"/>
          <w:highlight w:val="none"/>
        </w:rPr>
      </w:pPr>
      <w:r>
        <w:rPr>
          <w:rFonts w:cs="宋体"/>
          <w:bCs/>
          <w:sz w:val="32"/>
          <w:szCs w:val="36"/>
          <w:highlight w:val="none"/>
        </w:rPr>
        <w:br w:type="page"/>
      </w:r>
      <w:r>
        <w:rPr>
          <w:rFonts w:hint="eastAsia" w:cs="宋体"/>
          <w:sz w:val="44"/>
          <w:szCs w:val="48"/>
          <w:highlight w:val="none"/>
        </w:rPr>
        <w:t>目</w:t>
      </w:r>
      <w:r>
        <w:rPr>
          <w:rFonts w:cs="宋体"/>
          <w:sz w:val="44"/>
          <w:szCs w:val="48"/>
          <w:highlight w:val="none"/>
        </w:rPr>
        <w:t xml:space="preserve">  </w:t>
      </w:r>
      <w:r>
        <w:rPr>
          <w:rFonts w:hint="eastAsia" w:cs="宋体"/>
          <w:sz w:val="44"/>
          <w:szCs w:val="48"/>
          <w:highlight w:val="none"/>
        </w:rPr>
        <w:t>录</w:t>
      </w:r>
    </w:p>
    <w:p>
      <w:pPr>
        <w:widowControl/>
        <w:jc w:val="center"/>
        <w:rPr>
          <w:rFonts w:ascii="黑体" w:hAnsi="黑体" w:eastAsia="黑体"/>
          <w:sz w:val="22"/>
          <w:szCs w:val="24"/>
          <w:highlight w:val="none"/>
        </w:rPr>
      </w:pPr>
      <w:r>
        <w:rPr>
          <w:rFonts w:ascii="黑体" w:hAnsi="黑体" w:eastAsia="黑体" w:cs="宋体"/>
          <w:bCs/>
          <w:sz w:val="22"/>
          <w:szCs w:val="28"/>
          <w:highlight w:val="none"/>
        </w:rPr>
        <w:fldChar w:fldCharType="begin"/>
      </w:r>
      <w:r>
        <w:rPr>
          <w:rFonts w:ascii="黑体" w:hAnsi="黑体" w:eastAsia="黑体" w:cs="宋体"/>
          <w:sz w:val="22"/>
          <w:szCs w:val="28"/>
          <w:highlight w:val="none"/>
        </w:rPr>
        <w:instrText xml:space="preserve"> TOC \o "1-4" \h \z \u </w:instrText>
      </w:r>
      <w:r>
        <w:rPr>
          <w:rFonts w:ascii="黑体" w:hAnsi="黑体" w:eastAsia="黑体" w:cs="宋体"/>
          <w:bCs/>
          <w:sz w:val="22"/>
          <w:szCs w:val="28"/>
          <w:highlight w:val="none"/>
        </w:rPr>
        <w:fldChar w:fldCharType="separate"/>
      </w:r>
    </w:p>
    <w:p>
      <w:pPr>
        <w:pStyle w:val="32"/>
        <w:tabs>
          <w:tab w:val="right" w:leader="dot" w:pos="8296"/>
        </w:tabs>
        <w:spacing w:line="1000" w:lineRule="exact"/>
        <w:rPr>
          <w:rFonts w:ascii="宋体" w:hAnsi="宋体" w:cs="宋体"/>
          <w:b w:val="0"/>
          <w:bCs w:val="0"/>
          <w:caps w:val="0"/>
          <w:sz w:val="32"/>
          <w:szCs w:val="32"/>
          <w:highlight w:val="none"/>
        </w:rPr>
      </w:pPr>
      <w:r>
        <w:rPr>
          <w:highlight w:val="none"/>
        </w:rPr>
        <w:fldChar w:fldCharType="begin"/>
      </w:r>
      <w:r>
        <w:rPr>
          <w:highlight w:val="none"/>
        </w:rPr>
        <w:instrText xml:space="preserve"> HYPERLINK \l "_Toc44705269" </w:instrText>
      </w:r>
      <w:r>
        <w:rPr>
          <w:highlight w:val="none"/>
        </w:rPr>
        <w:fldChar w:fldCharType="separate"/>
      </w:r>
      <w:r>
        <w:rPr>
          <w:rStyle w:val="55"/>
          <w:rFonts w:hint="eastAsia" w:ascii="宋体" w:hAnsi="宋体" w:cs="宋体"/>
          <w:b w:val="0"/>
          <w:w w:val="90"/>
          <w:sz w:val="32"/>
          <w:szCs w:val="32"/>
          <w:highlight w:val="none"/>
          <w:u w:val="none"/>
        </w:rPr>
        <w:t>第一章 投标邀请（招标公告）</w:t>
      </w:r>
      <w:r>
        <w:rPr>
          <w:rStyle w:val="55"/>
          <w:rFonts w:hint="eastAsia" w:ascii="宋体" w:hAnsi="宋体" w:cs="宋体"/>
          <w:b w:val="0"/>
          <w:w w:val="90"/>
          <w:sz w:val="32"/>
          <w:szCs w:val="32"/>
          <w:highlight w:val="none"/>
          <w:u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_Toc44705269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3</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2"/>
        <w:tabs>
          <w:tab w:val="right" w:leader="dot" w:pos="8296"/>
        </w:tabs>
        <w:spacing w:line="1000" w:lineRule="exact"/>
        <w:rPr>
          <w:rFonts w:ascii="宋体" w:hAnsi="宋体" w:cs="宋体"/>
          <w:b w:val="0"/>
          <w:bCs w:val="0"/>
          <w:caps w:val="0"/>
          <w:sz w:val="32"/>
          <w:szCs w:val="32"/>
          <w:highlight w:val="none"/>
        </w:rPr>
      </w:pPr>
      <w:r>
        <w:rPr>
          <w:highlight w:val="none"/>
        </w:rPr>
        <w:fldChar w:fldCharType="begin"/>
      </w:r>
      <w:r>
        <w:rPr>
          <w:highlight w:val="none"/>
        </w:rPr>
        <w:instrText xml:space="preserve"> HYPERLINK \l "_Toc44705270" </w:instrText>
      </w:r>
      <w:r>
        <w:rPr>
          <w:highlight w:val="none"/>
        </w:rPr>
        <w:fldChar w:fldCharType="separate"/>
      </w:r>
      <w:r>
        <w:rPr>
          <w:rStyle w:val="55"/>
          <w:rFonts w:hint="eastAsia" w:ascii="宋体" w:hAnsi="宋体" w:cs="宋体"/>
          <w:b w:val="0"/>
          <w:w w:val="90"/>
          <w:sz w:val="32"/>
          <w:szCs w:val="32"/>
          <w:highlight w:val="none"/>
          <w:u w:val="none"/>
        </w:rPr>
        <w:t>第二章 投标人须知前附表</w:t>
      </w:r>
      <w:r>
        <w:rPr>
          <w:rFonts w:hint="eastAsia" w:ascii="宋体" w:hAnsi="宋体" w:cs="宋体"/>
          <w:b w:val="0"/>
          <w:sz w:val="32"/>
          <w:szCs w:val="32"/>
          <w:highlight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_Toc44705270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7</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2"/>
        <w:tabs>
          <w:tab w:val="right" w:leader="dot" w:pos="8296"/>
        </w:tabs>
        <w:spacing w:line="1000" w:lineRule="exact"/>
        <w:rPr>
          <w:rFonts w:ascii="宋体" w:hAnsi="宋体" w:cs="宋体"/>
          <w:b w:val="0"/>
          <w:bCs w:val="0"/>
          <w:caps w:val="0"/>
          <w:sz w:val="32"/>
          <w:szCs w:val="32"/>
          <w:highlight w:val="none"/>
        </w:rPr>
      </w:pPr>
      <w:r>
        <w:rPr>
          <w:highlight w:val="none"/>
        </w:rPr>
        <w:fldChar w:fldCharType="begin"/>
      </w:r>
      <w:r>
        <w:rPr>
          <w:highlight w:val="none"/>
        </w:rPr>
        <w:instrText xml:space="preserve"> HYPERLINK \l "_Toc44705271" </w:instrText>
      </w:r>
      <w:r>
        <w:rPr>
          <w:highlight w:val="none"/>
        </w:rPr>
        <w:fldChar w:fldCharType="separate"/>
      </w:r>
      <w:r>
        <w:rPr>
          <w:rStyle w:val="55"/>
          <w:rFonts w:hint="eastAsia" w:ascii="宋体" w:hAnsi="宋体" w:cs="宋体"/>
          <w:b w:val="0"/>
          <w:w w:val="90"/>
          <w:sz w:val="32"/>
          <w:szCs w:val="32"/>
          <w:highlight w:val="none"/>
          <w:u w:val="none"/>
        </w:rPr>
        <w:t>第三章 投标人须知</w:t>
      </w:r>
      <w:r>
        <w:rPr>
          <w:rFonts w:hint="eastAsia" w:ascii="宋体" w:hAnsi="宋体" w:cs="宋体"/>
          <w:b w:val="0"/>
          <w:sz w:val="32"/>
          <w:szCs w:val="32"/>
          <w:highlight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_Toc44705271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12</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2"/>
        <w:tabs>
          <w:tab w:val="right" w:leader="dot" w:pos="8296"/>
        </w:tabs>
        <w:spacing w:line="1000" w:lineRule="exact"/>
        <w:rPr>
          <w:rFonts w:ascii="宋体" w:hAnsi="宋体" w:cs="宋体"/>
          <w:b w:val="0"/>
          <w:bCs w:val="0"/>
          <w:caps w:val="0"/>
          <w:sz w:val="32"/>
          <w:szCs w:val="32"/>
          <w:highlight w:val="none"/>
        </w:rPr>
      </w:pPr>
      <w:r>
        <w:rPr>
          <w:highlight w:val="none"/>
        </w:rPr>
        <w:fldChar w:fldCharType="begin"/>
      </w:r>
      <w:r>
        <w:rPr>
          <w:highlight w:val="none"/>
        </w:rPr>
        <w:instrText xml:space="preserve"> HYPERLINK \l "_Toc44705272" </w:instrText>
      </w:r>
      <w:r>
        <w:rPr>
          <w:highlight w:val="none"/>
        </w:rPr>
        <w:fldChar w:fldCharType="separate"/>
      </w:r>
      <w:r>
        <w:rPr>
          <w:rStyle w:val="55"/>
          <w:rFonts w:hint="eastAsia" w:ascii="宋体" w:hAnsi="宋体" w:cs="宋体"/>
          <w:b w:val="0"/>
          <w:w w:val="90"/>
          <w:sz w:val="32"/>
          <w:szCs w:val="32"/>
          <w:highlight w:val="none"/>
          <w:u w:val="none"/>
        </w:rPr>
        <w:t>第四章 合同文本格式</w:t>
      </w:r>
      <w:r>
        <w:rPr>
          <w:rFonts w:hint="eastAsia" w:ascii="宋体" w:hAnsi="宋体" w:cs="宋体"/>
          <w:b w:val="0"/>
          <w:sz w:val="32"/>
          <w:szCs w:val="32"/>
          <w:highlight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_Toc44705272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26</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2"/>
        <w:tabs>
          <w:tab w:val="right" w:leader="dot" w:pos="8296"/>
        </w:tabs>
        <w:spacing w:line="1000" w:lineRule="exact"/>
        <w:rPr>
          <w:rFonts w:ascii="宋体" w:hAnsi="宋体" w:cs="宋体"/>
          <w:b w:val="0"/>
          <w:bCs w:val="0"/>
          <w:caps w:val="0"/>
          <w:sz w:val="32"/>
          <w:szCs w:val="32"/>
          <w:highlight w:val="none"/>
        </w:rPr>
      </w:pPr>
      <w:r>
        <w:rPr>
          <w:highlight w:val="none"/>
        </w:rPr>
        <w:fldChar w:fldCharType="begin"/>
      </w:r>
      <w:r>
        <w:rPr>
          <w:highlight w:val="none"/>
        </w:rPr>
        <w:instrText xml:space="preserve"> HYPERLINK \l "_Toc44705273" </w:instrText>
      </w:r>
      <w:r>
        <w:rPr>
          <w:highlight w:val="none"/>
        </w:rPr>
        <w:fldChar w:fldCharType="separate"/>
      </w:r>
      <w:r>
        <w:rPr>
          <w:rStyle w:val="55"/>
          <w:rFonts w:hint="eastAsia" w:ascii="宋体" w:hAnsi="宋体" w:cs="宋体"/>
          <w:b w:val="0"/>
          <w:w w:val="90"/>
          <w:sz w:val="32"/>
          <w:szCs w:val="32"/>
          <w:highlight w:val="none"/>
          <w:u w:val="none"/>
        </w:rPr>
        <w:t>第五章 采购需求</w:t>
      </w:r>
      <w:r>
        <w:rPr>
          <w:rFonts w:hint="eastAsia" w:ascii="宋体" w:hAnsi="宋体" w:cs="宋体"/>
          <w:b w:val="0"/>
          <w:sz w:val="32"/>
          <w:szCs w:val="32"/>
          <w:highlight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_Toc44705273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27</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2"/>
        <w:tabs>
          <w:tab w:val="right" w:leader="dot" w:pos="8296"/>
        </w:tabs>
        <w:spacing w:line="1000" w:lineRule="exact"/>
        <w:rPr>
          <w:rFonts w:ascii="宋体" w:hAnsi="宋体" w:cs="宋体"/>
          <w:b w:val="0"/>
          <w:bCs w:val="0"/>
          <w:caps w:val="0"/>
          <w:sz w:val="32"/>
          <w:szCs w:val="32"/>
          <w:highlight w:val="none"/>
        </w:rPr>
      </w:pPr>
      <w:r>
        <w:rPr>
          <w:highlight w:val="none"/>
        </w:rPr>
        <w:fldChar w:fldCharType="begin"/>
      </w:r>
      <w:r>
        <w:rPr>
          <w:highlight w:val="none"/>
        </w:rPr>
        <w:instrText xml:space="preserve"> HYPERLINK \l "_Toc44705274" </w:instrText>
      </w:r>
      <w:r>
        <w:rPr>
          <w:highlight w:val="none"/>
        </w:rPr>
        <w:fldChar w:fldCharType="separate"/>
      </w:r>
      <w:r>
        <w:rPr>
          <w:rStyle w:val="55"/>
          <w:rFonts w:hint="eastAsia" w:ascii="宋体" w:hAnsi="宋体" w:cs="宋体"/>
          <w:b w:val="0"/>
          <w:w w:val="90"/>
          <w:sz w:val="32"/>
          <w:szCs w:val="32"/>
          <w:highlight w:val="none"/>
          <w:u w:val="none"/>
        </w:rPr>
        <w:t>第六章 评标方法及评标标准</w:t>
      </w:r>
      <w:r>
        <w:rPr>
          <w:rFonts w:hint="eastAsia" w:ascii="宋体" w:hAnsi="宋体" w:cs="宋体"/>
          <w:b w:val="0"/>
          <w:sz w:val="32"/>
          <w:szCs w:val="32"/>
          <w:highlight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_Toc44705274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35</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2"/>
        <w:tabs>
          <w:tab w:val="right" w:leader="dot" w:pos="8296"/>
        </w:tabs>
        <w:spacing w:line="1000" w:lineRule="exact"/>
        <w:rPr>
          <w:rFonts w:ascii="黑体" w:hAnsi="黑体" w:eastAsia="黑体" w:cs="Arial"/>
          <w:b w:val="0"/>
          <w:bCs w:val="0"/>
          <w:caps w:val="0"/>
          <w:sz w:val="32"/>
          <w:szCs w:val="32"/>
          <w:highlight w:val="none"/>
        </w:rPr>
      </w:pPr>
      <w:r>
        <w:rPr>
          <w:highlight w:val="none"/>
        </w:rPr>
        <w:fldChar w:fldCharType="begin"/>
      </w:r>
      <w:r>
        <w:rPr>
          <w:highlight w:val="none"/>
        </w:rPr>
        <w:instrText xml:space="preserve"> HYPERLINK \l "_Toc44705277" </w:instrText>
      </w:r>
      <w:r>
        <w:rPr>
          <w:highlight w:val="none"/>
        </w:rPr>
        <w:fldChar w:fldCharType="separate"/>
      </w:r>
      <w:r>
        <w:rPr>
          <w:rStyle w:val="55"/>
          <w:rFonts w:hint="eastAsia" w:ascii="宋体" w:hAnsi="宋体" w:cs="宋体"/>
          <w:b w:val="0"/>
          <w:w w:val="90"/>
          <w:sz w:val="32"/>
          <w:szCs w:val="32"/>
          <w:highlight w:val="none"/>
          <w:u w:val="none"/>
        </w:rPr>
        <w:t>第七章 投标文件格式</w:t>
      </w:r>
      <w:r>
        <w:rPr>
          <w:rFonts w:hint="eastAsia" w:ascii="宋体" w:hAnsi="宋体" w:cs="宋体"/>
          <w:b w:val="0"/>
          <w:sz w:val="32"/>
          <w:szCs w:val="32"/>
          <w:highlight w:val="none"/>
        </w:rPr>
        <w:tab/>
      </w:r>
      <w:r>
        <w:rPr>
          <w:rFonts w:hint="eastAsia" w:ascii="宋体" w:hAnsi="宋体" w:cs="宋体"/>
          <w:b w:val="0"/>
          <w:sz w:val="32"/>
          <w:szCs w:val="32"/>
          <w:highlight w:val="none"/>
        </w:rPr>
        <w:fldChar w:fldCharType="begin"/>
      </w:r>
      <w:r>
        <w:rPr>
          <w:rFonts w:hint="eastAsia" w:ascii="宋体" w:hAnsi="宋体" w:cs="宋体"/>
          <w:b w:val="0"/>
          <w:sz w:val="32"/>
          <w:szCs w:val="32"/>
          <w:highlight w:val="none"/>
        </w:rPr>
        <w:instrText xml:space="preserve"> PAGEREF _Toc44705277 \h </w:instrText>
      </w:r>
      <w:r>
        <w:rPr>
          <w:rFonts w:hint="eastAsia" w:ascii="宋体" w:hAnsi="宋体" w:cs="宋体"/>
          <w:b w:val="0"/>
          <w:sz w:val="32"/>
          <w:szCs w:val="32"/>
          <w:highlight w:val="none"/>
        </w:rPr>
        <w:fldChar w:fldCharType="separate"/>
      </w:r>
      <w:r>
        <w:rPr>
          <w:rFonts w:hint="eastAsia" w:ascii="宋体" w:hAnsi="宋体" w:cs="宋体"/>
          <w:b w:val="0"/>
          <w:sz w:val="32"/>
          <w:szCs w:val="32"/>
          <w:highlight w:val="none"/>
        </w:rPr>
        <w:t>42</w:t>
      </w:r>
      <w:r>
        <w:rPr>
          <w:rFonts w:hint="eastAsia" w:ascii="宋体" w:hAnsi="宋体" w:cs="宋体"/>
          <w:b w:val="0"/>
          <w:sz w:val="32"/>
          <w:szCs w:val="32"/>
          <w:highlight w:val="none"/>
        </w:rPr>
        <w:fldChar w:fldCharType="end"/>
      </w:r>
      <w:r>
        <w:rPr>
          <w:rFonts w:hint="eastAsia" w:ascii="宋体" w:hAnsi="宋体" w:cs="宋体"/>
          <w:b w:val="0"/>
          <w:sz w:val="32"/>
          <w:szCs w:val="32"/>
          <w:highlight w:val="none"/>
        </w:rPr>
        <w:fldChar w:fldCharType="end"/>
      </w:r>
    </w:p>
    <w:p>
      <w:pPr>
        <w:pStyle w:val="33"/>
        <w:tabs>
          <w:tab w:val="right" w:leader="dot" w:pos="8296"/>
        </w:tabs>
        <w:spacing w:line="1000" w:lineRule="exact"/>
        <w:rPr>
          <w:rFonts w:cs="Arial"/>
          <w:sz w:val="24"/>
          <w:szCs w:val="28"/>
          <w:highlight w:val="none"/>
        </w:rPr>
        <w:sectPr>
          <w:headerReference r:id="rId4" w:type="first"/>
          <w:headerReference r:id="rId3" w:type="default"/>
          <w:footerReference r:id="rId5" w:type="default"/>
          <w:pgSz w:w="11906" w:h="16838"/>
          <w:pgMar w:top="1440" w:right="1800" w:bottom="1440" w:left="1800" w:header="850" w:footer="992" w:gutter="0"/>
          <w:cols w:space="720" w:num="1"/>
          <w:titlePg/>
          <w:rtlGutter w:val="1"/>
          <w:docGrid w:type="lines" w:linePitch="312" w:charSpace="0"/>
        </w:sectPr>
      </w:pPr>
    </w:p>
    <w:p>
      <w:pPr>
        <w:pStyle w:val="32"/>
        <w:jc w:val="center"/>
        <w:rPr>
          <w:rFonts w:ascii="宋体" w:cs="宋体"/>
          <w:b w:val="0"/>
          <w:sz w:val="32"/>
          <w:highlight w:val="none"/>
        </w:rPr>
      </w:pPr>
      <w:r>
        <w:rPr>
          <w:rFonts w:ascii="黑体" w:hAnsi="黑体" w:eastAsia="黑体" w:cs="宋体"/>
          <w:bCs w:val="0"/>
          <w:sz w:val="22"/>
          <w:szCs w:val="28"/>
          <w:highlight w:val="none"/>
        </w:rPr>
        <w:fldChar w:fldCharType="end"/>
      </w:r>
      <w:bookmarkStart w:id="0" w:name="_Toc44704901"/>
      <w:bookmarkStart w:id="1" w:name="_Toc44705269"/>
      <w:bookmarkStart w:id="2" w:name="_Toc44705048"/>
      <w:r>
        <w:rPr>
          <w:rFonts w:hint="eastAsia" w:ascii="宋体" w:hAnsi="宋体" w:cs="宋体"/>
          <w:b w:val="0"/>
          <w:sz w:val="44"/>
          <w:highlight w:val="none"/>
        </w:rPr>
        <w:t>第一章</w:t>
      </w:r>
      <w:r>
        <w:rPr>
          <w:rFonts w:ascii="宋体" w:hAnsi="宋体" w:cs="宋体"/>
          <w:b w:val="0"/>
          <w:sz w:val="32"/>
          <w:highlight w:val="none"/>
        </w:rPr>
        <w:t xml:space="preserve"> </w:t>
      </w:r>
      <w:r>
        <w:rPr>
          <w:rFonts w:hint="eastAsia" w:ascii="宋体" w:hAnsi="宋体" w:cs="宋体"/>
          <w:b w:val="0"/>
          <w:bCs w:val="0"/>
          <w:sz w:val="44"/>
          <w:highlight w:val="none"/>
        </w:rPr>
        <w:t>投标邀请（招标公告）</w:t>
      </w:r>
      <w:bookmarkEnd w:id="0"/>
      <w:bookmarkEnd w:id="1"/>
      <w:bookmarkEnd w:id="2"/>
    </w:p>
    <w:p>
      <w:pPr>
        <w:pBdr>
          <w:top w:val="single" w:color="auto" w:sz="4" w:space="1"/>
          <w:left w:val="single" w:color="auto" w:sz="4" w:space="4"/>
          <w:bottom w:val="single" w:color="auto" w:sz="4" w:space="1"/>
          <w:right w:val="single" w:color="auto" w:sz="4" w:space="4"/>
        </w:pBdr>
        <w:shd w:val="clear"/>
        <w:spacing w:line="360" w:lineRule="auto"/>
        <w:ind w:firstLine="560" w:firstLineChars="200"/>
        <w:jc w:val="center"/>
        <w:rPr>
          <w:rFonts w:ascii="宋体"/>
          <w:sz w:val="28"/>
          <w:szCs w:val="28"/>
          <w:highlight w:val="none"/>
        </w:rPr>
      </w:pPr>
      <w:bookmarkStart w:id="3" w:name="_Toc28359079"/>
      <w:bookmarkStart w:id="4" w:name="_Toc35393790"/>
      <w:bookmarkStart w:id="5" w:name="_Toc35393621"/>
      <w:bookmarkStart w:id="6" w:name="_Toc28359002"/>
      <w:bookmarkStart w:id="7" w:name="_Hlk24379207"/>
      <w:r>
        <w:rPr>
          <w:rFonts w:hint="eastAsia" w:ascii="宋体" w:hAnsi="宋体"/>
          <w:sz w:val="28"/>
          <w:szCs w:val="28"/>
          <w:highlight w:val="none"/>
        </w:rPr>
        <w:t>项目概况</w:t>
      </w:r>
    </w:p>
    <w:p>
      <w:pPr>
        <w:pBdr>
          <w:top w:val="single" w:color="auto" w:sz="4" w:space="1"/>
          <w:left w:val="single" w:color="auto" w:sz="4" w:space="4"/>
          <w:bottom w:val="single" w:color="auto" w:sz="4" w:space="1"/>
          <w:right w:val="single" w:color="auto" w:sz="4" w:space="4"/>
        </w:pBdr>
        <w:shd w:val="clear"/>
        <w:spacing w:line="360" w:lineRule="auto"/>
        <w:ind w:firstLine="560" w:firstLineChars="200"/>
        <w:rPr>
          <w:rFonts w:ascii="宋体"/>
          <w:sz w:val="28"/>
          <w:szCs w:val="28"/>
          <w:highlight w:val="none"/>
        </w:rPr>
      </w:pPr>
      <w:r>
        <w:rPr>
          <w:rFonts w:hint="eastAsia" w:ascii="宋体" w:hAnsi="宋体"/>
          <w:sz w:val="28"/>
          <w:szCs w:val="28"/>
          <w:highlight w:val="none"/>
          <w:u w:val="single"/>
          <w:lang w:eastAsia="zh-CN"/>
        </w:rPr>
        <w:t>乌鲁木齐高新区（新市区）某单位车辆维修服务项目</w:t>
      </w:r>
      <w:r>
        <w:rPr>
          <w:rFonts w:hint="eastAsia" w:ascii="宋体" w:hAnsi="宋体"/>
          <w:sz w:val="28"/>
          <w:szCs w:val="28"/>
          <w:highlight w:val="none"/>
          <w:u w:val="single"/>
        </w:rPr>
        <w:t xml:space="preserve"> </w:t>
      </w:r>
      <w:r>
        <w:rPr>
          <w:rFonts w:hint="eastAsia" w:ascii="宋体" w:hAnsi="宋体"/>
          <w:sz w:val="28"/>
          <w:szCs w:val="28"/>
          <w:highlight w:val="none"/>
        </w:rPr>
        <w:t>招标项目的潜在投标人应在潜在</w:t>
      </w:r>
      <w:r>
        <w:rPr>
          <w:rFonts w:hint="eastAsia" w:ascii="宋体" w:hAnsi="宋体"/>
          <w:sz w:val="28"/>
          <w:szCs w:val="28"/>
          <w:highlight w:val="none"/>
          <w:lang w:eastAsia="zh-CN"/>
        </w:rPr>
        <w:t>投标人</w:t>
      </w:r>
      <w:r>
        <w:rPr>
          <w:rFonts w:hint="eastAsia" w:ascii="宋体" w:hAnsi="宋体"/>
          <w:sz w:val="28"/>
          <w:szCs w:val="28"/>
          <w:highlight w:val="none"/>
        </w:rPr>
        <w:t>应在</w:t>
      </w:r>
      <w:r>
        <w:rPr>
          <w:rFonts w:hint="eastAsia" w:ascii="宋体" w:hAnsi="宋体"/>
          <w:sz w:val="28"/>
          <w:szCs w:val="28"/>
          <w:highlight w:val="none"/>
          <w:u w:val="single"/>
        </w:rPr>
        <w:t>政采云平台（https://www.zcygov.cn/）</w:t>
      </w:r>
      <w:r>
        <w:rPr>
          <w:rFonts w:hint="eastAsia" w:ascii="宋体" w:hAnsi="宋体"/>
          <w:sz w:val="28"/>
          <w:szCs w:val="28"/>
          <w:highlight w:val="none"/>
        </w:rPr>
        <w:t>获取采购文件，并于</w:t>
      </w:r>
      <w:r>
        <w:rPr>
          <w:rFonts w:ascii="宋体" w:hAnsi="宋体"/>
          <w:sz w:val="28"/>
          <w:szCs w:val="28"/>
          <w:highlight w:val="none"/>
          <w:u w:val="single"/>
        </w:rPr>
        <w:t>202</w:t>
      </w:r>
      <w:r>
        <w:rPr>
          <w:rFonts w:hint="eastAsia" w:ascii="宋体" w:hAnsi="宋体"/>
          <w:sz w:val="28"/>
          <w:szCs w:val="28"/>
          <w:highlight w:val="none"/>
          <w:u w:val="single"/>
          <w:lang w:val="en-US" w:eastAsia="zh-CN"/>
        </w:rPr>
        <w:t>3</w:t>
      </w:r>
      <w:r>
        <w:rPr>
          <w:rFonts w:hint="eastAsia" w:ascii="宋体" w:hAnsi="宋体"/>
          <w:bCs/>
          <w:sz w:val="28"/>
          <w:szCs w:val="28"/>
          <w:highlight w:val="none"/>
          <w:u w:val="single"/>
        </w:rPr>
        <w:t>年</w:t>
      </w:r>
      <w:r>
        <w:rPr>
          <w:rFonts w:hint="eastAsia" w:ascii="宋体" w:hAnsi="宋体"/>
          <w:bCs/>
          <w:sz w:val="28"/>
          <w:szCs w:val="28"/>
          <w:highlight w:val="none"/>
          <w:u w:val="single"/>
          <w:lang w:val="en-US" w:eastAsia="zh-CN"/>
        </w:rPr>
        <w:t>08</w:t>
      </w:r>
      <w:r>
        <w:rPr>
          <w:rFonts w:hint="eastAsia" w:ascii="宋体" w:hAnsi="宋体"/>
          <w:bCs/>
          <w:sz w:val="28"/>
          <w:szCs w:val="28"/>
          <w:highlight w:val="none"/>
          <w:u w:val="single"/>
        </w:rPr>
        <w:t>月</w:t>
      </w:r>
      <w:r>
        <w:rPr>
          <w:rFonts w:hint="eastAsia" w:ascii="宋体" w:hAnsi="宋体"/>
          <w:bCs/>
          <w:sz w:val="28"/>
          <w:szCs w:val="28"/>
          <w:highlight w:val="none"/>
          <w:u w:val="single"/>
          <w:lang w:val="en-US" w:eastAsia="zh-CN"/>
        </w:rPr>
        <w:t>01</w:t>
      </w:r>
      <w:r>
        <w:rPr>
          <w:rFonts w:hint="eastAsia" w:ascii="宋体" w:hAnsi="宋体"/>
          <w:bCs/>
          <w:sz w:val="28"/>
          <w:szCs w:val="28"/>
          <w:highlight w:val="none"/>
          <w:u w:val="single"/>
        </w:rPr>
        <w:t>日</w:t>
      </w:r>
      <w:r>
        <w:rPr>
          <w:rFonts w:hint="eastAsia" w:ascii="宋体" w:hAnsi="宋体"/>
          <w:bCs/>
          <w:sz w:val="28"/>
          <w:szCs w:val="28"/>
          <w:highlight w:val="none"/>
          <w:u w:val="single"/>
          <w:lang w:val="en-US" w:eastAsia="zh-CN"/>
        </w:rPr>
        <w:t xml:space="preserve">  16 </w:t>
      </w:r>
      <w:r>
        <w:rPr>
          <w:rFonts w:hint="eastAsia" w:ascii="宋体" w:hAnsi="宋体"/>
          <w:bCs/>
          <w:sz w:val="28"/>
          <w:szCs w:val="28"/>
          <w:highlight w:val="none"/>
          <w:u w:val="single"/>
        </w:rPr>
        <w:t>点</w:t>
      </w:r>
      <w:r>
        <w:rPr>
          <w:rFonts w:hint="eastAsia" w:ascii="宋体" w:hAnsi="宋体"/>
          <w:bCs/>
          <w:sz w:val="28"/>
          <w:szCs w:val="28"/>
          <w:highlight w:val="none"/>
          <w:u w:val="single"/>
          <w:lang w:val="en-US" w:eastAsia="zh-CN"/>
        </w:rPr>
        <w:t xml:space="preserve">00  </w:t>
      </w:r>
      <w:r>
        <w:rPr>
          <w:rFonts w:hint="eastAsia" w:ascii="宋体" w:hAnsi="宋体"/>
          <w:bCs/>
          <w:sz w:val="28"/>
          <w:szCs w:val="28"/>
          <w:highlight w:val="none"/>
          <w:u w:val="single"/>
        </w:rPr>
        <w:t>分</w:t>
      </w:r>
      <w:r>
        <w:rPr>
          <w:rFonts w:hint="eastAsia" w:ascii="宋体" w:hAnsi="宋体"/>
          <w:bCs/>
          <w:sz w:val="28"/>
          <w:szCs w:val="28"/>
          <w:highlight w:val="none"/>
        </w:rPr>
        <w:t>（北京时间）前递交投标文件</w:t>
      </w:r>
      <w:r>
        <w:rPr>
          <w:rFonts w:hint="eastAsia" w:ascii="宋体" w:hAnsi="宋体"/>
          <w:sz w:val="28"/>
          <w:szCs w:val="28"/>
          <w:highlight w:val="none"/>
        </w:rPr>
        <w:t>。</w:t>
      </w:r>
    </w:p>
    <w:p>
      <w:pPr>
        <w:rPr>
          <w:rFonts w:ascii="宋体" w:cs="宋体"/>
          <w:sz w:val="28"/>
          <w:szCs w:val="28"/>
          <w:highlight w:val="none"/>
        </w:rPr>
      </w:pPr>
      <w:r>
        <w:rPr>
          <w:rFonts w:hint="eastAsia" w:ascii="宋体" w:hAnsi="宋体" w:cs="宋体"/>
          <w:sz w:val="28"/>
          <w:szCs w:val="28"/>
          <w:highlight w:val="none"/>
        </w:rPr>
        <w:t>一、项目基本情况</w:t>
      </w:r>
      <w:bookmarkEnd w:id="3"/>
      <w:bookmarkEnd w:id="4"/>
      <w:bookmarkEnd w:id="5"/>
      <w:bookmarkEnd w:id="6"/>
    </w:p>
    <w:p>
      <w:pPr>
        <w:spacing w:line="360" w:lineRule="auto"/>
        <w:ind w:firstLine="560" w:firstLineChars="200"/>
        <w:rPr>
          <w:rFonts w:hint="eastAsia" w:ascii="宋体" w:eastAsia="宋体"/>
          <w:sz w:val="28"/>
          <w:szCs w:val="28"/>
          <w:highlight w:val="none"/>
          <w:lang w:eastAsia="zh-CN"/>
        </w:rPr>
      </w:pPr>
      <w:r>
        <w:rPr>
          <w:rFonts w:hint="eastAsia" w:ascii="宋体" w:hAnsi="宋体"/>
          <w:sz w:val="28"/>
          <w:szCs w:val="28"/>
          <w:highlight w:val="none"/>
        </w:rPr>
        <w:t>项目编号：</w:t>
      </w:r>
      <w:r>
        <w:rPr>
          <w:rFonts w:hint="eastAsia" w:ascii="宋体" w:hAnsi="宋体"/>
          <w:sz w:val="28"/>
          <w:szCs w:val="28"/>
          <w:highlight w:val="none"/>
          <w:lang w:eastAsia="zh-CN"/>
        </w:rPr>
        <w:t>GXXG-2023-ZFCG052-2</w:t>
      </w:r>
    </w:p>
    <w:p>
      <w:pPr>
        <w:spacing w:line="360" w:lineRule="auto"/>
        <w:ind w:firstLine="560" w:firstLineChars="200"/>
        <w:rPr>
          <w:rFonts w:hint="eastAsia" w:ascii="宋体" w:hAnsi="宋体" w:eastAsia="宋体"/>
          <w:sz w:val="28"/>
          <w:szCs w:val="28"/>
          <w:highlight w:val="none"/>
          <w:lang w:eastAsia="zh-CN"/>
        </w:rPr>
      </w:pPr>
      <w:r>
        <w:rPr>
          <w:rFonts w:hint="eastAsia" w:ascii="宋体" w:hAnsi="宋体"/>
          <w:sz w:val="28"/>
          <w:szCs w:val="28"/>
          <w:highlight w:val="none"/>
        </w:rPr>
        <w:t>项目名称：</w:t>
      </w:r>
      <w:r>
        <w:rPr>
          <w:rFonts w:hint="eastAsia" w:ascii="宋体" w:hAnsi="宋体"/>
          <w:sz w:val="28"/>
          <w:szCs w:val="28"/>
          <w:highlight w:val="none"/>
          <w:lang w:eastAsia="zh-CN"/>
        </w:rPr>
        <w:t>乌鲁木齐高新区（新市区）某单位车辆维修服务项目</w:t>
      </w:r>
    </w:p>
    <w:p>
      <w:pPr>
        <w:pStyle w:val="21"/>
        <w:ind w:firstLine="560" w:firstLineChars="200"/>
        <w:rPr>
          <w:highlight w:val="none"/>
        </w:rPr>
      </w:pPr>
      <w:r>
        <w:rPr>
          <w:rFonts w:hint="eastAsia" w:ascii="宋体" w:hAnsi="宋体"/>
          <w:sz w:val="28"/>
          <w:szCs w:val="28"/>
          <w:highlight w:val="none"/>
        </w:rPr>
        <w:t>采购方式：公开招标</w:t>
      </w:r>
    </w:p>
    <w:bookmarkEnd w:id="7"/>
    <w:p>
      <w:pPr>
        <w:spacing w:line="360" w:lineRule="auto"/>
        <w:ind w:firstLine="560" w:firstLineChars="200"/>
        <w:rPr>
          <w:rFonts w:ascii="宋体"/>
          <w:sz w:val="28"/>
          <w:szCs w:val="28"/>
          <w:highlight w:val="none"/>
        </w:rPr>
      </w:pPr>
      <w:r>
        <w:rPr>
          <w:rFonts w:hint="eastAsia" w:ascii="宋体" w:hAnsi="宋体"/>
          <w:sz w:val="28"/>
          <w:szCs w:val="28"/>
          <w:highlight w:val="none"/>
        </w:rPr>
        <w:t>预算金额：</w:t>
      </w:r>
      <w:r>
        <w:rPr>
          <w:rFonts w:hint="eastAsia" w:ascii="宋体" w:hAnsi="宋体"/>
          <w:sz w:val="28"/>
          <w:szCs w:val="28"/>
          <w:highlight w:val="none"/>
          <w:lang w:val="en-US" w:eastAsia="zh-CN"/>
        </w:rPr>
        <w:t>1305000.00元</w:t>
      </w:r>
    </w:p>
    <w:p>
      <w:pPr>
        <w:spacing w:line="360" w:lineRule="auto"/>
        <w:ind w:firstLine="560" w:firstLineChars="200"/>
        <w:rPr>
          <w:rFonts w:ascii="宋体"/>
          <w:sz w:val="28"/>
          <w:szCs w:val="28"/>
          <w:highlight w:val="none"/>
        </w:rPr>
      </w:pPr>
      <w:r>
        <w:rPr>
          <w:rFonts w:hint="eastAsia" w:ascii="宋体" w:hAnsi="宋体"/>
          <w:sz w:val="28"/>
          <w:szCs w:val="28"/>
          <w:highlight w:val="none"/>
        </w:rPr>
        <w:t>最高限价（如有）：</w:t>
      </w:r>
      <w:r>
        <w:rPr>
          <w:rFonts w:hint="eastAsia" w:ascii="宋体" w:hAnsi="宋体"/>
          <w:sz w:val="28"/>
          <w:szCs w:val="28"/>
          <w:highlight w:val="none"/>
          <w:lang w:val="en-US" w:eastAsia="zh-CN"/>
        </w:rPr>
        <w:t>1305000.00元</w:t>
      </w:r>
    </w:p>
    <w:p>
      <w:pPr>
        <w:spacing w:line="560" w:lineRule="exact"/>
        <w:ind w:firstLine="560" w:firstLineChars="200"/>
        <w:rPr>
          <w:rFonts w:hint="eastAsia" w:ascii="宋体" w:hAnsi="宋体"/>
          <w:sz w:val="28"/>
          <w:szCs w:val="28"/>
          <w:highlight w:val="none"/>
          <w:lang w:eastAsia="zh-CN"/>
        </w:rPr>
      </w:pPr>
      <w:r>
        <w:rPr>
          <w:rFonts w:hint="eastAsia" w:ascii="宋体" w:hAnsi="宋体"/>
          <w:sz w:val="28"/>
          <w:szCs w:val="28"/>
          <w:highlight w:val="none"/>
        </w:rPr>
        <w:t>采购需求：</w:t>
      </w:r>
    </w:p>
    <w:p>
      <w:pPr>
        <w:spacing w:line="360" w:lineRule="auto"/>
        <w:ind w:firstLine="562" w:firstLineChars="200"/>
        <w:rPr>
          <w:rFonts w:hint="eastAsia"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lang w:val="en-US" w:eastAsia="zh-CN"/>
        </w:rPr>
        <w:t>标项一:</w:t>
      </w:r>
    </w:p>
    <w:p>
      <w:pPr>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 xml:space="preserve">标项名称: </w:t>
      </w:r>
      <w:r>
        <w:rPr>
          <w:rFonts w:hint="eastAsia" w:ascii="宋体" w:hAnsi="宋体" w:cs="Times New Roman"/>
          <w:sz w:val="28"/>
          <w:szCs w:val="28"/>
          <w:highlight w:val="none"/>
          <w:lang w:val="en-US" w:eastAsia="zh-CN"/>
        </w:rPr>
        <w:t>乌鲁木齐高新区（新市区）某单位</w:t>
      </w:r>
      <w:r>
        <w:rPr>
          <w:rFonts w:hint="eastAsia" w:ascii="宋体" w:hAnsi="宋体" w:cs="Times New Roman"/>
          <w:b/>
          <w:bCs/>
          <w:sz w:val="28"/>
          <w:szCs w:val="28"/>
          <w:highlight w:val="none"/>
          <w:lang w:val="en-US" w:eastAsia="zh-CN"/>
        </w:rPr>
        <w:t>南区</w:t>
      </w:r>
      <w:r>
        <w:rPr>
          <w:rFonts w:hint="eastAsia" w:ascii="宋体" w:hAnsi="宋体" w:cs="Times New Roman"/>
          <w:sz w:val="28"/>
          <w:szCs w:val="28"/>
          <w:highlight w:val="none"/>
          <w:lang w:val="en-US" w:eastAsia="zh-CN"/>
        </w:rPr>
        <w:t>车辆维修服务项目</w:t>
      </w:r>
    </w:p>
    <w:p>
      <w:pPr>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数量:1批</w:t>
      </w:r>
    </w:p>
    <w:p>
      <w:pPr>
        <w:spacing w:line="360" w:lineRule="auto"/>
        <w:ind w:firstLine="560" w:firstLineChars="200"/>
        <w:rPr>
          <w:rFonts w:hint="default"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预算金额（元）: 1305000.00</w:t>
      </w:r>
    </w:p>
    <w:p>
      <w:pPr>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合同履行期限（服务期）：一年</w:t>
      </w:r>
    </w:p>
    <w:p>
      <w:pPr>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lang w:val="en-US" w:eastAsia="zh-CN"/>
        </w:rPr>
        <w:t>本项目（否）联合体投标。</w:t>
      </w:r>
    </w:p>
    <w:p>
      <w:pPr>
        <w:rPr>
          <w:rFonts w:ascii="宋体" w:cs="宋体"/>
          <w:sz w:val="28"/>
          <w:szCs w:val="28"/>
          <w:highlight w:val="none"/>
        </w:rPr>
      </w:pPr>
      <w:bookmarkStart w:id="8" w:name="_Toc28359080"/>
      <w:bookmarkStart w:id="9" w:name="_Toc35393791"/>
      <w:bookmarkStart w:id="10" w:name="_Toc35393622"/>
      <w:bookmarkStart w:id="11" w:name="_Toc28359003"/>
      <w:r>
        <w:rPr>
          <w:rFonts w:hint="eastAsia" w:ascii="宋体" w:hAnsi="宋体" w:cs="宋体"/>
          <w:sz w:val="28"/>
          <w:szCs w:val="28"/>
          <w:highlight w:val="none"/>
        </w:rPr>
        <w:t>二、申请人的资格要求：</w:t>
      </w:r>
      <w:bookmarkEnd w:id="8"/>
      <w:bookmarkEnd w:id="9"/>
      <w:bookmarkEnd w:id="10"/>
      <w:bookmarkEnd w:id="11"/>
    </w:p>
    <w:p>
      <w:pPr>
        <w:shd w:val="clear"/>
        <w:spacing w:line="360" w:lineRule="auto"/>
        <w:ind w:firstLine="560" w:firstLineChars="200"/>
        <w:rPr>
          <w:highlight w:val="none"/>
        </w:rPr>
      </w:pPr>
      <w:bookmarkStart w:id="12" w:name="_Toc35393792"/>
      <w:bookmarkStart w:id="13" w:name="_Toc35393623"/>
      <w:bookmarkStart w:id="14" w:name="_Toc28359081"/>
      <w:bookmarkStart w:id="15" w:name="_Toc28359004"/>
      <w:r>
        <w:rPr>
          <w:rFonts w:ascii="宋体" w:hAnsi="宋体"/>
          <w:sz w:val="28"/>
          <w:szCs w:val="28"/>
          <w:highlight w:val="none"/>
        </w:rPr>
        <w:t>1.</w:t>
      </w:r>
      <w:r>
        <w:rPr>
          <w:rFonts w:hint="eastAsia" w:ascii="宋体" w:hAnsi="宋体"/>
          <w:sz w:val="28"/>
          <w:szCs w:val="28"/>
          <w:highlight w:val="none"/>
        </w:rPr>
        <w:t>满足《中华人民共和国政府采购法》第二十二条规定；</w:t>
      </w:r>
    </w:p>
    <w:p>
      <w:pPr>
        <w:shd w:val="clear"/>
        <w:spacing w:line="360" w:lineRule="auto"/>
        <w:ind w:firstLine="560" w:firstLineChars="200"/>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落实政府采购政策需满足的资格要求：</w:t>
      </w:r>
    </w:p>
    <w:p>
      <w:pPr>
        <w:shd w:val="clear"/>
        <w:spacing w:line="360" w:lineRule="auto"/>
        <w:ind w:firstLine="560" w:firstLineChars="200"/>
        <w:rPr>
          <w:rFonts w:ascii="宋体" w:hAnsi="宋体"/>
          <w:sz w:val="28"/>
          <w:szCs w:val="28"/>
          <w:highlight w:val="none"/>
          <w:u w:val="single"/>
        </w:rPr>
      </w:pPr>
      <w:r>
        <w:rPr>
          <w:rFonts w:ascii="宋体" w:hAnsi="宋体"/>
          <w:sz w:val="28"/>
          <w:szCs w:val="28"/>
          <w:highlight w:val="none"/>
          <w:u w:val="single"/>
        </w:rPr>
        <w:t>1</w:t>
      </w:r>
      <w:r>
        <w:rPr>
          <w:rFonts w:hint="eastAsia" w:ascii="宋体" w:hAnsi="宋体"/>
          <w:sz w:val="28"/>
          <w:szCs w:val="28"/>
          <w:highlight w:val="none"/>
          <w:u w:val="single"/>
        </w:rPr>
        <w:t>）单位负责人为同一人或者存在直接控股、管理关系的不同</w:t>
      </w:r>
      <w:r>
        <w:rPr>
          <w:rFonts w:hint="eastAsia" w:ascii="宋体" w:hAnsi="宋体"/>
          <w:sz w:val="28"/>
          <w:szCs w:val="28"/>
          <w:highlight w:val="none"/>
          <w:u w:val="single"/>
          <w:lang w:eastAsia="zh-CN"/>
        </w:rPr>
        <w:t>投标人</w:t>
      </w:r>
      <w:r>
        <w:rPr>
          <w:rFonts w:hint="eastAsia" w:ascii="宋体" w:hAnsi="宋体"/>
          <w:sz w:val="28"/>
          <w:szCs w:val="28"/>
          <w:highlight w:val="none"/>
          <w:u w:val="single"/>
        </w:rPr>
        <w:t>，不得同时参加本项目同一包的投标；</w:t>
      </w:r>
    </w:p>
    <w:p>
      <w:pPr>
        <w:shd w:val="clear"/>
        <w:spacing w:line="360" w:lineRule="auto"/>
        <w:ind w:firstLine="560" w:firstLineChars="200"/>
        <w:rPr>
          <w:rFonts w:ascii="宋体" w:hAnsi="宋体"/>
          <w:sz w:val="28"/>
          <w:szCs w:val="28"/>
          <w:highlight w:val="none"/>
          <w:u w:val="single"/>
        </w:rPr>
      </w:pPr>
      <w:r>
        <w:rPr>
          <w:rFonts w:ascii="宋体" w:hAnsi="宋体"/>
          <w:sz w:val="28"/>
          <w:szCs w:val="28"/>
          <w:highlight w:val="none"/>
          <w:u w:val="single"/>
        </w:rPr>
        <w:t>2</w:t>
      </w:r>
      <w:r>
        <w:rPr>
          <w:rFonts w:hint="eastAsia" w:ascii="宋体" w:hAnsi="宋体"/>
          <w:sz w:val="28"/>
          <w:szCs w:val="28"/>
          <w:highlight w:val="none"/>
          <w:u w:val="single"/>
        </w:rPr>
        <w:t>）为本项目某包提供整体设计、规范编制或者项目管理、监理、检测等服务的</w:t>
      </w:r>
      <w:r>
        <w:rPr>
          <w:rFonts w:hint="eastAsia" w:ascii="宋体" w:hAnsi="宋体"/>
          <w:sz w:val="28"/>
          <w:szCs w:val="28"/>
          <w:highlight w:val="none"/>
          <w:u w:val="single"/>
          <w:lang w:eastAsia="zh-CN"/>
        </w:rPr>
        <w:t>投标人</w:t>
      </w:r>
      <w:r>
        <w:rPr>
          <w:rFonts w:hint="eastAsia" w:ascii="宋体" w:hAnsi="宋体"/>
          <w:sz w:val="28"/>
          <w:szCs w:val="28"/>
          <w:highlight w:val="none"/>
          <w:u w:val="single"/>
        </w:rPr>
        <w:t>，不得参加该包的投标；</w:t>
      </w:r>
    </w:p>
    <w:p>
      <w:pPr>
        <w:shd w:val="clear"/>
        <w:spacing w:line="360" w:lineRule="auto"/>
        <w:ind w:firstLine="560" w:firstLineChars="200"/>
        <w:rPr>
          <w:rFonts w:ascii="宋体" w:hAnsi="宋体"/>
          <w:sz w:val="28"/>
          <w:szCs w:val="28"/>
          <w:highlight w:val="none"/>
          <w:u w:val="single"/>
        </w:rPr>
      </w:pPr>
      <w:r>
        <w:rPr>
          <w:rFonts w:ascii="宋体" w:hAnsi="宋体"/>
          <w:sz w:val="28"/>
          <w:szCs w:val="28"/>
          <w:highlight w:val="none"/>
          <w:u w:val="single"/>
        </w:rPr>
        <w:t>3</w:t>
      </w:r>
      <w:r>
        <w:rPr>
          <w:rFonts w:hint="eastAsia" w:ascii="宋体" w:hAnsi="宋体"/>
          <w:sz w:val="28"/>
          <w:szCs w:val="28"/>
          <w:highlight w:val="none"/>
          <w:u w:val="single"/>
        </w:rPr>
        <w:t>）通过“信用中国”网站（</w:t>
      </w:r>
      <w:r>
        <w:rPr>
          <w:rFonts w:ascii="宋体" w:hAnsi="宋体"/>
          <w:sz w:val="28"/>
          <w:szCs w:val="28"/>
          <w:highlight w:val="none"/>
          <w:u w:val="single"/>
        </w:rPr>
        <w:t>www.creditchina.gov.cn</w:t>
      </w:r>
      <w:r>
        <w:rPr>
          <w:rFonts w:hint="eastAsia" w:ascii="宋体" w:hAnsi="宋体"/>
          <w:sz w:val="28"/>
          <w:szCs w:val="28"/>
          <w:highlight w:val="none"/>
          <w:u w:val="single"/>
        </w:rPr>
        <w:t>）和中国政府采购网（</w:t>
      </w:r>
      <w:r>
        <w:rPr>
          <w:rFonts w:ascii="宋体" w:hAnsi="宋体"/>
          <w:sz w:val="28"/>
          <w:szCs w:val="28"/>
          <w:highlight w:val="none"/>
          <w:u w:val="single"/>
        </w:rPr>
        <w:t>www.ccgp.gov.cn</w:t>
      </w:r>
      <w:r>
        <w:rPr>
          <w:rFonts w:hint="eastAsia" w:ascii="宋体" w:hAnsi="宋体"/>
          <w:sz w:val="28"/>
          <w:szCs w:val="28"/>
          <w:highlight w:val="none"/>
          <w:u w:val="single"/>
        </w:rPr>
        <w:t>）查询信用记录（截止时间点为投标截止时间），被列入失信被执行人、重大税收违法案件当事人名单或政府采购严重违法失信行为记录名单的</w:t>
      </w:r>
      <w:r>
        <w:rPr>
          <w:rFonts w:hint="eastAsia" w:ascii="宋体" w:hAnsi="宋体"/>
          <w:sz w:val="28"/>
          <w:szCs w:val="28"/>
          <w:highlight w:val="none"/>
          <w:u w:val="single"/>
          <w:lang w:eastAsia="zh-CN"/>
        </w:rPr>
        <w:t>投标人</w:t>
      </w:r>
      <w:r>
        <w:rPr>
          <w:rFonts w:hint="eastAsia" w:ascii="宋体" w:hAnsi="宋体"/>
          <w:sz w:val="28"/>
          <w:szCs w:val="28"/>
          <w:highlight w:val="none"/>
          <w:u w:val="single"/>
        </w:rPr>
        <w:t>，没有资格参加本项目的采购活动；</w:t>
      </w:r>
    </w:p>
    <w:p>
      <w:pPr>
        <w:shd w:val="clear"/>
        <w:spacing w:line="360" w:lineRule="auto"/>
        <w:ind w:firstLine="560" w:firstLineChars="200"/>
        <w:rPr>
          <w:rFonts w:hint="eastAsia" w:ascii="宋体" w:hAnsi="宋体"/>
          <w:sz w:val="28"/>
          <w:szCs w:val="28"/>
          <w:highlight w:val="none"/>
          <w:u w:val="single"/>
        </w:rPr>
      </w:pPr>
      <w:r>
        <w:rPr>
          <w:rFonts w:hint="eastAsia" w:ascii="宋体" w:hAnsi="宋体"/>
          <w:sz w:val="28"/>
          <w:szCs w:val="28"/>
          <w:highlight w:val="none"/>
          <w:u w:val="single"/>
        </w:rPr>
        <w:t>4）</w:t>
      </w:r>
      <w:r>
        <w:rPr>
          <w:rFonts w:hint="eastAsia" w:ascii="宋体" w:hAnsi="宋体"/>
          <w:sz w:val="28"/>
          <w:szCs w:val="28"/>
          <w:highlight w:val="none"/>
          <w:u w:val="single"/>
          <w:lang w:eastAsia="zh-CN"/>
        </w:rPr>
        <w:t>本项目专门面向中小企业采购</w:t>
      </w:r>
      <w:r>
        <w:rPr>
          <w:rFonts w:hint="eastAsia" w:ascii="宋体" w:hAnsi="宋体"/>
          <w:sz w:val="28"/>
          <w:szCs w:val="28"/>
          <w:highlight w:val="none"/>
          <w:u w:val="single"/>
        </w:rPr>
        <w:t>；</w:t>
      </w:r>
    </w:p>
    <w:p>
      <w:pPr>
        <w:shd w:val="clear"/>
        <w:ind w:firstLine="560" w:firstLineChars="200"/>
        <w:rPr>
          <w:rFonts w:hint="eastAsia" w:ascii="宋体" w:hAnsi="宋体" w:cs="Times New Roman"/>
          <w:sz w:val="28"/>
          <w:szCs w:val="28"/>
          <w:highlight w:val="none"/>
        </w:rPr>
      </w:pPr>
      <w:r>
        <w:rPr>
          <w:rFonts w:ascii="宋体" w:hAnsi="宋体"/>
          <w:sz w:val="28"/>
          <w:szCs w:val="28"/>
          <w:highlight w:val="none"/>
        </w:rPr>
        <w:t>3.</w:t>
      </w:r>
      <w:r>
        <w:rPr>
          <w:rFonts w:hint="eastAsia" w:ascii="宋体" w:hAnsi="宋体"/>
          <w:sz w:val="28"/>
          <w:szCs w:val="28"/>
          <w:highlight w:val="none"/>
        </w:rPr>
        <w:t>本项目的特定资格要求</w:t>
      </w:r>
      <w:r>
        <w:rPr>
          <w:rFonts w:hint="eastAsia" w:ascii="宋体" w:hAnsi="宋体" w:cs="Times New Roman"/>
          <w:sz w:val="28"/>
          <w:szCs w:val="28"/>
          <w:highlight w:val="none"/>
        </w:rPr>
        <w:t>：</w:t>
      </w:r>
    </w:p>
    <w:p>
      <w:pPr>
        <w:shd w:val="clear"/>
        <w:spacing w:line="360" w:lineRule="auto"/>
        <w:ind w:firstLine="560" w:firstLineChars="200"/>
        <w:rPr>
          <w:rFonts w:hint="eastAsia" w:ascii="宋体" w:hAnsi="宋体"/>
          <w:sz w:val="28"/>
          <w:szCs w:val="28"/>
          <w:highlight w:val="none"/>
          <w:u w:val="single"/>
          <w:lang w:eastAsia="zh-CN"/>
        </w:rPr>
      </w:pPr>
      <w:r>
        <w:rPr>
          <w:rFonts w:hint="eastAsia" w:ascii="宋体" w:hAnsi="宋体"/>
          <w:sz w:val="28"/>
          <w:szCs w:val="28"/>
          <w:highlight w:val="none"/>
          <w:u w:val="single"/>
          <w:lang w:eastAsia="zh-CN"/>
        </w:rPr>
        <w:t>具备有效机动车维修经营许可证或机动车维修经营备案表，维修资质必须为二类及以上汽车维修资质</w:t>
      </w:r>
    </w:p>
    <w:p>
      <w:pPr>
        <w:rPr>
          <w:rFonts w:ascii="宋体" w:cs="宋体"/>
          <w:sz w:val="28"/>
          <w:szCs w:val="28"/>
          <w:highlight w:val="none"/>
        </w:rPr>
      </w:pPr>
      <w:r>
        <w:rPr>
          <w:rFonts w:hint="eastAsia" w:ascii="宋体" w:hAnsi="宋体" w:cs="宋体"/>
          <w:sz w:val="28"/>
          <w:szCs w:val="28"/>
          <w:highlight w:val="none"/>
        </w:rPr>
        <w:t>三、获取招标文件</w:t>
      </w:r>
      <w:bookmarkEnd w:id="12"/>
      <w:bookmarkEnd w:id="13"/>
      <w:bookmarkEnd w:id="14"/>
      <w:bookmarkEnd w:id="15"/>
    </w:p>
    <w:p>
      <w:pPr>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时间：</w:t>
      </w:r>
      <w:r>
        <w:rPr>
          <w:rFonts w:hint="eastAsia" w:ascii="宋体" w:hAnsi="宋体" w:cs="宋体"/>
          <w:sz w:val="28"/>
          <w:szCs w:val="28"/>
          <w:highlight w:val="none"/>
          <w:u w:val="single"/>
        </w:rPr>
        <w:t xml:space="preserve">2023 年 </w:t>
      </w:r>
      <w:r>
        <w:rPr>
          <w:rFonts w:hint="eastAsia" w:ascii="宋体" w:hAnsi="宋体" w:cs="宋体"/>
          <w:sz w:val="28"/>
          <w:szCs w:val="28"/>
          <w:highlight w:val="none"/>
          <w:u w:val="single"/>
          <w:lang w:val="en-US" w:eastAsia="zh-CN"/>
        </w:rPr>
        <w:t>07</w:t>
      </w:r>
      <w:r>
        <w:rPr>
          <w:rFonts w:hint="eastAsia" w:ascii="宋体" w:hAnsi="宋体" w:cs="宋体"/>
          <w:sz w:val="28"/>
          <w:szCs w:val="28"/>
          <w:highlight w:val="none"/>
          <w:u w:val="single"/>
        </w:rPr>
        <w:t xml:space="preserve"> 月</w:t>
      </w:r>
      <w:r>
        <w:rPr>
          <w:rFonts w:hint="eastAsia" w:ascii="宋体" w:hAnsi="宋体" w:cs="宋体"/>
          <w:sz w:val="28"/>
          <w:szCs w:val="28"/>
          <w:highlight w:val="none"/>
          <w:u w:val="single"/>
          <w:lang w:val="en-US" w:eastAsia="zh-CN"/>
        </w:rPr>
        <w:t>11</w:t>
      </w:r>
      <w:r>
        <w:rPr>
          <w:rFonts w:hint="eastAsia" w:ascii="宋体" w:hAnsi="宋体" w:cs="宋体"/>
          <w:sz w:val="28"/>
          <w:szCs w:val="28"/>
          <w:highlight w:val="none"/>
          <w:u w:val="single"/>
        </w:rPr>
        <w:t>日</w:t>
      </w:r>
      <w:r>
        <w:rPr>
          <w:rFonts w:hint="eastAsia" w:ascii="宋体" w:hAnsi="宋体" w:cs="宋体"/>
          <w:sz w:val="28"/>
          <w:szCs w:val="28"/>
          <w:highlight w:val="none"/>
        </w:rPr>
        <w:t>至</w:t>
      </w:r>
      <w:r>
        <w:rPr>
          <w:rFonts w:hint="eastAsia" w:ascii="宋体" w:hAnsi="宋体" w:cs="宋体"/>
          <w:sz w:val="28"/>
          <w:szCs w:val="28"/>
          <w:highlight w:val="none"/>
          <w:u w:val="single"/>
        </w:rPr>
        <w:t>2023 年  0</w:t>
      </w:r>
      <w:r>
        <w:rPr>
          <w:rFonts w:hint="eastAsia" w:ascii="宋体" w:hAnsi="宋体" w:cs="宋体"/>
          <w:sz w:val="28"/>
          <w:szCs w:val="28"/>
          <w:highlight w:val="none"/>
          <w:u w:val="single"/>
          <w:lang w:val="en-US" w:eastAsia="zh-CN"/>
        </w:rPr>
        <w:t>7</w:t>
      </w:r>
      <w:r>
        <w:rPr>
          <w:rFonts w:hint="eastAsia" w:ascii="宋体" w:hAnsi="宋体" w:cs="宋体"/>
          <w:sz w:val="28"/>
          <w:szCs w:val="28"/>
          <w:highlight w:val="none"/>
          <w:u w:val="single"/>
        </w:rPr>
        <w:t xml:space="preserve">  月 </w:t>
      </w:r>
      <w:r>
        <w:rPr>
          <w:rFonts w:hint="eastAsia" w:ascii="宋体" w:hAnsi="宋体" w:cs="宋体"/>
          <w:sz w:val="28"/>
          <w:szCs w:val="28"/>
          <w:highlight w:val="none"/>
          <w:u w:val="single"/>
          <w:lang w:val="en-US" w:eastAsia="zh-CN"/>
        </w:rPr>
        <w:t>18</w:t>
      </w:r>
      <w:r>
        <w:rPr>
          <w:rFonts w:hint="eastAsia" w:ascii="宋体" w:hAnsi="宋体" w:cs="宋体"/>
          <w:sz w:val="28"/>
          <w:szCs w:val="28"/>
          <w:highlight w:val="none"/>
          <w:u w:val="single"/>
        </w:rPr>
        <w:t>日</w:t>
      </w:r>
      <w:r>
        <w:rPr>
          <w:rFonts w:hint="eastAsia" w:ascii="宋体" w:hAnsi="宋体" w:cs="宋体"/>
          <w:sz w:val="28"/>
          <w:szCs w:val="28"/>
          <w:highlight w:val="none"/>
        </w:rPr>
        <w:t>，每天上午</w:t>
      </w:r>
      <w:r>
        <w:rPr>
          <w:rFonts w:hint="eastAsia" w:ascii="宋体" w:hAnsi="宋体" w:cs="宋体"/>
          <w:sz w:val="28"/>
          <w:szCs w:val="28"/>
          <w:highlight w:val="none"/>
          <w:u w:val="single"/>
        </w:rPr>
        <w:t>10:30</w:t>
      </w:r>
      <w:r>
        <w:rPr>
          <w:rFonts w:hint="eastAsia" w:ascii="宋体" w:hAnsi="宋体" w:cs="宋体"/>
          <w:sz w:val="28"/>
          <w:szCs w:val="28"/>
          <w:highlight w:val="none"/>
        </w:rPr>
        <w:t>至</w:t>
      </w:r>
      <w:r>
        <w:rPr>
          <w:rFonts w:hint="eastAsia" w:ascii="宋体" w:hAnsi="宋体" w:cs="宋体"/>
          <w:sz w:val="28"/>
          <w:szCs w:val="28"/>
          <w:highlight w:val="none"/>
          <w:u w:val="single"/>
        </w:rPr>
        <w:t>13:30</w:t>
      </w:r>
      <w:r>
        <w:rPr>
          <w:rFonts w:hint="eastAsia" w:ascii="宋体" w:hAnsi="宋体" w:cs="宋体"/>
          <w:sz w:val="28"/>
          <w:szCs w:val="28"/>
          <w:highlight w:val="none"/>
        </w:rPr>
        <w:t>，下午</w:t>
      </w:r>
      <w:r>
        <w:rPr>
          <w:rFonts w:hint="eastAsia" w:ascii="宋体" w:hAnsi="宋体" w:cs="宋体"/>
          <w:sz w:val="28"/>
          <w:szCs w:val="28"/>
          <w:highlight w:val="none"/>
          <w:u w:val="single"/>
        </w:rPr>
        <w:t>15:30</w:t>
      </w:r>
      <w:r>
        <w:rPr>
          <w:rFonts w:hint="eastAsia" w:ascii="宋体" w:hAnsi="宋体" w:cs="宋体"/>
          <w:sz w:val="28"/>
          <w:szCs w:val="28"/>
          <w:highlight w:val="none"/>
        </w:rPr>
        <w:t>至</w:t>
      </w:r>
      <w:r>
        <w:rPr>
          <w:rFonts w:hint="eastAsia" w:ascii="宋体" w:hAnsi="宋体" w:cs="宋体"/>
          <w:sz w:val="28"/>
          <w:szCs w:val="28"/>
          <w:highlight w:val="none"/>
          <w:u w:val="single"/>
        </w:rPr>
        <w:t>19:30</w:t>
      </w:r>
      <w:r>
        <w:rPr>
          <w:rFonts w:hint="eastAsia" w:ascii="宋体" w:hAnsi="宋体" w:cs="宋体"/>
          <w:sz w:val="28"/>
          <w:szCs w:val="28"/>
          <w:highlight w:val="none"/>
        </w:rPr>
        <w:t>（北京时间，法定节假日除外）</w:t>
      </w:r>
    </w:p>
    <w:p>
      <w:pPr>
        <w:spacing w:line="360" w:lineRule="auto"/>
        <w:ind w:firstLine="560" w:firstLineChars="200"/>
        <w:rPr>
          <w:rFonts w:ascii="宋体" w:cs="宋体"/>
          <w:sz w:val="28"/>
          <w:szCs w:val="28"/>
          <w:highlight w:val="none"/>
          <w:u w:val="single"/>
        </w:rPr>
      </w:pPr>
      <w:r>
        <w:rPr>
          <w:rFonts w:hint="eastAsia" w:ascii="宋体" w:hAnsi="宋体" w:cs="宋体"/>
          <w:sz w:val="28"/>
          <w:szCs w:val="28"/>
          <w:highlight w:val="none"/>
        </w:rPr>
        <w:t>地点：政采云平台https://www.zcygov.cn/。</w:t>
      </w:r>
    </w:p>
    <w:p>
      <w:pPr>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方式：供应商登录政采云平台https://www.zcygov.cn/在线申请获取采购文件（进入“项目采购”应用，在获取采购文件菜单中选择项目，申请获取采购文件）</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售价：</w:t>
      </w:r>
      <w:r>
        <w:rPr>
          <w:rFonts w:hint="eastAsia" w:ascii="宋体" w:hAnsi="宋体" w:cs="宋体"/>
          <w:sz w:val="28"/>
          <w:szCs w:val="28"/>
          <w:highlight w:val="none"/>
          <w:u w:val="none"/>
          <w:lang w:val="en-US" w:eastAsia="zh-CN"/>
        </w:rPr>
        <w:t>0</w:t>
      </w:r>
      <w:r>
        <w:rPr>
          <w:rFonts w:hint="eastAsia" w:ascii="宋体" w:hAnsi="宋体" w:cs="宋体"/>
          <w:sz w:val="28"/>
          <w:szCs w:val="28"/>
          <w:highlight w:val="none"/>
          <w:u w:val="none"/>
        </w:rPr>
        <w:t>元</w:t>
      </w:r>
      <w:r>
        <w:rPr>
          <w:rFonts w:ascii="宋体" w:hAnsi="宋体" w:cs="宋体"/>
          <w:sz w:val="28"/>
          <w:szCs w:val="28"/>
          <w:highlight w:val="none"/>
          <w:u w:val="none"/>
        </w:rPr>
        <w:t>/</w:t>
      </w:r>
      <w:r>
        <w:rPr>
          <w:rFonts w:hint="eastAsia" w:ascii="宋体" w:hAnsi="宋体" w:cs="宋体"/>
          <w:sz w:val="28"/>
          <w:szCs w:val="28"/>
          <w:highlight w:val="none"/>
          <w:u w:val="none"/>
        </w:rPr>
        <w:t>份</w:t>
      </w:r>
    </w:p>
    <w:p>
      <w:pPr>
        <w:rPr>
          <w:rFonts w:ascii="宋体" w:cs="宋体"/>
          <w:sz w:val="28"/>
          <w:szCs w:val="28"/>
          <w:highlight w:val="none"/>
        </w:rPr>
      </w:pPr>
      <w:bookmarkStart w:id="16" w:name="_Toc28359005"/>
      <w:bookmarkStart w:id="17" w:name="_Toc28359082"/>
      <w:bookmarkStart w:id="18" w:name="_Toc35393624"/>
      <w:bookmarkStart w:id="19" w:name="_Toc35393793"/>
      <w:r>
        <w:rPr>
          <w:rFonts w:hint="eastAsia" w:ascii="宋体" w:hAnsi="宋体" w:cs="宋体"/>
          <w:sz w:val="28"/>
          <w:szCs w:val="28"/>
          <w:highlight w:val="none"/>
        </w:rPr>
        <w:t>四、提交投标文件</w:t>
      </w:r>
      <w:bookmarkEnd w:id="16"/>
      <w:bookmarkEnd w:id="17"/>
      <w:r>
        <w:rPr>
          <w:rFonts w:hint="eastAsia" w:ascii="宋体" w:hAnsi="宋体" w:cs="宋体"/>
          <w:sz w:val="28"/>
          <w:szCs w:val="28"/>
          <w:highlight w:val="none"/>
        </w:rPr>
        <w:t>截止时间、开标时间和地点</w:t>
      </w:r>
      <w:bookmarkEnd w:id="18"/>
      <w:bookmarkEnd w:id="19"/>
    </w:p>
    <w:p>
      <w:pPr>
        <w:spacing w:line="360" w:lineRule="auto"/>
        <w:ind w:firstLine="560" w:firstLineChars="200"/>
        <w:rPr>
          <w:rFonts w:ascii="宋体"/>
          <w:bCs/>
          <w:sz w:val="28"/>
          <w:szCs w:val="28"/>
          <w:highlight w:val="none"/>
          <w:u w:val="single"/>
        </w:rPr>
      </w:pPr>
      <w:r>
        <w:rPr>
          <w:rFonts w:hint="eastAsia" w:ascii="宋体" w:hAnsi="宋体"/>
          <w:bCs/>
          <w:sz w:val="28"/>
          <w:szCs w:val="28"/>
          <w:highlight w:val="none"/>
        </w:rPr>
        <w:t>时间：</w:t>
      </w:r>
      <w:r>
        <w:rPr>
          <w:rFonts w:hint="eastAsia" w:ascii="宋体" w:hAnsi="宋体"/>
          <w:bCs/>
          <w:sz w:val="28"/>
          <w:szCs w:val="28"/>
          <w:highlight w:val="none"/>
          <w:u w:val="single"/>
          <w:lang w:val="en-US" w:eastAsia="zh-CN"/>
        </w:rPr>
        <w:t xml:space="preserve"> 2023</w:t>
      </w:r>
      <w:r>
        <w:rPr>
          <w:rFonts w:hint="eastAsia" w:ascii="宋体" w:hAnsi="宋体"/>
          <w:bCs/>
          <w:sz w:val="28"/>
          <w:szCs w:val="28"/>
          <w:highlight w:val="none"/>
          <w:u w:val="single"/>
        </w:rPr>
        <w:t>年</w:t>
      </w:r>
      <w:r>
        <w:rPr>
          <w:rFonts w:hint="eastAsia" w:ascii="宋体" w:hAnsi="宋体"/>
          <w:bCs/>
          <w:sz w:val="28"/>
          <w:szCs w:val="28"/>
          <w:highlight w:val="none"/>
          <w:u w:val="single"/>
          <w:lang w:val="en-US" w:eastAsia="zh-CN"/>
        </w:rPr>
        <w:t>08</w:t>
      </w:r>
      <w:r>
        <w:rPr>
          <w:rFonts w:hint="eastAsia" w:ascii="宋体" w:hAnsi="宋体"/>
          <w:bCs/>
          <w:sz w:val="28"/>
          <w:szCs w:val="28"/>
          <w:highlight w:val="none"/>
          <w:u w:val="single"/>
        </w:rPr>
        <w:t>月</w:t>
      </w:r>
      <w:r>
        <w:rPr>
          <w:rFonts w:hint="eastAsia" w:ascii="宋体" w:hAnsi="宋体"/>
          <w:bCs/>
          <w:sz w:val="28"/>
          <w:szCs w:val="28"/>
          <w:highlight w:val="none"/>
          <w:u w:val="single"/>
          <w:lang w:val="en-US" w:eastAsia="zh-CN"/>
        </w:rPr>
        <w:t>01</w:t>
      </w:r>
      <w:r>
        <w:rPr>
          <w:rFonts w:hint="eastAsia" w:ascii="宋体" w:hAnsi="宋体"/>
          <w:bCs/>
          <w:sz w:val="28"/>
          <w:szCs w:val="28"/>
          <w:highlight w:val="none"/>
          <w:u w:val="single"/>
        </w:rPr>
        <w:t>日</w:t>
      </w:r>
      <w:r>
        <w:rPr>
          <w:rFonts w:hint="eastAsia" w:ascii="宋体" w:hAnsi="宋体"/>
          <w:bCs/>
          <w:sz w:val="28"/>
          <w:szCs w:val="28"/>
          <w:highlight w:val="none"/>
          <w:u w:val="single"/>
          <w:lang w:val="en-US" w:eastAsia="zh-CN"/>
        </w:rPr>
        <w:t>16</w:t>
      </w:r>
      <w:r>
        <w:rPr>
          <w:rFonts w:hint="eastAsia" w:ascii="宋体" w:hAnsi="宋体"/>
          <w:bCs/>
          <w:sz w:val="28"/>
          <w:szCs w:val="28"/>
          <w:highlight w:val="none"/>
          <w:u w:val="single"/>
        </w:rPr>
        <w:t>点</w:t>
      </w:r>
      <w:r>
        <w:rPr>
          <w:rFonts w:hint="eastAsia" w:ascii="宋体" w:hAnsi="宋体"/>
          <w:bCs/>
          <w:sz w:val="28"/>
          <w:szCs w:val="28"/>
          <w:highlight w:val="none"/>
          <w:u w:val="single"/>
          <w:lang w:val="en-US" w:eastAsia="zh-CN"/>
        </w:rPr>
        <w:t>00</w:t>
      </w:r>
      <w:r>
        <w:rPr>
          <w:rFonts w:hint="eastAsia" w:ascii="宋体" w:hAnsi="宋体"/>
          <w:bCs/>
          <w:sz w:val="28"/>
          <w:szCs w:val="28"/>
          <w:highlight w:val="none"/>
          <w:u w:val="single"/>
        </w:rPr>
        <w:t>分</w:t>
      </w:r>
      <w:r>
        <w:rPr>
          <w:rFonts w:hint="eastAsia" w:ascii="宋体" w:hAnsi="宋体"/>
          <w:bCs/>
          <w:sz w:val="28"/>
          <w:szCs w:val="28"/>
          <w:highlight w:val="none"/>
        </w:rPr>
        <w:t>（北京时间）</w:t>
      </w:r>
    </w:p>
    <w:p>
      <w:pPr>
        <w:spacing w:line="360" w:lineRule="auto"/>
        <w:ind w:firstLine="560" w:firstLineChars="200"/>
        <w:rPr>
          <w:rFonts w:ascii="宋体"/>
          <w:bCs/>
          <w:sz w:val="28"/>
          <w:szCs w:val="28"/>
          <w:highlight w:val="none"/>
          <w:u w:val="single"/>
        </w:rPr>
      </w:pPr>
      <w:r>
        <w:rPr>
          <w:rFonts w:hint="eastAsia" w:ascii="宋体" w:hAnsi="宋体"/>
          <w:sz w:val="28"/>
          <w:szCs w:val="28"/>
          <w:highlight w:val="none"/>
        </w:rPr>
        <w:t>地点：新疆政府采购云平台（https://www.zcygov.cn/）</w:t>
      </w:r>
    </w:p>
    <w:p>
      <w:pPr>
        <w:rPr>
          <w:rFonts w:ascii="宋体" w:cs="宋体"/>
          <w:sz w:val="28"/>
          <w:szCs w:val="28"/>
          <w:highlight w:val="none"/>
        </w:rPr>
      </w:pPr>
      <w:bookmarkStart w:id="20" w:name="_Toc35393625"/>
      <w:bookmarkStart w:id="21" w:name="_Toc28359007"/>
      <w:bookmarkStart w:id="22" w:name="_Toc28359084"/>
      <w:bookmarkStart w:id="23" w:name="_Toc35393794"/>
      <w:r>
        <w:rPr>
          <w:rFonts w:hint="eastAsia" w:ascii="宋体" w:hAnsi="宋体" w:cs="宋体"/>
          <w:sz w:val="28"/>
          <w:szCs w:val="28"/>
          <w:highlight w:val="none"/>
        </w:rPr>
        <w:t>五、公告期限</w:t>
      </w:r>
      <w:bookmarkEnd w:id="20"/>
      <w:bookmarkEnd w:id="21"/>
      <w:bookmarkEnd w:id="22"/>
      <w:bookmarkEnd w:id="23"/>
    </w:p>
    <w:p>
      <w:pPr>
        <w:spacing w:line="360" w:lineRule="auto"/>
        <w:ind w:firstLine="560" w:firstLineChars="200"/>
        <w:rPr>
          <w:rFonts w:ascii="宋体" w:cs="宋体"/>
          <w:kern w:val="0"/>
          <w:sz w:val="28"/>
          <w:szCs w:val="28"/>
          <w:highlight w:val="none"/>
        </w:rPr>
      </w:pPr>
      <w:r>
        <w:rPr>
          <w:rFonts w:hint="eastAsia" w:ascii="宋体" w:hAnsi="宋体" w:cs="宋体"/>
          <w:kern w:val="0"/>
          <w:sz w:val="28"/>
          <w:szCs w:val="28"/>
          <w:highlight w:val="none"/>
        </w:rPr>
        <w:t>自本公告发布之日起</w:t>
      </w:r>
      <w:r>
        <w:rPr>
          <w:rFonts w:ascii="宋体" w:hAnsi="宋体" w:cs="宋体"/>
          <w:kern w:val="0"/>
          <w:sz w:val="28"/>
          <w:szCs w:val="28"/>
          <w:highlight w:val="none"/>
        </w:rPr>
        <w:t>5</w:t>
      </w:r>
      <w:r>
        <w:rPr>
          <w:rFonts w:hint="eastAsia" w:ascii="宋体" w:hAnsi="宋体" w:cs="宋体"/>
          <w:kern w:val="0"/>
          <w:sz w:val="28"/>
          <w:szCs w:val="28"/>
          <w:highlight w:val="none"/>
        </w:rPr>
        <w:t>个工作日。</w:t>
      </w:r>
    </w:p>
    <w:p>
      <w:pPr>
        <w:rPr>
          <w:rFonts w:ascii="宋体" w:cs="宋体"/>
          <w:sz w:val="28"/>
          <w:szCs w:val="28"/>
          <w:highlight w:val="none"/>
        </w:rPr>
      </w:pPr>
      <w:bookmarkStart w:id="24" w:name="_Toc35393795"/>
      <w:bookmarkStart w:id="25" w:name="_Toc35393626"/>
      <w:r>
        <w:rPr>
          <w:rFonts w:hint="eastAsia" w:ascii="宋体" w:hAnsi="宋体" w:cs="宋体"/>
          <w:sz w:val="28"/>
          <w:szCs w:val="28"/>
          <w:highlight w:val="none"/>
        </w:rPr>
        <w:t>六、其他补充事宜</w:t>
      </w:r>
      <w:bookmarkEnd w:id="24"/>
      <w:bookmarkEnd w:id="25"/>
      <w:bookmarkStart w:id="26" w:name="_Toc35393627"/>
      <w:bookmarkStart w:id="27" w:name="_Toc35393796"/>
      <w:bookmarkStart w:id="28" w:name="_Toc28359085"/>
      <w:bookmarkStart w:id="29" w:name="_Toc28359008"/>
    </w:p>
    <w:p>
      <w:pPr>
        <w:spacing w:line="360" w:lineRule="auto"/>
        <w:ind w:firstLine="560" w:firstLineChars="200"/>
        <w:rPr>
          <w:rFonts w:hint="eastAsia" w:ascii="宋体" w:cs="宋体"/>
          <w:sz w:val="28"/>
          <w:szCs w:val="28"/>
          <w:highlight w:val="none"/>
          <w:u w:val="single"/>
        </w:rPr>
      </w:pPr>
      <w:r>
        <w:rPr>
          <w:rFonts w:hint="eastAsia" w:ascii="宋体" w:cs="宋体"/>
          <w:sz w:val="28"/>
          <w:szCs w:val="28"/>
          <w:highlight w:val="none"/>
          <w:u w:val="single"/>
        </w:rPr>
        <w:t>1.本项目实行网上投标，采用电子投标文件；</w:t>
      </w:r>
    </w:p>
    <w:p>
      <w:pPr>
        <w:spacing w:line="360" w:lineRule="auto"/>
        <w:ind w:firstLine="560" w:firstLineChars="200"/>
        <w:rPr>
          <w:rFonts w:hint="eastAsia" w:ascii="宋体" w:cs="宋体"/>
          <w:sz w:val="28"/>
          <w:szCs w:val="28"/>
          <w:highlight w:val="none"/>
          <w:u w:val="single"/>
        </w:rPr>
      </w:pPr>
      <w:r>
        <w:rPr>
          <w:rFonts w:hint="eastAsia" w:ascii="宋体" w:cs="宋体"/>
          <w:sz w:val="28"/>
          <w:szCs w:val="28"/>
          <w:highlight w:val="none"/>
          <w:u w:val="single"/>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pPr>
        <w:spacing w:line="360" w:lineRule="auto"/>
        <w:ind w:firstLine="560" w:firstLineChars="200"/>
        <w:rPr>
          <w:rFonts w:hint="eastAsia" w:ascii="宋体" w:cs="宋体"/>
          <w:sz w:val="28"/>
          <w:szCs w:val="28"/>
          <w:highlight w:val="none"/>
          <w:u w:val="single"/>
        </w:rPr>
      </w:pPr>
      <w:r>
        <w:rPr>
          <w:rFonts w:hint="eastAsia" w:ascii="宋体" w:cs="宋体"/>
          <w:sz w:val="28"/>
          <w:szCs w:val="28"/>
          <w:highlight w:val="none"/>
          <w:u w:val="single"/>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spacing w:line="360" w:lineRule="auto"/>
        <w:ind w:firstLine="560" w:firstLineChars="200"/>
        <w:rPr>
          <w:rFonts w:hint="eastAsia" w:ascii="宋体" w:cs="宋体"/>
          <w:sz w:val="28"/>
          <w:szCs w:val="28"/>
          <w:highlight w:val="none"/>
          <w:u w:val="single"/>
        </w:rPr>
      </w:pPr>
      <w:r>
        <w:rPr>
          <w:rFonts w:hint="eastAsia" w:ascii="宋体" w:cs="宋体"/>
          <w:sz w:val="28"/>
          <w:szCs w:val="28"/>
          <w:highlight w:val="none"/>
          <w:u w:val="single"/>
        </w:rPr>
        <w:t>4.供应商应当在投标截止时间前,将生成的“电子加密投标文件”上传递交至“政府采购云平台”,投标截止时间以后上传递交的投标文件将被“政府采购云平台”拒收；</w:t>
      </w:r>
    </w:p>
    <w:p>
      <w:pPr>
        <w:spacing w:line="360" w:lineRule="auto"/>
        <w:ind w:firstLine="560" w:firstLineChars="200"/>
        <w:rPr>
          <w:rFonts w:hint="eastAsia" w:ascii="宋体" w:cs="宋体"/>
          <w:sz w:val="28"/>
          <w:szCs w:val="28"/>
          <w:highlight w:val="none"/>
          <w:u w:val="single"/>
        </w:rPr>
      </w:pPr>
      <w:r>
        <w:rPr>
          <w:rFonts w:hint="eastAsia" w:ascii="宋体" w:cs="宋体"/>
          <w:sz w:val="28"/>
          <w:szCs w:val="28"/>
          <w:highlight w:val="none"/>
          <w:u w:val="single"/>
        </w:rPr>
        <w:t>5.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w:t>
      </w:r>
    </w:p>
    <w:p>
      <w:pPr>
        <w:spacing w:line="360" w:lineRule="auto"/>
        <w:ind w:firstLine="560" w:firstLineChars="200"/>
        <w:rPr>
          <w:rFonts w:hint="eastAsia" w:ascii="宋体" w:cs="宋体"/>
          <w:sz w:val="28"/>
          <w:szCs w:val="28"/>
          <w:highlight w:val="none"/>
          <w:u w:val="single"/>
        </w:rPr>
      </w:pPr>
      <w:r>
        <w:rPr>
          <w:rFonts w:hint="eastAsia" w:ascii="宋体" w:cs="宋体"/>
          <w:sz w:val="28"/>
          <w:szCs w:val="28"/>
          <w:highlight w:val="none"/>
          <w:u w:val="single"/>
        </w:rPr>
        <w:t>6、供应商登录政采云平台，在开标时间后30分钟内用“项目采购-开标评标”功能进行解密投标文件。若供应商在规定时间内未按时解密的，视为无效投标。解密与加密投标文件须使用同一个 CA。</w:t>
      </w:r>
    </w:p>
    <w:p>
      <w:pPr>
        <w:pStyle w:val="21"/>
        <w:ind w:left="0" w:leftChars="0" w:firstLine="562" w:firstLineChars="200"/>
        <w:rPr>
          <w:rFonts w:hint="eastAsia"/>
          <w:highlight w:val="none"/>
          <w:lang w:val="en-US" w:eastAsia="zh-CN"/>
        </w:rPr>
      </w:pPr>
      <w:r>
        <w:rPr>
          <w:rFonts w:hint="eastAsia" w:ascii="宋体" w:hAnsi="Times New Roman" w:cs="宋体"/>
          <w:b/>
          <w:bCs/>
          <w:kern w:val="2"/>
          <w:sz w:val="28"/>
          <w:szCs w:val="28"/>
          <w:highlight w:val="none"/>
          <w:u w:val="single"/>
          <w:lang w:val="en-US" w:eastAsia="zh-CN" w:bidi="ar-SA"/>
        </w:rPr>
        <w:t>7、</w:t>
      </w:r>
      <w:r>
        <w:rPr>
          <w:rFonts w:hint="eastAsia" w:ascii="宋体" w:hAnsi="宋体" w:eastAsia="宋体" w:cs="宋体"/>
          <w:b/>
          <w:bCs/>
          <w:kern w:val="2"/>
          <w:sz w:val="28"/>
          <w:szCs w:val="28"/>
          <w:highlight w:val="none"/>
          <w:u w:val="single"/>
          <w:lang w:val="en-US" w:eastAsia="zh-CN" w:bidi="ar-SA"/>
        </w:rPr>
        <w:t>采购项目需要落实的政府采购政策</w:t>
      </w:r>
      <w:r>
        <w:rPr>
          <w:rFonts w:hint="eastAsia" w:ascii="宋体" w:hAnsi="宋体" w:cs="宋体"/>
          <w:b/>
          <w:bCs/>
          <w:sz w:val="28"/>
          <w:szCs w:val="28"/>
          <w:highlight w:val="none"/>
          <w:u w:val="single"/>
        </w:rPr>
        <w:t>：</w:t>
      </w:r>
      <w:r>
        <w:rPr>
          <w:rFonts w:hint="eastAsia" w:ascii="宋体" w:hAnsi="宋体" w:cs="宋体"/>
          <w:sz w:val="28"/>
          <w:szCs w:val="28"/>
          <w:highlight w:val="none"/>
          <w:u w:val="single"/>
        </w:rPr>
        <w:t>节约能源、保护环境、扶持不发达地区和少数民族地区、促进中小企业发展、促进残疾人就业、政府采购信用担保等</w:t>
      </w:r>
      <w:r>
        <w:rPr>
          <w:rFonts w:hint="eastAsia" w:ascii="宋体" w:hAnsi="宋体" w:cs="宋体"/>
          <w:sz w:val="28"/>
          <w:szCs w:val="28"/>
          <w:highlight w:val="none"/>
          <w:u w:val="none"/>
          <w:lang w:eastAsia="zh-CN"/>
        </w:rPr>
        <w:t>。</w:t>
      </w:r>
    </w:p>
    <w:p>
      <w:pPr>
        <w:rPr>
          <w:rFonts w:ascii="宋体" w:cs="宋体"/>
          <w:sz w:val="28"/>
          <w:szCs w:val="28"/>
          <w:highlight w:val="none"/>
        </w:rPr>
      </w:pPr>
      <w:r>
        <w:rPr>
          <w:rFonts w:hint="eastAsia" w:ascii="宋体" w:hAnsi="宋体" w:cs="宋体"/>
          <w:sz w:val="28"/>
          <w:szCs w:val="28"/>
          <w:highlight w:val="none"/>
        </w:rPr>
        <w:t>七、对本次招标提出询问，请按以下方式联系。</w:t>
      </w:r>
      <w:bookmarkEnd w:id="26"/>
      <w:bookmarkEnd w:id="27"/>
      <w:bookmarkEnd w:id="28"/>
      <w:bookmarkEnd w:id="29"/>
    </w:p>
    <w:p>
      <w:pPr>
        <w:widowControl/>
        <w:spacing w:line="360" w:lineRule="auto"/>
        <w:ind w:firstLine="560" w:firstLineChars="200"/>
        <w:jc w:val="left"/>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采购人信息</w:t>
      </w:r>
    </w:p>
    <w:p>
      <w:pPr>
        <w:shd w:val="clear"/>
        <w:spacing w:line="360" w:lineRule="auto"/>
        <w:ind w:firstLine="560" w:firstLineChars="200"/>
        <w:jc w:val="left"/>
        <w:rPr>
          <w:rFonts w:hint="eastAsia" w:ascii="宋体" w:eastAsia="宋体"/>
          <w:sz w:val="28"/>
          <w:szCs w:val="28"/>
          <w:highlight w:val="none"/>
          <w:lang w:eastAsia="zh-CN"/>
        </w:rPr>
      </w:pPr>
      <w:bookmarkStart w:id="30" w:name="_Toc28359009"/>
      <w:bookmarkStart w:id="31" w:name="_Toc28359086"/>
      <w:r>
        <w:rPr>
          <w:rFonts w:hint="eastAsia" w:ascii="宋体" w:hAnsi="宋体"/>
          <w:sz w:val="28"/>
          <w:szCs w:val="28"/>
          <w:highlight w:val="none"/>
        </w:rPr>
        <w:t>名</w:t>
      </w:r>
      <w:r>
        <w:rPr>
          <w:rFonts w:ascii="宋体" w:hAnsi="宋体"/>
          <w:sz w:val="28"/>
          <w:szCs w:val="28"/>
          <w:highlight w:val="none"/>
        </w:rPr>
        <w:t xml:space="preserve"> </w:t>
      </w:r>
      <w:r>
        <w:rPr>
          <w:rFonts w:hint="eastAsia" w:ascii="宋体" w:hAnsi="宋体"/>
          <w:sz w:val="28"/>
          <w:szCs w:val="28"/>
          <w:highlight w:val="none"/>
        </w:rPr>
        <w:t>称：</w:t>
      </w:r>
      <w:r>
        <w:rPr>
          <w:rFonts w:hint="eastAsia" w:ascii="宋体" w:hAnsi="宋体"/>
          <w:sz w:val="28"/>
          <w:szCs w:val="28"/>
          <w:highlight w:val="none"/>
          <w:u w:val="single"/>
          <w:lang w:eastAsia="zh-CN"/>
        </w:rPr>
        <w:t>乌鲁木齐市公安局高新技术产业开发区（新市区）分局</w:t>
      </w:r>
    </w:p>
    <w:p>
      <w:pPr>
        <w:shd w:val="clear"/>
        <w:spacing w:line="360" w:lineRule="auto"/>
        <w:ind w:firstLine="560" w:firstLineChars="200"/>
        <w:jc w:val="left"/>
        <w:rPr>
          <w:rFonts w:hint="eastAsia" w:ascii="宋体" w:eastAsia="宋体"/>
          <w:b w:val="0"/>
          <w:bCs w:val="0"/>
          <w:sz w:val="28"/>
          <w:szCs w:val="28"/>
          <w:highlight w:val="none"/>
          <w:u w:val="single"/>
          <w:lang w:eastAsia="zh-CN"/>
        </w:rPr>
      </w:pPr>
      <w:r>
        <w:rPr>
          <w:rFonts w:hint="eastAsia" w:ascii="宋体" w:hAnsi="宋体"/>
          <w:sz w:val="28"/>
          <w:szCs w:val="28"/>
          <w:highlight w:val="none"/>
        </w:rPr>
        <w:t>地址：</w:t>
      </w:r>
      <w:r>
        <w:rPr>
          <w:rFonts w:hint="eastAsia" w:ascii="宋体" w:hAnsi="宋体"/>
          <w:b w:val="0"/>
          <w:bCs w:val="0"/>
          <w:sz w:val="28"/>
          <w:szCs w:val="28"/>
          <w:highlight w:val="none"/>
          <w:u w:val="single"/>
          <w:lang w:eastAsia="zh-CN"/>
        </w:rPr>
        <w:t>新疆维吾尔自治区乌鲁木齐市新市区河北东路339号</w:t>
      </w:r>
    </w:p>
    <w:p>
      <w:pPr>
        <w:shd w:val="clear"/>
        <w:spacing w:line="360" w:lineRule="auto"/>
        <w:ind w:firstLine="560" w:firstLineChars="200"/>
        <w:jc w:val="left"/>
        <w:rPr>
          <w:rFonts w:hint="default" w:ascii="宋体" w:eastAsia="宋体"/>
          <w:sz w:val="28"/>
          <w:szCs w:val="28"/>
          <w:highlight w:val="none"/>
          <w:u w:val="single"/>
          <w:lang w:val="en-US" w:eastAsia="zh-CN"/>
        </w:rPr>
      </w:pPr>
      <w:r>
        <w:rPr>
          <w:rFonts w:hint="eastAsia" w:ascii="宋体" w:hAnsi="宋体"/>
          <w:sz w:val="28"/>
          <w:szCs w:val="28"/>
          <w:highlight w:val="none"/>
        </w:rPr>
        <w:t>联系方式：</w:t>
      </w:r>
      <w:r>
        <w:rPr>
          <w:rFonts w:hint="eastAsia" w:ascii="宋体" w:hAnsi="宋体"/>
          <w:sz w:val="28"/>
          <w:szCs w:val="28"/>
          <w:highlight w:val="none"/>
          <w:u w:val="single"/>
          <w:lang w:val="en-US" w:eastAsia="zh-CN"/>
        </w:rPr>
        <w:t>13809947286</w:t>
      </w:r>
    </w:p>
    <w:p>
      <w:pPr>
        <w:spacing w:line="360" w:lineRule="auto"/>
        <w:ind w:firstLine="560" w:firstLineChars="200"/>
        <w:jc w:val="left"/>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采购代理机构信息</w:t>
      </w:r>
      <w:bookmarkEnd w:id="30"/>
      <w:bookmarkEnd w:id="31"/>
    </w:p>
    <w:p>
      <w:pPr>
        <w:shd w:val="clear"/>
        <w:spacing w:line="360" w:lineRule="auto"/>
        <w:ind w:firstLine="560" w:firstLineChars="200"/>
        <w:rPr>
          <w:rFonts w:hint="eastAsia" w:ascii="宋体" w:eastAsia="宋体"/>
          <w:sz w:val="28"/>
          <w:szCs w:val="28"/>
          <w:highlight w:val="none"/>
          <w:lang w:eastAsia="zh-CN"/>
        </w:rPr>
      </w:pPr>
      <w:bookmarkStart w:id="32" w:name="_Toc44705049"/>
      <w:bookmarkStart w:id="33" w:name="_Toc44704902"/>
      <w:bookmarkStart w:id="34" w:name="_Toc44705270"/>
      <w:r>
        <w:rPr>
          <w:rFonts w:hint="eastAsia" w:ascii="宋体" w:hAnsi="宋体"/>
          <w:sz w:val="28"/>
          <w:szCs w:val="28"/>
          <w:highlight w:val="none"/>
        </w:rPr>
        <w:t>名</w:t>
      </w:r>
      <w:r>
        <w:rPr>
          <w:rFonts w:ascii="宋体" w:hAnsi="宋体"/>
          <w:sz w:val="28"/>
          <w:szCs w:val="28"/>
          <w:highlight w:val="none"/>
        </w:rPr>
        <w:t xml:space="preserve"> </w:t>
      </w:r>
      <w:r>
        <w:rPr>
          <w:rFonts w:hint="eastAsia" w:ascii="宋体" w:hAnsi="宋体"/>
          <w:sz w:val="28"/>
          <w:szCs w:val="28"/>
          <w:highlight w:val="none"/>
        </w:rPr>
        <w:t>称：</w:t>
      </w:r>
      <w:r>
        <w:rPr>
          <w:rFonts w:hint="eastAsia" w:ascii="宋体" w:hAnsi="宋体"/>
          <w:sz w:val="28"/>
          <w:szCs w:val="28"/>
          <w:highlight w:val="none"/>
          <w:u w:val="single"/>
          <w:lang w:eastAsia="zh-CN"/>
        </w:rPr>
        <w:t>乌鲁木齐高新建设工程项目管理咨询有限公司</w:t>
      </w:r>
    </w:p>
    <w:p>
      <w:pPr>
        <w:shd w:val="clear"/>
        <w:spacing w:line="360" w:lineRule="auto"/>
        <w:ind w:firstLine="560" w:firstLineChars="200"/>
        <w:rPr>
          <w:rFonts w:hint="eastAsia" w:ascii="宋体" w:eastAsia="宋体"/>
          <w:sz w:val="28"/>
          <w:szCs w:val="28"/>
          <w:highlight w:val="none"/>
          <w:lang w:eastAsia="zh-CN"/>
        </w:rPr>
      </w:pPr>
      <w:r>
        <w:rPr>
          <w:rFonts w:hint="eastAsia" w:ascii="宋体" w:hAnsi="宋体"/>
          <w:sz w:val="28"/>
          <w:szCs w:val="28"/>
          <w:highlight w:val="none"/>
        </w:rPr>
        <w:t>地 址：</w:t>
      </w:r>
      <w:r>
        <w:rPr>
          <w:rFonts w:hint="eastAsia" w:ascii="宋体" w:hAnsi="宋体"/>
          <w:sz w:val="28"/>
          <w:szCs w:val="28"/>
          <w:highlight w:val="none"/>
          <w:u w:val="single"/>
          <w:lang w:eastAsia="zh-CN"/>
        </w:rPr>
        <w:t>新疆乌鲁木齐高新区（新市区)四平路2288号创新广场(二期)G座20层</w:t>
      </w:r>
    </w:p>
    <w:p>
      <w:pPr>
        <w:shd w:val="clear"/>
        <w:spacing w:line="360" w:lineRule="auto"/>
        <w:ind w:firstLine="560" w:firstLineChars="200"/>
        <w:rPr>
          <w:rFonts w:hint="eastAsia" w:ascii="宋体" w:eastAsia="宋体"/>
          <w:sz w:val="28"/>
          <w:szCs w:val="28"/>
          <w:highlight w:val="none"/>
          <w:u w:val="single"/>
          <w:lang w:val="en-US" w:eastAsia="zh-CN"/>
        </w:rPr>
      </w:pPr>
      <w:r>
        <w:rPr>
          <w:rFonts w:hint="eastAsia" w:ascii="宋体" w:hAnsi="宋体"/>
          <w:sz w:val="28"/>
          <w:szCs w:val="28"/>
          <w:highlight w:val="none"/>
        </w:rPr>
        <w:t>联系方式：</w:t>
      </w:r>
      <w:bookmarkStart w:id="35" w:name="_Toc28359010"/>
      <w:bookmarkStart w:id="36" w:name="_Toc28359087"/>
      <w:r>
        <w:rPr>
          <w:rFonts w:hint="eastAsia" w:ascii="宋体" w:hAnsi="宋体"/>
          <w:sz w:val="28"/>
          <w:szCs w:val="28"/>
          <w:highlight w:val="none"/>
          <w:u w:val="single"/>
          <w:lang w:eastAsia="zh-CN"/>
        </w:rPr>
        <w:t>李建森、杨旭敏</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0991-6600851</w:t>
      </w:r>
    </w:p>
    <w:p>
      <w:pPr>
        <w:shd w:val="clear"/>
        <w:spacing w:line="360" w:lineRule="auto"/>
        <w:ind w:firstLine="560" w:firstLineChars="200"/>
        <w:rPr>
          <w:rFonts w:ascii="宋体"/>
          <w:sz w:val="28"/>
          <w:szCs w:val="28"/>
          <w:highlight w:val="none"/>
          <w:u w:val="single"/>
        </w:rPr>
      </w:pPr>
      <w:r>
        <w:rPr>
          <w:rFonts w:ascii="宋体" w:hAnsi="宋体" w:cs="宋体"/>
          <w:sz w:val="28"/>
          <w:szCs w:val="28"/>
          <w:highlight w:val="none"/>
        </w:rPr>
        <w:t>3.</w:t>
      </w:r>
      <w:r>
        <w:rPr>
          <w:rFonts w:hint="eastAsia" w:ascii="宋体" w:hAnsi="宋体" w:cs="宋体"/>
          <w:sz w:val="28"/>
          <w:szCs w:val="28"/>
          <w:highlight w:val="none"/>
        </w:rPr>
        <w:t>项目联系方式</w:t>
      </w:r>
      <w:bookmarkEnd w:id="35"/>
      <w:bookmarkEnd w:id="36"/>
    </w:p>
    <w:p>
      <w:pPr>
        <w:pStyle w:val="25"/>
        <w:shd w:val="clear"/>
        <w:spacing w:line="360" w:lineRule="auto"/>
        <w:ind w:firstLine="560" w:firstLineChars="200"/>
        <w:rPr>
          <w:rFonts w:hint="eastAsia" w:hAnsi="宋体"/>
          <w:sz w:val="28"/>
          <w:szCs w:val="28"/>
          <w:highlight w:val="none"/>
          <w:u w:val="single"/>
          <w:lang w:eastAsia="zh-CN"/>
        </w:rPr>
      </w:pPr>
      <w:r>
        <w:rPr>
          <w:rFonts w:hint="eastAsia" w:hAnsi="宋体"/>
          <w:sz w:val="28"/>
          <w:szCs w:val="28"/>
          <w:highlight w:val="none"/>
        </w:rPr>
        <w:t>项目联系人：</w:t>
      </w:r>
      <w:r>
        <w:rPr>
          <w:rFonts w:hint="eastAsia" w:hAnsi="宋体"/>
          <w:sz w:val="28"/>
          <w:szCs w:val="28"/>
          <w:highlight w:val="none"/>
          <w:u w:val="single"/>
          <w:lang w:eastAsia="zh-CN"/>
        </w:rPr>
        <w:t>李建森、杨旭敏</w:t>
      </w:r>
    </w:p>
    <w:p>
      <w:pPr>
        <w:pStyle w:val="25"/>
        <w:shd w:val="clear"/>
        <w:spacing w:line="360" w:lineRule="auto"/>
        <w:ind w:firstLine="560" w:firstLineChars="200"/>
        <w:rPr>
          <w:rFonts w:ascii="宋体" w:hAnsi="宋体" w:cs="宋体"/>
          <w:sz w:val="28"/>
          <w:szCs w:val="28"/>
          <w:highlight w:val="none"/>
        </w:rPr>
      </w:pPr>
      <w:r>
        <w:rPr>
          <w:rFonts w:hint="eastAsia" w:ascii="宋体" w:hAnsi="宋体" w:eastAsia="宋体" w:cs="Arial"/>
          <w:kern w:val="2"/>
          <w:sz w:val="28"/>
          <w:szCs w:val="28"/>
          <w:highlight w:val="none"/>
          <w:lang w:val="en-US" w:eastAsia="zh-CN" w:bidi="ar-SA"/>
        </w:rPr>
        <w:t>电 话：</w:t>
      </w:r>
      <w:r>
        <w:rPr>
          <w:rFonts w:hint="eastAsia" w:ascii="宋体" w:hAnsi="宋体" w:eastAsia="宋体" w:cs="Arial"/>
          <w:kern w:val="2"/>
          <w:sz w:val="28"/>
          <w:szCs w:val="28"/>
          <w:highlight w:val="none"/>
          <w:u w:val="single"/>
          <w:lang w:val="en-US" w:eastAsia="zh-CN" w:bidi="ar-SA"/>
        </w:rPr>
        <w:t>0991-6600851</w:t>
      </w:r>
      <w:r>
        <w:rPr>
          <w:rFonts w:hint="eastAsia" w:ascii="宋体" w:hAnsi="宋体" w:eastAsia="宋体" w:cs="Arial"/>
          <w:kern w:val="2"/>
          <w:sz w:val="28"/>
          <w:szCs w:val="28"/>
          <w:highlight w:val="none"/>
          <w:lang w:val="en-US" w:eastAsia="zh-CN" w:bidi="ar-SA"/>
        </w:rPr>
        <w:br w:type="page"/>
      </w:r>
    </w:p>
    <w:p>
      <w:pPr>
        <w:pStyle w:val="3"/>
        <w:spacing w:line="360" w:lineRule="auto"/>
        <w:jc w:val="center"/>
        <w:rPr>
          <w:rFonts w:ascii="宋体" w:cs="宋体"/>
          <w:w w:val="90"/>
          <w:sz w:val="56"/>
          <w:highlight w:val="none"/>
        </w:rPr>
      </w:pPr>
      <w:r>
        <w:rPr>
          <w:rFonts w:hint="eastAsia" w:ascii="宋体" w:hAnsi="宋体" w:cs="宋体"/>
          <w:w w:val="90"/>
          <w:highlight w:val="none"/>
        </w:rPr>
        <w:t>第二章</w:t>
      </w:r>
      <w:r>
        <w:rPr>
          <w:rFonts w:ascii="宋体" w:hAnsi="宋体" w:cs="宋体"/>
          <w:w w:val="90"/>
          <w:highlight w:val="none"/>
        </w:rPr>
        <w:t xml:space="preserve"> </w:t>
      </w:r>
      <w:r>
        <w:rPr>
          <w:rFonts w:hint="eastAsia" w:ascii="宋体" w:hAnsi="宋体" w:cs="宋体"/>
          <w:w w:val="90"/>
          <w:highlight w:val="none"/>
        </w:rPr>
        <w:t>投标人须知前附表</w:t>
      </w:r>
      <w:bookmarkEnd w:id="32"/>
      <w:bookmarkEnd w:id="33"/>
      <w:bookmarkEnd w:id="34"/>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本表是对投标人须知的具体补充和修改，如有矛盾，应以本表为准。</w:t>
      </w:r>
    </w:p>
    <w:tbl>
      <w:tblPr>
        <w:tblStyle w:val="48"/>
        <w:tblW w:w="9215" w:type="dxa"/>
        <w:tblInd w:w="-25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7"/>
        <w:gridCol w:w="8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trPr>
        <w:tc>
          <w:tcPr>
            <w:tcW w:w="1177" w:type="dxa"/>
            <w:tcBorders>
              <w:top w:val="single" w:color="auto" w:sz="12" w:space="0"/>
              <w:right w:val="single" w:color="auto" w:sz="4" w:space="0"/>
            </w:tcBorders>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条款号</w:t>
            </w:r>
          </w:p>
        </w:tc>
        <w:tc>
          <w:tcPr>
            <w:tcW w:w="8038" w:type="dxa"/>
            <w:tcBorders>
              <w:top w:val="single" w:color="auto" w:sz="12" w:space="0"/>
              <w:left w:val="single" w:color="auto" w:sz="4" w:space="0"/>
            </w:tcBorders>
            <w:vAlign w:val="center"/>
          </w:tcPr>
          <w:p>
            <w:pPr>
              <w:spacing w:line="360" w:lineRule="auto"/>
              <w:jc w:val="center"/>
              <w:rPr>
                <w:rFonts w:ascii="宋体" w:cs="宋体"/>
                <w:b/>
                <w:sz w:val="24"/>
                <w:szCs w:val="24"/>
                <w:highlight w:val="none"/>
              </w:rPr>
            </w:pPr>
            <w:r>
              <w:rPr>
                <w:rFonts w:hint="eastAsia" w:ascii="宋体" w:hAnsi="宋体" w:cs="宋体"/>
                <w:b/>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27" w:hRule="atLeast"/>
        </w:trPr>
        <w:tc>
          <w:tcPr>
            <w:tcW w:w="9215" w:type="dxa"/>
            <w:gridSpan w:val="2"/>
            <w:vAlign w:val="center"/>
          </w:tcPr>
          <w:p>
            <w:pPr>
              <w:spacing w:line="360" w:lineRule="auto"/>
              <w:jc w:val="center"/>
              <w:rPr>
                <w:rFonts w:ascii="宋体" w:cs="宋体"/>
                <w:sz w:val="24"/>
                <w:szCs w:val="24"/>
                <w:highlight w:val="none"/>
                <w:lang w:val="zh-CN"/>
              </w:rPr>
            </w:pPr>
            <w:r>
              <w:rPr>
                <w:rFonts w:hint="eastAsia" w:ascii="宋体" w:hAnsi="宋体" w:cs="宋体"/>
                <w:sz w:val="24"/>
                <w:szCs w:val="24"/>
                <w:highlight w:val="none"/>
                <w:lang w:val="zh-CN"/>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hint="eastAsia" w:ascii="宋体" w:eastAsia="宋体" w:cs="宋体"/>
                <w:kern w:val="0"/>
                <w:sz w:val="24"/>
                <w:szCs w:val="24"/>
                <w:highlight w:val="none"/>
                <w:lang w:eastAsia="zh-CN"/>
              </w:rPr>
            </w:pPr>
            <w:r>
              <w:rPr>
                <w:rFonts w:hint="eastAsia" w:ascii="宋体" w:hAnsi="宋体" w:cs="宋体"/>
                <w:sz w:val="24"/>
                <w:szCs w:val="24"/>
                <w:highlight w:val="none"/>
                <w:lang w:val="en-US" w:eastAsia="zh-CN"/>
              </w:rPr>
              <w:t>1</w:t>
            </w:r>
          </w:p>
        </w:tc>
        <w:tc>
          <w:tcPr>
            <w:tcW w:w="8038" w:type="dxa"/>
            <w:tcBorders>
              <w:left w:val="single" w:color="auto" w:sz="4" w:space="0"/>
            </w:tcBorders>
            <w:vAlign w:val="center"/>
          </w:tcPr>
          <w:p>
            <w:pPr>
              <w:autoSpaceDE w:val="0"/>
              <w:autoSpaceDN w:val="0"/>
              <w:adjustRightInd w:val="0"/>
              <w:spacing w:line="360" w:lineRule="auto"/>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项目名称：</w:t>
            </w:r>
            <w:r>
              <w:rPr>
                <w:rFonts w:hint="eastAsia" w:ascii="宋体" w:hAnsi="宋体" w:cs="宋体"/>
                <w:kern w:val="0"/>
                <w:sz w:val="24"/>
                <w:szCs w:val="24"/>
                <w:highlight w:val="none"/>
                <w:lang w:eastAsia="zh-CN"/>
              </w:rPr>
              <w:t>乌鲁木齐高新区（新市区）某单位车辆维修服务项目</w:t>
            </w:r>
          </w:p>
          <w:p>
            <w:pPr>
              <w:pStyle w:val="21"/>
              <w:rPr>
                <w:rFonts w:hint="eastAsia" w:ascii="Times New Roman" w:hAnsi="Times New Roman" w:eastAsia="宋体"/>
                <w:highlight w:val="none"/>
                <w:lang w:eastAsia="zh-CN"/>
              </w:rPr>
            </w:pPr>
            <w:r>
              <w:rPr>
                <w:rFonts w:hint="eastAsia" w:ascii="Times New Roman" w:hAnsi="Times New Roman"/>
                <w:highlight w:val="none"/>
              </w:rPr>
              <w:t>项目编号：</w:t>
            </w:r>
            <w:r>
              <w:rPr>
                <w:rFonts w:hint="eastAsia" w:ascii="宋体" w:hAnsi="宋体" w:cs="宋体"/>
                <w:kern w:val="0"/>
                <w:szCs w:val="24"/>
                <w:highlight w:val="none"/>
                <w:lang w:eastAsia="zh-CN"/>
              </w:rPr>
              <w:t>GXXG-2023-ZFCG052-2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2</w:t>
            </w:r>
          </w:p>
        </w:tc>
        <w:tc>
          <w:tcPr>
            <w:tcW w:w="8038" w:type="dxa"/>
            <w:tcBorders>
              <w:left w:val="single" w:color="auto" w:sz="4" w:space="0"/>
            </w:tcBorders>
            <w:vAlign w:val="center"/>
          </w:tcPr>
          <w:p>
            <w:pPr>
              <w:autoSpaceDE w:val="0"/>
              <w:autoSpaceDN w:val="0"/>
              <w:adjustRightInd w:val="0"/>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zh-CN" w:eastAsia="zh-CN" w:bidi="ar-SA"/>
              </w:rPr>
              <w:t>资金来源：</w:t>
            </w:r>
            <w:r>
              <w:rPr>
                <w:rFonts w:hint="eastAsia" w:ascii="宋体" w:hAnsi="宋体" w:eastAsia="宋体" w:cs="宋体"/>
                <w:kern w:val="0"/>
                <w:sz w:val="24"/>
                <w:szCs w:val="24"/>
                <w:highlight w:val="none"/>
                <w:lang w:val="en-US" w:eastAsia="zh-CN" w:bidi="ar-SA"/>
              </w:rPr>
              <w:t>财政资金</w:t>
            </w:r>
          </w:p>
          <w:p>
            <w:pPr>
              <w:pStyle w:val="2"/>
              <w:ind w:left="0" w:leftChars="0" w:firstLine="0" w:firstLineChars="0"/>
              <w:rPr>
                <w:highlight w:val="none"/>
              </w:rPr>
            </w:pPr>
            <w:r>
              <w:rPr>
                <w:rFonts w:hint="eastAsia" w:ascii="宋体" w:hAnsi="宋体" w:eastAsia="宋体" w:cs="宋体"/>
                <w:kern w:val="0"/>
                <w:sz w:val="24"/>
                <w:szCs w:val="24"/>
                <w:highlight w:val="none"/>
                <w:lang w:val="en-US" w:eastAsia="zh-CN" w:bidi="ar-SA"/>
              </w:rPr>
              <w:t>预算资金：</w:t>
            </w:r>
            <w:r>
              <w:rPr>
                <w:rFonts w:hint="eastAsia" w:hAnsi="宋体" w:cs="宋体"/>
                <w:kern w:val="0"/>
                <w:sz w:val="24"/>
                <w:szCs w:val="24"/>
                <w:highlight w:val="none"/>
                <w:lang w:val="en-US" w:eastAsia="zh-CN" w:bidi="ar-SA"/>
              </w:rPr>
              <w:t>1305000.00元</w:t>
            </w:r>
            <w:r>
              <w:rPr>
                <w:rFonts w:hint="eastAsia" w:ascii="宋体" w:hAnsi="宋体" w:eastAsia="宋体" w:cs="宋体"/>
                <w:kern w:val="0"/>
                <w:sz w:val="24"/>
                <w:szCs w:val="24"/>
                <w:highlight w:val="none"/>
                <w:lang w:val="en-US" w:eastAsia="zh-CN" w:bidi="ar-S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w:t>
            </w:r>
          </w:p>
        </w:tc>
        <w:tc>
          <w:tcPr>
            <w:tcW w:w="8038" w:type="dxa"/>
            <w:tcBorders>
              <w:left w:val="single" w:color="auto" w:sz="4" w:space="0"/>
            </w:tcBorders>
            <w:vAlign w:val="center"/>
          </w:tcPr>
          <w:p>
            <w:pPr>
              <w:autoSpaceDE w:val="0"/>
              <w:autoSpaceDN w:val="0"/>
              <w:adjustRightInd w:val="0"/>
              <w:spacing w:line="360" w:lineRule="auto"/>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招标内容：</w:t>
            </w:r>
          </w:p>
          <w:p>
            <w:pPr>
              <w:autoSpaceDE w:val="0"/>
              <w:autoSpaceDN w:val="0"/>
              <w:adjustRightIn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标项一:标项名称: 乌鲁木齐高新区（新市区）某单位南区车辆维修服务项目</w:t>
            </w:r>
          </w:p>
          <w:p>
            <w:pPr>
              <w:autoSpaceDE w:val="0"/>
              <w:autoSpaceDN w:val="0"/>
              <w:adjustRightIn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预算金额（</w:t>
            </w:r>
            <w:r>
              <w:rPr>
                <w:rFonts w:hint="eastAsia" w:ascii="宋体" w:hAnsi="宋体" w:cs="宋体"/>
                <w:sz w:val="24"/>
                <w:szCs w:val="24"/>
                <w:highlight w:val="none"/>
                <w:lang w:val="en-US" w:eastAsia="zh-CN"/>
              </w:rPr>
              <w:t>最高限价</w:t>
            </w:r>
            <w:r>
              <w:rPr>
                <w:rFonts w:hint="eastAsia" w:ascii="宋体" w:hAnsi="宋体" w:cs="宋体"/>
                <w:sz w:val="24"/>
                <w:szCs w:val="24"/>
                <w:highlight w:val="none"/>
                <w:lang w:val="zh-CN"/>
              </w:rPr>
              <w:t>）: 1305000.00元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8038" w:type="dxa"/>
            <w:tcBorders>
              <w:left w:val="single" w:color="auto" w:sz="4" w:space="0"/>
            </w:tcBorders>
            <w:vAlign w:val="center"/>
          </w:tcPr>
          <w:p>
            <w:pPr>
              <w:autoSpaceDE w:val="0"/>
              <w:autoSpaceDN w:val="0"/>
              <w:adjustRightInd w:val="0"/>
              <w:spacing w:line="360" w:lineRule="auto"/>
              <w:rPr>
                <w:rFonts w:hint="eastAsia" w:ascii="宋体" w:hAnsi="宋体" w:cs="宋体"/>
                <w:sz w:val="24"/>
                <w:szCs w:val="24"/>
                <w:highlight w:val="none"/>
                <w:lang w:val="zh-CN"/>
              </w:rPr>
            </w:pPr>
            <w:r>
              <w:rPr>
                <w:rFonts w:hint="eastAsia" w:ascii="宋体" w:hAnsi="宋体" w:cs="宋体"/>
                <w:sz w:val="24"/>
                <w:szCs w:val="24"/>
                <w:highlight w:val="none"/>
                <w:lang w:val="zh-CN"/>
              </w:rPr>
              <w:t>合同履行期限：一年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autoSpaceDE w:val="0"/>
              <w:autoSpaceDN w:val="0"/>
              <w:adjustRightInd w:val="0"/>
              <w:spacing w:line="360" w:lineRule="auto"/>
              <w:jc w:val="center"/>
              <w:rPr>
                <w:rFonts w:hint="eastAsia" w:ascii="宋体" w:eastAsia="宋体" w:cs="宋体"/>
                <w:sz w:val="24"/>
                <w:szCs w:val="24"/>
                <w:highlight w:val="none"/>
                <w:lang w:val="zh-CN" w:eastAsia="zh-CN"/>
              </w:rPr>
            </w:pPr>
            <w:r>
              <w:rPr>
                <w:rFonts w:hint="eastAsia" w:ascii="宋体" w:hAnsi="宋体" w:cs="宋体"/>
                <w:sz w:val="24"/>
                <w:szCs w:val="24"/>
                <w:highlight w:val="none"/>
                <w:lang w:val="en-US" w:eastAsia="zh-CN"/>
              </w:rPr>
              <w:t>5</w:t>
            </w:r>
          </w:p>
        </w:tc>
        <w:tc>
          <w:tcPr>
            <w:tcW w:w="8038" w:type="dxa"/>
            <w:tcBorders>
              <w:left w:val="single" w:color="auto" w:sz="4" w:space="0"/>
            </w:tcBorders>
            <w:vAlign w:val="center"/>
          </w:tcPr>
          <w:p>
            <w:pPr>
              <w:shd w:val="clear"/>
              <w:autoSpaceDE w:val="0"/>
              <w:autoSpaceDN w:val="0"/>
              <w:adjustRightInd w:val="0"/>
              <w:spacing w:line="360" w:lineRule="auto"/>
              <w:rPr>
                <w:rFonts w:hint="eastAsia" w:ascii="宋体" w:eastAsia="宋体" w:cs="宋体"/>
                <w:kern w:val="0"/>
                <w:sz w:val="24"/>
                <w:szCs w:val="24"/>
                <w:highlight w:val="none"/>
                <w:lang w:eastAsia="zh-CN"/>
              </w:rPr>
            </w:pPr>
            <w:r>
              <w:rPr>
                <w:rFonts w:hint="eastAsia" w:ascii="宋体" w:hAnsi="宋体" w:cs="宋体"/>
                <w:kern w:val="0"/>
                <w:sz w:val="24"/>
                <w:szCs w:val="24"/>
                <w:highlight w:val="none"/>
              </w:rPr>
              <w:t>采购人名称：</w:t>
            </w:r>
            <w:r>
              <w:rPr>
                <w:rFonts w:hint="eastAsia" w:ascii="宋体" w:hAnsi="宋体" w:cs="宋体"/>
                <w:kern w:val="0"/>
                <w:sz w:val="24"/>
                <w:szCs w:val="24"/>
                <w:highlight w:val="none"/>
                <w:lang w:eastAsia="zh-CN"/>
              </w:rPr>
              <w:t>乌鲁木齐市公安局高新技术产业开发区（新市区）分局</w:t>
            </w:r>
          </w:p>
          <w:p>
            <w:pPr>
              <w:shd w:val="clear"/>
              <w:autoSpaceDE w:val="0"/>
              <w:autoSpaceDN w:val="0"/>
              <w:adjustRightInd w:val="0"/>
              <w:spacing w:line="360" w:lineRule="auto"/>
              <w:rPr>
                <w:rFonts w:hint="eastAsia" w:ascii="宋体" w:eastAsia="宋体" w:cs="宋体"/>
                <w:sz w:val="24"/>
                <w:szCs w:val="24"/>
                <w:highlight w:val="none"/>
                <w:lang w:val="zh-CN" w:eastAsia="zh-CN"/>
              </w:rPr>
            </w:pPr>
            <w:r>
              <w:rPr>
                <w:rFonts w:hint="eastAsia" w:ascii="宋体" w:hAnsi="宋体" w:cs="宋体"/>
                <w:sz w:val="24"/>
                <w:szCs w:val="24"/>
                <w:highlight w:val="none"/>
                <w:lang w:val="zh-CN"/>
              </w:rPr>
              <w:t>联系人：</w:t>
            </w:r>
            <w:r>
              <w:rPr>
                <w:rFonts w:hint="eastAsia" w:ascii="宋体" w:hAnsi="宋体" w:cs="宋体"/>
                <w:sz w:val="24"/>
                <w:szCs w:val="24"/>
                <w:highlight w:val="none"/>
                <w:lang w:val="en-US" w:eastAsia="zh-CN"/>
              </w:rPr>
              <w:t>李纪锋</w:t>
            </w:r>
          </w:p>
          <w:p>
            <w:pPr>
              <w:shd w:val="clear"/>
              <w:autoSpaceDE w:val="0"/>
              <w:autoSpaceDN w:val="0"/>
              <w:adjustRightInd w:val="0"/>
              <w:spacing w:line="360" w:lineRule="auto"/>
              <w:rPr>
                <w:rFonts w:ascii="宋体" w:cs="宋体"/>
                <w:sz w:val="24"/>
                <w:szCs w:val="24"/>
                <w:highlight w:val="none"/>
                <w:lang w:val="zh-CN"/>
              </w:rPr>
            </w:pPr>
            <w:r>
              <w:rPr>
                <w:rFonts w:hint="eastAsia" w:ascii="宋体" w:hAnsi="宋体" w:cs="宋体"/>
                <w:sz w:val="24"/>
                <w:szCs w:val="24"/>
                <w:highlight w:val="none"/>
                <w:lang w:val="zh-CN"/>
              </w:rPr>
              <w:t xml:space="preserve">联系电话： 13809947286 </w:t>
            </w:r>
          </w:p>
          <w:p>
            <w:pPr>
              <w:autoSpaceDE w:val="0"/>
              <w:autoSpaceDN w:val="0"/>
              <w:adjustRightInd w:val="0"/>
              <w:spacing w:line="360" w:lineRule="auto"/>
              <w:rPr>
                <w:rFonts w:ascii="宋体" w:cs="宋体"/>
                <w:sz w:val="24"/>
                <w:szCs w:val="24"/>
                <w:highlight w:val="none"/>
                <w:lang w:val="zh-CN"/>
              </w:rPr>
            </w:pPr>
            <w:r>
              <w:rPr>
                <w:rFonts w:hint="eastAsia" w:ascii="宋体" w:hAnsi="宋体" w:cs="宋体"/>
                <w:sz w:val="24"/>
                <w:szCs w:val="24"/>
                <w:highlight w:val="none"/>
                <w:lang w:val="zh-CN"/>
              </w:rPr>
              <w:t>地址：新疆维吾尔自治区乌鲁木齐市新市区河北东路339号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6</w:t>
            </w:r>
          </w:p>
        </w:tc>
        <w:tc>
          <w:tcPr>
            <w:tcW w:w="8038" w:type="dxa"/>
            <w:tcBorders>
              <w:left w:val="single" w:color="auto" w:sz="4" w:space="0"/>
            </w:tcBorders>
            <w:vAlign w:val="center"/>
          </w:tcPr>
          <w:p>
            <w:pPr>
              <w:shd w:val="clea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采购代理机构名称：</w:t>
            </w:r>
            <w:r>
              <w:rPr>
                <w:rFonts w:hint="eastAsia" w:ascii="宋体" w:hAnsi="宋体" w:cs="宋体"/>
                <w:sz w:val="24"/>
                <w:szCs w:val="24"/>
                <w:highlight w:val="none"/>
                <w:lang w:eastAsia="zh-CN"/>
              </w:rPr>
              <w:t>乌鲁木齐高新建设工程项目管理咨询有限公司</w:t>
            </w:r>
          </w:p>
          <w:p>
            <w:pPr>
              <w:shd w:val="clea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乌鲁木齐高新区（新市区)四平路2288号创新广场(二期)G座20层</w:t>
            </w:r>
          </w:p>
          <w:p>
            <w:pPr>
              <w:shd w:val="clear"/>
              <w:spacing w:line="360" w:lineRule="auto"/>
              <w:jc w:val="left"/>
              <w:rPr>
                <w:rFonts w:hint="eastAsia" w:asci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0991-6600851</w:t>
            </w:r>
          </w:p>
          <w:p>
            <w:pPr>
              <w:autoSpaceDE w:val="0"/>
              <w:autoSpaceDN w:val="0"/>
              <w:adjustRightInd w:val="0"/>
              <w:spacing w:line="360" w:lineRule="auto"/>
              <w:rPr>
                <w:rFonts w:asci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李建森、杨旭敏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eastAsia" w:ascii="宋体" w:eastAsia="宋体" w:cs="宋体"/>
                <w:sz w:val="24"/>
                <w:szCs w:val="24"/>
                <w:highlight w:val="none"/>
                <w:lang w:eastAsia="zh-CN"/>
              </w:rPr>
            </w:pPr>
            <w:r>
              <w:rPr>
                <w:rFonts w:hint="eastAsia" w:ascii="宋体" w:hAnsi="宋体" w:cs="宋体"/>
                <w:sz w:val="24"/>
                <w:szCs w:val="24"/>
                <w:highlight w:val="none"/>
                <w:lang w:val="en-US" w:eastAsia="zh-CN"/>
              </w:rPr>
              <w:t>7</w:t>
            </w:r>
          </w:p>
        </w:tc>
        <w:tc>
          <w:tcPr>
            <w:tcW w:w="8038" w:type="dxa"/>
            <w:tcBorders>
              <w:left w:val="single" w:color="auto" w:sz="4" w:space="0"/>
            </w:tcBorders>
            <w:vAlign w:val="center"/>
          </w:tcPr>
          <w:p>
            <w:pPr>
              <w:spacing w:line="360" w:lineRule="auto"/>
              <w:rPr>
                <w:rFonts w:ascii="宋体" w:cs="宋体"/>
                <w:kern w:val="0"/>
                <w:sz w:val="24"/>
                <w:szCs w:val="24"/>
                <w:highlight w:val="none"/>
              </w:rPr>
            </w:pPr>
            <w:r>
              <w:rPr>
                <w:rFonts w:hint="eastAsia" w:ascii="宋体" w:hAnsi="宋体" w:cs="宋体"/>
                <w:kern w:val="0"/>
                <w:sz w:val="24"/>
                <w:szCs w:val="24"/>
                <w:highlight w:val="none"/>
              </w:rPr>
              <w:t>本项目（否）接受联合体投标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8</w:t>
            </w:r>
          </w:p>
        </w:tc>
        <w:tc>
          <w:tcPr>
            <w:tcW w:w="8038" w:type="dxa"/>
            <w:tcBorders>
              <w:left w:val="single" w:color="auto" w:sz="4" w:space="0"/>
            </w:tcBorders>
            <w:vAlign w:val="center"/>
          </w:tcPr>
          <w:p>
            <w:pPr>
              <w:overflowPunct w:val="0"/>
              <w:spacing w:line="440" w:lineRule="exact"/>
              <w:rPr>
                <w:rFonts w:hint="eastAsia" w:ascii="宋体" w:hAnsi="宋体"/>
                <w:sz w:val="24"/>
                <w:highlight w:val="none"/>
              </w:rPr>
            </w:pPr>
            <w:r>
              <w:rPr>
                <w:rFonts w:hint="eastAsia" w:ascii="宋体" w:hAnsi="宋体"/>
                <w:sz w:val="24"/>
                <w:highlight w:val="none"/>
              </w:rPr>
              <w:t>1、付款币种：</w:t>
            </w:r>
          </w:p>
          <w:p>
            <w:pPr>
              <w:overflowPunct w:val="0"/>
              <w:spacing w:line="440" w:lineRule="exact"/>
              <w:rPr>
                <w:rFonts w:hint="eastAsia" w:ascii="宋体" w:hAnsi="宋体"/>
                <w:sz w:val="24"/>
                <w:highlight w:val="none"/>
              </w:rPr>
            </w:pPr>
            <w:r>
              <w:rPr>
                <w:rFonts w:hint="eastAsia" w:ascii="宋体" w:hAnsi="宋体"/>
                <w:sz w:val="24"/>
                <w:highlight w:val="none"/>
              </w:rPr>
              <w:t>本次招标所述的项目资金均以人民币支付。</w:t>
            </w:r>
          </w:p>
          <w:p>
            <w:pPr>
              <w:overflowPunct w:val="0"/>
              <w:spacing w:line="440" w:lineRule="exact"/>
              <w:rPr>
                <w:rFonts w:hint="eastAsia" w:ascii="宋体" w:hAnsi="宋体"/>
                <w:sz w:val="24"/>
                <w:highlight w:val="none"/>
              </w:rPr>
            </w:pPr>
            <w:r>
              <w:rPr>
                <w:rFonts w:hint="eastAsia" w:ascii="宋体" w:hAnsi="宋体"/>
                <w:sz w:val="24"/>
                <w:highlight w:val="none"/>
              </w:rPr>
              <w:t>2、付款方式：验收合格后支付</w:t>
            </w:r>
          </w:p>
          <w:p>
            <w:pPr>
              <w:spacing w:line="360" w:lineRule="auto"/>
              <w:rPr>
                <w:rFonts w:ascii="宋体" w:hAnsi="宋体" w:cs="宋体"/>
                <w:sz w:val="24"/>
                <w:szCs w:val="24"/>
                <w:highlight w:val="none"/>
              </w:rPr>
            </w:pPr>
            <w:r>
              <w:rPr>
                <w:rFonts w:hint="eastAsia" w:ascii="宋体" w:hAnsi="宋体"/>
                <w:b/>
                <w:sz w:val="24"/>
                <w:highlight w:val="none"/>
              </w:rPr>
              <w:t>备注：最终付款方式以和甲方单位签订合同为主。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9</w:t>
            </w:r>
          </w:p>
        </w:tc>
        <w:tc>
          <w:tcPr>
            <w:tcW w:w="8038" w:type="dxa"/>
            <w:tcBorders>
              <w:left w:val="single" w:color="auto" w:sz="4" w:space="0"/>
            </w:tcBorders>
            <w:vAlign w:val="center"/>
          </w:tcPr>
          <w:p>
            <w:pPr>
              <w:spacing w:line="360" w:lineRule="auto"/>
              <w:rPr>
                <w:rFonts w:ascii="宋体" w:hAnsi="宋体" w:cs="宋体"/>
                <w:sz w:val="24"/>
                <w:szCs w:val="24"/>
                <w:highlight w:val="none"/>
              </w:rPr>
            </w:pPr>
            <w:r>
              <w:rPr>
                <w:rFonts w:hint="eastAsia" w:ascii="宋体" w:hAnsi="宋体" w:cs="宋体"/>
                <w:sz w:val="24"/>
                <w:szCs w:val="24"/>
                <w:highlight w:val="none"/>
              </w:rPr>
              <w:t>质保期：/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177" w:type="dxa"/>
            <w:tcBorders>
              <w:bottom w:val="single" w:color="auto" w:sz="4" w:space="0"/>
              <w:right w:val="single" w:color="auto" w:sz="4" w:space="0"/>
            </w:tcBorders>
            <w:vAlign w:val="center"/>
          </w:tcPr>
          <w:p>
            <w:pPr>
              <w:spacing w:line="360" w:lineRule="auto"/>
              <w:jc w:val="center"/>
              <w:rPr>
                <w:rFonts w:hint="default" w:ascii="宋体" w:eastAsia="宋体" w:cs="宋体"/>
                <w:i/>
                <w:sz w:val="24"/>
                <w:szCs w:val="24"/>
                <w:highlight w:val="none"/>
                <w:lang w:val="en-US" w:eastAsia="zh-CN"/>
              </w:rPr>
            </w:pPr>
            <w:r>
              <w:rPr>
                <w:rFonts w:hint="eastAsia" w:ascii="宋体" w:hAnsi="宋体" w:cs="宋体"/>
                <w:sz w:val="24"/>
                <w:szCs w:val="24"/>
                <w:highlight w:val="none"/>
                <w:lang w:val="en-US" w:eastAsia="zh-CN"/>
              </w:rPr>
              <w:t>10</w:t>
            </w:r>
          </w:p>
        </w:tc>
        <w:tc>
          <w:tcPr>
            <w:tcW w:w="8038" w:type="dxa"/>
            <w:tcBorders>
              <w:left w:val="single" w:color="auto" w:sz="4" w:space="0"/>
              <w:bottom w:val="single" w:color="auto" w:sz="4" w:space="0"/>
            </w:tcBorders>
            <w:vAlign w:val="center"/>
          </w:tcPr>
          <w:p>
            <w:pPr>
              <w:spacing w:line="360" w:lineRule="auto"/>
              <w:rPr>
                <w:rFonts w:ascii="宋体" w:cs="宋体"/>
                <w:i/>
                <w:sz w:val="24"/>
                <w:szCs w:val="24"/>
                <w:highlight w:val="none"/>
              </w:rPr>
            </w:pPr>
            <w:r>
              <w:rPr>
                <w:rFonts w:hint="eastAsia" w:ascii="宋体" w:hAnsi="宋体" w:cs="宋体"/>
                <w:sz w:val="24"/>
                <w:szCs w:val="24"/>
                <w:highlight w:val="none"/>
                <w:lang w:val="zh-CN"/>
              </w:rPr>
              <w:t>投标报价：超预算金额（最高限价）的，其报价无效，不进入评标阶段。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5" w:hRule="atLeast"/>
        </w:trPr>
        <w:tc>
          <w:tcPr>
            <w:tcW w:w="1177" w:type="dxa"/>
            <w:tcBorders>
              <w:top w:val="single" w:color="auto" w:sz="4" w:space="0"/>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11</w:t>
            </w:r>
          </w:p>
        </w:tc>
        <w:tc>
          <w:tcPr>
            <w:tcW w:w="8038" w:type="dxa"/>
            <w:tcBorders>
              <w:top w:val="single" w:color="auto" w:sz="4" w:space="0"/>
              <w:left w:val="single" w:color="auto" w:sz="4" w:space="0"/>
            </w:tcBorders>
            <w:vAlign w:val="center"/>
          </w:tcPr>
          <w:p>
            <w:pPr>
              <w:spacing w:line="360" w:lineRule="auto"/>
              <w:jc w:val="left"/>
              <w:rPr>
                <w:rFonts w:ascii="宋体" w:cs="宋体"/>
                <w:sz w:val="24"/>
                <w:szCs w:val="24"/>
                <w:highlight w:val="none"/>
                <w:lang w:val="zh-CN"/>
              </w:rPr>
            </w:pPr>
            <w:r>
              <w:rPr>
                <w:rFonts w:hint="eastAsia" w:ascii="宋体" w:hAnsi="宋体" w:cs="宋体"/>
                <w:sz w:val="24"/>
                <w:szCs w:val="24"/>
                <w:highlight w:val="none"/>
              </w:rPr>
              <w:t>投标货币：人民币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1177" w:type="dxa"/>
            <w:tcBorders>
              <w:right w:val="single" w:color="auto" w:sz="4" w:space="0"/>
            </w:tcBorders>
            <w:vAlign w:val="center"/>
          </w:tcPr>
          <w:p>
            <w:pPr>
              <w:tabs>
                <w:tab w:val="left" w:pos="720"/>
              </w:tabs>
              <w:autoSpaceDE w:val="0"/>
              <w:autoSpaceDN w:val="0"/>
              <w:adjustRightInd w:val="0"/>
              <w:spacing w:line="360" w:lineRule="auto"/>
              <w:ind w:left="278" w:right="17"/>
              <w:jc w:val="center"/>
              <w:rPr>
                <w:rFonts w:hint="default" w:ascii="宋体" w:eastAsia="宋体" w:cs="宋体"/>
                <w:kern w:val="0"/>
                <w:sz w:val="24"/>
                <w:szCs w:val="24"/>
                <w:highlight w:val="none"/>
                <w:lang w:val="en-US" w:eastAsia="zh-CN"/>
              </w:rPr>
            </w:pPr>
            <w:r>
              <w:rPr>
                <w:rFonts w:hint="eastAsia" w:ascii="宋体" w:hAnsi="宋体" w:cs="宋体"/>
                <w:sz w:val="24"/>
                <w:szCs w:val="24"/>
                <w:highlight w:val="none"/>
                <w:lang w:val="en-US" w:eastAsia="zh-CN"/>
              </w:rPr>
              <w:t>12</w:t>
            </w:r>
          </w:p>
        </w:tc>
        <w:tc>
          <w:tcPr>
            <w:tcW w:w="8038" w:type="dxa"/>
            <w:tcBorders>
              <w:left w:val="single" w:color="auto" w:sz="4" w:space="0"/>
            </w:tcBorders>
            <w:vAlign w:val="center"/>
          </w:tcPr>
          <w:p>
            <w:pPr>
              <w:pStyle w:val="231"/>
              <w:numPr>
                <w:ilvl w:val="0"/>
                <w:numId w:val="0"/>
              </w:numPr>
              <w:shd w:val="clear"/>
              <w:spacing w:line="360" w:lineRule="auto"/>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w:t>
            </w:r>
          </w:p>
          <w:p>
            <w:pPr>
              <w:pStyle w:val="231"/>
              <w:numPr>
                <w:ilvl w:val="0"/>
                <w:numId w:val="0"/>
              </w:numPr>
              <w:shd w:val="clear"/>
              <w:spacing w:line="360" w:lineRule="auto"/>
              <w:rPr>
                <w:rFonts w:ascii="宋体" w:hAnsi="宋体" w:cs="宋体"/>
                <w:bCs/>
                <w:sz w:val="24"/>
                <w:szCs w:val="24"/>
                <w:highlight w:val="none"/>
              </w:rPr>
            </w:pPr>
            <w:r>
              <w:rPr>
                <w:rFonts w:ascii="宋体" w:hAnsi="宋体" w:cs="宋体"/>
                <w:bCs/>
                <w:sz w:val="24"/>
                <w:szCs w:val="24"/>
                <w:highlight w:val="none"/>
              </w:rPr>
              <w:t>2</w:t>
            </w:r>
            <w:r>
              <w:rPr>
                <w:rFonts w:hint="eastAsia" w:ascii="宋体" w:hAnsi="宋体" w:cs="宋体"/>
                <w:bCs/>
                <w:sz w:val="24"/>
                <w:szCs w:val="24"/>
                <w:highlight w:val="none"/>
              </w:rPr>
              <w:t>.落实政府采购政策需满足的资格要求：</w:t>
            </w:r>
          </w:p>
          <w:p>
            <w:pPr>
              <w:pStyle w:val="231"/>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1）单位负责人为同一人或者存在直接控股、管理关系的不同</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，不得同时参加本项目同一包的投标；</w:t>
            </w:r>
          </w:p>
          <w:p>
            <w:pPr>
              <w:pStyle w:val="231"/>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2）为本项目某包提供整体设计、规范编制或者项目管理、监理、检测等服务的</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，不得参加该包的投标；</w:t>
            </w:r>
          </w:p>
          <w:p>
            <w:pPr>
              <w:pStyle w:val="231"/>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3）通过“信用中国”网站（www.creditchina.gov.cn）和中国政府采购网（www.ccgp.gov.cn）查询信用记录（截止时间点为投标截止时间），被列入失信被执行人、重大税收违法案件当事人名单或政府采购严重违法失信行为记录名单的</w:t>
            </w:r>
            <w:r>
              <w:rPr>
                <w:rFonts w:hint="eastAsia" w:ascii="宋体" w:hAnsi="宋体" w:cs="宋体"/>
                <w:bCs/>
                <w:sz w:val="24"/>
                <w:szCs w:val="24"/>
                <w:highlight w:val="none"/>
                <w:lang w:eastAsia="zh-CN"/>
              </w:rPr>
              <w:t>投标人</w:t>
            </w:r>
            <w:r>
              <w:rPr>
                <w:rFonts w:hint="eastAsia" w:ascii="宋体" w:hAnsi="宋体" w:cs="宋体"/>
                <w:bCs/>
                <w:sz w:val="24"/>
                <w:szCs w:val="24"/>
                <w:highlight w:val="none"/>
              </w:rPr>
              <w:t>，没有资格参加本项目的采购活动；</w:t>
            </w:r>
          </w:p>
          <w:p>
            <w:pPr>
              <w:pStyle w:val="231"/>
              <w:numPr>
                <w:ilvl w:val="0"/>
                <w:numId w:val="0"/>
              </w:numPr>
              <w:shd w:val="clear"/>
              <w:spacing w:line="360" w:lineRule="auto"/>
              <w:ind w:firstLine="240" w:firstLineChars="100"/>
              <w:rPr>
                <w:rFonts w:ascii="宋体" w:hAnsi="宋体" w:cs="宋体"/>
                <w:bCs/>
                <w:sz w:val="24"/>
                <w:szCs w:val="24"/>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eastAsia="zh-CN"/>
              </w:rPr>
              <w:t>本项目专门面向中小企业采购</w:t>
            </w:r>
            <w:r>
              <w:rPr>
                <w:rFonts w:hint="eastAsia" w:ascii="宋体" w:hAnsi="宋体" w:cs="宋体"/>
                <w:bCs/>
                <w:sz w:val="24"/>
                <w:szCs w:val="24"/>
                <w:highlight w:val="none"/>
              </w:rPr>
              <w:t>；</w:t>
            </w:r>
          </w:p>
          <w:p>
            <w:pPr>
              <w:pStyle w:val="231"/>
              <w:numPr>
                <w:ilvl w:val="0"/>
                <w:numId w:val="0"/>
              </w:numPr>
              <w:shd w:val="clear"/>
              <w:spacing w:line="360" w:lineRule="auto"/>
              <w:rPr>
                <w:rFonts w:hint="eastAsia" w:ascii="宋体" w:hAnsi="宋体" w:cs="宋体"/>
                <w:bCs/>
                <w:sz w:val="24"/>
                <w:szCs w:val="24"/>
                <w:highlight w:val="none"/>
              </w:rPr>
            </w:pPr>
            <w:r>
              <w:rPr>
                <w:rFonts w:ascii="宋体" w:hAnsi="宋体" w:cs="宋体"/>
                <w:bCs/>
                <w:sz w:val="24"/>
                <w:szCs w:val="24"/>
                <w:highlight w:val="none"/>
              </w:rPr>
              <w:t>3</w:t>
            </w:r>
            <w:r>
              <w:rPr>
                <w:rFonts w:hint="eastAsia" w:ascii="宋体" w:hAnsi="宋体" w:cs="宋体"/>
                <w:bCs/>
                <w:sz w:val="24"/>
                <w:szCs w:val="24"/>
                <w:highlight w:val="none"/>
              </w:rPr>
              <w:t>.本项目的特定资格要求：</w:t>
            </w:r>
          </w:p>
          <w:p>
            <w:pPr>
              <w:pStyle w:val="231"/>
              <w:numPr>
                <w:ilvl w:val="0"/>
                <w:numId w:val="0"/>
              </w:numPr>
              <w:spacing w:line="360" w:lineRule="auto"/>
              <w:rPr>
                <w:rFonts w:ascii="宋体" w:hAnsi="宋体" w:cs="宋体"/>
                <w:bCs/>
                <w:sz w:val="24"/>
                <w:szCs w:val="24"/>
                <w:highlight w:val="none"/>
              </w:rPr>
            </w:pPr>
            <w:r>
              <w:rPr>
                <w:rFonts w:hint="eastAsia" w:ascii="宋体" w:hAnsi="宋体" w:cs="宋体"/>
                <w:bCs/>
                <w:sz w:val="24"/>
                <w:szCs w:val="24"/>
                <w:highlight w:val="none"/>
                <w:lang w:eastAsia="zh-CN"/>
              </w:rPr>
              <w:t>具备有效机动车维修经营许可证或机动车维修经营备案表，维修资质必须为二类及以上汽车维修资质</w:t>
            </w:r>
            <w:r>
              <w:rPr>
                <w:rFonts w:hint="eastAsia" w:ascii="宋体" w:hAnsi="宋体" w:eastAsia="宋体" w:cs="宋体"/>
                <w:bCs/>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1177" w:type="dxa"/>
            <w:tcBorders>
              <w:top w:val="single" w:color="auto" w:sz="12" w:space="0"/>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8038" w:type="dxa"/>
            <w:tcBorders>
              <w:top w:val="single" w:color="auto" w:sz="12" w:space="0"/>
              <w:left w:val="single" w:color="auto" w:sz="4" w:space="0"/>
            </w:tcBorders>
            <w:vAlign w:val="center"/>
          </w:tcPr>
          <w:p>
            <w:pPr>
              <w:shd w:val="clear"/>
              <w:spacing w:line="360" w:lineRule="auto"/>
              <w:rPr>
                <w:rFonts w:hint="eastAsia" w:ascii="宋体" w:cs="宋体"/>
                <w:sz w:val="24"/>
                <w:szCs w:val="24"/>
                <w:highlight w:val="none"/>
              </w:rPr>
            </w:pPr>
            <w:r>
              <w:rPr>
                <w:rFonts w:hint="eastAsia" w:ascii="宋体" w:cs="宋体"/>
                <w:sz w:val="24"/>
                <w:szCs w:val="24"/>
                <w:highlight w:val="none"/>
              </w:rPr>
              <w:t>投标保证金：</w:t>
            </w:r>
          </w:p>
          <w:p>
            <w:pPr>
              <w:shd w:val="clear"/>
              <w:spacing w:line="360" w:lineRule="auto"/>
              <w:rPr>
                <w:rFonts w:hint="eastAsia" w:ascii="宋体" w:cs="宋体"/>
                <w:sz w:val="24"/>
                <w:szCs w:val="24"/>
                <w:highlight w:val="none"/>
              </w:rPr>
            </w:pPr>
            <w:r>
              <w:rPr>
                <w:rFonts w:hint="eastAsia" w:ascii="宋体" w:cs="宋体"/>
                <w:sz w:val="24"/>
                <w:szCs w:val="24"/>
                <w:highlight w:val="none"/>
              </w:rPr>
              <w:t>缴纳形式：转账、汇款或保函等非现金形式</w:t>
            </w:r>
          </w:p>
          <w:p>
            <w:pPr>
              <w:shd w:val="clear"/>
              <w:spacing w:line="360" w:lineRule="auto"/>
              <w:rPr>
                <w:rFonts w:hint="eastAsia" w:ascii="宋体" w:cs="宋体"/>
                <w:sz w:val="24"/>
                <w:szCs w:val="24"/>
                <w:highlight w:val="none"/>
              </w:rPr>
            </w:pPr>
            <w:r>
              <w:rPr>
                <w:rFonts w:hint="eastAsia" w:ascii="宋体" w:cs="宋体"/>
                <w:sz w:val="24"/>
                <w:szCs w:val="24"/>
                <w:highlight w:val="none"/>
              </w:rPr>
              <w:t>缴纳金额：</w:t>
            </w:r>
          </w:p>
          <w:p>
            <w:pPr>
              <w:shd w:val="clear"/>
              <w:spacing w:line="360" w:lineRule="auto"/>
              <w:rPr>
                <w:rFonts w:hint="eastAsia" w:ascii="宋体" w:cs="宋体"/>
                <w:sz w:val="24"/>
                <w:szCs w:val="24"/>
                <w:highlight w:val="none"/>
              </w:rPr>
            </w:pPr>
            <w:r>
              <w:rPr>
                <w:rFonts w:hint="eastAsia" w:ascii="宋体" w:cs="宋体"/>
                <w:sz w:val="24"/>
                <w:szCs w:val="24"/>
                <w:highlight w:val="none"/>
                <w:lang w:val="en-US" w:eastAsia="zh-CN"/>
              </w:rPr>
              <w:t>标项一：10000.00</w:t>
            </w:r>
            <w:r>
              <w:rPr>
                <w:rFonts w:hint="eastAsia" w:ascii="宋体" w:cs="宋体"/>
                <w:sz w:val="24"/>
                <w:szCs w:val="24"/>
                <w:highlight w:val="none"/>
              </w:rPr>
              <w:t>元（</w:t>
            </w:r>
            <w:r>
              <w:rPr>
                <w:rFonts w:hint="eastAsia" w:ascii="宋体" w:cs="宋体"/>
                <w:sz w:val="24"/>
                <w:szCs w:val="24"/>
                <w:highlight w:val="none"/>
                <w:lang w:val="en-US" w:eastAsia="zh-CN"/>
              </w:rPr>
              <w:t>壹万元整</w:t>
            </w:r>
            <w:r>
              <w:rPr>
                <w:rFonts w:hint="eastAsia" w:ascii="宋体" w:cs="宋体"/>
                <w:sz w:val="24"/>
                <w:szCs w:val="24"/>
                <w:highlight w:val="none"/>
              </w:rPr>
              <w:t>）</w:t>
            </w:r>
          </w:p>
          <w:p>
            <w:pPr>
              <w:shd w:val="clear"/>
              <w:spacing w:line="360" w:lineRule="auto"/>
              <w:rPr>
                <w:rFonts w:hint="eastAsia" w:ascii="宋体" w:cs="宋体"/>
                <w:sz w:val="24"/>
                <w:szCs w:val="24"/>
                <w:highlight w:val="none"/>
              </w:rPr>
            </w:pPr>
            <w:r>
              <w:rPr>
                <w:rFonts w:hint="eastAsia" w:ascii="宋体" w:cs="宋体"/>
                <w:sz w:val="24"/>
                <w:szCs w:val="24"/>
                <w:highlight w:val="none"/>
              </w:rPr>
              <w:t>公司名称：乌鲁木齐高新建设工程项目管理咨询有限公司</w:t>
            </w:r>
          </w:p>
          <w:p>
            <w:pPr>
              <w:shd w:val="clear"/>
              <w:spacing w:line="360" w:lineRule="auto"/>
              <w:rPr>
                <w:rFonts w:hint="eastAsia" w:ascii="宋体" w:cs="宋体"/>
                <w:sz w:val="24"/>
                <w:szCs w:val="24"/>
                <w:highlight w:val="none"/>
              </w:rPr>
            </w:pPr>
            <w:r>
              <w:rPr>
                <w:rFonts w:hint="eastAsia" w:ascii="宋体" w:cs="宋体"/>
                <w:sz w:val="24"/>
                <w:szCs w:val="24"/>
                <w:highlight w:val="none"/>
              </w:rPr>
              <w:t>账户：9919 0547 2010 902</w:t>
            </w:r>
          </w:p>
          <w:p>
            <w:pPr>
              <w:shd w:val="clear"/>
              <w:spacing w:line="360" w:lineRule="auto"/>
              <w:rPr>
                <w:rFonts w:hint="eastAsia" w:ascii="宋体" w:cs="宋体"/>
                <w:sz w:val="24"/>
                <w:szCs w:val="24"/>
                <w:highlight w:val="none"/>
              </w:rPr>
            </w:pPr>
            <w:r>
              <w:rPr>
                <w:rFonts w:hint="eastAsia" w:ascii="宋体" w:cs="宋体"/>
                <w:sz w:val="24"/>
                <w:szCs w:val="24"/>
                <w:highlight w:val="none"/>
              </w:rPr>
              <w:t>开户银行及机构：招商银行股份有限公司乌鲁木齐苏州路支行</w:t>
            </w:r>
          </w:p>
          <w:p>
            <w:pPr>
              <w:shd w:val="clear"/>
              <w:spacing w:line="360" w:lineRule="auto"/>
              <w:rPr>
                <w:rFonts w:hint="eastAsia" w:ascii="宋体" w:cs="宋体"/>
                <w:sz w:val="24"/>
                <w:szCs w:val="24"/>
                <w:highlight w:val="none"/>
              </w:rPr>
            </w:pPr>
            <w:r>
              <w:rPr>
                <w:rFonts w:hint="eastAsia" w:ascii="宋体" w:cs="宋体"/>
                <w:sz w:val="24"/>
                <w:szCs w:val="24"/>
                <w:highlight w:val="none"/>
              </w:rPr>
              <w:t>行号：308881029091</w:t>
            </w:r>
          </w:p>
          <w:p>
            <w:pPr>
              <w:shd w:val="clear"/>
              <w:spacing w:line="360" w:lineRule="auto"/>
              <w:rPr>
                <w:rFonts w:hint="eastAsia" w:ascii="宋体" w:cs="宋体"/>
                <w:b/>
                <w:bCs/>
                <w:sz w:val="24"/>
                <w:szCs w:val="24"/>
                <w:highlight w:val="none"/>
              </w:rPr>
            </w:pPr>
            <w:r>
              <w:rPr>
                <w:rFonts w:hint="eastAsia" w:ascii="宋体" w:cs="宋体"/>
                <w:sz w:val="24"/>
                <w:szCs w:val="24"/>
                <w:highlight w:val="none"/>
              </w:rPr>
              <w:t>1、银行转账形式缴纳，请各参与投标人于投标文件递交截至时之前缴纳并到账，必须从投标人基本账户支出，在汇款凭证上备注栏须注明所投标段名称（若字数超标，可自行简写标段名称），</w:t>
            </w:r>
            <w:r>
              <w:rPr>
                <w:rFonts w:hint="eastAsia" w:ascii="宋体" w:cs="宋体"/>
                <w:b/>
                <w:bCs/>
                <w:sz w:val="24"/>
                <w:szCs w:val="24"/>
                <w:highlight w:val="none"/>
              </w:rPr>
              <w:t>特别提醒保证金转账账户与文件费及代理服务费非同一账户。</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2、如采用保函形式缴纳，政采云电子保函须知</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2.1政采云电子保函形式缴纳投标保证金，在线完成保函的申请、审核、开票、出函等环节；</w:t>
            </w:r>
          </w:p>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2.2如采用政采云电子保函形式，可按照以下形式进行在线申请，电子保函申请链接（https://jinrong.zcygov.cn/finance/letter/product/detail?id=30&amp;source=41），如遇问题可拨打客服电话：4009039583；</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2.3将保函制作到电子投标文件即可。</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若投标人未按照上述规定缴纳投标保证金，投标文件将被拒绝评审。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保证金以到账时间为准。</w:t>
            </w:r>
          </w:p>
          <w:p>
            <w:pPr>
              <w:spacing w:line="360" w:lineRule="auto"/>
              <w:rPr>
                <w:rFonts w:ascii="宋体" w:cs="宋体"/>
                <w:sz w:val="24"/>
                <w:szCs w:val="24"/>
                <w:highlight w:val="none"/>
              </w:rPr>
            </w:pPr>
            <w:r>
              <w:rPr>
                <w:rFonts w:hint="eastAsia" w:ascii="宋体" w:hAnsi="宋体" w:eastAsia="宋体" w:cs="宋体"/>
                <w:color w:val="auto"/>
                <w:sz w:val="24"/>
                <w:szCs w:val="24"/>
                <w:highlight w:val="none"/>
                <w:lang w:val="en-US" w:eastAsia="zh-CN"/>
              </w:rPr>
              <w:t>投标保证金有效期：投标截止时间后90天。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8038" w:type="dxa"/>
            <w:tcBorders>
              <w:left w:val="single" w:color="auto" w:sz="4" w:space="0"/>
            </w:tcBorders>
            <w:vAlign w:val="center"/>
          </w:tcPr>
          <w:p>
            <w:pPr>
              <w:spacing w:line="360" w:lineRule="auto"/>
              <w:rPr>
                <w:rFonts w:ascii="宋体" w:cs="宋体"/>
                <w:b/>
                <w:sz w:val="24"/>
                <w:szCs w:val="24"/>
                <w:highlight w:val="none"/>
              </w:rPr>
            </w:pPr>
            <w:r>
              <w:rPr>
                <w:rFonts w:hint="eastAsia" w:ascii="宋体" w:hAnsi="宋体" w:cs="宋体"/>
                <w:sz w:val="24"/>
                <w:szCs w:val="24"/>
                <w:highlight w:val="none"/>
              </w:rPr>
              <w:t>投标保证金形式：转账或电汇等其他非现金形式，</w:t>
            </w:r>
            <w:r>
              <w:rPr>
                <w:rFonts w:hint="eastAsia" w:ascii="宋体" w:hAnsi="宋体" w:cs="宋体"/>
                <w:b/>
                <w:sz w:val="24"/>
                <w:szCs w:val="24"/>
                <w:highlight w:val="none"/>
              </w:rPr>
              <w:t>建议各投标单位优先考虑采用电汇形式递交投标保证金，投标保证金缴纳截止时间同投标截止时间。</w:t>
            </w:r>
          </w:p>
          <w:p>
            <w:pPr>
              <w:spacing w:line="360" w:lineRule="auto"/>
              <w:jc w:val="left"/>
              <w:rPr>
                <w:rFonts w:ascii="宋体" w:cs="宋体"/>
                <w:sz w:val="24"/>
                <w:szCs w:val="24"/>
                <w:highlight w:val="none"/>
              </w:rPr>
            </w:pPr>
            <w:r>
              <w:rPr>
                <w:rFonts w:hint="eastAsia" w:ascii="宋体" w:hAnsi="宋体" w:cs="宋体"/>
                <w:sz w:val="24"/>
                <w:szCs w:val="24"/>
                <w:highlight w:val="none"/>
              </w:rPr>
              <w:t>投标保证金有效期与投标有效期一致。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trPr>
        <w:tc>
          <w:tcPr>
            <w:tcW w:w="1177" w:type="dxa"/>
            <w:tcBorders>
              <w:right w:val="single" w:color="auto" w:sz="4" w:space="0"/>
            </w:tcBorders>
            <w:vAlign w:val="center"/>
          </w:tcPr>
          <w:p>
            <w:pPr>
              <w:spacing w:line="360" w:lineRule="auto"/>
              <w:jc w:val="center"/>
              <w:rPr>
                <w:rFonts w:hint="default" w:ascii="宋体" w:eastAsia="宋体" w:cs="宋体"/>
                <w:i/>
                <w:sz w:val="24"/>
                <w:szCs w:val="24"/>
                <w:highlight w:val="none"/>
                <w:lang w:val="en-US" w:eastAsia="zh-CN"/>
              </w:rPr>
            </w:pPr>
            <w:r>
              <w:rPr>
                <w:rFonts w:hint="eastAsia" w:ascii="宋体" w:hAnsi="宋体" w:cs="宋体"/>
                <w:sz w:val="24"/>
                <w:szCs w:val="24"/>
                <w:highlight w:val="none"/>
                <w:lang w:val="en-US" w:eastAsia="zh-CN"/>
              </w:rPr>
              <w:t>15</w:t>
            </w:r>
          </w:p>
        </w:tc>
        <w:tc>
          <w:tcPr>
            <w:tcW w:w="8038" w:type="dxa"/>
            <w:tcBorders>
              <w:left w:val="single" w:color="auto" w:sz="4" w:space="0"/>
            </w:tcBorders>
            <w:vAlign w:val="center"/>
          </w:tcPr>
          <w:p>
            <w:pPr>
              <w:spacing w:line="360" w:lineRule="auto"/>
              <w:rPr>
                <w:rFonts w:ascii="宋体" w:cs="宋体"/>
                <w:i/>
                <w:sz w:val="24"/>
                <w:szCs w:val="24"/>
                <w:highlight w:val="none"/>
              </w:rPr>
            </w:pPr>
            <w:r>
              <w:rPr>
                <w:rFonts w:hint="eastAsia" w:ascii="宋体" w:hAnsi="宋体" w:cs="宋体"/>
                <w:sz w:val="24"/>
                <w:szCs w:val="24"/>
                <w:highlight w:val="none"/>
              </w:rPr>
              <w:t>投标有效期：</w:t>
            </w:r>
            <w:r>
              <w:rPr>
                <w:rFonts w:ascii="宋体" w:hAnsi="宋体" w:cs="宋体"/>
                <w:sz w:val="24"/>
                <w:szCs w:val="24"/>
                <w:highlight w:val="none"/>
                <w:u w:val="single"/>
              </w:rPr>
              <w:t xml:space="preserve">  90  </w:t>
            </w:r>
            <w:r>
              <w:rPr>
                <w:rFonts w:hint="eastAsia" w:ascii="宋体" w:hAnsi="宋体" w:cs="宋体"/>
                <w:sz w:val="24"/>
                <w:szCs w:val="24"/>
                <w:highlight w:val="none"/>
              </w:rPr>
              <w:t>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2" w:hRule="atLeast"/>
        </w:trPr>
        <w:tc>
          <w:tcPr>
            <w:tcW w:w="1177" w:type="dxa"/>
            <w:tcBorders>
              <w:right w:val="single" w:color="auto" w:sz="4" w:space="0"/>
            </w:tcBorders>
            <w:vAlign w:val="center"/>
          </w:tcPr>
          <w:p>
            <w:pPr>
              <w:spacing w:line="360" w:lineRule="auto"/>
              <w:jc w:val="center"/>
              <w:rPr>
                <w:rFonts w:hint="default" w:ascii="宋体" w:eastAsia="宋体" w:cs="宋体"/>
                <w:kern w:val="0"/>
                <w:sz w:val="24"/>
                <w:szCs w:val="24"/>
                <w:highlight w:val="none"/>
                <w:lang w:val="en-US" w:eastAsia="zh-CN"/>
              </w:rPr>
            </w:pPr>
            <w:r>
              <w:rPr>
                <w:rFonts w:hint="eastAsia" w:ascii="宋体" w:hAnsi="宋体" w:cs="宋体"/>
                <w:sz w:val="24"/>
                <w:szCs w:val="24"/>
                <w:highlight w:val="none"/>
                <w:lang w:val="en-US" w:eastAsia="zh-CN"/>
              </w:rPr>
              <w:t>16</w:t>
            </w:r>
          </w:p>
        </w:tc>
        <w:tc>
          <w:tcPr>
            <w:tcW w:w="8038" w:type="dxa"/>
            <w:tcBorders>
              <w:left w:val="single" w:color="auto" w:sz="4" w:space="0"/>
            </w:tcBorders>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投标文件包括：</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 xml:space="preserve">加密的电子投标文件，在投标截止时间前通过新疆政府采购网上传；     </w:t>
            </w:r>
            <w:r>
              <w:rPr>
                <w:rFonts w:hint="eastAsia" w:ascii="宋体" w:hAnsi="宋体" w:eastAsia="宋体" w:cs="宋体"/>
                <w:color w:val="auto"/>
                <w:sz w:val="24"/>
                <w:szCs w:val="24"/>
                <w:highlight w:val="none"/>
              </w:rPr>
              <w:t xml:space="preserve"> </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注：加密的电子投标文件为使用政采云电子投标客户端制作生成的加密版投标文件。未加密的电子投标文件应与加密的电子投标文件为同时生成的版本</w:t>
            </w:r>
            <w:r>
              <w:rPr>
                <w:rFonts w:hint="eastAsia" w:ascii="宋体" w:hAnsi="宋体" w:eastAsia="宋体" w:cs="宋体"/>
                <w:color w:val="auto"/>
                <w:sz w:val="24"/>
                <w:szCs w:val="24"/>
                <w:highlight w:val="none"/>
                <w:lang w:val="en-US" w:eastAsia="zh-CN"/>
              </w:rPr>
              <w:t>并已加盖公章</w:t>
            </w:r>
            <w:r>
              <w:rPr>
                <w:rFonts w:hint="eastAsia" w:ascii="宋体" w:hAnsi="宋体" w:eastAsia="宋体" w:cs="宋体"/>
                <w:color w:val="auto"/>
                <w:sz w:val="24"/>
                <w:szCs w:val="24"/>
                <w:highlight w:val="none"/>
              </w:rPr>
              <w:t>。</w:t>
            </w:r>
          </w:p>
          <w:p>
            <w:pPr>
              <w:pStyle w:val="46"/>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备注：因投标人自身原因导致解密失败的，将导致其投标被拒绝且投标文件被退回；</w:t>
            </w:r>
            <w:r>
              <w:rPr>
                <w:rFonts w:hint="eastAsia" w:ascii="宋体" w:hAnsi="宋体" w:eastAsia="宋体" w:cs="宋体"/>
                <w:b/>
                <w:bCs/>
                <w:color w:val="auto"/>
                <w:sz w:val="24"/>
                <w:szCs w:val="24"/>
                <w:highlight w:val="none"/>
              </w:rPr>
              <w:t>但因网上招标系统故障导致所有投标人均解密失败时</w:t>
            </w:r>
            <w:r>
              <w:rPr>
                <w:rFonts w:hint="eastAsia" w:ascii="宋体" w:hAnsi="宋体" w:eastAsia="宋体" w:cs="宋体"/>
                <w:color w:val="auto"/>
                <w:sz w:val="24"/>
                <w:szCs w:val="24"/>
                <w:highlight w:val="none"/>
              </w:rPr>
              <w:t>，使用投标人未加密的电子投标文件进行开评标</w:t>
            </w:r>
            <w:r>
              <w:rPr>
                <w:rFonts w:hint="eastAsia" w:ascii="宋体" w:hAnsi="宋体" w:eastAsia="宋体" w:cs="宋体"/>
                <w:color w:val="auto"/>
                <w:sz w:val="24"/>
                <w:szCs w:val="24"/>
                <w:highlight w:val="none"/>
                <w:lang w:val="en-US" w:eastAsia="zh-CN"/>
              </w:rPr>
              <w:t>或者相应的延长项目的解密时间</w:t>
            </w:r>
            <w:r>
              <w:rPr>
                <w:rFonts w:hint="eastAsia" w:ascii="宋体" w:hAnsi="宋体" w:eastAsia="宋体" w:cs="宋体"/>
                <w:color w:val="auto"/>
                <w:sz w:val="24"/>
                <w:szCs w:val="24"/>
                <w:highlight w:val="none"/>
              </w:rPr>
              <w:t>。未发送未加密电子投标文件导致解密失败的，由投标人自行承</w:t>
            </w:r>
            <w:r>
              <w:rPr>
                <w:rFonts w:hint="eastAsia" w:ascii="宋体" w:hAnsi="宋体" w:eastAsia="宋体" w:cs="宋体"/>
                <w:color w:val="auto"/>
                <w:kern w:val="2"/>
                <w:sz w:val="24"/>
                <w:szCs w:val="24"/>
                <w:highlight w:val="none"/>
                <w:lang w:val="en-US" w:eastAsia="zh-CN" w:bidi="ar-SA"/>
              </w:rPr>
              <w:t>担责任，将被视为无效投标，默认解密时长为：30 分钟。</w:t>
            </w:r>
          </w:p>
          <w:p>
            <w:pPr>
              <w:shd w:val="clear"/>
              <w:spacing w:line="360" w:lineRule="auto"/>
              <w:rPr>
                <w:rFonts w:hint="eastAsia"/>
                <w:highlight w:val="none"/>
              </w:rPr>
            </w:pPr>
            <w:r>
              <w:rPr>
                <w:rFonts w:hint="eastAsia" w:ascii="宋体" w:hAnsi="宋体" w:eastAsia="宋体" w:cs="宋体"/>
                <w:color w:val="auto"/>
                <w:sz w:val="24"/>
                <w:szCs w:val="24"/>
                <w:highlight w:val="none"/>
                <w:lang w:val="en-US" w:eastAsia="zh-CN"/>
              </w:rPr>
              <w:t>投标文件份数：资格证明材料部分及商务、技术部分（所有部分胶装成一册）正本1份，副本1份，电子版1份（</w:t>
            </w:r>
            <w:r>
              <w:rPr>
                <w:rFonts w:hint="eastAsia" w:ascii="宋体" w:hAnsi="宋体" w:eastAsia="宋体" w:cs="宋体"/>
                <w:color w:val="auto"/>
                <w:sz w:val="24"/>
                <w:szCs w:val="24"/>
                <w:highlight w:val="none"/>
                <w:lang w:val="zh-CN" w:eastAsia="zh-CN"/>
              </w:rPr>
              <w:t>存储介质：U盘，单独密封,请将加盖公章正本扫描件PDF模式上传</w:t>
            </w:r>
            <w:r>
              <w:rPr>
                <w:rFonts w:hint="eastAsia" w:ascii="宋体" w:hAnsi="宋体" w:eastAsia="宋体" w:cs="宋体"/>
                <w:color w:val="auto"/>
                <w:sz w:val="24"/>
                <w:szCs w:val="24"/>
                <w:highlight w:val="none"/>
                <w:lang w:val="en-US" w:eastAsia="zh-CN"/>
              </w:rPr>
              <w:t>）。</w:t>
            </w:r>
          </w:p>
          <w:p>
            <w:pPr>
              <w:spacing w:line="360" w:lineRule="auto"/>
              <w:rPr>
                <w:rFonts w:ascii="宋体" w:cs="宋体"/>
                <w:sz w:val="24"/>
                <w:szCs w:val="24"/>
                <w:highlight w:val="none"/>
              </w:rPr>
            </w:pPr>
            <w:r>
              <w:rPr>
                <w:rFonts w:hint="eastAsia" w:ascii="宋体" w:hAnsi="宋体" w:eastAsia="宋体" w:cs="宋体"/>
                <w:b/>
                <w:bCs/>
                <w:color w:val="auto"/>
                <w:sz w:val="24"/>
                <w:szCs w:val="24"/>
                <w:highlight w:val="none"/>
                <w:lang w:val="en-US" w:eastAsia="zh-CN"/>
              </w:rPr>
              <w:t>仅成交人于开标后的三个日历日内</w:t>
            </w:r>
            <w:r>
              <w:rPr>
                <w:rFonts w:hint="eastAsia" w:ascii="宋体" w:hAnsi="宋体" w:eastAsia="宋体" w:cs="宋体"/>
                <w:b w:val="0"/>
                <w:bCs w:val="0"/>
                <w:color w:val="auto"/>
                <w:sz w:val="24"/>
                <w:szCs w:val="24"/>
                <w:highlight w:val="none"/>
                <w:lang w:val="en-US" w:eastAsia="zh-CN"/>
              </w:rPr>
              <w:t>送</w:t>
            </w:r>
            <w:r>
              <w:rPr>
                <w:rFonts w:hint="eastAsia" w:ascii="宋体" w:hAnsi="宋体" w:eastAsia="宋体" w:cs="宋体"/>
                <w:color w:val="auto"/>
                <w:sz w:val="24"/>
                <w:szCs w:val="24"/>
                <w:highlight w:val="none"/>
                <w:lang w:val="en-US" w:eastAsia="zh-CN"/>
              </w:rPr>
              <w:t>至新疆乌鲁木齐高新区（新市区)四平路2288号创新广场(二期)G座20层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投标文件的正本建议采用双面打印，副本可采用正本的复印件（建议双面复印）。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1177" w:type="dxa"/>
            <w:tcBorders>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8038" w:type="dxa"/>
            <w:tcBorders>
              <w:left w:val="single" w:color="auto" w:sz="4" w:space="0"/>
            </w:tcBorders>
            <w:vAlign w:val="center"/>
          </w:tcPr>
          <w:p>
            <w:pPr>
              <w:pStyle w:val="42"/>
              <w:spacing w:before="0" w:beforeAutospacing="0" w:after="0" w:afterAutospacing="0" w:line="360" w:lineRule="auto"/>
              <w:rPr>
                <w:rFonts w:cs="宋体"/>
                <w:kern w:val="2"/>
                <w:highlight w:val="none"/>
              </w:rPr>
            </w:pPr>
            <w:r>
              <w:rPr>
                <w:rFonts w:hint="eastAsia" w:cs="宋体"/>
                <w:kern w:val="2"/>
                <w:highlight w:val="none"/>
              </w:rPr>
              <w:t>投标截止时间：202</w:t>
            </w:r>
            <w:r>
              <w:rPr>
                <w:rFonts w:hint="eastAsia" w:cs="宋体"/>
                <w:kern w:val="2"/>
                <w:highlight w:val="none"/>
                <w:lang w:val="en-US" w:eastAsia="zh-CN"/>
              </w:rPr>
              <w:t>3</w:t>
            </w:r>
            <w:r>
              <w:rPr>
                <w:rFonts w:hint="eastAsia" w:cs="宋体"/>
                <w:kern w:val="2"/>
                <w:highlight w:val="none"/>
              </w:rPr>
              <w:t>年</w:t>
            </w:r>
            <w:r>
              <w:rPr>
                <w:rFonts w:hint="eastAsia" w:cs="宋体"/>
                <w:kern w:val="2"/>
                <w:highlight w:val="none"/>
                <w:lang w:val="en-US" w:eastAsia="zh-CN"/>
              </w:rPr>
              <w:t>08</w:t>
            </w:r>
            <w:r>
              <w:rPr>
                <w:rFonts w:hint="eastAsia" w:cs="宋体"/>
                <w:kern w:val="2"/>
                <w:highlight w:val="none"/>
              </w:rPr>
              <w:t>月</w:t>
            </w:r>
            <w:r>
              <w:rPr>
                <w:rFonts w:hint="eastAsia" w:cs="宋体"/>
                <w:kern w:val="2"/>
                <w:highlight w:val="none"/>
                <w:lang w:val="en-US" w:eastAsia="zh-CN"/>
              </w:rPr>
              <w:t>01</w:t>
            </w:r>
            <w:r>
              <w:rPr>
                <w:rFonts w:hint="eastAsia" w:cs="宋体"/>
                <w:kern w:val="2"/>
                <w:highlight w:val="none"/>
              </w:rPr>
              <w:t>日1</w:t>
            </w:r>
            <w:r>
              <w:rPr>
                <w:rFonts w:hint="eastAsia" w:cs="宋体"/>
                <w:kern w:val="2"/>
                <w:highlight w:val="none"/>
                <w:lang w:val="en-US" w:eastAsia="zh-CN"/>
              </w:rPr>
              <w:t>6</w:t>
            </w:r>
            <w:r>
              <w:rPr>
                <w:rFonts w:hint="eastAsia" w:cs="宋体"/>
                <w:kern w:val="2"/>
                <w:highlight w:val="none"/>
              </w:rPr>
              <w:t>点</w:t>
            </w:r>
            <w:r>
              <w:rPr>
                <w:rFonts w:hint="eastAsia" w:cs="宋体"/>
                <w:kern w:val="2"/>
                <w:highlight w:val="none"/>
                <w:lang w:val="en-US" w:eastAsia="zh-CN"/>
              </w:rPr>
              <w:t>0</w:t>
            </w:r>
            <w:r>
              <w:rPr>
                <w:rFonts w:hint="eastAsia" w:cs="宋体"/>
                <w:kern w:val="2"/>
                <w:highlight w:val="none"/>
              </w:rPr>
              <w:t>0分（北京时间）</w:t>
            </w:r>
          </w:p>
          <w:p>
            <w:pPr>
              <w:pStyle w:val="42"/>
              <w:spacing w:before="0" w:beforeAutospacing="0" w:after="0" w:afterAutospacing="0" w:line="360" w:lineRule="auto"/>
              <w:rPr>
                <w:rFonts w:cs="宋体"/>
                <w:kern w:val="2"/>
                <w:highlight w:val="none"/>
              </w:rPr>
            </w:pPr>
            <w:r>
              <w:rPr>
                <w:rFonts w:hint="eastAsia" w:cs="宋体"/>
                <w:kern w:val="2"/>
                <w:highlight w:val="none"/>
              </w:rPr>
              <w:t>投标文件递交地点：新疆政府采购云平台（https://www.zcygov.cn/）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1" w:hRule="atLeast"/>
        </w:trPr>
        <w:tc>
          <w:tcPr>
            <w:tcW w:w="1177" w:type="dxa"/>
            <w:tcBorders>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8038" w:type="dxa"/>
            <w:tcBorders>
              <w:left w:val="single" w:color="auto" w:sz="4" w:space="0"/>
            </w:tcBorders>
            <w:vAlign w:val="center"/>
          </w:tcPr>
          <w:p>
            <w:pPr>
              <w:tabs>
                <w:tab w:val="left" w:pos="720"/>
              </w:tabs>
              <w:spacing w:line="360" w:lineRule="auto"/>
              <w:rPr>
                <w:rFonts w:ascii="宋体" w:cs="宋体"/>
                <w:kern w:val="0"/>
                <w:sz w:val="24"/>
                <w:szCs w:val="24"/>
                <w:highlight w:val="none"/>
              </w:rPr>
            </w:pPr>
            <w:r>
              <w:rPr>
                <w:rFonts w:hint="eastAsia" w:ascii="宋体" w:hAnsi="宋体" w:cs="宋体"/>
                <w:kern w:val="0"/>
                <w:sz w:val="24"/>
                <w:szCs w:val="24"/>
                <w:highlight w:val="none"/>
              </w:rPr>
              <w:t>开标时间：2023年0</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 xml:space="preserve">月 </w:t>
            </w:r>
            <w:r>
              <w:rPr>
                <w:rFonts w:hint="eastAsia" w:ascii="宋体" w:hAnsi="宋体" w:cs="宋体"/>
                <w:kern w:val="0"/>
                <w:sz w:val="24"/>
                <w:szCs w:val="24"/>
                <w:highlight w:val="none"/>
                <w:lang w:val="en-US" w:eastAsia="zh-CN"/>
              </w:rPr>
              <w:t>01</w:t>
            </w:r>
            <w:r>
              <w:rPr>
                <w:rFonts w:hint="eastAsia" w:ascii="宋体" w:hAnsi="宋体" w:cs="宋体"/>
                <w:kern w:val="0"/>
                <w:sz w:val="24"/>
                <w:szCs w:val="24"/>
                <w:highlight w:val="none"/>
              </w:rPr>
              <w:t>日16点00分（北京时间）</w:t>
            </w:r>
          </w:p>
          <w:p>
            <w:pPr>
              <w:spacing w:line="360" w:lineRule="auto"/>
              <w:rPr>
                <w:rFonts w:ascii="宋体" w:cs="宋体"/>
                <w:kern w:val="0"/>
                <w:sz w:val="24"/>
                <w:szCs w:val="24"/>
                <w:highlight w:val="none"/>
              </w:rPr>
            </w:pPr>
            <w:r>
              <w:rPr>
                <w:rFonts w:hint="eastAsia" w:ascii="宋体" w:hAnsi="宋体" w:cs="宋体"/>
                <w:kern w:val="0"/>
                <w:sz w:val="24"/>
                <w:szCs w:val="24"/>
                <w:highlight w:val="none"/>
              </w:rPr>
              <w:t>开标地点：新疆政府采购云平台（https://www.zcygov.cn/）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本项目评标委员会负责确定中标候选人名单（三名），由采购人根据相关法律法规确定中标人。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本项目评标委员会人数为</w:t>
            </w:r>
            <w:r>
              <w:rPr>
                <w:rFonts w:hint="eastAsia" w:ascii="宋体" w:hAnsi="宋体" w:cs="宋体"/>
                <w:sz w:val="24"/>
                <w:szCs w:val="24"/>
                <w:highlight w:val="none"/>
                <w:u w:val="single"/>
                <w:lang w:val="en-US" w:eastAsia="zh-CN"/>
              </w:rPr>
              <w:t>5</w:t>
            </w:r>
            <w:r>
              <w:rPr>
                <w:rFonts w:ascii="宋体" w:hAnsi="宋体" w:cs="宋体"/>
                <w:sz w:val="24"/>
                <w:szCs w:val="24"/>
                <w:highlight w:val="none"/>
              </w:rPr>
              <w:t>人及以上单数组成</w:t>
            </w:r>
            <w:r>
              <w:rPr>
                <w:rFonts w:hint="eastAsia" w:ascii="宋体" w:hAnsi="宋体" w:cs="宋体"/>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1177" w:type="dxa"/>
            <w:tcBorders>
              <w:right w:val="single" w:color="auto" w:sz="4" w:space="0"/>
            </w:tcBorders>
            <w:vAlign w:val="center"/>
          </w:tcPr>
          <w:p>
            <w:pPr>
              <w:spacing w:line="360" w:lineRule="auto"/>
              <w:jc w:val="center"/>
              <w:rPr>
                <w:rFonts w:hint="default" w:asci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8038" w:type="dxa"/>
            <w:tcBorders>
              <w:left w:val="single" w:color="auto" w:sz="4" w:space="0"/>
            </w:tcBorders>
            <w:vAlign w:val="center"/>
          </w:tcPr>
          <w:p>
            <w:pPr>
              <w:spacing w:line="360" w:lineRule="auto"/>
              <w:rPr>
                <w:rFonts w:ascii="宋体" w:cs="宋体"/>
                <w:sz w:val="24"/>
                <w:szCs w:val="24"/>
                <w:highlight w:val="none"/>
              </w:rPr>
            </w:pPr>
            <w:r>
              <w:rPr>
                <w:rFonts w:hint="eastAsia" w:ascii="宋体" w:hAnsi="宋体" w:cs="宋体"/>
                <w:sz w:val="24"/>
                <w:szCs w:val="24"/>
                <w:highlight w:val="none"/>
              </w:rPr>
              <w:t>评标方法：综合评分法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6" w:hRule="atLeast"/>
        </w:trPr>
        <w:tc>
          <w:tcPr>
            <w:tcW w:w="9215" w:type="dxa"/>
            <w:gridSpan w:val="2"/>
            <w:vAlign w:val="center"/>
          </w:tcPr>
          <w:p>
            <w:pPr>
              <w:spacing w:line="360" w:lineRule="auto"/>
              <w:jc w:val="center"/>
              <w:rPr>
                <w:rFonts w:ascii="宋体" w:cs="宋体"/>
                <w:b/>
                <w:sz w:val="24"/>
                <w:szCs w:val="24"/>
                <w:highlight w:val="none"/>
              </w:rPr>
            </w:pPr>
            <w:r>
              <w:rPr>
                <w:rFonts w:hint="eastAsia" w:ascii="宋体" w:hAnsi="宋体" w:cs="宋体"/>
                <w:b/>
                <w:sz w:val="24"/>
                <w:szCs w:val="24"/>
                <w:highlight w:val="none"/>
              </w:rPr>
              <w:t>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615" w:hRule="atLeast"/>
        </w:trPr>
        <w:tc>
          <w:tcPr>
            <w:tcW w:w="9215" w:type="dxa"/>
            <w:gridSpan w:val="2"/>
            <w:tcBorders>
              <w:bottom w:val="single" w:color="auto" w:sz="12" w:space="0"/>
            </w:tcBorders>
            <w:vAlign w:val="center"/>
          </w:tcPr>
          <w:p>
            <w:pPr>
              <w:spacing w:line="360" w:lineRule="auto"/>
              <w:rPr>
                <w:rFonts w:hint="eastAsia"/>
              </w:rPr>
            </w:pPr>
            <w:r>
              <w:rPr>
                <w:rFonts w:hint="eastAsia"/>
              </w:rPr>
              <w:t>1.招标文件中要求提供的资格证明材料等，均为企业法人提供，投标人如为事业单位法人、其他组织或者自然人，可提供符合要求的相对应的证明文件。</w:t>
            </w:r>
          </w:p>
          <w:p>
            <w:pPr>
              <w:spacing w:line="360" w:lineRule="auto"/>
              <w:rPr>
                <w:rFonts w:hint="eastAsia"/>
              </w:rPr>
            </w:pPr>
            <w:r>
              <w:rPr>
                <w:rFonts w:hint="eastAsia"/>
              </w:rPr>
              <w:t>2.招标文件中要求加盖单位公章的，投标人如为自然人，自然人本人签字即可。</w:t>
            </w:r>
          </w:p>
          <w:p>
            <w:pPr>
              <w:spacing w:line="360" w:lineRule="auto"/>
              <w:rPr>
                <w:rFonts w:hint="eastAsia"/>
              </w:rPr>
            </w:pPr>
            <w:r>
              <w:rPr>
                <w:rFonts w:hint="eastAsia"/>
              </w:rPr>
              <w:t>3.采购人不接受投标人给予的赠品、回扣或者与采购无关的其他商品、服务。</w:t>
            </w:r>
          </w:p>
          <w:p>
            <w:pPr>
              <w:spacing w:line="360" w:lineRule="auto"/>
              <w:rPr>
                <w:rFonts w:hint="eastAsia"/>
                <w:lang w:val="en-US" w:eastAsia="zh-CN"/>
              </w:rPr>
            </w:pPr>
            <w:r>
              <w:rPr>
                <w:rFonts w:hint="eastAsia"/>
                <w:lang w:val="en-US" w:eastAsia="zh-CN"/>
              </w:rPr>
              <w:t>4</w:t>
            </w:r>
            <w:r>
              <w:rPr>
                <w:rFonts w:hint="eastAsia"/>
              </w:rPr>
              <w:t>.本项目所属行</w:t>
            </w:r>
            <w:r>
              <w:rPr>
                <w:rFonts w:hint="eastAsia"/>
                <w:lang w:val="en-US" w:eastAsia="zh-CN"/>
              </w:rPr>
              <w:t>业：其他未列明行业。</w:t>
            </w:r>
          </w:p>
          <w:p>
            <w:pPr>
              <w:spacing w:line="360" w:lineRule="auto"/>
              <w:rPr>
                <w:rFonts w:hint="eastAsia"/>
                <w:lang w:val="en-US" w:eastAsia="zh-CN"/>
              </w:rPr>
            </w:pPr>
            <w:r>
              <w:rPr>
                <w:rFonts w:hint="eastAsia"/>
                <w:lang w:val="en-US" w:eastAsia="zh-CN"/>
              </w:rPr>
              <w:t>5.投标文件在线解密时长为30分钟，因投标人自身原因未在规定时间内解密投标文件导致废标的，由投标人自行承担后果。</w:t>
            </w:r>
          </w:p>
          <w:p>
            <w:pPr>
              <w:spacing w:line="360" w:lineRule="auto"/>
              <w:rPr>
                <w:rFonts w:hint="eastAsia"/>
                <w:lang w:val="en-US" w:eastAsia="zh-CN"/>
              </w:rPr>
            </w:pPr>
            <w:r>
              <w:rPr>
                <w:rFonts w:hint="eastAsia"/>
                <w:lang w:val="en-US" w:eastAsia="zh-CN"/>
              </w:rPr>
              <w:t>6.是否为专门面向中小企业采购： 是 （是、否）</w:t>
            </w:r>
          </w:p>
          <w:p>
            <w:pPr>
              <w:spacing w:line="360" w:lineRule="auto"/>
              <w:rPr>
                <w:rFonts w:hint="eastAsia" w:eastAsia="宋体"/>
                <w:lang w:val="en-US" w:eastAsia="zh-CN"/>
              </w:rPr>
            </w:pPr>
            <w:r>
              <w:rPr>
                <w:rFonts w:hint="eastAsia"/>
                <w:lang w:val="en-US" w:eastAsia="zh-CN"/>
              </w:rPr>
              <w:t>潜在投标企业属于中小微</w:t>
            </w:r>
            <w:r>
              <w:rPr>
                <w:rFonts w:hint="eastAsia" w:eastAsia="宋体"/>
                <w:lang w:val="en-US" w:eastAsia="zh-CN"/>
              </w:rPr>
              <w:t>企业的，请在投标文件中提供“中小企业声明函”，如果未提供或提供虚假的“中小企业声明函”，投标企业将承担由此造成的一切不利后果。</w:t>
            </w:r>
          </w:p>
          <w:p>
            <w:pPr>
              <w:spacing w:line="360" w:lineRule="auto"/>
              <w:rPr>
                <w:rFonts w:hint="eastAsia" w:eastAsia="宋体"/>
                <w:lang w:val="en-US" w:eastAsia="zh-CN"/>
              </w:rPr>
            </w:pPr>
            <w:r>
              <w:rPr>
                <w:rFonts w:hint="eastAsia" w:eastAsia="宋体"/>
                <w:lang w:val="en-US" w:eastAsia="zh-CN"/>
              </w:rPr>
              <w:t>由于本项目为专门面向中小企业采购的项目，不再执行“价格评审优惠”的扶持政策。</w:t>
            </w:r>
          </w:p>
          <w:p>
            <w:pPr>
              <w:spacing w:line="360" w:lineRule="auto"/>
              <w:rPr>
                <w:rFonts w:hint="default"/>
                <w:lang w:val="en-US" w:eastAsia="zh-CN"/>
              </w:rPr>
            </w:pPr>
            <w:r>
              <w:rPr>
                <w:rFonts w:hint="eastAsia" w:eastAsia="宋体"/>
                <w:lang w:val="en-US" w:eastAsia="zh-CN"/>
              </w:rPr>
              <w:t>7.各投标单位可以兼投不能兼中，以分包（标项）顺序进行评审。第一标项的中标人若参与第二标项则其不进入报价计算,依此类推。</w:t>
            </w:r>
          </w:p>
        </w:tc>
      </w:tr>
    </w:tbl>
    <w:p>
      <w:pPr>
        <w:rPr>
          <w:rFonts w:ascii="宋体" w:cs="宋体"/>
          <w:w w:val="90"/>
          <w:highlight w:val="none"/>
        </w:rPr>
        <w:sectPr>
          <w:pgSz w:w="11906" w:h="16838"/>
          <w:pgMar w:top="1440" w:right="1800" w:bottom="1440" w:left="1800" w:header="850" w:footer="992" w:gutter="0"/>
          <w:cols w:space="720" w:num="1"/>
          <w:titlePg/>
          <w:rtlGutter w:val="1"/>
          <w:docGrid w:type="lines" w:linePitch="312" w:charSpace="0"/>
        </w:sectPr>
      </w:pPr>
    </w:p>
    <w:p>
      <w:pPr>
        <w:pStyle w:val="3"/>
        <w:spacing w:line="360" w:lineRule="auto"/>
        <w:jc w:val="center"/>
        <w:rPr>
          <w:rFonts w:ascii="宋体" w:cs="宋体"/>
          <w:w w:val="90"/>
          <w:highlight w:val="none"/>
        </w:rPr>
      </w:pPr>
      <w:bookmarkStart w:id="37" w:name="_Toc2511968"/>
      <w:bookmarkStart w:id="38" w:name="_Toc14776835"/>
      <w:bookmarkStart w:id="39" w:name="_Toc44705050"/>
      <w:bookmarkStart w:id="40" w:name="_Toc44704903"/>
      <w:bookmarkStart w:id="41" w:name="_Toc44705271"/>
      <w:r>
        <w:rPr>
          <w:rFonts w:hint="eastAsia" w:ascii="宋体" w:hAnsi="宋体" w:cs="宋体"/>
          <w:w w:val="90"/>
          <w:highlight w:val="none"/>
        </w:rPr>
        <w:t>第三章</w:t>
      </w:r>
      <w:r>
        <w:rPr>
          <w:rFonts w:ascii="宋体" w:hAnsi="宋体" w:cs="宋体"/>
          <w:w w:val="90"/>
          <w:highlight w:val="none"/>
        </w:rPr>
        <w:t xml:space="preserve"> </w:t>
      </w:r>
      <w:r>
        <w:rPr>
          <w:rFonts w:hint="eastAsia" w:ascii="宋体" w:hAnsi="宋体" w:cs="宋体"/>
          <w:w w:val="90"/>
          <w:highlight w:val="none"/>
        </w:rPr>
        <w:t>投标人须知</w:t>
      </w:r>
      <w:bookmarkEnd w:id="37"/>
      <w:bookmarkEnd w:id="38"/>
      <w:bookmarkEnd w:id="39"/>
      <w:bookmarkEnd w:id="40"/>
      <w:bookmarkEnd w:id="41"/>
    </w:p>
    <w:p>
      <w:pPr>
        <w:spacing w:line="360" w:lineRule="auto"/>
        <w:rPr>
          <w:rFonts w:ascii="宋体" w:cs="宋体"/>
          <w:b/>
          <w:sz w:val="24"/>
          <w:szCs w:val="24"/>
          <w:highlight w:val="none"/>
        </w:rPr>
      </w:pPr>
      <w:r>
        <w:rPr>
          <w:rFonts w:hint="eastAsia" w:ascii="宋体" w:hAnsi="宋体" w:cs="宋体"/>
          <w:b/>
          <w:sz w:val="24"/>
          <w:szCs w:val="24"/>
          <w:highlight w:val="none"/>
        </w:rPr>
        <w:t>一、说明</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w:t>
      </w:r>
      <w:r>
        <w:rPr>
          <w:rFonts w:hint="eastAsia" w:ascii="宋体" w:hAnsi="宋体" w:cs="宋体"/>
          <w:b/>
          <w:sz w:val="24"/>
          <w:szCs w:val="24"/>
          <w:highlight w:val="none"/>
        </w:rPr>
        <w:t>项目说明</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w:t>
      </w:r>
      <w:r>
        <w:rPr>
          <w:rFonts w:hint="eastAsia" w:ascii="宋体" w:hAnsi="宋体" w:cs="宋体"/>
          <w:sz w:val="24"/>
          <w:szCs w:val="24"/>
          <w:highlight w:val="none"/>
        </w:rPr>
        <w:t>项目名称及编号：详见投标人须知前附表。</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1.2</w:t>
      </w:r>
      <w:r>
        <w:rPr>
          <w:rFonts w:hint="eastAsia" w:ascii="宋体" w:hAnsi="宋体" w:cs="宋体"/>
          <w:sz w:val="24"/>
          <w:szCs w:val="24"/>
          <w:highlight w:val="none"/>
        </w:rPr>
        <w:t>资金来源：详见投标人须知前附表。采购人已获得足以支付本次采购后所签订的合同项下的款项（包括财政性资金和自筹资金）。</w:t>
      </w:r>
    </w:p>
    <w:p>
      <w:pPr>
        <w:spacing w:line="360" w:lineRule="auto"/>
        <w:ind w:firstLine="480" w:firstLineChars="200"/>
        <w:rPr>
          <w:highlight w:val="none"/>
        </w:rPr>
      </w:pPr>
      <w:r>
        <w:rPr>
          <w:rFonts w:hint="eastAsia" w:ascii="宋体" w:hAnsi="宋体" w:cs="宋体"/>
          <w:sz w:val="24"/>
          <w:szCs w:val="24"/>
          <w:highlight w:val="none"/>
          <w:lang w:val="en-US" w:eastAsia="zh-CN"/>
        </w:rPr>
        <w:t>1.3</w:t>
      </w:r>
      <w:r>
        <w:rPr>
          <w:rFonts w:hint="eastAsia" w:ascii="宋体" w:hAnsi="宋体" w:cs="宋体"/>
          <w:sz w:val="24"/>
          <w:szCs w:val="24"/>
          <w:highlight w:val="none"/>
        </w:rPr>
        <w:t>合同履行期限：详见投标人须知前附表。</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采购人、采购代理机构、投标人、合格投标人</w:t>
      </w:r>
    </w:p>
    <w:p>
      <w:pPr>
        <w:spacing w:line="360" w:lineRule="auto"/>
        <w:ind w:firstLine="480" w:firstLineChars="200"/>
        <w:rPr>
          <w:rFonts w:ascii="宋体" w:cs="宋体"/>
          <w:sz w:val="24"/>
          <w:szCs w:val="24"/>
          <w:highlight w:val="none"/>
          <w:u w:val="single"/>
        </w:rPr>
      </w:pPr>
      <w:r>
        <w:rPr>
          <w:rFonts w:ascii="宋体" w:hAnsi="宋体" w:cs="宋体"/>
          <w:sz w:val="24"/>
          <w:szCs w:val="24"/>
          <w:highlight w:val="none"/>
        </w:rPr>
        <w:t xml:space="preserve">2.1 </w:t>
      </w:r>
      <w:r>
        <w:rPr>
          <w:rFonts w:hint="eastAsia" w:ascii="宋体" w:hAnsi="宋体" w:cs="宋体"/>
          <w:sz w:val="24"/>
          <w:szCs w:val="24"/>
          <w:highlight w:val="none"/>
        </w:rPr>
        <w:t>采购人：详见投标人须知前附表。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2.2</w:t>
      </w:r>
      <w:r>
        <w:rPr>
          <w:rFonts w:hint="eastAsia" w:ascii="宋体" w:hAnsi="宋体" w:cs="宋体"/>
          <w:sz w:val="24"/>
          <w:szCs w:val="24"/>
          <w:highlight w:val="none"/>
        </w:rPr>
        <w:t>采购代理机构：详见投标人须知前附表。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 </w:t>
      </w:r>
      <w:r>
        <w:rPr>
          <w:rFonts w:hint="eastAsia" w:ascii="宋体" w:hAnsi="宋体" w:cs="宋体"/>
          <w:sz w:val="24"/>
          <w:szCs w:val="24"/>
          <w:highlight w:val="none"/>
        </w:rPr>
        <w:t>投标人</w:t>
      </w:r>
    </w:p>
    <w:p>
      <w:pPr>
        <w:numPr>
          <w:ilvl w:val="1"/>
          <w:numId w:val="6"/>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投标人必须向采购代理机构领取招标文件，未向采购代理机构领取招标文件的潜在投标人均无资格参加投标。</w:t>
      </w:r>
    </w:p>
    <w:p>
      <w:pPr>
        <w:spacing w:line="360" w:lineRule="auto"/>
        <w:ind w:left="480"/>
        <w:rPr>
          <w:rFonts w:ascii="宋体" w:cs="宋体"/>
          <w:sz w:val="24"/>
          <w:szCs w:val="24"/>
          <w:highlight w:val="none"/>
        </w:rPr>
      </w:pPr>
      <w:r>
        <w:rPr>
          <w:rFonts w:ascii="宋体" w:hAnsi="宋体" w:cs="宋体"/>
          <w:sz w:val="24"/>
          <w:szCs w:val="24"/>
          <w:highlight w:val="none"/>
        </w:rPr>
        <w:t>2.4</w:t>
      </w:r>
      <w:r>
        <w:rPr>
          <w:rFonts w:hint="eastAsia" w:ascii="宋体" w:hAnsi="宋体" w:cs="宋体"/>
          <w:sz w:val="24"/>
          <w:szCs w:val="24"/>
          <w:highlight w:val="none"/>
        </w:rPr>
        <w:t>合格投标人</w:t>
      </w:r>
    </w:p>
    <w:p>
      <w:pPr>
        <w:numPr>
          <w:ilvl w:val="0"/>
          <w:numId w:val="7"/>
        </w:numPr>
        <w:spacing w:line="360" w:lineRule="auto"/>
        <w:rPr>
          <w:rFonts w:ascii="宋体" w:cs="宋体"/>
          <w:sz w:val="24"/>
          <w:szCs w:val="24"/>
          <w:highlight w:val="none"/>
        </w:rPr>
      </w:pPr>
      <w:r>
        <w:rPr>
          <w:rFonts w:hint="eastAsia" w:ascii="宋体" w:hAnsi="宋体" w:cs="宋体"/>
          <w:sz w:val="24"/>
          <w:szCs w:val="24"/>
          <w:highlight w:val="none"/>
        </w:rPr>
        <w:t>合格投标人是指依法通过资格审查的投标人。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w:t>
      </w:r>
      <w:r>
        <w:rPr>
          <w:rFonts w:hint="eastAsia" w:ascii="宋体" w:hAnsi="宋体" w:cs="宋体"/>
          <w:sz w:val="24"/>
          <w:szCs w:val="24"/>
          <w:highlight w:val="none"/>
        </w:rPr>
        <w:t>联合体投标（不适用）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2.5.1</w:t>
      </w:r>
      <w:r>
        <w:rPr>
          <w:rFonts w:hint="eastAsia" w:ascii="宋体" w:hAnsi="宋体" w:cs="宋体"/>
          <w:sz w:val="24"/>
          <w:szCs w:val="24"/>
          <w:highlight w:val="none"/>
        </w:rPr>
        <w:t>两个以上的自然人、法人或者其他组织可以组成一个联合体，以一个投标人的身份共同参加政府采购。</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2.5.2</w:t>
      </w:r>
      <w:r>
        <w:rPr>
          <w:rFonts w:hint="eastAsia" w:ascii="宋体" w:hAnsi="宋体" w:cs="宋体"/>
          <w:sz w:val="24"/>
          <w:szCs w:val="24"/>
          <w:highlight w:val="none"/>
        </w:rPr>
        <w:t>以联合体形式进行政府采购的，参加联合体的投标人均应当具备《中华人民共和国政府采购法》第二十二条规定的条件。采购人根据采购项目的特殊要求，规定投标人的特定条件，联合体各方中至少应当有一方符合采购人规定的特定条件。并应当向采购人提交联合协议，载明联合体各方承担的工作和义务。联合体投标协议应该在投标文件中提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2.5.3</w:t>
      </w:r>
      <w:r>
        <w:rPr>
          <w:rFonts w:hint="eastAsia" w:ascii="宋体" w:hAnsi="宋体" w:cs="宋体"/>
          <w:sz w:val="24"/>
          <w:szCs w:val="24"/>
          <w:highlight w:val="none"/>
        </w:rPr>
        <w:t>联合体中有同类资质的投标人按照联合体分工承担相同工作的，按照资质等级较低的投标人确定资质等级。</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2.5.4</w:t>
      </w:r>
      <w:r>
        <w:rPr>
          <w:rFonts w:hint="eastAsia" w:ascii="宋体" w:hAnsi="宋体" w:cs="宋体"/>
          <w:sz w:val="24"/>
          <w:szCs w:val="24"/>
          <w:highlight w:val="none"/>
        </w:rPr>
        <w:t>以联合体形式参加政府采购活动的，联合体各方不得再单独参加或者与其他投标人另外组成联合体参加同一合同项下的政府采购活动。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2.5.5</w:t>
      </w:r>
      <w:r>
        <w:rPr>
          <w:rFonts w:hint="eastAsia" w:ascii="宋体" w:hAnsi="宋体" w:cs="宋体"/>
          <w:sz w:val="24"/>
          <w:szCs w:val="24"/>
          <w:highlight w:val="none"/>
        </w:rPr>
        <w:t>联合体各方应当共同与采购人签订采购合同，就采购合同约定的事项对采购人承担连带责任。</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3.</w:t>
      </w:r>
      <w:r>
        <w:rPr>
          <w:rFonts w:hint="eastAsia" w:ascii="宋体" w:hAnsi="宋体" w:cs="宋体"/>
          <w:b/>
          <w:sz w:val="24"/>
          <w:szCs w:val="24"/>
          <w:highlight w:val="none"/>
        </w:rPr>
        <w:t>合格的货物和服务</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3.1</w:t>
      </w:r>
      <w:r>
        <w:rPr>
          <w:rFonts w:hint="eastAsia" w:ascii="宋体" w:hAnsi="宋体" w:cs="宋体"/>
          <w:sz w:val="24"/>
          <w:szCs w:val="24"/>
          <w:highlight w:val="none"/>
        </w:rPr>
        <w:t>合同中提供的所有货物及其有关服务，均应来自上述</w:t>
      </w:r>
      <w:r>
        <w:rPr>
          <w:rFonts w:ascii="宋体" w:hAnsi="宋体" w:cs="宋体"/>
          <w:sz w:val="24"/>
          <w:szCs w:val="24"/>
          <w:highlight w:val="none"/>
        </w:rPr>
        <w:t>2.4</w:t>
      </w:r>
      <w:r>
        <w:rPr>
          <w:rFonts w:hint="eastAsia" w:ascii="宋体" w:hAnsi="宋体" w:cs="宋体"/>
          <w:sz w:val="24"/>
          <w:szCs w:val="24"/>
          <w:highlight w:val="none"/>
        </w:rPr>
        <w:t>条款所规定的合格投标人。</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3.2</w:t>
      </w:r>
      <w:r>
        <w:rPr>
          <w:rFonts w:hint="eastAsia" w:ascii="宋体" w:hAnsi="宋体" w:cs="宋体"/>
          <w:sz w:val="24"/>
          <w:szCs w:val="24"/>
          <w:highlight w:val="none"/>
        </w:rPr>
        <w:t>货物是指投标人按招标文件规定，须向采购人提供的符合招标文件要求的相关的货物。</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3.3</w:t>
      </w:r>
      <w:r>
        <w:rPr>
          <w:rFonts w:hint="eastAsia" w:ascii="宋体" w:hAnsi="宋体" w:cs="宋体"/>
          <w:sz w:val="24"/>
          <w:szCs w:val="24"/>
          <w:highlight w:val="none"/>
        </w:rPr>
        <w:t>服务是指招标文件规定的投标人须承担的与投标货物有关的辅助服务</w:t>
      </w:r>
      <w:r>
        <w:rPr>
          <w:rFonts w:ascii="宋体" w:cs="宋体"/>
          <w:sz w:val="24"/>
          <w:szCs w:val="24"/>
          <w:highlight w:val="none"/>
        </w:rPr>
        <w:t>,</w:t>
      </w:r>
      <w:r>
        <w:rPr>
          <w:rFonts w:hint="eastAsia" w:ascii="宋体" w:hAnsi="宋体" w:cs="宋体"/>
          <w:sz w:val="24"/>
          <w:szCs w:val="24"/>
          <w:highlight w:val="none"/>
        </w:rPr>
        <w:t>如运输、保险、安装、调试、技术培训、售后服务等以及其他类似的义务。</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4.</w:t>
      </w:r>
      <w:r>
        <w:rPr>
          <w:rFonts w:hint="eastAsia" w:ascii="宋体" w:hAnsi="宋体" w:cs="宋体"/>
          <w:b/>
          <w:sz w:val="24"/>
          <w:szCs w:val="24"/>
          <w:highlight w:val="none"/>
        </w:rPr>
        <w:t>投标费用</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4.1 </w:t>
      </w:r>
      <w:r>
        <w:rPr>
          <w:rFonts w:hint="eastAsia" w:ascii="宋体" w:hAnsi="宋体" w:cs="宋体"/>
          <w:sz w:val="24"/>
          <w:szCs w:val="24"/>
          <w:highlight w:val="none"/>
        </w:rPr>
        <w:t>投标人应承担所有与准备和参加投标有关的费用。不论投标的结果如何，采购人或采购代理机构均无义务和责任承担这些费用。</w:t>
      </w:r>
    </w:p>
    <w:p>
      <w:pPr>
        <w:spacing w:line="360" w:lineRule="auto"/>
        <w:ind w:firstLine="480" w:firstLineChars="200"/>
        <w:rPr>
          <w:rFonts w:ascii="宋体" w:hAnsi="宋体" w:cs="宋体"/>
          <w:sz w:val="24"/>
          <w:szCs w:val="24"/>
          <w:highlight w:val="none"/>
        </w:rPr>
      </w:pPr>
      <w:r>
        <w:rPr>
          <w:rFonts w:ascii="宋体" w:hAnsi="宋体" w:cs="宋体"/>
          <w:sz w:val="24"/>
          <w:szCs w:val="24"/>
          <w:highlight w:val="none"/>
        </w:rPr>
        <w:t xml:space="preserve">4.2 </w:t>
      </w:r>
      <w:r>
        <w:rPr>
          <w:rFonts w:hint="eastAsia" w:ascii="宋体" w:hAnsi="宋体" w:cs="宋体"/>
          <w:sz w:val="24"/>
          <w:szCs w:val="24"/>
          <w:highlight w:val="none"/>
        </w:rPr>
        <w:t>无论招标结果如何，投标文件均不予退还。</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w:t>
      </w:r>
      <w:r>
        <w:rPr>
          <w:rFonts w:ascii="宋体" w:hAnsi="宋体" w:cs="宋体"/>
          <w:sz w:val="24"/>
          <w:szCs w:val="24"/>
          <w:highlight w:val="none"/>
        </w:rPr>
        <w:t>.3</w:t>
      </w:r>
      <w:r>
        <w:rPr>
          <w:rFonts w:hint="eastAsia" w:ascii="宋体" w:hAnsi="宋体" w:cs="宋体"/>
          <w:sz w:val="24"/>
          <w:szCs w:val="24"/>
          <w:highlight w:val="none"/>
        </w:rPr>
        <w:t xml:space="preserve"> 付款方式：见须知前附表。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4.4 质保期：见须知前附表。</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5.</w:t>
      </w:r>
      <w:r>
        <w:rPr>
          <w:rFonts w:hint="eastAsia" w:ascii="宋体" w:hAnsi="宋体" w:cs="宋体"/>
          <w:b/>
          <w:sz w:val="24"/>
          <w:szCs w:val="24"/>
          <w:highlight w:val="none"/>
        </w:rPr>
        <w:t>废标说明</w:t>
      </w:r>
    </w:p>
    <w:p>
      <w:pPr>
        <w:spacing w:line="360" w:lineRule="auto"/>
        <w:ind w:firstLine="482" w:firstLineChars="200"/>
        <w:rPr>
          <w:rFonts w:ascii="宋体" w:cs="宋体"/>
          <w:b/>
          <w:sz w:val="24"/>
          <w:szCs w:val="24"/>
          <w:highlight w:val="none"/>
          <w:u w:val="single"/>
        </w:rPr>
      </w:pPr>
      <w:r>
        <w:rPr>
          <w:rFonts w:hint="eastAsia" w:ascii="宋体" w:hAnsi="宋体" w:cs="宋体"/>
          <w:b/>
          <w:sz w:val="24"/>
          <w:szCs w:val="24"/>
          <w:highlight w:val="none"/>
          <w:u w:val="single"/>
        </w:rPr>
        <w:t>在招标采购中，出现下列情形之一的，应予废标：</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5.1</w:t>
      </w:r>
      <w:r>
        <w:rPr>
          <w:rFonts w:hint="eastAsia" w:ascii="宋体" w:hAnsi="宋体" w:cs="宋体"/>
          <w:b/>
          <w:sz w:val="24"/>
          <w:szCs w:val="24"/>
          <w:highlight w:val="none"/>
          <w:u w:val="single"/>
        </w:rPr>
        <w:t>符合专业条件的供应商或者对招标文件作实质响应的供应商不足三家的；</w:t>
      </w:r>
      <w:r>
        <w:rPr>
          <w:rFonts w:ascii="宋体" w:hAnsi="宋体" w:cs="宋体"/>
          <w:b/>
          <w:sz w:val="24"/>
          <w:szCs w:val="24"/>
          <w:highlight w:val="none"/>
          <w:u w:val="single"/>
        </w:rPr>
        <w:t xml:space="preserve"> </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5.2</w:t>
      </w:r>
      <w:r>
        <w:rPr>
          <w:rFonts w:hint="eastAsia" w:ascii="宋体" w:hAnsi="宋体" w:cs="宋体"/>
          <w:b/>
          <w:sz w:val="24"/>
          <w:szCs w:val="24"/>
          <w:highlight w:val="none"/>
          <w:u w:val="single"/>
        </w:rPr>
        <w:t>出现影响采购公正的违法、违规行为的；</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5.3</w:t>
      </w:r>
      <w:r>
        <w:rPr>
          <w:rFonts w:hint="eastAsia" w:ascii="宋体" w:hAnsi="宋体" w:cs="宋体"/>
          <w:b/>
          <w:sz w:val="24"/>
          <w:szCs w:val="24"/>
          <w:highlight w:val="none"/>
          <w:u w:val="single"/>
        </w:rPr>
        <w:t>投标人的报价均超过了采购预算，采购人不能够支付的；</w:t>
      </w:r>
    </w:p>
    <w:p>
      <w:pPr>
        <w:spacing w:line="360" w:lineRule="auto"/>
        <w:ind w:firstLine="482" w:firstLineChars="200"/>
        <w:rPr>
          <w:rFonts w:ascii="宋体" w:cs="宋体"/>
          <w:b/>
          <w:sz w:val="24"/>
          <w:szCs w:val="24"/>
          <w:highlight w:val="none"/>
          <w:u w:val="single"/>
        </w:rPr>
      </w:pPr>
      <w:r>
        <w:rPr>
          <w:rFonts w:ascii="宋体" w:hAnsi="宋体" w:cs="宋体"/>
          <w:b/>
          <w:sz w:val="24"/>
          <w:szCs w:val="24"/>
          <w:highlight w:val="none"/>
          <w:u w:val="single"/>
        </w:rPr>
        <w:t>5.4</w:t>
      </w:r>
      <w:r>
        <w:rPr>
          <w:rFonts w:hint="eastAsia" w:ascii="宋体" w:hAnsi="宋体" w:cs="宋体"/>
          <w:b/>
          <w:sz w:val="24"/>
          <w:szCs w:val="24"/>
          <w:highlight w:val="none"/>
          <w:u w:val="single"/>
        </w:rPr>
        <w:t>因重大变故，采购任务取消的。</w:t>
      </w:r>
      <w:bookmarkStart w:id="42" w:name="_Toc14776837"/>
      <w:bookmarkStart w:id="43" w:name="_Toc2511970"/>
      <w:bookmarkStart w:id="44" w:name="_Toc322446890"/>
      <w:bookmarkStart w:id="45" w:name="_Toc2355229"/>
      <w:bookmarkStart w:id="46" w:name="_Toc493422649"/>
      <w:bookmarkStart w:id="47" w:name="_Toc497167392"/>
    </w:p>
    <w:p>
      <w:pPr>
        <w:spacing w:line="360" w:lineRule="auto"/>
        <w:rPr>
          <w:rFonts w:ascii="宋体" w:cs="宋体"/>
          <w:b/>
          <w:sz w:val="24"/>
          <w:szCs w:val="24"/>
          <w:highlight w:val="none"/>
          <w:u w:val="single"/>
        </w:rPr>
      </w:pPr>
      <w:r>
        <w:rPr>
          <w:rFonts w:hint="eastAsia" w:ascii="宋体" w:hAnsi="宋体" w:cs="宋体"/>
          <w:b/>
          <w:sz w:val="24"/>
          <w:szCs w:val="24"/>
          <w:highlight w:val="none"/>
        </w:rPr>
        <w:t>二、招标文件</w:t>
      </w:r>
      <w:bookmarkEnd w:id="42"/>
      <w:bookmarkEnd w:id="43"/>
      <w:bookmarkEnd w:id="44"/>
      <w:bookmarkEnd w:id="45"/>
      <w:bookmarkEnd w:id="46"/>
      <w:bookmarkEnd w:id="47"/>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6.</w:t>
      </w:r>
      <w:r>
        <w:rPr>
          <w:rFonts w:hint="eastAsia" w:ascii="宋体" w:hAnsi="宋体" w:cs="宋体"/>
          <w:b/>
          <w:sz w:val="24"/>
          <w:szCs w:val="24"/>
          <w:highlight w:val="none"/>
        </w:rPr>
        <w:t>招标文件构成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6.1 </w:t>
      </w:r>
      <w:r>
        <w:rPr>
          <w:rFonts w:hint="eastAsia" w:ascii="宋体" w:hAnsi="宋体" w:cs="宋体"/>
          <w:sz w:val="24"/>
          <w:szCs w:val="24"/>
          <w:highlight w:val="none"/>
        </w:rPr>
        <w:t>招标文件包括下列内容：</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（一）招标文件的组成部分</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投标邀请（招标公告）</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投标人须知前附表</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投标人须知</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合同文本格式</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采购需求</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评标方法及评标标准</w:t>
      </w:r>
    </w:p>
    <w:p>
      <w:pPr>
        <w:numPr>
          <w:ilvl w:val="1"/>
          <w:numId w:val="8"/>
        </w:numPr>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投标文件格式</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（二）采购人所作的一切有效的书面通知都是招标文件不可分割的组成部分。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7.</w:t>
      </w:r>
      <w:r>
        <w:rPr>
          <w:rFonts w:hint="eastAsia" w:ascii="宋体" w:hAnsi="宋体" w:cs="宋体"/>
          <w:b/>
          <w:sz w:val="24"/>
          <w:szCs w:val="24"/>
          <w:highlight w:val="none"/>
        </w:rPr>
        <w:t>招标文件的澄清</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7.1 </w:t>
      </w:r>
      <w:r>
        <w:rPr>
          <w:rFonts w:hint="eastAsia" w:ascii="宋体" w:hAnsi="宋体" w:cs="宋体"/>
          <w:sz w:val="24"/>
          <w:szCs w:val="24"/>
          <w:highlight w:val="none"/>
        </w:rPr>
        <w:t>任何要求对招标文件进行澄清的投标人，均应以书面形式通知采购人或采购代理机构。采购人或者采购代理机构对在投标截止时间</w:t>
      </w:r>
      <w:r>
        <w:rPr>
          <w:rFonts w:ascii="宋体" w:hAnsi="宋体" w:cs="宋体"/>
          <w:sz w:val="24"/>
          <w:szCs w:val="24"/>
          <w:highlight w:val="none"/>
        </w:rPr>
        <w:t>15</w:t>
      </w:r>
      <w:r>
        <w:rPr>
          <w:rFonts w:hint="eastAsia" w:ascii="宋体" w:hAnsi="宋体" w:cs="宋体"/>
          <w:sz w:val="24"/>
          <w:szCs w:val="24"/>
          <w:highlight w:val="none"/>
        </w:rPr>
        <w:t>日以前收到的澄清要求应以书面形式予以答复，并将书面答复发给每个购买招标文件的投标人（答复中不包括问题的来源），必要时同时在财政部门指定的政府采购信息发布媒体发布澄清公告。</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8.</w:t>
      </w:r>
      <w:r>
        <w:rPr>
          <w:rFonts w:hint="eastAsia" w:ascii="宋体" w:hAnsi="宋体" w:cs="宋体"/>
          <w:b/>
          <w:sz w:val="24"/>
          <w:szCs w:val="24"/>
          <w:highlight w:val="none"/>
        </w:rPr>
        <w:t>招标文件的修改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8.1 </w:t>
      </w:r>
      <w:r>
        <w:rPr>
          <w:rFonts w:hint="eastAsia" w:ascii="宋体" w:hAnsi="宋体" w:cs="宋体"/>
          <w:sz w:val="24"/>
          <w:szCs w:val="24"/>
          <w:highlight w:val="none"/>
        </w:rPr>
        <w:t>在投标截止时间</w:t>
      </w:r>
      <w:r>
        <w:rPr>
          <w:rFonts w:ascii="宋体" w:hAnsi="宋体" w:cs="宋体"/>
          <w:sz w:val="24"/>
          <w:szCs w:val="24"/>
          <w:highlight w:val="none"/>
        </w:rPr>
        <w:t>15</w:t>
      </w:r>
      <w:r>
        <w:rPr>
          <w:rFonts w:hint="eastAsia" w:ascii="宋体" w:hAnsi="宋体" w:cs="宋体"/>
          <w:sz w:val="24"/>
          <w:szCs w:val="24"/>
          <w:highlight w:val="none"/>
        </w:rPr>
        <w:t>日前，无论出于何种原因，采购人或采购代理机构可主动地或在解答投标人提出的澄清问题时对招标文件进行修改，修改的内容为招标文件的组成部分。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8.2 </w:t>
      </w:r>
      <w:r>
        <w:rPr>
          <w:rFonts w:hint="eastAsia" w:ascii="宋体" w:hAnsi="宋体" w:cs="宋体"/>
          <w:sz w:val="24"/>
          <w:szCs w:val="24"/>
          <w:highlight w:val="none"/>
        </w:rPr>
        <w:t>招标文件的修改将以书面形式通知所有购买招标文件的投标人，并对其具有约束力。投标人在收到上述通知后，应在</w:t>
      </w:r>
      <w:r>
        <w:rPr>
          <w:rFonts w:ascii="宋体" w:hAnsi="宋体" w:cs="宋体"/>
          <w:sz w:val="24"/>
          <w:szCs w:val="24"/>
          <w:highlight w:val="none"/>
        </w:rPr>
        <w:t>24</w:t>
      </w:r>
      <w:r>
        <w:rPr>
          <w:rFonts w:hint="eastAsia" w:ascii="宋体" w:hAnsi="宋体" w:cs="宋体"/>
          <w:sz w:val="24"/>
          <w:szCs w:val="24"/>
          <w:highlight w:val="none"/>
        </w:rPr>
        <w:t>小时内向采购代理机构回函确认。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8.3</w:t>
      </w:r>
      <w:r>
        <w:rPr>
          <w:rFonts w:hint="eastAsia" w:ascii="宋体" w:hAnsi="宋体" w:cs="宋体"/>
          <w:sz w:val="24"/>
          <w:szCs w:val="24"/>
          <w:highlight w:val="none"/>
        </w:rPr>
        <w:t>澄清或者修改的内容可能影响投标文件编制的，为使投标人准备投标时有充分时间对招标文件的修改部分进行研究，采购人或采购代理机构可适当延长投标截止时间。并以书面形式通知所有购买招标文件的投标人。</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9.</w:t>
      </w:r>
      <w:r>
        <w:rPr>
          <w:rFonts w:hint="eastAsia" w:ascii="宋体" w:hAnsi="宋体" w:cs="宋体"/>
          <w:b/>
          <w:sz w:val="24"/>
          <w:szCs w:val="24"/>
          <w:highlight w:val="none"/>
        </w:rPr>
        <w:t>询问和质疑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9.1</w:t>
      </w:r>
      <w:r>
        <w:rPr>
          <w:rFonts w:hint="eastAsia" w:ascii="宋体" w:hAnsi="宋体" w:cs="宋体"/>
          <w:sz w:val="24"/>
          <w:szCs w:val="24"/>
          <w:highlight w:val="none"/>
        </w:rPr>
        <w:t>投标人对政府采购活动事项有疑问的，可以提出询问；</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9.2</w:t>
      </w:r>
      <w:r>
        <w:rPr>
          <w:rFonts w:hint="eastAsia" w:ascii="宋体" w:hAnsi="宋体" w:cs="宋体"/>
          <w:sz w:val="24"/>
          <w:szCs w:val="24"/>
          <w:highlight w:val="none"/>
        </w:rPr>
        <w:t>投标人认为采购文件、采购过程、中标或者中标结果使自己的权益受到损害的，可以在知道或者应知权益受到损害之日起</w:t>
      </w:r>
      <w:r>
        <w:rPr>
          <w:rFonts w:ascii="宋体" w:hAnsi="宋体" w:cs="宋体"/>
          <w:sz w:val="24"/>
          <w:szCs w:val="24"/>
          <w:highlight w:val="none"/>
        </w:rPr>
        <w:t>7</w:t>
      </w:r>
      <w:r>
        <w:rPr>
          <w:rFonts w:hint="eastAsia" w:ascii="宋体" w:hAnsi="宋体" w:cs="宋体"/>
          <w:sz w:val="24"/>
          <w:szCs w:val="24"/>
          <w:highlight w:val="none"/>
        </w:rPr>
        <w:t>个工作日内，提出质疑。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9.3</w:t>
      </w:r>
      <w:r>
        <w:rPr>
          <w:rFonts w:hint="eastAsia" w:ascii="宋体" w:hAnsi="宋体" w:cs="宋体"/>
          <w:sz w:val="24"/>
          <w:szCs w:val="24"/>
          <w:highlight w:val="none"/>
        </w:rPr>
        <w:t>接收质疑函的方式：投标人应提交书面质疑函，投标人应在法定质疑期内一次性提出针对同一采购程序环节的质疑。</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9.4</w:t>
      </w:r>
      <w:r>
        <w:rPr>
          <w:rFonts w:hint="eastAsia" w:ascii="宋体" w:hAnsi="宋体" w:cs="宋体"/>
          <w:sz w:val="24"/>
          <w:szCs w:val="24"/>
          <w:highlight w:val="none"/>
        </w:rPr>
        <w:t>投标人提出质疑应当提交质疑函和必要的证明材料。质疑函应当包括下列内容：</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）投标人的姓名或者名称、地址、邮编、联系人及联系电话；</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）质疑项目的名称、编号；</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）具体、明确的质疑事项和与质疑事项相关的请求；</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）事实依据；</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）必要的法律依据；</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）提出质疑的日期。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9.5</w:t>
      </w:r>
      <w:r>
        <w:rPr>
          <w:rFonts w:hint="eastAsia" w:ascii="宋体" w:hAnsi="宋体" w:cs="宋体"/>
          <w:sz w:val="24"/>
          <w:szCs w:val="24"/>
          <w:highlight w:val="none"/>
        </w:rPr>
        <w:t>投标人为自然人的，质疑函应当由本人签字；投标人为法人或者其他组织的，质疑函应当由法定代表人、主要负责人，或者其授权代表签字或者盖章，并加盖公章。</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9.6</w:t>
      </w:r>
      <w:r>
        <w:rPr>
          <w:rFonts w:hint="eastAsia" w:ascii="宋体" w:hAnsi="宋体" w:cs="宋体"/>
          <w:sz w:val="24"/>
          <w:szCs w:val="24"/>
          <w:highlight w:val="none"/>
        </w:rPr>
        <w:t>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bookmarkStart w:id="48" w:name="_Toc497167393"/>
      <w:bookmarkStart w:id="49" w:name="_Toc14776838"/>
      <w:bookmarkStart w:id="50" w:name="_Toc493422650"/>
      <w:bookmarkStart w:id="51" w:name="_Toc322446891"/>
      <w:bookmarkStart w:id="52" w:name="_Toc2511971"/>
      <w:bookmarkStart w:id="53" w:name="_Toc2355230"/>
    </w:p>
    <w:p>
      <w:pPr>
        <w:spacing w:line="360" w:lineRule="auto"/>
        <w:rPr>
          <w:rFonts w:ascii="宋体" w:cs="宋体"/>
          <w:b/>
          <w:sz w:val="24"/>
          <w:szCs w:val="24"/>
          <w:highlight w:val="none"/>
        </w:rPr>
      </w:pPr>
      <w:r>
        <w:rPr>
          <w:rFonts w:hint="eastAsia" w:ascii="宋体" w:hAnsi="宋体" w:cs="宋体"/>
          <w:b/>
          <w:sz w:val="24"/>
          <w:szCs w:val="24"/>
          <w:highlight w:val="none"/>
        </w:rPr>
        <w:t>三、投标文件的编制</w:t>
      </w:r>
      <w:bookmarkEnd w:id="48"/>
      <w:bookmarkEnd w:id="49"/>
      <w:bookmarkEnd w:id="50"/>
      <w:bookmarkEnd w:id="51"/>
      <w:bookmarkEnd w:id="52"/>
      <w:bookmarkEnd w:id="53"/>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10.</w:t>
      </w:r>
      <w:r>
        <w:rPr>
          <w:rFonts w:hint="eastAsia" w:ascii="宋体" w:hAnsi="宋体" w:cs="宋体"/>
          <w:b/>
          <w:sz w:val="24"/>
          <w:szCs w:val="24"/>
          <w:highlight w:val="none"/>
        </w:rPr>
        <w:t>编制要求</w:t>
      </w:r>
    </w:p>
    <w:p>
      <w:pPr>
        <w:tabs>
          <w:tab w:val="left" w:pos="900"/>
        </w:tabs>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10.1</w:t>
      </w:r>
      <w:r>
        <w:rPr>
          <w:rFonts w:hint="eastAsia" w:ascii="宋体" w:hAnsi="宋体" w:cs="宋体"/>
          <w:sz w:val="24"/>
          <w:szCs w:val="24"/>
          <w:highlight w:val="none"/>
        </w:rPr>
        <w:t>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pPr>
        <w:shd w:val="clear"/>
        <w:spacing w:line="360" w:lineRule="auto"/>
        <w:ind w:firstLine="482" w:firstLineChars="200"/>
        <w:rPr>
          <w:highlight w:val="none"/>
        </w:rPr>
      </w:pPr>
      <w:r>
        <w:rPr>
          <w:rFonts w:hint="eastAsia" w:ascii="宋体" w:hAnsi="宋体" w:eastAsia="宋体" w:cs="宋体"/>
          <w:b/>
          <w:sz w:val="24"/>
          <w:szCs w:val="24"/>
          <w:highlight w:val="none"/>
        </w:rPr>
        <w:t>投标人应完整地按招标文件提供的投标文件格式及要求编写投标文件，投标人须在投标截止时间前完成在系统上递交电子投标文件。投标人的电子投标文件是经过CA证书加密后上传提交的，任何单位或个人均无法在投标截止时间(即投标时间)之前查看或篡改，不存在泄密风险。（严格按照政采云电子投标流程制作并上传电子投标文</w:t>
      </w:r>
      <w:r>
        <w:rPr>
          <w:rFonts w:hint="eastAsia" w:ascii="宋体" w:hAnsi="宋体" w:cs="宋体"/>
          <w:b/>
          <w:sz w:val="24"/>
          <w:szCs w:val="24"/>
          <w:highlight w:val="none"/>
        </w:rPr>
        <w:t>件）</w:t>
      </w:r>
      <w:r>
        <w:rPr>
          <w:rFonts w:hint="eastAsia" w:ascii="宋体" w:hAnsi="宋体" w:cs="宋体"/>
          <w:b/>
          <w:sz w:val="24"/>
          <w:szCs w:val="24"/>
          <w:highlight w:val="none"/>
          <w:lang w:eastAsia="zh-CN"/>
        </w:rPr>
        <w:t>。</w:t>
      </w:r>
    </w:p>
    <w:p>
      <w:pPr>
        <w:tabs>
          <w:tab w:val="left" w:pos="900"/>
        </w:tabs>
        <w:spacing w:line="360" w:lineRule="auto"/>
        <w:ind w:firstLine="480" w:firstLineChars="200"/>
        <w:rPr>
          <w:rFonts w:ascii="宋体" w:cs="宋体"/>
          <w:sz w:val="24"/>
          <w:szCs w:val="24"/>
          <w:highlight w:val="none"/>
        </w:rPr>
      </w:pPr>
      <w:r>
        <w:rPr>
          <w:rFonts w:ascii="宋体" w:hAnsi="宋体" w:cs="宋体"/>
          <w:sz w:val="24"/>
          <w:szCs w:val="24"/>
          <w:highlight w:val="none"/>
        </w:rPr>
        <w:t>10.2</w:t>
      </w:r>
      <w:r>
        <w:rPr>
          <w:rFonts w:hint="eastAsia" w:ascii="宋体" w:hAnsi="宋体" w:cs="宋体"/>
          <w:sz w:val="24"/>
          <w:szCs w:val="24"/>
          <w:highlight w:val="none"/>
        </w:rPr>
        <w:t>采购人或采购代理机构有权随时检查投标人所提供的全部资料的真实性。如果发现投标人在投标资料中使用有虚假的证明材料的，由此所产生的经济责任和法律责任由投标人自行承担。</w:t>
      </w:r>
    </w:p>
    <w:p>
      <w:pPr>
        <w:pStyle w:val="5"/>
        <w:tabs>
          <w:tab w:val="left" w:pos="840"/>
        </w:tabs>
        <w:spacing w:line="360" w:lineRule="auto"/>
        <w:ind w:firstLine="480" w:firstLineChars="200"/>
        <w:rPr>
          <w:rFonts w:ascii="宋体" w:cs="宋体"/>
          <w:sz w:val="24"/>
          <w:szCs w:val="24"/>
          <w:highlight w:val="none"/>
        </w:rPr>
      </w:pPr>
      <w:r>
        <w:rPr>
          <w:rFonts w:ascii="宋体" w:hAnsi="宋体" w:cs="宋体"/>
          <w:sz w:val="24"/>
          <w:szCs w:val="24"/>
          <w:highlight w:val="none"/>
        </w:rPr>
        <w:t>10.3</w:t>
      </w:r>
      <w:r>
        <w:rPr>
          <w:rFonts w:hint="eastAsia" w:ascii="宋体" w:hAnsi="宋体" w:cs="宋体"/>
          <w:sz w:val="24"/>
          <w:szCs w:val="24"/>
          <w:highlight w:val="none"/>
        </w:rPr>
        <w:t>投标的语言</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投标人提交的投标文件以及投标人与采购代理机构就有关投标的所有来往函电均应以中文书写，且以之为准。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11.</w:t>
      </w:r>
      <w:r>
        <w:rPr>
          <w:rFonts w:hint="eastAsia" w:ascii="宋体" w:hAnsi="宋体" w:cs="宋体"/>
          <w:b/>
          <w:sz w:val="24"/>
          <w:szCs w:val="24"/>
          <w:highlight w:val="none"/>
        </w:rPr>
        <w:t>投标文件构成</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11.1</w:t>
      </w:r>
      <w:r>
        <w:rPr>
          <w:rFonts w:hint="eastAsia" w:ascii="宋体" w:hAnsi="宋体" w:cs="宋体"/>
          <w:sz w:val="24"/>
          <w:szCs w:val="24"/>
          <w:highlight w:val="none"/>
        </w:rPr>
        <w:t>投标人编写的投标文件应包括下列部分：</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）资格证明材料部分：按照本须知第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）商务部分：投标书、开标一览表、投标分项（明细）报价表、服务说明一览表、商务条款偏离表、法人代表授权书等，按照本须知第</w:t>
      </w:r>
      <w:r>
        <w:rPr>
          <w:rFonts w:ascii="宋体" w:hAnsi="宋体" w:cs="宋体"/>
          <w:sz w:val="24"/>
          <w:szCs w:val="24"/>
          <w:highlight w:val="none"/>
        </w:rPr>
        <w:t>15</w:t>
      </w:r>
      <w:r>
        <w:rPr>
          <w:rFonts w:hint="eastAsia" w:ascii="宋体" w:hAnsi="宋体" w:cs="宋体"/>
          <w:sz w:val="24"/>
          <w:szCs w:val="24"/>
          <w:highlight w:val="none"/>
        </w:rPr>
        <w:t>条规定和第七章提供的格式提交。</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）技术部分：服务技术描述（</w:t>
      </w:r>
      <w:r>
        <w:rPr>
          <w:rFonts w:hint="eastAsia" w:ascii="宋体" w:cs="宋体"/>
          <w:bCs/>
          <w:kern w:val="0"/>
          <w:sz w:val="24"/>
          <w:szCs w:val="24"/>
          <w:highlight w:val="none"/>
        </w:rPr>
        <w:t>服务方案、</w:t>
      </w:r>
      <w:r>
        <w:rPr>
          <w:rFonts w:ascii="宋体" w:hAnsi="宋体" w:eastAsia="宋体" w:cs="宋体"/>
          <w:sz w:val="24"/>
          <w:szCs w:val="24"/>
          <w:highlight w:val="none"/>
        </w:rPr>
        <w:t>管理制度</w:t>
      </w:r>
      <w:r>
        <w:rPr>
          <w:rFonts w:hint="eastAsia" w:ascii="宋体" w:hAnsi="宋体" w:cs="宋体"/>
          <w:sz w:val="24"/>
          <w:szCs w:val="24"/>
          <w:highlight w:val="none"/>
          <w:lang w:eastAsia="zh-CN"/>
        </w:rPr>
        <w:t>、</w:t>
      </w:r>
      <w:r>
        <w:rPr>
          <w:rFonts w:ascii="宋体" w:hAnsi="宋体" w:eastAsia="宋体" w:cs="宋体"/>
          <w:sz w:val="24"/>
          <w:szCs w:val="24"/>
          <w:highlight w:val="none"/>
        </w:rPr>
        <w:t>售后服务方案</w:t>
      </w:r>
      <w:r>
        <w:rPr>
          <w:rFonts w:hint="eastAsia" w:ascii="宋体" w:hAnsi="宋体" w:cs="宋体"/>
          <w:sz w:val="24"/>
          <w:szCs w:val="24"/>
          <w:highlight w:val="none"/>
          <w:lang w:val="en-US" w:eastAsia="zh-CN"/>
        </w:rPr>
        <w:t>等</w:t>
      </w:r>
      <w:r>
        <w:rPr>
          <w:rFonts w:hint="eastAsia" w:ascii="宋体" w:hAnsi="宋体" w:cs="宋体"/>
          <w:sz w:val="24"/>
          <w:szCs w:val="24"/>
          <w:highlight w:val="none"/>
        </w:rPr>
        <w:t>）、招标文件技术需求部分要求提供的内容、综合说明、服务偏离表等。</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）投标服务技术符合招标文件规定的证明文件及投标人认为需加以说明的其他内容。</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5</w:t>
      </w:r>
      <w:r>
        <w:rPr>
          <w:rFonts w:hint="eastAsia" w:ascii="宋体" w:hAnsi="宋体" w:cs="宋体"/>
          <w:sz w:val="24"/>
          <w:szCs w:val="24"/>
          <w:highlight w:val="none"/>
        </w:rPr>
        <w:t>）投标人应将投标文件详列目录，并填写“投标文件资料清单、目录、页码”，以便阅读。</w:t>
      </w:r>
    </w:p>
    <w:p>
      <w:pPr>
        <w:tabs>
          <w:tab w:val="left" w:pos="900"/>
        </w:tabs>
        <w:spacing w:line="360" w:lineRule="auto"/>
        <w:ind w:firstLine="240" w:firstLineChars="10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6</w:t>
      </w:r>
      <w:r>
        <w:rPr>
          <w:rFonts w:hint="eastAsia" w:ascii="宋体" w:hAnsi="宋体" w:cs="宋体"/>
          <w:sz w:val="24"/>
          <w:szCs w:val="24"/>
          <w:highlight w:val="none"/>
        </w:rPr>
        <w:t>）证明投标人履约能力的文件（本须知</w:t>
      </w:r>
      <w:r>
        <w:rPr>
          <w:rFonts w:ascii="宋体" w:hAnsi="宋体" w:cs="宋体"/>
          <w:sz w:val="24"/>
          <w:szCs w:val="24"/>
          <w:highlight w:val="none"/>
        </w:rPr>
        <w:t>15</w:t>
      </w:r>
      <w:r>
        <w:rPr>
          <w:rFonts w:hint="eastAsia" w:ascii="宋体" w:hAnsi="宋体" w:cs="宋体"/>
          <w:sz w:val="24"/>
          <w:szCs w:val="24"/>
          <w:highlight w:val="none"/>
        </w:rPr>
        <w:t>条内容）</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12.</w:t>
      </w:r>
      <w:r>
        <w:rPr>
          <w:rFonts w:hint="eastAsia" w:ascii="宋体" w:hAnsi="宋体" w:cs="宋体"/>
          <w:b/>
          <w:sz w:val="24"/>
          <w:szCs w:val="24"/>
          <w:highlight w:val="none"/>
        </w:rPr>
        <w:t>投标文件格式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12.1 </w:t>
      </w:r>
      <w:r>
        <w:rPr>
          <w:rFonts w:hint="eastAsia" w:ascii="宋体" w:hAnsi="宋体" w:cs="宋体"/>
          <w:sz w:val="24"/>
          <w:szCs w:val="24"/>
          <w:highlight w:val="none"/>
        </w:rPr>
        <w:t>投标人应按招标文件第</w:t>
      </w:r>
      <w:r>
        <w:rPr>
          <w:rFonts w:ascii="宋体" w:hAnsi="宋体" w:cs="宋体"/>
          <w:sz w:val="24"/>
          <w:szCs w:val="24"/>
          <w:highlight w:val="none"/>
        </w:rPr>
        <w:t>11</w:t>
      </w:r>
      <w:r>
        <w:rPr>
          <w:rFonts w:hint="eastAsia" w:ascii="宋体" w:hAnsi="宋体" w:cs="宋体"/>
          <w:sz w:val="24"/>
          <w:szCs w:val="24"/>
          <w:highlight w:val="none"/>
        </w:rPr>
        <w:t>条的内容与要求和第七章提供的格式编写其投标文件，投标人不得缺少或留空任何招标文件要求填写的表格或提交的资料。</w:t>
      </w:r>
    </w:p>
    <w:p>
      <w:pPr>
        <w:spacing w:line="360" w:lineRule="auto"/>
        <w:ind w:firstLine="480" w:firstLineChars="200"/>
        <w:rPr>
          <w:rFonts w:hint="eastAsia" w:ascii="宋体" w:hAnsi="宋体" w:cs="宋体"/>
          <w:sz w:val="24"/>
          <w:szCs w:val="24"/>
          <w:highlight w:val="none"/>
        </w:rPr>
      </w:pPr>
      <w:r>
        <w:rPr>
          <w:rFonts w:ascii="宋体" w:hAnsi="宋体" w:cs="宋体"/>
          <w:sz w:val="24"/>
          <w:szCs w:val="24"/>
          <w:highlight w:val="none"/>
        </w:rPr>
        <w:t>12.2</w:t>
      </w:r>
      <w:r>
        <w:rPr>
          <w:rFonts w:hint="eastAsia" w:ascii="宋体" w:hAnsi="宋体" w:cs="宋体"/>
          <w:sz w:val="24"/>
          <w:szCs w:val="24"/>
          <w:highlight w:val="none"/>
        </w:rPr>
        <w:t>投标人应将投标文件按第</w:t>
      </w:r>
      <w:r>
        <w:rPr>
          <w:rFonts w:ascii="宋体" w:hAnsi="宋体" w:cs="宋体"/>
          <w:sz w:val="24"/>
          <w:szCs w:val="24"/>
          <w:highlight w:val="none"/>
        </w:rPr>
        <w:t>11</w:t>
      </w:r>
      <w:r>
        <w:rPr>
          <w:rFonts w:hint="eastAsia" w:ascii="宋体" w:hAnsi="宋体" w:cs="宋体"/>
          <w:sz w:val="24"/>
          <w:szCs w:val="24"/>
          <w:highlight w:val="none"/>
        </w:rPr>
        <w:t>条规定的顺序编排、并应编制目录、逐页标注连续页码。</w:t>
      </w:r>
    </w:p>
    <w:p>
      <w:pPr>
        <w:pStyle w:val="2"/>
        <w:rPr>
          <w:highlight w:val="none"/>
        </w:rPr>
      </w:pPr>
      <w:r>
        <w:rPr>
          <w:rFonts w:hint="eastAsia" w:ascii="宋体" w:hAnsi="宋体" w:cs="宋体"/>
          <w:sz w:val="24"/>
          <w:szCs w:val="24"/>
          <w:highlight w:val="none"/>
          <w:lang w:val="en-US" w:eastAsia="zh-CN"/>
        </w:rPr>
        <w:t>12.3</w:t>
      </w:r>
      <w:r>
        <w:rPr>
          <w:rFonts w:hint="eastAsia" w:ascii="宋体" w:hAnsi="宋体" w:eastAsia="宋体" w:cs="宋体"/>
          <w:b/>
          <w:kern w:val="0"/>
          <w:sz w:val="24"/>
          <w:szCs w:val="24"/>
          <w:highlight w:val="none"/>
        </w:rPr>
        <w:t>严格按照政采云电子投标流程制作并上传电子投标文件</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13.</w:t>
      </w:r>
      <w:r>
        <w:rPr>
          <w:rFonts w:hint="eastAsia" w:ascii="宋体" w:hAnsi="宋体" w:cs="宋体"/>
          <w:b/>
          <w:sz w:val="24"/>
          <w:szCs w:val="24"/>
          <w:highlight w:val="none"/>
        </w:rPr>
        <w:t>投标报价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13.1 </w:t>
      </w:r>
      <w:r>
        <w:rPr>
          <w:rFonts w:hint="eastAsia" w:ascii="宋体" w:hAnsi="宋体" w:cs="宋体"/>
          <w:sz w:val="24"/>
          <w:szCs w:val="24"/>
          <w:highlight w:val="none"/>
        </w:rPr>
        <w:t>投标人应在投标分项报价表上标明本合同拟提供服务的单价和总价。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13.2 </w:t>
      </w:r>
      <w:r>
        <w:rPr>
          <w:rFonts w:hint="eastAsia" w:ascii="宋体" w:hAnsi="宋体" w:cs="宋体"/>
          <w:sz w:val="24"/>
          <w:szCs w:val="24"/>
          <w:highlight w:val="none"/>
        </w:rPr>
        <w:t>投标人对每种货物只允许有一个报价，采购人不接受有任何选择的报价。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13.3 </w:t>
      </w:r>
      <w:r>
        <w:rPr>
          <w:rFonts w:hint="eastAsia" w:ascii="宋体" w:hAnsi="宋体" w:cs="宋体"/>
          <w:sz w:val="24"/>
          <w:szCs w:val="24"/>
          <w:highlight w:val="none"/>
        </w:rPr>
        <w:t>投标人根据本须知的规定将投标价分成几部分，只是为了方便采购人或采购代理机构对投标文件进行比较，并不限制采购人以上述任何条件订立合同的权利。</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13.4 </w:t>
      </w:r>
      <w:r>
        <w:rPr>
          <w:rFonts w:hint="eastAsia" w:ascii="宋体" w:hAnsi="宋体" w:cs="宋体"/>
          <w:sz w:val="24"/>
          <w:szCs w:val="24"/>
          <w:highlight w:val="none"/>
        </w:rPr>
        <w:t>投标人所报的投标价在合同执行过程中是固定不变的，不得以任何理由予以变更。任何包含价格调整要求的投标，将被认为是非响应性投标而作无效投标处理。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13.5</w:t>
      </w:r>
      <w:r>
        <w:rPr>
          <w:rFonts w:hint="eastAsia" w:ascii="宋体" w:hAnsi="宋体" w:cs="宋体"/>
          <w:sz w:val="24"/>
          <w:szCs w:val="24"/>
          <w:highlight w:val="none"/>
        </w:rPr>
        <w:t>投标人不得违反《中华人民共和国反不正当竞争法》的规定，以低于成本的价格销售货物或服务，否则应对其价格构成情况做出详细说明并提供相关证明资料。</w:t>
      </w:r>
      <w:r>
        <w:rPr>
          <w:rFonts w:hint="eastAsia" w:ascii="宋体" w:hAnsi="宋体" w:cs="宋体"/>
          <w:b/>
          <w:sz w:val="24"/>
          <w:szCs w:val="24"/>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cs="宋体"/>
          <w:sz w:val="24"/>
          <w:szCs w:val="24"/>
          <w:highlight w:val="none"/>
        </w:rPr>
        <w:t>投标人的澄清、说明或者补正应当采用书面形式，由其授权代表签字，并不得超出投标文件的范围或者改变投标文件的实质性内容，书面承诺为其投标文件的组成部分。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13.6</w:t>
      </w:r>
      <w:r>
        <w:rPr>
          <w:rFonts w:hint="eastAsia" w:ascii="宋体" w:hAnsi="宋体" w:cs="宋体"/>
          <w:sz w:val="24"/>
          <w:szCs w:val="24"/>
          <w:highlight w:val="none"/>
        </w:rPr>
        <w:t>对于投标报价不全，应当提交的报价而在标书中没有提交的投标人，将作无效投标处理。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14.</w:t>
      </w:r>
      <w:r>
        <w:rPr>
          <w:rFonts w:hint="eastAsia" w:ascii="宋体" w:hAnsi="宋体" w:cs="宋体"/>
          <w:b/>
          <w:sz w:val="24"/>
          <w:szCs w:val="24"/>
          <w:highlight w:val="none"/>
        </w:rPr>
        <w:t>投标货币</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14.1 </w:t>
      </w:r>
      <w:r>
        <w:rPr>
          <w:rFonts w:hint="eastAsia" w:ascii="宋体" w:hAnsi="宋体" w:cs="宋体"/>
          <w:sz w:val="24"/>
          <w:szCs w:val="24"/>
          <w:highlight w:val="none"/>
        </w:rPr>
        <w:t>投标人提供的货物和服务一律用人民币报价。</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15.</w:t>
      </w:r>
      <w:r>
        <w:rPr>
          <w:rFonts w:hint="eastAsia" w:ascii="宋体" w:hAnsi="宋体" w:cs="宋体"/>
          <w:b/>
          <w:sz w:val="24"/>
          <w:szCs w:val="24"/>
          <w:highlight w:val="none"/>
        </w:rPr>
        <w:t>证明投标人合格的资格证明材料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15.1 </w:t>
      </w:r>
      <w:r>
        <w:rPr>
          <w:rFonts w:hint="eastAsia" w:ascii="宋体" w:hAnsi="宋体" w:cs="宋体"/>
          <w:sz w:val="24"/>
          <w:szCs w:val="24"/>
          <w:highlight w:val="none"/>
        </w:rPr>
        <w:t>投标人应提交证明其有资格参加投标和中标后有能力履行合同的材料，并作为其投标文件的一部分。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15.2 </w:t>
      </w:r>
      <w:r>
        <w:rPr>
          <w:rFonts w:hint="eastAsia" w:ascii="宋体" w:hAnsi="宋体" w:cs="宋体"/>
          <w:sz w:val="24"/>
          <w:szCs w:val="24"/>
          <w:highlight w:val="none"/>
        </w:rPr>
        <w:t>投标人提交的资格证明材料应符合第七章投标文件格式“一、投标文件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资格证明材料”的要求。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15.3</w:t>
      </w:r>
      <w:r>
        <w:rPr>
          <w:rFonts w:hint="eastAsia" w:ascii="宋体" w:hAnsi="宋体" w:cs="宋体"/>
          <w:sz w:val="24"/>
          <w:szCs w:val="24"/>
          <w:highlight w:val="none"/>
        </w:rPr>
        <w:t>投标人在收到中标通知书前后或签署合同前后对于采购人或采购代理机构提出的质疑能够在</w:t>
      </w:r>
      <w:r>
        <w:rPr>
          <w:rFonts w:ascii="宋体" w:hAnsi="宋体" w:cs="宋体"/>
          <w:sz w:val="24"/>
          <w:szCs w:val="24"/>
          <w:highlight w:val="none"/>
        </w:rPr>
        <w:t>3</w:t>
      </w:r>
      <w:r>
        <w:rPr>
          <w:rFonts w:hint="eastAsia" w:ascii="宋体" w:hAnsi="宋体" w:cs="宋体"/>
          <w:sz w:val="24"/>
          <w:szCs w:val="24"/>
          <w:highlight w:val="none"/>
        </w:rPr>
        <w:t>个工作日内给予满意合理的解释。</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16.</w:t>
      </w:r>
      <w:r>
        <w:rPr>
          <w:rFonts w:hint="eastAsia" w:ascii="宋体" w:hAnsi="宋体" w:cs="宋体"/>
          <w:b/>
          <w:sz w:val="24"/>
          <w:szCs w:val="24"/>
          <w:highlight w:val="none"/>
        </w:rPr>
        <w:t>证明货物或服务的合格性和符合招标文件规定的文件</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16.1 </w:t>
      </w:r>
      <w:r>
        <w:rPr>
          <w:rFonts w:hint="eastAsia" w:ascii="宋体" w:hAnsi="宋体" w:cs="宋体"/>
          <w:sz w:val="24"/>
          <w:szCs w:val="24"/>
          <w:highlight w:val="none"/>
        </w:rPr>
        <w:t>投标人应提交证明文件证明其拟投标的货物的合格性符合招标文件规定。该证明文件作为投标文件的一部分。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16.2 </w:t>
      </w:r>
      <w:r>
        <w:rPr>
          <w:rFonts w:hint="eastAsia" w:ascii="宋体" w:hAnsi="宋体" w:cs="宋体"/>
          <w:sz w:val="24"/>
          <w:szCs w:val="24"/>
          <w:highlight w:val="none"/>
        </w:rPr>
        <w:t>证明货物和服务与招标文件的要求一致的文件，可以是文字资料、图纸和数据，它包括但不限于以下内容：</w:t>
      </w:r>
    </w:p>
    <w:p>
      <w:pPr>
        <w:pStyle w:val="21"/>
        <w:ind w:firstLine="480" w:firstLineChars="200"/>
        <w:rPr>
          <w:highlight w:val="none"/>
        </w:rPr>
      </w:pPr>
      <w:r>
        <w:rPr>
          <w:rFonts w:hint="eastAsia"/>
          <w:highlight w:val="none"/>
        </w:rPr>
        <w:t>（1）投标人所拥有相应的资质证书；</w:t>
      </w:r>
    </w:p>
    <w:p>
      <w:pPr>
        <w:pStyle w:val="21"/>
        <w:ind w:firstLine="480" w:firstLineChars="200"/>
        <w:rPr>
          <w:highlight w:val="none"/>
        </w:rPr>
      </w:pPr>
      <w:r>
        <w:rPr>
          <w:rFonts w:hint="eastAsia"/>
          <w:highlight w:val="none"/>
        </w:rPr>
        <w:t>（2）投标人所拥有具有相应专业技术能力的人员证书；</w:t>
      </w:r>
    </w:p>
    <w:p>
      <w:pPr>
        <w:pStyle w:val="21"/>
        <w:ind w:firstLine="480" w:firstLineChars="200"/>
        <w:rPr>
          <w:highlight w:val="none"/>
        </w:rPr>
      </w:pPr>
      <w:r>
        <w:rPr>
          <w:rFonts w:hint="eastAsia"/>
          <w:highlight w:val="none"/>
        </w:rPr>
        <w:t>（3）相关设备的购置发票；</w:t>
      </w:r>
    </w:p>
    <w:p>
      <w:pPr>
        <w:pStyle w:val="21"/>
        <w:ind w:firstLine="480" w:firstLineChars="200"/>
        <w:rPr>
          <w:highlight w:val="none"/>
        </w:rPr>
      </w:pPr>
      <w:r>
        <w:rPr>
          <w:rFonts w:hint="eastAsia"/>
          <w:highlight w:val="none"/>
        </w:rPr>
        <w:t>（4）对照招标文件技术服务需求要求，逐条说明所提供服务已对招标文件的技术服务需求、内容与要求做出了实质性的响应、技术服务需求与要求条文的偏差和例外（按第七章服务需求偏离表格式填写）。</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16.3 </w:t>
      </w:r>
      <w:r>
        <w:rPr>
          <w:rFonts w:hint="eastAsia" w:ascii="宋体" w:hAnsi="宋体" w:cs="宋体"/>
          <w:sz w:val="24"/>
          <w:szCs w:val="24"/>
          <w:highlight w:val="none"/>
        </w:rPr>
        <w:t>投标人在阐述上述第</w:t>
      </w:r>
      <w:r>
        <w:rPr>
          <w:rFonts w:ascii="宋体" w:hAnsi="宋体" w:cs="宋体"/>
          <w:sz w:val="24"/>
          <w:szCs w:val="24"/>
          <w:highlight w:val="none"/>
        </w:rPr>
        <w:t>16.2</w:t>
      </w:r>
      <w:r>
        <w:rPr>
          <w:rFonts w:hint="eastAsia" w:ascii="宋体" w:hAnsi="宋体" w:cs="宋体"/>
          <w:sz w:val="24"/>
          <w:szCs w:val="24"/>
          <w:highlight w:val="none"/>
        </w:rPr>
        <w:t>时应注意招标文件技术部分中“采购需求”指出的工艺、材料和设备的标准以及参照的牌号或分类号仅起说明作用，并没有任何限制性。投标人在投标中可以选用替代标准、牌号或分类号，但这些替代要实质上相当于</w:t>
      </w:r>
      <w:r>
        <w:rPr>
          <w:rFonts w:hint="eastAsia" w:ascii="宋体" w:hAnsi="宋体" w:cs="宋体"/>
          <w:color w:val="000000"/>
          <w:sz w:val="24"/>
          <w:szCs w:val="24"/>
          <w:highlight w:val="none"/>
        </w:rPr>
        <w:t>或优于</w:t>
      </w:r>
      <w:r>
        <w:rPr>
          <w:rFonts w:hint="eastAsia" w:ascii="宋体" w:hAnsi="宋体" w:cs="宋体"/>
          <w:sz w:val="24"/>
          <w:szCs w:val="24"/>
          <w:highlight w:val="none"/>
        </w:rPr>
        <w:t>技术规格（服务需求）的要求。</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17.</w:t>
      </w:r>
      <w:r>
        <w:rPr>
          <w:rFonts w:hint="eastAsia" w:ascii="宋体" w:hAnsi="宋体" w:cs="宋体"/>
          <w:b/>
          <w:sz w:val="24"/>
          <w:szCs w:val="24"/>
          <w:highlight w:val="none"/>
        </w:rPr>
        <w:t>投标保证金与中标服务费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17.1 </w:t>
      </w:r>
      <w:r>
        <w:rPr>
          <w:rFonts w:hint="eastAsia" w:ascii="宋体" w:hAnsi="宋体" w:cs="宋体"/>
          <w:sz w:val="24"/>
          <w:szCs w:val="24"/>
          <w:highlight w:val="none"/>
        </w:rPr>
        <w:t>投标人应提交“投标人须知前附表”规定数额的投标保证金，并作为其投标的一部分，投标保证金的接收单位为</w:t>
      </w:r>
      <w:r>
        <w:rPr>
          <w:rFonts w:hint="eastAsia" w:ascii="宋体" w:hAnsi="宋体" w:cs="宋体"/>
          <w:sz w:val="24"/>
          <w:szCs w:val="24"/>
          <w:highlight w:val="none"/>
          <w:lang w:eastAsia="zh-CN"/>
        </w:rPr>
        <w:t>乌鲁木齐高新建设工程项目管理咨询有限公司</w:t>
      </w:r>
      <w:r>
        <w:rPr>
          <w:rFonts w:hint="eastAsia" w:ascii="宋体" w:hAnsi="宋体" w:cs="宋体"/>
          <w:sz w:val="24"/>
          <w:szCs w:val="24"/>
          <w:highlight w:val="none"/>
        </w:rPr>
        <w:t>，依据《中华人民共和国政府法采购实施》第三十三条相关规定，投标保证金不得超过采购项目预算金额的</w:t>
      </w:r>
      <w:r>
        <w:rPr>
          <w:rFonts w:hint="eastAsia" w:ascii="宋体" w:hAnsi="宋体" w:cs="宋体"/>
          <w:sz w:val="24"/>
          <w:szCs w:val="24"/>
          <w:highlight w:val="none"/>
          <w:lang w:val="en-US" w:eastAsia="zh-CN"/>
        </w:rPr>
        <w:t>1</w:t>
      </w:r>
      <w:r>
        <w:rPr>
          <w:rFonts w:ascii="宋体" w:hAnsi="宋体" w:cs="宋体"/>
          <w:sz w:val="24"/>
          <w:szCs w:val="24"/>
          <w:highlight w:val="none"/>
        </w:rPr>
        <w:t>%</w:t>
      </w:r>
      <w:r>
        <w:rPr>
          <w:rFonts w:hint="eastAsia" w:ascii="宋体" w:hAnsi="宋体" w:cs="宋体"/>
          <w:sz w:val="24"/>
          <w:szCs w:val="24"/>
          <w:highlight w:val="none"/>
        </w:rPr>
        <w:t>。</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17.2 </w:t>
      </w:r>
      <w:r>
        <w:rPr>
          <w:rFonts w:hint="eastAsia" w:ascii="宋体" w:hAnsi="宋体" w:cs="宋体"/>
          <w:sz w:val="24"/>
          <w:szCs w:val="24"/>
          <w:highlight w:val="none"/>
        </w:rPr>
        <w:t>投标保证金的货币为人民币，并采用下列任何一种形式：</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电汇；</w:t>
      </w:r>
      <w:r>
        <w:rPr>
          <w:rFonts w:ascii="宋体" w:hAnsi="宋体" w:cs="宋体"/>
          <w:sz w:val="24"/>
          <w:szCs w:val="24"/>
          <w:highlight w:val="none"/>
        </w:rPr>
        <w:t xml:space="preserve"> </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支票（须提前一个工作日）；</w:t>
      </w:r>
      <w:r>
        <w:rPr>
          <w:rFonts w:ascii="宋体" w:hAnsi="宋体" w:cs="宋体"/>
          <w:sz w:val="24"/>
          <w:szCs w:val="24"/>
          <w:highlight w:val="none"/>
        </w:rPr>
        <w:t xml:space="preserve"> </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银行汇票；</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本票；</w:t>
      </w:r>
    </w:p>
    <w:p>
      <w:pPr>
        <w:numPr>
          <w:ilvl w:val="0"/>
          <w:numId w:val="9"/>
        </w:numPr>
        <w:tabs>
          <w:tab w:val="left" w:pos="900"/>
          <w:tab w:val="clear" w:pos="1680"/>
        </w:tabs>
        <w:spacing w:line="360" w:lineRule="auto"/>
        <w:ind w:left="0" w:firstLine="480" w:firstLineChars="200"/>
        <w:rPr>
          <w:rFonts w:ascii="宋体" w:cs="宋体"/>
          <w:sz w:val="24"/>
          <w:szCs w:val="24"/>
          <w:highlight w:val="none"/>
        </w:rPr>
      </w:pPr>
      <w:r>
        <w:rPr>
          <w:rFonts w:hint="eastAsia" w:ascii="宋体" w:hAnsi="宋体" w:cs="宋体"/>
          <w:sz w:val="24"/>
          <w:szCs w:val="24"/>
          <w:highlight w:val="none"/>
        </w:rPr>
        <w:t>金融机构、担保机构出具的保函。</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17.3 </w:t>
      </w:r>
      <w:r>
        <w:rPr>
          <w:rFonts w:hint="eastAsia" w:ascii="宋体" w:hAnsi="宋体" w:cs="宋体"/>
          <w:sz w:val="24"/>
          <w:szCs w:val="24"/>
          <w:highlight w:val="none"/>
        </w:rPr>
        <w:t>凡没有根据本须知第</w:t>
      </w:r>
      <w:r>
        <w:rPr>
          <w:rFonts w:ascii="宋体" w:hAnsi="宋体" w:cs="宋体"/>
          <w:sz w:val="24"/>
          <w:szCs w:val="24"/>
          <w:highlight w:val="none"/>
        </w:rPr>
        <w:t>17.1</w:t>
      </w:r>
      <w:r>
        <w:rPr>
          <w:rFonts w:hint="eastAsia" w:ascii="宋体" w:hAnsi="宋体" w:cs="宋体"/>
          <w:sz w:val="24"/>
          <w:szCs w:val="24"/>
          <w:highlight w:val="none"/>
        </w:rPr>
        <w:t>和</w:t>
      </w:r>
      <w:r>
        <w:rPr>
          <w:rFonts w:ascii="宋体" w:hAnsi="宋体" w:cs="宋体"/>
          <w:sz w:val="24"/>
          <w:szCs w:val="24"/>
          <w:highlight w:val="none"/>
        </w:rPr>
        <w:t>17.2</w:t>
      </w:r>
      <w:r>
        <w:rPr>
          <w:rFonts w:hint="eastAsia" w:ascii="宋体" w:hAnsi="宋体" w:cs="宋体"/>
          <w:sz w:val="24"/>
          <w:szCs w:val="24"/>
          <w:highlight w:val="none"/>
        </w:rPr>
        <w:t>条的规定随附投标保证金的投标，投标无效。投标人提交的投标保证金，将以转账形式予以退回。请各投标人在中标公告公布之后将单位退保证金公账户信息发送电子邮件至采购代理机构指定邮箱，如未发送，保证金逾期未退还将由投标人承担。</w:t>
      </w:r>
    </w:p>
    <w:p>
      <w:pPr>
        <w:spacing w:line="360" w:lineRule="auto"/>
        <w:ind w:firstLine="480" w:firstLineChars="200"/>
        <w:rPr>
          <w:rFonts w:ascii="宋体" w:cs="宋体"/>
          <w:sz w:val="24"/>
          <w:highlight w:val="none"/>
        </w:rPr>
      </w:pPr>
      <w:r>
        <w:rPr>
          <w:rFonts w:ascii="宋体" w:hAnsi="宋体" w:cs="宋体"/>
          <w:sz w:val="24"/>
          <w:szCs w:val="24"/>
          <w:highlight w:val="none"/>
        </w:rPr>
        <w:t xml:space="preserve">17.4 </w:t>
      </w:r>
      <w:r>
        <w:rPr>
          <w:rFonts w:hint="eastAsia" w:ascii="宋体" w:hAnsi="宋体" w:cs="宋体"/>
          <w:sz w:val="24"/>
          <w:szCs w:val="24"/>
          <w:highlight w:val="none"/>
        </w:rPr>
        <w:t>未中标投标人的投标保证金</w:t>
      </w:r>
      <w:r>
        <w:rPr>
          <w:rFonts w:ascii="宋体" w:hAnsi="宋体" w:cs="宋体"/>
          <w:sz w:val="24"/>
          <w:szCs w:val="24"/>
          <w:highlight w:val="none"/>
        </w:rPr>
        <w:t xml:space="preserve">, </w:t>
      </w:r>
      <w:r>
        <w:rPr>
          <w:rFonts w:hint="eastAsia" w:ascii="宋体" w:hAnsi="宋体" w:cs="宋体"/>
          <w:sz w:val="24"/>
          <w:highlight w:val="none"/>
        </w:rPr>
        <w:t>自中标通知书发出之日起</w:t>
      </w:r>
      <w:r>
        <w:rPr>
          <w:rFonts w:ascii="宋体" w:hAnsi="宋体" w:cs="宋体"/>
          <w:sz w:val="24"/>
          <w:highlight w:val="none"/>
        </w:rPr>
        <w:t>5</w:t>
      </w:r>
      <w:r>
        <w:rPr>
          <w:rFonts w:hint="eastAsia" w:ascii="宋体" w:hAnsi="宋体" w:cs="宋体"/>
          <w:sz w:val="24"/>
          <w:highlight w:val="none"/>
        </w:rPr>
        <w:t>个工作日内退还投标人。</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17.5 </w:t>
      </w:r>
      <w:r>
        <w:rPr>
          <w:rFonts w:hint="eastAsia" w:ascii="宋体" w:hAnsi="宋体" w:cs="宋体"/>
          <w:sz w:val="24"/>
          <w:szCs w:val="24"/>
          <w:highlight w:val="none"/>
        </w:rPr>
        <w:t>中标投标人的投标保证金，自政府采购合同签订之日起</w:t>
      </w:r>
      <w:r>
        <w:rPr>
          <w:rFonts w:ascii="宋体" w:hAnsi="宋体" w:cs="宋体"/>
          <w:sz w:val="24"/>
          <w:szCs w:val="24"/>
          <w:highlight w:val="none"/>
        </w:rPr>
        <w:t>5</w:t>
      </w:r>
      <w:r>
        <w:rPr>
          <w:rFonts w:hint="eastAsia" w:ascii="宋体" w:hAnsi="宋体" w:cs="宋体"/>
          <w:sz w:val="24"/>
          <w:szCs w:val="24"/>
          <w:highlight w:val="none"/>
        </w:rPr>
        <w:t>个工作日内退还。</w:t>
      </w:r>
    </w:p>
    <w:p>
      <w:pPr>
        <w:numPr>
          <w:ilvl w:val="1"/>
          <w:numId w:val="10"/>
        </w:numPr>
        <w:spacing w:line="360" w:lineRule="auto"/>
        <w:rPr>
          <w:rFonts w:ascii="宋体" w:cs="宋体"/>
          <w:sz w:val="24"/>
          <w:szCs w:val="24"/>
          <w:highlight w:val="none"/>
        </w:rPr>
      </w:pPr>
      <w:r>
        <w:rPr>
          <w:rFonts w:hint="eastAsia" w:ascii="宋体" w:hAnsi="宋体" w:cs="宋体"/>
          <w:sz w:val="24"/>
          <w:szCs w:val="24"/>
          <w:highlight w:val="none"/>
        </w:rPr>
        <w:t>下列任何情况发生时，投标保证金将不予退还：</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1</w:t>
      </w:r>
      <w:r>
        <w:rPr>
          <w:rFonts w:hint="eastAsia" w:ascii="宋体" w:hAnsi="宋体" w:cs="宋体"/>
          <w:sz w:val="24"/>
          <w:szCs w:val="24"/>
          <w:highlight w:val="none"/>
        </w:rPr>
        <w:t>）投标人在招标文件中规定的投标有效期内撤回其投标；</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2</w:t>
      </w:r>
      <w:r>
        <w:rPr>
          <w:rFonts w:hint="eastAsia" w:ascii="宋体" w:hAnsi="宋体" w:cs="宋体"/>
          <w:sz w:val="24"/>
          <w:szCs w:val="24"/>
          <w:highlight w:val="none"/>
        </w:rPr>
        <w:t>）投标人行贿采购人或采购代理机构或评标专家或试图影响招标结果的行为；</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3</w:t>
      </w:r>
      <w:r>
        <w:rPr>
          <w:rFonts w:hint="eastAsia" w:ascii="宋体" w:hAnsi="宋体" w:cs="宋体"/>
          <w:sz w:val="24"/>
          <w:szCs w:val="24"/>
          <w:highlight w:val="none"/>
        </w:rPr>
        <w:t>）中标人在规定期限内未能根据本须知第</w:t>
      </w:r>
      <w:r>
        <w:rPr>
          <w:rFonts w:ascii="宋体" w:hAnsi="宋体" w:cs="宋体"/>
          <w:sz w:val="24"/>
          <w:szCs w:val="24"/>
          <w:highlight w:val="none"/>
        </w:rPr>
        <w:t>31</w:t>
      </w:r>
      <w:r>
        <w:rPr>
          <w:rFonts w:hint="eastAsia" w:ascii="宋体" w:hAnsi="宋体" w:cs="宋体"/>
          <w:sz w:val="24"/>
          <w:szCs w:val="24"/>
          <w:highlight w:val="none"/>
        </w:rPr>
        <w:t>条规定签订合同；</w:t>
      </w:r>
    </w:p>
    <w:p>
      <w:pPr>
        <w:tabs>
          <w:tab w:val="left" w:pos="900"/>
        </w:tabs>
        <w:spacing w:line="360" w:lineRule="auto"/>
        <w:ind w:left="480"/>
        <w:rPr>
          <w:rFonts w:ascii="宋体" w:cs="宋体"/>
          <w:sz w:val="24"/>
          <w:szCs w:val="24"/>
          <w:highlight w:val="none"/>
        </w:rPr>
      </w:pPr>
      <w:r>
        <w:rPr>
          <w:rFonts w:hint="eastAsia" w:ascii="宋体" w:hAnsi="宋体" w:cs="宋体"/>
          <w:sz w:val="24"/>
          <w:szCs w:val="24"/>
          <w:highlight w:val="none"/>
        </w:rPr>
        <w:t>（</w:t>
      </w:r>
      <w:r>
        <w:rPr>
          <w:rFonts w:ascii="宋体" w:hAnsi="宋体" w:cs="宋体"/>
          <w:sz w:val="24"/>
          <w:szCs w:val="24"/>
          <w:highlight w:val="none"/>
        </w:rPr>
        <w:t>4</w:t>
      </w:r>
      <w:r>
        <w:rPr>
          <w:rFonts w:hint="eastAsia" w:ascii="宋体" w:hAnsi="宋体" w:cs="宋体"/>
          <w:sz w:val="24"/>
          <w:szCs w:val="24"/>
          <w:highlight w:val="none"/>
        </w:rPr>
        <w:t>）投标人在提交投标文件时或答复质疑及澄清时提供虚假或伪造的证明材料及数据；</w:t>
      </w:r>
    </w:p>
    <w:p>
      <w:pPr>
        <w:spacing w:line="360" w:lineRule="auto"/>
        <w:ind w:left="480"/>
        <w:rPr>
          <w:rFonts w:ascii="宋体" w:cs="宋体"/>
          <w:color w:val="000000"/>
          <w:sz w:val="24"/>
          <w:szCs w:val="24"/>
          <w:highlight w:val="none"/>
        </w:rPr>
      </w:pPr>
      <w:r>
        <w:rPr>
          <w:rFonts w:hint="eastAsia" w:ascii="宋体" w:hAnsi="宋体" w:cs="宋体"/>
          <w:color w:val="000000"/>
          <w:kern w:val="0"/>
          <w:sz w:val="24"/>
          <w:szCs w:val="24"/>
          <w:highlight w:val="none"/>
        </w:rPr>
        <w:t>（</w:t>
      </w:r>
      <w:r>
        <w:rPr>
          <w:rFonts w:ascii="宋体" w:hAnsi="宋体" w:cs="宋体"/>
          <w:color w:val="000000"/>
          <w:kern w:val="0"/>
          <w:sz w:val="24"/>
          <w:szCs w:val="24"/>
          <w:highlight w:val="none"/>
        </w:rPr>
        <w:t>5</w:t>
      </w: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zh-CN"/>
        </w:rPr>
        <w:t>法律、行政法规和招标文件规定的其他情况。</w:t>
      </w:r>
    </w:p>
    <w:p>
      <w:pPr>
        <w:spacing w:line="360" w:lineRule="auto"/>
        <w:ind w:firstLine="482" w:firstLineChars="200"/>
        <w:rPr>
          <w:rFonts w:ascii="宋体" w:cs="宋体"/>
          <w:b/>
          <w:kern w:val="0"/>
          <w:sz w:val="24"/>
          <w:szCs w:val="24"/>
          <w:highlight w:val="none"/>
          <w:lang w:val="zh-CN"/>
        </w:rPr>
      </w:pPr>
      <w:r>
        <w:rPr>
          <w:rFonts w:ascii="宋体" w:hAnsi="宋体" w:cs="宋体"/>
          <w:b/>
          <w:color w:val="000000"/>
          <w:sz w:val="24"/>
          <w:szCs w:val="24"/>
          <w:highlight w:val="none"/>
        </w:rPr>
        <w:t>1</w:t>
      </w:r>
      <w:r>
        <w:rPr>
          <w:rFonts w:ascii="宋体" w:hAnsi="宋体" w:cs="宋体"/>
          <w:b/>
          <w:kern w:val="0"/>
          <w:sz w:val="24"/>
          <w:szCs w:val="24"/>
          <w:highlight w:val="none"/>
          <w:lang w:val="zh-CN"/>
        </w:rPr>
        <w:t xml:space="preserve">7.7 </w:t>
      </w:r>
      <w:r>
        <w:rPr>
          <w:rFonts w:hint="eastAsia" w:ascii="宋体" w:hAnsi="宋体" w:cs="宋体"/>
          <w:b/>
          <w:kern w:val="0"/>
          <w:sz w:val="24"/>
          <w:szCs w:val="24"/>
          <w:highlight w:val="none"/>
          <w:lang w:val="zh-CN"/>
        </w:rPr>
        <w:t>中标服务费</w:t>
      </w:r>
    </w:p>
    <w:p>
      <w:pPr>
        <w:spacing w:line="360" w:lineRule="auto"/>
        <w:ind w:firstLine="482" w:firstLineChars="200"/>
        <w:rPr>
          <w:rFonts w:ascii="宋体" w:cs="宋体"/>
          <w:b/>
          <w:sz w:val="24"/>
          <w:szCs w:val="24"/>
          <w:highlight w:val="none"/>
        </w:rPr>
      </w:pPr>
      <w:r>
        <w:rPr>
          <w:rFonts w:ascii="宋体" w:hAnsi="宋体" w:cs="宋体"/>
          <w:b/>
          <w:kern w:val="0"/>
          <w:sz w:val="24"/>
          <w:szCs w:val="24"/>
          <w:highlight w:val="none"/>
          <w:lang w:val="zh-CN"/>
        </w:rPr>
        <w:t>17.7.1</w:t>
      </w:r>
      <w:r>
        <w:rPr>
          <w:rFonts w:hint="eastAsia" w:ascii="宋体" w:hAnsi="宋体" w:cs="宋体"/>
          <w:b/>
          <w:kern w:val="0"/>
          <w:sz w:val="24"/>
          <w:szCs w:val="24"/>
          <w:highlight w:val="none"/>
          <w:lang w:val="zh-CN"/>
        </w:rPr>
        <w:t>中标人应</w:t>
      </w:r>
      <w:r>
        <w:rPr>
          <w:rFonts w:hint="eastAsia" w:ascii="宋体" w:hAnsi="宋体" w:cs="宋体"/>
          <w:b/>
          <w:sz w:val="24"/>
          <w:szCs w:val="24"/>
          <w:highlight w:val="none"/>
        </w:rPr>
        <w:t>在领取中标通知书时向采购代理机构交纳中标服务费。</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17.7.2</w:t>
      </w:r>
      <w:r>
        <w:rPr>
          <w:rFonts w:hint="eastAsia" w:ascii="宋体" w:hAnsi="宋体" w:cs="宋体"/>
          <w:b/>
          <w:sz w:val="24"/>
          <w:szCs w:val="24"/>
          <w:highlight w:val="none"/>
        </w:rPr>
        <w:t>中标服务费</w:t>
      </w:r>
      <w:r>
        <w:rPr>
          <w:rFonts w:hint="eastAsia" w:ascii="宋体" w:hAnsi="宋体" w:cs="宋体"/>
          <w:b/>
          <w:sz w:val="24"/>
          <w:highlight w:val="none"/>
        </w:rPr>
        <w:t>以中标通知书的中标金额作为收取的计算基数，参照原《招标代理服务收费管理暂行办法》（计价格</w:t>
      </w:r>
      <w:r>
        <w:rPr>
          <w:rFonts w:ascii="宋体" w:hAnsi="宋体" w:cs="宋体"/>
          <w:b/>
          <w:sz w:val="24"/>
          <w:highlight w:val="none"/>
        </w:rPr>
        <w:t>[2002]1980</w:t>
      </w:r>
      <w:r>
        <w:rPr>
          <w:rFonts w:hint="eastAsia" w:ascii="宋体" w:hAnsi="宋体" w:cs="宋体"/>
          <w:b/>
          <w:sz w:val="24"/>
          <w:highlight w:val="none"/>
        </w:rPr>
        <w:t>号）的规定，按差额定率累进法计算。</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18.</w:t>
      </w:r>
      <w:r>
        <w:rPr>
          <w:rFonts w:hint="eastAsia" w:ascii="宋体" w:hAnsi="宋体" w:cs="宋体"/>
          <w:b/>
          <w:sz w:val="24"/>
          <w:szCs w:val="24"/>
          <w:highlight w:val="none"/>
        </w:rPr>
        <w:t>投标有效期</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18.1 </w:t>
      </w:r>
      <w:r>
        <w:rPr>
          <w:rFonts w:hint="eastAsia" w:ascii="宋体" w:hAnsi="宋体" w:cs="宋体"/>
          <w:sz w:val="24"/>
          <w:szCs w:val="24"/>
          <w:highlight w:val="none"/>
        </w:rPr>
        <w:t>投标应自本须知第</w:t>
      </w:r>
      <w:r>
        <w:rPr>
          <w:rFonts w:ascii="宋体" w:hAnsi="宋体" w:cs="宋体"/>
          <w:sz w:val="24"/>
          <w:szCs w:val="24"/>
          <w:highlight w:val="none"/>
        </w:rPr>
        <w:t>24.1</w:t>
      </w:r>
      <w:r>
        <w:rPr>
          <w:rFonts w:hint="eastAsia" w:ascii="宋体" w:hAnsi="宋体" w:cs="宋体"/>
          <w:sz w:val="24"/>
          <w:szCs w:val="24"/>
          <w:highlight w:val="none"/>
        </w:rPr>
        <w:t>条规定的开标日起，并在“投标人须知前附表”中所述时期内保持有效。投标有效期不足的投标将被视为非响应性投标而作无效投标处理。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18.2 </w:t>
      </w:r>
      <w:r>
        <w:rPr>
          <w:rFonts w:hint="eastAsia" w:ascii="宋体" w:hAnsi="宋体" w:cs="宋体"/>
          <w:sz w:val="24"/>
          <w:szCs w:val="24"/>
          <w:highlight w:val="none"/>
        </w:rPr>
        <w:t>特殊情况下，在原投标有效期截止之前，采购人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w:t>
      </w:r>
      <w:r>
        <w:rPr>
          <w:rFonts w:ascii="宋体" w:hAnsi="宋体" w:cs="宋体"/>
          <w:sz w:val="24"/>
          <w:szCs w:val="24"/>
          <w:highlight w:val="none"/>
        </w:rPr>
        <w:t>17</w:t>
      </w:r>
      <w:r>
        <w:rPr>
          <w:rFonts w:hint="eastAsia" w:ascii="宋体" w:hAnsi="宋体" w:cs="宋体"/>
          <w:sz w:val="24"/>
          <w:szCs w:val="24"/>
          <w:highlight w:val="none"/>
        </w:rPr>
        <w:t>条有关投标保证金的退还和不予退还的规定将在延长了的有效期内继续有效。</w:t>
      </w:r>
    </w:p>
    <w:p>
      <w:pPr>
        <w:spacing w:line="360" w:lineRule="auto"/>
        <w:ind w:firstLine="482" w:firstLineChars="200"/>
        <w:rPr>
          <w:rFonts w:hint="eastAsia" w:ascii="宋体" w:eastAsia="宋体" w:cs="宋体"/>
          <w:b/>
          <w:sz w:val="24"/>
          <w:szCs w:val="24"/>
          <w:highlight w:val="none"/>
          <w:lang w:eastAsia="zh-CN"/>
        </w:rPr>
      </w:pPr>
      <w:r>
        <w:rPr>
          <w:rFonts w:ascii="宋体" w:hAnsi="宋体" w:cs="宋体"/>
          <w:b/>
          <w:sz w:val="24"/>
          <w:szCs w:val="24"/>
          <w:highlight w:val="none"/>
        </w:rPr>
        <w:t>19.</w:t>
      </w:r>
      <w:r>
        <w:rPr>
          <w:rFonts w:hint="eastAsia" w:ascii="宋体" w:hAnsi="宋体" w:cs="宋体"/>
          <w:b/>
          <w:sz w:val="24"/>
          <w:szCs w:val="24"/>
          <w:highlight w:val="none"/>
        </w:rPr>
        <w:t>投标文件的制作和签署</w:t>
      </w:r>
    </w:p>
    <w:p>
      <w:pPr>
        <w:tabs>
          <w:tab w:val="left" w:pos="588"/>
        </w:tabs>
        <w:spacing w:line="360" w:lineRule="auto"/>
        <w:ind w:firstLine="480" w:firstLineChars="200"/>
        <w:rPr>
          <w:rFonts w:hint="eastAsia" w:ascii="宋体" w:hAnsi="宋体" w:eastAsia="宋体" w:cs="宋体"/>
          <w:kern w:val="0"/>
          <w:sz w:val="24"/>
          <w:szCs w:val="24"/>
          <w:highlight w:val="none"/>
        </w:rPr>
      </w:pPr>
      <w:bookmarkStart w:id="54" w:name="_Toc14776839"/>
      <w:bookmarkStart w:id="55" w:name="_Toc322446892"/>
      <w:bookmarkStart w:id="56" w:name="_Toc2511972"/>
      <w:bookmarkStart w:id="57" w:name="_Toc493422651"/>
      <w:bookmarkStart w:id="58" w:name="_Toc2355231"/>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1投标人</w:t>
      </w:r>
      <w:r>
        <w:rPr>
          <w:rFonts w:hint="eastAsia" w:ascii="宋体" w:hAnsi="宋体" w:eastAsia="宋体" w:cs="宋体"/>
          <w:kern w:val="0"/>
          <w:sz w:val="24"/>
          <w:szCs w:val="24"/>
          <w:highlight w:val="none"/>
        </w:rPr>
        <w:t>在</w:t>
      </w:r>
      <w:r>
        <w:rPr>
          <w:rFonts w:hint="eastAsia" w:ascii="宋体" w:hAnsi="宋体" w:eastAsia="宋体" w:cs="宋体"/>
          <w:kern w:val="0"/>
          <w:sz w:val="24"/>
          <w:szCs w:val="24"/>
          <w:highlight w:val="none"/>
          <w:lang w:val="en-US" w:eastAsia="zh-CN"/>
        </w:rPr>
        <w:t>招标</w:t>
      </w:r>
      <w:r>
        <w:rPr>
          <w:rFonts w:hint="eastAsia" w:ascii="宋体" w:hAnsi="宋体" w:eastAsia="宋体" w:cs="宋体"/>
          <w:kern w:val="0"/>
          <w:sz w:val="24"/>
          <w:szCs w:val="24"/>
          <w:highlight w:val="none"/>
        </w:rPr>
        <w:t>过程中相关文件的签订、履行、通知等事项的书面文件中的单位盖章、印章、公章等处均仅指与</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名称全称相一致的法定代表人章，不得使用其他形式（如带有“专用章”等字样）的印章。</w:t>
      </w:r>
      <w:bookmarkStart w:id="59" w:name="_Hlt491765640"/>
      <w:bookmarkEnd w:id="59"/>
    </w:p>
    <w:p>
      <w:pPr>
        <w:pStyle w:val="2"/>
        <w:rPr>
          <w:rFonts w:hint="eastAsia"/>
          <w:highlight w:val="none"/>
        </w:rPr>
      </w:pPr>
      <w:r>
        <w:rPr>
          <w:rFonts w:hint="eastAsia" w:ascii="宋体" w:hAnsi="宋体" w:eastAsia="宋体" w:cs="宋体"/>
          <w:kern w:val="0"/>
          <w:sz w:val="24"/>
          <w:szCs w:val="24"/>
          <w:highlight w:val="none"/>
          <w:lang w:val="en-US" w:eastAsia="zh-CN"/>
        </w:rPr>
        <w:t>1</w:t>
      </w:r>
      <w:r>
        <w:rPr>
          <w:rFonts w:hint="eastAsia" w:hAnsi="宋体" w:eastAsia="宋体" w:cs="宋体"/>
          <w:kern w:val="0"/>
          <w:sz w:val="24"/>
          <w:szCs w:val="24"/>
          <w:highlight w:val="none"/>
          <w:lang w:val="en-US" w:eastAsia="zh-CN"/>
        </w:rPr>
        <w:t>9</w:t>
      </w:r>
      <w:r>
        <w:rPr>
          <w:rFonts w:hint="eastAsia" w:ascii="宋体" w:hAnsi="宋体" w:eastAsia="宋体" w:cs="宋体"/>
          <w:kern w:val="0"/>
          <w:sz w:val="24"/>
          <w:szCs w:val="24"/>
          <w:highlight w:val="none"/>
          <w:lang w:val="en-US" w:eastAsia="zh-CN"/>
        </w:rPr>
        <w:t>.2投标</w:t>
      </w:r>
      <w:r>
        <w:rPr>
          <w:rFonts w:hint="eastAsia" w:hAnsi="宋体" w:eastAsia="宋体" w:cs="宋体"/>
          <w:kern w:val="0"/>
          <w:sz w:val="24"/>
          <w:szCs w:val="24"/>
          <w:highlight w:val="none"/>
          <w:lang w:val="en-US" w:eastAsia="zh-CN"/>
        </w:rPr>
        <w:t>文</w:t>
      </w:r>
      <w:r>
        <w:rPr>
          <w:rFonts w:hint="eastAsia" w:ascii="宋体" w:hAnsi="宋体" w:eastAsia="宋体" w:cs="宋体"/>
          <w:kern w:val="0"/>
          <w:sz w:val="24"/>
          <w:szCs w:val="24"/>
          <w:highlight w:val="none"/>
          <w:lang w:val="en-US" w:eastAsia="zh-CN"/>
        </w:rPr>
        <w:t>件的制作和签署</w:t>
      </w:r>
      <w:r>
        <w:rPr>
          <w:rFonts w:hint="eastAsia" w:ascii="宋体" w:hAnsi="宋体" w:eastAsia="宋体" w:cs="宋体"/>
          <w:kern w:val="0"/>
          <w:sz w:val="24"/>
          <w:szCs w:val="24"/>
          <w:highlight w:val="none"/>
        </w:rPr>
        <w:t>格按照政采云电子投标流程制作</w:t>
      </w:r>
      <w:r>
        <w:rPr>
          <w:rFonts w:hint="eastAsia" w:ascii="宋体" w:hAnsi="宋体" w:eastAsia="宋体" w:cs="宋体"/>
          <w:kern w:val="0"/>
          <w:sz w:val="24"/>
          <w:szCs w:val="24"/>
          <w:highlight w:val="none"/>
          <w:lang w:val="en-US" w:eastAsia="zh-CN"/>
        </w:rPr>
        <w:t>签署</w:t>
      </w:r>
      <w:r>
        <w:rPr>
          <w:rFonts w:hint="eastAsia" w:hAnsi="宋体" w:eastAsia="宋体" w:cs="宋体"/>
          <w:kern w:val="0"/>
          <w:sz w:val="24"/>
          <w:szCs w:val="24"/>
          <w:highlight w:val="none"/>
          <w:lang w:val="en-US" w:eastAsia="zh-CN"/>
        </w:rPr>
        <w:t>电子章</w:t>
      </w:r>
      <w:r>
        <w:rPr>
          <w:rFonts w:hint="eastAsia" w:ascii="宋体" w:hAnsi="宋体" w:eastAsia="宋体" w:cs="宋体"/>
          <w:kern w:val="0"/>
          <w:sz w:val="24"/>
          <w:szCs w:val="24"/>
          <w:highlight w:val="none"/>
        </w:rPr>
        <w:t>并上传电子投标文件</w:t>
      </w:r>
      <w:r>
        <w:rPr>
          <w:rFonts w:hint="eastAsia" w:ascii="宋体" w:hAnsi="宋体" w:eastAsia="宋体" w:cs="宋体"/>
          <w:kern w:val="0"/>
          <w:sz w:val="24"/>
          <w:szCs w:val="24"/>
          <w:highlight w:val="none"/>
          <w:lang w:eastAsia="zh-CN"/>
        </w:rPr>
        <w:t>。</w:t>
      </w:r>
    </w:p>
    <w:p>
      <w:pPr>
        <w:spacing w:line="360" w:lineRule="auto"/>
        <w:rPr>
          <w:rFonts w:ascii="宋体" w:cs="宋体"/>
          <w:b/>
          <w:sz w:val="24"/>
          <w:szCs w:val="24"/>
          <w:highlight w:val="none"/>
        </w:rPr>
      </w:pPr>
      <w:r>
        <w:rPr>
          <w:rFonts w:hint="eastAsia" w:ascii="宋体" w:hAnsi="宋体" w:cs="宋体"/>
          <w:b/>
          <w:sz w:val="24"/>
          <w:szCs w:val="24"/>
          <w:highlight w:val="none"/>
        </w:rPr>
        <w:t>四、投标文件的密封和递交</w:t>
      </w:r>
      <w:bookmarkEnd w:id="54"/>
      <w:bookmarkEnd w:id="55"/>
      <w:bookmarkEnd w:id="56"/>
      <w:bookmarkEnd w:id="57"/>
      <w:bookmarkEnd w:id="58"/>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20.</w:t>
      </w:r>
      <w:r>
        <w:rPr>
          <w:rFonts w:hint="eastAsia" w:ascii="宋体" w:hAnsi="宋体" w:cs="宋体"/>
          <w:b/>
          <w:sz w:val="24"/>
          <w:szCs w:val="24"/>
          <w:highlight w:val="none"/>
        </w:rPr>
        <w:t>投标文件的密封和标记</w:t>
      </w:r>
    </w:p>
    <w:p>
      <w:pPr>
        <w:tabs>
          <w:tab w:val="left" w:pos="588"/>
        </w:tabs>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20.1</w:t>
      </w:r>
      <w:r>
        <w:rPr>
          <w:rFonts w:hint="eastAsia" w:ascii="宋体" w:hAnsi="宋体" w:eastAsia="宋体" w:cs="宋体"/>
          <w:kern w:val="0"/>
          <w:sz w:val="24"/>
          <w:szCs w:val="24"/>
          <w:highlight w:val="none"/>
        </w:rPr>
        <w:t>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pPr>
        <w:tabs>
          <w:tab w:val="left" w:pos="588"/>
        </w:tabs>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 xml:space="preserve">  投标人</w:t>
      </w:r>
      <w:r>
        <w:rPr>
          <w:rFonts w:hint="eastAsia" w:ascii="宋体" w:hAnsi="宋体" w:eastAsia="宋体" w:cs="宋体"/>
          <w:kern w:val="0"/>
          <w:sz w:val="24"/>
          <w:szCs w:val="24"/>
          <w:highlight w:val="none"/>
        </w:rPr>
        <w:t>因自身原因导致电子投标文件无法导入电子评标系统的，该</w:t>
      </w:r>
      <w:r>
        <w:rPr>
          <w:rFonts w:hint="eastAsia" w:ascii="宋体" w:hAnsi="宋体" w:eastAsia="宋体" w:cs="宋体"/>
          <w:kern w:val="0"/>
          <w:sz w:val="24"/>
          <w:szCs w:val="24"/>
          <w:highlight w:val="none"/>
          <w:lang w:eastAsia="zh-CN"/>
        </w:rPr>
        <w:t>投标文件</w:t>
      </w:r>
      <w:r>
        <w:rPr>
          <w:rFonts w:hint="eastAsia" w:ascii="宋体" w:hAnsi="宋体" w:eastAsia="宋体" w:cs="宋体"/>
          <w:kern w:val="0"/>
          <w:sz w:val="24"/>
          <w:szCs w:val="24"/>
          <w:highlight w:val="none"/>
        </w:rPr>
        <w:t>视为无效文件。</w:t>
      </w:r>
    </w:p>
    <w:p>
      <w:pPr>
        <w:tabs>
          <w:tab w:val="left" w:pos="588"/>
        </w:tabs>
        <w:spacing w:line="360" w:lineRule="auto"/>
        <w:ind w:firstLine="480" w:firstLineChars="200"/>
        <w:rPr>
          <w:rFonts w:ascii="宋体" w:cs="宋体"/>
          <w:sz w:val="24"/>
          <w:szCs w:val="24"/>
          <w:highlight w:val="none"/>
        </w:rPr>
      </w:pPr>
      <w:r>
        <w:rPr>
          <w:rFonts w:hint="eastAsia" w:ascii="宋体" w:hAnsi="宋体" w:eastAsia="宋体" w:cs="宋体"/>
          <w:kern w:val="0"/>
          <w:sz w:val="24"/>
          <w:szCs w:val="24"/>
          <w:highlight w:val="none"/>
          <w:lang w:val="en-US" w:eastAsia="zh-CN"/>
        </w:rPr>
        <w:t>20</w:t>
      </w: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电子投标文件具有法律效力,与其他形式的</w:t>
      </w:r>
      <w:r>
        <w:rPr>
          <w:rFonts w:hint="eastAsia" w:ascii="宋体" w:hAnsi="宋体" w:eastAsia="宋体" w:cs="宋体"/>
          <w:kern w:val="0"/>
          <w:sz w:val="24"/>
          <w:szCs w:val="24"/>
          <w:highlight w:val="none"/>
          <w:lang w:eastAsia="zh-CN"/>
        </w:rPr>
        <w:t>投标文件</w:t>
      </w:r>
      <w:r>
        <w:rPr>
          <w:rFonts w:hint="eastAsia" w:ascii="宋体" w:hAnsi="宋体" w:eastAsia="宋体" w:cs="宋体"/>
          <w:kern w:val="0"/>
          <w:sz w:val="24"/>
          <w:szCs w:val="24"/>
          <w:highlight w:val="none"/>
        </w:rPr>
        <w:t>在内容和格式上等同，若投标文件与招标文件要求不一致，其内容影响成交结果时，责任由</w:t>
      </w:r>
      <w:r>
        <w:rPr>
          <w:rFonts w:hint="eastAsia" w:ascii="宋体" w:hAnsi="宋体" w:eastAsia="宋体" w:cs="宋体"/>
          <w:kern w:val="0"/>
          <w:sz w:val="24"/>
          <w:szCs w:val="24"/>
          <w:highlight w:val="none"/>
          <w:lang w:eastAsia="zh-CN"/>
        </w:rPr>
        <w:t>投标人</w:t>
      </w:r>
      <w:r>
        <w:rPr>
          <w:rFonts w:hint="eastAsia" w:ascii="宋体" w:hAnsi="宋体" w:eastAsia="宋体" w:cs="宋体"/>
          <w:kern w:val="0"/>
          <w:sz w:val="24"/>
          <w:szCs w:val="24"/>
          <w:highlight w:val="none"/>
        </w:rPr>
        <w:t>自行承担。</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21.</w:t>
      </w:r>
      <w:r>
        <w:rPr>
          <w:rFonts w:hint="eastAsia" w:ascii="宋体" w:hAnsi="宋体" w:cs="宋体"/>
          <w:b/>
          <w:sz w:val="24"/>
          <w:szCs w:val="24"/>
          <w:highlight w:val="none"/>
        </w:rPr>
        <w:t>投标截止时间</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21.1 </w:t>
      </w:r>
      <w:r>
        <w:rPr>
          <w:rFonts w:hint="eastAsia" w:ascii="宋体" w:hAnsi="宋体" w:cs="宋体"/>
          <w:sz w:val="24"/>
          <w:szCs w:val="24"/>
          <w:highlight w:val="none"/>
        </w:rPr>
        <w:t>投标人应当在投标截止时间（详见“投标人须知前附表”）前将投标文件密封送达至指定的投标文件递交地点，递交地点应是“投标人须知前附表”中指明的地址。</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21.2 </w:t>
      </w:r>
      <w:r>
        <w:rPr>
          <w:rFonts w:hint="eastAsia" w:ascii="宋体" w:hAnsi="宋体" w:cs="宋体"/>
          <w:sz w:val="24"/>
          <w:szCs w:val="24"/>
          <w:highlight w:val="none"/>
        </w:rPr>
        <w:t>采购代理机构可以按本须知第</w:t>
      </w:r>
      <w:r>
        <w:rPr>
          <w:rFonts w:ascii="宋体" w:hAnsi="宋体" w:cs="宋体"/>
          <w:sz w:val="24"/>
          <w:szCs w:val="24"/>
          <w:highlight w:val="none"/>
        </w:rPr>
        <w:t>8</w:t>
      </w:r>
      <w:r>
        <w:rPr>
          <w:rFonts w:hint="eastAsia" w:ascii="宋体" w:hAnsi="宋体" w:cs="宋体"/>
          <w:sz w:val="24"/>
          <w:szCs w:val="24"/>
          <w:highlight w:val="none"/>
        </w:rPr>
        <w:t>条规定，通知修改招标文件适当延长投标截止时间。在此情况下，采购代理机构、采购人和投标人受投标截止时间制约的所有权利和义务均应延长至新的截止期。</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22.</w:t>
      </w:r>
      <w:r>
        <w:rPr>
          <w:rFonts w:hint="eastAsia" w:ascii="宋体" w:hAnsi="宋体" w:cs="宋体"/>
          <w:b/>
          <w:sz w:val="24"/>
          <w:szCs w:val="24"/>
          <w:highlight w:val="none"/>
        </w:rPr>
        <w:t>迟交的投标文件</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22.1 </w:t>
      </w:r>
      <w:r>
        <w:rPr>
          <w:rFonts w:hint="eastAsia" w:ascii="宋体" w:hAnsi="宋体" w:cs="宋体"/>
          <w:b/>
          <w:sz w:val="24"/>
          <w:szCs w:val="24"/>
          <w:highlight w:val="none"/>
        </w:rPr>
        <w:t>采购人、采购代理机构将拒绝接收在本须知第</w:t>
      </w:r>
      <w:r>
        <w:rPr>
          <w:rFonts w:ascii="宋体" w:hAnsi="宋体" w:cs="宋体"/>
          <w:b/>
          <w:sz w:val="24"/>
          <w:szCs w:val="24"/>
          <w:highlight w:val="none"/>
        </w:rPr>
        <w:t>21</w:t>
      </w:r>
      <w:r>
        <w:rPr>
          <w:rFonts w:hint="eastAsia" w:ascii="宋体" w:hAnsi="宋体" w:cs="宋体"/>
          <w:b/>
          <w:sz w:val="24"/>
          <w:szCs w:val="24"/>
          <w:highlight w:val="none"/>
        </w:rPr>
        <w:t>条规定的截止期后送达的任何投标文件。</w:t>
      </w:r>
      <w:r>
        <w:rPr>
          <w:rFonts w:ascii="宋体" w:hAnsi="宋体" w:cs="宋体"/>
          <w:b/>
          <w:sz w:val="24"/>
          <w:szCs w:val="24"/>
          <w:highlight w:val="none"/>
        </w:rPr>
        <w:t xml:space="preserve"> </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23.</w:t>
      </w:r>
      <w:r>
        <w:rPr>
          <w:rFonts w:hint="eastAsia" w:ascii="宋体" w:hAnsi="宋体" w:cs="宋体"/>
          <w:b/>
          <w:sz w:val="24"/>
          <w:szCs w:val="24"/>
          <w:highlight w:val="none"/>
        </w:rPr>
        <w:t>投标文件的修改与撤回</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23.1 </w:t>
      </w:r>
      <w:r>
        <w:rPr>
          <w:rFonts w:hint="eastAsia" w:ascii="宋体" w:hAnsi="宋体" w:cs="宋体"/>
          <w:sz w:val="24"/>
          <w:szCs w:val="24"/>
          <w:highlight w:val="none"/>
        </w:rPr>
        <w:t>投标人在递交投标文件后，可以修改或撤回其投标，但投标人必须在规定的投标截止时间之前将修改或撤回的书面通知递交到采购代理机构。</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23.2 </w:t>
      </w:r>
      <w:r>
        <w:rPr>
          <w:rFonts w:hint="eastAsia" w:ascii="宋体" w:hAnsi="宋体" w:cs="宋体"/>
          <w:sz w:val="24"/>
          <w:szCs w:val="24"/>
          <w:highlight w:val="none"/>
        </w:rPr>
        <w:t>投标人的修改或撤回通知应按本须知第</w:t>
      </w:r>
      <w:r>
        <w:rPr>
          <w:rFonts w:ascii="宋体" w:hAnsi="宋体" w:cs="宋体"/>
          <w:sz w:val="24"/>
          <w:szCs w:val="24"/>
          <w:highlight w:val="none"/>
        </w:rPr>
        <w:t>20</w:t>
      </w:r>
      <w:r>
        <w:rPr>
          <w:rFonts w:hint="eastAsia" w:ascii="宋体" w:hAnsi="宋体" w:cs="宋体"/>
          <w:sz w:val="24"/>
          <w:szCs w:val="24"/>
          <w:highlight w:val="none"/>
        </w:rPr>
        <w:t>条规定编制、密封、标记和递交。</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23.3 </w:t>
      </w:r>
      <w:r>
        <w:rPr>
          <w:rFonts w:hint="eastAsia" w:ascii="宋体" w:hAnsi="宋体" w:cs="宋体"/>
          <w:sz w:val="24"/>
          <w:szCs w:val="24"/>
          <w:highlight w:val="none"/>
        </w:rPr>
        <w:t>在投标截止时间之后，投标人不得对其投标做任何修改。</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23.4 </w:t>
      </w:r>
      <w:r>
        <w:rPr>
          <w:rFonts w:hint="eastAsia" w:ascii="宋体" w:hAnsi="宋体" w:cs="宋体"/>
          <w:sz w:val="24"/>
          <w:szCs w:val="24"/>
          <w:highlight w:val="none"/>
        </w:rPr>
        <w:t>从投标截止时间至投标人在投标书格式中确定的投标有效期期满这段时间内，投标人不得撤回其投标，否则其投标保证金将按照本须知第</w:t>
      </w:r>
      <w:r>
        <w:rPr>
          <w:rFonts w:ascii="宋体" w:hAnsi="宋体" w:cs="宋体"/>
          <w:sz w:val="24"/>
          <w:szCs w:val="24"/>
          <w:highlight w:val="none"/>
        </w:rPr>
        <w:t>17.7</w:t>
      </w:r>
      <w:r>
        <w:rPr>
          <w:rFonts w:hint="eastAsia" w:ascii="宋体" w:hAnsi="宋体" w:cs="宋体"/>
          <w:sz w:val="24"/>
          <w:szCs w:val="24"/>
          <w:highlight w:val="none"/>
        </w:rPr>
        <w:t>条的规定不予退还。</w:t>
      </w:r>
      <w:bookmarkStart w:id="60" w:name="_Toc493422652"/>
      <w:bookmarkStart w:id="61" w:name="_Toc2355232"/>
      <w:bookmarkStart w:id="62" w:name="_Toc14776840"/>
      <w:bookmarkStart w:id="63" w:name="_Toc322446893"/>
      <w:bookmarkStart w:id="64" w:name="_Toc2511973"/>
    </w:p>
    <w:p>
      <w:pPr>
        <w:spacing w:line="360" w:lineRule="auto"/>
        <w:rPr>
          <w:rFonts w:ascii="宋体" w:cs="宋体"/>
          <w:b/>
          <w:sz w:val="24"/>
          <w:szCs w:val="24"/>
          <w:highlight w:val="none"/>
        </w:rPr>
      </w:pPr>
      <w:r>
        <w:rPr>
          <w:rFonts w:hint="eastAsia" w:ascii="宋体" w:hAnsi="宋体" w:cs="宋体"/>
          <w:b/>
          <w:sz w:val="24"/>
          <w:szCs w:val="24"/>
          <w:highlight w:val="none"/>
        </w:rPr>
        <w:t>五、开标与评标</w:t>
      </w:r>
      <w:bookmarkEnd w:id="60"/>
      <w:bookmarkEnd w:id="61"/>
      <w:bookmarkEnd w:id="62"/>
      <w:bookmarkEnd w:id="63"/>
      <w:bookmarkEnd w:id="64"/>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24.</w:t>
      </w:r>
      <w:r>
        <w:rPr>
          <w:rFonts w:hint="eastAsia" w:ascii="宋体" w:hAnsi="宋体" w:cs="宋体"/>
          <w:b/>
          <w:sz w:val="24"/>
          <w:szCs w:val="24"/>
          <w:highlight w:val="none"/>
        </w:rPr>
        <w:t>开标</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24.1采购单位应当按采购邀请的规定，在投标文件递交截止时间的同一时间和预先确定的地点组织开标活动，并邀请所有投标人代表参加。投标人代表应再电子系统上签名报到以证明其出席。</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ab/>
      </w:r>
      <w:r>
        <w:rPr>
          <w:rFonts w:hint="eastAsia" w:ascii="宋体" w:hAnsi="宋体" w:cs="宋体"/>
          <w:sz w:val="24"/>
          <w:szCs w:val="24"/>
          <w:highlight w:val="none"/>
        </w:rPr>
        <w:t xml:space="preserve">24.2采购人和采购代理机构将按投标人须知资料表中规定的开标时间和地点组织公开开标并邀请所有投标人代表参加。  </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24.3 本项目实行电子投标文件，电子投标文件的有关要求按投标人须知资料表要求，投标人应该使用投标人 CA 锁对电子投标文件加密，否则，其投标文件将被拒绝评审。开标时，投标人必须使用加密该文件的 CA锁， 以便开标时对其电子投标文件进行解密，由于投标人自身原因未能成功导入评标系统的，均视为不响应招标文件，其投标文件将被拒绝评审。未按规定时间在招标文件要求的开评标系统解密成功的电子投标文件无效。</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24.4 采购人或采购代理机构将对开标过程进行记录，由参加开标的各投标人和相关工作人员确认，并存档备查。</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24.5 投标人代表对开标过程和开标记录有疑义，以及认为采购人、采购代理机构相关工作人员有需要回避的情形的，应当在线上提出询问或者回避申请。</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24.6开标流程将按照政采云不见面开标平台的开标流程进行。25.投标人的资格性审查</w:t>
      </w:r>
    </w:p>
    <w:p>
      <w:pPr>
        <w:spacing w:line="360" w:lineRule="auto"/>
        <w:ind w:firstLine="480" w:firstLineChars="200"/>
        <w:jc w:val="left"/>
        <w:rPr>
          <w:rFonts w:ascii="宋体" w:cs="宋体"/>
          <w:sz w:val="24"/>
          <w:szCs w:val="24"/>
          <w:highlight w:val="none"/>
        </w:rPr>
      </w:pPr>
      <w:r>
        <w:rPr>
          <w:rFonts w:hint="eastAsia" w:ascii="宋体" w:hAnsi="宋体" w:cs="宋体"/>
          <w:sz w:val="24"/>
          <w:szCs w:val="24"/>
          <w:highlight w:val="none"/>
        </w:rPr>
        <w:t>公开招标采购项目开标结束后，采购人或采购代理机构对投标人提交的资格证明材料进行审查，并在对应的审查意见一栏记录审查意见，合格投标人不足</w:t>
      </w:r>
      <w:r>
        <w:rPr>
          <w:rFonts w:ascii="宋体" w:hAnsi="宋体" w:cs="宋体"/>
          <w:sz w:val="24"/>
          <w:szCs w:val="24"/>
          <w:highlight w:val="none"/>
        </w:rPr>
        <w:t>3</w:t>
      </w:r>
      <w:r>
        <w:rPr>
          <w:rFonts w:hint="eastAsia" w:ascii="宋体" w:hAnsi="宋体" w:cs="宋体"/>
          <w:sz w:val="24"/>
          <w:szCs w:val="24"/>
          <w:highlight w:val="none"/>
        </w:rPr>
        <w:t>家的，不再开展评标工作。</w:t>
      </w:r>
    </w:p>
    <w:p>
      <w:pPr>
        <w:spacing w:line="360" w:lineRule="auto"/>
        <w:ind w:firstLine="482" w:firstLineChars="200"/>
        <w:rPr>
          <w:rFonts w:ascii="宋体" w:cs="宋体"/>
          <w:sz w:val="24"/>
          <w:szCs w:val="24"/>
          <w:highlight w:val="none"/>
        </w:rPr>
      </w:pPr>
      <w:r>
        <w:rPr>
          <w:rFonts w:ascii="宋体" w:hAnsi="宋体" w:cs="宋体"/>
          <w:b/>
          <w:sz w:val="24"/>
          <w:szCs w:val="24"/>
          <w:highlight w:val="none"/>
        </w:rPr>
        <w:t>26.</w:t>
      </w:r>
      <w:r>
        <w:rPr>
          <w:rFonts w:hint="eastAsia" w:ascii="宋体" w:hAnsi="宋体" w:cs="宋体"/>
          <w:b/>
          <w:sz w:val="24"/>
          <w:szCs w:val="24"/>
          <w:highlight w:val="none"/>
        </w:rPr>
        <w:t>评标</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26.1 </w:t>
      </w:r>
      <w:r>
        <w:rPr>
          <w:rFonts w:hint="eastAsia" w:ascii="宋体" w:hAnsi="宋体" w:cs="宋体"/>
          <w:b/>
          <w:bCs/>
          <w:sz w:val="24"/>
          <w:szCs w:val="24"/>
          <w:highlight w:val="none"/>
        </w:rPr>
        <w:t>评标委员会</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26.1.1</w:t>
      </w:r>
      <w:r>
        <w:rPr>
          <w:rFonts w:hint="eastAsia" w:ascii="宋体" w:hAnsi="宋体" w:cs="宋体"/>
          <w:sz w:val="24"/>
          <w:szCs w:val="24"/>
          <w:highlight w:val="none"/>
        </w:rPr>
        <w:t>采购人或者采购代理机构将从新疆政府采购网的政府采购评审专家库中，通过随机方式抽取评审专家。</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26.1.2 评标委员会由采购人代表和评审专家组成，成员人数应当为5人以上单数，其中评审专家不得少于成员总数的三分之二。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26.1.3</w:t>
      </w:r>
      <w:r>
        <w:rPr>
          <w:rFonts w:hint="eastAsia" w:ascii="宋体" w:hAnsi="宋体" w:cs="宋体"/>
          <w:sz w:val="24"/>
          <w:szCs w:val="24"/>
          <w:highlight w:val="none"/>
        </w:rPr>
        <w:t>评标委员会负责评标工作，应当对合格投标人（通过资格审查）的投标文件进行审查、评价投标文件是否符合招标文件的商务、技术等实质性要求，要求投标人对投标文件有关事项作出澄清或者说明，对投标文件进行比较和评价等，确定中标候选人名单或根据采购人委托直接确定中标人，根据全体评标成员签字的原始评标记录和评标结果编写评标报告。</w:t>
      </w:r>
    </w:p>
    <w:p>
      <w:pPr>
        <w:spacing w:line="360" w:lineRule="auto"/>
        <w:ind w:firstLine="482" w:firstLineChars="200"/>
        <w:rPr>
          <w:rFonts w:ascii="宋体" w:cs="宋体"/>
          <w:b/>
          <w:bCs/>
          <w:sz w:val="24"/>
          <w:szCs w:val="24"/>
          <w:highlight w:val="none"/>
        </w:rPr>
      </w:pPr>
      <w:r>
        <w:rPr>
          <w:rFonts w:ascii="宋体" w:hAnsi="宋体" w:cs="宋体"/>
          <w:b/>
          <w:bCs/>
          <w:sz w:val="24"/>
          <w:szCs w:val="24"/>
          <w:highlight w:val="none"/>
        </w:rPr>
        <w:t>26.2</w:t>
      </w:r>
      <w:r>
        <w:rPr>
          <w:rFonts w:hint="eastAsia" w:ascii="宋体" w:hAnsi="宋体" w:cs="宋体"/>
          <w:b/>
          <w:bCs/>
          <w:sz w:val="24"/>
          <w:szCs w:val="24"/>
          <w:highlight w:val="none"/>
        </w:rPr>
        <w:t>评标方法：</w:t>
      </w:r>
      <w:r>
        <w:rPr>
          <w:rFonts w:hint="eastAsia" w:ascii="宋体" w:hAnsi="宋体" w:cs="宋体"/>
          <w:sz w:val="24"/>
          <w:szCs w:val="24"/>
          <w:highlight w:val="none"/>
        </w:rPr>
        <w:t>详见投标人须知前附表。</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26.3 </w:t>
      </w:r>
      <w:r>
        <w:rPr>
          <w:rFonts w:hint="eastAsia" w:ascii="宋体" w:hAnsi="宋体" w:cs="宋体"/>
          <w:b/>
          <w:bCs/>
          <w:sz w:val="24"/>
          <w:szCs w:val="24"/>
          <w:highlight w:val="none"/>
        </w:rPr>
        <w:t>投标文件的澄清</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26.3.1 </w:t>
      </w:r>
      <w:r>
        <w:rPr>
          <w:rFonts w:hint="eastAsia" w:ascii="宋体" w:hAnsi="宋体" w:cs="宋体"/>
          <w:sz w:val="24"/>
          <w:szCs w:val="24"/>
          <w:highlight w:val="none"/>
        </w:rPr>
        <w:t>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的内容为投标文件的组成部分。</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26.4 </w:t>
      </w:r>
      <w:r>
        <w:rPr>
          <w:rFonts w:hint="eastAsia" w:ascii="宋体" w:hAnsi="宋体" w:cs="宋体"/>
          <w:b/>
          <w:sz w:val="24"/>
          <w:szCs w:val="24"/>
          <w:highlight w:val="none"/>
        </w:rPr>
        <w:t>投标文件的初审（符合性审查）</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26.4.1</w:t>
      </w:r>
      <w:r>
        <w:rPr>
          <w:rFonts w:hint="eastAsia" w:ascii="宋体" w:hAnsi="宋体" w:cs="宋体"/>
          <w:sz w:val="24"/>
          <w:szCs w:val="24"/>
          <w:highlight w:val="none"/>
        </w:rPr>
        <w:t>评标委员会将对符合资格的投标人的投标文件进行符合性审查，以确定其是否满足招标文件的实质性要求。</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26.4.2 </w:t>
      </w:r>
      <w:r>
        <w:rPr>
          <w:rFonts w:hint="eastAsia" w:ascii="宋体" w:hAnsi="宋体" w:cs="宋体"/>
          <w:sz w:val="24"/>
          <w:szCs w:val="24"/>
          <w:highlight w:val="none"/>
        </w:rPr>
        <w:t>投标文件报价出现前后不一致的，按照下列规定修正：</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）开标一览表内容与投标文件中相应内容不一致的，以开标一览表为准；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）大写金额和小写金额不一致的，以大写金额为准；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）单价金额小数点或者百分比有明显错位的，以开标一览表的总价为准，并修改单价；</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）总价金额与按单价汇总金额不一致的，以单价金额计算结果为准。</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同时出现两种以上不一致的，按照前款规定的顺序修正。修正后的报价按照本须知第</w:t>
      </w:r>
      <w:r>
        <w:rPr>
          <w:rFonts w:ascii="宋体" w:hAnsi="宋体" w:cs="宋体"/>
          <w:sz w:val="24"/>
          <w:szCs w:val="24"/>
          <w:highlight w:val="none"/>
        </w:rPr>
        <w:t>26.3.1</w:t>
      </w:r>
      <w:r>
        <w:rPr>
          <w:rFonts w:hint="eastAsia" w:ascii="宋体" w:hAnsi="宋体" w:cs="宋体"/>
          <w:sz w:val="24"/>
          <w:szCs w:val="24"/>
          <w:highlight w:val="none"/>
        </w:rPr>
        <w:t>条的规定经投标人确认后产生约束力，投标人不确认的，其投标无效。</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26.4.3 </w:t>
      </w:r>
      <w:r>
        <w:rPr>
          <w:rFonts w:hint="eastAsia" w:ascii="宋体" w:hAnsi="宋体" w:cs="宋体"/>
          <w:sz w:val="24"/>
          <w:szCs w:val="24"/>
          <w:highlight w:val="none"/>
        </w:rPr>
        <w:t>对于投标文件中不构成实质性偏差的不正规、不一致或不规则，评标委员会将进行综合打分。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26.4.4 </w:t>
      </w:r>
      <w:r>
        <w:rPr>
          <w:rFonts w:hint="eastAsia" w:ascii="宋体" w:hAnsi="宋体" w:cs="宋体"/>
          <w:sz w:val="24"/>
          <w:szCs w:val="24"/>
          <w:highlight w:val="none"/>
        </w:rPr>
        <w:t>在详细评标之前，根据本须知第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响应性只根据投标本身的内容，而不寻求外部的证据。</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 xml:space="preserve">26.4.5 </w:t>
      </w:r>
      <w:r>
        <w:rPr>
          <w:rFonts w:hint="eastAsia" w:ascii="宋体" w:hAnsi="宋体" w:cs="宋体"/>
          <w:b/>
          <w:sz w:val="24"/>
          <w:szCs w:val="24"/>
          <w:highlight w:val="none"/>
        </w:rPr>
        <w:t>实质上没有响应招标文件要求的投标将作无效投标处理。投标人不得通过修正或撤销不合要求的偏离或保留从而使其投标成为实质上响应的投标。投标人存在下列情况之一的，投标无效：</w:t>
      </w:r>
    </w:p>
    <w:p>
      <w:pPr>
        <w:numPr>
          <w:ilvl w:val="0"/>
          <w:numId w:val="11"/>
        </w:numPr>
        <w:tabs>
          <w:tab w:val="left" w:pos="780"/>
          <w:tab w:val="left" w:pos="900"/>
          <w:tab w:val="clear" w:pos="1140"/>
        </w:tabs>
        <w:spacing w:line="360" w:lineRule="auto"/>
        <w:ind w:left="0" w:firstLine="482" w:firstLineChars="200"/>
        <w:rPr>
          <w:highlight w:val="none"/>
        </w:rPr>
      </w:pPr>
      <w:r>
        <w:rPr>
          <w:rFonts w:hint="eastAsia" w:ascii="宋体" w:hAnsi="宋体" w:cs="宋体"/>
          <w:b/>
          <w:sz w:val="24"/>
          <w:szCs w:val="24"/>
          <w:highlight w:val="none"/>
          <w:u w:val="single"/>
        </w:rPr>
        <w:t>投标文件未按照招标文件要求签署、盖章、提交的，或签字人无法定代表人有效委托书的；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报价超过招标文件中规定的预算金额或者最高限价的；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合同履行期限不满足招标文件要求的；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投标文件含有采购人不能接受的附加条件的；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投标有效期不足；</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投标报价不全，或投标人在同一份投标文件中对同一招标货物或服务报有两个或多个报价的，但招标文件要求提交备选投标的除外；</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不接受评委对投标文件报价出现前后不一致的修正；</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投标人有串通投标、弄虚作假、行贿等违法行为；</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投标文件没有对招标文件的实质性要求和条件作出响应的；</w:t>
      </w:r>
    </w:p>
    <w:p>
      <w:pPr>
        <w:numPr>
          <w:ilvl w:val="0"/>
          <w:numId w:val="11"/>
        </w:numPr>
        <w:tabs>
          <w:tab w:val="left" w:pos="780"/>
          <w:tab w:val="left" w:pos="900"/>
          <w:tab w:val="clear" w:pos="1140"/>
        </w:tabs>
        <w:spacing w:line="360" w:lineRule="auto"/>
        <w:ind w:left="0" w:firstLine="482" w:firstLineChars="200"/>
        <w:rPr>
          <w:rFonts w:ascii="宋体" w:hAnsi="宋体" w:cs="宋体"/>
          <w:b/>
          <w:sz w:val="24"/>
          <w:szCs w:val="24"/>
          <w:highlight w:val="none"/>
          <w:u w:val="single"/>
        </w:rPr>
      </w:pPr>
      <w:r>
        <w:rPr>
          <w:rFonts w:hint="eastAsia" w:ascii="宋体" w:hAnsi="宋体" w:cs="宋体"/>
          <w:b/>
          <w:sz w:val="24"/>
          <w:szCs w:val="24"/>
          <w:highlight w:val="none"/>
          <w:u w:val="single"/>
        </w:rPr>
        <w:t>法律、法规和招标文件中规定的其他无效情形；</w:t>
      </w:r>
    </w:p>
    <w:p>
      <w:pPr>
        <w:tabs>
          <w:tab w:val="left" w:pos="780"/>
          <w:tab w:val="left" w:pos="900"/>
        </w:tabs>
        <w:spacing w:line="360" w:lineRule="auto"/>
        <w:ind w:left="482"/>
        <w:rPr>
          <w:rFonts w:ascii="宋体" w:cs="宋体"/>
          <w:b/>
          <w:sz w:val="24"/>
          <w:szCs w:val="24"/>
          <w:highlight w:val="none"/>
        </w:rPr>
      </w:pPr>
      <w:r>
        <w:rPr>
          <w:rFonts w:ascii="宋体" w:hAnsi="宋体" w:cs="宋体"/>
          <w:b/>
          <w:sz w:val="24"/>
          <w:szCs w:val="24"/>
          <w:highlight w:val="none"/>
        </w:rPr>
        <w:t>26.4.6</w:t>
      </w:r>
      <w:r>
        <w:rPr>
          <w:rFonts w:hint="eastAsia" w:ascii="宋体" w:hAnsi="宋体" w:cs="宋体"/>
          <w:b/>
          <w:sz w:val="24"/>
          <w:szCs w:val="24"/>
          <w:highlight w:val="none"/>
        </w:rPr>
        <w:t>有下列情形之一的，视为投标人串通投标，其投标无效：</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1</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不同投标人的投标文件由同一单位或者个人编制；</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2</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不同投标人委托同一单位或者个人办理投标事宜；</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3</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不同投标人的投标文件载明的项目管理成员或者联系人员为同一人；</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4</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不同投标人的投标文件异常一致或者投标报价呈规律性差异；</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5</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不同投标人的投标文件相互混装；</w:t>
      </w:r>
    </w:p>
    <w:p>
      <w:pPr>
        <w:tabs>
          <w:tab w:val="left" w:pos="780"/>
          <w:tab w:val="left" w:pos="900"/>
        </w:tabs>
        <w:spacing w:line="360" w:lineRule="auto"/>
        <w:ind w:left="482"/>
        <w:rPr>
          <w:rFonts w:ascii="宋体" w:cs="宋体"/>
          <w:b/>
          <w:sz w:val="24"/>
          <w:szCs w:val="24"/>
          <w:highlight w:val="none"/>
          <w:u w:val="single"/>
        </w:rPr>
      </w:pPr>
      <w:r>
        <w:rPr>
          <w:rFonts w:ascii="宋体" w:hAnsi="宋体" w:cs="宋体"/>
          <w:b/>
          <w:sz w:val="24"/>
          <w:szCs w:val="24"/>
          <w:highlight w:val="none"/>
        </w:rPr>
        <w:t>6</w:t>
      </w:r>
      <w:r>
        <w:rPr>
          <w:rFonts w:hint="eastAsia" w:ascii="宋体" w:hAnsi="宋体" w:cs="宋体"/>
          <w:b/>
          <w:sz w:val="24"/>
          <w:szCs w:val="24"/>
          <w:highlight w:val="none"/>
        </w:rPr>
        <w:t>）</w:t>
      </w:r>
      <w:r>
        <w:rPr>
          <w:rFonts w:hint="eastAsia" w:ascii="宋体" w:hAnsi="宋体" w:cs="宋体"/>
          <w:b/>
          <w:sz w:val="24"/>
          <w:szCs w:val="24"/>
          <w:highlight w:val="none"/>
          <w:u w:val="single"/>
        </w:rPr>
        <w:t>不同投标人的投标保证金从同一单位或者个人的账户转出。</w:t>
      </w:r>
    </w:p>
    <w:p>
      <w:pPr>
        <w:spacing w:line="360" w:lineRule="auto"/>
        <w:ind w:firstLine="482" w:firstLineChars="200"/>
        <w:rPr>
          <w:rFonts w:ascii="宋体" w:cs="宋体"/>
          <w:sz w:val="24"/>
          <w:szCs w:val="24"/>
          <w:highlight w:val="none"/>
        </w:rPr>
      </w:pPr>
      <w:r>
        <w:rPr>
          <w:rFonts w:ascii="宋体" w:hAnsi="宋体" w:cs="宋体"/>
          <w:b/>
          <w:bCs/>
          <w:sz w:val="24"/>
          <w:szCs w:val="24"/>
          <w:highlight w:val="none"/>
        </w:rPr>
        <w:t xml:space="preserve">26.5 </w:t>
      </w:r>
      <w:r>
        <w:rPr>
          <w:rFonts w:hint="eastAsia" w:ascii="宋体" w:hAnsi="宋体" w:cs="宋体"/>
          <w:b/>
          <w:sz w:val="24"/>
          <w:szCs w:val="24"/>
          <w:highlight w:val="none"/>
        </w:rPr>
        <w:t>投标文件的详细评审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26.5.1 </w:t>
      </w:r>
      <w:r>
        <w:rPr>
          <w:rFonts w:hint="eastAsia" w:ascii="宋体" w:hAnsi="宋体" w:cs="宋体"/>
          <w:sz w:val="24"/>
          <w:szCs w:val="24"/>
          <w:highlight w:val="none"/>
        </w:rPr>
        <w:t>评标委员会将按照本须知第</w:t>
      </w:r>
      <w:r>
        <w:rPr>
          <w:rFonts w:ascii="宋体" w:hAnsi="宋体" w:cs="宋体"/>
          <w:sz w:val="24"/>
          <w:szCs w:val="24"/>
          <w:highlight w:val="none"/>
        </w:rPr>
        <w:t>26.4</w:t>
      </w:r>
      <w:r>
        <w:rPr>
          <w:rFonts w:hint="eastAsia" w:ascii="宋体" w:hAnsi="宋体" w:cs="宋体"/>
          <w:sz w:val="24"/>
          <w:szCs w:val="24"/>
          <w:highlight w:val="none"/>
        </w:rPr>
        <w:t>条规定，只对确定为实质上响应招标文件要求的投标进行详细评审。</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26.5.2 </w:t>
      </w:r>
      <w:r>
        <w:rPr>
          <w:rFonts w:hint="eastAsia" w:ascii="宋体" w:hAnsi="宋体" w:cs="宋体"/>
          <w:sz w:val="24"/>
          <w:szCs w:val="24"/>
          <w:highlight w:val="none"/>
        </w:rPr>
        <w:t>详细评审即以招标文件为依据，对所有实质上响应的投标分别从“商务”、“技术”和“价格”三个方面进行评审并按照百分制进行综合打分（详见第六章评标标准）。</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26.6</w:t>
      </w:r>
      <w:r>
        <w:rPr>
          <w:rFonts w:hint="eastAsia" w:ascii="宋体" w:hAnsi="宋体" w:cs="宋体"/>
          <w:b/>
          <w:sz w:val="24"/>
          <w:szCs w:val="24"/>
          <w:highlight w:val="none"/>
        </w:rPr>
        <w:t>中标人的确定</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投标人。</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27.</w:t>
      </w:r>
      <w:r>
        <w:rPr>
          <w:rFonts w:hint="eastAsia" w:ascii="宋体" w:hAnsi="宋体" w:cs="宋体"/>
          <w:b/>
          <w:sz w:val="24"/>
          <w:szCs w:val="24"/>
          <w:highlight w:val="none"/>
        </w:rPr>
        <w:t>与采购代理机构、采购人和评标委员会的接触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27.1 </w:t>
      </w:r>
      <w:r>
        <w:rPr>
          <w:rFonts w:hint="eastAsia" w:ascii="宋体" w:hAnsi="宋体" w:cs="宋体"/>
          <w:sz w:val="24"/>
          <w:szCs w:val="24"/>
          <w:highlight w:val="none"/>
        </w:rPr>
        <w:t>除本须知第</w:t>
      </w:r>
      <w:r>
        <w:rPr>
          <w:rFonts w:ascii="宋体" w:hAnsi="宋体" w:cs="宋体"/>
          <w:sz w:val="24"/>
          <w:szCs w:val="24"/>
          <w:highlight w:val="none"/>
        </w:rPr>
        <w:t>26.3</w:t>
      </w:r>
      <w:r>
        <w:rPr>
          <w:rFonts w:hint="eastAsia" w:ascii="宋体" w:hAnsi="宋体" w:cs="宋体"/>
          <w:sz w:val="24"/>
          <w:szCs w:val="24"/>
          <w:highlight w:val="none"/>
        </w:rPr>
        <w:t>条的规定外，从开标之日起至公布中标结果之日止，投标人不得就与其投标有关的事项与采购代理机构、采购人以及评标委员会成员接触，但经评标委员会同意的澄清、答疑期间除外。</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27.2 </w:t>
      </w:r>
      <w:r>
        <w:rPr>
          <w:rFonts w:hint="eastAsia" w:ascii="宋体" w:hAnsi="宋体" w:cs="宋体"/>
          <w:sz w:val="24"/>
          <w:szCs w:val="24"/>
          <w:highlight w:val="none"/>
        </w:rPr>
        <w:t>投标人试图对采购代理机构、采购人和评标委员会的评标、比较或授予合同的决定进行影响，都可能导致其投标无效。</w:t>
      </w:r>
      <w:bookmarkStart w:id="65" w:name="_Toc322446894"/>
      <w:bookmarkStart w:id="66" w:name="_Toc493422653"/>
      <w:bookmarkStart w:id="67" w:name="_Toc2511974"/>
      <w:bookmarkStart w:id="68" w:name="_Toc2355233"/>
      <w:bookmarkStart w:id="69" w:name="_Toc14776841"/>
    </w:p>
    <w:p>
      <w:pPr>
        <w:spacing w:line="360" w:lineRule="auto"/>
        <w:rPr>
          <w:rFonts w:ascii="宋体" w:cs="宋体"/>
          <w:sz w:val="24"/>
          <w:szCs w:val="24"/>
          <w:highlight w:val="none"/>
        </w:rPr>
      </w:pPr>
    </w:p>
    <w:p>
      <w:pPr>
        <w:spacing w:line="360" w:lineRule="auto"/>
        <w:rPr>
          <w:rFonts w:ascii="宋体" w:cs="宋体"/>
          <w:b/>
          <w:sz w:val="24"/>
          <w:szCs w:val="24"/>
          <w:highlight w:val="none"/>
        </w:rPr>
      </w:pPr>
      <w:r>
        <w:rPr>
          <w:rFonts w:hint="eastAsia" w:ascii="宋体" w:hAnsi="宋体" w:cs="宋体"/>
          <w:b/>
          <w:sz w:val="24"/>
          <w:szCs w:val="24"/>
          <w:highlight w:val="none"/>
        </w:rPr>
        <w:t>六、授予合同</w:t>
      </w:r>
      <w:bookmarkEnd w:id="65"/>
      <w:bookmarkEnd w:id="66"/>
      <w:bookmarkEnd w:id="67"/>
      <w:bookmarkEnd w:id="68"/>
      <w:bookmarkEnd w:id="69"/>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28.</w:t>
      </w:r>
      <w:r>
        <w:rPr>
          <w:rFonts w:hint="eastAsia" w:ascii="宋体" w:hAnsi="宋体" w:cs="宋体"/>
          <w:b/>
          <w:sz w:val="24"/>
          <w:szCs w:val="24"/>
          <w:highlight w:val="none"/>
        </w:rPr>
        <w:t>合同授予标准</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28.1 </w:t>
      </w:r>
      <w:r>
        <w:rPr>
          <w:rFonts w:hint="eastAsia" w:ascii="宋体" w:hAnsi="宋体" w:cs="宋体"/>
          <w:sz w:val="24"/>
          <w:szCs w:val="24"/>
          <w:highlight w:val="none"/>
        </w:rPr>
        <w:t>除第</w:t>
      </w:r>
      <w:r>
        <w:rPr>
          <w:rFonts w:ascii="宋体" w:hAnsi="宋体" w:cs="宋体"/>
          <w:sz w:val="24"/>
          <w:szCs w:val="24"/>
          <w:highlight w:val="none"/>
        </w:rPr>
        <w:t>31</w:t>
      </w:r>
      <w:r>
        <w:rPr>
          <w:rFonts w:hint="eastAsia" w:ascii="宋体" w:hAnsi="宋体" w:cs="宋体"/>
          <w:sz w:val="24"/>
          <w:szCs w:val="24"/>
          <w:highlight w:val="none"/>
        </w:rPr>
        <w:t>条的规定之外，采购代理机构将把合同授予被确定为实质上响应招标文件的要求并有履行合同能力的具有合理报价的合格投标人。</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29.</w:t>
      </w:r>
      <w:r>
        <w:rPr>
          <w:rFonts w:hint="eastAsia" w:ascii="宋体" w:hAnsi="宋体" w:cs="宋体"/>
          <w:b/>
          <w:sz w:val="24"/>
          <w:szCs w:val="24"/>
          <w:highlight w:val="none"/>
        </w:rPr>
        <w:t>接受和拒绝任何或所有投标的权利</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29.1</w:t>
      </w:r>
      <w:r>
        <w:rPr>
          <w:rFonts w:hint="eastAsia" w:ascii="宋体" w:hAnsi="宋体" w:cs="宋体"/>
          <w:sz w:val="24"/>
          <w:szCs w:val="24"/>
          <w:highlight w:val="none"/>
        </w:rPr>
        <w:t>采购人或采购代理机构保留依法定事由、不可抗力或政府采购主管部门相关要求，拒绝任何或所有投标的权利，或宣布招标无效的权利。对受影响的投标人不承担任何责任。</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30.</w:t>
      </w:r>
      <w:r>
        <w:rPr>
          <w:rFonts w:hint="eastAsia" w:ascii="宋体" w:hAnsi="宋体" w:cs="宋体"/>
          <w:b/>
          <w:sz w:val="24"/>
          <w:szCs w:val="24"/>
          <w:highlight w:val="none"/>
        </w:rPr>
        <w:t>中标通知书</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30.1 </w:t>
      </w:r>
      <w:r>
        <w:rPr>
          <w:rFonts w:hint="eastAsia" w:ascii="宋体" w:hAnsi="宋体" w:cs="宋体"/>
          <w:sz w:val="24"/>
          <w:szCs w:val="24"/>
          <w:highlight w:val="none"/>
        </w:rPr>
        <w:t>中标人确定后，采购代理机构将向中标人发出中标通知书，告知未中标人本人的评审得分与排序。</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 xml:space="preserve">30.2 </w:t>
      </w:r>
      <w:r>
        <w:rPr>
          <w:rFonts w:hint="eastAsia" w:ascii="宋体" w:hAnsi="宋体" w:cs="宋体"/>
          <w:sz w:val="24"/>
          <w:szCs w:val="24"/>
          <w:highlight w:val="none"/>
        </w:rPr>
        <w:t>中标通知书是合同的一个组成部分，没有提交书面中标通知书所签署的合同属于无效合同。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30.3</w:t>
      </w:r>
      <w:r>
        <w:rPr>
          <w:rFonts w:hint="eastAsia" w:ascii="宋体" w:hAnsi="宋体" w:cs="宋体"/>
          <w:sz w:val="24"/>
          <w:szCs w:val="24"/>
          <w:highlight w:val="none"/>
        </w:rPr>
        <w:t>中标结果公告发布后，中标人到代理机构领取中标通知书，未中标的投标人到代理机构领取落标通知书。</w:t>
      </w:r>
    </w:p>
    <w:p>
      <w:pPr>
        <w:spacing w:line="360" w:lineRule="auto"/>
        <w:ind w:firstLine="482" w:firstLineChars="200"/>
        <w:rPr>
          <w:rFonts w:ascii="宋体" w:cs="宋体"/>
          <w:b/>
          <w:sz w:val="24"/>
          <w:szCs w:val="24"/>
          <w:highlight w:val="none"/>
        </w:rPr>
      </w:pPr>
      <w:r>
        <w:rPr>
          <w:rFonts w:ascii="宋体" w:hAnsi="宋体" w:cs="宋体"/>
          <w:b/>
          <w:sz w:val="24"/>
          <w:szCs w:val="24"/>
          <w:highlight w:val="none"/>
        </w:rPr>
        <w:t>31.</w:t>
      </w:r>
      <w:r>
        <w:rPr>
          <w:rFonts w:hint="eastAsia" w:ascii="宋体" w:hAnsi="宋体" w:cs="宋体"/>
          <w:b/>
          <w:sz w:val="24"/>
          <w:szCs w:val="24"/>
          <w:highlight w:val="none"/>
        </w:rPr>
        <w:t>签订合同</w:t>
      </w:r>
    </w:p>
    <w:p>
      <w:pPr>
        <w:spacing w:line="360" w:lineRule="auto"/>
        <w:ind w:firstLine="480" w:firstLineChars="200"/>
        <w:rPr>
          <w:rFonts w:ascii="宋体" w:cs="宋体"/>
          <w:sz w:val="24"/>
          <w:szCs w:val="24"/>
          <w:highlight w:val="none"/>
        </w:rPr>
      </w:pPr>
      <w:r>
        <w:rPr>
          <w:rFonts w:ascii="宋体" w:hAnsi="宋体" w:cs="宋体"/>
          <w:sz w:val="24"/>
          <w:szCs w:val="24"/>
          <w:highlight w:val="none"/>
        </w:rPr>
        <w:t>31.1</w:t>
      </w:r>
      <w:r>
        <w:rPr>
          <w:rFonts w:hint="eastAsia" w:ascii="宋体" w:hAnsi="宋体" w:cs="宋体"/>
          <w:sz w:val="24"/>
          <w:szCs w:val="24"/>
          <w:highlight w:val="none"/>
        </w:rPr>
        <w:t>中标人应当自中标通知书发出之日起三十日内，按照招标文件和中标人投标文件的约定，与采购人签订书面合同。所签订的合同不得对招标文件和中标供商投标文件作实质性修改。</w:t>
      </w:r>
    </w:p>
    <w:p>
      <w:pPr>
        <w:spacing w:line="360" w:lineRule="auto"/>
        <w:ind w:firstLine="480" w:firstLineChars="200"/>
        <w:rPr>
          <w:rFonts w:ascii="宋体" w:hAnsi="宋体" w:cs="宋体"/>
          <w:sz w:val="24"/>
          <w:highlight w:val="none"/>
        </w:rPr>
      </w:pPr>
      <w:r>
        <w:rPr>
          <w:rFonts w:ascii="宋体" w:hAnsi="宋体" w:cs="宋体"/>
          <w:sz w:val="24"/>
          <w:szCs w:val="24"/>
          <w:highlight w:val="none"/>
        </w:rPr>
        <w:t>31.2</w:t>
      </w:r>
      <w:r>
        <w:rPr>
          <w:rFonts w:hint="eastAsia" w:ascii="宋体" w:hAnsi="宋体" w:cs="宋体"/>
          <w:sz w:val="24"/>
          <w:highlight w:val="none"/>
        </w:rPr>
        <w:t>如中标人没有按照本须知</w:t>
      </w:r>
      <w:r>
        <w:rPr>
          <w:rFonts w:ascii="宋体" w:hAnsi="宋体" w:cs="宋体"/>
          <w:sz w:val="24"/>
          <w:highlight w:val="none"/>
        </w:rPr>
        <w:t>31.1</w:t>
      </w:r>
      <w:r>
        <w:rPr>
          <w:rFonts w:hint="eastAsia" w:ascii="宋体" w:hAnsi="宋体" w:cs="宋体"/>
          <w:sz w:val="24"/>
          <w:highlight w:val="none"/>
        </w:rPr>
        <w:t>条规定执行，应当依法承担法律责任，投标保证金也将不予退还。在此情况下，招标采购单位可将合同授予排名在中标人下一位的中标候选人，也可以重新招标。</w:t>
      </w:r>
    </w:p>
    <w:p>
      <w:pPr>
        <w:pStyle w:val="21"/>
        <w:ind w:firstLine="480" w:firstLineChars="200"/>
        <w:rPr>
          <w:rFonts w:ascii="宋体" w:hAnsi="宋体" w:cs="宋体"/>
          <w:highlight w:val="none"/>
        </w:rPr>
        <w:sectPr>
          <w:pgSz w:w="11906" w:h="16838"/>
          <w:pgMar w:top="1440" w:right="1800" w:bottom="1440" w:left="1800" w:header="851" w:footer="992" w:gutter="0"/>
          <w:cols w:space="720" w:num="1"/>
          <w:docGrid w:type="lines" w:linePitch="312" w:charSpace="0"/>
        </w:sectPr>
      </w:pPr>
      <w:r>
        <w:rPr>
          <w:rFonts w:hint="eastAsia" w:ascii="宋体" w:hAnsi="宋体" w:cs="宋体"/>
          <w:highlight w:val="none"/>
        </w:rPr>
        <w:t>31.3政府采购合同履行中，采购人需追加与合同标的相同的货物、工程或者服务的，在不改变合同其他条款的前提下，可以与中标人协商签订补充合同，但所有补充合同的采购金额不得超过原合同采购金额的百分之十。</w:t>
      </w:r>
    </w:p>
    <w:p>
      <w:pPr>
        <w:rPr>
          <w:rFonts w:ascii="宋体" w:cs="宋体"/>
          <w:w w:val="90"/>
          <w:sz w:val="36"/>
          <w:highlight w:val="none"/>
        </w:rPr>
      </w:pPr>
      <w:bookmarkStart w:id="70" w:name="_Toc2511975"/>
      <w:bookmarkStart w:id="71" w:name="_Toc14776842"/>
    </w:p>
    <w:p>
      <w:pPr>
        <w:rPr>
          <w:rFonts w:ascii="宋体" w:cs="宋体"/>
          <w:w w:val="90"/>
          <w:sz w:val="36"/>
          <w:highlight w:val="none"/>
        </w:rPr>
      </w:pPr>
    </w:p>
    <w:p>
      <w:pPr>
        <w:rPr>
          <w:rFonts w:ascii="宋体" w:cs="宋体"/>
          <w:w w:val="90"/>
          <w:sz w:val="36"/>
          <w:highlight w:val="none"/>
        </w:rPr>
      </w:pPr>
    </w:p>
    <w:p>
      <w:pPr>
        <w:rPr>
          <w:rFonts w:ascii="宋体" w:cs="宋体"/>
          <w:w w:val="90"/>
          <w:sz w:val="36"/>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pStyle w:val="3"/>
        <w:spacing w:before="100" w:beforeAutospacing="1" w:after="100" w:afterAutospacing="1" w:line="360" w:lineRule="auto"/>
        <w:jc w:val="center"/>
        <w:rPr>
          <w:rFonts w:ascii="宋体" w:cs="宋体"/>
          <w:w w:val="90"/>
          <w:sz w:val="36"/>
          <w:highlight w:val="none"/>
        </w:rPr>
        <w:sectPr>
          <w:footerReference r:id="rId6" w:type="default"/>
          <w:pgSz w:w="11907" w:h="16840"/>
          <w:pgMar w:top="1440" w:right="1469" w:bottom="1440" w:left="1622" w:header="851" w:footer="992" w:gutter="0"/>
          <w:cols w:space="720" w:num="1"/>
          <w:docGrid w:linePitch="312" w:charSpace="0"/>
        </w:sectPr>
      </w:pPr>
      <w:bookmarkStart w:id="72" w:name="_Toc44705051"/>
      <w:bookmarkStart w:id="73" w:name="_Toc44705272"/>
      <w:bookmarkStart w:id="74" w:name="_Toc44704904"/>
      <w:r>
        <w:rPr>
          <w:rFonts w:hint="eastAsia" w:ascii="宋体" w:hAnsi="宋体" w:cs="宋体"/>
          <w:w w:val="90"/>
          <w:highlight w:val="none"/>
        </w:rPr>
        <w:t>第四章</w:t>
      </w:r>
      <w:r>
        <w:rPr>
          <w:rFonts w:ascii="宋体" w:hAnsi="宋体" w:cs="宋体"/>
          <w:w w:val="90"/>
          <w:highlight w:val="none"/>
        </w:rPr>
        <w:t xml:space="preserve"> </w:t>
      </w:r>
      <w:r>
        <w:rPr>
          <w:rFonts w:hint="eastAsia" w:ascii="宋体" w:hAnsi="宋体" w:cs="宋体"/>
          <w:w w:val="90"/>
          <w:highlight w:val="none"/>
        </w:rPr>
        <w:t>合同文本格式</w:t>
      </w:r>
      <w:bookmarkEnd w:id="70"/>
      <w:bookmarkEnd w:id="71"/>
      <w:bookmarkEnd w:id="72"/>
      <w:bookmarkEnd w:id="73"/>
      <w:bookmarkEnd w:id="74"/>
    </w:p>
    <w:p>
      <w:pPr>
        <w:jc w:val="center"/>
        <w:rPr>
          <w:rFonts w:ascii="宋体" w:hAnsi="宋体"/>
          <w:sz w:val="44"/>
          <w:szCs w:val="44"/>
          <w:highlight w:val="none"/>
        </w:rPr>
      </w:pPr>
      <w:bookmarkStart w:id="75" w:name="_Toc44700089"/>
      <w:bookmarkStart w:id="76" w:name="_Toc44705273"/>
      <w:bookmarkStart w:id="77" w:name="_Toc44705052"/>
      <w:bookmarkStart w:id="78" w:name="_Toc2511976"/>
      <w:bookmarkStart w:id="79" w:name="_Toc44704905"/>
      <w:bookmarkStart w:id="80" w:name="_Toc14776843"/>
      <w:r>
        <w:rPr>
          <w:rFonts w:hint="eastAsia" w:ascii="宋体" w:hAnsi="宋体"/>
          <w:sz w:val="44"/>
          <w:szCs w:val="44"/>
          <w:highlight w:val="none"/>
        </w:rPr>
        <w:t>第四章 政府采购合同</w:t>
      </w:r>
      <w:bookmarkEnd w:id="75"/>
    </w:p>
    <w:p>
      <w:pPr>
        <w:rPr>
          <w:rFonts w:ascii="宋体" w:hAnsi="宋体"/>
          <w:sz w:val="24"/>
          <w:szCs w:val="24"/>
          <w:highlight w:val="none"/>
        </w:rPr>
      </w:pPr>
    </w:p>
    <w:p>
      <w:pPr>
        <w:spacing w:line="400" w:lineRule="exact"/>
        <w:jc w:val="center"/>
        <w:rPr>
          <w:rFonts w:hint="eastAsia" w:ascii="宋体" w:hAnsi="宋体"/>
          <w:b/>
          <w:bCs/>
          <w:sz w:val="36"/>
          <w:highlight w:val="none"/>
        </w:rPr>
      </w:pPr>
      <w:r>
        <w:rPr>
          <w:rFonts w:hint="eastAsia" w:ascii="宋体" w:hAnsi="宋体"/>
          <w:b/>
          <w:bCs/>
          <w:sz w:val="36"/>
          <w:highlight w:val="none"/>
        </w:rPr>
        <w:t>公务车辆定点维修服务合同</w:t>
      </w:r>
    </w:p>
    <w:p>
      <w:pPr>
        <w:spacing w:line="400" w:lineRule="exact"/>
        <w:jc w:val="center"/>
        <w:rPr>
          <w:rFonts w:hint="eastAsia" w:ascii="宋体" w:hAnsi="宋体"/>
          <w:bCs/>
          <w:sz w:val="24"/>
          <w:highlight w:val="none"/>
        </w:rPr>
      </w:pPr>
      <w:r>
        <w:rPr>
          <w:rFonts w:hint="eastAsia" w:ascii="宋体" w:hAnsi="宋体"/>
          <w:bCs/>
          <w:sz w:val="24"/>
          <w:highlight w:val="none"/>
        </w:rPr>
        <w:t>（</w:t>
      </w:r>
      <w:r>
        <w:rPr>
          <w:rFonts w:hint="eastAsia" w:ascii="宋体" w:hAnsi="宋体"/>
          <w:sz w:val="24"/>
          <w:highlight w:val="none"/>
        </w:rPr>
        <w:t>本格式条款仅作为双方签订合同时的参考</w:t>
      </w:r>
      <w:r>
        <w:rPr>
          <w:rFonts w:hint="eastAsia" w:ascii="宋体" w:hAnsi="宋体"/>
          <w:bCs/>
          <w:sz w:val="24"/>
          <w:highlight w:val="none"/>
        </w:rPr>
        <w:t>）</w:t>
      </w:r>
    </w:p>
    <w:p>
      <w:pPr>
        <w:spacing w:line="440" w:lineRule="exact"/>
        <w:rPr>
          <w:rFonts w:hint="eastAsia" w:ascii="宋体" w:hAnsi="宋体"/>
          <w:sz w:val="24"/>
          <w:highlight w:val="none"/>
        </w:rPr>
      </w:pPr>
      <w:r>
        <w:rPr>
          <w:rFonts w:hint="eastAsia" w:ascii="宋体" w:hAnsi="宋体"/>
          <w:sz w:val="24"/>
          <w:highlight w:val="none"/>
        </w:rPr>
        <w:t>甲方：</w:t>
      </w:r>
    </w:p>
    <w:p>
      <w:pPr>
        <w:spacing w:line="440" w:lineRule="exact"/>
        <w:rPr>
          <w:rFonts w:hint="eastAsia" w:ascii="宋体" w:hAnsi="宋体"/>
          <w:sz w:val="24"/>
          <w:highlight w:val="none"/>
        </w:rPr>
      </w:pPr>
      <w:r>
        <w:rPr>
          <w:rFonts w:hint="eastAsia" w:ascii="宋体" w:hAnsi="宋体"/>
          <w:sz w:val="24"/>
          <w:highlight w:val="none"/>
        </w:rPr>
        <w:t>乙方：（定点维修机构）</w:t>
      </w:r>
    </w:p>
    <w:p>
      <w:pPr>
        <w:spacing w:line="440" w:lineRule="exact"/>
        <w:ind w:firstLine="480" w:firstLineChars="200"/>
        <w:rPr>
          <w:rFonts w:hint="eastAsia" w:ascii="宋体" w:hAnsi="宋体"/>
          <w:sz w:val="24"/>
          <w:highlight w:val="none"/>
        </w:rPr>
      </w:pPr>
      <w:r>
        <w:rPr>
          <w:rFonts w:hint="eastAsia" w:ascii="宋体" w:hAnsi="宋体"/>
          <w:sz w:val="24"/>
          <w:highlight w:val="none"/>
        </w:rPr>
        <w:t>甲方与乙方根据“定点维修”项目的招标结果和招投标文件(招标编号:)的内容，签订以下车辆维修服务合同：</w:t>
      </w:r>
    </w:p>
    <w:p>
      <w:pPr>
        <w:numPr>
          <w:ilvl w:val="0"/>
          <w:numId w:val="12"/>
        </w:numPr>
        <w:tabs>
          <w:tab w:val="left" w:pos="180"/>
          <w:tab w:val="left" w:pos="54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乙方在本招标项目中中标，获得本期定点维修资格，可维修车辆的品牌和车型是：</w:t>
      </w:r>
      <w:r>
        <w:rPr>
          <w:rFonts w:hint="eastAsia" w:ascii="宋体" w:hAnsi="宋体"/>
          <w:b/>
          <w:sz w:val="24"/>
          <w:highlight w:val="none"/>
          <w:u w:val="single"/>
        </w:rPr>
        <w:t xml:space="preserve">                                                                         </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sz w:val="24"/>
          <w:highlight w:val="none"/>
        </w:rPr>
      </w:pPr>
      <w:r>
        <w:rPr>
          <w:rFonts w:hint="eastAsia" w:ascii="宋体" w:hAnsi="宋体"/>
          <w:b/>
          <w:sz w:val="24"/>
          <w:highlight w:val="none"/>
        </w:rPr>
        <w:t>车辆维修服务项目：</w:t>
      </w:r>
      <w:r>
        <w:rPr>
          <w:rFonts w:hint="eastAsia" w:ascii="宋体" w:hAnsi="宋体"/>
          <w:sz w:val="24"/>
          <w:highlight w:val="none"/>
        </w:rPr>
        <w:t>包括整车修理、总成修理、整车各级维护、小修、维修救援和专项修理工作（不包含车辆装潢）。</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送修手续：</w:t>
      </w:r>
    </w:p>
    <w:p>
      <w:pPr>
        <w:spacing w:line="440" w:lineRule="exact"/>
        <w:ind w:firstLine="480"/>
        <w:rPr>
          <w:rFonts w:hint="eastAsia" w:ascii="宋体" w:hAnsi="宋体"/>
          <w:sz w:val="24"/>
          <w:highlight w:val="none"/>
        </w:rPr>
      </w:pPr>
      <w:r>
        <w:rPr>
          <w:rFonts w:hint="eastAsia" w:ascii="宋体" w:hAnsi="宋体"/>
          <w:sz w:val="24"/>
          <w:highlight w:val="none"/>
        </w:rPr>
        <w:t>1、甲方须按要求填写《车辆送修单》。并经单位法人或经法人授权的管理人员签字认可加盖公章后送乙方。</w:t>
      </w:r>
    </w:p>
    <w:p>
      <w:pPr>
        <w:spacing w:line="440" w:lineRule="exact"/>
        <w:ind w:firstLine="480"/>
        <w:rPr>
          <w:rFonts w:hint="eastAsia" w:ascii="宋体" w:hAnsi="宋体"/>
          <w:sz w:val="24"/>
          <w:highlight w:val="none"/>
        </w:rPr>
      </w:pPr>
      <w:r>
        <w:rPr>
          <w:rFonts w:hint="eastAsia" w:ascii="宋体" w:hAnsi="宋体"/>
          <w:sz w:val="24"/>
          <w:highlight w:val="none"/>
        </w:rPr>
        <w:t>2、乙方根据“车辆送修单”的要求对送修车辆进行细致检查，并在《送修单》上注明完成维修的时间；并报甲方，经甲方认可同意办理车辆的交接手续后进行维修。</w:t>
      </w:r>
    </w:p>
    <w:p>
      <w:pPr>
        <w:spacing w:line="440" w:lineRule="exact"/>
        <w:ind w:firstLine="480"/>
        <w:rPr>
          <w:rFonts w:hint="eastAsia" w:ascii="宋体" w:hAnsi="宋体"/>
          <w:sz w:val="24"/>
          <w:highlight w:val="none"/>
        </w:rPr>
      </w:pPr>
      <w:r>
        <w:rPr>
          <w:rFonts w:hint="eastAsia" w:ascii="宋体" w:hAnsi="宋体"/>
          <w:sz w:val="24"/>
          <w:highlight w:val="none"/>
        </w:rPr>
        <w:t>3、在维修过程中，乙方如发现其它故障需增加维修项目或延长维修时间，应及时通知甲方。甲方接到通知后应及时给予答复。</w:t>
      </w:r>
    </w:p>
    <w:p>
      <w:pPr>
        <w:spacing w:line="440" w:lineRule="exact"/>
        <w:ind w:firstLine="480"/>
        <w:rPr>
          <w:rFonts w:hint="eastAsia" w:ascii="宋体" w:hAnsi="宋体"/>
          <w:sz w:val="24"/>
          <w:highlight w:val="none"/>
        </w:rPr>
      </w:pPr>
      <w:r>
        <w:rPr>
          <w:rFonts w:hint="eastAsia" w:ascii="宋体" w:hAnsi="宋体"/>
          <w:sz w:val="24"/>
          <w:highlight w:val="none"/>
        </w:rPr>
        <w:t>4、车辆修复后，乙方应当通过电脑认真填写并打印《工时费用清单》和《配件材料结算清单》；接车人应对修复车辆认真检查、试车，符合要求后在结算单上签字认可，之后乙方才能将车辆交给甲方。</w:t>
      </w:r>
    </w:p>
    <w:p>
      <w:pPr>
        <w:spacing w:line="440" w:lineRule="exact"/>
        <w:ind w:firstLine="480"/>
        <w:rPr>
          <w:rFonts w:hint="eastAsia" w:ascii="宋体" w:hAnsi="宋体"/>
          <w:sz w:val="24"/>
          <w:highlight w:val="none"/>
        </w:rPr>
      </w:pPr>
      <w:r>
        <w:rPr>
          <w:rFonts w:hint="eastAsia" w:ascii="宋体" w:hAnsi="宋体"/>
          <w:sz w:val="24"/>
          <w:highlight w:val="none"/>
        </w:rPr>
        <w:t>5、《送修单》、《工时费用清单》和《配件材料结算清单》一式三份，并输入电脑，托修方、承修方、招标人各持一份。送修单、工时费用清单、配件材料结算清单、发票作为报销必须凭证。</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维修费用</w:t>
      </w:r>
    </w:p>
    <w:p>
      <w:pPr>
        <w:numPr>
          <w:ilvl w:val="0"/>
          <w:numId w:val="13"/>
        </w:numPr>
        <w:tabs>
          <w:tab w:val="left" w:pos="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维修费用包括：工时费、材料费。</w:t>
      </w:r>
    </w:p>
    <w:p>
      <w:pPr>
        <w:numPr>
          <w:ilvl w:val="0"/>
          <w:numId w:val="13"/>
        </w:numPr>
        <w:tabs>
          <w:tab w:val="left" w:pos="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材料管理费收取比例为：</w:t>
      </w:r>
      <w:r>
        <w:rPr>
          <w:rFonts w:hint="eastAsia" w:ascii="宋体" w:hAnsi="宋体"/>
          <w:sz w:val="24"/>
          <w:highlight w:val="none"/>
          <w:u w:val="single"/>
        </w:rPr>
        <w:t xml:space="preserve">   </w:t>
      </w:r>
      <w:r>
        <w:rPr>
          <w:rFonts w:hint="eastAsia" w:ascii="宋体" w:hAnsi="宋体"/>
          <w:sz w:val="24"/>
          <w:highlight w:val="none"/>
        </w:rPr>
        <w:t>％，乙方的材料进货价不得高于同期市场价格。</w:t>
      </w:r>
    </w:p>
    <w:p>
      <w:pPr>
        <w:numPr>
          <w:ilvl w:val="0"/>
          <w:numId w:val="13"/>
        </w:numPr>
        <w:tabs>
          <w:tab w:val="left" w:pos="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工时单价</w:t>
      </w:r>
      <w:r>
        <w:rPr>
          <w:rFonts w:hint="eastAsia" w:ascii="宋体" w:hAnsi="宋体"/>
          <w:sz w:val="24"/>
          <w:highlight w:val="none"/>
          <w:u w:val="single"/>
        </w:rPr>
        <w:t xml:space="preserve">     </w:t>
      </w:r>
      <w:r>
        <w:rPr>
          <w:rFonts w:hint="eastAsia" w:ascii="宋体" w:hAnsi="宋体"/>
          <w:sz w:val="24"/>
          <w:highlight w:val="none"/>
        </w:rPr>
        <w:t>元/工时。乙方实际维修时所产生的各项维修的工时数量不得市场价。</w:t>
      </w:r>
    </w:p>
    <w:p>
      <w:pPr>
        <w:numPr>
          <w:ilvl w:val="0"/>
          <w:numId w:val="13"/>
        </w:numPr>
        <w:tabs>
          <w:tab w:val="left" w:pos="0"/>
          <w:tab w:val="left" w:pos="54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针对事故车辆，经交警部门认定的保险公司不能全赔支付的事故车辆，维修费用中除去保险公司应负责的理赔金额之外，维修差额部分按本项目规定价格计算办法进行最终结</w:t>
      </w:r>
      <w:r>
        <w:rPr>
          <w:rFonts w:hint="eastAsia" w:ascii="宋体" w:hAnsi="宋体"/>
          <w:bCs/>
          <w:sz w:val="24"/>
          <w:highlight w:val="none"/>
        </w:rPr>
        <w:t>算。</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质量保证</w:t>
      </w:r>
    </w:p>
    <w:p>
      <w:pPr>
        <w:numPr>
          <w:ilvl w:val="0"/>
          <w:numId w:val="14"/>
        </w:numPr>
        <w:tabs>
          <w:tab w:val="left" w:pos="-360"/>
          <w:tab w:val="left" w:pos="54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乙方为甲方所购买和更换的所有配件材料必须是符合国家标准的合格产品，严禁使用假冒伪劣产品。</w:t>
      </w:r>
    </w:p>
    <w:p>
      <w:pPr>
        <w:numPr>
          <w:ilvl w:val="0"/>
          <w:numId w:val="14"/>
        </w:numPr>
        <w:tabs>
          <w:tab w:val="left" w:pos="-360"/>
          <w:tab w:val="left" w:pos="54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乙方必须严格遵守</w:t>
      </w:r>
      <w:r>
        <w:rPr>
          <w:rFonts w:hint="eastAsia" w:ascii="宋体" w:hAnsi="宋体" w:cs="宋体"/>
          <w:kern w:val="0"/>
          <w:sz w:val="24"/>
          <w:highlight w:val="none"/>
        </w:rPr>
        <w:t>交通部</w:t>
      </w:r>
      <w:r>
        <w:rPr>
          <w:rFonts w:hint="eastAsia" w:ascii="宋体" w:hAnsi="宋体"/>
          <w:sz w:val="24"/>
          <w:highlight w:val="none"/>
        </w:rPr>
        <w:t>第7号令</w:t>
      </w:r>
      <w:r>
        <w:rPr>
          <w:rFonts w:hint="eastAsia" w:ascii="宋体" w:hAnsi="宋体" w:cs="宋体"/>
          <w:kern w:val="0"/>
          <w:sz w:val="24"/>
          <w:highlight w:val="none"/>
        </w:rPr>
        <w:t>《机动车维修管理规定》等</w:t>
      </w:r>
      <w:r>
        <w:rPr>
          <w:rFonts w:hint="eastAsia" w:ascii="宋体" w:hAnsi="宋体"/>
          <w:sz w:val="24"/>
          <w:highlight w:val="none"/>
        </w:rPr>
        <w:t>国家法律法规的规定保证维修质量。</w:t>
      </w:r>
    </w:p>
    <w:p>
      <w:pPr>
        <w:numPr>
          <w:ilvl w:val="0"/>
          <w:numId w:val="15"/>
        </w:numPr>
        <w:tabs>
          <w:tab w:val="left" w:pos="540"/>
          <w:tab w:val="left" w:pos="1080"/>
        </w:tabs>
        <w:spacing w:line="440" w:lineRule="exact"/>
        <w:rPr>
          <w:rFonts w:hint="eastAsia" w:ascii="宋体" w:hAnsi="宋体"/>
          <w:sz w:val="24"/>
          <w:highlight w:val="none"/>
        </w:rPr>
      </w:pPr>
      <w:r>
        <w:rPr>
          <w:rFonts w:hint="eastAsia" w:ascii="宋体" w:hAnsi="宋体"/>
          <w:sz w:val="24"/>
          <w:highlight w:val="none"/>
        </w:rPr>
        <w:t>汽车和危险货物运输车辆整车修理或总成修理质量保证期为车辆行驶20000公里或者100日；二级维护质量保证期为车辆行驶5000公里或者30日；一级维护、小修及专项修理质量保证期为车辆行驶2000公里或者10日。</w:t>
      </w:r>
    </w:p>
    <w:p>
      <w:pPr>
        <w:numPr>
          <w:ilvl w:val="0"/>
          <w:numId w:val="15"/>
        </w:numPr>
        <w:tabs>
          <w:tab w:val="left" w:pos="540"/>
          <w:tab w:val="left" w:pos="1080"/>
        </w:tabs>
        <w:spacing w:line="440" w:lineRule="exact"/>
        <w:rPr>
          <w:rFonts w:hint="eastAsia" w:ascii="宋体" w:hAnsi="宋体"/>
          <w:sz w:val="24"/>
          <w:highlight w:val="none"/>
        </w:rPr>
      </w:pPr>
      <w:r>
        <w:rPr>
          <w:rFonts w:hint="eastAsia" w:ascii="宋体" w:hAnsi="宋体"/>
          <w:sz w:val="24"/>
          <w:highlight w:val="none"/>
        </w:rPr>
        <w:t>质量保证期中行驶里程和日期指标，以先达到者为准。</w:t>
      </w:r>
    </w:p>
    <w:p>
      <w:pPr>
        <w:numPr>
          <w:ilvl w:val="0"/>
          <w:numId w:val="15"/>
        </w:numPr>
        <w:tabs>
          <w:tab w:val="left" w:pos="540"/>
          <w:tab w:val="left" w:pos="1080"/>
        </w:tabs>
        <w:spacing w:line="440" w:lineRule="exact"/>
        <w:rPr>
          <w:rFonts w:hint="eastAsia" w:ascii="宋体" w:hAnsi="宋体"/>
          <w:sz w:val="24"/>
          <w:highlight w:val="none"/>
        </w:rPr>
      </w:pPr>
      <w:r>
        <w:rPr>
          <w:rFonts w:hint="eastAsia" w:ascii="宋体" w:hAnsi="宋体"/>
          <w:sz w:val="24"/>
          <w:highlight w:val="none"/>
        </w:rPr>
        <w:t>机动车维修质量保证期，从维修竣工出厂之日起计算。</w:t>
      </w:r>
    </w:p>
    <w:p>
      <w:pPr>
        <w:numPr>
          <w:ilvl w:val="0"/>
          <w:numId w:val="14"/>
        </w:numPr>
        <w:tabs>
          <w:tab w:val="left" w:pos="-360"/>
          <w:tab w:val="left" w:pos="54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定点维修机构对定点维修车辆进行二级维护、总成修理、整车修理的，应当实行维修前诊断检验、维修过程检验和竣工质量检验制度。</w:t>
      </w:r>
    </w:p>
    <w:p>
      <w:pPr>
        <w:numPr>
          <w:ilvl w:val="0"/>
          <w:numId w:val="14"/>
        </w:numPr>
        <w:tabs>
          <w:tab w:val="left" w:pos="-360"/>
          <w:tab w:val="left" w:pos="540"/>
          <w:tab w:val="left" w:pos="1080"/>
          <w:tab w:val="clear" w:pos="840"/>
        </w:tabs>
        <w:spacing w:line="440" w:lineRule="exact"/>
        <w:ind w:left="0" w:firstLine="540"/>
        <w:rPr>
          <w:rFonts w:hint="eastAsia" w:ascii="宋体" w:hAnsi="宋体"/>
          <w:sz w:val="24"/>
          <w:highlight w:val="none"/>
        </w:rPr>
      </w:pPr>
      <w:r>
        <w:rPr>
          <w:rFonts w:hint="eastAsia" w:ascii="宋体" w:hAnsi="宋体"/>
          <w:sz w:val="24"/>
          <w:highlight w:val="none"/>
        </w:rPr>
        <w:t>乙方有更优的质量保证按投标时的承诺执行。</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结算方式：</w:t>
      </w:r>
    </w:p>
    <w:p>
      <w:pPr>
        <w:numPr>
          <w:ilvl w:val="1"/>
          <w:numId w:val="12"/>
        </w:numPr>
        <w:tabs>
          <w:tab w:val="left" w:pos="540"/>
          <w:tab w:val="left" w:pos="1260"/>
          <w:tab w:val="left" w:pos="1440"/>
        </w:tabs>
        <w:spacing w:line="360" w:lineRule="auto"/>
        <w:rPr>
          <w:rFonts w:hint="eastAsia" w:ascii="宋体" w:hAnsi="宋体"/>
          <w:sz w:val="24"/>
          <w:highlight w:val="none"/>
        </w:rPr>
      </w:pPr>
      <w:r>
        <w:rPr>
          <w:rFonts w:hint="eastAsia" w:ascii="宋体" w:hAnsi="宋体"/>
          <w:sz w:val="24"/>
          <w:highlight w:val="none"/>
        </w:rPr>
        <w:t>结算方式可以是按季度、按月或按次结算，具体结算方式由托修方与定点维修机构在《送修单》上约定。各托修方车辆维修完结后，定点维修机构必须持税务发票、《送修单》、《维修费用结算清单》等资料办理结算手续。</w:t>
      </w:r>
    </w:p>
    <w:p>
      <w:pPr>
        <w:numPr>
          <w:ilvl w:val="1"/>
          <w:numId w:val="12"/>
        </w:numPr>
        <w:tabs>
          <w:tab w:val="left" w:pos="540"/>
          <w:tab w:val="left" w:pos="1260"/>
          <w:tab w:val="left" w:pos="1440"/>
        </w:tabs>
        <w:spacing w:line="360" w:lineRule="auto"/>
        <w:rPr>
          <w:rFonts w:hint="eastAsia" w:ascii="宋体" w:hAnsi="宋体"/>
          <w:sz w:val="24"/>
          <w:highlight w:val="none"/>
        </w:rPr>
      </w:pPr>
      <w:r>
        <w:rPr>
          <w:rFonts w:hint="eastAsia" w:ascii="宋体" w:hAnsi="宋体"/>
          <w:sz w:val="24"/>
          <w:highlight w:val="none"/>
        </w:rPr>
        <w:t>车辆维修费用的结算一律采用转账方式办理，不使用现金。</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甲方的权利：</w:t>
      </w:r>
    </w:p>
    <w:p>
      <w:pPr>
        <w:spacing w:line="440" w:lineRule="exact"/>
        <w:ind w:firstLine="480" w:firstLineChars="200"/>
        <w:rPr>
          <w:rFonts w:hint="eastAsia" w:ascii="宋体" w:hAnsi="宋体"/>
          <w:sz w:val="24"/>
          <w:highlight w:val="none"/>
        </w:rPr>
      </w:pPr>
      <w:r>
        <w:rPr>
          <w:rFonts w:hint="eastAsia" w:ascii="宋体" w:hAnsi="宋体"/>
          <w:sz w:val="24"/>
          <w:highlight w:val="none"/>
        </w:rPr>
        <w:t>1、有权获得优先服务；</w:t>
      </w:r>
    </w:p>
    <w:p>
      <w:pPr>
        <w:spacing w:line="440" w:lineRule="exact"/>
        <w:ind w:firstLine="480" w:firstLineChars="200"/>
        <w:rPr>
          <w:rFonts w:hint="eastAsia" w:ascii="宋体" w:hAnsi="宋体"/>
          <w:sz w:val="24"/>
          <w:highlight w:val="none"/>
        </w:rPr>
      </w:pPr>
      <w:r>
        <w:rPr>
          <w:rFonts w:hint="eastAsia" w:ascii="宋体" w:hAnsi="宋体"/>
          <w:sz w:val="24"/>
          <w:highlight w:val="none"/>
        </w:rPr>
        <w:t>2、对已完工车辆，如质量保证期内发现不合格或与《送修单》不符，有权要求乙方无偿返工，直至符合要求。在质保期内，按乙方在投标时承诺的车辆保证期限或质量保证里程执行；</w:t>
      </w:r>
    </w:p>
    <w:p>
      <w:pPr>
        <w:spacing w:line="440" w:lineRule="exact"/>
        <w:ind w:firstLine="480" w:firstLineChars="200"/>
        <w:rPr>
          <w:rFonts w:hint="eastAsia" w:ascii="宋体" w:hAnsi="宋体"/>
          <w:sz w:val="24"/>
          <w:highlight w:val="none"/>
        </w:rPr>
      </w:pPr>
      <w:r>
        <w:rPr>
          <w:rFonts w:hint="eastAsia" w:ascii="宋体" w:hAnsi="宋体"/>
          <w:sz w:val="24"/>
          <w:highlight w:val="none"/>
        </w:rPr>
        <w:t>3、有权向有关部门投诉乙方违约行为；</w:t>
      </w:r>
    </w:p>
    <w:p>
      <w:pPr>
        <w:spacing w:line="440" w:lineRule="exact"/>
        <w:ind w:firstLine="480" w:firstLineChars="200"/>
        <w:rPr>
          <w:rFonts w:hint="eastAsia" w:ascii="宋体" w:hAnsi="宋体"/>
          <w:sz w:val="24"/>
          <w:highlight w:val="none"/>
        </w:rPr>
      </w:pPr>
      <w:r>
        <w:rPr>
          <w:rFonts w:hint="eastAsia" w:ascii="宋体" w:hAnsi="宋体"/>
          <w:sz w:val="24"/>
          <w:highlight w:val="none"/>
        </w:rPr>
        <w:t>4、有权根据维修厂技术、服务和价格等方面的情况变化，在定点维修机构中自主择厂修理车辆。</w:t>
      </w:r>
    </w:p>
    <w:p>
      <w:pPr>
        <w:spacing w:line="360" w:lineRule="auto"/>
        <w:ind w:firstLine="480" w:firstLineChars="200"/>
        <w:rPr>
          <w:rFonts w:hint="eastAsia" w:ascii="宋体" w:hAnsi="宋体"/>
          <w:sz w:val="24"/>
          <w:highlight w:val="none"/>
        </w:rPr>
      </w:pPr>
      <w:r>
        <w:rPr>
          <w:rFonts w:hint="eastAsia" w:ascii="宋体" w:hAnsi="宋体"/>
          <w:sz w:val="24"/>
          <w:highlight w:val="none"/>
        </w:rPr>
        <w:t>5、招标文件规定的其他权利。</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甲方的义务：</w:t>
      </w:r>
    </w:p>
    <w:p>
      <w:pPr>
        <w:spacing w:line="440" w:lineRule="exact"/>
        <w:ind w:firstLine="480" w:firstLineChars="200"/>
        <w:rPr>
          <w:rFonts w:hint="eastAsia" w:ascii="宋体" w:hAnsi="宋体"/>
          <w:sz w:val="24"/>
          <w:highlight w:val="none"/>
        </w:rPr>
      </w:pPr>
      <w:r>
        <w:rPr>
          <w:rFonts w:hint="eastAsia" w:ascii="宋体" w:hAnsi="宋体"/>
          <w:sz w:val="24"/>
          <w:highlight w:val="none"/>
        </w:rPr>
        <w:t>1、甲方必须将待修车辆送到乙方维修场所维修；(拖车)</w:t>
      </w:r>
    </w:p>
    <w:p>
      <w:pPr>
        <w:spacing w:line="440" w:lineRule="exact"/>
        <w:ind w:firstLine="480" w:firstLineChars="200"/>
        <w:rPr>
          <w:rFonts w:hint="eastAsia" w:ascii="宋体" w:hAnsi="宋体"/>
          <w:sz w:val="24"/>
          <w:highlight w:val="none"/>
        </w:rPr>
      </w:pPr>
      <w:r>
        <w:rPr>
          <w:rFonts w:hint="eastAsia" w:ascii="宋体" w:hAnsi="宋体"/>
          <w:sz w:val="24"/>
          <w:highlight w:val="none"/>
        </w:rPr>
        <w:t>2、必须及时接收已完工车辆；</w:t>
      </w:r>
    </w:p>
    <w:p>
      <w:pPr>
        <w:spacing w:line="440" w:lineRule="exact"/>
        <w:ind w:firstLine="480" w:firstLineChars="200"/>
        <w:rPr>
          <w:rFonts w:hint="eastAsia" w:ascii="宋体" w:hAnsi="宋体"/>
          <w:sz w:val="24"/>
          <w:highlight w:val="none"/>
        </w:rPr>
      </w:pPr>
      <w:r>
        <w:rPr>
          <w:rFonts w:hint="eastAsia" w:ascii="宋体" w:hAnsi="宋体"/>
          <w:sz w:val="24"/>
          <w:highlight w:val="none"/>
        </w:rPr>
        <w:t>3、必须按时与乙方结算车辆维修费用；</w:t>
      </w:r>
    </w:p>
    <w:p>
      <w:pPr>
        <w:spacing w:line="440" w:lineRule="exact"/>
        <w:ind w:firstLine="480" w:firstLineChars="200"/>
        <w:rPr>
          <w:rFonts w:hint="eastAsia" w:ascii="宋体" w:hAnsi="宋体"/>
          <w:sz w:val="24"/>
          <w:highlight w:val="none"/>
        </w:rPr>
      </w:pPr>
      <w:r>
        <w:rPr>
          <w:rFonts w:hint="eastAsia" w:ascii="宋体" w:hAnsi="宋体"/>
          <w:sz w:val="24"/>
          <w:highlight w:val="none"/>
        </w:rPr>
        <w:t>4、不得向乙方提出除修车以外的其它要求；</w:t>
      </w:r>
    </w:p>
    <w:p>
      <w:pPr>
        <w:spacing w:line="440" w:lineRule="exact"/>
        <w:ind w:firstLine="480" w:firstLineChars="200"/>
        <w:rPr>
          <w:rFonts w:hint="eastAsia" w:ascii="宋体" w:hAnsi="宋体"/>
          <w:sz w:val="24"/>
          <w:highlight w:val="none"/>
        </w:rPr>
      </w:pPr>
      <w:r>
        <w:rPr>
          <w:rFonts w:hint="eastAsia" w:ascii="宋体" w:hAnsi="宋体"/>
          <w:sz w:val="24"/>
          <w:highlight w:val="none"/>
        </w:rPr>
        <w:t>5、甲方应妥善保管好所有的维修单据资料，随时接受有关部门的检查。</w:t>
      </w:r>
    </w:p>
    <w:p>
      <w:pPr>
        <w:spacing w:line="440" w:lineRule="exact"/>
        <w:ind w:firstLine="480" w:firstLineChars="200"/>
        <w:rPr>
          <w:rFonts w:hint="eastAsia" w:ascii="宋体" w:hAnsi="宋体"/>
          <w:sz w:val="24"/>
          <w:highlight w:val="none"/>
        </w:rPr>
      </w:pPr>
      <w:r>
        <w:rPr>
          <w:rFonts w:hint="eastAsia" w:ascii="宋体" w:hAnsi="宋体"/>
          <w:sz w:val="24"/>
          <w:highlight w:val="none"/>
        </w:rPr>
        <w:t>6、招标文件规定的其他义务。</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乙方的权利：</w:t>
      </w:r>
    </w:p>
    <w:p>
      <w:pPr>
        <w:spacing w:line="440" w:lineRule="exact"/>
        <w:ind w:firstLine="480" w:firstLineChars="200"/>
        <w:rPr>
          <w:rFonts w:hint="eastAsia" w:ascii="宋体" w:hAnsi="宋体"/>
          <w:sz w:val="24"/>
          <w:highlight w:val="none"/>
        </w:rPr>
      </w:pPr>
      <w:r>
        <w:rPr>
          <w:rFonts w:hint="eastAsia" w:ascii="宋体" w:hAnsi="宋体"/>
          <w:sz w:val="24"/>
          <w:highlight w:val="none"/>
        </w:rPr>
        <w:t>1、有权要求甲方签订《送修单》；</w:t>
      </w:r>
    </w:p>
    <w:p>
      <w:pPr>
        <w:spacing w:line="440" w:lineRule="exact"/>
        <w:ind w:firstLine="480" w:firstLineChars="200"/>
        <w:rPr>
          <w:rFonts w:hint="eastAsia" w:ascii="宋体" w:hAnsi="宋体"/>
          <w:sz w:val="24"/>
          <w:highlight w:val="none"/>
        </w:rPr>
      </w:pPr>
      <w:r>
        <w:rPr>
          <w:rFonts w:hint="eastAsia" w:ascii="宋体" w:hAnsi="宋体"/>
          <w:sz w:val="24"/>
          <w:highlight w:val="none"/>
        </w:rPr>
        <w:t>2、有权要求甲方按时结清车辆维修费用；</w:t>
      </w:r>
    </w:p>
    <w:p>
      <w:pPr>
        <w:spacing w:line="440" w:lineRule="exact"/>
        <w:ind w:firstLine="480" w:firstLineChars="200"/>
        <w:rPr>
          <w:rFonts w:hint="eastAsia" w:ascii="宋体" w:hAnsi="宋体"/>
          <w:sz w:val="24"/>
          <w:highlight w:val="none"/>
        </w:rPr>
      </w:pPr>
      <w:r>
        <w:rPr>
          <w:rFonts w:hint="eastAsia" w:ascii="宋体" w:hAnsi="宋体"/>
          <w:sz w:val="24"/>
          <w:highlight w:val="none"/>
        </w:rPr>
        <w:t>3、有权拒绝甲方提出的除维修服务以外的其它要求；</w:t>
      </w:r>
    </w:p>
    <w:p>
      <w:pPr>
        <w:spacing w:line="440" w:lineRule="exact"/>
        <w:ind w:firstLine="480" w:firstLineChars="200"/>
        <w:rPr>
          <w:rFonts w:hint="eastAsia" w:ascii="宋体" w:hAnsi="宋体"/>
          <w:sz w:val="24"/>
          <w:highlight w:val="none"/>
        </w:rPr>
      </w:pPr>
      <w:r>
        <w:rPr>
          <w:rFonts w:hint="eastAsia" w:ascii="宋体" w:hAnsi="宋体"/>
          <w:sz w:val="24"/>
          <w:highlight w:val="none"/>
        </w:rPr>
        <w:t>4、有权向有关部门投诉甲方的违约行为。</w:t>
      </w:r>
    </w:p>
    <w:p>
      <w:pPr>
        <w:spacing w:line="440" w:lineRule="exact"/>
        <w:ind w:firstLine="480" w:firstLineChars="200"/>
        <w:rPr>
          <w:rFonts w:hint="eastAsia" w:ascii="宋体" w:hAnsi="宋体"/>
          <w:sz w:val="24"/>
          <w:highlight w:val="none"/>
        </w:rPr>
      </w:pPr>
      <w:r>
        <w:rPr>
          <w:rFonts w:hint="eastAsia" w:ascii="宋体" w:hAnsi="宋体"/>
          <w:sz w:val="24"/>
          <w:highlight w:val="none"/>
        </w:rPr>
        <w:t>5、招标文件规定的其他权利。</w:t>
      </w:r>
    </w:p>
    <w:p>
      <w:pPr>
        <w:numPr>
          <w:ilvl w:val="0"/>
          <w:numId w:val="12"/>
        </w:numPr>
        <w:tabs>
          <w:tab w:val="left" w:pos="180"/>
          <w:tab w:val="left" w:pos="900"/>
          <w:tab w:val="left" w:pos="108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乙方的义务：</w:t>
      </w:r>
    </w:p>
    <w:p>
      <w:pPr>
        <w:spacing w:line="440" w:lineRule="exact"/>
        <w:ind w:firstLine="480" w:firstLineChars="200"/>
        <w:rPr>
          <w:rFonts w:hint="eastAsia" w:ascii="宋体" w:hAnsi="宋体"/>
          <w:sz w:val="24"/>
          <w:highlight w:val="none"/>
        </w:rPr>
      </w:pPr>
      <w:r>
        <w:rPr>
          <w:rFonts w:hint="eastAsia" w:ascii="宋体" w:hAnsi="宋体"/>
          <w:sz w:val="24"/>
          <w:highlight w:val="none"/>
        </w:rPr>
        <w:t>1、优先为甲方的送修车辆提供维修服务；</w:t>
      </w:r>
    </w:p>
    <w:p>
      <w:pPr>
        <w:spacing w:line="440" w:lineRule="exact"/>
        <w:ind w:firstLine="480" w:firstLineChars="200"/>
        <w:rPr>
          <w:rFonts w:hint="eastAsia" w:ascii="宋体" w:hAnsi="宋体"/>
          <w:sz w:val="24"/>
          <w:highlight w:val="none"/>
        </w:rPr>
      </w:pPr>
      <w:r>
        <w:rPr>
          <w:rFonts w:hint="eastAsia" w:ascii="宋体" w:hAnsi="宋体"/>
          <w:sz w:val="24"/>
          <w:highlight w:val="none"/>
        </w:rPr>
        <w:t>2、乙方不得将送修车辆擅自转厂维修；</w:t>
      </w:r>
    </w:p>
    <w:p>
      <w:pPr>
        <w:spacing w:line="440" w:lineRule="exact"/>
        <w:ind w:firstLine="480" w:firstLineChars="200"/>
        <w:rPr>
          <w:rFonts w:hint="eastAsia" w:ascii="宋体" w:hAnsi="宋体"/>
          <w:sz w:val="24"/>
          <w:highlight w:val="none"/>
        </w:rPr>
      </w:pPr>
      <w:r>
        <w:rPr>
          <w:rFonts w:hint="eastAsia" w:ascii="宋体" w:hAnsi="宋体"/>
          <w:sz w:val="24"/>
          <w:highlight w:val="none"/>
        </w:rPr>
        <w:t>3、必须按《送修单》上的规定按时完成维修工作；</w:t>
      </w:r>
    </w:p>
    <w:p>
      <w:pPr>
        <w:spacing w:line="440" w:lineRule="exact"/>
        <w:ind w:firstLine="480" w:firstLineChars="200"/>
        <w:rPr>
          <w:rFonts w:hint="eastAsia" w:ascii="宋体" w:hAnsi="宋体"/>
          <w:sz w:val="24"/>
          <w:highlight w:val="none"/>
        </w:rPr>
      </w:pPr>
      <w:r>
        <w:rPr>
          <w:rFonts w:hint="eastAsia" w:ascii="宋体" w:hAnsi="宋体"/>
          <w:sz w:val="24"/>
          <w:highlight w:val="none"/>
        </w:rPr>
        <w:t>4、保证送修车辆的安全；</w:t>
      </w:r>
    </w:p>
    <w:p>
      <w:pPr>
        <w:spacing w:line="440" w:lineRule="exact"/>
        <w:ind w:firstLine="480" w:firstLineChars="200"/>
        <w:rPr>
          <w:rFonts w:hint="eastAsia" w:ascii="宋体" w:hAnsi="宋体"/>
          <w:sz w:val="24"/>
          <w:highlight w:val="none"/>
        </w:rPr>
      </w:pPr>
      <w:r>
        <w:rPr>
          <w:rFonts w:hint="eastAsia" w:ascii="宋体" w:hAnsi="宋体"/>
          <w:sz w:val="24"/>
          <w:highlight w:val="none"/>
        </w:rPr>
        <w:t>5、保证维修质量，并为每部定点维修车辆建立维修档案；</w:t>
      </w:r>
    </w:p>
    <w:p>
      <w:pPr>
        <w:spacing w:line="440" w:lineRule="exact"/>
        <w:ind w:firstLine="480" w:firstLineChars="200"/>
        <w:rPr>
          <w:rFonts w:hint="eastAsia" w:ascii="宋体" w:hAnsi="宋体"/>
          <w:sz w:val="24"/>
          <w:highlight w:val="none"/>
        </w:rPr>
      </w:pPr>
      <w:r>
        <w:rPr>
          <w:rFonts w:hint="eastAsia" w:ascii="宋体" w:hAnsi="宋体"/>
          <w:sz w:val="24"/>
          <w:highlight w:val="none"/>
        </w:rPr>
        <w:t>6、保证所用配件是符合国家质量标准的全新配件，不得以次充好或随意更换汽车配件；</w:t>
      </w:r>
    </w:p>
    <w:p>
      <w:pPr>
        <w:spacing w:line="440" w:lineRule="exact"/>
        <w:ind w:firstLine="480" w:firstLineChars="200"/>
        <w:rPr>
          <w:rFonts w:hint="eastAsia" w:ascii="宋体" w:hAnsi="宋体"/>
          <w:sz w:val="24"/>
          <w:highlight w:val="none"/>
        </w:rPr>
      </w:pPr>
      <w:r>
        <w:rPr>
          <w:rFonts w:hint="eastAsia" w:ascii="宋体" w:hAnsi="宋体"/>
          <w:sz w:val="24"/>
          <w:highlight w:val="none"/>
        </w:rPr>
        <w:t>7、已完工车辆，乙方应使用电脑打印“工时费用清单”和“配件材料结算清单”，注明完工时间、维修项目、工时费、维修材料配件项目及其进货价格和管理费；</w:t>
      </w:r>
    </w:p>
    <w:p>
      <w:pPr>
        <w:spacing w:line="440" w:lineRule="exact"/>
        <w:ind w:firstLine="480" w:firstLineChars="200"/>
        <w:rPr>
          <w:rFonts w:hint="eastAsia" w:ascii="宋体" w:hAnsi="宋体"/>
          <w:sz w:val="24"/>
          <w:highlight w:val="none"/>
        </w:rPr>
      </w:pPr>
      <w:r>
        <w:rPr>
          <w:rFonts w:hint="eastAsia" w:ascii="宋体" w:hAnsi="宋体"/>
          <w:sz w:val="24"/>
          <w:highlight w:val="none"/>
        </w:rPr>
        <w:t>8、所有更换的维修旧材料，由甲方自行带回单位处理，同时乙方必须做好登记；若甲方没有拿走维修旧材料，乙方必须严格保存，一一记录，随时接受监督部门的检查及回收。</w:t>
      </w:r>
    </w:p>
    <w:p>
      <w:pPr>
        <w:numPr>
          <w:ilvl w:val="0"/>
          <w:numId w:val="12"/>
        </w:numPr>
        <w:tabs>
          <w:tab w:val="left" w:pos="180"/>
          <w:tab w:val="left" w:pos="900"/>
          <w:tab w:val="left" w:pos="1080"/>
          <w:tab w:val="left" w:pos="1260"/>
          <w:tab w:val="left" w:pos="144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违约责任：</w:t>
      </w:r>
    </w:p>
    <w:p>
      <w:pPr>
        <w:spacing w:line="440" w:lineRule="exact"/>
        <w:ind w:firstLine="480" w:firstLineChars="200"/>
        <w:rPr>
          <w:rFonts w:hint="eastAsia" w:ascii="宋体" w:hAnsi="宋体"/>
          <w:sz w:val="24"/>
          <w:highlight w:val="none"/>
        </w:rPr>
      </w:pPr>
      <w:r>
        <w:rPr>
          <w:rFonts w:hint="eastAsia" w:ascii="宋体" w:hAnsi="宋体"/>
          <w:sz w:val="24"/>
          <w:highlight w:val="none"/>
        </w:rPr>
        <w:t>1、甲方应按《送修单》规定的时间及时接收每一完工车辆，逾期40日仍不接收，乙方经有关部门批准后有权处置该车辆；</w:t>
      </w:r>
    </w:p>
    <w:p>
      <w:pPr>
        <w:spacing w:line="440" w:lineRule="exact"/>
        <w:ind w:firstLine="480" w:firstLineChars="200"/>
        <w:rPr>
          <w:rFonts w:hint="eastAsia" w:ascii="宋体" w:hAnsi="宋体"/>
          <w:sz w:val="24"/>
          <w:highlight w:val="none"/>
        </w:rPr>
      </w:pPr>
      <w:r>
        <w:rPr>
          <w:rFonts w:hint="eastAsia" w:ascii="宋体" w:hAnsi="宋体"/>
          <w:sz w:val="24"/>
          <w:highlight w:val="none"/>
        </w:rPr>
        <w:t>2、乙方应按《送修单》规定的期限完成维修工作，如逾期未能完成，则乙方应向甲方每日交付该车辆维修费的5%作为违约金，该违约金托修方可从应支付给乙方的维修费中扣减；</w:t>
      </w:r>
    </w:p>
    <w:p>
      <w:pPr>
        <w:spacing w:line="440" w:lineRule="exact"/>
        <w:ind w:firstLine="480" w:firstLineChars="200"/>
        <w:rPr>
          <w:rFonts w:hint="eastAsia" w:ascii="宋体" w:hAnsi="宋体"/>
          <w:sz w:val="24"/>
          <w:highlight w:val="none"/>
        </w:rPr>
      </w:pPr>
      <w:r>
        <w:rPr>
          <w:rFonts w:hint="eastAsia" w:ascii="宋体" w:hAnsi="宋体"/>
          <w:sz w:val="24"/>
          <w:highlight w:val="none"/>
        </w:rPr>
        <w:t>3、如甲方送修车辆在乙方维修期间出现丢失或损毁，乙方应承担全部赔偿责任；</w:t>
      </w:r>
    </w:p>
    <w:p>
      <w:pPr>
        <w:spacing w:line="440" w:lineRule="exact"/>
        <w:ind w:firstLine="480" w:firstLineChars="200"/>
        <w:rPr>
          <w:rFonts w:hint="eastAsia" w:ascii="宋体" w:hAnsi="宋体"/>
          <w:sz w:val="24"/>
          <w:highlight w:val="none"/>
        </w:rPr>
      </w:pPr>
      <w:r>
        <w:rPr>
          <w:rFonts w:hint="eastAsia" w:ascii="宋体" w:hAnsi="宋体"/>
          <w:sz w:val="24"/>
          <w:highlight w:val="none"/>
        </w:rPr>
        <w:t>4、如因乙方维修质量问题造成甲方损失，乙方应承担赔偿责任。</w:t>
      </w:r>
    </w:p>
    <w:p>
      <w:pPr>
        <w:spacing w:line="440" w:lineRule="exact"/>
        <w:ind w:firstLine="480" w:firstLineChars="200"/>
        <w:rPr>
          <w:rFonts w:hint="eastAsia" w:ascii="宋体" w:hAnsi="宋体"/>
          <w:sz w:val="24"/>
          <w:highlight w:val="none"/>
        </w:rPr>
      </w:pPr>
      <w:r>
        <w:rPr>
          <w:rFonts w:hint="eastAsia" w:ascii="宋体" w:hAnsi="宋体"/>
          <w:sz w:val="24"/>
          <w:highlight w:val="none"/>
        </w:rPr>
        <w:t>5、如有下列任何一种情况出现，将没收乙方的履约保证金（没收后乙方还应补足</w:t>
      </w:r>
      <w:r>
        <w:rPr>
          <w:rFonts w:hint="eastAsia" w:ascii="宋体" w:hAnsi="宋体"/>
          <w:sz w:val="24"/>
          <w:highlight w:val="none"/>
          <w:u w:val="single"/>
        </w:rPr>
        <w:t xml:space="preserve">   </w:t>
      </w:r>
      <w:r>
        <w:rPr>
          <w:rFonts w:hint="eastAsia" w:ascii="宋体" w:hAnsi="宋体"/>
          <w:sz w:val="24"/>
          <w:highlight w:val="none"/>
        </w:rPr>
        <w:t>万元的保证金，否则立即取消其定点维修资格），情节严重的将取消定点维修资格，若给甲方造成损失的将向乙方追究经济赔偿。</w:t>
      </w:r>
    </w:p>
    <w:p>
      <w:pPr>
        <w:numPr>
          <w:ilvl w:val="0"/>
          <w:numId w:val="16"/>
        </w:numPr>
        <w:spacing w:line="440" w:lineRule="exact"/>
        <w:rPr>
          <w:rFonts w:hint="eastAsia" w:ascii="宋体" w:hAnsi="宋体"/>
          <w:sz w:val="24"/>
          <w:highlight w:val="none"/>
        </w:rPr>
      </w:pPr>
      <w:r>
        <w:rPr>
          <w:rFonts w:hint="eastAsia" w:ascii="宋体" w:hAnsi="宋体"/>
          <w:sz w:val="24"/>
          <w:highlight w:val="none"/>
        </w:rPr>
        <w:t>没有按照价格优惠要求，擅自抬高收费价格，经查实的；</w:t>
      </w:r>
    </w:p>
    <w:p>
      <w:pPr>
        <w:numPr>
          <w:ilvl w:val="0"/>
          <w:numId w:val="16"/>
        </w:numPr>
        <w:spacing w:line="440" w:lineRule="exact"/>
        <w:rPr>
          <w:rFonts w:hint="eastAsia" w:ascii="宋体" w:hAnsi="宋体"/>
          <w:sz w:val="24"/>
          <w:highlight w:val="none"/>
        </w:rPr>
      </w:pPr>
      <w:r>
        <w:rPr>
          <w:rFonts w:hint="eastAsia" w:ascii="宋体" w:hAnsi="宋体"/>
          <w:sz w:val="24"/>
          <w:highlight w:val="none"/>
        </w:rPr>
        <w:t>因质量、服务问题被投诉3次以上，经查实的；</w:t>
      </w:r>
    </w:p>
    <w:p>
      <w:pPr>
        <w:numPr>
          <w:ilvl w:val="0"/>
          <w:numId w:val="16"/>
        </w:numPr>
        <w:spacing w:line="440" w:lineRule="exact"/>
        <w:rPr>
          <w:rFonts w:hint="eastAsia" w:ascii="宋体" w:hAnsi="宋体"/>
          <w:sz w:val="24"/>
          <w:highlight w:val="none"/>
        </w:rPr>
      </w:pPr>
      <w:r>
        <w:rPr>
          <w:rFonts w:hint="eastAsia" w:ascii="宋体" w:hAnsi="宋体"/>
          <w:sz w:val="24"/>
          <w:highlight w:val="none"/>
        </w:rPr>
        <w:t>未经甲方同意，乙方将送修车辆交由他厂维修；</w:t>
      </w:r>
    </w:p>
    <w:p>
      <w:pPr>
        <w:numPr>
          <w:ilvl w:val="0"/>
          <w:numId w:val="16"/>
        </w:numPr>
        <w:spacing w:line="440" w:lineRule="exact"/>
        <w:rPr>
          <w:rFonts w:hint="eastAsia" w:ascii="宋体" w:hAnsi="宋体"/>
          <w:sz w:val="24"/>
          <w:highlight w:val="none"/>
        </w:rPr>
      </w:pPr>
      <w:r>
        <w:rPr>
          <w:rFonts w:hint="eastAsia" w:ascii="宋体" w:hAnsi="宋体"/>
          <w:sz w:val="24"/>
          <w:highlight w:val="none"/>
        </w:rPr>
        <w:t>通过给回扣或变相给回扣的方式招揽生意，经查实的；</w:t>
      </w:r>
    </w:p>
    <w:p>
      <w:pPr>
        <w:numPr>
          <w:ilvl w:val="0"/>
          <w:numId w:val="16"/>
        </w:numPr>
        <w:spacing w:line="440" w:lineRule="exact"/>
        <w:rPr>
          <w:rFonts w:hint="eastAsia" w:ascii="宋体" w:hAnsi="宋体"/>
          <w:sz w:val="24"/>
          <w:highlight w:val="none"/>
        </w:rPr>
      </w:pPr>
      <w:r>
        <w:rPr>
          <w:rFonts w:hint="eastAsia" w:ascii="宋体" w:hAnsi="宋体"/>
          <w:sz w:val="24"/>
          <w:highlight w:val="none"/>
        </w:rPr>
        <w:t>因乙方维修质量问题，导致托修方车辆出现事故造成损失的；</w:t>
      </w:r>
    </w:p>
    <w:p>
      <w:pPr>
        <w:numPr>
          <w:ilvl w:val="0"/>
          <w:numId w:val="16"/>
        </w:numPr>
        <w:spacing w:line="440" w:lineRule="exact"/>
        <w:rPr>
          <w:rFonts w:hint="eastAsia" w:ascii="宋体" w:hAnsi="宋体"/>
          <w:sz w:val="24"/>
          <w:highlight w:val="none"/>
        </w:rPr>
      </w:pPr>
      <w:r>
        <w:rPr>
          <w:rFonts w:hint="eastAsia" w:ascii="宋体" w:hAnsi="宋体"/>
          <w:sz w:val="24"/>
          <w:highlight w:val="none"/>
        </w:rPr>
        <w:t>本项目招标文件规定的其他情况。</w:t>
      </w:r>
    </w:p>
    <w:p>
      <w:pPr>
        <w:numPr>
          <w:ilvl w:val="0"/>
          <w:numId w:val="12"/>
        </w:numPr>
        <w:tabs>
          <w:tab w:val="left" w:pos="180"/>
          <w:tab w:val="left" w:pos="900"/>
          <w:tab w:val="left" w:pos="1080"/>
          <w:tab w:val="left" w:pos="1260"/>
          <w:tab w:val="left" w:pos="144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投诉：</w:t>
      </w:r>
    </w:p>
    <w:p>
      <w:pPr>
        <w:spacing w:line="440" w:lineRule="exact"/>
        <w:ind w:firstLine="480" w:firstLineChars="200"/>
        <w:rPr>
          <w:rFonts w:hint="eastAsia" w:ascii="宋体" w:hAnsi="宋体"/>
          <w:sz w:val="24"/>
          <w:highlight w:val="none"/>
        </w:rPr>
      </w:pPr>
      <w:r>
        <w:rPr>
          <w:rFonts w:hint="eastAsia" w:ascii="宋体" w:hAnsi="宋体"/>
          <w:sz w:val="24"/>
          <w:highlight w:val="none"/>
        </w:rPr>
        <w:t>为了保障双方的权益，本合同建立投诉监督管理制度，其具体方式为：</w:t>
      </w:r>
    </w:p>
    <w:p>
      <w:pPr>
        <w:spacing w:line="440" w:lineRule="exact"/>
        <w:ind w:firstLine="480" w:firstLineChars="200"/>
        <w:rPr>
          <w:rFonts w:hint="eastAsia" w:ascii="宋体" w:hAnsi="宋体"/>
          <w:sz w:val="24"/>
          <w:highlight w:val="none"/>
        </w:rPr>
      </w:pPr>
      <w:r>
        <w:rPr>
          <w:rFonts w:hint="eastAsia" w:ascii="宋体" w:hAnsi="宋体"/>
          <w:sz w:val="24"/>
          <w:highlight w:val="none"/>
        </w:rPr>
        <w:t>1、甲方方可就乙方的维修质量或服务问题向招标人投诉。</w:t>
      </w:r>
    </w:p>
    <w:p>
      <w:pPr>
        <w:spacing w:line="440" w:lineRule="exact"/>
        <w:ind w:firstLine="480" w:firstLineChars="200"/>
        <w:rPr>
          <w:rFonts w:hint="eastAsia" w:ascii="宋体" w:hAnsi="宋体"/>
          <w:sz w:val="24"/>
          <w:highlight w:val="none"/>
        </w:rPr>
      </w:pPr>
      <w:r>
        <w:rPr>
          <w:rFonts w:hint="eastAsia" w:ascii="宋体" w:hAnsi="宋体"/>
          <w:sz w:val="24"/>
          <w:highlight w:val="none"/>
        </w:rPr>
        <w:t>2、经核查，如情况属实则该投诉有效，将记录在案并按有关规定处理。</w:t>
      </w:r>
    </w:p>
    <w:p>
      <w:pPr>
        <w:numPr>
          <w:ilvl w:val="0"/>
          <w:numId w:val="12"/>
        </w:numPr>
        <w:tabs>
          <w:tab w:val="left" w:pos="180"/>
          <w:tab w:val="left" w:pos="900"/>
          <w:tab w:val="left" w:pos="1080"/>
          <w:tab w:val="left" w:pos="1260"/>
          <w:tab w:val="left" w:pos="1440"/>
          <w:tab w:val="clear" w:pos="420"/>
        </w:tabs>
        <w:spacing w:line="440" w:lineRule="exact"/>
        <w:ind w:left="0" w:firstLine="540" w:firstLineChars="224"/>
        <w:rPr>
          <w:rFonts w:hint="eastAsia" w:ascii="宋体" w:hAnsi="宋体"/>
          <w:sz w:val="24"/>
          <w:highlight w:val="none"/>
        </w:rPr>
      </w:pPr>
      <w:r>
        <w:rPr>
          <w:rFonts w:hint="eastAsia" w:ascii="宋体" w:hAnsi="宋体"/>
          <w:b/>
          <w:sz w:val="24"/>
          <w:highlight w:val="none"/>
        </w:rPr>
        <w:t>合同期限：</w:t>
      </w:r>
      <w:r>
        <w:rPr>
          <w:rFonts w:hint="eastAsia" w:ascii="宋体" w:hAnsi="宋体"/>
          <w:sz w:val="24"/>
          <w:highlight w:val="none"/>
        </w:rPr>
        <w:t>本合同有效期自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日，到期后招标人将视情况决定是否延长期限。若有延长的履约保证金的有效期将延长之相应期限。</w:t>
      </w:r>
    </w:p>
    <w:p>
      <w:pPr>
        <w:numPr>
          <w:ilvl w:val="0"/>
          <w:numId w:val="12"/>
        </w:numPr>
        <w:tabs>
          <w:tab w:val="left" w:pos="180"/>
          <w:tab w:val="left" w:pos="900"/>
          <w:tab w:val="left" w:pos="1080"/>
          <w:tab w:val="left" w:pos="1260"/>
          <w:tab w:val="left" w:pos="144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争议及解决</w:t>
      </w:r>
    </w:p>
    <w:p>
      <w:pPr>
        <w:spacing w:line="440" w:lineRule="exact"/>
        <w:ind w:firstLine="480" w:firstLineChars="200"/>
        <w:rPr>
          <w:rFonts w:hint="eastAsia" w:ascii="宋体" w:hAnsi="宋体"/>
          <w:sz w:val="24"/>
          <w:highlight w:val="none"/>
        </w:rPr>
      </w:pPr>
      <w:r>
        <w:rPr>
          <w:rFonts w:hint="eastAsia" w:ascii="宋体" w:hAnsi="宋体"/>
          <w:sz w:val="24"/>
          <w:highlight w:val="none"/>
        </w:rPr>
        <w:t>如双方在履行合同时发生纠纷，应尽量协商解决，协商不成，任何一方可到有权部门申请仲裁。</w:t>
      </w:r>
    </w:p>
    <w:p>
      <w:pPr>
        <w:numPr>
          <w:ilvl w:val="0"/>
          <w:numId w:val="12"/>
        </w:numPr>
        <w:tabs>
          <w:tab w:val="left" w:pos="180"/>
          <w:tab w:val="left" w:pos="900"/>
          <w:tab w:val="left" w:pos="1080"/>
          <w:tab w:val="left" w:pos="1260"/>
          <w:tab w:val="left" w:pos="1440"/>
          <w:tab w:val="clear" w:pos="420"/>
        </w:tabs>
        <w:spacing w:line="440" w:lineRule="exact"/>
        <w:ind w:left="0" w:firstLine="540" w:firstLineChars="224"/>
        <w:rPr>
          <w:rFonts w:hint="eastAsia" w:ascii="宋体" w:hAnsi="宋体"/>
          <w:b/>
          <w:sz w:val="24"/>
          <w:highlight w:val="none"/>
        </w:rPr>
      </w:pPr>
      <w:r>
        <w:rPr>
          <w:rFonts w:hint="eastAsia" w:ascii="宋体" w:hAnsi="宋体"/>
          <w:b/>
          <w:sz w:val="24"/>
          <w:highlight w:val="none"/>
        </w:rPr>
        <w:t>其它：</w:t>
      </w:r>
    </w:p>
    <w:p>
      <w:pPr>
        <w:spacing w:line="440" w:lineRule="exact"/>
        <w:ind w:firstLine="480" w:firstLineChars="200"/>
        <w:rPr>
          <w:rFonts w:hint="eastAsia" w:ascii="宋体" w:hAnsi="宋体"/>
          <w:sz w:val="24"/>
          <w:highlight w:val="none"/>
        </w:rPr>
      </w:pPr>
      <w:r>
        <w:rPr>
          <w:rFonts w:hint="eastAsia" w:ascii="宋体" w:hAnsi="宋体"/>
          <w:sz w:val="24"/>
          <w:highlight w:val="none"/>
        </w:rPr>
        <w:t>1、招标文件、投标文件及澄清函等均作为本合同的重要组成部分，甲、乙双方应共同遵守。</w:t>
      </w:r>
    </w:p>
    <w:p>
      <w:pPr>
        <w:spacing w:line="440" w:lineRule="exact"/>
        <w:ind w:firstLine="480" w:firstLineChars="200"/>
        <w:rPr>
          <w:rFonts w:hint="eastAsia" w:ascii="宋体" w:hAnsi="宋体"/>
          <w:sz w:val="24"/>
          <w:highlight w:val="none"/>
        </w:rPr>
      </w:pPr>
      <w:r>
        <w:rPr>
          <w:rFonts w:hint="eastAsia" w:ascii="宋体" w:hAnsi="宋体"/>
          <w:sz w:val="24"/>
          <w:highlight w:val="none"/>
        </w:rPr>
        <w:t>2、本项目未尽事宜，可以补充合同或协议的形式加以补充。补充合同或协议与本合同具有同样的法律效力。</w:t>
      </w:r>
    </w:p>
    <w:p>
      <w:pPr>
        <w:numPr>
          <w:ilvl w:val="0"/>
          <w:numId w:val="12"/>
        </w:numPr>
        <w:tabs>
          <w:tab w:val="left" w:pos="180"/>
          <w:tab w:val="left" w:pos="900"/>
          <w:tab w:val="left" w:pos="1080"/>
          <w:tab w:val="left" w:pos="1260"/>
          <w:tab w:val="left" w:pos="1440"/>
          <w:tab w:val="clear" w:pos="420"/>
        </w:tabs>
        <w:spacing w:line="440" w:lineRule="exact"/>
        <w:ind w:left="0" w:firstLine="537" w:firstLineChars="224"/>
        <w:rPr>
          <w:rFonts w:hint="eastAsia" w:ascii="宋体" w:hAnsi="宋体"/>
          <w:sz w:val="24"/>
          <w:highlight w:val="none"/>
        </w:rPr>
      </w:pPr>
      <w:r>
        <w:rPr>
          <w:rFonts w:hint="eastAsia" w:ascii="宋体" w:hAnsi="宋体"/>
          <w:sz w:val="24"/>
          <w:highlight w:val="none"/>
        </w:rPr>
        <w:t>本合同一式三份，甲、乙双方各持一份。送招标代理人备案一份。</w:t>
      </w:r>
    </w:p>
    <w:p>
      <w:pPr>
        <w:numPr>
          <w:ilvl w:val="0"/>
          <w:numId w:val="12"/>
        </w:numPr>
        <w:tabs>
          <w:tab w:val="left" w:pos="180"/>
          <w:tab w:val="left" w:pos="900"/>
          <w:tab w:val="left" w:pos="1080"/>
          <w:tab w:val="left" w:pos="1260"/>
          <w:tab w:val="left" w:pos="1440"/>
          <w:tab w:val="clear" w:pos="420"/>
        </w:tabs>
        <w:spacing w:line="440" w:lineRule="exact"/>
        <w:ind w:left="0" w:firstLine="537" w:firstLineChars="224"/>
        <w:rPr>
          <w:rFonts w:hint="eastAsia" w:ascii="宋体" w:hAnsi="宋体"/>
          <w:sz w:val="24"/>
          <w:highlight w:val="none"/>
        </w:rPr>
      </w:pPr>
      <w:r>
        <w:rPr>
          <w:rFonts w:hint="eastAsia" w:ascii="宋体" w:hAnsi="宋体"/>
          <w:sz w:val="24"/>
          <w:highlight w:val="none"/>
        </w:rPr>
        <w:t>本合同经双方签字、盖章后立即生效。</w:t>
      </w:r>
    </w:p>
    <w:p>
      <w:pPr>
        <w:spacing w:line="440" w:lineRule="exact"/>
        <w:rPr>
          <w:rFonts w:hint="eastAsia" w:ascii="宋体" w:hAnsi="宋体"/>
          <w:sz w:val="24"/>
          <w:highlight w:val="none"/>
        </w:rPr>
      </w:pPr>
    </w:p>
    <w:p>
      <w:pPr>
        <w:spacing w:line="440" w:lineRule="exact"/>
        <w:rPr>
          <w:rFonts w:hint="eastAsia" w:ascii="宋体" w:hAnsi="宋体"/>
          <w:sz w:val="24"/>
          <w:highlight w:val="none"/>
        </w:rPr>
      </w:pPr>
    </w:p>
    <w:p>
      <w:pPr>
        <w:spacing w:line="440" w:lineRule="exact"/>
        <w:rPr>
          <w:rFonts w:hint="eastAsia" w:ascii="宋体" w:hAnsi="宋体"/>
          <w:sz w:val="24"/>
          <w:highlight w:val="none"/>
        </w:rPr>
      </w:pPr>
      <w:r>
        <w:rPr>
          <w:rFonts w:hint="eastAsia" w:ascii="宋体" w:hAnsi="宋体"/>
          <w:sz w:val="24"/>
          <w:highlight w:val="none"/>
        </w:rPr>
        <w:t>甲方：　　　　　　　　　　　　　　       　乙方：</w:t>
      </w:r>
    </w:p>
    <w:p>
      <w:pPr>
        <w:spacing w:line="440" w:lineRule="exact"/>
        <w:rPr>
          <w:rFonts w:hint="eastAsia" w:ascii="宋体" w:hAnsi="宋体"/>
          <w:sz w:val="24"/>
          <w:highlight w:val="none"/>
        </w:rPr>
      </w:pPr>
      <w:r>
        <w:rPr>
          <w:rFonts w:hint="eastAsia" w:ascii="宋体" w:hAnsi="宋体"/>
          <w:sz w:val="24"/>
          <w:highlight w:val="none"/>
        </w:rPr>
        <w:t>地址：                                     地址：</w:t>
      </w:r>
    </w:p>
    <w:p>
      <w:pPr>
        <w:spacing w:line="440" w:lineRule="exact"/>
        <w:rPr>
          <w:rFonts w:hint="eastAsia" w:ascii="宋体" w:hAnsi="宋体"/>
          <w:sz w:val="24"/>
          <w:highlight w:val="none"/>
        </w:rPr>
      </w:pPr>
      <w:r>
        <w:rPr>
          <w:rFonts w:hint="eastAsia" w:ascii="宋体" w:hAnsi="宋体"/>
          <w:sz w:val="24"/>
          <w:highlight w:val="none"/>
        </w:rPr>
        <w:t>法定代表人：　　　　　　　　　　 　　　　　法定代表人（或负责人）：</w:t>
      </w:r>
    </w:p>
    <w:p>
      <w:pPr>
        <w:spacing w:line="440" w:lineRule="exact"/>
        <w:rPr>
          <w:rFonts w:hint="eastAsia" w:ascii="宋体" w:hAnsi="宋体"/>
          <w:sz w:val="24"/>
          <w:highlight w:val="none"/>
        </w:rPr>
      </w:pPr>
      <w:r>
        <w:rPr>
          <w:rFonts w:hint="eastAsia" w:ascii="宋体" w:hAnsi="宋体"/>
          <w:sz w:val="24"/>
          <w:highlight w:val="none"/>
        </w:rPr>
        <w:t>委托代理人：　　　　　　　　　　 　　　　　委托代理人：</w:t>
      </w:r>
    </w:p>
    <w:p>
      <w:pPr>
        <w:spacing w:line="440" w:lineRule="exact"/>
        <w:rPr>
          <w:rFonts w:hint="eastAsia" w:ascii="宋体" w:hAnsi="宋体"/>
          <w:sz w:val="24"/>
          <w:highlight w:val="none"/>
        </w:rPr>
      </w:pPr>
      <w:r>
        <w:rPr>
          <w:rFonts w:hint="eastAsia" w:ascii="宋体" w:hAnsi="宋体"/>
          <w:sz w:val="24"/>
          <w:highlight w:val="none"/>
        </w:rPr>
        <w:t>电话：                                     电话：</w:t>
      </w:r>
    </w:p>
    <w:p>
      <w:pPr>
        <w:spacing w:line="440" w:lineRule="exact"/>
        <w:rPr>
          <w:rFonts w:hint="eastAsia" w:ascii="宋体" w:hAnsi="宋体"/>
          <w:sz w:val="24"/>
          <w:highlight w:val="none"/>
        </w:rPr>
      </w:pPr>
      <w:r>
        <w:rPr>
          <w:rFonts w:hint="eastAsia" w:ascii="宋体" w:hAnsi="宋体"/>
          <w:sz w:val="24"/>
          <w:highlight w:val="none"/>
        </w:rPr>
        <w:t>开户银行：                                 开户银行：</w:t>
      </w:r>
    </w:p>
    <w:p>
      <w:pPr>
        <w:spacing w:line="440" w:lineRule="exact"/>
        <w:rPr>
          <w:rFonts w:hint="eastAsia" w:ascii="宋体" w:hAnsi="宋体"/>
          <w:sz w:val="24"/>
          <w:highlight w:val="none"/>
        </w:rPr>
      </w:pPr>
      <w:r>
        <w:rPr>
          <w:rFonts w:hint="eastAsia" w:ascii="宋体" w:hAnsi="宋体"/>
          <w:sz w:val="24"/>
          <w:highlight w:val="none"/>
        </w:rPr>
        <w:t>帐号：                                     帐号：</w:t>
      </w:r>
    </w:p>
    <w:p>
      <w:pPr>
        <w:spacing w:line="440" w:lineRule="exact"/>
        <w:rPr>
          <w:rFonts w:hint="eastAsia" w:ascii="宋体" w:hAnsi="宋体"/>
          <w:sz w:val="24"/>
          <w:highlight w:val="none"/>
        </w:rPr>
      </w:pPr>
      <w:r>
        <w:rPr>
          <w:rFonts w:hint="eastAsia" w:ascii="宋体" w:hAnsi="宋体"/>
          <w:sz w:val="24"/>
          <w:highlight w:val="none"/>
        </w:rPr>
        <w:t>年    月    日                             年    月    日</w:t>
      </w:r>
    </w:p>
    <w:p>
      <w:pPr>
        <w:spacing w:line="440" w:lineRule="exact"/>
        <w:rPr>
          <w:rFonts w:hint="eastAsia" w:ascii="宋体" w:hAnsi="宋体"/>
          <w:b/>
          <w:sz w:val="24"/>
          <w:highlight w:val="none"/>
        </w:rPr>
      </w:pPr>
      <w:r>
        <w:rPr>
          <w:rFonts w:hint="eastAsia" w:ascii="宋体" w:hAnsi="宋体"/>
          <w:b/>
          <w:sz w:val="24"/>
          <w:highlight w:val="none"/>
        </w:rPr>
        <w:t>备注：最终签订合同以与甲方签订合同为准。</w:t>
      </w:r>
    </w:p>
    <w:p>
      <w:pPr>
        <w:tabs>
          <w:tab w:val="left" w:pos="2880"/>
        </w:tabs>
        <w:spacing w:line="440" w:lineRule="exact"/>
        <w:outlineLvl w:val="1"/>
        <w:rPr>
          <w:rFonts w:ascii="宋体" w:hAnsi="宋体"/>
          <w:b/>
          <w:sz w:val="32"/>
          <w:szCs w:val="32"/>
          <w:highlight w:val="none"/>
        </w:rPr>
      </w:pPr>
    </w:p>
    <w:p>
      <w:pPr>
        <w:rPr>
          <w:highlight w:val="none"/>
        </w:rPr>
      </w:pPr>
    </w:p>
    <w:p>
      <w:pPr>
        <w:pStyle w:val="21"/>
        <w:rPr>
          <w:highlight w:val="none"/>
        </w:rPr>
      </w:pPr>
    </w:p>
    <w:p>
      <w:pPr>
        <w:rPr>
          <w:highlight w:val="none"/>
        </w:rPr>
      </w:pPr>
    </w:p>
    <w:p>
      <w:pPr>
        <w:pStyle w:val="3"/>
        <w:jc w:val="center"/>
        <w:rPr>
          <w:highlight w:val="none"/>
        </w:rPr>
      </w:pPr>
    </w:p>
    <w:p>
      <w:pPr>
        <w:pStyle w:val="3"/>
        <w:jc w:val="center"/>
        <w:rPr>
          <w:highlight w:val="none"/>
        </w:rPr>
      </w:pPr>
    </w:p>
    <w:p>
      <w:pPr>
        <w:rPr>
          <w:rFonts w:hint="eastAsia"/>
          <w:highlight w:val="none"/>
        </w:rPr>
      </w:pPr>
      <w:r>
        <w:rPr>
          <w:rFonts w:hint="eastAsia"/>
          <w:highlight w:val="none"/>
        </w:rPr>
        <w:br w:type="page"/>
      </w:r>
    </w:p>
    <w:p>
      <w:pPr>
        <w:pStyle w:val="3"/>
        <w:jc w:val="center"/>
        <w:rPr>
          <w:rFonts w:ascii="宋体" w:cs="宋体"/>
          <w:w w:val="90"/>
          <w:highlight w:val="none"/>
        </w:rPr>
      </w:pPr>
      <w:r>
        <w:rPr>
          <w:rFonts w:hint="eastAsia"/>
          <w:highlight w:val="none"/>
        </w:rPr>
        <w:t>第五章</w:t>
      </w:r>
      <w:r>
        <w:rPr>
          <w:highlight w:val="none"/>
        </w:rPr>
        <w:t xml:space="preserve"> </w:t>
      </w:r>
      <w:r>
        <w:rPr>
          <w:rFonts w:hint="eastAsia"/>
          <w:highlight w:val="none"/>
        </w:rPr>
        <w:t>采购需求</w:t>
      </w:r>
      <w:bookmarkEnd w:id="76"/>
      <w:bookmarkEnd w:id="77"/>
      <w:bookmarkEnd w:id="78"/>
      <w:bookmarkEnd w:id="79"/>
      <w:bookmarkEnd w:id="80"/>
      <w:bookmarkStart w:id="81" w:name="_Toc14776844"/>
      <w:bookmarkStart w:id="82" w:name="_Toc2511994"/>
    </w:p>
    <w:p>
      <w:pPr>
        <w:pStyle w:val="21"/>
        <w:rPr>
          <w:w w:val="90"/>
          <w:kern w:val="44"/>
          <w:sz w:val="44"/>
          <w:szCs w:val="44"/>
          <w:highlight w:val="none"/>
        </w:rPr>
      </w:pPr>
      <w:r>
        <w:rPr>
          <w:w w:val="90"/>
          <w:highlight w:val="none"/>
        </w:rPr>
        <w:br w:type="page"/>
      </w:r>
    </w:p>
    <w:p>
      <w:pPr>
        <w:spacing w:line="360" w:lineRule="auto"/>
        <w:jc w:val="center"/>
        <w:rPr>
          <w:b/>
          <w:sz w:val="32"/>
          <w:szCs w:val="30"/>
          <w:highlight w:val="none"/>
        </w:rPr>
      </w:pPr>
      <w:r>
        <w:rPr>
          <w:b/>
          <w:sz w:val="32"/>
          <w:szCs w:val="30"/>
          <w:highlight w:val="none"/>
        </w:rPr>
        <w:t>服务需求</w:t>
      </w:r>
    </w:p>
    <w:p>
      <w:pPr>
        <w:spacing w:line="360" w:lineRule="auto"/>
        <w:rPr>
          <w:rFonts w:hint="eastAsia" w:ascii="宋体" w:hAnsi="宋体"/>
          <w:b/>
          <w:sz w:val="24"/>
          <w:highlight w:val="none"/>
        </w:rPr>
      </w:pPr>
      <w:r>
        <w:rPr>
          <w:rFonts w:hint="eastAsia" w:ascii="宋体" w:hAnsi="宋体"/>
          <w:b/>
          <w:sz w:val="24"/>
          <w:highlight w:val="none"/>
        </w:rPr>
        <w:t>单位车型统计</w:t>
      </w:r>
    </w:p>
    <w:p>
      <w:pPr>
        <w:spacing w:line="360" w:lineRule="auto"/>
        <w:rPr>
          <w:rFonts w:hint="eastAsia" w:ascii="宋体" w:hAnsi="宋体"/>
          <w:b/>
          <w:bCs w:val="0"/>
          <w:sz w:val="24"/>
          <w:highlight w:val="none"/>
        </w:rPr>
      </w:pPr>
      <w:r>
        <w:rPr>
          <w:rFonts w:hint="eastAsia" w:ascii="宋体" w:hAnsi="宋体"/>
          <w:b/>
          <w:sz w:val="24"/>
          <w:highlight w:val="none"/>
          <w:lang w:val="en-US" w:eastAsia="zh-CN"/>
        </w:rPr>
        <w:t>标项一（乌鲁木齐高新区（新市区）某单位南区车辆维修服务项目）</w:t>
      </w:r>
      <w:r>
        <w:rPr>
          <w:rFonts w:hint="eastAsia" w:ascii="宋体" w:hAnsi="宋体"/>
          <w:bCs/>
          <w:sz w:val="24"/>
          <w:highlight w:val="none"/>
        </w:rPr>
        <w:t>：</w:t>
      </w:r>
      <w:r>
        <w:rPr>
          <w:rFonts w:hint="eastAsia" w:ascii="宋体" w:hAnsi="宋体"/>
          <w:b/>
          <w:bCs w:val="0"/>
          <w:sz w:val="24"/>
          <w:highlight w:val="none"/>
        </w:rPr>
        <w:t>车型</w:t>
      </w:r>
      <w:r>
        <w:rPr>
          <w:rFonts w:hint="eastAsia" w:ascii="宋体" w:hAnsi="宋体"/>
          <w:b/>
          <w:bCs w:val="0"/>
          <w:sz w:val="24"/>
          <w:highlight w:val="none"/>
          <w:lang w:val="en-US" w:eastAsia="zh-CN"/>
        </w:rPr>
        <w:t>包括但不仅限于</w:t>
      </w:r>
      <w:r>
        <w:rPr>
          <w:rFonts w:hint="eastAsia" w:ascii="宋体" w:hAnsi="宋体"/>
          <w:b/>
          <w:bCs w:val="0"/>
          <w:sz w:val="24"/>
          <w:highlight w:val="none"/>
        </w:rPr>
        <w:t>：</w:t>
      </w:r>
    </w:p>
    <w:p>
      <w:pPr>
        <w:spacing w:line="360" w:lineRule="auto"/>
        <w:rPr>
          <w:rFonts w:hint="eastAsia" w:ascii="宋体" w:hAnsi="宋体"/>
          <w:bCs/>
          <w:sz w:val="24"/>
          <w:highlight w:val="none"/>
        </w:rPr>
      </w:pPr>
      <w:r>
        <w:rPr>
          <w:rFonts w:hint="eastAsia" w:ascii="宋体" w:hAnsi="宋体"/>
          <w:bCs/>
          <w:sz w:val="24"/>
          <w:highlight w:val="none"/>
        </w:rPr>
        <w:t>荣威550、丰田汉兰达、三菱帕杰罗、吉普指南者、起亚霸锐、丰田超霸、别克商务、尼桑皮卡、黄海皮卡、宝来轿车、丰田花冠、大通牌中型客车、五十铃牌厢式货车、捷达轿车、现代途胜、上海桑塔纳、开瑞优优面包车、考斯特中型客车、斯柯达中型客车、金杯牌面包车、宇通客车、飞度轿车、老款桑塔纳轿车、奥德赛商务车、起亚圣达菲、三菱速跑、宝骏730、哈弗H9、迈腾、江铃全顺中型客车、三菱欧蓝德、长安铃木轿车、现代伊兰特、猎豹、哈弗H7、金龙面包车、东风锐骐皮卡、五菱牌多功能车、江淮面包车、北汽40吉普车、思域轿车、现代悦动、福特福克斯、现代起亚、福特大装甲（福特猛禽改装）、依维柯中型客车、庆铃装备车（中型货车）、三菱速跑、现代悦动、BJ2021F7VA1B（北汽战旗）、大众途观</w:t>
      </w:r>
      <w:r>
        <w:rPr>
          <w:rFonts w:hint="eastAsia" w:ascii="宋体" w:hAnsi="宋体"/>
          <w:bCs/>
          <w:sz w:val="24"/>
          <w:highlight w:val="none"/>
          <w:lang w:eastAsia="zh-CN"/>
        </w:rPr>
        <w:t>、</w:t>
      </w:r>
      <w:r>
        <w:rPr>
          <w:rFonts w:hint="eastAsia" w:ascii="宋体" w:hAnsi="宋体"/>
          <w:bCs/>
          <w:sz w:val="24"/>
          <w:highlight w:val="none"/>
          <w:lang w:val="en-US" w:eastAsia="zh-CN"/>
        </w:rPr>
        <w:t>传奇M6</w:t>
      </w:r>
      <w:r>
        <w:rPr>
          <w:rFonts w:hint="eastAsia" w:ascii="宋体" w:hAnsi="宋体"/>
          <w:bCs/>
          <w:sz w:val="24"/>
          <w:highlight w:val="none"/>
        </w:rPr>
        <w:t>。</w:t>
      </w:r>
    </w:p>
    <w:p>
      <w:pPr>
        <w:spacing w:line="360" w:lineRule="auto"/>
        <w:rPr>
          <w:rFonts w:hint="eastAsia" w:ascii="宋体" w:hAnsi="宋体"/>
          <w:bCs/>
          <w:sz w:val="24"/>
          <w:highlight w:val="none"/>
        </w:rPr>
      </w:pPr>
      <w:r>
        <w:rPr>
          <w:rFonts w:hint="eastAsia" w:ascii="宋体" w:hAnsi="宋体"/>
          <w:bCs/>
          <w:sz w:val="24"/>
          <w:highlight w:val="none"/>
        </w:rPr>
        <w:t>共计51种车型。服务期限：一年</w:t>
      </w:r>
    </w:p>
    <w:p>
      <w:pPr>
        <w:pStyle w:val="2"/>
        <w:rPr>
          <w:rFonts w:hint="eastAsia"/>
          <w:highlight w:val="none"/>
        </w:rPr>
      </w:pPr>
    </w:p>
    <w:p>
      <w:pPr>
        <w:spacing w:line="360" w:lineRule="auto"/>
        <w:rPr>
          <w:rFonts w:hint="eastAsia" w:ascii="宋体" w:hAnsi="宋体"/>
          <w:b/>
          <w:sz w:val="24"/>
          <w:highlight w:val="none"/>
        </w:rPr>
      </w:pPr>
      <w:r>
        <w:rPr>
          <w:rFonts w:hint="eastAsia" w:ascii="宋体" w:hAnsi="宋体"/>
          <w:b/>
          <w:sz w:val="24"/>
          <w:highlight w:val="none"/>
        </w:rPr>
        <w:t>备注：</w:t>
      </w:r>
    </w:p>
    <w:p>
      <w:pPr>
        <w:spacing w:line="360" w:lineRule="auto"/>
        <w:rPr>
          <w:rFonts w:hint="eastAsia" w:ascii="宋体" w:hAnsi="宋体" w:eastAsia="宋体"/>
          <w:b/>
          <w:bCs w:val="0"/>
          <w:sz w:val="24"/>
          <w:highlight w:val="none"/>
        </w:rPr>
      </w:pPr>
      <w:r>
        <w:rPr>
          <w:rFonts w:hint="eastAsia" w:ascii="宋体" w:hAnsi="宋体" w:eastAsia="宋体"/>
          <w:b/>
          <w:bCs w:val="0"/>
          <w:sz w:val="24"/>
          <w:highlight w:val="none"/>
        </w:rPr>
        <w:t>1、本项目为交钥匙工程；</w:t>
      </w:r>
    </w:p>
    <w:p>
      <w:pPr>
        <w:spacing w:line="360" w:lineRule="auto"/>
        <w:rPr>
          <w:rFonts w:hint="eastAsia" w:ascii="宋体" w:hAnsi="宋体" w:eastAsia="宋体"/>
          <w:b/>
          <w:bCs w:val="0"/>
          <w:sz w:val="24"/>
          <w:highlight w:val="none"/>
          <w:lang w:val="en-US" w:eastAsia="zh-CN"/>
        </w:rPr>
      </w:pPr>
      <w:r>
        <w:rPr>
          <w:rFonts w:hint="eastAsia" w:ascii="宋体" w:hAnsi="宋体" w:eastAsia="宋体"/>
          <w:b/>
          <w:bCs w:val="0"/>
          <w:sz w:val="24"/>
          <w:highlight w:val="none"/>
          <w:lang w:val="en-US" w:eastAsia="zh-CN"/>
        </w:rPr>
        <w:t>2、维修单位需对保险公司救援服务及拖车服务之外的道路救援及车辆拖车提供服务，并按照规定的时间进行救援。</w:t>
      </w:r>
    </w:p>
    <w:p>
      <w:pPr>
        <w:spacing w:line="360" w:lineRule="auto"/>
        <w:rPr>
          <w:rFonts w:hint="default" w:ascii="宋体" w:hAnsi="宋体" w:eastAsia="宋体"/>
          <w:b/>
          <w:bCs w:val="0"/>
          <w:sz w:val="24"/>
          <w:highlight w:val="none"/>
          <w:lang w:val="en-US" w:eastAsia="zh-CN"/>
        </w:rPr>
      </w:pPr>
      <w:r>
        <w:rPr>
          <w:rFonts w:hint="eastAsia" w:ascii="宋体" w:hAnsi="宋体" w:eastAsia="宋体"/>
          <w:b/>
          <w:bCs w:val="0"/>
          <w:sz w:val="24"/>
          <w:highlight w:val="none"/>
          <w:lang w:val="en-US" w:eastAsia="zh-CN"/>
        </w:rPr>
        <w:t>3、招标人车辆维修原则上由所属片区进行相应维修，但可按照业主需求进行不同片区交替维修。</w:t>
      </w:r>
    </w:p>
    <w:p>
      <w:pPr>
        <w:spacing w:line="480" w:lineRule="exact"/>
        <w:ind w:firstLine="480" w:firstLineChars="200"/>
        <w:rPr>
          <w:rFonts w:hint="default" w:ascii="宋体" w:hAnsi="宋体" w:eastAsia="宋体" w:cs="仿宋"/>
          <w:sz w:val="24"/>
          <w:szCs w:val="28"/>
          <w:highlight w:val="none"/>
          <w:lang w:val="en-US" w:eastAsia="zh-CN"/>
        </w:rPr>
      </w:pPr>
    </w:p>
    <w:p>
      <w:pPr>
        <w:pStyle w:val="21"/>
        <w:rPr>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rPr>
          <w:rFonts w:hint="eastAsia" w:ascii="宋体" w:hAnsi="宋体" w:cs="宋体"/>
          <w:w w:val="90"/>
          <w:highlight w:val="none"/>
        </w:rPr>
      </w:pPr>
      <w:bookmarkStart w:id="83" w:name="_Toc44705274"/>
      <w:bookmarkStart w:id="84" w:name="_Toc44705053"/>
      <w:bookmarkStart w:id="85" w:name="_Toc44704906"/>
      <w:r>
        <w:rPr>
          <w:rFonts w:hint="eastAsia" w:ascii="宋体" w:hAnsi="宋体" w:cs="宋体"/>
          <w:w w:val="90"/>
          <w:highlight w:val="none"/>
        </w:rPr>
        <w:br w:type="page"/>
      </w:r>
    </w:p>
    <w:p>
      <w:pPr>
        <w:pStyle w:val="3"/>
        <w:spacing w:before="1680" w:beforeLines="700" w:after="0" w:line="360" w:lineRule="auto"/>
        <w:jc w:val="center"/>
        <w:rPr>
          <w:rFonts w:ascii="宋体" w:cs="宋体"/>
          <w:w w:val="90"/>
          <w:sz w:val="36"/>
          <w:highlight w:val="none"/>
        </w:rPr>
        <w:sectPr>
          <w:headerReference r:id="rId7" w:type="default"/>
          <w:footerReference r:id="rId8" w:type="default"/>
          <w:pgSz w:w="11907" w:h="16840"/>
          <w:pgMar w:top="1440" w:right="1469" w:bottom="1440" w:left="1622" w:header="851" w:footer="992" w:gutter="0"/>
          <w:cols w:space="720" w:num="1"/>
          <w:docGrid w:linePitch="312" w:charSpace="0"/>
        </w:sectPr>
      </w:pPr>
      <w:r>
        <w:rPr>
          <w:rFonts w:hint="eastAsia" w:ascii="宋体" w:hAnsi="宋体" w:cs="宋体"/>
          <w:w w:val="90"/>
          <w:highlight w:val="none"/>
        </w:rPr>
        <w:t>第六章</w:t>
      </w:r>
      <w:r>
        <w:rPr>
          <w:rFonts w:ascii="宋体" w:hAnsi="宋体" w:cs="宋体"/>
          <w:w w:val="90"/>
          <w:highlight w:val="none"/>
        </w:rPr>
        <w:t xml:space="preserve"> </w:t>
      </w:r>
      <w:r>
        <w:rPr>
          <w:rFonts w:hint="eastAsia" w:ascii="宋体" w:hAnsi="宋体" w:cs="宋体"/>
          <w:w w:val="90"/>
          <w:highlight w:val="none"/>
        </w:rPr>
        <w:t>评标方法及评标标</w:t>
      </w:r>
      <w:bookmarkEnd w:id="81"/>
      <w:bookmarkEnd w:id="82"/>
      <w:r>
        <w:rPr>
          <w:rFonts w:hint="eastAsia" w:ascii="宋体" w:hAnsi="宋体" w:cs="宋体"/>
          <w:w w:val="90"/>
          <w:highlight w:val="none"/>
        </w:rPr>
        <w:t>准</w:t>
      </w:r>
      <w:bookmarkEnd w:id="83"/>
      <w:bookmarkEnd w:id="84"/>
      <w:bookmarkEnd w:id="85"/>
    </w:p>
    <w:p>
      <w:pPr>
        <w:spacing w:line="360" w:lineRule="auto"/>
        <w:ind w:firstLine="480" w:firstLineChars="200"/>
        <w:jc w:val="left"/>
        <w:rPr>
          <w:rFonts w:ascii="宋体" w:cs="宋体"/>
          <w:szCs w:val="21"/>
          <w:highlight w:val="none"/>
        </w:rPr>
      </w:pPr>
      <w:r>
        <w:rPr>
          <w:rFonts w:hint="eastAsia" w:ascii="宋体" w:hAnsi="宋体" w:cs="宋体"/>
          <w:sz w:val="24"/>
          <w:szCs w:val="24"/>
          <w:highlight w:val="none"/>
        </w:rPr>
        <w:t>采购项目开标结束后，采购人或者采购代理机构将依法对投标人的资格进行审查。审查记录表如下：</w:t>
      </w:r>
    </w:p>
    <w:tbl>
      <w:tblPr>
        <w:tblStyle w:val="48"/>
        <w:tblW w:w="90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68"/>
        <w:gridCol w:w="4105"/>
        <w:gridCol w:w="2977"/>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jc w:val="center"/>
        </w:trPr>
        <w:tc>
          <w:tcPr>
            <w:tcW w:w="568" w:type="dxa"/>
            <w:vMerge w:val="restart"/>
            <w:tcBorders>
              <w:top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4105" w:type="dxa"/>
            <w:vMerge w:val="restart"/>
            <w:tcBorders>
              <w:top w:val="single" w:color="auto" w:sz="4" w:space="0"/>
              <w:left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hint="eastAsia" w:ascii="宋体" w:hAnsi="宋体" w:cs="宋体"/>
                <w:sz w:val="24"/>
                <w:szCs w:val="24"/>
                <w:highlight w:val="none"/>
              </w:rPr>
              <w:t>审查因素</w:t>
            </w:r>
          </w:p>
        </w:tc>
        <w:tc>
          <w:tcPr>
            <w:tcW w:w="2977" w:type="dxa"/>
            <w:vMerge w:val="restart"/>
            <w:tcBorders>
              <w:top w:val="single" w:color="auto" w:sz="4" w:space="0"/>
              <w:left w:val="single" w:color="auto" w:sz="4" w:space="0"/>
              <w:bottom w:val="single" w:color="auto" w:sz="4" w:space="0"/>
            </w:tcBorders>
            <w:vAlign w:val="center"/>
          </w:tcPr>
          <w:p>
            <w:pPr>
              <w:widowControl/>
              <w:spacing w:line="360" w:lineRule="auto"/>
              <w:jc w:val="center"/>
              <w:rPr>
                <w:rFonts w:ascii="宋体" w:cs="宋体"/>
                <w:sz w:val="24"/>
                <w:szCs w:val="24"/>
                <w:highlight w:val="none"/>
              </w:rPr>
            </w:pPr>
            <w:r>
              <w:rPr>
                <w:rFonts w:hint="eastAsia" w:ascii="宋体" w:hAnsi="宋体" w:cs="宋体"/>
                <w:sz w:val="24"/>
                <w:szCs w:val="24"/>
                <w:highlight w:val="none"/>
              </w:rPr>
              <w:t>审查标准</w:t>
            </w:r>
          </w:p>
        </w:tc>
        <w:tc>
          <w:tcPr>
            <w:tcW w:w="1449" w:type="dxa"/>
            <w:gridSpan w:val="3"/>
            <w:tcBorders>
              <w:top w:val="single" w:color="auto" w:sz="4" w:space="0"/>
              <w:left w:val="single" w:color="auto" w:sz="4" w:space="0"/>
              <w:bottom w:val="single" w:color="auto" w:sz="4" w:space="0"/>
            </w:tcBorders>
            <w:vAlign w:val="center"/>
          </w:tcPr>
          <w:p>
            <w:pPr>
              <w:widowControl/>
              <w:spacing w:line="360" w:lineRule="auto"/>
              <w:jc w:val="center"/>
              <w:rPr>
                <w:rFonts w:ascii="宋体" w:cs="宋体"/>
                <w:sz w:val="24"/>
                <w:szCs w:val="24"/>
                <w:highlight w:val="none"/>
              </w:rPr>
            </w:pPr>
            <w:r>
              <w:rPr>
                <w:rFonts w:hint="eastAsia" w:ascii="宋体" w:hAnsi="宋体" w:cs="宋体"/>
                <w:sz w:val="24"/>
                <w:szCs w:val="24"/>
                <w:highlight w:val="none"/>
              </w:rPr>
              <w:t>投标人名称及审查意见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2" w:hRule="atLeast"/>
          <w:jc w:val="center"/>
        </w:trPr>
        <w:tc>
          <w:tcPr>
            <w:tcW w:w="568" w:type="dxa"/>
            <w:vMerge w:val="continue"/>
            <w:tcBorders>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p>
        </w:tc>
        <w:tc>
          <w:tcPr>
            <w:tcW w:w="4105" w:type="dxa"/>
            <w:vMerge w:val="continue"/>
            <w:tcBorders>
              <w:left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p>
        </w:tc>
        <w:tc>
          <w:tcPr>
            <w:tcW w:w="2977" w:type="dxa"/>
            <w:vMerge w:val="continue"/>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2"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1</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 w:val="24"/>
                <w:szCs w:val="24"/>
                <w:highlight w:val="none"/>
              </w:rPr>
            </w:pPr>
            <w:r>
              <w:rPr>
                <w:rFonts w:hint="eastAsia" w:ascii="宋体" w:hAnsi="宋体" w:cs="宋体"/>
                <w:sz w:val="24"/>
                <w:szCs w:val="24"/>
                <w:highlight w:val="none"/>
              </w:rPr>
              <w:t>具有独立承担民事责任的能力</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1.1</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2</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 w:val="24"/>
                <w:szCs w:val="24"/>
                <w:highlight w:val="none"/>
              </w:rPr>
            </w:pPr>
            <w:r>
              <w:rPr>
                <w:rFonts w:hint="eastAsia" w:ascii="宋体" w:hAnsi="宋体" w:cs="宋体"/>
                <w:sz w:val="24"/>
                <w:szCs w:val="24"/>
                <w:highlight w:val="none"/>
              </w:rPr>
              <w:t>具有良好的商业信誉和健全的财务会计制度</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1.2</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3</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 w:val="24"/>
                <w:szCs w:val="24"/>
                <w:highlight w:val="none"/>
              </w:rPr>
            </w:pPr>
            <w:r>
              <w:rPr>
                <w:rFonts w:hint="eastAsia" w:ascii="宋体" w:hAnsi="宋体" w:cs="宋体"/>
                <w:color w:val="000000"/>
                <w:sz w:val="24"/>
                <w:szCs w:val="24"/>
                <w:highlight w:val="none"/>
              </w:rPr>
              <w:t>具有履行合同所必需的设备和专业技术能力</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1.3</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sz w:val="24"/>
                <w:szCs w:val="24"/>
                <w:highlight w:val="none"/>
              </w:rPr>
            </w:pPr>
            <w:r>
              <w:rPr>
                <w:rFonts w:ascii="宋体" w:hAnsi="宋体" w:cs="宋体"/>
                <w:sz w:val="24"/>
                <w:szCs w:val="24"/>
                <w:highlight w:val="none"/>
              </w:rPr>
              <w:t>4</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sz w:val="24"/>
                <w:szCs w:val="24"/>
                <w:highlight w:val="none"/>
              </w:rPr>
            </w:pPr>
            <w:r>
              <w:rPr>
                <w:rFonts w:hint="eastAsia" w:ascii="宋体" w:hAnsi="宋体" w:cs="宋体"/>
                <w:color w:val="000000"/>
                <w:kern w:val="0"/>
                <w:sz w:val="24"/>
                <w:szCs w:val="24"/>
                <w:highlight w:val="none"/>
                <w:lang w:val="zh-CN"/>
              </w:rPr>
              <w:t>有依法缴纳税收和社会保障资金的良好记录</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sz w:val="24"/>
                <w:szCs w:val="24"/>
                <w:highlight w:val="none"/>
              </w:rPr>
            </w:pPr>
            <w:r>
              <w:rPr>
                <w:rFonts w:hint="eastAsia" w:ascii="宋体" w:hAnsi="宋体" w:cs="宋体"/>
                <w:sz w:val="24"/>
                <w:szCs w:val="24"/>
                <w:highlight w:val="none"/>
              </w:rPr>
              <w:t>符合第七章投标文件格式“一、投标文件</w:t>
            </w:r>
            <w:r>
              <w:rPr>
                <w:rFonts w:ascii="宋体" w:cs="宋体"/>
                <w:sz w:val="24"/>
                <w:szCs w:val="24"/>
                <w:highlight w:val="none"/>
              </w:rPr>
              <w:t>-</w:t>
            </w:r>
            <w:r>
              <w:rPr>
                <w:rFonts w:hint="eastAsia" w:ascii="宋体" w:hAnsi="宋体" w:cs="宋体"/>
                <w:sz w:val="24"/>
                <w:szCs w:val="24"/>
                <w:highlight w:val="none"/>
              </w:rPr>
              <w:t>资格证明材料”第</w:t>
            </w:r>
            <w:r>
              <w:rPr>
                <w:rFonts w:ascii="宋体" w:hAnsi="宋体" w:cs="宋体"/>
                <w:sz w:val="24"/>
                <w:szCs w:val="24"/>
                <w:highlight w:val="none"/>
              </w:rPr>
              <w:t>1.4</w:t>
            </w:r>
            <w:r>
              <w:rPr>
                <w:rFonts w:hint="eastAsia" w:ascii="宋体" w:hAnsi="宋体" w:cs="宋体"/>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5</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参加政府采购活动前三年内，在经营活动中没有重大违法记录</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1.5</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6</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符合招标文件第二章“投标人须知前附表”</w:t>
            </w:r>
            <w:r>
              <w:rPr>
                <w:rFonts w:hint="eastAsia" w:ascii="宋体" w:hAnsi="宋体" w:cs="宋体"/>
                <w:color w:val="000000"/>
                <w:sz w:val="24"/>
                <w:szCs w:val="24"/>
                <w:highlight w:val="none"/>
                <w:lang w:eastAsia="zh-CN"/>
              </w:rPr>
              <w:t>12中第</w:t>
            </w:r>
            <w:r>
              <w:rPr>
                <w:rFonts w:ascii="宋体" w:hAnsi="宋体" w:cs="宋体"/>
                <w:color w:val="000000"/>
                <w:sz w:val="24"/>
                <w:szCs w:val="24"/>
                <w:highlight w:val="none"/>
              </w:rPr>
              <w:t>2</w:t>
            </w:r>
            <w:r>
              <w:rPr>
                <w:rFonts w:hint="eastAsia" w:ascii="宋体" w:hAnsi="宋体" w:cs="宋体"/>
                <w:color w:val="000000"/>
                <w:sz w:val="24"/>
                <w:szCs w:val="24"/>
                <w:highlight w:val="none"/>
              </w:rPr>
              <w:t>条的证明材料</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1.6</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7</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highlight w:val="none"/>
              </w:rPr>
            </w:pPr>
            <w:r>
              <w:rPr>
                <w:rFonts w:hint="eastAsia" w:ascii="宋体" w:hAnsi="宋体" w:cs="宋体"/>
                <w:color w:val="000000"/>
                <w:sz w:val="24"/>
                <w:szCs w:val="24"/>
                <w:highlight w:val="none"/>
              </w:rPr>
              <w:t>符合招标文件第二章“投标人须知前附表”</w:t>
            </w:r>
            <w:r>
              <w:rPr>
                <w:rFonts w:hint="eastAsia" w:ascii="宋体" w:hAnsi="宋体" w:cs="宋体"/>
                <w:color w:val="000000"/>
                <w:sz w:val="24"/>
                <w:szCs w:val="24"/>
                <w:highlight w:val="none"/>
                <w:lang w:eastAsia="zh-CN"/>
              </w:rPr>
              <w:t>12中第</w:t>
            </w:r>
            <w:r>
              <w:rPr>
                <w:rFonts w:hint="eastAsia" w:ascii="宋体" w:hAnsi="宋体" w:cs="宋体"/>
                <w:color w:val="000000"/>
                <w:sz w:val="24"/>
                <w:szCs w:val="24"/>
                <w:highlight w:val="none"/>
              </w:rPr>
              <w:t>3条的证明材料：</w:t>
            </w:r>
            <w:r>
              <w:rPr>
                <w:rFonts w:hint="eastAsia" w:ascii="宋体" w:hAnsi="宋体" w:cs="宋体"/>
                <w:color w:val="000000"/>
                <w:sz w:val="24"/>
                <w:szCs w:val="24"/>
                <w:highlight w:val="none"/>
                <w:u w:val="single"/>
                <w:lang w:eastAsia="zh-CN"/>
              </w:rPr>
              <w:t>具备有效机动车维修经营许可证或机动车维修经营备案表，维修资质必须为二类及以上汽车维修资质</w:t>
            </w:r>
            <w:r>
              <w:rPr>
                <w:rFonts w:hint="eastAsia" w:ascii="宋体" w:hAnsi="宋体" w:cs="宋体"/>
                <w:color w:val="000000"/>
                <w:sz w:val="24"/>
                <w:szCs w:val="24"/>
                <w:highlight w:val="none"/>
                <w:u w:val="single"/>
              </w:rPr>
              <w:t>。</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1.7</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8</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投标承诺书</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1.8</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568" w:type="dxa"/>
            <w:tcBorders>
              <w:top w:val="single" w:color="auto" w:sz="4" w:space="0"/>
              <w:bottom w:val="single" w:color="auto" w:sz="4" w:space="0"/>
              <w:right w:val="single" w:color="auto" w:sz="4" w:space="0"/>
            </w:tcBorders>
            <w:vAlign w:val="center"/>
          </w:tcPr>
          <w:p>
            <w:pPr>
              <w:spacing w:before="60" w:beforeLines="25" w:after="60" w:afterLines="25" w:line="360" w:lineRule="auto"/>
              <w:jc w:val="center"/>
              <w:rPr>
                <w:rFonts w:ascii="宋体" w:cs="宋体"/>
                <w:color w:val="000000"/>
                <w:sz w:val="24"/>
                <w:szCs w:val="24"/>
                <w:highlight w:val="none"/>
              </w:rPr>
            </w:pPr>
            <w:r>
              <w:rPr>
                <w:rFonts w:ascii="宋体" w:hAnsi="宋体" w:cs="宋体"/>
                <w:color w:val="000000"/>
                <w:sz w:val="24"/>
                <w:szCs w:val="24"/>
                <w:highlight w:val="none"/>
              </w:rPr>
              <w:t>9</w:t>
            </w:r>
          </w:p>
        </w:tc>
        <w:tc>
          <w:tcPr>
            <w:tcW w:w="410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color w:val="000000"/>
                <w:sz w:val="24"/>
                <w:szCs w:val="24"/>
                <w:highlight w:val="none"/>
              </w:rPr>
            </w:pPr>
            <w:r>
              <w:rPr>
                <w:rFonts w:hint="eastAsia" w:ascii="宋体" w:hAnsi="宋体" w:cs="宋体"/>
                <w:color w:val="000000"/>
                <w:sz w:val="24"/>
                <w:szCs w:val="22"/>
                <w:highlight w:val="none"/>
              </w:rPr>
              <w:t>投标保证金凭证</w:t>
            </w:r>
          </w:p>
        </w:tc>
        <w:tc>
          <w:tcPr>
            <w:tcW w:w="2977" w:type="dxa"/>
            <w:tcBorders>
              <w:top w:val="single" w:color="auto" w:sz="4" w:space="0"/>
              <w:left w:val="single" w:color="auto" w:sz="4" w:space="0"/>
              <w:bottom w:val="single" w:color="auto" w:sz="4" w:space="0"/>
              <w:right w:val="single" w:color="auto" w:sz="4" w:space="0"/>
            </w:tcBorders>
            <w:vAlign w:val="center"/>
          </w:tcPr>
          <w:p>
            <w:pPr>
              <w:spacing w:before="60" w:beforeLines="25" w:after="60" w:afterLines="25" w:line="360" w:lineRule="auto"/>
              <w:jc w:val="left"/>
              <w:rPr>
                <w:rFonts w:ascii="宋体" w:cs="宋体"/>
                <w:color w:val="000000"/>
                <w:sz w:val="24"/>
                <w:szCs w:val="24"/>
                <w:highlight w:val="none"/>
              </w:rPr>
            </w:pPr>
            <w:r>
              <w:rPr>
                <w:rFonts w:hint="eastAsia" w:ascii="宋体" w:hAnsi="宋体" w:cs="宋体"/>
                <w:color w:val="000000"/>
                <w:sz w:val="24"/>
                <w:szCs w:val="24"/>
                <w:highlight w:val="none"/>
              </w:rPr>
              <w:t>符合第七章投标文件格式“一、投标文件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资格证明材料”第</w:t>
            </w:r>
            <w:r>
              <w:rPr>
                <w:rFonts w:ascii="宋体" w:hAnsi="宋体" w:cs="宋体"/>
                <w:color w:val="000000"/>
                <w:sz w:val="24"/>
                <w:szCs w:val="24"/>
                <w:highlight w:val="none"/>
              </w:rPr>
              <w:t>1.9</w:t>
            </w:r>
            <w:r>
              <w:rPr>
                <w:rFonts w:hint="eastAsia" w:ascii="宋体" w:hAnsi="宋体" w:cs="宋体"/>
                <w:color w:val="000000"/>
                <w:sz w:val="24"/>
                <w:szCs w:val="24"/>
                <w:highlight w:val="none"/>
              </w:rPr>
              <w:t>项要求</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 w:hRule="atLeast"/>
          <w:jc w:val="center"/>
        </w:trPr>
        <w:tc>
          <w:tcPr>
            <w:tcW w:w="7650" w:type="dxa"/>
            <w:gridSpan w:val="3"/>
            <w:tcBorders>
              <w:top w:val="single" w:color="auto" w:sz="4" w:space="0"/>
              <w:bottom w:val="single" w:color="auto" w:sz="4" w:space="0"/>
              <w:right w:val="single" w:color="auto" w:sz="4" w:space="0"/>
            </w:tcBorders>
          </w:tcPr>
          <w:p>
            <w:pPr>
              <w:spacing w:before="60" w:beforeLines="25" w:after="60" w:afterLines="25" w:line="360" w:lineRule="auto"/>
              <w:jc w:val="center"/>
              <w:rPr>
                <w:rFonts w:ascii="宋体" w:cs="宋体"/>
                <w:b/>
                <w:color w:val="000000"/>
                <w:sz w:val="24"/>
                <w:szCs w:val="24"/>
                <w:highlight w:val="none"/>
              </w:rPr>
            </w:pPr>
            <w:r>
              <w:rPr>
                <w:rFonts w:hint="eastAsia" w:ascii="宋体" w:hAnsi="宋体" w:cs="宋体"/>
                <w:b/>
                <w:color w:val="000000"/>
                <w:sz w:val="24"/>
                <w:szCs w:val="24"/>
                <w:highlight w:val="none"/>
              </w:rPr>
              <w:t>资格审查结论</w:t>
            </w: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right w:val="single" w:color="auto" w:sz="4" w:space="0"/>
            </w:tcBorders>
          </w:tcPr>
          <w:p>
            <w:pPr>
              <w:spacing w:before="60" w:beforeLines="25" w:after="60" w:afterLines="25" w:line="360" w:lineRule="auto"/>
              <w:rPr>
                <w:rFonts w:ascii="宋体" w:cs="宋体"/>
                <w:sz w:val="24"/>
                <w:szCs w:val="24"/>
                <w:highlight w:val="none"/>
              </w:rPr>
            </w:pPr>
          </w:p>
        </w:tc>
        <w:tc>
          <w:tcPr>
            <w:tcW w:w="483" w:type="dxa"/>
            <w:tcBorders>
              <w:top w:val="single" w:color="auto" w:sz="4" w:space="0"/>
              <w:left w:val="single" w:color="auto" w:sz="4" w:space="0"/>
              <w:bottom w:val="single" w:color="auto" w:sz="4" w:space="0"/>
            </w:tcBorders>
          </w:tcPr>
          <w:p>
            <w:pPr>
              <w:spacing w:before="60" w:beforeLines="25" w:after="60" w:afterLines="25" w:line="360" w:lineRule="auto"/>
              <w:rPr>
                <w:rFonts w:ascii="宋体" w:cs="宋体"/>
                <w:sz w:val="24"/>
                <w:szCs w:val="24"/>
                <w:highlight w:val="none"/>
              </w:rPr>
            </w:pPr>
          </w:p>
        </w:tc>
      </w:tr>
    </w:tbl>
    <w:p>
      <w:pPr>
        <w:spacing w:line="360" w:lineRule="auto"/>
        <w:ind w:left="809" w:right="685" w:rightChars="326" w:hanging="808" w:hangingChars="337"/>
        <w:rPr>
          <w:rFonts w:ascii="宋体" w:cs="宋体"/>
          <w:b/>
          <w:sz w:val="30"/>
          <w:szCs w:val="30"/>
          <w:highlight w:val="none"/>
        </w:rPr>
      </w:pPr>
      <w:r>
        <w:rPr>
          <w:rFonts w:hint="eastAsia" w:ascii="宋体" w:hAnsi="宋体" w:cs="宋体"/>
          <w:sz w:val="24"/>
          <w:szCs w:val="24"/>
          <w:highlight w:val="none"/>
        </w:rPr>
        <w:t>说明：采购人或者采购代理机构对投标人提交的资格证明材料进行审查，并在对应的审查意见一栏记录审查意见：通过资格审查标注为√；未通过资格审查标注为×。未通过资格审查的投标不进入详细评审。</w:t>
      </w:r>
    </w:p>
    <w:p>
      <w:pPr>
        <w:widowControl/>
        <w:jc w:val="left"/>
        <w:rPr>
          <w:rFonts w:ascii="宋体" w:cs="宋体"/>
          <w:b/>
          <w:sz w:val="30"/>
          <w:szCs w:val="30"/>
          <w:highlight w:val="none"/>
        </w:rPr>
      </w:pPr>
      <w:r>
        <w:rPr>
          <w:rFonts w:ascii="宋体" w:cs="宋体"/>
          <w:b/>
          <w:sz w:val="30"/>
          <w:szCs w:val="30"/>
          <w:highlight w:val="none"/>
        </w:rPr>
        <w:br w:type="page"/>
      </w:r>
    </w:p>
    <w:p>
      <w:pPr>
        <w:pStyle w:val="4"/>
        <w:spacing w:line="288" w:lineRule="auto"/>
        <w:rPr>
          <w:rFonts w:ascii="宋体" w:hAnsi="宋体" w:eastAsia="宋体" w:cs="宋体"/>
          <w:sz w:val="36"/>
          <w:szCs w:val="24"/>
          <w:highlight w:val="none"/>
        </w:rPr>
      </w:pPr>
      <w:bookmarkStart w:id="86" w:name="_Toc44705054"/>
      <w:bookmarkStart w:id="87" w:name="_Toc44705275"/>
      <w:bookmarkStart w:id="88" w:name="_Toc44704907"/>
      <w:r>
        <w:rPr>
          <w:rFonts w:hint="eastAsia" w:ascii="宋体" w:hAnsi="宋体" w:eastAsia="宋体" w:cs="宋体"/>
          <w:sz w:val="36"/>
          <w:szCs w:val="24"/>
          <w:highlight w:val="none"/>
        </w:rPr>
        <w:t>第一部分：评标方法</w:t>
      </w:r>
      <w:bookmarkEnd w:id="86"/>
      <w:bookmarkEnd w:id="87"/>
      <w:bookmarkEnd w:id="88"/>
    </w:p>
    <w:p>
      <w:pPr>
        <w:spacing w:line="360" w:lineRule="auto"/>
        <w:ind w:firstLine="480"/>
        <w:rPr>
          <w:rFonts w:ascii="宋体" w:cs="宋体"/>
          <w:sz w:val="24"/>
          <w:szCs w:val="24"/>
          <w:highlight w:val="none"/>
        </w:rPr>
      </w:pPr>
      <w:r>
        <w:rPr>
          <w:rFonts w:hint="eastAsia" w:ascii="宋体" w:hAnsi="宋体" w:cs="宋体"/>
          <w:sz w:val="24"/>
          <w:szCs w:val="24"/>
          <w:highlight w:val="none"/>
        </w:rPr>
        <w:t>本项目采用综合评分法（是指投标文件满足招标文件全部实质性要求，且按照评审因素的量化指标评审得分最高的投标人为中标候选人的评标方法），总分</w:t>
      </w:r>
      <w:r>
        <w:rPr>
          <w:rFonts w:ascii="宋体" w:hAnsi="宋体" w:cs="宋体"/>
          <w:sz w:val="24"/>
          <w:szCs w:val="24"/>
          <w:highlight w:val="none"/>
        </w:rPr>
        <w:t>100</w:t>
      </w:r>
      <w:r>
        <w:rPr>
          <w:rFonts w:hint="eastAsia" w:ascii="宋体" w:hAnsi="宋体" w:cs="宋体"/>
          <w:sz w:val="24"/>
          <w:szCs w:val="24"/>
          <w:highlight w:val="none"/>
        </w:rPr>
        <w:t>分，其中价格占</w:t>
      </w:r>
      <w:r>
        <w:rPr>
          <w:rFonts w:ascii="宋体" w:hAnsi="宋体" w:cs="宋体"/>
          <w:sz w:val="24"/>
          <w:szCs w:val="24"/>
          <w:highlight w:val="none"/>
        </w:rPr>
        <w:t>10</w:t>
      </w:r>
      <w:r>
        <w:rPr>
          <w:rFonts w:hint="eastAsia" w:ascii="宋体" w:hAnsi="宋体" w:cs="宋体"/>
          <w:sz w:val="24"/>
          <w:szCs w:val="24"/>
          <w:highlight w:val="none"/>
        </w:rPr>
        <w:t>分</w:t>
      </w:r>
      <w:r>
        <w:rPr>
          <w:rFonts w:ascii="宋体" w:cs="宋体"/>
          <w:sz w:val="24"/>
          <w:szCs w:val="24"/>
          <w:highlight w:val="none"/>
        </w:rPr>
        <w:t>,</w:t>
      </w:r>
      <w:r>
        <w:rPr>
          <w:rFonts w:hint="eastAsia" w:ascii="宋体" w:hAnsi="宋体" w:cs="宋体"/>
          <w:sz w:val="24"/>
          <w:szCs w:val="24"/>
          <w:highlight w:val="none"/>
        </w:rPr>
        <w:t>商务、技术部分占</w:t>
      </w:r>
      <w:r>
        <w:rPr>
          <w:rFonts w:ascii="宋体" w:hAnsi="宋体" w:cs="宋体"/>
          <w:sz w:val="24"/>
          <w:szCs w:val="24"/>
          <w:highlight w:val="none"/>
        </w:rPr>
        <w:t>90</w:t>
      </w:r>
      <w:r>
        <w:rPr>
          <w:rFonts w:hint="eastAsia" w:ascii="宋体" w:hAnsi="宋体" w:cs="宋体"/>
          <w:sz w:val="24"/>
          <w:szCs w:val="24"/>
          <w:highlight w:val="none"/>
        </w:rPr>
        <w:t>分。</w:t>
      </w:r>
    </w:p>
    <w:p>
      <w:pPr>
        <w:pStyle w:val="4"/>
        <w:spacing w:line="288" w:lineRule="auto"/>
        <w:rPr>
          <w:rFonts w:ascii="宋体" w:hAnsi="宋体" w:eastAsia="宋体" w:cs="宋体"/>
          <w:bCs w:val="0"/>
          <w:sz w:val="36"/>
          <w:szCs w:val="24"/>
          <w:highlight w:val="none"/>
        </w:rPr>
      </w:pPr>
      <w:bookmarkStart w:id="89" w:name="_Toc44705276"/>
      <w:bookmarkStart w:id="90" w:name="_Toc44704908"/>
      <w:bookmarkStart w:id="91" w:name="_Toc44705055"/>
      <w:r>
        <w:rPr>
          <w:rFonts w:hint="eastAsia" w:ascii="宋体" w:hAnsi="宋体" w:eastAsia="宋体" w:cs="宋体"/>
          <w:bCs w:val="0"/>
          <w:sz w:val="36"/>
          <w:szCs w:val="24"/>
          <w:highlight w:val="none"/>
        </w:rPr>
        <w:t>第二部分：评标标准</w:t>
      </w:r>
      <w:bookmarkEnd w:id="89"/>
      <w:bookmarkEnd w:id="90"/>
      <w:bookmarkEnd w:id="91"/>
    </w:p>
    <w:p>
      <w:pP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一、符合性审查</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评标委员会根据招标文件第三章投标人须知第</w:t>
      </w:r>
      <w:r>
        <w:rPr>
          <w:rFonts w:ascii="宋体" w:hAnsi="宋体" w:cs="宋体"/>
          <w:sz w:val="24"/>
          <w:szCs w:val="24"/>
          <w:highlight w:val="none"/>
        </w:rPr>
        <w:t>26.4.5</w:t>
      </w:r>
      <w:r>
        <w:rPr>
          <w:rFonts w:hint="eastAsia" w:ascii="宋体" w:hAnsi="宋体" w:cs="宋体"/>
          <w:sz w:val="24"/>
          <w:szCs w:val="24"/>
          <w:highlight w:val="none"/>
        </w:rPr>
        <w:t>条和第</w:t>
      </w:r>
      <w:r>
        <w:rPr>
          <w:rFonts w:ascii="宋体" w:hAnsi="宋体" w:cs="宋体"/>
          <w:sz w:val="24"/>
          <w:szCs w:val="24"/>
          <w:highlight w:val="none"/>
        </w:rPr>
        <w:t>26.4.6</w:t>
      </w:r>
      <w:r>
        <w:rPr>
          <w:rFonts w:hint="eastAsia" w:ascii="宋体" w:hAnsi="宋体" w:cs="宋体"/>
          <w:sz w:val="24"/>
          <w:szCs w:val="24"/>
          <w:highlight w:val="none"/>
        </w:rPr>
        <w:t>条的规定，对通过资格审查的合格投标人的投标文件进行符合性审查，未通过符合性审查的投标不进入详细评审。</w:t>
      </w:r>
    </w:p>
    <w:p>
      <w:pPr>
        <w:spacing w:line="360" w:lineRule="auto"/>
        <w:ind w:firstLine="482" w:firstLineChars="200"/>
        <w:rPr>
          <w:rFonts w:ascii="宋体" w:cs="宋体"/>
          <w:b/>
          <w:bCs/>
          <w:sz w:val="24"/>
          <w:szCs w:val="24"/>
          <w:highlight w:val="none"/>
        </w:rPr>
      </w:pPr>
      <w:r>
        <w:rPr>
          <w:rFonts w:hint="eastAsia" w:ascii="宋体" w:hAnsi="宋体" w:cs="宋体"/>
          <w:b/>
          <w:bCs/>
          <w:sz w:val="24"/>
          <w:szCs w:val="24"/>
          <w:highlight w:val="none"/>
        </w:rPr>
        <w:t>二、详细评审</w:t>
      </w:r>
    </w:p>
    <w:p>
      <w:pPr>
        <w:spacing w:line="360" w:lineRule="auto"/>
        <w:ind w:firstLine="360" w:firstLineChars="150"/>
        <w:rPr>
          <w:rFonts w:ascii="宋体" w:cs="宋体"/>
          <w:sz w:val="24"/>
          <w:szCs w:val="24"/>
          <w:highlight w:val="none"/>
        </w:rPr>
      </w:pPr>
      <w:r>
        <w:rPr>
          <w:rFonts w:hint="eastAsia" w:ascii="宋体" w:hAnsi="宋体" w:cs="宋体"/>
          <w:sz w:val="24"/>
          <w:szCs w:val="24"/>
          <w:highlight w:val="none"/>
        </w:rPr>
        <w:t>（一）、价格分（</w:t>
      </w:r>
      <w:r>
        <w:rPr>
          <w:rFonts w:ascii="宋体" w:hAnsi="宋体" w:cs="宋体"/>
          <w:sz w:val="24"/>
          <w:szCs w:val="24"/>
          <w:highlight w:val="none"/>
        </w:rPr>
        <w:t>10</w:t>
      </w:r>
      <w:r>
        <w:rPr>
          <w:rFonts w:hint="eastAsia" w:ascii="宋体" w:hAnsi="宋体" w:cs="宋体"/>
          <w:sz w:val="24"/>
          <w:szCs w:val="24"/>
          <w:highlight w:val="none"/>
        </w:rPr>
        <w:t>分）</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1</w:t>
      </w:r>
      <w:r>
        <w:rPr>
          <w:rFonts w:hint="eastAsia" w:ascii="宋体" w:hAnsi="宋体" w:cs="宋体"/>
          <w:sz w:val="24"/>
          <w:szCs w:val="24"/>
          <w:highlight w:val="none"/>
        </w:rPr>
        <w:t>．价格分统一采用低价优先法计算即满足招标文件要求且投标价格最低的有效投标报价（即除低于成本报价以外的所有报价）为评标基准价，其价格分为满分。有效投标报价必须不高于本采购项目的预算价，否则为无效报价。</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．其他投标人的价格分统一按照以下公式计算：</w:t>
      </w:r>
    </w:p>
    <w:p>
      <w:pPr>
        <w:spacing w:line="360" w:lineRule="auto"/>
        <w:ind w:firstLine="360" w:firstLineChars="150"/>
        <w:rPr>
          <w:rFonts w:hint="eastAsia" w:ascii="宋体" w:eastAsia="宋体" w:cs="宋体"/>
          <w:sz w:val="24"/>
          <w:szCs w:val="24"/>
          <w:highlight w:val="none"/>
          <w:lang w:eastAsia="zh-CN"/>
        </w:rPr>
      </w:pPr>
      <w:r>
        <w:rPr>
          <w:rFonts w:hint="eastAsia" w:ascii="宋体" w:hAnsi="宋体" w:cs="宋体"/>
          <w:sz w:val="24"/>
          <w:szCs w:val="24"/>
          <w:highlight w:val="none"/>
        </w:rPr>
        <w:t>投标报价得分</w:t>
      </w:r>
      <w:r>
        <w:rPr>
          <w:rFonts w:ascii="宋体" w:hAnsi="宋体" w:cs="宋体"/>
          <w:sz w:val="24"/>
          <w:szCs w:val="24"/>
          <w:highlight w:val="none"/>
        </w:rPr>
        <w:t>=</w:t>
      </w:r>
      <w:r>
        <w:rPr>
          <w:rFonts w:hint="eastAsia" w:ascii="宋体" w:hAnsi="宋体" w:cs="宋体"/>
          <w:sz w:val="24"/>
          <w:szCs w:val="24"/>
          <w:highlight w:val="none"/>
        </w:rPr>
        <w:t>(评标基准价／投标报价)×占比×100</w:t>
      </w:r>
      <w:r>
        <w:rPr>
          <w:rFonts w:hint="eastAsia" w:ascii="宋体" w:hAnsi="宋体" w:cs="宋体"/>
          <w:sz w:val="24"/>
          <w:szCs w:val="24"/>
          <w:highlight w:val="none"/>
          <w:lang w:eastAsia="zh-CN"/>
        </w:rPr>
        <w:t>（工时费（下浮率%）6分，材料费（下浮率%）4分，满分为10分；）</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3.</w:t>
      </w:r>
      <w:r>
        <w:rPr>
          <w:rFonts w:hint="eastAsia" w:ascii="宋体" w:hAnsi="宋体" w:cs="宋体"/>
          <w:sz w:val="24"/>
          <w:szCs w:val="24"/>
          <w:highlight w:val="none"/>
        </w:rPr>
        <w:t>最低报价不作为中标的保证。</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4.</w:t>
      </w:r>
      <w:r>
        <w:rPr>
          <w:rFonts w:hint="eastAsia" w:ascii="宋体" w:hAnsi="宋体" w:cs="宋体"/>
          <w:sz w:val="24"/>
          <w:szCs w:val="24"/>
          <w:highlight w:val="none"/>
        </w:rPr>
        <w:t>“小型和微型企业产品”的价格按扣除10</w:t>
      </w:r>
      <w:r>
        <w:rPr>
          <w:rFonts w:ascii="宋体" w:hAnsi="宋体" w:cs="宋体"/>
          <w:sz w:val="24"/>
          <w:szCs w:val="24"/>
          <w:highlight w:val="none"/>
        </w:rPr>
        <w:t>%</w:t>
      </w:r>
      <w:r>
        <w:rPr>
          <w:rFonts w:hint="eastAsia" w:ascii="宋体" w:hAnsi="宋体" w:cs="宋体"/>
          <w:sz w:val="24"/>
          <w:szCs w:val="24"/>
          <w:highlight w:val="none"/>
        </w:rPr>
        <w:t>后的价格参与评审。</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4.1</w:t>
      </w:r>
      <w:r>
        <w:rPr>
          <w:rFonts w:hint="eastAsia" w:ascii="宋体" w:hAnsi="宋体" w:cs="宋体"/>
          <w:sz w:val="24"/>
          <w:szCs w:val="24"/>
          <w:highlight w:val="none"/>
        </w:rPr>
        <w:t>投标人应在投标分项报价表中写明属于“小型和微型企业产品”的单价和小计，并如实提供对应的《中小企业声明函》（详见附件），否则不予进行价格扣除。</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4.2</w:t>
      </w:r>
      <w:r>
        <w:rPr>
          <w:rFonts w:hint="eastAsia" w:ascii="宋体" w:hAnsi="宋体" w:cs="宋体"/>
          <w:sz w:val="24"/>
          <w:szCs w:val="24"/>
          <w:highlight w:val="none"/>
        </w:rPr>
        <w:t>中小企业划分标准参照《关于印发&lt;政府采购促进中小企业发展管理办法&gt;的通知》(财库〔2020〕46号）及《关于印发中小企业划型标准规定的通知》（工信部联企业[2011]300号）。</w:t>
      </w:r>
    </w:p>
    <w:p>
      <w:pPr>
        <w:spacing w:line="360" w:lineRule="auto"/>
        <w:ind w:firstLine="360" w:firstLineChars="150"/>
        <w:rPr>
          <w:rFonts w:ascii="宋体" w:cs="宋体"/>
          <w:sz w:val="24"/>
          <w:szCs w:val="24"/>
          <w:highlight w:val="none"/>
        </w:rPr>
      </w:pPr>
      <w:r>
        <w:rPr>
          <w:rFonts w:ascii="宋体" w:hAnsi="宋体" w:cs="宋体"/>
          <w:sz w:val="24"/>
          <w:szCs w:val="24"/>
          <w:highlight w:val="none"/>
        </w:rPr>
        <w:t>4.3</w:t>
      </w:r>
      <w:r>
        <w:rPr>
          <w:rFonts w:hint="eastAsia" w:ascii="宋体" w:hAnsi="宋体" w:cs="宋体"/>
          <w:sz w:val="24"/>
          <w:szCs w:val="24"/>
          <w:highlight w:val="none"/>
        </w:rPr>
        <w:t>监狱企业视同小型、微型企业</w:t>
      </w:r>
      <w:r>
        <w:rPr>
          <w:rFonts w:ascii="宋体" w:hAnsi="宋体" w:cs="宋体"/>
          <w:sz w:val="24"/>
          <w:szCs w:val="24"/>
          <w:highlight w:val="none"/>
        </w:rPr>
        <w:t xml:space="preserve">, </w:t>
      </w:r>
      <w:r>
        <w:rPr>
          <w:rFonts w:hint="eastAsia" w:ascii="宋体" w:hAnsi="宋体" w:cs="宋体"/>
          <w:sz w:val="24"/>
          <w:szCs w:val="24"/>
          <w:highlight w:val="none"/>
        </w:rPr>
        <w:t>监狱企业应当提供由省级以上监狱管理局、戒毒管理局</w:t>
      </w:r>
      <w:r>
        <w:rPr>
          <w:rFonts w:ascii="宋体" w:hAnsi="宋体" w:cs="宋体"/>
          <w:sz w:val="24"/>
          <w:szCs w:val="24"/>
          <w:highlight w:val="none"/>
        </w:rPr>
        <w:t>(</w:t>
      </w:r>
      <w:r>
        <w:rPr>
          <w:rFonts w:hint="eastAsia" w:ascii="宋体" w:hAnsi="宋体" w:cs="宋体"/>
          <w:sz w:val="24"/>
          <w:szCs w:val="24"/>
          <w:highlight w:val="none"/>
        </w:rPr>
        <w:t>含新疆生产建设兵团</w:t>
      </w:r>
      <w:r>
        <w:rPr>
          <w:rFonts w:ascii="宋体" w:hAnsi="宋体" w:cs="宋体"/>
          <w:sz w:val="24"/>
          <w:szCs w:val="24"/>
          <w:highlight w:val="none"/>
        </w:rPr>
        <w:t>)</w:t>
      </w:r>
      <w:r>
        <w:rPr>
          <w:rFonts w:hint="eastAsia" w:ascii="宋体" w:hAnsi="宋体" w:cs="宋体"/>
          <w:sz w:val="24"/>
          <w:szCs w:val="24"/>
          <w:highlight w:val="none"/>
        </w:rPr>
        <w:t>出具的属于监狱企业的证明文件。</w:t>
      </w:r>
    </w:p>
    <w:p>
      <w:pPr>
        <w:spacing w:line="360" w:lineRule="auto"/>
        <w:ind w:firstLine="360" w:firstLineChars="150"/>
        <w:rPr>
          <w:rFonts w:ascii="宋体" w:hAnsi="宋体" w:cs="宋体"/>
          <w:sz w:val="24"/>
          <w:szCs w:val="24"/>
          <w:highlight w:val="none"/>
        </w:rPr>
      </w:pPr>
      <w:r>
        <w:rPr>
          <w:rFonts w:ascii="宋体" w:hAnsi="宋体" w:cs="宋体"/>
          <w:sz w:val="24"/>
          <w:szCs w:val="24"/>
          <w:highlight w:val="none"/>
        </w:rPr>
        <w:t>4.4</w:t>
      </w:r>
      <w:r>
        <w:rPr>
          <w:rFonts w:hint="eastAsia" w:ascii="宋体" w:hAnsi="宋体" w:cs="宋体"/>
          <w:sz w:val="24"/>
          <w:szCs w:val="24"/>
          <w:highlight w:val="none"/>
        </w:rPr>
        <w:t>残疾人福利性单位视同小型、微型企业，符合条件的残疾人福利性单位在参加政府采购活动时，应当提供本通知规定的《残疾人福利性单位声明函》，并对声明的真实性负责。</w:t>
      </w:r>
    </w:p>
    <w:p>
      <w:pPr>
        <w:pStyle w:val="21"/>
        <w:rPr>
          <w:highlight w:val="none"/>
        </w:rPr>
      </w:pPr>
    </w:p>
    <w:p>
      <w:pPr>
        <w:spacing w:line="360" w:lineRule="auto"/>
        <w:ind w:firstLine="240" w:firstLineChars="100"/>
        <w:rPr>
          <w:rFonts w:ascii="宋体" w:cs="宋体"/>
          <w:sz w:val="24"/>
          <w:szCs w:val="24"/>
          <w:highlight w:val="none"/>
        </w:rPr>
      </w:pPr>
      <w:r>
        <w:rPr>
          <w:rFonts w:hint="eastAsia" w:ascii="宋体" w:hAnsi="宋体" w:cs="宋体"/>
          <w:sz w:val="24"/>
          <w:szCs w:val="24"/>
          <w:highlight w:val="none"/>
        </w:rPr>
        <w:t>（二）、商务技术部分（</w:t>
      </w:r>
      <w:r>
        <w:rPr>
          <w:rFonts w:ascii="宋体" w:hAnsi="宋体" w:cs="宋体"/>
          <w:sz w:val="24"/>
          <w:szCs w:val="24"/>
          <w:highlight w:val="none"/>
        </w:rPr>
        <w:t>90</w:t>
      </w:r>
      <w:r>
        <w:rPr>
          <w:rFonts w:hint="eastAsia" w:ascii="宋体" w:hAnsi="宋体" w:cs="宋体"/>
          <w:sz w:val="24"/>
          <w:szCs w:val="24"/>
          <w:highlight w:val="none"/>
        </w:rPr>
        <w:t>分）</w:t>
      </w:r>
    </w:p>
    <w:tbl>
      <w:tblPr>
        <w:tblStyle w:val="48"/>
        <w:tblW w:w="10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272"/>
        <w:gridCol w:w="8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13" w:type="dxa"/>
            <w:vAlign w:val="center"/>
          </w:tcPr>
          <w:p>
            <w:pPr>
              <w:jc w:val="center"/>
              <w:rPr>
                <w:rFonts w:ascii="宋体" w:cs="仿宋"/>
                <w:b/>
                <w:kern w:val="0"/>
                <w:sz w:val="24"/>
                <w:highlight w:val="none"/>
              </w:rPr>
            </w:pPr>
            <w:bookmarkStart w:id="92" w:name="_Toc2511995"/>
            <w:r>
              <w:rPr>
                <w:rFonts w:hint="eastAsia" w:ascii="宋体" w:hAnsi="宋体" w:cs="仿宋"/>
                <w:b/>
                <w:kern w:val="0"/>
                <w:sz w:val="24"/>
                <w:highlight w:val="none"/>
              </w:rPr>
              <w:t>评分因素</w:t>
            </w:r>
          </w:p>
        </w:tc>
        <w:tc>
          <w:tcPr>
            <w:tcW w:w="9364" w:type="dxa"/>
            <w:gridSpan w:val="2"/>
            <w:vAlign w:val="center"/>
          </w:tcPr>
          <w:p>
            <w:pPr>
              <w:jc w:val="center"/>
              <w:rPr>
                <w:rFonts w:ascii="宋体" w:cs="仿宋"/>
                <w:b/>
                <w:kern w:val="0"/>
                <w:sz w:val="24"/>
                <w:highlight w:val="none"/>
              </w:rPr>
            </w:pPr>
            <w:r>
              <w:rPr>
                <w:rFonts w:hint="eastAsia" w:ascii="宋体" w:hAnsi="宋体" w:cs="仿宋"/>
                <w:b/>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913" w:type="dxa"/>
            <w:vAlign w:val="center"/>
          </w:tcPr>
          <w:p>
            <w:pPr>
              <w:spacing w:line="360" w:lineRule="exact"/>
              <w:jc w:val="center"/>
              <w:rPr>
                <w:rFonts w:ascii="宋体" w:hAnsi="宋体" w:cs="宋体"/>
                <w:kern w:val="0"/>
                <w:sz w:val="24"/>
                <w:szCs w:val="24"/>
                <w:highlight w:val="none"/>
              </w:rPr>
            </w:pPr>
            <w:r>
              <w:rPr>
                <w:rFonts w:hint="eastAsia" w:ascii="宋体" w:hAnsi="宋体" w:cs="宋体"/>
                <w:kern w:val="0"/>
                <w:sz w:val="24"/>
                <w:szCs w:val="24"/>
                <w:highlight w:val="none"/>
              </w:rPr>
              <w:t>价格部分</w:t>
            </w:r>
          </w:p>
          <w:p>
            <w:pPr>
              <w:spacing w:line="360" w:lineRule="exact"/>
              <w:jc w:val="center"/>
              <w:rPr>
                <w:rFonts w:ascii="宋体" w:hAnsi="宋体" w:cs="宋体"/>
                <w:kern w:val="0"/>
                <w:sz w:val="24"/>
                <w:szCs w:val="24"/>
                <w:highlight w:val="none"/>
              </w:rPr>
            </w:pPr>
            <w:r>
              <w:rPr>
                <w:rFonts w:hint="eastAsia" w:ascii="宋体" w:hAnsi="宋体" w:cs="宋体"/>
                <w:kern w:val="0"/>
                <w:sz w:val="24"/>
                <w:szCs w:val="24"/>
                <w:highlight w:val="none"/>
              </w:rPr>
              <w:t>（10分）</w:t>
            </w:r>
          </w:p>
        </w:tc>
        <w:tc>
          <w:tcPr>
            <w:tcW w:w="9364" w:type="dxa"/>
            <w:gridSpan w:val="2"/>
            <w:vAlign w:val="center"/>
          </w:tcPr>
          <w:p>
            <w:pPr>
              <w:spacing w:line="360" w:lineRule="exact"/>
              <w:rPr>
                <w:rFonts w:ascii="宋体" w:hAnsi="宋体" w:cs="宋体"/>
                <w:kern w:val="0"/>
                <w:sz w:val="24"/>
                <w:szCs w:val="24"/>
                <w:highlight w:val="none"/>
              </w:rPr>
            </w:pPr>
            <w:r>
              <w:rPr>
                <w:rFonts w:hint="eastAsia" w:ascii="宋体" w:hAnsi="宋体" w:eastAsia="宋体" w:cs="宋体"/>
                <w:kern w:val="0"/>
                <w:sz w:val="24"/>
                <w:szCs w:val="24"/>
                <w:highlight w:val="none"/>
              </w:rPr>
              <w:t>在满足招标文件要求的前提下，取各投标人有效报价的最低价作为评标基准价, 工时费（下浮率%）6分，材料费（下浮率%）4分，满分为10分；价格分的计算投标报价得分=(评标基准价／投标报价)×占比×100 。（计算分值时，百分比按四舍五入原则，保留小数点后二位数）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913" w:type="dxa"/>
            <w:vMerge w:val="restart"/>
            <w:vAlign w:val="center"/>
          </w:tcPr>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商务部分</w:t>
            </w:r>
          </w:p>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val="en-US" w:eastAsia="zh-CN"/>
              </w:rPr>
              <w:t>36</w:t>
            </w:r>
            <w:r>
              <w:rPr>
                <w:rFonts w:hint="eastAsia" w:ascii="宋体" w:hAnsi="宋体" w:eastAsia="宋体" w:cs="宋体"/>
                <w:kern w:val="0"/>
                <w:sz w:val="24"/>
                <w:szCs w:val="24"/>
                <w:highlight w:val="none"/>
              </w:rPr>
              <w:t>分）</w:t>
            </w:r>
          </w:p>
        </w:tc>
        <w:tc>
          <w:tcPr>
            <w:tcW w:w="1272" w:type="dxa"/>
            <w:vAlign w:val="center"/>
          </w:tcPr>
          <w:p>
            <w:pPr>
              <w:spacing w:line="36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专业技工的资质（</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0分）</w:t>
            </w:r>
          </w:p>
        </w:tc>
        <w:tc>
          <w:tcPr>
            <w:tcW w:w="8092" w:type="dxa"/>
            <w:vAlign w:val="center"/>
          </w:tcPr>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在职人员中有高级汽修技工1名，中级汽修技工1名，中级汽车维修喷漆技工1名，以上技工都有的得基本分</w:t>
            </w:r>
            <w:r>
              <w:rPr>
                <w:rFonts w:hint="eastAsia" w:ascii="宋体" w:hAnsi="宋体" w:cs="宋体"/>
                <w:kern w:val="0"/>
                <w:sz w:val="24"/>
                <w:szCs w:val="24"/>
                <w:highlight w:val="none"/>
                <w:lang w:val="en-US" w:eastAsia="zh-CN"/>
              </w:rPr>
              <w:t>3</w:t>
            </w:r>
            <w:r>
              <w:rPr>
                <w:rFonts w:hint="eastAsia" w:ascii="宋体" w:hAnsi="宋体" w:eastAsia="宋体" w:cs="宋体"/>
                <w:kern w:val="0"/>
                <w:sz w:val="24"/>
                <w:szCs w:val="24"/>
                <w:highlight w:val="none"/>
              </w:rPr>
              <w:t>分，每增加一个中级技工的加</w:t>
            </w:r>
            <w:r>
              <w:rPr>
                <w:rFonts w:hint="eastAsia" w:ascii="宋体" w:hAnsi="宋体" w:eastAsia="宋体" w:cs="宋体"/>
                <w:kern w:val="0"/>
                <w:sz w:val="24"/>
                <w:szCs w:val="24"/>
                <w:highlight w:val="none"/>
                <w:lang w:val="en-US" w:eastAsia="zh-CN"/>
              </w:rPr>
              <w:t>0.5</w:t>
            </w:r>
            <w:r>
              <w:rPr>
                <w:rFonts w:hint="eastAsia" w:ascii="宋体" w:hAnsi="宋体" w:eastAsia="宋体" w:cs="宋体"/>
                <w:kern w:val="0"/>
                <w:sz w:val="24"/>
                <w:szCs w:val="24"/>
                <w:highlight w:val="none"/>
              </w:rPr>
              <w:t>分，每增加一个高级技工的加</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分，满分</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0分；得0分者为无此项说明。</w:t>
            </w:r>
          </w:p>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以投标人在投标文件中提供的技工证书和劳动合同为准；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913" w:type="dxa"/>
            <w:vMerge w:val="continue"/>
            <w:vAlign w:val="center"/>
          </w:tcPr>
          <w:p>
            <w:pPr>
              <w:spacing w:line="360" w:lineRule="exact"/>
              <w:jc w:val="left"/>
              <w:rPr>
                <w:rFonts w:hint="eastAsia" w:ascii="宋体" w:hAnsi="宋体" w:eastAsia="宋体" w:cs="宋体"/>
                <w:kern w:val="0"/>
                <w:sz w:val="24"/>
                <w:szCs w:val="24"/>
                <w:highlight w:val="none"/>
              </w:rPr>
            </w:pPr>
          </w:p>
        </w:tc>
        <w:tc>
          <w:tcPr>
            <w:tcW w:w="1272" w:type="dxa"/>
            <w:vAlign w:val="center"/>
          </w:tcPr>
          <w:p>
            <w:pPr>
              <w:spacing w:line="36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场地设施与甲方的距离（10分）</w:t>
            </w:r>
          </w:p>
        </w:tc>
        <w:tc>
          <w:tcPr>
            <w:tcW w:w="8092" w:type="dxa"/>
            <w:vAlign w:val="center"/>
          </w:tcPr>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根据投标人经营场所所在地给甲方提供的便捷性、经济性进行评分。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距甲方≤10公里范围内，可得10分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距甲方＞10公里，≤15公里范围内，可得7分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距甲方＞15公里，≤20公里范围内，可得5分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距甲方＞20公里，可得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pPr>
              <w:spacing w:line="3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得0分者为无此项说明。</w:t>
            </w:r>
          </w:p>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以投标人在投标文件中提供的营业执照上的地址作为参考；需投标人自行在地图上标注与</w:t>
            </w:r>
            <w:r>
              <w:rPr>
                <w:rFonts w:hint="eastAsia" w:ascii="宋体" w:hAnsi="宋体" w:eastAsia="宋体" w:cs="宋体"/>
                <w:b/>
                <w:kern w:val="0"/>
                <w:sz w:val="24"/>
                <w:szCs w:val="24"/>
                <w:highlight w:val="none"/>
                <w:lang w:val="en-US" w:eastAsia="zh-CN"/>
              </w:rPr>
              <w:t>业主单位</w:t>
            </w:r>
            <w:r>
              <w:rPr>
                <w:rFonts w:hint="eastAsia" w:ascii="宋体" w:hAnsi="宋体" w:eastAsia="宋体" w:cs="宋体"/>
                <w:b/>
                <w:kern w:val="0"/>
                <w:sz w:val="24"/>
                <w:szCs w:val="24"/>
                <w:highlight w:val="none"/>
              </w:rPr>
              <w:t>的距离（实际距离，非直线距离），未提供相关证明材料的，本项不得分；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13" w:type="dxa"/>
            <w:vMerge w:val="continue"/>
            <w:vAlign w:val="center"/>
          </w:tcPr>
          <w:p>
            <w:pPr>
              <w:spacing w:line="360" w:lineRule="exact"/>
              <w:jc w:val="left"/>
              <w:rPr>
                <w:rFonts w:hint="eastAsia" w:ascii="宋体" w:hAnsi="宋体" w:eastAsia="宋体" w:cs="宋体"/>
                <w:kern w:val="0"/>
                <w:sz w:val="24"/>
                <w:szCs w:val="24"/>
                <w:highlight w:val="none"/>
              </w:rPr>
            </w:pPr>
          </w:p>
        </w:tc>
        <w:tc>
          <w:tcPr>
            <w:tcW w:w="1272" w:type="dxa"/>
            <w:vAlign w:val="center"/>
          </w:tcPr>
          <w:p>
            <w:pPr>
              <w:spacing w:line="360" w:lineRule="exact"/>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维修厂房面积（6分）</w:t>
            </w:r>
          </w:p>
        </w:tc>
        <w:tc>
          <w:tcPr>
            <w:tcW w:w="8092" w:type="dxa"/>
            <w:vAlign w:val="center"/>
          </w:tcPr>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根据投标人经营场所所在地的面积大小评分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维修厂房面积达到＞1000平方米以上的得6分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维修厂房面积达到＞800平方米-≤1000平方米的得4分</w:t>
            </w:r>
          </w:p>
          <w:p>
            <w:pPr>
              <w:spacing w:line="3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维修厂房面积达到＞600平方米-≤800平方米的得2分</w:t>
            </w:r>
          </w:p>
          <w:p>
            <w:pPr>
              <w:spacing w:line="34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得0分者为无此项说明。</w:t>
            </w:r>
          </w:p>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以投标人在投标文件中提供的房产证或者场所租赁合同为准；需体现面积；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913" w:type="dxa"/>
            <w:vMerge w:val="continue"/>
            <w:vAlign w:val="center"/>
          </w:tcPr>
          <w:p>
            <w:pPr>
              <w:spacing w:line="360" w:lineRule="exact"/>
              <w:jc w:val="left"/>
              <w:rPr>
                <w:rFonts w:hint="eastAsia" w:ascii="宋体" w:hAnsi="宋体" w:eastAsia="宋体" w:cs="宋体"/>
                <w:kern w:val="0"/>
                <w:sz w:val="24"/>
                <w:szCs w:val="24"/>
                <w:highlight w:val="none"/>
              </w:rPr>
            </w:pPr>
          </w:p>
        </w:tc>
        <w:tc>
          <w:tcPr>
            <w:tcW w:w="1272" w:type="dxa"/>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维修、检测设备的详尽程度（</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8092" w:type="dxa"/>
            <w:vAlign w:val="center"/>
          </w:tcPr>
          <w:p>
            <w:pPr>
              <w:spacing w:line="360" w:lineRule="exact"/>
              <w:jc w:val="left"/>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维修、检测设备的详尽程度：针对投标人自己拥有车辆维修、检测设备的多少和先进性在评分；以投标人在投标文件中提供的维修、检测设备的清单、彩图（每种设备一张彩图）为准。每提供1张彩页设备并附有说明给1分，满分8分，得0分者为无此项说</w:t>
            </w:r>
            <w:bookmarkStart w:id="255" w:name="_GoBack"/>
            <w:bookmarkEnd w:id="255"/>
            <w:r>
              <w:rPr>
                <w:rFonts w:hint="eastAsia" w:ascii="宋体" w:hAnsi="宋体" w:eastAsia="宋体" w:cs="宋体"/>
                <w:sz w:val="24"/>
                <w:szCs w:val="24"/>
                <w:highlight w:val="none"/>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913" w:type="dxa"/>
            <w:vMerge w:val="continue"/>
            <w:vAlign w:val="center"/>
          </w:tcPr>
          <w:p>
            <w:pPr>
              <w:spacing w:line="360" w:lineRule="exact"/>
              <w:jc w:val="left"/>
              <w:rPr>
                <w:rFonts w:hint="eastAsia" w:ascii="宋体" w:hAnsi="宋体" w:eastAsia="宋体" w:cs="宋体"/>
                <w:kern w:val="0"/>
                <w:sz w:val="24"/>
                <w:szCs w:val="24"/>
                <w:highlight w:val="none"/>
              </w:rPr>
            </w:pPr>
          </w:p>
        </w:tc>
        <w:tc>
          <w:tcPr>
            <w:tcW w:w="1272" w:type="dxa"/>
            <w:vAlign w:val="center"/>
          </w:tcPr>
          <w:p>
            <w:pPr>
              <w:spacing w:line="3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救援车辆的数量（</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c>
          <w:tcPr>
            <w:tcW w:w="8092" w:type="dxa"/>
            <w:vAlign w:val="center"/>
          </w:tcPr>
          <w:p>
            <w:pPr>
              <w:spacing w:line="360" w:lineRule="exact"/>
              <w:jc w:val="left"/>
              <w:rPr>
                <w:rFonts w:hint="eastAsia" w:ascii="宋体" w:hAnsi="宋体" w:eastAsia="宋体" w:cs="宋体"/>
                <w:b/>
                <w:kern w:val="0"/>
                <w:sz w:val="24"/>
                <w:szCs w:val="24"/>
                <w:highlight w:val="none"/>
              </w:rPr>
            </w:pPr>
            <w:r>
              <w:rPr>
                <w:rFonts w:hint="eastAsia" w:ascii="宋体" w:hAnsi="宋体" w:eastAsia="宋体" w:cs="宋体"/>
                <w:sz w:val="24"/>
                <w:szCs w:val="24"/>
                <w:highlight w:val="none"/>
              </w:rPr>
              <w:t>投标人拥有自有产权</w:t>
            </w:r>
            <w:r>
              <w:rPr>
                <w:rFonts w:hint="eastAsia" w:ascii="宋体" w:hAnsi="宋体" w:eastAsia="宋体" w:cs="宋体"/>
                <w:sz w:val="24"/>
                <w:szCs w:val="24"/>
                <w:highlight w:val="none"/>
                <w:lang w:val="en-US" w:eastAsia="zh-CN"/>
              </w:rPr>
              <w:t>或租赁</w:t>
            </w:r>
            <w:r>
              <w:rPr>
                <w:rFonts w:hint="eastAsia" w:ascii="宋体" w:hAnsi="宋体" w:eastAsia="宋体" w:cs="宋体"/>
                <w:sz w:val="24"/>
                <w:szCs w:val="24"/>
                <w:highlight w:val="none"/>
              </w:rPr>
              <w:t>的施救车每辆车得</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分，最高得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需</w:t>
            </w:r>
            <w:r>
              <w:rPr>
                <w:rFonts w:hint="eastAsia" w:ascii="宋体" w:hAnsi="宋体" w:eastAsia="宋体" w:cs="宋体"/>
                <w:b/>
                <w:kern w:val="0"/>
                <w:sz w:val="24"/>
                <w:szCs w:val="24"/>
                <w:highlight w:val="none"/>
              </w:rPr>
              <w:t>提供自有产权证明</w:t>
            </w:r>
            <w:r>
              <w:rPr>
                <w:rFonts w:hint="eastAsia" w:ascii="宋体" w:hAnsi="宋体" w:eastAsia="宋体" w:cs="宋体"/>
                <w:b/>
                <w:kern w:val="0"/>
                <w:sz w:val="24"/>
                <w:szCs w:val="24"/>
                <w:highlight w:val="none"/>
                <w:lang w:val="en-US" w:eastAsia="zh-CN"/>
              </w:rPr>
              <w:t>或租赁合同</w:t>
            </w:r>
            <w:r>
              <w:rPr>
                <w:rFonts w:hint="eastAsia" w:ascii="宋体" w:hAnsi="宋体" w:eastAsia="宋体" w:cs="宋体"/>
                <w:b/>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jc w:val="center"/>
        </w:trPr>
        <w:tc>
          <w:tcPr>
            <w:tcW w:w="913" w:type="dxa"/>
            <w:vMerge w:val="restart"/>
            <w:vAlign w:val="center"/>
          </w:tcPr>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技术部分</w:t>
            </w:r>
          </w:p>
          <w:p>
            <w:pPr>
              <w:spacing w:line="360" w:lineRule="exact"/>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cs="宋体"/>
                <w:kern w:val="0"/>
                <w:sz w:val="24"/>
                <w:szCs w:val="24"/>
                <w:highlight w:val="none"/>
                <w:lang w:val="en-US" w:eastAsia="zh-CN"/>
              </w:rPr>
              <w:t>54</w:t>
            </w:r>
            <w:r>
              <w:rPr>
                <w:rFonts w:hint="eastAsia" w:ascii="宋体" w:hAnsi="宋体" w:eastAsia="宋体" w:cs="宋体"/>
                <w:kern w:val="0"/>
                <w:sz w:val="24"/>
                <w:szCs w:val="24"/>
                <w:highlight w:val="none"/>
                <w:lang w:val="en-US" w:eastAsia="zh-CN"/>
              </w:rPr>
              <w:t>分）</w:t>
            </w:r>
          </w:p>
        </w:tc>
        <w:tc>
          <w:tcPr>
            <w:tcW w:w="1272" w:type="dxa"/>
            <w:vAlign w:val="center"/>
          </w:tcPr>
          <w:p>
            <w:pPr>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项目服务</w:t>
            </w:r>
          </w:p>
          <w:p>
            <w:pPr>
              <w:spacing w:line="360" w:lineRule="exact"/>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方案</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28 分</w:t>
            </w:r>
            <w:r>
              <w:rPr>
                <w:rFonts w:hint="eastAsia" w:ascii="宋体" w:hAnsi="宋体" w:cs="宋体"/>
                <w:kern w:val="0"/>
                <w:sz w:val="24"/>
                <w:szCs w:val="24"/>
                <w:highlight w:val="none"/>
                <w:lang w:eastAsia="zh-CN"/>
              </w:rPr>
              <w:t>）</w:t>
            </w:r>
          </w:p>
        </w:tc>
        <w:tc>
          <w:tcPr>
            <w:tcW w:w="8092" w:type="dxa"/>
            <w:vAlign w:val="center"/>
          </w:tcPr>
          <w:p>
            <w:pPr>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评审小组根据供应商对本项目的项目实施方案内容进行综合评比，其内容主要体现：（1）车辆修理工艺流程，（2）车辆维修服务流程，（3）车辆维修服务方案，（4）车辆各级维护操作规程，（5）车辆维修技术保障措施、车辆维修质量保障措施，（6）车辆维修竣工检验</w:t>
            </w:r>
            <w:r>
              <w:rPr>
                <w:rFonts w:hint="eastAsia" w:ascii="宋体" w:hAnsi="宋体" w:cs="宋体"/>
                <w:kern w:val="0"/>
                <w:sz w:val="24"/>
                <w:szCs w:val="24"/>
                <w:highlight w:val="none"/>
                <w:lang w:val="en-US" w:eastAsia="zh-CN"/>
              </w:rPr>
              <w:t>标准</w:t>
            </w:r>
            <w:r>
              <w:rPr>
                <w:rFonts w:hint="eastAsia" w:ascii="宋体" w:hAnsi="宋体" w:eastAsia="宋体" w:cs="宋体"/>
                <w:kern w:val="0"/>
                <w:sz w:val="24"/>
                <w:szCs w:val="24"/>
                <w:highlight w:val="none"/>
              </w:rPr>
              <w:t>，（7）安全操作规程及事故应急预案</w:t>
            </w:r>
            <w:r>
              <w:rPr>
                <w:rFonts w:hint="eastAsia" w:ascii="宋体" w:hAnsi="宋体" w:cs="宋体"/>
                <w:kern w:val="0"/>
                <w:sz w:val="24"/>
                <w:szCs w:val="24"/>
                <w:highlight w:val="none"/>
                <w:lang w:val="en-US" w:eastAsia="zh-CN"/>
              </w:rPr>
              <w:t>与车辆应急救援预案</w:t>
            </w:r>
            <w:r>
              <w:rPr>
                <w:rFonts w:hint="eastAsia" w:ascii="宋体" w:hAnsi="宋体" w:eastAsia="宋体" w:cs="宋体"/>
                <w:kern w:val="0"/>
                <w:sz w:val="24"/>
                <w:szCs w:val="24"/>
                <w:highlight w:val="none"/>
              </w:rPr>
              <w:t>。以上内容无缺项或无漏项且符合本项目特点和实际需求的得 28 分，其中每有一项缺项或漏项扣 4 分，</w:t>
            </w:r>
            <w:r>
              <w:rPr>
                <w:rFonts w:ascii="宋体" w:hAnsi="宋体" w:eastAsia="宋体" w:cs="宋体"/>
                <w:sz w:val="24"/>
                <w:szCs w:val="24"/>
                <w:highlight w:val="none"/>
              </w:rPr>
              <w:t>每有一项不符合本项目特点和实际需求</w:t>
            </w:r>
            <w:r>
              <w:rPr>
                <w:rFonts w:hint="eastAsia" w:ascii="宋体" w:hAnsi="宋体" w:eastAsia="宋体" w:cs="宋体"/>
                <w:sz w:val="24"/>
                <w:szCs w:val="24"/>
                <w:highlight w:val="none"/>
                <w:lang w:val="en-US" w:eastAsia="zh-CN"/>
              </w:rPr>
              <w:t>或内容不完整或</w:t>
            </w:r>
            <w:r>
              <w:rPr>
                <w:rFonts w:hint="eastAsia" w:ascii="宋体" w:hAnsi="宋体" w:eastAsia="宋体" w:cs="宋体"/>
                <w:kern w:val="0"/>
                <w:sz w:val="24"/>
                <w:szCs w:val="24"/>
                <w:highlight w:val="none"/>
                <w:lang w:val="en-US" w:eastAsia="zh-CN"/>
              </w:rPr>
              <w:t>内容</w:t>
            </w:r>
            <w:r>
              <w:rPr>
                <w:rFonts w:hint="eastAsia" w:ascii="宋体" w:hAnsi="宋体" w:cs="宋体"/>
                <w:kern w:val="0"/>
                <w:sz w:val="24"/>
                <w:szCs w:val="24"/>
                <w:highlight w:val="none"/>
                <w:lang w:val="en-US" w:eastAsia="zh-CN"/>
              </w:rPr>
              <w:t>有</w:t>
            </w:r>
            <w:r>
              <w:rPr>
                <w:rFonts w:hint="eastAsia" w:ascii="宋体" w:hAnsi="宋体" w:eastAsia="宋体" w:cs="宋体"/>
                <w:kern w:val="0"/>
                <w:sz w:val="24"/>
                <w:szCs w:val="24"/>
                <w:highlight w:val="none"/>
                <w:lang w:val="en-US" w:eastAsia="zh-CN"/>
              </w:rPr>
              <w:t>瑕疵</w:t>
            </w:r>
            <w:r>
              <w:rPr>
                <w:rFonts w:ascii="宋体" w:hAnsi="宋体" w:eastAsia="宋体" w:cs="宋体"/>
                <w:sz w:val="24"/>
                <w:szCs w:val="24"/>
                <w:highlight w:val="none"/>
              </w:rPr>
              <w:t>的扣</w:t>
            </w:r>
            <w:r>
              <w:rPr>
                <w:rFonts w:hint="eastAsia" w:ascii="宋体" w:hAnsi="宋体" w:eastAsia="宋体" w:cs="宋体"/>
                <w:kern w:val="0"/>
                <w:sz w:val="24"/>
                <w:szCs w:val="24"/>
                <w:highlight w:val="none"/>
              </w:rPr>
              <w:t xml:space="preserve"> 2 分，未提供不得分。</w:t>
            </w:r>
          </w:p>
          <w:p>
            <w:pPr>
              <w:spacing w:line="360" w:lineRule="exact"/>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说明：每有一项内容不符合本项目特点和实际需求的是指：投标人所提供内容存在与项目无关或与实际情况不符、套用其他方案、存在逻辑漏洞以及不可能实现的夸大情形等任意一种情形</w:t>
            </w:r>
            <w:r>
              <w:rPr>
                <w:rFonts w:hint="eastAsia" w:ascii="宋体" w:hAnsi="宋体" w:cs="宋体"/>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 w:type="dxa"/>
            <w:vMerge w:val="continue"/>
            <w:vAlign w:val="center"/>
          </w:tcPr>
          <w:p>
            <w:pPr>
              <w:spacing w:line="360" w:lineRule="exact"/>
              <w:jc w:val="left"/>
              <w:rPr>
                <w:rFonts w:hint="eastAsia" w:ascii="宋体" w:hAnsi="宋体" w:eastAsia="宋体" w:cs="宋体"/>
                <w:kern w:val="0"/>
                <w:sz w:val="24"/>
                <w:szCs w:val="24"/>
                <w:highlight w:val="none"/>
                <w:lang w:eastAsia="zh-CN"/>
              </w:rPr>
            </w:pPr>
          </w:p>
        </w:tc>
        <w:tc>
          <w:tcPr>
            <w:tcW w:w="1272" w:type="dxa"/>
            <w:vAlign w:val="center"/>
          </w:tcPr>
          <w:p>
            <w:pPr>
              <w:pStyle w:val="21"/>
              <w:rPr>
                <w:rFonts w:hint="eastAsia" w:eastAsia="宋体"/>
                <w:highlight w:val="none"/>
                <w:lang w:val="en-US" w:eastAsia="zh-CN"/>
              </w:rPr>
            </w:pPr>
            <w:r>
              <w:rPr>
                <w:rFonts w:ascii="宋体" w:hAnsi="宋体" w:eastAsia="宋体" w:cs="宋体"/>
                <w:sz w:val="24"/>
                <w:szCs w:val="24"/>
                <w:highlight w:val="none"/>
              </w:rPr>
              <w:t>管理制度</w:t>
            </w:r>
            <w:r>
              <w:rPr>
                <w:rFonts w:hint="eastAsia" w:ascii="宋体" w:hAnsi="宋体" w:cs="宋体"/>
                <w:sz w:val="24"/>
                <w:szCs w:val="24"/>
                <w:highlight w:val="none"/>
                <w:lang w:eastAsia="zh-CN"/>
              </w:rPr>
              <w:t>（</w:t>
            </w:r>
            <w:r>
              <w:rPr>
                <w:rFonts w:ascii="宋体" w:hAnsi="宋体" w:eastAsia="宋体" w:cs="宋体"/>
                <w:sz w:val="24"/>
                <w:szCs w:val="24"/>
                <w:highlight w:val="none"/>
              </w:rPr>
              <w:t>12 分</w:t>
            </w:r>
            <w:r>
              <w:rPr>
                <w:rFonts w:hint="eastAsia" w:ascii="宋体" w:hAnsi="宋体" w:cs="宋体"/>
                <w:sz w:val="24"/>
                <w:szCs w:val="24"/>
                <w:highlight w:val="none"/>
                <w:lang w:eastAsia="zh-CN"/>
              </w:rPr>
              <w:t>）</w:t>
            </w:r>
          </w:p>
        </w:tc>
        <w:tc>
          <w:tcPr>
            <w:tcW w:w="8092" w:type="dxa"/>
            <w:vAlign w:val="center"/>
          </w:tcPr>
          <w:p>
            <w:pPr>
              <w:spacing w:line="360" w:lineRule="exact"/>
              <w:jc w:val="left"/>
              <w:rPr>
                <w:rFonts w:hint="default"/>
                <w:highlight w:val="none"/>
                <w:lang w:val="en-US" w:eastAsia="zh-CN"/>
              </w:rPr>
            </w:pPr>
            <w:r>
              <w:rPr>
                <w:rFonts w:ascii="宋体" w:hAnsi="宋体" w:eastAsia="宋体" w:cs="宋体"/>
                <w:sz w:val="24"/>
                <w:szCs w:val="24"/>
                <w:highlight w:val="none"/>
              </w:rPr>
              <w:t>评审小组根据供应商对本项目的管理制度内容进行综合评比，其内容主要体现：（1）维修材料备品备件管理制度，（2）维修各岗位管理制度、安全生产制度，（3）车辆维修档案管理制度。以上内容无缺项或无漏项且符合本项目特点和实际需求的得 12 分，其中每有一项缺项或漏项扣 4 分，每有一项不符合本项目特点和实际需求</w:t>
            </w:r>
            <w:r>
              <w:rPr>
                <w:rFonts w:hint="eastAsia" w:ascii="宋体" w:hAnsi="宋体" w:eastAsia="宋体" w:cs="宋体"/>
                <w:sz w:val="24"/>
                <w:szCs w:val="24"/>
                <w:highlight w:val="none"/>
                <w:lang w:val="en-US" w:eastAsia="zh-CN"/>
              </w:rPr>
              <w:t>或内容不完整或</w:t>
            </w:r>
            <w:r>
              <w:rPr>
                <w:rFonts w:hint="eastAsia" w:ascii="宋体" w:hAnsi="宋体" w:eastAsia="宋体" w:cs="宋体"/>
                <w:kern w:val="0"/>
                <w:sz w:val="24"/>
                <w:szCs w:val="24"/>
                <w:highlight w:val="none"/>
                <w:lang w:val="en-US" w:eastAsia="zh-CN"/>
              </w:rPr>
              <w:t>内容</w:t>
            </w:r>
            <w:r>
              <w:rPr>
                <w:rFonts w:hint="eastAsia" w:ascii="宋体" w:hAnsi="宋体" w:cs="宋体"/>
                <w:kern w:val="0"/>
                <w:sz w:val="24"/>
                <w:szCs w:val="24"/>
                <w:highlight w:val="none"/>
                <w:lang w:val="en-US" w:eastAsia="zh-CN"/>
              </w:rPr>
              <w:t>有</w:t>
            </w:r>
            <w:r>
              <w:rPr>
                <w:rFonts w:hint="eastAsia" w:ascii="宋体" w:hAnsi="宋体" w:eastAsia="宋体" w:cs="宋体"/>
                <w:kern w:val="0"/>
                <w:sz w:val="24"/>
                <w:szCs w:val="24"/>
                <w:highlight w:val="none"/>
                <w:lang w:val="en-US" w:eastAsia="zh-CN"/>
              </w:rPr>
              <w:t>瑕疵</w:t>
            </w:r>
            <w:r>
              <w:rPr>
                <w:rFonts w:ascii="宋体" w:hAnsi="宋体" w:eastAsia="宋体" w:cs="宋体"/>
                <w:sz w:val="24"/>
                <w:szCs w:val="24"/>
                <w:highlight w:val="none"/>
              </w:rPr>
              <w:t>的扣2 分，未提供不得分。 说明：每有一项内容不符合本项目特点和实际需求的是指：投标人所提供内容存在与项目无关或与实际情况不符、套用其他方案、存在逻辑漏洞以及不可能实现的夸大情形等任意一种情形。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jc w:val="center"/>
        </w:trPr>
        <w:tc>
          <w:tcPr>
            <w:tcW w:w="913" w:type="dxa"/>
            <w:vMerge w:val="continue"/>
            <w:vAlign w:val="center"/>
          </w:tcPr>
          <w:p>
            <w:pPr>
              <w:spacing w:line="360" w:lineRule="exact"/>
              <w:jc w:val="left"/>
              <w:rPr>
                <w:rFonts w:hint="eastAsia" w:ascii="宋体" w:hAnsi="宋体" w:eastAsia="宋体" w:cs="宋体"/>
                <w:kern w:val="0"/>
                <w:sz w:val="24"/>
                <w:szCs w:val="24"/>
                <w:highlight w:val="none"/>
              </w:rPr>
            </w:pPr>
          </w:p>
        </w:tc>
        <w:tc>
          <w:tcPr>
            <w:tcW w:w="1272" w:type="dxa"/>
            <w:vAlign w:val="center"/>
          </w:tcPr>
          <w:p>
            <w:pPr>
              <w:spacing w:line="360" w:lineRule="exact"/>
              <w:jc w:val="center"/>
              <w:rPr>
                <w:rFonts w:ascii="宋体" w:hAnsi="宋体" w:eastAsia="宋体" w:cs="宋体"/>
                <w:sz w:val="24"/>
                <w:szCs w:val="24"/>
                <w:highlight w:val="none"/>
              </w:rPr>
            </w:pPr>
            <w:r>
              <w:rPr>
                <w:rFonts w:ascii="宋体" w:hAnsi="宋体" w:eastAsia="宋体" w:cs="宋体"/>
                <w:sz w:val="24"/>
                <w:szCs w:val="24"/>
                <w:highlight w:val="none"/>
              </w:rPr>
              <w:t>售后服务 方案</w:t>
            </w:r>
          </w:p>
          <w:p>
            <w:pPr>
              <w:spacing w:line="360" w:lineRule="exact"/>
              <w:jc w:val="both"/>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14 分</w:t>
            </w:r>
            <w:r>
              <w:rPr>
                <w:rFonts w:hint="eastAsia" w:ascii="宋体" w:hAnsi="宋体" w:eastAsia="宋体" w:cs="宋体"/>
                <w:sz w:val="24"/>
                <w:szCs w:val="24"/>
                <w:highlight w:val="none"/>
                <w:lang w:eastAsia="zh-CN"/>
              </w:rPr>
              <w:t>）</w:t>
            </w:r>
          </w:p>
        </w:tc>
        <w:tc>
          <w:tcPr>
            <w:tcW w:w="8092" w:type="dxa"/>
            <w:vAlign w:val="center"/>
          </w:tcPr>
          <w:p>
            <w:pPr>
              <w:spacing w:line="360" w:lineRule="exact"/>
              <w:jc w:val="left"/>
              <w:rPr>
                <w:rFonts w:ascii="宋体" w:hAnsi="宋体" w:eastAsia="宋体" w:cs="宋体"/>
                <w:sz w:val="24"/>
                <w:szCs w:val="24"/>
                <w:highlight w:val="none"/>
              </w:rPr>
            </w:pPr>
            <w:r>
              <w:rPr>
                <w:rFonts w:ascii="宋体" w:hAnsi="宋体" w:eastAsia="宋体" w:cs="宋体"/>
                <w:sz w:val="24"/>
                <w:szCs w:val="24"/>
                <w:highlight w:val="none"/>
              </w:rPr>
              <w:t>评审小组根据投标人针对本项目提供的售后服务方案进行评审，方案内容至少包含：（1）售后服务人员配置计划及联系方式，（2）售后服务响应时间，（3）解决故障方案，（4）售后服务保障措施。以上内容无缺项或无漏项且符合本项目特点和实际需求的得 14 分，其中每有一项缺项或漏项扣 3.5 分，每有一项不符合本项目特点和实际需求</w:t>
            </w:r>
            <w:r>
              <w:rPr>
                <w:rFonts w:hint="eastAsia" w:ascii="宋体" w:hAnsi="宋体" w:eastAsia="宋体" w:cs="宋体"/>
                <w:sz w:val="24"/>
                <w:szCs w:val="24"/>
                <w:highlight w:val="none"/>
                <w:lang w:val="en-US" w:eastAsia="zh-CN"/>
              </w:rPr>
              <w:t>或内容不完整或</w:t>
            </w:r>
            <w:r>
              <w:rPr>
                <w:rFonts w:hint="eastAsia" w:ascii="宋体" w:hAnsi="宋体" w:eastAsia="宋体" w:cs="宋体"/>
                <w:kern w:val="0"/>
                <w:sz w:val="24"/>
                <w:szCs w:val="24"/>
                <w:highlight w:val="none"/>
                <w:lang w:val="en-US" w:eastAsia="zh-CN"/>
              </w:rPr>
              <w:t>内容</w:t>
            </w:r>
            <w:r>
              <w:rPr>
                <w:rFonts w:hint="eastAsia" w:ascii="宋体" w:hAnsi="宋体" w:cs="宋体"/>
                <w:kern w:val="0"/>
                <w:sz w:val="24"/>
                <w:szCs w:val="24"/>
                <w:highlight w:val="none"/>
                <w:lang w:val="en-US" w:eastAsia="zh-CN"/>
              </w:rPr>
              <w:t>有</w:t>
            </w:r>
            <w:r>
              <w:rPr>
                <w:rFonts w:hint="eastAsia" w:ascii="宋体" w:hAnsi="宋体" w:eastAsia="宋体" w:cs="宋体"/>
                <w:kern w:val="0"/>
                <w:sz w:val="24"/>
                <w:szCs w:val="24"/>
                <w:highlight w:val="none"/>
                <w:lang w:val="en-US" w:eastAsia="zh-CN"/>
              </w:rPr>
              <w:t>瑕疵</w:t>
            </w:r>
            <w:r>
              <w:rPr>
                <w:rFonts w:ascii="宋体" w:hAnsi="宋体" w:eastAsia="宋体" w:cs="宋体"/>
                <w:sz w:val="24"/>
                <w:szCs w:val="24"/>
                <w:highlight w:val="none"/>
              </w:rPr>
              <w:t xml:space="preserve">的扣 2 分，未提供不得分。 </w:t>
            </w:r>
          </w:p>
          <w:p>
            <w:pPr>
              <w:spacing w:line="360" w:lineRule="exact"/>
              <w:jc w:val="left"/>
              <w:rPr>
                <w:rFonts w:hint="eastAsia" w:ascii="宋体" w:hAnsi="宋体" w:eastAsia="宋体" w:cs="宋体"/>
                <w:kern w:val="0"/>
                <w:sz w:val="24"/>
                <w:szCs w:val="24"/>
                <w:highlight w:val="none"/>
              </w:rPr>
            </w:pPr>
            <w:r>
              <w:rPr>
                <w:rFonts w:ascii="宋体" w:hAnsi="宋体" w:eastAsia="宋体" w:cs="宋体"/>
                <w:sz w:val="24"/>
                <w:szCs w:val="24"/>
                <w:highlight w:val="none"/>
              </w:rPr>
              <w:t>说明：每有一项内容不符合本项目特点和实际需求的是指：投标人所提供内容存在与项目无关或与实际情况不符、套用其他方案、存在逻辑漏洞以及不可能实现的夸大情形等任意一种情形。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0277" w:type="dxa"/>
            <w:gridSpan w:val="3"/>
            <w:vAlign w:val="center"/>
          </w:tcPr>
          <w:p>
            <w:pPr>
              <w:spacing w:line="360" w:lineRule="exact"/>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注:内容瑕疵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项目实际情况不匹配。</w:t>
            </w:r>
          </w:p>
        </w:tc>
      </w:tr>
    </w:tbl>
    <w:p>
      <w:pPr>
        <w:rPr>
          <w:rFonts w:ascii="宋体" w:cs="宋体"/>
          <w:w w:val="90"/>
          <w:highlight w:val="none"/>
        </w:rPr>
      </w:pPr>
      <w:r>
        <w:rPr>
          <w:rFonts w:ascii="宋体" w:cs="宋体"/>
          <w:w w:val="90"/>
          <w:highlight w:val="none"/>
        </w:rPr>
        <w:br w:type="page"/>
      </w:r>
    </w:p>
    <w:p>
      <w:pPr>
        <w:rPr>
          <w:rFonts w:ascii="宋体" w:cs="宋体"/>
          <w:w w:val="90"/>
          <w:highlight w:val="none"/>
        </w:rPr>
      </w:pPr>
    </w:p>
    <w:p>
      <w:pPr>
        <w:rPr>
          <w:rFonts w:ascii="宋体" w:cs="宋体"/>
          <w:w w:val="90"/>
          <w:sz w:val="36"/>
          <w:highlight w:val="none"/>
        </w:rPr>
      </w:pPr>
      <w:bookmarkStart w:id="93" w:name="_Toc14776845"/>
    </w:p>
    <w:p>
      <w:pPr>
        <w:rPr>
          <w:rFonts w:ascii="宋体" w:cs="宋体"/>
          <w:w w:val="90"/>
          <w:sz w:val="36"/>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rPr>
          <w:highlight w:val="none"/>
        </w:rPr>
      </w:pPr>
    </w:p>
    <w:p>
      <w:pPr>
        <w:rPr>
          <w:highlight w:val="none"/>
        </w:rPr>
      </w:pPr>
    </w:p>
    <w:p>
      <w:pPr>
        <w:rPr>
          <w:rFonts w:ascii="宋体" w:cs="宋体"/>
          <w:w w:val="90"/>
          <w:sz w:val="36"/>
          <w:highlight w:val="none"/>
        </w:rPr>
      </w:pPr>
    </w:p>
    <w:p>
      <w:pPr>
        <w:pStyle w:val="3"/>
        <w:spacing w:line="360" w:lineRule="auto"/>
        <w:jc w:val="center"/>
        <w:rPr>
          <w:rFonts w:ascii="宋体" w:cs="宋体"/>
          <w:w w:val="90"/>
          <w:highlight w:val="none"/>
        </w:rPr>
      </w:pPr>
      <w:bookmarkStart w:id="94" w:name="_Toc44704909"/>
      <w:bookmarkStart w:id="95" w:name="_Toc44705056"/>
      <w:bookmarkStart w:id="96" w:name="_Toc44705277"/>
      <w:r>
        <w:rPr>
          <w:rFonts w:hint="eastAsia" w:ascii="宋体" w:hAnsi="宋体" w:cs="宋体"/>
          <w:w w:val="90"/>
          <w:highlight w:val="none"/>
        </w:rPr>
        <w:t>第七章</w:t>
      </w:r>
      <w:r>
        <w:rPr>
          <w:rFonts w:ascii="宋体" w:hAnsi="宋体" w:cs="宋体"/>
          <w:w w:val="90"/>
          <w:highlight w:val="none"/>
        </w:rPr>
        <w:t xml:space="preserve"> </w:t>
      </w:r>
      <w:r>
        <w:rPr>
          <w:rFonts w:hint="eastAsia" w:ascii="宋体" w:hAnsi="宋体" w:cs="宋体"/>
          <w:w w:val="90"/>
          <w:highlight w:val="none"/>
        </w:rPr>
        <w:t>投标文件格式</w:t>
      </w:r>
      <w:bookmarkEnd w:id="92"/>
      <w:bookmarkEnd w:id="93"/>
      <w:bookmarkEnd w:id="94"/>
      <w:bookmarkEnd w:id="95"/>
      <w:bookmarkEnd w:id="96"/>
    </w:p>
    <w:p>
      <w:pPr>
        <w:widowControl/>
        <w:jc w:val="left"/>
        <w:rPr>
          <w:rFonts w:ascii="宋体"/>
          <w:kern w:val="0"/>
          <w:sz w:val="36"/>
          <w:szCs w:val="36"/>
          <w:highlight w:val="none"/>
          <w:lang w:val="zh-CN"/>
        </w:rPr>
      </w:pPr>
      <w:bookmarkStart w:id="97" w:name="_Toc2355254"/>
      <w:bookmarkStart w:id="98" w:name="_Toc2511996"/>
      <w:bookmarkStart w:id="99" w:name="_Toc14776846"/>
      <w:bookmarkStart w:id="100" w:name="_Toc497167403"/>
      <w:r>
        <w:rPr>
          <w:sz w:val="36"/>
          <w:szCs w:val="36"/>
          <w:highlight w:val="none"/>
        </w:rPr>
        <w:br w:type="page"/>
      </w:r>
    </w:p>
    <w:p>
      <w:pPr>
        <w:pStyle w:val="209"/>
        <w:ind w:firstLine="0" w:firstLineChars="0"/>
        <w:jc w:val="center"/>
        <w:rPr>
          <w:sz w:val="36"/>
          <w:szCs w:val="36"/>
          <w:highlight w:val="none"/>
        </w:rPr>
      </w:pPr>
    </w:p>
    <w:p>
      <w:pPr>
        <w:pStyle w:val="209"/>
        <w:ind w:firstLine="0" w:firstLineChars="0"/>
        <w:jc w:val="center"/>
        <w:rPr>
          <w:sz w:val="36"/>
          <w:szCs w:val="36"/>
          <w:highlight w:val="none"/>
        </w:rPr>
      </w:pPr>
    </w:p>
    <w:p>
      <w:pPr>
        <w:pStyle w:val="209"/>
        <w:ind w:firstLine="0" w:firstLineChars="0"/>
        <w:jc w:val="center"/>
        <w:rPr>
          <w:sz w:val="36"/>
          <w:szCs w:val="36"/>
          <w:highlight w:val="none"/>
        </w:rPr>
      </w:pPr>
    </w:p>
    <w:p>
      <w:pPr>
        <w:pStyle w:val="209"/>
        <w:ind w:firstLine="0" w:firstLineChars="0"/>
        <w:jc w:val="center"/>
        <w:rPr>
          <w:sz w:val="36"/>
          <w:szCs w:val="36"/>
          <w:highlight w:val="none"/>
        </w:rPr>
      </w:pPr>
    </w:p>
    <w:p>
      <w:pPr>
        <w:pStyle w:val="209"/>
        <w:ind w:firstLine="0" w:firstLineChars="0"/>
        <w:jc w:val="center"/>
        <w:rPr>
          <w:sz w:val="36"/>
          <w:szCs w:val="36"/>
          <w:highlight w:val="none"/>
        </w:rPr>
      </w:pPr>
    </w:p>
    <w:p>
      <w:pPr>
        <w:pStyle w:val="209"/>
        <w:ind w:firstLine="0" w:firstLineChars="0"/>
        <w:jc w:val="center"/>
        <w:rPr>
          <w:sz w:val="36"/>
          <w:szCs w:val="36"/>
          <w:highlight w:val="none"/>
        </w:rPr>
      </w:pPr>
    </w:p>
    <w:p>
      <w:pPr>
        <w:pStyle w:val="4"/>
        <w:jc w:val="center"/>
        <w:rPr>
          <w:rFonts w:ascii="宋体" w:hAnsi="宋体" w:eastAsia="宋体"/>
          <w:sz w:val="36"/>
          <w:szCs w:val="36"/>
          <w:highlight w:val="none"/>
        </w:rPr>
      </w:pPr>
      <w:bookmarkStart w:id="101" w:name="_Toc44705278"/>
      <w:bookmarkStart w:id="102" w:name="_Toc44704910"/>
      <w:bookmarkStart w:id="103" w:name="_Toc44705057"/>
      <w:r>
        <w:rPr>
          <w:rFonts w:hint="eastAsia" w:ascii="宋体" w:hAnsi="宋体" w:eastAsia="宋体"/>
          <w:sz w:val="36"/>
          <w:szCs w:val="36"/>
          <w:highlight w:val="none"/>
        </w:rPr>
        <w:t>投标文件</w:t>
      </w:r>
      <w:r>
        <w:rPr>
          <w:rFonts w:ascii="宋体" w:hAnsi="宋体" w:eastAsia="宋体"/>
          <w:sz w:val="36"/>
          <w:szCs w:val="36"/>
          <w:highlight w:val="none"/>
        </w:rPr>
        <w:t>-</w:t>
      </w:r>
      <w:r>
        <w:rPr>
          <w:rFonts w:hint="eastAsia" w:ascii="宋体" w:hAnsi="宋体" w:eastAsia="宋体"/>
          <w:sz w:val="36"/>
          <w:szCs w:val="36"/>
          <w:highlight w:val="none"/>
        </w:rPr>
        <w:t>资格证明文件</w:t>
      </w:r>
      <w:bookmarkEnd w:id="97"/>
      <w:bookmarkEnd w:id="98"/>
      <w:bookmarkEnd w:id="99"/>
      <w:bookmarkEnd w:id="101"/>
      <w:bookmarkStart w:id="104" w:name="_Toc2511997"/>
      <w:bookmarkStart w:id="105" w:name="_Toc2355255"/>
    </w:p>
    <w:bookmarkEnd w:id="100"/>
    <w:bookmarkEnd w:id="102"/>
    <w:bookmarkEnd w:id="103"/>
    <w:bookmarkEnd w:id="104"/>
    <w:bookmarkEnd w:id="105"/>
    <w:p>
      <w:pPr>
        <w:jc w:val="center"/>
        <w:rPr>
          <w:sz w:val="32"/>
          <w:highlight w:val="none"/>
        </w:rPr>
      </w:pPr>
    </w:p>
    <w:p>
      <w:pPr>
        <w:widowControl/>
        <w:spacing w:line="360" w:lineRule="auto"/>
        <w:jc w:val="left"/>
        <w:rPr>
          <w:rFonts w:ascii="宋体" w:cs="宋体"/>
          <w:b/>
          <w:sz w:val="36"/>
          <w:szCs w:val="44"/>
          <w:highlight w:val="none"/>
        </w:rPr>
      </w:pPr>
      <w:r>
        <w:rPr>
          <w:rFonts w:ascii="宋体" w:cs="宋体"/>
          <w:highlight w:val="none"/>
        </w:rPr>
        <w:br w:type="page"/>
      </w:r>
    </w:p>
    <w:p>
      <w:pPr>
        <w:spacing w:line="360" w:lineRule="auto"/>
        <w:rPr>
          <w:rFonts w:ascii="宋体" w:hAnsi="宋体" w:cs="宋体"/>
          <w:b/>
          <w:szCs w:val="21"/>
          <w:highlight w:val="none"/>
        </w:rPr>
      </w:pPr>
      <w:r>
        <w:rPr>
          <w:rFonts w:hint="eastAsia" w:ascii="宋体" w:hAnsi="宋体" w:cs="宋体"/>
          <w:b/>
          <w:szCs w:val="21"/>
          <w:highlight w:val="none"/>
        </w:rPr>
        <w:t>资格证明文件隔页纸格式</w:t>
      </w:r>
    </w:p>
    <w:p>
      <w:pPr>
        <w:pStyle w:val="21"/>
        <w:rPr>
          <w:highlight w:val="none"/>
        </w:rPr>
      </w:pPr>
    </w:p>
    <w:p>
      <w:pPr>
        <w:spacing w:line="360" w:lineRule="auto"/>
        <w:jc w:val="center"/>
        <w:rPr>
          <w:rFonts w:ascii="宋体" w:cs="宋体"/>
          <w:b/>
          <w:sz w:val="96"/>
          <w:highlight w:val="none"/>
        </w:rPr>
      </w:pPr>
    </w:p>
    <w:p>
      <w:pPr>
        <w:spacing w:line="360" w:lineRule="auto"/>
        <w:jc w:val="center"/>
        <w:rPr>
          <w:rFonts w:ascii="宋体" w:cs="宋体"/>
          <w:b/>
          <w:sz w:val="80"/>
          <w:szCs w:val="80"/>
          <w:highlight w:val="none"/>
        </w:rPr>
      </w:pPr>
      <w:r>
        <w:rPr>
          <w:rFonts w:hint="eastAsia" w:ascii="宋体" w:hAnsi="宋体" w:cs="宋体"/>
          <w:b/>
          <w:sz w:val="80"/>
          <w:szCs w:val="80"/>
          <w:highlight w:val="none"/>
        </w:rPr>
        <w:t>（项目名称）</w:t>
      </w:r>
    </w:p>
    <w:p>
      <w:pPr>
        <w:spacing w:line="360" w:lineRule="auto"/>
        <w:jc w:val="center"/>
        <w:rPr>
          <w:rFonts w:ascii="宋体" w:cs="宋体"/>
          <w:b/>
          <w:sz w:val="80"/>
          <w:szCs w:val="80"/>
          <w:highlight w:val="none"/>
        </w:rPr>
      </w:pPr>
    </w:p>
    <w:p>
      <w:pPr>
        <w:spacing w:line="360" w:lineRule="auto"/>
        <w:jc w:val="center"/>
        <w:rPr>
          <w:rFonts w:ascii="宋体" w:cs="宋体"/>
          <w:b/>
          <w:sz w:val="80"/>
          <w:szCs w:val="80"/>
          <w:highlight w:val="none"/>
        </w:rPr>
      </w:pPr>
      <w:r>
        <w:rPr>
          <w:rFonts w:hint="eastAsia" w:ascii="宋体" w:hAnsi="宋体" w:cs="宋体"/>
          <w:b/>
          <w:sz w:val="80"/>
          <w:szCs w:val="80"/>
          <w:highlight w:val="none"/>
        </w:rPr>
        <w:t>投标文件</w:t>
      </w:r>
      <w:r>
        <w:rPr>
          <w:rFonts w:ascii="宋体" w:cs="宋体"/>
          <w:b/>
          <w:sz w:val="80"/>
          <w:szCs w:val="80"/>
          <w:highlight w:val="none"/>
        </w:rPr>
        <w:t>-</w:t>
      </w:r>
      <w:r>
        <w:rPr>
          <w:rFonts w:hint="eastAsia" w:ascii="宋体" w:hAnsi="宋体" w:cs="宋体"/>
          <w:b/>
          <w:sz w:val="80"/>
          <w:szCs w:val="80"/>
          <w:highlight w:val="none"/>
        </w:rPr>
        <w:t>资格证明材料</w:t>
      </w:r>
    </w:p>
    <w:p>
      <w:pPr>
        <w:spacing w:line="360" w:lineRule="auto"/>
        <w:rPr>
          <w:rFonts w:ascii="宋体" w:cs="宋体"/>
          <w:b/>
          <w:highlight w:val="none"/>
        </w:rPr>
      </w:pPr>
    </w:p>
    <w:p>
      <w:pPr>
        <w:spacing w:line="360" w:lineRule="auto"/>
        <w:rPr>
          <w:rFonts w:ascii="宋体" w:cs="宋体"/>
          <w:b/>
          <w:highlight w:val="none"/>
        </w:rPr>
      </w:pPr>
    </w:p>
    <w:p>
      <w:pPr>
        <w:spacing w:line="360" w:lineRule="auto"/>
        <w:jc w:val="center"/>
        <w:rPr>
          <w:rFonts w:ascii="宋体" w:cs="宋体"/>
          <w:b/>
          <w:highlight w:val="none"/>
        </w:rPr>
      </w:pPr>
    </w:p>
    <w:p>
      <w:pPr>
        <w:spacing w:line="360" w:lineRule="auto"/>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rPr>
          <w:rFonts w:ascii="宋体" w:cs="宋体"/>
          <w:b/>
          <w:sz w:val="36"/>
          <w:szCs w:val="36"/>
          <w:highlight w:val="none"/>
        </w:rPr>
      </w:pPr>
      <w:r>
        <w:rPr>
          <w:rFonts w:hint="eastAsia" w:ascii="宋体" w:hAnsi="宋体" w:cs="宋体"/>
          <w:b/>
          <w:sz w:val="36"/>
          <w:szCs w:val="36"/>
          <w:highlight w:val="none"/>
        </w:rPr>
        <w:t>招标编号</w:t>
      </w:r>
      <w:r>
        <w:rPr>
          <w:rFonts w:ascii="宋体" w:hAnsi="宋体" w:cs="宋体"/>
          <w:b/>
          <w:sz w:val="36"/>
          <w:szCs w:val="36"/>
          <w:highlight w:val="none"/>
        </w:rPr>
        <w:t>[</w:t>
      </w:r>
      <w:r>
        <w:rPr>
          <w:rFonts w:hint="eastAsia" w:ascii="宋体" w:hAnsi="宋体" w:cs="宋体"/>
          <w:b/>
          <w:sz w:val="36"/>
          <w:szCs w:val="36"/>
          <w:highlight w:val="none"/>
        </w:rPr>
        <w:t>包号</w:t>
      </w:r>
      <w:r>
        <w:rPr>
          <w:rFonts w:ascii="宋体" w:hAnsi="宋体" w:cs="宋体"/>
          <w:b/>
          <w:sz w:val="36"/>
          <w:szCs w:val="36"/>
          <w:highlight w:val="none"/>
        </w:rPr>
        <w:t>]</w:t>
      </w:r>
      <w:r>
        <w:rPr>
          <w:rFonts w:hint="eastAsia" w:ascii="宋体" w:hAnsi="宋体" w:cs="宋体"/>
          <w:b/>
          <w:sz w:val="36"/>
          <w:szCs w:val="36"/>
          <w:highlight w:val="none"/>
        </w:rPr>
        <w:t>：</w:t>
      </w:r>
    </w:p>
    <w:p>
      <w:pPr>
        <w:spacing w:line="360" w:lineRule="auto"/>
        <w:ind w:left="2992" w:hanging="2631"/>
        <w:rPr>
          <w:rFonts w:ascii="宋体" w:cs="宋体"/>
          <w:b/>
          <w:sz w:val="36"/>
          <w:szCs w:val="36"/>
          <w:highlight w:val="none"/>
        </w:rPr>
      </w:pPr>
    </w:p>
    <w:p>
      <w:pPr>
        <w:spacing w:line="360" w:lineRule="auto"/>
        <w:rPr>
          <w:rFonts w:ascii="宋体" w:cs="宋体"/>
          <w:b/>
          <w:sz w:val="36"/>
          <w:szCs w:val="36"/>
          <w:highlight w:val="none"/>
          <w:u w:val="single"/>
        </w:rPr>
      </w:pPr>
      <w:r>
        <w:rPr>
          <w:rFonts w:hint="eastAsia" w:ascii="宋体" w:hAnsi="宋体" w:cs="宋体"/>
          <w:b/>
          <w:sz w:val="36"/>
          <w:szCs w:val="36"/>
          <w:highlight w:val="none"/>
        </w:rPr>
        <w:t>投标人名称：</w:t>
      </w:r>
      <w:r>
        <w:rPr>
          <w:rFonts w:ascii="宋体" w:hAnsi="宋体" w:cs="宋体"/>
          <w:b/>
          <w:sz w:val="36"/>
          <w:szCs w:val="36"/>
          <w:highlight w:val="none"/>
        </w:rPr>
        <w:t xml:space="preserve"> </w:t>
      </w:r>
      <w:r>
        <w:rPr>
          <w:rFonts w:ascii="宋体" w:hAnsi="宋体" w:cs="宋体"/>
          <w:b/>
          <w:sz w:val="36"/>
          <w:szCs w:val="36"/>
          <w:highlight w:val="none"/>
          <w:u w:val="single"/>
        </w:rPr>
        <w:t xml:space="preserve">                </w:t>
      </w:r>
      <w:r>
        <w:rPr>
          <w:rFonts w:hint="eastAsia" w:ascii="宋体" w:hAnsi="宋体" w:cs="宋体"/>
          <w:b/>
          <w:sz w:val="36"/>
          <w:szCs w:val="36"/>
          <w:highlight w:val="none"/>
          <w:u w:val="single"/>
        </w:rPr>
        <w:t>（盖公章）</w:t>
      </w:r>
    </w:p>
    <w:p>
      <w:pPr>
        <w:spacing w:line="360" w:lineRule="auto"/>
        <w:rPr>
          <w:rFonts w:ascii="宋体" w:cs="宋体"/>
          <w:b/>
          <w:sz w:val="36"/>
          <w:szCs w:val="36"/>
          <w:highlight w:val="none"/>
        </w:rPr>
      </w:pPr>
    </w:p>
    <w:p>
      <w:pPr>
        <w:spacing w:line="360" w:lineRule="auto"/>
        <w:jc w:val="center"/>
        <w:rPr>
          <w:rFonts w:ascii="宋体" w:cs="宋体"/>
          <w:b/>
          <w:sz w:val="36"/>
          <w:szCs w:val="36"/>
          <w:highlight w:val="none"/>
        </w:rPr>
      </w:pPr>
      <w:r>
        <w:rPr>
          <w:rFonts w:ascii="宋体" w:hAnsi="宋体" w:cs="宋体"/>
          <w:b/>
          <w:sz w:val="36"/>
          <w:szCs w:val="36"/>
          <w:highlight w:val="none"/>
        </w:rPr>
        <w:t xml:space="preserve"> </w:t>
      </w:r>
      <w:r>
        <w:rPr>
          <w:rFonts w:hint="eastAsia" w:ascii="宋体" w:hAnsi="宋体" w:cs="宋体"/>
          <w:b/>
          <w:sz w:val="36"/>
          <w:szCs w:val="36"/>
          <w:highlight w:val="none"/>
        </w:rPr>
        <w:t>年</w:t>
      </w:r>
      <w:r>
        <w:rPr>
          <w:rFonts w:ascii="宋体" w:hAnsi="宋体" w:cs="宋体"/>
          <w:b/>
          <w:sz w:val="36"/>
          <w:szCs w:val="36"/>
          <w:highlight w:val="none"/>
        </w:rPr>
        <w:t xml:space="preserve">  </w:t>
      </w:r>
      <w:r>
        <w:rPr>
          <w:rFonts w:hint="eastAsia" w:ascii="宋体" w:hAnsi="宋体" w:cs="宋体"/>
          <w:b/>
          <w:sz w:val="36"/>
          <w:szCs w:val="36"/>
          <w:highlight w:val="none"/>
        </w:rPr>
        <w:t>月</w:t>
      </w:r>
      <w:r>
        <w:rPr>
          <w:rFonts w:ascii="宋体" w:hAnsi="宋体" w:cs="宋体"/>
          <w:b/>
          <w:sz w:val="36"/>
          <w:szCs w:val="36"/>
          <w:highlight w:val="none"/>
        </w:rPr>
        <w:t xml:space="preserve">  </w:t>
      </w:r>
      <w:r>
        <w:rPr>
          <w:rFonts w:hint="eastAsia" w:ascii="宋体" w:hAnsi="宋体" w:cs="宋体"/>
          <w:b/>
          <w:sz w:val="36"/>
          <w:szCs w:val="36"/>
          <w:highlight w:val="none"/>
        </w:rPr>
        <w:t>日</w:t>
      </w:r>
    </w:p>
    <w:p>
      <w:pPr>
        <w:widowControl/>
        <w:spacing w:line="360" w:lineRule="auto"/>
        <w:jc w:val="left"/>
        <w:rPr>
          <w:rFonts w:ascii="宋体" w:cs="宋体"/>
          <w:b/>
          <w:sz w:val="36"/>
          <w:szCs w:val="36"/>
          <w:highlight w:val="none"/>
        </w:rPr>
      </w:pPr>
      <w:r>
        <w:rPr>
          <w:rFonts w:ascii="宋体" w:cs="宋体"/>
          <w:b/>
          <w:sz w:val="36"/>
          <w:szCs w:val="36"/>
          <w:highlight w:val="none"/>
        </w:rPr>
        <w:br w:type="page"/>
      </w:r>
    </w:p>
    <w:p>
      <w:pPr>
        <w:pStyle w:val="4"/>
        <w:rPr>
          <w:rFonts w:ascii="宋体" w:hAnsi="宋体" w:eastAsia="宋体" w:cs="宋体"/>
          <w:sz w:val="24"/>
          <w:szCs w:val="24"/>
          <w:highlight w:val="none"/>
        </w:rPr>
      </w:pPr>
      <w:bookmarkStart w:id="106" w:name="_Toc44705279"/>
      <w:bookmarkStart w:id="107" w:name="_Toc44705058"/>
      <w:bookmarkStart w:id="108" w:name="_Toc44704911"/>
      <w:r>
        <w:rPr>
          <w:rFonts w:hint="eastAsia" w:ascii="宋体" w:hAnsi="宋体" w:eastAsia="宋体" w:cs="宋体"/>
          <w:sz w:val="36"/>
          <w:szCs w:val="24"/>
          <w:highlight w:val="none"/>
        </w:rPr>
        <w:t>资格证明材料内容及格式</w:t>
      </w:r>
      <w:bookmarkEnd w:id="106"/>
      <w:bookmarkEnd w:id="107"/>
      <w:bookmarkEnd w:id="108"/>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一、目录</w:t>
      </w:r>
    </w:p>
    <w:p>
      <w:pPr>
        <w:tabs>
          <w:tab w:val="left" w:pos="720"/>
        </w:tabs>
        <w:autoSpaceDE w:val="0"/>
        <w:autoSpaceDN w:val="0"/>
        <w:adjustRightInd w:val="0"/>
        <w:spacing w:line="360" w:lineRule="auto"/>
        <w:ind w:right="17"/>
        <w:jc w:val="left"/>
        <w:rPr>
          <w:rFonts w:ascii="宋体" w:cs="宋体"/>
          <w:kern w:val="0"/>
          <w:sz w:val="24"/>
          <w:szCs w:val="24"/>
          <w:highlight w:val="none"/>
          <w:lang w:val="zh-CN"/>
        </w:rPr>
      </w:pPr>
      <w:r>
        <w:rPr>
          <w:rFonts w:ascii="宋体" w:hAnsi="宋体" w:cs="宋体"/>
          <w:color w:val="000000"/>
          <w:sz w:val="24"/>
          <w:szCs w:val="24"/>
          <w:highlight w:val="none"/>
        </w:rPr>
        <w:t>1</w:t>
      </w:r>
      <w:r>
        <w:rPr>
          <w:rFonts w:ascii="宋体" w:hAnsi="宋体" w:cs="宋体"/>
          <w:kern w:val="0"/>
          <w:sz w:val="24"/>
          <w:szCs w:val="24"/>
          <w:highlight w:val="none"/>
          <w:lang w:val="zh-CN"/>
        </w:rPr>
        <w:t>.1</w:t>
      </w:r>
      <w:r>
        <w:rPr>
          <w:rFonts w:hint="eastAsia" w:ascii="宋体" w:hAnsi="宋体" w:cs="宋体"/>
          <w:kern w:val="0"/>
          <w:sz w:val="24"/>
          <w:szCs w:val="24"/>
          <w:highlight w:val="none"/>
          <w:lang w:val="zh-CN"/>
        </w:rPr>
        <w:t>具有独立承担民事责任的能力；</w:t>
      </w:r>
    </w:p>
    <w:p>
      <w:pPr>
        <w:tabs>
          <w:tab w:val="left" w:pos="720"/>
        </w:tabs>
        <w:autoSpaceDE w:val="0"/>
        <w:autoSpaceDN w:val="0"/>
        <w:adjustRightInd w:val="0"/>
        <w:spacing w:line="360" w:lineRule="auto"/>
        <w:ind w:right="17"/>
        <w:jc w:val="left"/>
        <w:rPr>
          <w:rFonts w:ascii="宋体" w:cs="宋体"/>
          <w:color w:val="000000"/>
          <w:kern w:val="0"/>
          <w:sz w:val="24"/>
          <w:szCs w:val="24"/>
          <w:highlight w:val="none"/>
          <w:lang w:val="zh-CN"/>
        </w:rPr>
      </w:pPr>
      <w:r>
        <w:rPr>
          <w:rFonts w:ascii="宋体" w:hAnsi="宋体" w:cs="宋体"/>
          <w:color w:val="000000"/>
          <w:sz w:val="24"/>
          <w:szCs w:val="24"/>
          <w:highlight w:val="none"/>
        </w:rPr>
        <w:t>1.2</w:t>
      </w:r>
      <w:r>
        <w:rPr>
          <w:rFonts w:hint="eastAsia" w:ascii="宋体" w:hAnsi="宋体" w:cs="宋体"/>
          <w:kern w:val="0"/>
          <w:sz w:val="24"/>
          <w:szCs w:val="24"/>
          <w:highlight w:val="none"/>
          <w:lang w:val="zh-CN"/>
        </w:rPr>
        <w:t>具有良好的商业信誉和健全的财务会计制度</w:t>
      </w:r>
      <w:r>
        <w:rPr>
          <w:rFonts w:hint="eastAsia" w:ascii="宋体" w:hAnsi="宋体" w:cs="宋体"/>
          <w:color w:val="000000"/>
          <w:sz w:val="24"/>
          <w:szCs w:val="24"/>
          <w:highlight w:val="none"/>
        </w:rPr>
        <w:t>；</w:t>
      </w:r>
    </w:p>
    <w:p>
      <w:pPr>
        <w:spacing w:line="360" w:lineRule="auto"/>
        <w:rPr>
          <w:rFonts w:ascii="宋体" w:cs="宋体"/>
          <w:color w:val="000000"/>
          <w:sz w:val="24"/>
          <w:szCs w:val="24"/>
          <w:highlight w:val="none"/>
        </w:rPr>
      </w:pPr>
      <w:r>
        <w:rPr>
          <w:rFonts w:ascii="宋体" w:hAnsi="宋体" w:cs="宋体"/>
          <w:color w:val="000000"/>
          <w:sz w:val="24"/>
          <w:szCs w:val="24"/>
          <w:highlight w:val="none"/>
        </w:rPr>
        <w:t>1.3</w:t>
      </w:r>
      <w:r>
        <w:rPr>
          <w:rFonts w:hint="eastAsia" w:ascii="宋体" w:hAnsi="宋体" w:cs="宋体"/>
          <w:color w:val="000000"/>
          <w:sz w:val="24"/>
          <w:szCs w:val="24"/>
          <w:highlight w:val="none"/>
        </w:rPr>
        <w:t>具有履行合同所必需的设备和专业技术能力；</w:t>
      </w:r>
    </w:p>
    <w:p>
      <w:pPr>
        <w:spacing w:line="360" w:lineRule="auto"/>
        <w:rPr>
          <w:rFonts w:ascii="宋体" w:cs="宋体"/>
          <w:color w:val="000000"/>
          <w:sz w:val="24"/>
          <w:szCs w:val="24"/>
          <w:highlight w:val="none"/>
        </w:rPr>
      </w:pPr>
      <w:r>
        <w:rPr>
          <w:rFonts w:ascii="宋体" w:hAnsi="宋体" w:cs="宋体"/>
          <w:color w:val="000000"/>
          <w:sz w:val="24"/>
          <w:szCs w:val="24"/>
          <w:highlight w:val="none"/>
        </w:rPr>
        <w:t>1.4</w:t>
      </w:r>
      <w:r>
        <w:rPr>
          <w:rFonts w:hint="eastAsia" w:ascii="宋体" w:hAnsi="宋体" w:cs="宋体"/>
          <w:color w:val="000000"/>
          <w:kern w:val="0"/>
          <w:sz w:val="24"/>
          <w:szCs w:val="24"/>
          <w:highlight w:val="none"/>
          <w:lang w:val="zh-CN"/>
        </w:rPr>
        <w:t>有依法缴纳税收和社会保障资金的良好记录；</w:t>
      </w:r>
    </w:p>
    <w:p>
      <w:pPr>
        <w:spacing w:line="360" w:lineRule="auto"/>
        <w:rPr>
          <w:rFonts w:ascii="宋体" w:cs="宋体"/>
          <w:color w:val="000000"/>
          <w:sz w:val="24"/>
          <w:szCs w:val="24"/>
          <w:highlight w:val="none"/>
        </w:rPr>
      </w:pPr>
      <w:r>
        <w:rPr>
          <w:rFonts w:ascii="宋体" w:hAnsi="宋体" w:cs="宋体"/>
          <w:color w:val="000000"/>
          <w:sz w:val="24"/>
          <w:szCs w:val="24"/>
          <w:highlight w:val="none"/>
        </w:rPr>
        <w:t>1.5</w:t>
      </w:r>
      <w:r>
        <w:rPr>
          <w:rFonts w:hint="eastAsia" w:ascii="宋体" w:hAnsi="宋体" w:cs="宋体"/>
          <w:color w:val="000000"/>
          <w:sz w:val="24"/>
          <w:szCs w:val="24"/>
          <w:highlight w:val="none"/>
        </w:rPr>
        <w:t>参加政府采购活动前三年内，在经营活动中没有重大违法记录；</w:t>
      </w:r>
    </w:p>
    <w:p>
      <w:pPr>
        <w:spacing w:line="360" w:lineRule="auto"/>
        <w:rPr>
          <w:rFonts w:ascii="宋体" w:cs="宋体"/>
          <w:color w:val="000000"/>
          <w:sz w:val="24"/>
          <w:szCs w:val="24"/>
          <w:highlight w:val="none"/>
        </w:rPr>
      </w:pPr>
      <w:r>
        <w:rPr>
          <w:rFonts w:ascii="宋体" w:hAnsi="宋体" w:cs="宋体"/>
          <w:color w:val="000000"/>
          <w:sz w:val="24"/>
          <w:szCs w:val="24"/>
          <w:highlight w:val="none"/>
        </w:rPr>
        <w:t>1.</w:t>
      </w:r>
      <w:bookmarkStart w:id="109" w:name="_Hlk493437107"/>
      <w:r>
        <w:rPr>
          <w:rFonts w:ascii="宋体" w:hAnsi="宋体" w:cs="宋体"/>
          <w:color w:val="000000"/>
          <w:sz w:val="24"/>
          <w:szCs w:val="24"/>
          <w:highlight w:val="none"/>
        </w:rPr>
        <w:t>6</w:t>
      </w:r>
      <w:r>
        <w:rPr>
          <w:rFonts w:hint="eastAsia" w:ascii="宋体" w:hAnsi="宋体" w:cs="宋体"/>
          <w:color w:val="000000"/>
          <w:sz w:val="24"/>
          <w:szCs w:val="24"/>
          <w:highlight w:val="none"/>
        </w:rPr>
        <w:t>符合招标文件第二章“</w:t>
      </w:r>
      <w:r>
        <w:rPr>
          <w:rFonts w:hint="eastAsia" w:ascii="宋体" w:hAnsi="宋体" w:cs="宋体"/>
          <w:bCs/>
          <w:kern w:val="0"/>
          <w:sz w:val="24"/>
          <w:szCs w:val="24"/>
          <w:highlight w:val="none"/>
        </w:rPr>
        <w:t>投标人须知前附表”</w:t>
      </w:r>
      <w:r>
        <w:rPr>
          <w:rFonts w:hint="eastAsia" w:ascii="宋体" w:hAnsi="宋体" w:cs="宋体"/>
          <w:bCs/>
          <w:kern w:val="0"/>
          <w:sz w:val="24"/>
          <w:szCs w:val="24"/>
          <w:highlight w:val="none"/>
          <w:lang w:eastAsia="zh-CN"/>
        </w:rPr>
        <w:t>12中第</w:t>
      </w:r>
      <w:r>
        <w:rPr>
          <w:rFonts w:ascii="宋体" w:hAnsi="宋体" w:cs="宋体"/>
          <w:bCs/>
          <w:kern w:val="0"/>
          <w:sz w:val="24"/>
          <w:szCs w:val="24"/>
          <w:highlight w:val="none"/>
        </w:rPr>
        <w:t>2</w:t>
      </w:r>
      <w:r>
        <w:rPr>
          <w:rFonts w:hint="eastAsia" w:ascii="宋体" w:hAnsi="宋体" w:cs="宋体"/>
          <w:bCs/>
          <w:kern w:val="0"/>
          <w:sz w:val="24"/>
          <w:szCs w:val="24"/>
          <w:highlight w:val="none"/>
        </w:rPr>
        <w:t>条的证明材料</w:t>
      </w:r>
      <w:bookmarkEnd w:id="109"/>
      <w:r>
        <w:rPr>
          <w:rFonts w:hint="eastAsia" w:ascii="宋体" w:hAnsi="宋体" w:cs="宋体"/>
          <w:bCs/>
          <w:kern w:val="0"/>
          <w:sz w:val="24"/>
          <w:szCs w:val="24"/>
          <w:highlight w:val="none"/>
        </w:rPr>
        <w:t>；</w:t>
      </w:r>
    </w:p>
    <w:p>
      <w:pPr>
        <w:spacing w:line="360" w:lineRule="auto"/>
        <w:rPr>
          <w:rFonts w:ascii="宋体" w:cs="宋体"/>
          <w:color w:val="000000"/>
          <w:sz w:val="24"/>
          <w:highlight w:val="none"/>
        </w:rPr>
      </w:pPr>
      <w:r>
        <w:rPr>
          <w:rFonts w:ascii="宋体" w:hAnsi="宋体" w:cs="宋体"/>
          <w:color w:val="000000"/>
          <w:sz w:val="24"/>
          <w:highlight w:val="none"/>
        </w:rPr>
        <w:t>1.7</w:t>
      </w:r>
      <w:r>
        <w:rPr>
          <w:rFonts w:hint="eastAsia" w:ascii="宋体" w:hAnsi="宋体" w:cs="宋体"/>
          <w:color w:val="000000"/>
          <w:sz w:val="24"/>
          <w:szCs w:val="24"/>
          <w:highlight w:val="none"/>
        </w:rPr>
        <w:t>符合招标文件第二章“</w:t>
      </w:r>
      <w:r>
        <w:rPr>
          <w:rFonts w:hint="eastAsia" w:ascii="宋体" w:hAnsi="宋体" w:cs="宋体"/>
          <w:bCs/>
          <w:kern w:val="0"/>
          <w:sz w:val="24"/>
          <w:szCs w:val="24"/>
          <w:highlight w:val="none"/>
        </w:rPr>
        <w:t>投标人须知前附表”</w:t>
      </w:r>
      <w:r>
        <w:rPr>
          <w:rFonts w:hint="eastAsia" w:ascii="宋体" w:hAnsi="宋体" w:cs="宋体"/>
          <w:bCs/>
          <w:kern w:val="0"/>
          <w:sz w:val="24"/>
          <w:szCs w:val="24"/>
          <w:highlight w:val="none"/>
          <w:lang w:eastAsia="zh-CN"/>
        </w:rPr>
        <w:t>12中第</w:t>
      </w:r>
      <w:r>
        <w:rPr>
          <w:rFonts w:ascii="宋体" w:hAnsi="宋体" w:cs="宋体"/>
          <w:bCs/>
          <w:kern w:val="0"/>
          <w:sz w:val="24"/>
          <w:szCs w:val="24"/>
          <w:highlight w:val="none"/>
        </w:rPr>
        <w:t>3</w:t>
      </w:r>
      <w:r>
        <w:rPr>
          <w:rFonts w:hint="eastAsia" w:ascii="宋体" w:hAnsi="宋体" w:cs="宋体"/>
          <w:bCs/>
          <w:kern w:val="0"/>
          <w:sz w:val="24"/>
          <w:szCs w:val="24"/>
          <w:highlight w:val="none"/>
        </w:rPr>
        <w:t>条的证明材料</w:t>
      </w:r>
      <w:r>
        <w:rPr>
          <w:rFonts w:hint="eastAsia" w:ascii="宋体" w:hAnsi="宋体" w:cs="宋体"/>
          <w:color w:val="000000"/>
          <w:sz w:val="24"/>
          <w:highlight w:val="none"/>
        </w:rPr>
        <w:t>；</w:t>
      </w:r>
    </w:p>
    <w:p>
      <w:pPr>
        <w:pStyle w:val="21"/>
        <w:rPr>
          <w:rFonts w:ascii="宋体" w:cs="宋体"/>
          <w:color w:val="000000"/>
          <w:highlight w:val="none"/>
        </w:rPr>
      </w:pPr>
      <w:r>
        <w:rPr>
          <w:rFonts w:ascii="宋体" w:hAnsi="宋体" w:cs="宋体"/>
          <w:color w:val="000000"/>
          <w:highlight w:val="none"/>
        </w:rPr>
        <w:t>1.8</w:t>
      </w:r>
      <w:r>
        <w:rPr>
          <w:rFonts w:hint="eastAsia" w:ascii="宋体" w:hAnsi="宋体" w:cs="宋体"/>
          <w:color w:val="000000"/>
          <w:highlight w:val="none"/>
        </w:rPr>
        <w:t>投标承诺书；</w:t>
      </w:r>
    </w:p>
    <w:p>
      <w:pPr>
        <w:spacing w:line="360" w:lineRule="auto"/>
        <w:rPr>
          <w:rFonts w:ascii="宋体" w:hAnsi="宋体" w:cs="宋体"/>
          <w:color w:val="000000"/>
          <w:sz w:val="24"/>
          <w:szCs w:val="22"/>
          <w:highlight w:val="none"/>
        </w:rPr>
      </w:pPr>
      <w:r>
        <w:rPr>
          <w:rFonts w:ascii="宋体" w:hAnsi="宋体" w:cs="宋体"/>
          <w:color w:val="000000"/>
          <w:sz w:val="24"/>
          <w:szCs w:val="22"/>
          <w:highlight w:val="none"/>
        </w:rPr>
        <w:t>1.9</w:t>
      </w:r>
      <w:r>
        <w:rPr>
          <w:rFonts w:hint="eastAsia" w:ascii="宋体" w:hAnsi="宋体" w:cs="宋体"/>
          <w:color w:val="000000"/>
          <w:sz w:val="24"/>
          <w:szCs w:val="22"/>
          <w:highlight w:val="none"/>
        </w:rPr>
        <w:t>投标保证金凭证。</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pPr>
        <w:tabs>
          <w:tab w:val="left" w:pos="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1.以上所列资格证明材料未提供格式的，由投标人提供，需由投标人授权代表签字并加盖公章。</w:t>
      </w:r>
    </w:p>
    <w:p>
      <w:pPr>
        <w:tabs>
          <w:tab w:val="left" w:pos="0"/>
        </w:tabs>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2.以联合体形式进行政府采购的，参加联合体的</w:t>
      </w:r>
      <w:r>
        <w:rPr>
          <w:rFonts w:hint="eastAsia" w:ascii="宋体" w:hAnsi="宋体" w:cs="宋体"/>
          <w:sz w:val="24"/>
          <w:szCs w:val="24"/>
          <w:highlight w:val="none"/>
        </w:rPr>
        <w:t>投标人</w:t>
      </w:r>
      <w:r>
        <w:rPr>
          <w:rFonts w:hint="eastAsia" w:ascii="宋体" w:hAnsi="宋体" w:cs="宋体"/>
          <w:color w:val="000000"/>
          <w:sz w:val="24"/>
          <w:szCs w:val="24"/>
          <w:highlight w:val="none"/>
        </w:rPr>
        <w:t>均应当具备以上所列资格证明材料并加盖单位公章，并应当向采购人提交联合协议，载明联合体各方承担的工作和义务。联合体各方应当共同与采购人签订采购合同，就采购合同约定的事项对采购人承担连带责任。联合体中有同类资质的</w:t>
      </w:r>
      <w:r>
        <w:rPr>
          <w:rFonts w:hint="eastAsia" w:ascii="宋体" w:hAnsi="宋体" w:cs="宋体"/>
          <w:sz w:val="24"/>
          <w:szCs w:val="24"/>
          <w:highlight w:val="none"/>
        </w:rPr>
        <w:t>投标人</w:t>
      </w:r>
      <w:r>
        <w:rPr>
          <w:rFonts w:hint="eastAsia" w:ascii="宋体" w:hAnsi="宋体" w:cs="宋体"/>
          <w:color w:val="000000"/>
          <w:sz w:val="24"/>
          <w:szCs w:val="24"/>
          <w:highlight w:val="none"/>
        </w:rPr>
        <w:t>按照联合体分工承担相同工作的，应当按照资质等级较低的</w:t>
      </w:r>
      <w:r>
        <w:rPr>
          <w:rFonts w:hint="eastAsia" w:ascii="宋体" w:hAnsi="宋体" w:cs="宋体"/>
          <w:sz w:val="24"/>
          <w:szCs w:val="24"/>
          <w:highlight w:val="none"/>
        </w:rPr>
        <w:t>投标人</w:t>
      </w:r>
      <w:r>
        <w:rPr>
          <w:rFonts w:hint="eastAsia" w:ascii="宋体" w:hAnsi="宋体" w:cs="宋体"/>
          <w:color w:val="000000"/>
          <w:sz w:val="24"/>
          <w:szCs w:val="24"/>
          <w:highlight w:val="none"/>
        </w:rPr>
        <w:t>确定资质等级。</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3.投标人应保证提供的全部资格证明材料是真实的和正确的。</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4.采购人或采购代理机构将依法审查投标人提交的资格证明材料。</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5.投标人提交的文件将被保密，但不退还。</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6.全部文件应按“投标人须知前附表”规定的份数提交。</w:t>
      </w:r>
    </w:p>
    <w:p>
      <w:pPr>
        <w:tabs>
          <w:tab w:val="left" w:pos="0"/>
        </w:tabs>
        <w:spacing w:line="360" w:lineRule="auto"/>
        <w:rPr>
          <w:rFonts w:ascii="宋体" w:cs="宋体"/>
          <w:color w:val="000000"/>
          <w:sz w:val="24"/>
          <w:szCs w:val="24"/>
          <w:highlight w:val="none"/>
        </w:rPr>
      </w:pPr>
      <w:r>
        <w:rPr>
          <w:rFonts w:hint="eastAsia" w:ascii="宋体" w:hAnsi="宋体" w:cs="宋体"/>
          <w:color w:val="000000"/>
          <w:sz w:val="24"/>
          <w:szCs w:val="24"/>
          <w:highlight w:val="none"/>
        </w:rPr>
        <w:t>7.投标文件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资格证明材料和投标文件中资格证明材料如不一致，以投标文件</w:t>
      </w:r>
      <w:r>
        <w:rPr>
          <w:rFonts w:ascii="宋体" w:cs="宋体"/>
          <w:color w:val="000000"/>
          <w:sz w:val="24"/>
          <w:szCs w:val="24"/>
          <w:highlight w:val="none"/>
        </w:rPr>
        <w:t>-</w:t>
      </w:r>
      <w:r>
        <w:rPr>
          <w:rFonts w:hint="eastAsia" w:ascii="宋体" w:hAnsi="宋体" w:cs="宋体"/>
          <w:color w:val="000000"/>
          <w:sz w:val="24"/>
          <w:szCs w:val="24"/>
          <w:highlight w:val="none"/>
        </w:rPr>
        <w:t>资格证明材料中为准。</w:t>
      </w:r>
    </w:p>
    <w:p>
      <w:pPr>
        <w:spacing w:line="360" w:lineRule="auto"/>
        <w:rPr>
          <w:rFonts w:ascii="宋体" w:cs="宋体"/>
          <w:b/>
          <w:color w:val="000000"/>
          <w:sz w:val="24"/>
          <w:szCs w:val="24"/>
          <w:highlight w:val="none"/>
        </w:rPr>
      </w:pPr>
      <w:r>
        <w:rPr>
          <w:rFonts w:ascii="宋体" w:hAnsi="宋体" w:cs="宋体"/>
          <w:b/>
          <w:color w:val="000000"/>
          <w:sz w:val="24"/>
          <w:szCs w:val="24"/>
          <w:highlight w:val="none"/>
        </w:rPr>
        <w:t>1.1-1.</w:t>
      </w:r>
      <w:r>
        <w:rPr>
          <w:rFonts w:hint="eastAsia" w:ascii="宋体" w:hAnsi="宋体" w:cs="宋体"/>
          <w:b/>
          <w:color w:val="000000"/>
          <w:sz w:val="24"/>
          <w:szCs w:val="24"/>
          <w:highlight w:val="none"/>
        </w:rPr>
        <w:t>9为资格条件，若未能按要求提供所列的证明材料或提供的材料为虚假或伪造的将作无效投标处理。</w:t>
      </w:r>
    </w:p>
    <w:p>
      <w:pPr>
        <w:pStyle w:val="6"/>
        <w:rPr>
          <w:rFonts w:ascii="宋体" w:cs="宋体"/>
          <w:b w:val="0"/>
          <w:sz w:val="24"/>
          <w:szCs w:val="24"/>
          <w:highlight w:val="none"/>
        </w:rPr>
      </w:pPr>
      <w:r>
        <w:rPr>
          <w:rFonts w:ascii="宋体" w:cs="宋体"/>
          <w:b w:val="0"/>
          <w:color w:val="000000"/>
          <w:sz w:val="24"/>
          <w:szCs w:val="24"/>
          <w:highlight w:val="none"/>
        </w:rPr>
        <w:br w:type="page"/>
      </w:r>
      <w:bookmarkStart w:id="110" w:name="_Toc497167404"/>
      <w:bookmarkStart w:id="111" w:name="_Toc44705059"/>
      <w:bookmarkStart w:id="112" w:name="_Toc44704912"/>
      <w:bookmarkStart w:id="113" w:name="_Toc44705280"/>
      <w:bookmarkStart w:id="114" w:name="_Toc14776847"/>
      <w:bookmarkStart w:id="115" w:name="_Toc2511998"/>
      <w:bookmarkStart w:id="116" w:name="_Toc2355256"/>
      <w:r>
        <w:rPr>
          <w:rFonts w:ascii="宋体" w:hAnsi="宋体" w:cs="宋体"/>
          <w:b w:val="0"/>
          <w:sz w:val="32"/>
          <w:szCs w:val="24"/>
          <w:highlight w:val="none"/>
        </w:rPr>
        <w:t>1.1</w:t>
      </w:r>
      <w:bookmarkEnd w:id="110"/>
      <w:r>
        <w:rPr>
          <w:rFonts w:hint="eastAsia" w:ascii="宋体" w:hAnsi="宋体" w:cs="宋体"/>
          <w:sz w:val="32"/>
          <w:szCs w:val="24"/>
          <w:highlight w:val="none"/>
        </w:rPr>
        <w:t>具有独立承担民事责任的能力</w:t>
      </w:r>
      <w:bookmarkEnd w:id="111"/>
      <w:bookmarkEnd w:id="112"/>
      <w:bookmarkEnd w:id="113"/>
    </w:p>
    <w:p>
      <w:pPr>
        <w:widowControl/>
        <w:spacing w:line="360" w:lineRule="auto"/>
        <w:ind w:firstLine="480" w:firstLineChars="200"/>
        <w:jc w:val="left"/>
        <w:rPr>
          <w:rFonts w:ascii="宋体" w:cs="宋体"/>
          <w:color w:val="000000"/>
          <w:sz w:val="24"/>
          <w:szCs w:val="24"/>
          <w:highlight w:val="none"/>
        </w:rPr>
      </w:pPr>
      <w:r>
        <w:rPr>
          <w:rFonts w:hint="eastAsia" w:ascii="宋体" w:hAnsi="宋体" w:cs="宋体"/>
          <w:color w:val="000000"/>
          <w:sz w:val="24"/>
          <w:szCs w:val="24"/>
          <w:highlight w:val="none"/>
        </w:rPr>
        <w:t>有效的法人或者其他组织的营业执照等证明文件</w:t>
      </w:r>
      <w:bookmarkEnd w:id="114"/>
    </w:p>
    <w:p>
      <w:pPr>
        <w:spacing w:line="360" w:lineRule="auto"/>
        <w:ind w:firstLine="480" w:firstLineChars="200"/>
        <w:rPr>
          <w:rFonts w:ascii="宋体" w:cs="宋体"/>
          <w:b/>
          <w:sz w:val="24"/>
          <w:szCs w:val="24"/>
          <w:highlight w:val="none"/>
        </w:rPr>
      </w:pPr>
      <w:r>
        <w:rPr>
          <w:rFonts w:hint="eastAsia" w:ascii="宋体" w:hAnsi="宋体" w:cs="宋体"/>
          <w:color w:val="000000"/>
          <w:sz w:val="24"/>
          <w:szCs w:val="24"/>
          <w:highlight w:val="none"/>
        </w:rPr>
        <w:t>（复印件加盖单位公章）</w:t>
      </w:r>
      <w:bookmarkEnd w:id="115"/>
      <w:bookmarkEnd w:id="116"/>
    </w:p>
    <w:p>
      <w:pPr>
        <w:pStyle w:val="6"/>
        <w:rPr>
          <w:rFonts w:ascii="宋体" w:cs="宋体"/>
          <w:sz w:val="24"/>
          <w:szCs w:val="24"/>
          <w:highlight w:val="none"/>
        </w:rPr>
      </w:pPr>
      <w:r>
        <w:rPr>
          <w:rFonts w:ascii="宋体" w:cs="宋体"/>
          <w:sz w:val="24"/>
          <w:szCs w:val="24"/>
          <w:highlight w:val="none"/>
        </w:rPr>
        <w:br w:type="page"/>
      </w:r>
      <w:bookmarkStart w:id="117" w:name="_Toc44705060"/>
      <w:bookmarkStart w:id="118" w:name="_Toc44704913"/>
      <w:bookmarkStart w:id="119" w:name="_Toc44705281"/>
      <w:bookmarkStart w:id="120" w:name="_Toc14776848"/>
      <w:bookmarkStart w:id="121" w:name="_Toc2511999"/>
      <w:bookmarkStart w:id="122" w:name="_Toc497167405"/>
      <w:bookmarkStart w:id="123" w:name="_Toc2355257"/>
      <w:r>
        <w:rPr>
          <w:rFonts w:ascii="宋体" w:hAnsi="宋体" w:cs="宋体"/>
          <w:sz w:val="32"/>
          <w:szCs w:val="24"/>
          <w:highlight w:val="none"/>
        </w:rPr>
        <w:t>1.2</w:t>
      </w:r>
      <w:r>
        <w:rPr>
          <w:rFonts w:hint="eastAsia" w:ascii="宋体" w:hAnsi="宋体" w:cs="宋体"/>
          <w:sz w:val="32"/>
          <w:szCs w:val="24"/>
          <w:highlight w:val="none"/>
        </w:rPr>
        <w:t>具有良好的商业信誉和健全的财务会计制度</w:t>
      </w:r>
      <w:bookmarkEnd w:id="117"/>
      <w:bookmarkEnd w:id="118"/>
      <w:bookmarkEnd w:id="119"/>
    </w:p>
    <w:p>
      <w:pPr>
        <w:autoSpaceDE w:val="0"/>
        <w:autoSpaceDN w:val="0"/>
        <w:adjustRightInd w:val="0"/>
        <w:spacing w:line="360" w:lineRule="auto"/>
        <w:ind w:firstLine="480" w:firstLineChars="200"/>
        <w:jc w:val="left"/>
        <w:rPr>
          <w:rFonts w:ascii="宋体" w:cs="宋体"/>
          <w:kern w:val="0"/>
          <w:szCs w:val="21"/>
          <w:highlight w:val="none"/>
          <w:lang w:val="zh-CN"/>
        </w:rPr>
      </w:pPr>
      <w:r>
        <w:rPr>
          <w:rFonts w:hint="eastAsia" w:ascii="宋体" w:hAnsi="宋体" w:cs="宋体"/>
          <w:color w:val="000000"/>
          <w:sz w:val="24"/>
          <w:highlight w:val="none"/>
        </w:rPr>
        <w:t>投标人提供本</w:t>
      </w:r>
      <w:r>
        <w:rPr>
          <w:rFonts w:hint="eastAsia" w:ascii="宋体" w:hAnsi="宋体" w:cs="宋体"/>
          <w:sz w:val="24"/>
          <w:highlight w:val="none"/>
        </w:rPr>
        <w:t>单位上一年度</w:t>
      </w:r>
      <w:r>
        <w:rPr>
          <w:rFonts w:hint="eastAsia" w:ascii="宋体" w:hAnsi="宋体" w:cs="宋体"/>
          <w:b/>
          <w:sz w:val="24"/>
          <w:highlight w:val="none"/>
        </w:rPr>
        <w:t>（</w:t>
      </w:r>
      <w:r>
        <w:rPr>
          <w:rFonts w:ascii="宋体" w:hAnsi="宋体" w:cs="宋体"/>
          <w:b/>
          <w:sz w:val="24"/>
          <w:highlight w:val="none"/>
        </w:rPr>
        <w:t>20</w:t>
      </w:r>
      <w:r>
        <w:rPr>
          <w:rFonts w:hint="eastAsia" w:ascii="宋体" w:hAnsi="宋体" w:cs="宋体"/>
          <w:b/>
          <w:sz w:val="24"/>
          <w:highlight w:val="none"/>
        </w:rPr>
        <w:t>21年度</w:t>
      </w:r>
      <w:r>
        <w:rPr>
          <w:rFonts w:hint="eastAsia" w:ascii="宋体" w:hAnsi="宋体" w:cs="宋体"/>
          <w:b/>
          <w:sz w:val="24"/>
          <w:highlight w:val="none"/>
          <w:lang w:val="en-US" w:eastAsia="zh-CN"/>
        </w:rPr>
        <w:t>或</w:t>
      </w:r>
      <w:r>
        <w:rPr>
          <w:rFonts w:ascii="宋体" w:hAnsi="宋体" w:cs="宋体"/>
          <w:b/>
          <w:sz w:val="24"/>
          <w:highlight w:val="none"/>
        </w:rPr>
        <w:t>20</w:t>
      </w:r>
      <w:r>
        <w:rPr>
          <w:rFonts w:hint="eastAsia" w:ascii="宋体" w:hAnsi="宋体" w:cs="宋体"/>
          <w:b/>
          <w:sz w:val="24"/>
          <w:highlight w:val="none"/>
        </w:rPr>
        <w:t>2</w:t>
      </w:r>
      <w:r>
        <w:rPr>
          <w:rFonts w:hint="eastAsia" w:ascii="宋体" w:hAnsi="宋体" w:cs="宋体"/>
          <w:b/>
          <w:sz w:val="24"/>
          <w:highlight w:val="none"/>
          <w:lang w:val="en-US" w:eastAsia="zh-CN"/>
        </w:rPr>
        <w:t>2</w:t>
      </w:r>
      <w:r>
        <w:rPr>
          <w:rFonts w:hint="eastAsia" w:ascii="宋体" w:hAnsi="宋体" w:cs="宋体"/>
          <w:b/>
          <w:sz w:val="24"/>
          <w:highlight w:val="none"/>
        </w:rPr>
        <w:t>年度）</w:t>
      </w:r>
      <w:r>
        <w:rPr>
          <w:rFonts w:hint="eastAsia" w:ascii="宋体" w:hAnsi="宋体" w:cs="宋体"/>
          <w:sz w:val="24"/>
          <w:highlight w:val="none"/>
        </w:rPr>
        <w:t>经</w:t>
      </w:r>
      <w:r>
        <w:rPr>
          <w:rFonts w:hint="eastAsia" w:ascii="宋体" w:hAnsi="宋体" w:cs="宋体"/>
          <w:b/>
          <w:color w:val="000000"/>
          <w:sz w:val="24"/>
          <w:highlight w:val="none"/>
        </w:rPr>
        <w:t>会计师事务所出具的</w:t>
      </w:r>
      <w:r>
        <w:rPr>
          <w:rFonts w:hint="eastAsia" w:ascii="宋体" w:hAnsi="宋体" w:cs="宋体"/>
          <w:color w:val="000000"/>
          <w:sz w:val="24"/>
          <w:highlight w:val="none"/>
        </w:rPr>
        <w:t>审计报告复印件并加盖投标人公章。如投标人无法提供上一年度审计报告，则需提供银行出具的资信证明</w:t>
      </w:r>
      <w:r>
        <w:rPr>
          <w:rFonts w:hint="eastAsia" w:ascii="宋体" w:hAnsi="宋体" w:cs="宋体"/>
          <w:sz w:val="24"/>
          <w:highlight w:val="none"/>
        </w:rPr>
        <w:t>或提供具有良好的商业信誉和健全的财务会计制度的承诺函（格式自拟）。</w:t>
      </w:r>
    </w:p>
    <w:p>
      <w:pP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说明：</w:t>
      </w:r>
    </w:p>
    <w:p>
      <w:pPr>
        <w:numPr>
          <w:ilvl w:val="1"/>
          <w:numId w:val="17"/>
        </w:numP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审计报告复印件至少应包括资产负债表、利润表、现金流量表及其附注、加盖会计师事务所公章页。</w:t>
      </w:r>
    </w:p>
    <w:p>
      <w:pPr>
        <w:numPr>
          <w:ilvl w:val="1"/>
          <w:numId w:val="17"/>
        </w:numPr>
        <w:spacing w:line="360" w:lineRule="auto"/>
        <w:ind w:firstLine="480" w:firstLineChars="200"/>
        <w:rPr>
          <w:rFonts w:ascii="宋体" w:cs="宋体"/>
          <w:color w:val="000000"/>
          <w:sz w:val="24"/>
          <w:highlight w:val="none"/>
        </w:rPr>
      </w:pPr>
      <w:r>
        <w:rPr>
          <w:rFonts w:hint="eastAsia" w:ascii="宋体" w:hAnsi="宋体" w:cs="宋体"/>
          <w:color w:val="000000"/>
          <w:sz w:val="24"/>
          <w:highlight w:val="none"/>
        </w:rPr>
        <w:t>银行资信证明是指投标人参加本次投标截止日前三个月内开立基本账户的银行开具的资信证明（成立一年内的公司可提交当年验资证明复印件并加盖公章）</w:t>
      </w:r>
      <w:r>
        <w:rPr>
          <w:rFonts w:hint="eastAsia" w:ascii="宋体" w:hAnsi="宋体" w:cs="宋体"/>
          <w:color w:val="000000"/>
          <w:sz w:val="24"/>
          <w:szCs w:val="24"/>
          <w:highlight w:val="none"/>
        </w:rPr>
        <w:t>，且无收受人和项目的限制，但开具银行有限制规定的除外。</w:t>
      </w:r>
    </w:p>
    <w:p>
      <w:pPr>
        <w:numPr>
          <w:ilvl w:val="1"/>
          <w:numId w:val="17"/>
        </w:numPr>
        <w:spacing w:line="360" w:lineRule="auto"/>
        <w:ind w:firstLine="480" w:firstLineChars="200"/>
        <w:rPr>
          <w:rFonts w:ascii="宋体" w:cs="宋体"/>
          <w:color w:val="000000"/>
          <w:sz w:val="24"/>
          <w:szCs w:val="24"/>
          <w:highlight w:val="none"/>
        </w:rPr>
      </w:pPr>
      <w:r>
        <w:rPr>
          <w:rFonts w:hint="eastAsia" w:ascii="宋体" w:hAnsi="宋体" w:cs="宋体"/>
          <w:color w:val="000000"/>
          <w:sz w:val="24"/>
          <w:highlight w:val="none"/>
        </w:rPr>
        <w:t>银行资信证明可以是复印件并加盖投标人公章，评标委员会保留审核原件的权</w:t>
      </w:r>
      <w:r>
        <w:rPr>
          <w:rFonts w:hint="eastAsia" w:ascii="宋体" w:hAnsi="宋体" w:cs="宋体"/>
          <w:color w:val="000000"/>
          <w:sz w:val="24"/>
          <w:szCs w:val="24"/>
          <w:highlight w:val="none"/>
        </w:rPr>
        <w:t>利。</w:t>
      </w:r>
      <w:r>
        <w:rPr>
          <w:rFonts w:hint="eastAsia" w:ascii="宋体" w:hAnsi="宋体" w:cs="宋体"/>
          <w:b/>
          <w:sz w:val="24"/>
          <w:szCs w:val="24"/>
          <w:highlight w:val="none"/>
        </w:rPr>
        <w:t>但开具银行明确规定复印件无效的，须提交原件。</w:t>
      </w:r>
    </w:p>
    <w:p>
      <w:pPr>
        <w:numPr>
          <w:ilvl w:val="1"/>
          <w:numId w:val="17"/>
        </w:numPr>
        <w:spacing w:line="360" w:lineRule="auto"/>
        <w:ind w:firstLine="480" w:firstLineChars="200"/>
        <w:rPr>
          <w:rFonts w:ascii="宋体" w:cs="宋体"/>
          <w:color w:val="000000"/>
          <w:sz w:val="24"/>
          <w:szCs w:val="24"/>
          <w:highlight w:val="none"/>
        </w:rPr>
      </w:pPr>
      <w:r>
        <w:rPr>
          <w:rFonts w:hint="eastAsia" w:ascii="宋体" w:hAnsi="宋体" w:cs="宋体"/>
          <w:color w:val="000000"/>
          <w:sz w:val="24"/>
          <w:highlight w:val="none"/>
        </w:rPr>
        <w:t>银行资信证明应能说明该投标人与银行之间业务往来正常，无不良记录，企业信誉良好等。银行出具的存款证明不能作为银行资信证明。</w:t>
      </w:r>
    </w:p>
    <w:bookmarkEnd w:id="120"/>
    <w:bookmarkEnd w:id="121"/>
    <w:bookmarkEnd w:id="122"/>
    <w:bookmarkEnd w:id="123"/>
    <w:p>
      <w:pPr>
        <w:pStyle w:val="6"/>
        <w:rPr>
          <w:rFonts w:ascii="宋体" w:cs="宋体"/>
          <w:sz w:val="24"/>
          <w:szCs w:val="24"/>
          <w:highlight w:val="none"/>
        </w:rPr>
      </w:pPr>
      <w:bookmarkStart w:id="124" w:name="_Toc2512000"/>
      <w:bookmarkStart w:id="125" w:name="_Toc497167406"/>
      <w:bookmarkStart w:id="126" w:name="_Toc14776849"/>
      <w:bookmarkStart w:id="127" w:name="_Toc2355258"/>
      <w:r>
        <w:rPr>
          <w:rFonts w:ascii="宋体" w:cs="宋体"/>
          <w:sz w:val="24"/>
          <w:szCs w:val="24"/>
          <w:highlight w:val="none"/>
        </w:rPr>
        <w:br w:type="page"/>
      </w:r>
      <w:bookmarkStart w:id="128" w:name="_Toc44705061"/>
      <w:bookmarkStart w:id="129" w:name="_Toc44704914"/>
      <w:bookmarkStart w:id="130" w:name="_Toc44705282"/>
      <w:r>
        <w:rPr>
          <w:rFonts w:ascii="宋体" w:hAnsi="宋体" w:cs="宋体"/>
          <w:bCs w:val="0"/>
          <w:sz w:val="32"/>
          <w:szCs w:val="24"/>
          <w:highlight w:val="none"/>
        </w:rPr>
        <w:t>1.3</w:t>
      </w:r>
      <w:r>
        <w:rPr>
          <w:rFonts w:hint="eastAsia" w:ascii="宋体" w:hAnsi="宋体" w:cs="宋体"/>
          <w:bCs w:val="0"/>
          <w:sz w:val="32"/>
          <w:szCs w:val="24"/>
          <w:highlight w:val="none"/>
        </w:rPr>
        <w:t>具有履行合同所必需的设备和专业技术能力</w:t>
      </w:r>
      <w:bookmarkEnd w:id="128"/>
      <w:bookmarkEnd w:id="129"/>
      <w:bookmarkEnd w:id="130"/>
    </w:p>
    <w:p>
      <w:pPr>
        <w:widowControl/>
        <w:spacing w:line="360" w:lineRule="auto"/>
        <w:ind w:firstLine="480" w:firstLineChars="200"/>
        <w:jc w:val="left"/>
        <w:rPr>
          <w:rFonts w:ascii="宋体" w:cs="宋体"/>
          <w:b/>
          <w:sz w:val="24"/>
          <w:szCs w:val="24"/>
          <w:highlight w:val="none"/>
        </w:rPr>
      </w:pPr>
      <w:r>
        <w:rPr>
          <w:rFonts w:hint="eastAsia" w:ascii="宋体" w:hAnsi="宋体" w:cs="宋体"/>
          <w:sz w:val="24"/>
          <w:highlight w:val="none"/>
        </w:rPr>
        <w:t>说明：投标人提供书面声明或相关证明材料（例如：相关设备的购置发票或相关人员的职称证书、用工合同等）并加盖单位公章，证明材料可以是文字描述、图纸或数据等，能够说明投标人已具有履行本项目合同所必需的设备和专业技术能力。</w:t>
      </w:r>
    </w:p>
    <w:bookmarkEnd w:id="124"/>
    <w:bookmarkEnd w:id="125"/>
    <w:bookmarkEnd w:id="126"/>
    <w:bookmarkEnd w:id="127"/>
    <w:p>
      <w:pPr>
        <w:spacing w:line="360" w:lineRule="auto"/>
        <w:jc w:val="right"/>
        <w:rPr>
          <w:rFonts w:ascii="宋体" w:cs="宋体"/>
          <w:sz w:val="24"/>
          <w:szCs w:val="24"/>
          <w:highlight w:val="none"/>
        </w:rPr>
        <w:sectPr>
          <w:pgSz w:w="11907" w:h="16840"/>
          <w:pgMar w:top="1440" w:right="1469" w:bottom="1440" w:left="1622" w:header="851" w:footer="992" w:gutter="0"/>
          <w:cols w:space="720" w:num="1"/>
          <w:docGrid w:linePitch="312" w:charSpace="0"/>
        </w:sectPr>
      </w:pPr>
    </w:p>
    <w:p>
      <w:pPr>
        <w:pStyle w:val="6"/>
        <w:rPr>
          <w:rFonts w:ascii="宋体" w:cs="宋体"/>
          <w:color w:val="000000"/>
          <w:sz w:val="32"/>
          <w:szCs w:val="24"/>
          <w:highlight w:val="none"/>
        </w:rPr>
      </w:pPr>
      <w:bookmarkStart w:id="131" w:name="_Toc44705062"/>
      <w:bookmarkStart w:id="132" w:name="_Toc497167407"/>
      <w:bookmarkStart w:id="133" w:name="_Toc2512001"/>
      <w:bookmarkStart w:id="134" w:name="_Toc44704915"/>
      <w:bookmarkStart w:id="135" w:name="_Toc44705283"/>
      <w:bookmarkStart w:id="136" w:name="_Toc2355259"/>
      <w:r>
        <w:rPr>
          <w:rFonts w:ascii="宋体" w:hAnsi="宋体" w:cs="宋体"/>
          <w:sz w:val="32"/>
          <w:szCs w:val="24"/>
          <w:highlight w:val="none"/>
        </w:rPr>
        <w:t>1.4</w:t>
      </w:r>
      <w:r>
        <w:rPr>
          <w:rFonts w:hint="eastAsia" w:ascii="宋体" w:hAnsi="宋体" w:cs="宋体"/>
          <w:sz w:val="32"/>
          <w:szCs w:val="24"/>
          <w:highlight w:val="none"/>
        </w:rPr>
        <w:t>有依法缴纳税收和社会保障资金的良好记录</w:t>
      </w:r>
      <w:bookmarkEnd w:id="131"/>
      <w:bookmarkEnd w:id="132"/>
      <w:bookmarkEnd w:id="133"/>
      <w:bookmarkEnd w:id="134"/>
      <w:bookmarkEnd w:id="135"/>
      <w:bookmarkEnd w:id="136"/>
    </w:p>
    <w:p>
      <w:pPr>
        <w:spacing w:line="360" w:lineRule="auto"/>
        <w:ind w:firstLine="480" w:firstLineChars="200"/>
        <w:rPr>
          <w:rFonts w:ascii="宋体"/>
          <w:sz w:val="24"/>
          <w:szCs w:val="24"/>
          <w:highlight w:val="none"/>
        </w:rPr>
      </w:pPr>
      <w:r>
        <w:rPr>
          <w:rFonts w:ascii="宋体" w:hAnsi="宋体"/>
          <w:sz w:val="24"/>
          <w:szCs w:val="24"/>
          <w:highlight w:val="none"/>
        </w:rPr>
        <w:t>1</w:t>
      </w:r>
      <w:r>
        <w:rPr>
          <w:rFonts w:hint="eastAsia" w:ascii="宋体" w:hAnsi="宋体"/>
          <w:sz w:val="24"/>
          <w:szCs w:val="24"/>
          <w:highlight w:val="none"/>
        </w:rPr>
        <w:t>、有依法缴纳社会保障资金的良好记录，须提供参加本次政府采购活动近六个月（费用月份、缴费年月为</w:t>
      </w:r>
      <w:r>
        <w:rPr>
          <w:rFonts w:hint="eastAsia" w:ascii="宋体" w:hAnsi="宋体"/>
          <w:sz w:val="24"/>
          <w:szCs w:val="24"/>
          <w:highlight w:val="none"/>
          <w:lang w:eastAsia="zh-CN"/>
        </w:rPr>
        <w:t>202</w:t>
      </w:r>
      <w:r>
        <w:rPr>
          <w:rFonts w:hint="eastAsia" w:ascii="宋体" w:hAnsi="宋体"/>
          <w:sz w:val="24"/>
          <w:szCs w:val="24"/>
          <w:highlight w:val="none"/>
          <w:lang w:val="en-US" w:eastAsia="zh-CN"/>
        </w:rPr>
        <w:t>3</w:t>
      </w:r>
      <w:r>
        <w:rPr>
          <w:rFonts w:hint="eastAsia" w:ascii="宋体" w:hAnsi="宋体"/>
          <w:sz w:val="24"/>
          <w:szCs w:val="24"/>
          <w:highlight w:val="none"/>
          <w:lang w:eastAsia="zh-CN"/>
        </w:rPr>
        <w:t>年</w:t>
      </w:r>
      <w:r>
        <w:rPr>
          <w:rFonts w:hint="eastAsia" w:ascii="宋体" w:hAnsi="宋体"/>
          <w:sz w:val="24"/>
          <w:szCs w:val="24"/>
          <w:highlight w:val="none"/>
          <w:lang w:val="en-US" w:eastAsia="zh-CN"/>
        </w:rPr>
        <w:t>01</w:t>
      </w:r>
      <w:r>
        <w:rPr>
          <w:rFonts w:hint="eastAsia" w:ascii="宋体" w:hAnsi="宋体"/>
          <w:sz w:val="24"/>
          <w:szCs w:val="24"/>
          <w:highlight w:val="none"/>
          <w:lang w:eastAsia="zh-CN"/>
        </w:rPr>
        <w:t>月-2023年</w:t>
      </w:r>
      <w:r>
        <w:rPr>
          <w:rFonts w:hint="eastAsia" w:ascii="宋体" w:hAnsi="宋体"/>
          <w:sz w:val="24"/>
          <w:szCs w:val="24"/>
          <w:highlight w:val="none"/>
          <w:lang w:val="en-US" w:eastAsia="zh-CN"/>
        </w:rPr>
        <w:t>6</w:t>
      </w:r>
      <w:r>
        <w:rPr>
          <w:rFonts w:hint="eastAsia" w:ascii="宋体" w:hAnsi="宋体"/>
          <w:sz w:val="24"/>
          <w:szCs w:val="24"/>
          <w:highlight w:val="none"/>
          <w:lang w:eastAsia="zh-CN"/>
        </w:rPr>
        <w:t>月</w:t>
      </w:r>
      <w:r>
        <w:rPr>
          <w:rFonts w:hint="eastAsia" w:ascii="宋体" w:hAnsi="宋体"/>
          <w:sz w:val="24"/>
          <w:szCs w:val="24"/>
          <w:highlight w:val="none"/>
        </w:rPr>
        <w:t>，非记账、转账或打印时间）内的任意一月缴纳社会保障资金的银行入账票据凭证或社保部门证明材料复印件，并加盖投标人公章。投标人</w:t>
      </w:r>
      <w:r>
        <w:rPr>
          <w:rFonts w:hint="eastAsia"/>
          <w:sz w:val="24"/>
          <w:szCs w:val="24"/>
          <w:highlight w:val="none"/>
        </w:rPr>
        <w:t>逐年交纳社会保障资金的，须提供上年度缴纳社会保障资金的入账票据凭证复印件。缴纳社会保障资金的入账票据凭证复印件须加盖本单位公章</w:t>
      </w:r>
      <w:r>
        <w:rPr>
          <w:rFonts w:hint="eastAsia" w:ascii="宋体" w:hAnsi="宋体"/>
          <w:sz w:val="24"/>
          <w:szCs w:val="24"/>
          <w:highlight w:val="none"/>
        </w:rPr>
        <w:t>；</w:t>
      </w:r>
    </w:p>
    <w:p>
      <w:pPr>
        <w:spacing w:line="360" w:lineRule="auto"/>
        <w:ind w:firstLine="480" w:firstLineChars="200"/>
        <w:rPr>
          <w:rFonts w:ascii="宋体"/>
          <w:sz w:val="24"/>
          <w:szCs w:val="24"/>
          <w:highlight w:val="none"/>
        </w:rPr>
      </w:pPr>
      <w:r>
        <w:rPr>
          <w:rFonts w:ascii="宋体" w:hAnsi="宋体"/>
          <w:sz w:val="24"/>
          <w:szCs w:val="24"/>
          <w:highlight w:val="none"/>
        </w:rPr>
        <w:t>2</w:t>
      </w:r>
      <w:r>
        <w:rPr>
          <w:rFonts w:hint="eastAsia" w:ascii="宋体" w:hAnsi="宋体"/>
          <w:sz w:val="24"/>
          <w:szCs w:val="24"/>
          <w:highlight w:val="none"/>
        </w:rPr>
        <w:t>、纳税证明（个人所得税除外），须提供参加本次政府采购活动近六个月（所属时期、日期为</w:t>
      </w:r>
      <w:r>
        <w:rPr>
          <w:rFonts w:hint="eastAsia" w:ascii="宋体" w:hAnsi="宋体"/>
          <w:sz w:val="24"/>
          <w:szCs w:val="24"/>
          <w:highlight w:val="none"/>
          <w:lang w:eastAsia="zh-CN"/>
        </w:rPr>
        <w:t>202</w:t>
      </w:r>
      <w:r>
        <w:rPr>
          <w:rFonts w:hint="eastAsia" w:ascii="宋体" w:hAnsi="宋体"/>
          <w:sz w:val="24"/>
          <w:szCs w:val="24"/>
          <w:highlight w:val="none"/>
          <w:lang w:val="en-US" w:eastAsia="zh-CN"/>
        </w:rPr>
        <w:t>3</w:t>
      </w:r>
      <w:r>
        <w:rPr>
          <w:rFonts w:hint="eastAsia" w:ascii="宋体" w:hAnsi="宋体"/>
          <w:sz w:val="24"/>
          <w:szCs w:val="24"/>
          <w:highlight w:val="none"/>
          <w:lang w:eastAsia="zh-CN"/>
        </w:rPr>
        <w:t>年</w:t>
      </w:r>
      <w:r>
        <w:rPr>
          <w:rFonts w:hint="eastAsia" w:ascii="宋体" w:hAnsi="宋体"/>
          <w:sz w:val="24"/>
          <w:szCs w:val="24"/>
          <w:highlight w:val="none"/>
          <w:lang w:val="en-US" w:eastAsia="zh-CN"/>
        </w:rPr>
        <w:t>01</w:t>
      </w:r>
      <w:r>
        <w:rPr>
          <w:rFonts w:hint="eastAsia" w:ascii="宋体" w:hAnsi="宋体"/>
          <w:sz w:val="24"/>
          <w:szCs w:val="24"/>
          <w:highlight w:val="none"/>
          <w:lang w:eastAsia="zh-CN"/>
        </w:rPr>
        <w:t>月-2023年</w:t>
      </w:r>
      <w:r>
        <w:rPr>
          <w:rFonts w:hint="eastAsia" w:ascii="宋体" w:hAnsi="宋体"/>
          <w:sz w:val="24"/>
          <w:szCs w:val="24"/>
          <w:highlight w:val="none"/>
          <w:lang w:val="en-US" w:eastAsia="zh-CN"/>
        </w:rPr>
        <w:t>6</w:t>
      </w:r>
      <w:r>
        <w:rPr>
          <w:rFonts w:hint="eastAsia" w:ascii="宋体" w:hAnsi="宋体"/>
          <w:sz w:val="24"/>
          <w:szCs w:val="24"/>
          <w:highlight w:val="none"/>
          <w:lang w:eastAsia="zh-CN"/>
        </w:rPr>
        <w:t>月</w:t>
      </w:r>
      <w:r>
        <w:rPr>
          <w:rFonts w:hint="eastAsia" w:ascii="宋体" w:hAnsi="宋体"/>
          <w:sz w:val="24"/>
          <w:szCs w:val="24"/>
          <w:highlight w:val="none"/>
        </w:rPr>
        <w:t>，非记账、转账或打印时间）内的任意一月银行有效票据或税务部门证明材料凭证复印件，并加盖投标人公章。如近六个月未达到应缴税标准，须提供相应说明及证明材料（如：增值税纳税申报表</w:t>
      </w:r>
      <w:r>
        <w:rPr>
          <w:rFonts w:hint="eastAsia" w:ascii="宋体" w:hAnsi="宋体"/>
          <w:sz w:val="24"/>
          <w:szCs w:val="24"/>
          <w:highlight w:val="none"/>
          <w:shd w:val="clear" w:color="auto" w:fill="FFFFFF" w:themeFill="background1"/>
        </w:rPr>
        <w:t>或零纳税申报表）</w:t>
      </w:r>
      <w:r>
        <w:rPr>
          <w:rFonts w:hint="eastAsia" w:ascii="宋体" w:hAnsi="宋体"/>
          <w:sz w:val="24"/>
          <w:szCs w:val="24"/>
          <w:highlight w:val="none"/>
        </w:rPr>
        <w:t>，并加盖投标人公章。</w:t>
      </w:r>
      <w:r>
        <w:rPr>
          <w:rFonts w:ascii="宋体" w:hAnsi="宋体"/>
          <w:sz w:val="24"/>
          <w:szCs w:val="24"/>
          <w:highlight w:val="none"/>
        </w:rPr>
        <w:t xml:space="preserve"> </w:t>
      </w:r>
    </w:p>
    <w:p>
      <w:pPr>
        <w:spacing w:line="360" w:lineRule="auto"/>
        <w:ind w:firstLine="480" w:firstLineChars="200"/>
        <w:rPr>
          <w:rFonts w:ascii="宋体"/>
          <w:sz w:val="24"/>
          <w:szCs w:val="24"/>
          <w:highlight w:val="none"/>
        </w:rPr>
      </w:pPr>
      <w:r>
        <w:rPr>
          <w:rFonts w:ascii="宋体" w:hAnsi="宋体"/>
          <w:sz w:val="24"/>
          <w:szCs w:val="24"/>
          <w:highlight w:val="none"/>
        </w:rPr>
        <w:t>3</w:t>
      </w:r>
      <w:r>
        <w:rPr>
          <w:rFonts w:hint="eastAsia" w:ascii="宋体" w:hAnsi="宋体"/>
          <w:sz w:val="24"/>
          <w:szCs w:val="24"/>
          <w:highlight w:val="none"/>
        </w:rPr>
        <w:t>、依法免税或不需要缴纳社会保障资金的投标人，应提供相应的文件证明并加盖本单位公章。</w:t>
      </w:r>
    </w:p>
    <w:p>
      <w:pPr>
        <w:spacing w:line="360" w:lineRule="auto"/>
        <w:rPr>
          <w:rFonts w:ascii="宋体" w:cs="宋体"/>
          <w:b/>
          <w:sz w:val="32"/>
          <w:szCs w:val="32"/>
          <w:highlight w:val="none"/>
        </w:rPr>
      </w:pPr>
    </w:p>
    <w:p>
      <w:pPr>
        <w:rPr>
          <w:rFonts w:ascii="宋体"/>
          <w:sz w:val="24"/>
          <w:highlight w:val="none"/>
        </w:rPr>
      </w:pPr>
      <w:r>
        <w:rPr>
          <w:rFonts w:hint="eastAsia" w:ascii="宋体" w:hAnsi="宋体"/>
          <w:sz w:val="24"/>
          <w:highlight w:val="none"/>
          <w:lang w:eastAsia="zh-CN"/>
        </w:rPr>
        <w:t>乌鲁木齐高新建设工程项目管理咨询有限公司（盖章）</w:t>
      </w:r>
      <w:r>
        <w:rPr>
          <w:rFonts w:hint="eastAsia" w:ascii="宋体" w:hAnsi="宋体"/>
          <w:sz w:val="24"/>
          <w:highlight w:val="none"/>
        </w:rPr>
        <w:t>：</w:t>
      </w:r>
    </w:p>
    <w:p>
      <w:pPr>
        <w:spacing w:line="360" w:lineRule="auto"/>
        <w:ind w:firstLine="482" w:firstLineChars="200"/>
        <w:jc w:val="center"/>
        <w:rPr>
          <w:rFonts w:ascii="宋体" w:cs="宋体"/>
          <w:b/>
          <w:sz w:val="24"/>
          <w:highlight w:val="none"/>
          <w:shd w:val="clear" w:color="auto" w:fill="FFFFFF"/>
        </w:rPr>
      </w:pPr>
    </w:p>
    <w:p>
      <w:pPr>
        <w:adjustRightInd w:val="0"/>
        <w:spacing w:line="360" w:lineRule="auto"/>
        <w:ind w:firstLine="480" w:firstLineChars="200"/>
        <w:rPr>
          <w:rFonts w:ascii="宋体" w:cs="宋体"/>
          <w:sz w:val="24"/>
          <w:highlight w:val="none"/>
          <w:shd w:val="clear" w:color="auto" w:fill="FFFFFF"/>
        </w:rPr>
      </w:pPr>
      <w:r>
        <w:rPr>
          <w:rFonts w:hint="eastAsia" w:ascii="宋体" w:hAnsi="宋体" w:cs="宋体"/>
          <w:sz w:val="24"/>
          <w:highlight w:val="none"/>
          <w:shd w:val="clear" w:color="auto" w:fill="FFFFFF"/>
        </w:rPr>
        <w:t>本单位成立以来，一直按照国家和地方有关规定，依法缴纳税收及社会保障资金，具有良好记录。</w:t>
      </w:r>
    </w:p>
    <w:p>
      <w:pPr>
        <w:adjustRightInd w:val="0"/>
        <w:spacing w:line="360" w:lineRule="auto"/>
        <w:ind w:firstLine="480" w:firstLineChars="200"/>
        <w:rPr>
          <w:rFonts w:ascii="宋体" w:cs="宋体"/>
          <w:sz w:val="24"/>
          <w:highlight w:val="none"/>
          <w:shd w:val="clear" w:color="auto" w:fill="FFFFFF"/>
        </w:rPr>
      </w:pPr>
      <w:r>
        <w:rPr>
          <w:rFonts w:hint="eastAsia" w:ascii="宋体" w:hAnsi="宋体" w:cs="宋体"/>
          <w:sz w:val="24"/>
          <w:highlight w:val="none"/>
          <w:shd w:val="clear" w:color="auto" w:fill="FFFFFF"/>
        </w:rPr>
        <w:t>特此声明。</w:t>
      </w:r>
    </w:p>
    <w:p>
      <w:pPr>
        <w:adjustRightInd w:val="0"/>
        <w:spacing w:line="360" w:lineRule="auto"/>
        <w:rPr>
          <w:rFonts w:ascii="宋体" w:cs="宋体"/>
          <w:sz w:val="24"/>
          <w:highlight w:val="none"/>
          <w:shd w:val="clear" w:color="auto" w:fill="FFFFFF"/>
        </w:rPr>
      </w:pPr>
    </w:p>
    <w:p>
      <w:pPr>
        <w:adjustRightInd w:val="0"/>
        <w:spacing w:line="360" w:lineRule="auto"/>
        <w:rPr>
          <w:rFonts w:ascii="宋体" w:cs="宋体"/>
          <w:sz w:val="24"/>
          <w:highlight w:val="none"/>
          <w:shd w:val="clear" w:color="auto" w:fill="FFFFFF"/>
        </w:rPr>
      </w:pPr>
    </w:p>
    <w:p>
      <w:pPr>
        <w:adjustRightInd w:val="0"/>
        <w:spacing w:line="360" w:lineRule="auto"/>
        <w:rPr>
          <w:rFonts w:ascii="宋体" w:cs="宋体"/>
          <w:sz w:val="24"/>
          <w:highlight w:val="none"/>
          <w:shd w:val="clear" w:color="auto" w:fill="FFFFFF"/>
        </w:rPr>
      </w:pPr>
    </w:p>
    <w:p>
      <w:pPr>
        <w:spacing w:line="360" w:lineRule="auto"/>
        <w:jc w:val="right"/>
        <w:rPr>
          <w:rFonts w:ascii="宋体"/>
          <w:sz w:val="24"/>
          <w:highlight w:val="none"/>
          <w:u w:val="single"/>
        </w:rPr>
      </w:pPr>
      <w:r>
        <w:rPr>
          <w:rFonts w:hint="eastAsia" w:ascii="宋体" w:hAnsi="宋体"/>
          <w:sz w:val="24"/>
          <w:highlight w:val="none"/>
        </w:rPr>
        <w:t>投标人法定代表人或授权代表（签字或盖章）：</w:t>
      </w:r>
    </w:p>
    <w:p>
      <w:pPr>
        <w:spacing w:line="360" w:lineRule="auto"/>
        <w:jc w:val="right"/>
        <w:rPr>
          <w:rFonts w:ascii="宋体"/>
          <w:sz w:val="24"/>
          <w:highlight w:val="none"/>
        </w:rPr>
      </w:pPr>
      <w:r>
        <w:rPr>
          <w:rFonts w:hint="eastAsia" w:ascii="宋体" w:hAnsi="宋体"/>
          <w:sz w:val="24"/>
          <w:highlight w:val="none"/>
        </w:rPr>
        <w:t>投标人名称（加盖单位公章）：</w:t>
      </w:r>
    </w:p>
    <w:p>
      <w:pPr>
        <w:autoSpaceDE w:val="0"/>
        <w:autoSpaceDN w:val="0"/>
        <w:adjustRightInd w:val="0"/>
        <w:spacing w:line="360" w:lineRule="auto"/>
        <w:jc w:val="right"/>
        <w:rPr>
          <w:rFonts w:ascii="宋体" w:cs="宋体"/>
          <w:color w:val="000000"/>
          <w:highlight w:val="none"/>
        </w:rPr>
      </w:pPr>
      <w:r>
        <w:rPr>
          <w:rFonts w:hint="eastAsia" w:ascii="宋体" w:hAnsi="宋体"/>
          <w:sz w:val="24"/>
          <w:highlight w:val="none"/>
        </w:rPr>
        <w:t>日期：</w:t>
      </w:r>
    </w:p>
    <w:p>
      <w:pPr>
        <w:widowControl/>
        <w:jc w:val="left"/>
        <w:rPr>
          <w:rFonts w:ascii="宋体" w:cs="宋体"/>
          <w:b/>
          <w:sz w:val="24"/>
          <w:szCs w:val="24"/>
          <w:highlight w:val="none"/>
        </w:rPr>
      </w:pPr>
      <w:bookmarkStart w:id="137" w:name="_Toc2512002"/>
      <w:bookmarkStart w:id="138" w:name="_Toc2355260"/>
      <w:bookmarkStart w:id="139" w:name="_Toc497167408"/>
      <w:r>
        <w:rPr>
          <w:rFonts w:ascii="宋体" w:cs="宋体"/>
          <w:b/>
          <w:sz w:val="24"/>
          <w:szCs w:val="24"/>
          <w:highlight w:val="none"/>
        </w:rPr>
        <w:br w:type="page"/>
      </w:r>
    </w:p>
    <w:p>
      <w:pPr>
        <w:pStyle w:val="6"/>
        <w:rPr>
          <w:rFonts w:ascii="宋体" w:cs="宋体"/>
          <w:sz w:val="24"/>
          <w:szCs w:val="24"/>
          <w:highlight w:val="none"/>
        </w:rPr>
      </w:pPr>
      <w:bookmarkStart w:id="140" w:name="_Toc44705284"/>
      <w:bookmarkStart w:id="141" w:name="_Toc44705063"/>
      <w:bookmarkStart w:id="142" w:name="_Toc44704916"/>
      <w:r>
        <w:rPr>
          <w:rFonts w:ascii="宋体" w:hAnsi="宋体" w:cs="宋体"/>
          <w:sz w:val="32"/>
          <w:szCs w:val="24"/>
          <w:highlight w:val="none"/>
        </w:rPr>
        <w:t>1.5</w:t>
      </w:r>
      <w:r>
        <w:rPr>
          <w:rFonts w:hint="eastAsia" w:ascii="宋体" w:hAnsi="宋体" w:cs="宋体"/>
          <w:sz w:val="32"/>
          <w:szCs w:val="24"/>
          <w:highlight w:val="none"/>
        </w:rPr>
        <w:t>参加政府采购活动前三年内，在经营活动中没有重大违法记录</w:t>
      </w:r>
      <w:bookmarkEnd w:id="140"/>
      <w:bookmarkEnd w:id="141"/>
      <w:bookmarkEnd w:id="142"/>
    </w:p>
    <w:p>
      <w:pPr>
        <w:widowControl/>
        <w:spacing w:line="360" w:lineRule="auto"/>
        <w:jc w:val="left"/>
        <w:rPr>
          <w:rFonts w:ascii="宋体" w:cs="宋体"/>
          <w:b/>
          <w:sz w:val="24"/>
          <w:szCs w:val="24"/>
          <w:highlight w:val="none"/>
        </w:rPr>
      </w:pPr>
    </w:p>
    <w:p>
      <w:pPr>
        <w:widowControl/>
        <w:spacing w:line="360" w:lineRule="auto"/>
        <w:jc w:val="left"/>
        <w:rPr>
          <w:rFonts w:ascii="宋体" w:cs="宋体"/>
          <w:b/>
          <w:bCs/>
          <w:sz w:val="24"/>
          <w:szCs w:val="24"/>
          <w:highlight w:val="none"/>
        </w:rPr>
      </w:pPr>
      <w:r>
        <w:rPr>
          <w:rFonts w:hint="eastAsia" w:ascii="宋体" w:hAnsi="宋体" w:cs="宋体"/>
          <w:b/>
          <w:sz w:val="24"/>
          <w:szCs w:val="24"/>
          <w:highlight w:val="none"/>
        </w:rPr>
        <w:t>近三年内，在经营活动中没有重大违法记录的声明</w:t>
      </w:r>
    </w:p>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乌鲁木齐高新建设工程项目管理咨询有限公司（盖章）</w:t>
      </w:r>
      <w:r>
        <w:rPr>
          <w:rFonts w:hint="eastAsia" w:ascii="宋体" w:hAnsi="宋体" w:cs="宋体"/>
          <w:color w:val="000000"/>
          <w:sz w:val="24"/>
          <w:szCs w:val="24"/>
          <w:highlight w:val="none"/>
        </w:rPr>
        <w:t>：</w:t>
      </w: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我公司在近三年（</w:t>
      </w:r>
      <w:r>
        <w:rPr>
          <w:rFonts w:ascii="宋体" w:hAnsi="宋体" w:cs="宋体"/>
          <w:color w:val="000000"/>
          <w:sz w:val="24"/>
          <w:szCs w:val="24"/>
          <w:highlight w:val="none"/>
        </w:rPr>
        <w:t>20</w:t>
      </w:r>
      <w:r>
        <w:rPr>
          <w:rFonts w:hint="eastAsia" w:ascii="宋体" w:hAnsi="宋体" w:cs="宋体"/>
          <w:color w:val="000000"/>
          <w:sz w:val="24"/>
          <w:szCs w:val="24"/>
          <w:highlight w:val="none"/>
          <w:lang w:val="en-US" w:eastAsia="zh-CN"/>
        </w:rPr>
        <w:t>20</w:t>
      </w:r>
      <w:r>
        <w:rPr>
          <w:rFonts w:hint="eastAsia" w:ascii="宋体" w:hAnsi="宋体" w:cs="宋体"/>
          <w:color w:val="000000"/>
          <w:sz w:val="24"/>
          <w:szCs w:val="24"/>
          <w:highlight w:val="none"/>
        </w:rPr>
        <w:t>年</w:t>
      </w:r>
      <w:r>
        <w:rPr>
          <w:rFonts w:ascii="宋体" w:cs="宋体"/>
          <w:color w:val="000000"/>
          <w:sz w:val="24"/>
          <w:szCs w:val="24"/>
          <w:highlight w:val="none"/>
        </w:rPr>
        <w:t>-</w:t>
      </w:r>
      <w:r>
        <w:rPr>
          <w:rFonts w:hint="eastAsia" w:ascii="宋体" w:hAnsi="宋体" w:cs="宋体"/>
          <w:color w:val="000000"/>
          <w:sz w:val="24"/>
          <w:szCs w:val="24"/>
          <w:highlight w:val="none"/>
        </w:rPr>
        <w:t>至今）内，在经营活动中没有重大违法记录（</w:t>
      </w:r>
      <w:r>
        <w:rPr>
          <w:rFonts w:hint="eastAsia" w:ascii="宋体" w:hAnsi="宋体" w:cs="宋体"/>
          <w:color w:val="000000"/>
          <w:kern w:val="0"/>
          <w:sz w:val="24"/>
          <w:szCs w:val="24"/>
          <w:highlight w:val="none"/>
        </w:rPr>
        <w:t>因违法经营受到刑事处罚或者责令停产停业、吊销许可证或者执照、较大数额罚款等行政处罚</w:t>
      </w:r>
      <w:r>
        <w:rPr>
          <w:rFonts w:hint="eastAsia" w:ascii="宋体" w:hAnsi="宋体" w:cs="宋体"/>
          <w:color w:val="000000"/>
          <w:sz w:val="24"/>
          <w:szCs w:val="24"/>
          <w:highlight w:val="none"/>
        </w:rPr>
        <w:t>）。</w:t>
      </w: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rPr>
          <w:rFonts w:ascii="宋体" w:cs="宋体"/>
          <w:color w:val="000000"/>
          <w:sz w:val="24"/>
          <w:szCs w:val="24"/>
          <w:highlight w:val="none"/>
        </w:rPr>
      </w:pPr>
    </w:p>
    <w:p>
      <w:pPr>
        <w:spacing w:line="360" w:lineRule="auto"/>
        <w:ind w:firstLine="480" w:firstLineChars="200"/>
        <w:rPr>
          <w:rFonts w:ascii="宋体" w:cs="宋体"/>
          <w:color w:val="000000"/>
          <w:sz w:val="24"/>
          <w:szCs w:val="24"/>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1"/>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1"/>
        <w:rPr>
          <w:highlight w:val="none"/>
        </w:rPr>
      </w:pPr>
    </w:p>
    <w:p>
      <w:pPr>
        <w:pStyle w:val="21"/>
        <w:jc w:val="right"/>
        <w:rPr>
          <w:highlight w:val="none"/>
        </w:rPr>
      </w:pPr>
      <w:r>
        <w:rPr>
          <w:rFonts w:hint="eastAsia"/>
          <w:highlight w:val="none"/>
        </w:rPr>
        <w:t>日期：</w:t>
      </w:r>
    </w:p>
    <w:p>
      <w:pPr>
        <w:pStyle w:val="21"/>
        <w:rPr>
          <w:highlight w:val="none"/>
        </w:rPr>
      </w:pPr>
    </w:p>
    <w:bookmarkEnd w:id="137"/>
    <w:bookmarkEnd w:id="138"/>
    <w:bookmarkEnd w:id="139"/>
    <w:p>
      <w:pPr>
        <w:widowControl/>
        <w:jc w:val="left"/>
        <w:rPr>
          <w:rFonts w:ascii="宋体" w:cs="宋体"/>
          <w:sz w:val="24"/>
          <w:szCs w:val="24"/>
          <w:highlight w:val="none"/>
        </w:rPr>
      </w:pPr>
      <w:bookmarkStart w:id="143" w:name="_Toc2512003"/>
      <w:bookmarkStart w:id="144" w:name="_Toc2355261"/>
      <w:bookmarkStart w:id="145" w:name="_Toc497167409"/>
      <w:r>
        <w:rPr>
          <w:rFonts w:ascii="宋体" w:cs="宋体"/>
          <w:sz w:val="24"/>
          <w:szCs w:val="24"/>
          <w:highlight w:val="none"/>
        </w:rPr>
        <w:br w:type="page"/>
      </w:r>
    </w:p>
    <w:p>
      <w:pPr>
        <w:pStyle w:val="6"/>
        <w:rPr>
          <w:rFonts w:ascii="宋体" w:cs="宋体"/>
          <w:sz w:val="32"/>
          <w:szCs w:val="24"/>
          <w:highlight w:val="none"/>
        </w:rPr>
      </w:pPr>
      <w:bookmarkStart w:id="146" w:name="_Toc44704917"/>
      <w:bookmarkStart w:id="147" w:name="_Toc44705285"/>
      <w:bookmarkStart w:id="148" w:name="_Toc44705064"/>
      <w:r>
        <w:rPr>
          <w:rFonts w:ascii="宋体" w:hAnsi="宋体" w:cs="宋体"/>
          <w:sz w:val="32"/>
          <w:szCs w:val="24"/>
          <w:highlight w:val="none"/>
        </w:rPr>
        <w:t>1.6</w:t>
      </w:r>
      <w:r>
        <w:rPr>
          <w:rFonts w:hint="eastAsia" w:ascii="宋体" w:hAnsi="宋体" w:cs="宋体"/>
          <w:sz w:val="32"/>
          <w:szCs w:val="24"/>
          <w:highlight w:val="none"/>
        </w:rPr>
        <w:t>符合招标文件第二章“投标人须知前附表”</w:t>
      </w:r>
      <w:r>
        <w:rPr>
          <w:rFonts w:hint="eastAsia" w:ascii="宋体" w:hAnsi="宋体" w:cs="宋体"/>
          <w:sz w:val="32"/>
          <w:szCs w:val="24"/>
          <w:highlight w:val="none"/>
          <w:lang w:eastAsia="zh-CN"/>
        </w:rPr>
        <w:t>12中第</w:t>
      </w:r>
      <w:r>
        <w:rPr>
          <w:rFonts w:ascii="宋体" w:hAnsi="宋体" w:cs="宋体"/>
          <w:sz w:val="32"/>
          <w:szCs w:val="24"/>
          <w:highlight w:val="none"/>
        </w:rPr>
        <w:t>2</w:t>
      </w:r>
      <w:r>
        <w:rPr>
          <w:rFonts w:hint="eastAsia" w:ascii="宋体" w:hAnsi="宋体" w:cs="宋体"/>
          <w:sz w:val="32"/>
          <w:szCs w:val="24"/>
          <w:highlight w:val="none"/>
        </w:rPr>
        <w:t>条的证明材料</w:t>
      </w:r>
      <w:bookmarkEnd w:id="146"/>
      <w:bookmarkEnd w:id="147"/>
      <w:bookmarkEnd w:id="148"/>
    </w:p>
    <w:p>
      <w:pPr>
        <w:spacing w:line="360" w:lineRule="auto"/>
        <w:rPr>
          <w:rFonts w:ascii="宋体" w:cs="宋体"/>
          <w:sz w:val="24"/>
          <w:szCs w:val="24"/>
          <w:highlight w:val="none"/>
        </w:rPr>
      </w:pPr>
      <w:r>
        <w:rPr>
          <w:rFonts w:hint="eastAsia" w:ascii="宋体" w:hAnsi="宋体" w:cs="宋体"/>
          <w:sz w:val="24"/>
          <w:szCs w:val="24"/>
          <w:highlight w:val="none"/>
        </w:rPr>
        <w:t>（加盖单位公章）</w:t>
      </w:r>
      <w:bookmarkEnd w:id="143"/>
      <w:bookmarkEnd w:id="144"/>
      <w:bookmarkEnd w:id="145"/>
    </w:p>
    <w:p>
      <w:pPr>
        <w:spacing w:line="360" w:lineRule="auto"/>
        <w:rPr>
          <w:rFonts w:ascii="宋体" w:cs="宋体"/>
          <w:b/>
          <w:color w:val="000000"/>
          <w:sz w:val="24"/>
          <w:szCs w:val="24"/>
          <w:highlight w:val="none"/>
        </w:rPr>
      </w:pPr>
      <w:r>
        <w:rPr>
          <w:rFonts w:ascii="宋体" w:hAnsi="宋体" w:cs="宋体"/>
          <w:b/>
          <w:color w:val="000000"/>
          <w:sz w:val="24"/>
          <w:szCs w:val="24"/>
          <w:highlight w:val="none"/>
        </w:rPr>
        <w:t>1.6.1</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、投标人应当根据自身存在的情形，如实披露与本单位负责人为同一人或者存在直接控股、管理关系的供应商情况。</w:t>
      </w:r>
    </w:p>
    <w:p>
      <w:pPr>
        <w:spacing w:line="360" w:lineRule="auto"/>
        <w:ind w:firstLine="480" w:firstLineChars="200"/>
        <w:rPr>
          <w:rFonts w:ascii="宋体" w:cs="宋体"/>
          <w:kern w:val="0"/>
          <w:sz w:val="24"/>
          <w:szCs w:val="24"/>
          <w:highlight w:val="none"/>
          <w:lang w:val="zh-CN"/>
        </w:rPr>
      </w:pPr>
      <w:r>
        <w:rPr>
          <w:rFonts w:ascii="宋体" w:hAnsi="宋体" w:cs="宋体"/>
          <w:kern w:val="0"/>
          <w:sz w:val="24"/>
          <w:szCs w:val="24"/>
          <w:highlight w:val="none"/>
          <w:lang w:val="zh-CN"/>
        </w:rPr>
        <w:t>2</w:t>
      </w:r>
      <w:r>
        <w:rPr>
          <w:rFonts w:hint="eastAsia" w:ascii="宋体" w:hAnsi="宋体" w:cs="宋体"/>
          <w:kern w:val="0"/>
          <w:sz w:val="24"/>
          <w:szCs w:val="24"/>
          <w:highlight w:val="none"/>
          <w:lang w:val="zh-CN"/>
        </w:rPr>
        <w:t>、单位负责人为同一人或者存在直接控股、管理关系的不同供应商，同时参加本项目同一包的投标，相关投标均无效。</w:t>
      </w:r>
    </w:p>
    <w:p>
      <w:pPr>
        <w:pStyle w:val="21"/>
        <w:ind w:firstLine="480" w:firstLineChars="200"/>
        <w:rPr>
          <w:rFonts w:ascii="宋体"/>
          <w:highlight w:val="none"/>
          <w:lang w:val="zh-CN"/>
        </w:rPr>
      </w:pPr>
      <w:r>
        <w:rPr>
          <w:rFonts w:ascii="宋体" w:hAnsi="宋体"/>
          <w:highlight w:val="none"/>
          <w:lang w:val="zh-CN"/>
        </w:rPr>
        <w:t>3.</w:t>
      </w:r>
      <w:r>
        <w:rPr>
          <w:highlight w:val="none"/>
        </w:rPr>
        <w:t xml:space="preserve"> </w:t>
      </w:r>
      <w:r>
        <w:rPr>
          <w:rFonts w:hint="eastAsia" w:ascii="宋体" w:hAnsi="宋体"/>
          <w:highlight w:val="none"/>
          <w:lang w:val="zh-CN"/>
        </w:rPr>
        <w:t>为本项目某包提供整体设计、规范编制或者项目管理、监理、检测等服务的供应商，不得参加该包的投标；</w:t>
      </w:r>
    </w:p>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（如不存在上述情况，请提供如下声明）</w:t>
      </w:r>
    </w:p>
    <w:p>
      <w:pPr>
        <w:spacing w:line="360" w:lineRule="auto"/>
        <w:rPr>
          <w:rFonts w:ascii="宋体" w:cs="宋体"/>
          <w:color w:val="000000"/>
          <w:sz w:val="24"/>
          <w:szCs w:val="24"/>
          <w:highlight w:val="none"/>
        </w:rPr>
      </w:pP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lang w:eastAsia="zh-CN"/>
        </w:rPr>
        <w:t>乌鲁木齐高新建设工程项目管理咨询有限公司（盖章）</w:t>
      </w:r>
      <w:r>
        <w:rPr>
          <w:rFonts w:hint="eastAsia" w:ascii="宋体" w:hAnsi="宋体" w:cs="宋体"/>
          <w:color w:val="000000"/>
          <w:sz w:val="24"/>
          <w:szCs w:val="24"/>
          <w:highlight w:val="none"/>
        </w:rPr>
        <w:t>：</w:t>
      </w: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我单位负责人</w:t>
      </w:r>
      <w:r>
        <w:rPr>
          <w:rFonts w:hint="eastAsia" w:ascii="宋体" w:hAnsi="宋体" w:cs="宋体"/>
          <w:color w:val="000000"/>
          <w:sz w:val="24"/>
          <w:szCs w:val="24"/>
          <w:highlight w:val="none"/>
          <w:u w:val="single"/>
        </w:rPr>
        <w:t>（负责人姓名、身份证号）</w:t>
      </w:r>
      <w:r>
        <w:rPr>
          <w:rFonts w:hint="eastAsia" w:ascii="宋体" w:hAnsi="宋体" w:cs="宋体"/>
          <w:color w:val="000000"/>
          <w:sz w:val="24"/>
          <w:szCs w:val="24"/>
          <w:highlight w:val="none"/>
        </w:rPr>
        <w:t>，不存在与我单位负责人为同一人的不同供应商同时参加本项目同一包投标的情形。</w:t>
      </w: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与我单位存在直接控股、管理关系的单位</w:t>
      </w:r>
      <w:r>
        <w:rPr>
          <w:rFonts w:hint="eastAsia" w:ascii="宋体" w:hAnsi="宋体" w:cs="宋体"/>
          <w:color w:val="000000"/>
          <w:sz w:val="24"/>
          <w:szCs w:val="24"/>
          <w:highlight w:val="none"/>
          <w:u w:val="single"/>
        </w:rPr>
        <w:t>（单位名称，如没有填“无”）</w:t>
      </w:r>
      <w:r>
        <w:rPr>
          <w:rFonts w:hint="eastAsia" w:ascii="宋体" w:hAnsi="宋体" w:cs="宋体"/>
          <w:color w:val="000000"/>
          <w:sz w:val="24"/>
          <w:szCs w:val="24"/>
          <w:highlight w:val="none"/>
        </w:rPr>
        <w:t>，不存在与我单位存在直接控股、管理管理的不同供应商同时参加本项目同一包投标的情形。</w:t>
      </w:r>
    </w:p>
    <w:p>
      <w:pPr>
        <w:pStyle w:val="21"/>
        <w:ind w:firstLine="480" w:firstLineChars="200"/>
        <w:rPr>
          <w:highlight w:val="none"/>
        </w:rPr>
      </w:pPr>
      <w:r>
        <w:rPr>
          <w:rFonts w:hint="eastAsia"/>
          <w:highlight w:val="none"/>
        </w:rPr>
        <w:t>我单位不为本项目某包提供整体设计、规范编制或者项目管理、监理、检测等服务的供应商。</w:t>
      </w:r>
    </w:p>
    <w:p>
      <w:pPr>
        <w:spacing w:line="360" w:lineRule="auto"/>
        <w:ind w:firstLine="482" w:firstLineChars="200"/>
        <w:rPr>
          <w:rFonts w:ascii="宋体" w:cs="宋体"/>
          <w:color w:val="000000"/>
          <w:sz w:val="24"/>
          <w:szCs w:val="24"/>
          <w:highlight w:val="none"/>
        </w:rPr>
      </w:pPr>
      <w:r>
        <w:rPr>
          <w:rFonts w:hint="eastAsia" w:ascii="宋体" w:hAnsi="宋体" w:cs="宋体"/>
          <w:b/>
          <w:color w:val="000000"/>
          <w:sz w:val="24"/>
          <w:highlight w:val="none"/>
        </w:rPr>
        <w:t>我单位确认本</w:t>
      </w:r>
      <w:r>
        <w:rPr>
          <w:rFonts w:hint="eastAsia" w:ascii="宋体" w:hAnsi="宋体" w:cs="宋体"/>
          <w:b/>
          <w:sz w:val="24"/>
          <w:highlight w:val="none"/>
        </w:rPr>
        <w:t>声明是真实的、正确的，如有虚假，相应后果和法律责任均由我单位承担</w:t>
      </w:r>
      <w:r>
        <w:rPr>
          <w:rFonts w:hint="eastAsia" w:ascii="宋体" w:hAnsi="宋体" w:cs="宋体"/>
          <w:color w:val="000000"/>
          <w:sz w:val="24"/>
          <w:szCs w:val="24"/>
          <w:highlight w:val="none"/>
        </w:rPr>
        <w:t>。</w:t>
      </w:r>
    </w:p>
    <w:p>
      <w:pPr>
        <w:spacing w:line="36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特此声明。</w:t>
      </w:r>
    </w:p>
    <w:p>
      <w:pPr>
        <w:pStyle w:val="21"/>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1"/>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1"/>
        <w:rPr>
          <w:highlight w:val="none"/>
        </w:rPr>
      </w:pPr>
    </w:p>
    <w:p>
      <w:pPr>
        <w:spacing w:line="360" w:lineRule="auto"/>
        <w:jc w:val="right"/>
        <w:rPr>
          <w:rFonts w:ascii="宋体" w:cs="宋体"/>
          <w:color w:val="000000"/>
          <w:szCs w:val="21"/>
          <w:highlight w:val="none"/>
        </w:rPr>
      </w:pPr>
      <w:r>
        <w:rPr>
          <w:rFonts w:hint="eastAsia" w:ascii="宋体" w:hAnsi="宋体" w:cs="宋体"/>
          <w:sz w:val="24"/>
          <w:szCs w:val="24"/>
          <w:highlight w:val="none"/>
        </w:rPr>
        <w:t>日期：</w:t>
      </w:r>
    </w:p>
    <w:p>
      <w:pPr>
        <w:widowControl/>
        <w:spacing w:line="360" w:lineRule="auto"/>
        <w:jc w:val="left"/>
        <w:rPr>
          <w:rFonts w:ascii="宋体" w:cs="宋体"/>
          <w:b/>
          <w:sz w:val="36"/>
          <w:szCs w:val="36"/>
          <w:highlight w:val="none"/>
        </w:rPr>
      </w:pPr>
      <w:r>
        <w:rPr>
          <w:rFonts w:ascii="宋体" w:cs="宋体"/>
          <w:color w:val="000000"/>
          <w:szCs w:val="21"/>
          <w:highlight w:val="none"/>
        </w:rPr>
        <w:br w:type="page"/>
      </w:r>
      <w:bookmarkStart w:id="149" w:name="_Toc14776855"/>
      <w:bookmarkStart w:id="150" w:name="_Toc2512005"/>
      <w:bookmarkStart w:id="151" w:name="_Toc2355263"/>
      <w:bookmarkStart w:id="152" w:name="_Hlk521595300"/>
      <w:r>
        <w:rPr>
          <w:rFonts w:ascii="宋体" w:hAnsi="宋体" w:cs="宋体"/>
          <w:b/>
          <w:sz w:val="24"/>
          <w:szCs w:val="24"/>
          <w:highlight w:val="none"/>
        </w:rPr>
        <w:t>1.6.2</w:t>
      </w:r>
      <w:r>
        <w:rPr>
          <w:rFonts w:hint="eastAsia" w:ascii="宋体" w:hAnsi="宋体" w:cs="宋体"/>
          <w:b/>
          <w:sz w:val="24"/>
          <w:szCs w:val="24"/>
          <w:highlight w:val="none"/>
        </w:rPr>
        <w:t>信用查询</w:t>
      </w:r>
      <w:bookmarkEnd w:id="149"/>
    </w:p>
    <w:p>
      <w:pPr>
        <w:spacing w:line="360" w:lineRule="auto"/>
        <w:rPr>
          <w:rFonts w:ascii="宋体" w:cs="宋体"/>
          <w:b/>
          <w:color w:val="000000"/>
          <w:sz w:val="24"/>
          <w:szCs w:val="24"/>
          <w:highlight w:val="none"/>
        </w:rPr>
      </w:pPr>
      <w:r>
        <w:rPr>
          <w:rFonts w:hint="eastAsia" w:ascii="宋体" w:hAnsi="宋体" w:cs="宋体"/>
          <w:b/>
          <w:sz w:val="24"/>
          <w:szCs w:val="24"/>
          <w:highlight w:val="none"/>
        </w:rPr>
        <w:t>通过“信用中国”网站（</w:t>
      </w:r>
      <w:r>
        <w:rPr>
          <w:rFonts w:ascii="宋体" w:hAnsi="宋体" w:cs="宋体"/>
          <w:b/>
          <w:sz w:val="24"/>
          <w:szCs w:val="24"/>
          <w:highlight w:val="none"/>
        </w:rPr>
        <w:t>www.creditchina.gov.cn</w:t>
      </w:r>
      <w:r>
        <w:rPr>
          <w:rFonts w:hint="eastAsia" w:ascii="宋体" w:hAnsi="宋体" w:cs="宋体"/>
          <w:b/>
          <w:sz w:val="24"/>
          <w:szCs w:val="24"/>
          <w:highlight w:val="none"/>
        </w:rPr>
        <w:t>）和中国政府采购网（</w:t>
      </w:r>
      <w:r>
        <w:rPr>
          <w:rFonts w:ascii="宋体" w:hAnsi="宋体" w:cs="宋体"/>
          <w:b/>
          <w:sz w:val="24"/>
          <w:szCs w:val="24"/>
          <w:highlight w:val="none"/>
        </w:rPr>
        <w:t>www.ccgp.gov.cn</w:t>
      </w:r>
      <w:r>
        <w:rPr>
          <w:rFonts w:hint="eastAsia" w:ascii="宋体" w:hAnsi="宋体" w:cs="宋体"/>
          <w:b/>
          <w:sz w:val="24"/>
          <w:szCs w:val="24"/>
          <w:highlight w:val="none"/>
        </w:rPr>
        <w:t>）查询信用记录（截止时间点为投标截止时间），（截图复印件加盖投标人公章）被列入失信被执行人、重大税收违法案件当事人名单或政府采购严重违法失信行为记录名单的供应商，没有资格参加本项目的采购活动</w:t>
      </w:r>
      <w:bookmarkEnd w:id="150"/>
      <w:bookmarkEnd w:id="151"/>
    </w:p>
    <w:bookmarkEnd w:id="152"/>
    <w:p>
      <w:pPr>
        <w:spacing w:line="360" w:lineRule="auto"/>
        <w:rPr>
          <w:rFonts w:ascii="宋体" w:cs="宋体"/>
          <w:color w:val="000000"/>
          <w:szCs w:val="21"/>
          <w:highlight w:val="none"/>
          <w:u w:val="single"/>
        </w:rPr>
      </w:pPr>
    </w:p>
    <w:p>
      <w:pPr>
        <w:spacing w:line="360" w:lineRule="auto"/>
        <w:rPr>
          <w:rFonts w:ascii="宋体" w:cs="宋体"/>
          <w:color w:val="000000"/>
          <w:sz w:val="24"/>
          <w:szCs w:val="24"/>
          <w:highlight w:val="none"/>
        </w:rPr>
      </w:pPr>
    </w:p>
    <w:p>
      <w:pPr>
        <w:spacing w:line="360" w:lineRule="auto"/>
        <w:rPr>
          <w:rFonts w:ascii="宋体" w:cs="宋体"/>
          <w:sz w:val="24"/>
          <w:szCs w:val="24"/>
          <w:highlight w:val="none"/>
        </w:rPr>
      </w:pPr>
    </w:p>
    <w:p>
      <w:pPr>
        <w:spacing w:line="360" w:lineRule="auto"/>
        <w:ind w:firstLine="5280" w:firstLineChars="2200"/>
        <w:rPr>
          <w:rFonts w:ascii="宋体" w:cs="宋体"/>
          <w:color w:val="000000"/>
          <w:sz w:val="24"/>
          <w:szCs w:val="24"/>
          <w:highlight w:val="none"/>
        </w:rPr>
      </w:pPr>
    </w:p>
    <w:p>
      <w:pPr>
        <w:spacing w:line="360" w:lineRule="auto"/>
        <w:ind w:firstLine="6385" w:firstLineChars="2650"/>
        <w:rPr>
          <w:rFonts w:ascii="宋体" w:cs="宋体"/>
          <w:b/>
          <w:color w:val="000000"/>
          <w:sz w:val="24"/>
          <w:szCs w:val="24"/>
          <w:highlight w:val="none"/>
        </w:rPr>
      </w:pPr>
    </w:p>
    <w:p>
      <w:pPr>
        <w:spacing w:line="360" w:lineRule="auto"/>
        <w:rPr>
          <w:rFonts w:ascii="宋体" w:cs="宋体"/>
          <w:b/>
          <w:color w:val="000000"/>
          <w:sz w:val="24"/>
          <w:szCs w:val="24"/>
          <w:highlight w:val="none"/>
        </w:rPr>
      </w:pPr>
      <w:r>
        <w:rPr>
          <w:rFonts w:hint="eastAsia" w:ascii="宋体" w:hAnsi="宋体" w:cs="宋体"/>
          <w:b/>
          <w:color w:val="000000"/>
          <w:sz w:val="24"/>
          <w:szCs w:val="24"/>
          <w:highlight w:val="none"/>
        </w:rPr>
        <w:t>说</w:t>
      </w:r>
      <w:r>
        <w:rPr>
          <w:rFonts w:hint="eastAsia" w:ascii="宋体" w:hAnsi="宋体" w:cs="宋体"/>
          <w:b/>
          <w:sz w:val="24"/>
          <w:szCs w:val="24"/>
          <w:highlight w:val="none"/>
        </w:rPr>
        <w:t>明：</w:t>
      </w:r>
    </w:p>
    <w:p>
      <w:pPr>
        <w:spacing w:line="360" w:lineRule="auto"/>
        <w:ind w:firstLine="480" w:firstLineChars="200"/>
        <w:rPr>
          <w:rFonts w:ascii="宋体" w:cs="宋体"/>
          <w:color w:val="000000"/>
          <w:kern w:val="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hint="eastAsia" w:ascii="宋体" w:hAnsi="宋体" w:cs="宋体"/>
          <w:color w:val="000000"/>
          <w:kern w:val="0"/>
          <w:sz w:val="24"/>
          <w:szCs w:val="24"/>
          <w:highlight w:val="none"/>
        </w:rPr>
        <w:t>信用信息查询渠道：信用中国网站（</w:t>
      </w:r>
      <w:r>
        <w:rPr>
          <w:rFonts w:ascii="宋体" w:hAnsi="宋体" w:cs="宋体"/>
          <w:color w:val="000000"/>
          <w:kern w:val="0"/>
          <w:sz w:val="24"/>
          <w:szCs w:val="24"/>
          <w:highlight w:val="none"/>
        </w:rPr>
        <w:t>www.creditchina.gov.cn</w:t>
      </w:r>
      <w:r>
        <w:rPr>
          <w:rFonts w:hint="eastAsia" w:ascii="宋体" w:hAnsi="宋体" w:cs="宋体"/>
          <w:color w:val="000000"/>
          <w:kern w:val="0"/>
          <w:sz w:val="24"/>
          <w:szCs w:val="24"/>
          <w:highlight w:val="none"/>
        </w:rPr>
        <w:t>）和中国政府采购网</w:t>
      </w:r>
      <w:r>
        <w:rPr>
          <w:rFonts w:ascii="宋体" w:cs="宋体"/>
          <w:color w:val="000000"/>
          <w:kern w:val="0"/>
          <w:sz w:val="24"/>
          <w:szCs w:val="24"/>
          <w:highlight w:val="none"/>
        </w:rPr>
        <w:t>-</w:t>
      </w:r>
      <w:r>
        <w:rPr>
          <w:rFonts w:hint="eastAsia" w:ascii="宋体" w:hAnsi="宋体" w:cs="宋体"/>
          <w:color w:val="000000"/>
          <w:kern w:val="0"/>
          <w:sz w:val="24"/>
          <w:szCs w:val="24"/>
          <w:highlight w:val="none"/>
        </w:rPr>
        <w:t>政府采购严重违法失信行为信息记录（</w:t>
      </w:r>
      <w:r>
        <w:rPr>
          <w:rFonts w:ascii="宋体" w:hAnsi="宋体" w:cs="宋体"/>
          <w:color w:val="000000"/>
          <w:kern w:val="0"/>
          <w:sz w:val="24"/>
          <w:szCs w:val="24"/>
          <w:highlight w:val="none"/>
        </w:rPr>
        <w:t>www.ccgp.gov.cn/cr/list</w:t>
      </w:r>
      <w:r>
        <w:rPr>
          <w:rFonts w:hint="eastAsia" w:ascii="宋体" w:hAnsi="宋体" w:cs="宋体"/>
          <w:color w:val="000000"/>
          <w:kern w:val="0"/>
          <w:sz w:val="24"/>
          <w:szCs w:val="24"/>
          <w:highlight w:val="none"/>
        </w:rPr>
        <w:t>）；</w:t>
      </w:r>
    </w:p>
    <w:p>
      <w:pPr>
        <w:spacing w:line="360" w:lineRule="auto"/>
        <w:ind w:firstLine="480" w:firstLineChars="200"/>
        <w:rPr>
          <w:rFonts w:ascii="宋体" w:cs="宋体"/>
          <w:color w:val="000000"/>
          <w:kern w:val="0"/>
          <w:sz w:val="24"/>
          <w:szCs w:val="24"/>
          <w:highlight w:val="none"/>
        </w:rPr>
      </w:pPr>
      <w:r>
        <w:rPr>
          <w:rFonts w:ascii="宋体" w:hAnsi="宋体" w:cs="宋体"/>
          <w:color w:val="000000"/>
          <w:kern w:val="0"/>
          <w:sz w:val="24"/>
          <w:szCs w:val="24"/>
          <w:highlight w:val="none"/>
        </w:rPr>
        <w:t>2</w:t>
      </w:r>
      <w:r>
        <w:rPr>
          <w:rFonts w:hint="eastAsia" w:ascii="宋体" w:hAnsi="宋体" w:cs="宋体"/>
          <w:color w:val="000000"/>
          <w:kern w:val="0"/>
          <w:sz w:val="24"/>
          <w:szCs w:val="24"/>
          <w:highlight w:val="none"/>
        </w:rPr>
        <w:t>、信用信息查询截止时点：同投标截止时间（文件提交截止时间）；</w:t>
      </w:r>
    </w:p>
    <w:p>
      <w:pPr>
        <w:spacing w:line="360" w:lineRule="auto"/>
        <w:ind w:firstLine="480" w:firstLineChars="200"/>
        <w:rPr>
          <w:rFonts w:ascii="宋体" w:cs="宋体"/>
          <w:color w:val="000000"/>
          <w:kern w:val="0"/>
          <w:sz w:val="24"/>
          <w:szCs w:val="24"/>
          <w:highlight w:val="none"/>
        </w:rPr>
      </w:pPr>
      <w:r>
        <w:rPr>
          <w:rFonts w:ascii="宋体" w:hAnsi="宋体" w:cs="宋体"/>
          <w:color w:val="000000"/>
          <w:kern w:val="0"/>
          <w:sz w:val="24"/>
          <w:szCs w:val="24"/>
          <w:highlight w:val="none"/>
        </w:rPr>
        <w:t>3</w:t>
      </w:r>
      <w:r>
        <w:rPr>
          <w:rFonts w:hint="eastAsia" w:ascii="宋体" w:hAnsi="宋体" w:cs="宋体"/>
          <w:color w:val="000000"/>
          <w:kern w:val="0"/>
          <w:sz w:val="24"/>
          <w:szCs w:val="24"/>
          <w:highlight w:val="none"/>
        </w:rPr>
        <w:t>、信用信息查询记录和证据留存的具体方式：网站查询截图打印稿形式与其他采购文件一并保存；</w:t>
      </w:r>
    </w:p>
    <w:p>
      <w:pPr>
        <w:spacing w:line="360" w:lineRule="auto"/>
        <w:ind w:firstLine="480" w:firstLineChars="200"/>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w:t>
      </w:r>
      <w:r>
        <w:rPr>
          <w:rFonts w:ascii="宋体" w:hAnsi="宋体" w:cs="宋体"/>
          <w:color w:val="000000"/>
          <w:sz w:val="24"/>
          <w:szCs w:val="24"/>
          <w:highlight w:val="none"/>
        </w:rPr>
        <w:t>2015</w:t>
      </w:r>
      <w:r>
        <w:rPr>
          <w:rFonts w:hint="eastAsia" w:ascii="宋体" w:hAnsi="宋体" w:cs="宋体"/>
          <w:color w:val="000000"/>
          <w:sz w:val="24"/>
          <w:szCs w:val="24"/>
          <w:highlight w:val="none"/>
        </w:rPr>
        <w:t>〕</w:t>
      </w:r>
      <w:r>
        <w:rPr>
          <w:rFonts w:ascii="宋体" w:hAnsi="宋体" w:cs="宋体"/>
          <w:color w:val="000000"/>
          <w:sz w:val="24"/>
          <w:szCs w:val="24"/>
          <w:highlight w:val="none"/>
        </w:rPr>
        <w:t>150</w:t>
      </w:r>
      <w:r>
        <w:rPr>
          <w:rFonts w:hint="eastAsia" w:ascii="宋体" w:hAnsi="宋体" w:cs="宋体"/>
          <w:color w:val="000000"/>
          <w:sz w:val="24"/>
          <w:szCs w:val="24"/>
          <w:highlight w:val="none"/>
        </w:rPr>
        <w:t>号《关于规范政府采购行政处罚有关问题的通知》，相关行政处罚决定在全国范围内生效）。</w:t>
      </w:r>
    </w:p>
    <w:p>
      <w:pPr>
        <w:spacing w:line="360" w:lineRule="auto"/>
        <w:ind w:firstLine="480" w:firstLineChars="200"/>
        <w:rPr>
          <w:rFonts w:asci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w:t>
      </w:r>
      <w:r>
        <w:rPr>
          <w:rFonts w:hint="eastAsia" w:ascii="宋体" w:hAnsi="宋体" w:cs="宋体"/>
          <w:b/>
          <w:bCs/>
          <w:color w:val="000000"/>
          <w:sz w:val="24"/>
          <w:szCs w:val="24"/>
          <w:highlight w:val="none"/>
        </w:rPr>
        <w:t>投标人无需提供信用查询结果纸质资料，最终评定结果以采购代理机构开标现场查询为准；</w:t>
      </w:r>
    </w:p>
    <w:p>
      <w:pPr>
        <w:widowControl/>
        <w:spacing w:line="360" w:lineRule="auto"/>
        <w:jc w:val="left"/>
        <w:rPr>
          <w:rFonts w:ascii="宋体" w:cs="宋体"/>
          <w:b/>
          <w:sz w:val="36"/>
          <w:szCs w:val="36"/>
          <w:highlight w:val="none"/>
        </w:rPr>
      </w:pPr>
      <w:r>
        <w:rPr>
          <w:rFonts w:ascii="宋体" w:cs="宋体"/>
          <w:b/>
          <w:sz w:val="36"/>
          <w:szCs w:val="36"/>
          <w:highlight w:val="none"/>
        </w:rPr>
        <w:br w:type="page"/>
      </w:r>
    </w:p>
    <w:p>
      <w:pPr>
        <w:spacing w:line="360" w:lineRule="auto"/>
        <w:jc w:val="left"/>
        <w:rPr>
          <w:rFonts w:ascii="宋体" w:cs="宋体"/>
          <w:b/>
          <w:color w:val="000000"/>
          <w:kern w:val="0"/>
          <w:sz w:val="24"/>
          <w:szCs w:val="24"/>
          <w:highlight w:val="none"/>
        </w:rPr>
      </w:pPr>
      <w:r>
        <w:rPr>
          <w:rFonts w:ascii="宋体" w:hAnsi="宋体" w:cs="宋体"/>
          <w:b/>
          <w:color w:val="000000"/>
          <w:kern w:val="0"/>
          <w:sz w:val="24"/>
          <w:szCs w:val="24"/>
          <w:highlight w:val="none"/>
        </w:rPr>
        <w:t>1.6</w:t>
      </w:r>
      <w:r>
        <w:rPr>
          <w:rFonts w:ascii="宋体" w:cs="宋体"/>
          <w:b/>
          <w:color w:val="000000"/>
          <w:kern w:val="0"/>
          <w:sz w:val="24"/>
          <w:szCs w:val="24"/>
          <w:highlight w:val="none"/>
        </w:rPr>
        <w:t>.</w:t>
      </w:r>
      <w:r>
        <w:rPr>
          <w:rFonts w:ascii="宋体" w:hAnsi="宋体" w:cs="宋体"/>
          <w:b/>
          <w:color w:val="000000"/>
          <w:kern w:val="0"/>
          <w:sz w:val="24"/>
          <w:szCs w:val="24"/>
          <w:highlight w:val="none"/>
        </w:rPr>
        <w:t>2.1</w:t>
      </w:r>
      <w:r>
        <w:rPr>
          <w:rFonts w:hint="eastAsia" w:ascii="宋体" w:hAnsi="宋体" w:cs="宋体"/>
          <w:b/>
          <w:color w:val="000000"/>
          <w:kern w:val="0"/>
          <w:sz w:val="24"/>
          <w:szCs w:val="24"/>
          <w:highlight w:val="none"/>
        </w:rPr>
        <w:t>信用中国网站（</w:t>
      </w:r>
      <w:r>
        <w:rPr>
          <w:rFonts w:ascii="宋体" w:hAnsi="宋体" w:cs="宋体"/>
          <w:color w:val="000000"/>
          <w:kern w:val="0"/>
          <w:sz w:val="24"/>
          <w:szCs w:val="24"/>
          <w:highlight w:val="none"/>
        </w:rPr>
        <w:t>www.creditchina.gov.cn</w:t>
      </w:r>
      <w:r>
        <w:rPr>
          <w:rFonts w:hint="eastAsia" w:ascii="宋体" w:hAnsi="宋体" w:cs="宋体"/>
          <w:b/>
          <w:color w:val="000000"/>
          <w:kern w:val="0"/>
          <w:sz w:val="24"/>
          <w:szCs w:val="24"/>
          <w:highlight w:val="none"/>
        </w:rPr>
        <w:t>）查询截图（加盖公章）；</w:t>
      </w: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color w:val="000000"/>
          <w:kern w:val="0"/>
          <w:sz w:val="24"/>
          <w:szCs w:val="24"/>
          <w:highlight w:val="none"/>
        </w:rPr>
      </w:pPr>
    </w:p>
    <w:p>
      <w:pPr>
        <w:spacing w:line="360" w:lineRule="auto"/>
        <w:jc w:val="left"/>
        <w:rPr>
          <w:rFonts w:ascii="宋体" w:cs="宋体"/>
          <w:b/>
          <w:sz w:val="36"/>
          <w:szCs w:val="36"/>
          <w:highlight w:val="none"/>
        </w:rPr>
      </w:pPr>
      <w:r>
        <w:rPr>
          <w:rFonts w:ascii="宋体" w:hAnsi="宋体" w:cs="宋体"/>
          <w:b/>
          <w:color w:val="000000"/>
          <w:kern w:val="0"/>
          <w:sz w:val="24"/>
          <w:szCs w:val="24"/>
          <w:highlight w:val="none"/>
        </w:rPr>
        <w:t>1.6.2.2</w:t>
      </w:r>
      <w:r>
        <w:rPr>
          <w:rFonts w:hint="eastAsia" w:ascii="宋体" w:hAnsi="宋体" w:cs="宋体"/>
          <w:b/>
          <w:color w:val="000000"/>
          <w:kern w:val="0"/>
          <w:sz w:val="24"/>
          <w:szCs w:val="24"/>
          <w:highlight w:val="none"/>
        </w:rPr>
        <w:t>中国政府采购网</w:t>
      </w:r>
      <w:r>
        <w:rPr>
          <w:rFonts w:ascii="宋体" w:cs="宋体"/>
          <w:b/>
          <w:color w:val="000000"/>
          <w:kern w:val="0"/>
          <w:sz w:val="24"/>
          <w:szCs w:val="24"/>
          <w:highlight w:val="none"/>
        </w:rPr>
        <w:t>-</w:t>
      </w:r>
      <w:r>
        <w:rPr>
          <w:rFonts w:hint="eastAsia" w:ascii="宋体" w:hAnsi="宋体" w:cs="宋体"/>
          <w:b/>
          <w:color w:val="000000"/>
          <w:kern w:val="0"/>
          <w:sz w:val="24"/>
          <w:szCs w:val="24"/>
          <w:highlight w:val="none"/>
        </w:rPr>
        <w:t>政府采购严重违法失信行为信息记录（</w:t>
      </w:r>
      <w:r>
        <w:rPr>
          <w:rFonts w:ascii="宋体" w:hAnsi="宋体" w:cs="宋体"/>
          <w:b/>
          <w:color w:val="000000"/>
          <w:kern w:val="0"/>
          <w:sz w:val="24"/>
          <w:szCs w:val="24"/>
          <w:highlight w:val="none"/>
        </w:rPr>
        <w:t>www.ccgp.gov.cn/cr/list</w:t>
      </w:r>
      <w:r>
        <w:rPr>
          <w:rFonts w:hint="eastAsia" w:ascii="宋体" w:hAnsi="宋体" w:cs="宋体"/>
          <w:b/>
          <w:color w:val="000000"/>
          <w:kern w:val="0"/>
          <w:sz w:val="24"/>
          <w:szCs w:val="24"/>
          <w:highlight w:val="none"/>
        </w:rPr>
        <w:t>）查询截图（加盖公章）。</w:t>
      </w:r>
    </w:p>
    <w:p>
      <w:pPr>
        <w:spacing w:line="360" w:lineRule="auto"/>
        <w:jc w:val="center"/>
        <w:rPr>
          <w:rFonts w:ascii="宋体" w:cs="宋体"/>
          <w:b/>
          <w:sz w:val="36"/>
          <w:szCs w:val="36"/>
          <w:highlight w:val="none"/>
        </w:rPr>
      </w:pPr>
    </w:p>
    <w:p>
      <w:pPr>
        <w:spacing w:line="360" w:lineRule="auto"/>
        <w:jc w:val="center"/>
        <w:rPr>
          <w:rFonts w:ascii="宋体" w:cs="宋体"/>
          <w:b/>
          <w:sz w:val="36"/>
          <w:szCs w:val="36"/>
          <w:highlight w:val="none"/>
        </w:rPr>
      </w:pPr>
    </w:p>
    <w:p>
      <w:pPr>
        <w:spacing w:line="360" w:lineRule="auto"/>
        <w:rPr>
          <w:rFonts w:ascii="宋体" w:cs="宋体"/>
          <w:sz w:val="24"/>
          <w:szCs w:val="24"/>
          <w:highlight w:val="none"/>
        </w:rPr>
      </w:pPr>
      <w:r>
        <w:rPr>
          <w:rFonts w:ascii="宋体" w:cs="宋体"/>
          <w:sz w:val="24"/>
          <w:szCs w:val="24"/>
          <w:highlight w:val="none"/>
        </w:rPr>
        <w:br w:type="page"/>
      </w:r>
    </w:p>
    <w:p>
      <w:pPr>
        <w:pStyle w:val="6"/>
        <w:rPr>
          <w:rFonts w:ascii="宋体" w:hAnsi="宋体" w:cs="宋体"/>
          <w:bCs w:val="0"/>
          <w:sz w:val="32"/>
          <w:szCs w:val="24"/>
          <w:highlight w:val="none"/>
        </w:rPr>
      </w:pPr>
      <w:bookmarkStart w:id="153" w:name="_Toc44704918"/>
      <w:bookmarkStart w:id="154" w:name="_Toc44705065"/>
      <w:bookmarkStart w:id="155" w:name="_Toc44705286"/>
      <w:r>
        <w:rPr>
          <w:rFonts w:ascii="宋体" w:hAnsi="宋体" w:cs="宋体"/>
          <w:bCs w:val="0"/>
          <w:sz w:val="32"/>
          <w:szCs w:val="24"/>
          <w:highlight w:val="none"/>
        </w:rPr>
        <w:t>1.7</w:t>
      </w:r>
      <w:r>
        <w:rPr>
          <w:rFonts w:hint="eastAsia" w:ascii="宋体" w:hAnsi="宋体" w:cs="宋体"/>
          <w:bCs w:val="0"/>
          <w:sz w:val="32"/>
          <w:szCs w:val="24"/>
          <w:highlight w:val="none"/>
        </w:rPr>
        <w:t>符合招标文件第二章“投标人须知前附表”</w:t>
      </w:r>
      <w:r>
        <w:rPr>
          <w:rFonts w:hint="eastAsia" w:ascii="宋体" w:hAnsi="宋体" w:cs="宋体"/>
          <w:bCs w:val="0"/>
          <w:sz w:val="32"/>
          <w:szCs w:val="24"/>
          <w:highlight w:val="none"/>
          <w:lang w:eastAsia="zh-CN"/>
        </w:rPr>
        <w:t>12中第</w:t>
      </w:r>
      <w:r>
        <w:rPr>
          <w:rFonts w:ascii="宋体" w:hAnsi="宋体" w:cs="宋体"/>
          <w:bCs w:val="0"/>
          <w:sz w:val="32"/>
          <w:szCs w:val="24"/>
          <w:highlight w:val="none"/>
        </w:rPr>
        <w:t>3</w:t>
      </w:r>
      <w:r>
        <w:rPr>
          <w:rFonts w:hint="eastAsia" w:ascii="宋体" w:hAnsi="宋体" w:cs="宋体"/>
          <w:bCs w:val="0"/>
          <w:sz w:val="32"/>
          <w:szCs w:val="24"/>
          <w:highlight w:val="none"/>
        </w:rPr>
        <w:t>条的证明材料</w:t>
      </w:r>
      <w:bookmarkEnd w:id="153"/>
      <w:bookmarkEnd w:id="154"/>
      <w:bookmarkEnd w:id="155"/>
      <w:r>
        <w:rPr>
          <w:rFonts w:hint="eastAsia" w:ascii="宋体" w:hAnsi="宋体" w:cs="宋体"/>
          <w:bCs w:val="0"/>
          <w:sz w:val="32"/>
          <w:szCs w:val="24"/>
          <w:highlight w:val="none"/>
        </w:rPr>
        <w:t>；</w:t>
      </w:r>
    </w:p>
    <w:p>
      <w:pPr>
        <w:jc w:val="center"/>
        <w:rPr>
          <w:rFonts w:ascii="宋体" w:hAnsi="宋体" w:cs="宋体"/>
          <w:sz w:val="24"/>
          <w:szCs w:val="24"/>
          <w:highlight w:val="none"/>
        </w:rPr>
      </w:pPr>
    </w:p>
    <w:p>
      <w:pPr>
        <w:spacing w:line="360" w:lineRule="auto"/>
        <w:ind w:firstLine="480" w:firstLineChars="200"/>
        <w:rPr>
          <w:rFonts w:hint="eastAsia" w:ascii="宋体" w:hAnsi="宋体"/>
          <w:sz w:val="24"/>
          <w:highlight w:val="none"/>
          <w:lang w:eastAsia="zh-CN"/>
        </w:rPr>
      </w:pPr>
      <w:r>
        <w:rPr>
          <w:rFonts w:hint="eastAsia" w:ascii="宋体" w:hAnsi="宋体" w:cs="宋体"/>
          <w:sz w:val="24"/>
          <w:szCs w:val="24"/>
          <w:highlight w:val="none"/>
        </w:rPr>
        <w:t xml:space="preserve"> </w:t>
      </w:r>
      <w:r>
        <w:rPr>
          <w:rFonts w:hint="eastAsia" w:ascii="宋体" w:hAnsi="宋体" w:cs="宋体"/>
          <w:color w:val="000000"/>
          <w:kern w:val="0"/>
          <w:sz w:val="24"/>
          <w:szCs w:val="24"/>
          <w:highlight w:val="none"/>
        </w:rPr>
        <w:t xml:space="preserve"> </w:t>
      </w:r>
      <w:r>
        <w:rPr>
          <w:rFonts w:hint="eastAsia" w:ascii="宋体" w:hAnsi="宋体" w:cs="宋体"/>
          <w:color w:val="000000"/>
          <w:kern w:val="0"/>
          <w:sz w:val="24"/>
          <w:szCs w:val="24"/>
          <w:highlight w:val="none"/>
          <w:lang w:eastAsia="zh-CN"/>
        </w:rPr>
        <w:t>具备有效机动车维修经营许可证或机动车维修经营备案表，维修资质必须为二类及以上汽车维修资质（</w:t>
      </w:r>
      <w:r>
        <w:rPr>
          <w:rFonts w:hint="eastAsia" w:ascii="宋体" w:hAnsi="宋体"/>
          <w:sz w:val="24"/>
          <w:highlight w:val="none"/>
        </w:rPr>
        <w:t>提供相关证明材料</w:t>
      </w:r>
      <w:r>
        <w:rPr>
          <w:rFonts w:hint="eastAsia" w:ascii="宋体" w:hAnsi="宋体"/>
          <w:sz w:val="24"/>
          <w:highlight w:val="none"/>
          <w:lang w:eastAsia="zh-CN"/>
        </w:rPr>
        <w:t>。）</w:t>
      </w:r>
    </w:p>
    <w:p>
      <w:pPr>
        <w:pStyle w:val="2"/>
        <w:rPr>
          <w:rFonts w:hint="eastAsia"/>
          <w:highlight w:val="none"/>
          <w:lang w:eastAsia="zh-CN"/>
        </w:rPr>
      </w:pPr>
    </w:p>
    <w:p>
      <w:pPr>
        <w:pStyle w:val="6"/>
        <w:rPr>
          <w:sz w:val="32"/>
          <w:highlight w:val="none"/>
        </w:rPr>
      </w:pPr>
      <w:r>
        <w:rPr>
          <w:color w:val="000000"/>
          <w:kern w:val="0"/>
          <w:sz w:val="24"/>
          <w:highlight w:val="none"/>
        </w:rPr>
        <w:br w:type="page"/>
      </w:r>
      <w:bookmarkStart w:id="156" w:name="_Toc44705287"/>
      <w:bookmarkStart w:id="157" w:name="_Toc44704919"/>
      <w:bookmarkStart w:id="158" w:name="_Toc44705066"/>
      <w:r>
        <w:rPr>
          <w:sz w:val="32"/>
          <w:highlight w:val="none"/>
        </w:rPr>
        <w:t>1.8</w:t>
      </w:r>
      <w:r>
        <w:rPr>
          <w:rFonts w:hint="eastAsia"/>
          <w:sz w:val="32"/>
          <w:highlight w:val="none"/>
        </w:rPr>
        <w:t>投标承诺书</w:t>
      </w:r>
      <w:bookmarkEnd w:id="156"/>
      <w:bookmarkEnd w:id="157"/>
      <w:bookmarkEnd w:id="158"/>
    </w:p>
    <w:p>
      <w:pPr>
        <w:spacing w:line="360" w:lineRule="auto"/>
        <w:rPr>
          <w:color w:val="000000"/>
          <w:sz w:val="24"/>
          <w:szCs w:val="24"/>
          <w:highlight w:val="none"/>
        </w:rPr>
      </w:pPr>
    </w:p>
    <w:p>
      <w:pPr>
        <w:spacing w:line="360" w:lineRule="auto"/>
        <w:rPr>
          <w:rFonts w:hint="eastAsia" w:ascii="宋体" w:eastAsia="宋体"/>
          <w:b/>
          <w:color w:val="000000"/>
          <w:sz w:val="24"/>
          <w:szCs w:val="24"/>
          <w:highlight w:val="none"/>
          <w:lang w:eastAsia="zh-CN"/>
        </w:rPr>
      </w:pPr>
      <w:r>
        <w:rPr>
          <w:rFonts w:hint="eastAsia"/>
          <w:color w:val="000000"/>
          <w:sz w:val="24"/>
          <w:szCs w:val="24"/>
          <w:highlight w:val="none"/>
        </w:rPr>
        <w:t>致：</w:t>
      </w:r>
      <w:r>
        <w:rPr>
          <w:rFonts w:hint="eastAsia"/>
          <w:color w:val="000000"/>
          <w:sz w:val="24"/>
          <w:szCs w:val="24"/>
          <w:highlight w:val="none"/>
          <w:u w:val="single"/>
          <w:lang w:eastAsia="zh-CN"/>
        </w:rPr>
        <w:t>乌鲁木齐高新建设工程项目管理咨询有限公司（盖章）</w:t>
      </w:r>
    </w:p>
    <w:p>
      <w:pPr>
        <w:spacing w:line="360" w:lineRule="auto"/>
        <w:rPr>
          <w:b/>
          <w:color w:val="000000"/>
          <w:sz w:val="24"/>
          <w:szCs w:val="24"/>
          <w:highlight w:val="none"/>
        </w:rPr>
      </w:pPr>
    </w:p>
    <w:p>
      <w:pPr>
        <w:spacing w:line="360" w:lineRule="auto"/>
        <w:ind w:firstLine="480" w:firstLineChars="200"/>
        <w:rPr>
          <w:color w:val="000000"/>
          <w:sz w:val="24"/>
          <w:szCs w:val="24"/>
          <w:highlight w:val="none"/>
        </w:rPr>
      </w:pPr>
      <w:r>
        <w:rPr>
          <w:rFonts w:hint="eastAsia"/>
          <w:color w:val="000000"/>
          <w:sz w:val="24"/>
          <w:szCs w:val="24"/>
          <w:highlight w:val="none"/>
        </w:rPr>
        <w:t>我方郑重承诺：</w:t>
      </w:r>
    </w:p>
    <w:p>
      <w:pPr>
        <w:spacing w:line="360" w:lineRule="auto"/>
        <w:ind w:firstLine="480" w:firstLineChars="200"/>
        <w:rPr>
          <w:color w:val="000000"/>
          <w:sz w:val="24"/>
          <w:szCs w:val="24"/>
          <w:highlight w:val="none"/>
        </w:rPr>
      </w:pPr>
      <w:r>
        <w:rPr>
          <w:color w:val="000000"/>
          <w:sz w:val="24"/>
          <w:szCs w:val="24"/>
          <w:highlight w:val="none"/>
        </w:rPr>
        <w:t>1.</w:t>
      </w:r>
      <w:r>
        <w:rPr>
          <w:rFonts w:hint="eastAsia"/>
          <w:color w:val="000000"/>
          <w:sz w:val="24"/>
          <w:szCs w:val="24"/>
          <w:highlight w:val="none"/>
        </w:rPr>
        <w:t>我方</w:t>
      </w:r>
      <w:r>
        <w:rPr>
          <w:rFonts w:hint="eastAsia"/>
          <w:color w:val="000000"/>
          <w:sz w:val="24"/>
          <w:szCs w:val="24"/>
          <w:highlight w:val="none"/>
          <w:u w:val="single"/>
        </w:rPr>
        <w:t>（以</w:t>
      </w:r>
      <w:r>
        <w:rPr>
          <w:color w:val="000000"/>
          <w:sz w:val="24"/>
          <w:szCs w:val="24"/>
          <w:highlight w:val="none"/>
          <w:u w:val="single"/>
        </w:rPr>
        <w:t>/</w:t>
      </w:r>
      <w:r>
        <w:rPr>
          <w:rFonts w:hint="eastAsia"/>
          <w:color w:val="000000"/>
          <w:sz w:val="24"/>
          <w:szCs w:val="24"/>
          <w:highlight w:val="none"/>
          <w:u w:val="single"/>
        </w:rPr>
        <w:t>不以）</w:t>
      </w:r>
      <w:r>
        <w:rPr>
          <w:rFonts w:hint="eastAsia"/>
          <w:color w:val="000000"/>
          <w:sz w:val="24"/>
          <w:szCs w:val="24"/>
          <w:highlight w:val="none"/>
        </w:rPr>
        <w:t>联合体方式参与投标。</w:t>
      </w:r>
    </w:p>
    <w:p>
      <w:pPr>
        <w:spacing w:line="360" w:lineRule="auto"/>
        <w:ind w:firstLine="480" w:firstLineChars="200"/>
        <w:rPr>
          <w:color w:val="000000"/>
          <w:sz w:val="24"/>
          <w:szCs w:val="24"/>
          <w:highlight w:val="none"/>
        </w:rPr>
      </w:pPr>
      <w:r>
        <w:rPr>
          <w:color w:val="000000"/>
          <w:sz w:val="24"/>
          <w:szCs w:val="24"/>
          <w:highlight w:val="none"/>
        </w:rPr>
        <w:t>2.</w:t>
      </w:r>
      <w:r>
        <w:rPr>
          <w:rFonts w:hint="eastAsia"/>
          <w:color w:val="000000"/>
          <w:sz w:val="24"/>
          <w:szCs w:val="24"/>
          <w:highlight w:val="none"/>
        </w:rPr>
        <w:t>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同时接受终身禁止参与</w:t>
      </w:r>
      <w:r>
        <w:rPr>
          <w:rFonts w:hint="eastAsia"/>
          <w:color w:val="000000"/>
          <w:sz w:val="24"/>
          <w:szCs w:val="24"/>
          <w:highlight w:val="none"/>
          <w:u w:val="single"/>
        </w:rPr>
        <w:t xml:space="preserve">   业主单位   </w:t>
      </w:r>
      <w:r>
        <w:rPr>
          <w:rFonts w:hint="eastAsia"/>
          <w:color w:val="000000"/>
          <w:sz w:val="24"/>
          <w:szCs w:val="24"/>
          <w:highlight w:val="none"/>
        </w:rPr>
        <w:t>政府采购活动的处理，并承担由此带来的一切法律后果。</w:t>
      </w:r>
    </w:p>
    <w:p>
      <w:pPr>
        <w:pStyle w:val="21"/>
        <w:rPr>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rPr>
          <w:color w:val="000000"/>
          <w:sz w:val="24"/>
          <w:szCs w:val="24"/>
          <w:highlight w:val="none"/>
        </w:rPr>
      </w:pPr>
    </w:p>
    <w:p>
      <w:pPr>
        <w:spacing w:line="360" w:lineRule="auto"/>
        <w:jc w:val="right"/>
        <w:rPr>
          <w:color w:val="000000"/>
          <w:sz w:val="24"/>
          <w:szCs w:val="24"/>
          <w:highlight w:val="none"/>
        </w:rPr>
      </w:pPr>
      <w:r>
        <w:rPr>
          <w:rFonts w:hint="eastAsia"/>
          <w:color w:val="000000"/>
          <w:sz w:val="24"/>
          <w:szCs w:val="24"/>
          <w:highlight w:val="none"/>
        </w:rPr>
        <w:t>投标人名称</w:t>
      </w:r>
      <w:r>
        <w:rPr>
          <w:color w:val="000000"/>
          <w:sz w:val="24"/>
          <w:szCs w:val="24"/>
          <w:highlight w:val="none"/>
        </w:rPr>
        <w:t>(</w:t>
      </w:r>
      <w:r>
        <w:rPr>
          <w:rFonts w:hint="eastAsia"/>
          <w:color w:val="000000"/>
          <w:sz w:val="24"/>
          <w:szCs w:val="24"/>
          <w:highlight w:val="none"/>
        </w:rPr>
        <w:t>盖章</w:t>
      </w:r>
      <w:r>
        <w:rPr>
          <w:color w:val="000000"/>
          <w:sz w:val="24"/>
          <w:szCs w:val="24"/>
          <w:highlight w:val="none"/>
        </w:rPr>
        <w:t>)</w:t>
      </w:r>
      <w:r>
        <w:rPr>
          <w:rFonts w:hint="eastAsia"/>
          <w:color w:val="000000"/>
          <w:sz w:val="24"/>
          <w:szCs w:val="24"/>
          <w:highlight w:val="none"/>
        </w:rPr>
        <w:t>：</w:t>
      </w:r>
    </w:p>
    <w:p>
      <w:pPr>
        <w:pStyle w:val="21"/>
        <w:rPr>
          <w:highlight w:val="none"/>
        </w:rPr>
      </w:pPr>
    </w:p>
    <w:p>
      <w:pPr>
        <w:spacing w:line="360" w:lineRule="auto"/>
        <w:jc w:val="right"/>
        <w:rPr>
          <w:color w:val="000000"/>
          <w:sz w:val="24"/>
          <w:szCs w:val="24"/>
          <w:highlight w:val="none"/>
        </w:rPr>
      </w:pPr>
      <w:r>
        <w:rPr>
          <w:rFonts w:hint="eastAsia"/>
          <w:color w:val="000000"/>
          <w:sz w:val="24"/>
          <w:szCs w:val="24"/>
          <w:highlight w:val="none"/>
        </w:rPr>
        <w:t>投标人授权代表签字：</w:t>
      </w:r>
    </w:p>
    <w:p>
      <w:pPr>
        <w:pStyle w:val="21"/>
        <w:rPr>
          <w:highlight w:val="none"/>
        </w:rPr>
      </w:pPr>
    </w:p>
    <w:p>
      <w:pPr>
        <w:jc w:val="right"/>
        <w:rPr>
          <w:color w:val="000000"/>
          <w:sz w:val="24"/>
          <w:szCs w:val="24"/>
          <w:highlight w:val="none"/>
        </w:rPr>
      </w:pPr>
      <w:r>
        <w:rPr>
          <w:rFonts w:hint="eastAsia"/>
          <w:color w:val="000000"/>
          <w:sz w:val="24"/>
          <w:szCs w:val="24"/>
          <w:highlight w:val="none"/>
        </w:rPr>
        <w:t>日期：</w:t>
      </w:r>
    </w:p>
    <w:p>
      <w:pPr>
        <w:pStyle w:val="21"/>
        <w:rPr>
          <w:highlight w:val="none"/>
        </w:rPr>
      </w:pPr>
    </w:p>
    <w:p>
      <w:pPr>
        <w:widowControl/>
        <w:jc w:val="left"/>
        <w:rPr>
          <w:rFonts w:ascii="宋体" w:cs="宋体"/>
          <w:b/>
          <w:bCs/>
          <w:sz w:val="24"/>
          <w:szCs w:val="24"/>
          <w:highlight w:val="none"/>
        </w:rPr>
      </w:pPr>
      <w:r>
        <w:rPr>
          <w:rFonts w:ascii="宋体" w:cs="宋体"/>
          <w:b/>
          <w:bCs/>
          <w:sz w:val="24"/>
          <w:szCs w:val="24"/>
          <w:highlight w:val="none"/>
        </w:rPr>
        <w:br w:type="page"/>
      </w:r>
    </w:p>
    <w:p>
      <w:pPr>
        <w:pStyle w:val="6"/>
        <w:rPr>
          <w:sz w:val="32"/>
          <w:highlight w:val="none"/>
        </w:rPr>
      </w:pPr>
      <w:bookmarkStart w:id="159" w:name="_Toc44705288"/>
      <w:bookmarkStart w:id="160" w:name="_Toc44704920"/>
      <w:bookmarkStart w:id="161" w:name="_Toc44705067"/>
      <w:r>
        <w:rPr>
          <w:sz w:val="32"/>
          <w:highlight w:val="none"/>
        </w:rPr>
        <w:t>1.9</w:t>
      </w:r>
      <w:r>
        <w:rPr>
          <w:rFonts w:hint="eastAsia"/>
          <w:sz w:val="32"/>
          <w:highlight w:val="none"/>
        </w:rPr>
        <w:t>投标保证金凭证（如适用）</w:t>
      </w:r>
      <w:bookmarkEnd w:id="159"/>
      <w:bookmarkEnd w:id="160"/>
      <w:bookmarkEnd w:id="161"/>
      <w:r>
        <w:rPr>
          <w:sz w:val="32"/>
          <w:highlight w:val="none"/>
        </w:rPr>
        <w:br w:type="page"/>
      </w:r>
    </w:p>
    <w:p>
      <w:pPr>
        <w:pStyle w:val="6"/>
        <w:rPr>
          <w:rFonts w:ascii="宋体" w:cs="宋体"/>
          <w:sz w:val="36"/>
          <w:szCs w:val="36"/>
          <w:highlight w:val="none"/>
        </w:rPr>
      </w:pPr>
    </w:p>
    <w:p>
      <w:pPr>
        <w:pStyle w:val="21"/>
        <w:rPr>
          <w:highlight w:val="none"/>
        </w:rPr>
      </w:pPr>
    </w:p>
    <w:p>
      <w:pPr>
        <w:rPr>
          <w:highlight w:val="none"/>
        </w:rPr>
      </w:pPr>
      <w:bookmarkStart w:id="162" w:name="_Toc14776856"/>
      <w:bookmarkStart w:id="163" w:name="_Toc497167411"/>
      <w:bookmarkStart w:id="164" w:name="_Toc44705068"/>
      <w:bookmarkStart w:id="165" w:name="_Toc2355264"/>
      <w:bookmarkStart w:id="166" w:name="_Toc44704921"/>
      <w:bookmarkStart w:id="167" w:name="_Toc2512006"/>
    </w:p>
    <w:p>
      <w:pPr>
        <w:rPr>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pStyle w:val="21"/>
        <w:rPr>
          <w:highlight w:val="none"/>
        </w:rPr>
      </w:pPr>
    </w:p>
    <w:p>
      <w:pPr>
        <w:pStyle w:val="4"/>
        <w:jc w:val="center"/>
        <w:rPr>
          <w:rFonts w:ascii="宋体" w:hAnsi="宋体" w:eastAsia="宋体"/>
          <w:sz w:val="36"/>
          <w:szCs w:val="44"/>
          <w:highlight w:val="none"/>
        </w:rPr>
      </w:pPr>
      <w:bookmarkStart w:id="168" w:name="_Toc44705289"/>
      <w:r>
        <w:rPr>
          <w:rFonts w:hint="eastAsia" w:ascii="宋体" w:hAnsi="宋体" w:eastAsia="宋体"/>
          <w:sz w:val="36"/>
          <w:szCs w:val="44"/>
          <w:highlight w:val="none"/>
        </w:rPr>
        <w:t>投标文件</w:t>
      </w:r>
      <w:bookmarkEnd w:id="162"/>
      <w:bookmarkEnd w:id="168"/>
    </w:p>
    <w:bookmarkEnd w:id="163"/>
    <w:bookmarkEnd w:id="164"/>
    <w:bookmarkEnd w:id="165"/>
    <w:bookmarkEnd w:id="166"/>
    <w:bookmarkEnd w:id="167"/>
    <w:p>
      <w:pPr>
        <w:widowControl/>
        <w:spacing w:line="360" w:lineRule="auto"/>
        <w:jc w:val="center"/>
        <w:rPr>
          <w:rFonts w:ascii="宋体" w:cs="宋体"/>
          <w:b/>
          <w:sz w:val="44"/>
          <w:szCs w:val="44"/>
          <w:highlight w:val="none"/>
        </w:rPr>
      </w:pPr>
      <w:r>
        <w:rPr>
          <w:rFonts w:ascii="宋体" w:cs="宋体"/>
          <w:b/>
          <w:sz w:val="44"/>
          <w:szCs w:val="44"/>
          <w:highlight w:val="none"/>
        </w:rPr>
        <w:br w:type="page"/>
      </w:r>
    </w:p>
    <w:p>
      <w:pPr>
        <w:spacing w:line="360" w:lineRule="auto"/>
        <w:rPr>
          <w:rFonts w:ascii="宋体" w:cs="宋体"/>
          <w:sz w:val="28"/>
          <w:highlight w:val="none"/>
        </w:rPr>
      </w:pPr>
      <w:r>
        <w:rPr>
          <w:rFonts w:hint="eastAsia" w:ascii="宋体" w:hAnsi="宋体" w:cs="宋体"/>
          <w:b/>
          <w:sz w:val="24"/>
          <w:szCs w:val="24"/>
          <w:highlight w:val="none"/>
        </w:rPr>
        <w:t>投标文件封面格式</w:t>
      </w:r>
    </w:p>
    <w:p>
      <w:pPr>
        <w:wordWrap w:val="0"/>
        <w:spacing w:line="360" w:lineRule="auto"/>
        <w:jc w:val="right"/>
        <w:rPr>
          <w:rFonts w:ascii="宋体" w:cs="宋体"/>
          <w:b/>
          <w:sz w:val="28"/>
          <w:szCs w:val="28"/>
          <w:highlight w:val="none"/>
        </w:rPr>
      </w:pPr>
      <w:r>
        <w:rPr>
          <w:rFonts w:hint="eastAsia" w:ascii="宋体" w:hAnsi="宋体" w:cs="宋体"/>
          <w:b/>
          <w:sz w:val="28"/>
          <w:szCs w:val="28"/>
          <w:highlight w:val="none"/>
        </w:rPr>
        <w:t>（标注正本或副本）</w:t>
      </w:r>
    </w:p>
    <w:p>
      <w:pPr>
        <w:spacing w:line="360" w:lineRule="auto"/>
        <w:jc w:val="center"/>
        <w:rPr>
          <w:rFonts w:ascii="宋体" w:cs="宋体"/>
          <w:b/>
          <w:sz w:val="96"/>
          <w:highlight w:val="none"/>
        </w:rPr>
      </w:pPr>
    </w:p>
    <w:p>
      <w:pPr>
        <w:spacing w:line="360" w:lineRule="auto"/>
        <w:jc w:val="center"/>
        <w:rPr>
          <w:rFonts w:ascii="宋体" w:cs="宋体"/>
          <w:b/>
          <w:sz w:val="80"/>
          <w:szCs w:val="80"/>
          <w:highlight w:val="none"/>
        </w:rPr>
      </w:pPr>
      <w:r>
        <w:rPr>
          <w:rFonts w:hint="eastAsia" w:ascii="宋体" w:hAnsi="宋体" w:cs="宋体"/>
          <w:b/>
          <w:sz w:val="80"/>
          <w:szCs w:val="80"/>
          <w:highlight w:val="none"/>
        </w:rPr>
        <w:t>（项目名称）</w:t>
      </w:r>
    </w:p>
    <w:p>
      <w:pPr>
        <w:spacing w:line="360" w:lineRule="auto"/>
        <w:jc w:val="center"/>
        <w:rPr>
          <w:rFonts w:ascii="宋体" w:cs="宋体"/>
          <w:b/>
          <w:sz w:val="80"/>
          <w:szCs w:val="80"/>
          <w:highlight w:val="none"/>
        </w:rPr>
      </w:pPr>
    </w:p>
    <w:p>
      <w:pPr>
        <w:spacing w:line="360" w:lineRule="auto"/>
        <w:jc w:val="center"/>
        <w:rPr>
          <w:rFonts w:ascii="宋体" w:cs="宋体"/>
          <w:b/>
          <w:sz w:val="96"/>
          <w:highlight w:val="none"/>
        </w:rPr>
      </w:pPr>
      <w:r>
        <w:rPr>
          <w:rFonts w:hint="eastAsia" w:ascii="宋体" w:hAnsi="宋体" w:cs="宋体"/>
          <w:b/>
          <w:sz w:val="96"/>
          <w:highlight w:val="none"/>
        </w:rPr>
        <w:t>投标文件</w:t>
      </w:r>
    </w:p>
    <w:p>
      <w:pPr>
        <w:spacing w:line="360" w:lineRule="auto"/>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jc w:val="center"/>
        <w:rPr>
          <w:rFonts w:ascii="宋体" w:cs="宋体"/>
          <w:b/>
          <w:highlight w:val="none"/>
        </w:rPr>
      </w:pPr>
    </w:p>
    <w:p>
      <w:pPr>
        <w:spacing w:line="360" w:lineRule="auto"/>
        <w:rPr>
          <w:rFonts w:ascii="宋体" w:cs="宋体"/>
          <w:b/>
          <w:sz w:val="36"/>
          <w:szCs w:val="36"/>
          <w:highlight w:val="none"/>
        </w:rPr>
      </w:pPr>
      <w:r>
        <w:rPr>
          <w:rFonts w:hint="eastAsia" w:ascii="宋体" w:hAnsi="宋体" w:cs="宋体"/>
          <w:b/>
          <w:sz w:val="36"/>
          <w:szCs w:val="36"/>
          <w:highlight w:val="none"/>
        </w:rPr>
        <w:t>招标编号</w:t>
      </w:r>
      <w:r>
        <w:rPr>
          <w:rFonts w:ascii="宋体" w:hAnsi="宋体" w:cs="宋体"/>
          <w:b/>
          <w:sz w:val="36"/>
          <w:szCs w:val="36"/>
          <w:highlight w:val="none"/>
        </w:rPr>
        <w:t>[</w:t>
      </w:r>
      <w:r>
        <w:rPr>
          <w:rFonts w:hint="eastAsia" w:ascii="宋体" w:hAnsi="宋体" w:cs="宋体"/>
          <w:b/>
          <w:sz w:val="36"/>
          <w:szCs w:val="36"/>
          <w:highlight w:val="none"/>
        </w:rPr>
        <w:t>包号</w:t>
      </w:r>
      <w:r>
        <w:rPr>
          <w:rFonts w:ascii="宋体" w:hAnsi="宋体" w:cs="宋体"/>
          <w:b/>
          <w:sz w:val="36"/>
          <w:szCs w:val="36"/>
          <w:highlight w:val="none"/>
        </w:rPr>
        <w:t>]</w:t>
      </w:r>
      <w:r>
        <w:rPr>
          <w:rFonts w:hint="eastAsia" w:ascii="宋体" w:hAnsi="宋体" w:cs="宋体"/>
          <w:b/>
          <w:sz w:val="36"/>
          <w:szCs w:val="36"/>
          <w:highlight w:val="none"/>
        </w:rPr>
        <w:t>：</w:t>
      </w:r>
    </w:p>
    <w:p>
      <w:pPr>
        <w:spacing w:line="360" w:lineRule="auto"/>
        <w:ind w:left="2992" w:hanging="2631"/>
        <w:rPr>
          <w:rFonts w:ascii="宋体" w:cs="宋体"/>
          <w:b/>
          <w:sz w:val="36"/>
          <w:szCs w:val="36"/>
          <w:highlight w:val="none"/>
        </w:rPr>
      </w:pPr>
    </w:p>
    <w:p>
      <w:pPr>
        <w:spacing w:line="360" w:lineRule="auto"/>
        <w:rPr>
          <w:rFonts w:ascii="宋体" w:cs="宋体"/>
          <w:b/>
          <w:sz w:val="36"/>
          <w:szCs w:val="36"/>
          <w:highlight w:val="none"/>
          <w:u w:val="single"/>
        </w:rPr>
      </w:pPr>
      <w:r>
        <w:rPr>
          <w:rFonts w:hint="eastAsia" w:ascii="宋体" w:hAnsi="宋体" w:cs="宋体"/>
          <w:b/>
          <w:sz w:val="36"/>
          <w:szCs w:val="36"/>
          <w:highlight w:val="none"/>
        </w:rPr>
        <w:t>投标人名称：</w:t>
      </w:r>
      <w:r>
        <w:rPr>
          <w:rFonts w:ascii="宋体" w:hAnsi="宋体" w:cs="宋体"/>
          <w:b/>
          <w:sz w:val="36"/>
          <w:szCs w:val="36"/>
          <w:highlight w:val="none"/>
        </w:rPr>
        <w:t xml:space="preserve"> </w:t>
      </w:r>
      <w:r>
        <w:rPr>
          <w:rFonts w:ascii="宋体" w:hAnsi="宋体" w:cs="宋体"/>
          <w:b/>
          <w:sz w:val="36"/>
          <w:szCs w:val="36"/>
          <w:highlight w:val="none"/>
          <w:u w:val="single"/>
        </w:rPr>
        <w:t xml:space="preserve">                </w:t>
      </w:r>
      <w:r>
        <w:rPr>
          <w:rFonts w:hint="eastAsia" w:ascii="宋体" w:hAnsi="宋体" w:cs="宋体"/>
          <w:b/>
          <w:sz w:val="36"/>
          <w:szCs w:val="36"/>
          <w:highlight w:val="none"/>
          <w:u w:val="single"/>
        </w:rPr>
        <w:t>（盖公章）</w:t>
      </w:r>
    </w:p>
    <w:p>
      <w:pPr>
        <w:spacing w:line="360" w:lineRule="auto"/>
        <w:rPr>
          <w:rFonts w:ascii="宋体" w:cs="宋体"/>
          <w:b/>
          <w:sz w:val="36"/>
          <w:szCs w:val="36"/>
          <w:highlight w:val="none"/>
        </w:rPr>
      </w:pPr>
    </w:p>
    <w:p>
      <w:pPr>
        <w:spacing w:line="360" w:lineRule="auto"/>
        <w:jc w:val="center"/>
        <w:rPr>
          <w:rFonts w:ascii="宋体" w:cs="宋体"/>
          <w:b/>
          <w:sz w:val="36"/>
          <w:szCs w:val="36"/>
          <w:highlight w:val="none"/>
        </w:rPr>
      </w:pPr>
      <w:r>
        <w:rPr>
          <w:rFonts w:ascii="宋体" w:hAnsi="宋体" w:cs="宋体"/>
          <w:b/>
          <w:sz w:val="36"/>
          <w:szCs w:val="36"/>
          <w:highlight w:val="none"/>
        </w:rPr>
        <w:t xml:space="preserve"> </w:t>
      </w:r>
      <w:r>
        <w:rPr>
          <w:rFonts w:hint="eastAsia" w:ascii="宋体" w:hAnsi="宋体" w:cs="宋体"/>
          <w:b/>
          <w:sz w:val="36"/>
          <w:szCs w:val="36"/>
          <w:highlight w:val="none"/>
        </w:rPr>
        <w:t>年</w:t>
      </w:r>
      <w:r>
        <w:rPr>
          <w:rFonts w:ascii="宋体" w:hAnsi="宋体" w:cs="宋体"/>
          <w:b/>
          <w:sz w:val="36"/>
          <w:szCs w:val="36"/>
          <w:highlight w:val="none"/>
        </w:rPr>
        <w:t xml:space="preserve">  </w:t>
      </w:r>
      <w:r>
        <w:rPr>
          <w:rFonts w:hint="eastAsia" w:ascii="宋体" w:hAnsi="宋体" w:cs="宋体"/>
          <w:b/>
          <w:sz w:val="36"/>
          <w:szCs w:val="36"/>
          <w:highlight w:val="none"/>
        </w:rPr>
        <w:t>月</w:t>
      </w:r>
      <w:r>
        <w:rPr>
          <w:rFonts w:ascii="宋体" w:hAnsi="宋体" w:cs="宋体"/>
          <w:b/>
          <w:sz w:val="36"/>
          <w:szCs w:val="36"/>
          <w:highlight w:val="none"/>
        </w:rPr>
        <w:t xml:space="preserve">  </w:t>
      </w:r>
      <w:r>
        <w:rPr>
          <w:rFonts w:hint="eastAsia" w:ascii="宋体" w:hAnsi="宋体" w:cs="宋体"/>
          <w:b/>
          <w:sz w:val="36"/>
          <w:szCs w:val="36"/>
          <w:highlight w:val="none"/>
        </w:rPr>
        <w:t>日</w:t>
      </w:r>
      <w:bookmarkStart w:id="169" w:name="_Hlt487900425"/>
      <w:bookmarkEnd w:id="169"/>
      <w:bookmarkStart w:id="170" w:name="_Toc2355265"/>
      <w:bookmarkStart w:id="171" w:name="_Toc497167412"/>
      <w:bookmarkStart w:id="172" w:name="_Toc14776857"/>
      <w:bookmarkStart w:id="173" w:name="_Toc493422658"/>
      <w:bookmarkStart w:id="174" w:name="_Toc2512007"/>
    </w:p>
    <w:p>
      <w:pPr>
        <w:spacing w:line="360" w:lineRule="auto"/>
        <w:jc w:val="center"/>
        <w:rPr>
          <w:rFonts w:ascii="宋体" w:cs="宋体"/>
          <w:b/>
          <w:sz w:val="36"/>
          <w:szCs w:val="36"/>
          <w:highlight w:val="none"/>
        </w:rPr>
      </w:pPr>
    </w:p>
    <w:p>
      <w:pPr>
        <w:pStyle w:val="6"/>
        <w:rPr>
          <w:rFonts w:ascii="宋体" w:cs="宋体"/>
          <w:sz w:val="36"/>
          <w:szCs w:val="36"/>
          <w:highlight w:val="none"/>
        </w:rPr>
      </w:pPr>
      <w:bookmarkStart w:id="175" w:name="_Toc44705069"/>
      <w:bookmarkStart w:id="176" w:name="_Toc44705290"/>
      <w:bookmarkStart w:id="177" w:name="_Toc44704922"/>
      <w:r>
        <w:rPr>
          <w:rFonts w:ascii="宋体" w:hAnsi="宋体" w:cs="宋体"/>
          <w:sz w:val="32"/>
          <w:szCs w:val="24"/>
          <w:highlight w:val="none"/>
        </w:rPr>
        <w:t>2.1</w:t>
      </w:r>
      <w:r>
        <w:rPr>
          <w:rFonts w:hint="eastAsia" w:ascii="宋体" w:hAnsi="宋体" w:cs="宋体"/>
          <w:sz w:val="32"/>
          <w:szCs w:val="24"/>
          <w:highlight w:val="none"/>
        </w:rPr>
        <w:t>、投标书格式</w:t>
      </w:r>
      <w:bookmarkEnd w:id="170"/>
      <w:bookmarkEnd w:id="171"/>
      <w:bookmarkEnd w:id="172"/>
      <w:bookmarkEnd w:id="173"/>
      <w:bookmarkEnd w:id="174"/>
      <w:bookmarkEnd w:id="175"/>
      <w:bookmarkEnd w:id="176"/>
      <w:bookmarkEnd w:id="177"/>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投</w:t>
      </w:r>
      <w:r>
        <w:rPr>
          <w:rFonts w:ascii="宋体" w:hAnsi="宋体" w:cs="宋体"/>
          <w:b/>
          <w:bCs/>
          <w:sz w:val="32"/>
          <w:szCs w:val="32"/>
          <w:highlight w:val="none"/>
        </w:rPr>
        <w:t xml:space="preserve"> </w:t>
      </w:r>
      <w:r>
        <w:rPr>
          <w:rFonts w:hint="eastAsia" w:ascii="宋体" w:hAnsi="宋体" w:cs="宋体"/>
          <w:b/>
          <w:bCs/>
          <w:sz w:val="32"/>
          <w:szCs w:val="32"/>
          <w:highlight w:val="none"/>
        </w:rPr>
        <w:t>标</w:t>
      </w:r>
      <w:r>
        <w:rPr>
          <w:rFonts w:ascii="宋体" w:hAnsi="宋体" w:cs="宋体"/>
          <w:b/>
          <w:bCs/>
          <w:sz w:val="32"/>
          <w:szCs w:val="32"/>
          <w:highlight w:val="none"/>
        </w:rPr>
        <w:t xml:space="preserve"> </w:t>
      </w:r>
      <w:r>
        <w:rPr>
          <w:rFonts w:hint="eastAsia" w:ascii="宋体" w:hAnsi="宋体" w:cs="宋体"/>
          <w:b/>
          <w:bCs/>
          <w:sz w:val="32"/>
          <w:szCs w:val="32"/>
          <w:highlight w:val="none"/>
        </w:rPr>
        <w:t>书</w:t>
      </w:r>
    </w:p>
    <w:p>
      <w:pPr>
        <w:spacing w:line="360" w:lineRule="auto"/>
        <w:rPr>
          <w:rFonts w:hint="eastAsia" w:asci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乌鲁木齐高新建设工程项目管理咨询有限公司（盖章）</w:t>
      </w:r>
    </w:p>
    <w:p>
      <w:pPr>
        <w:spacing w:line="360" w:lineRule="auto"/>
        <w:ind w:firstLine="435"/>
        <w:rPr>
          <w:rFonts w:ascii="宋体" w:cs="宋体"/>
          <w:sz w:val="24"/>
          <w:szCs w:val="24"/>
          <w:highlight w:val="none"/>
        </w:rPr>
      </w:pPr>
      <w:r>
        <w:rPr>
          <w:rFonts w:hint="eastAsia" w:ascii="宋体" w:hAnsi="宋体" w:cs="宋体"/>
          <w:sz w:val="24"/>
          <w:szCs w:val="24"/>
          <w:highlight w:val="none"/>
        </w:rPr>
        <w:t>根据贵方为</w:t>
      </w:r>
      <w:r>
        <w:rPr>
          <w:rFonts w:hint="eastAsia" w:ascii="宋体" w:hAnsi="宋体" w:cs="宋体"/>
          <w:sz w:val="24"/>
          <w:szCs w:val="24"/>
          <w:highlight w:val="none"/>
          <w:u w:val="single"/>
        </w:rPr>
        <w:t>（招标项目名称）</w:t>
      </w:r>
      <w:r>
        <w:rPr>
          <w:rFonts w:hint="eastAsia" w:ascii="宋体" w:hAnsi="宋体" w:cs="宋体"/>
          <w:sz w:val="24"/>
          <w:szCs w:val="24"/>
          <w:highlight w:val="none"/>
        </w:rPr>
        <w:t>招标采购货物/服务的投标邀请</w:t>
      </w:r>
      <w:r>
        <w:rPr>
          <w:rFonts w:hint="eastAsia" w:ascii="宋体" w:hAnsi="宋体" w:cs="宋体"/>
          <w:sz w:val="24"/>
          <w:szCs w:val="24"/>
          <w:highlight w:val="none"/>
          <w:u w:val="single"/>
        </w:rPr>
        <w:t>（招标编号）</w:t>
      </w:r>
      <w:r>
        <w:rPr>
          <w:rFonts w:hint="eastAsia" w:ascii="宋体" w:hAnsi="宋体" w:cs="宋体"/>
          <w:sz w:val="24"/>
          <w:szCs w:val="24"/>
          <w:highlight w:val="none"/>
        </w:rPr>
        <w:t>，签字代表</w:t>
      </w:r>
      <w:r>
        <w:rPr>
          <w:rFonts w:hint="eastAsia" w:ascii="宋体" w:hAnsi="宋体" w:cs="宋体"/>
          <w:sz w:val="24"/>
          <w:szCs w:val="24"/>
          <w:highlight w:val="none"/>
          <w:u w:val="single"/>
        </w:rPr>
        <w:t>（姓名、职务）</w:t>
      </w:r>
      <w:r>
        <w:rPr>
          <w:rFonts w:hint="eastAsia" w:ascii="宋体" w:hAnsi="宋体" w:cs="宋体"/>
          <w:sz w:val="24"/>
          <w:szCs w:val="24"/>
          <w:highlight w:val="none"/>
        </w:rPr>
        <w:t>经正式授权并代表投标人</w:t>
      </w:r>
      <w:r>
        <w:rPr>
          <w:rFonts w:hint="eastAsia" w:ascii="宋体" w:hAnsi="宋体" w:cs="宋体"/>
          <w:sz w:val="24"/>
          <w:szCs w:val="24"/>
          <w:highlight w:val="none"/>
          <w:u w:val="single"/>
        </w:rPr>
        <w:t>（投标人名称、地址）</w:t>
      </w:r>
      <w:r>
        <w:rPr>
          <w:rFonts w:hint="eastAsia" w:ascii="宋体" w:hAnsi="宋体" w:cs="宋体"/>
          <w:sz w:val="24"/>
          <w:szCs w:val="24"/>
          <w:highlight w:val="none"/>
        </w:rPr>
        <w:t>提交</w:t>
      </w:r>
      <w:r>
        <w:rPr>
          <w:rFonts w:hint="eastAsia" w:ascii="宋体" w:hAnsi="宋体" w:cs="宋体"/>
          <w:sz w:val="24"/>
          <w:szCs w:val="24"/>
          <w:highlight w:val="none"/>
          <w:lang w:val="en-US" w:eastAsia="zh-CN"/>
        </w:rPr>
        <w:t>政采云电子文件一份</w:t>
      </w:r>
      <w:r>
        <w:rPr>
          <w:rFonts w:hint="eastAsia" w:ascii="宋体" w:hAnsi="宋体" w:cs="宋体"/>
          <w:sz w:val="24"/>
          <w:szCs w:val="24"/>
          <w:highlight w:val="none"/>
        </w:rPr>
        <w:t>。</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开标一览表</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投标分项（明细）报价表</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服务需求偏离表</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商务条款偏离表</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资格证明材料</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遵守国家有关法律、法规和规章，按招标文件中投标人须知和技术规格要求提供的有关文件</w:t>
      </w:r>
    </w:p>
    <w:p>
      <w:pPr>
        <w:numPr>
          <w:ilvl w:val="0"/>
          <w:numId w:val="18"/>
        </w:numPr>
        <w:spacing w:line="360" w:lineRule="auto"/>
        <w:rPr>
          <w:rFonts w:ascii="宋体" w:cs="宋体"/>
          <w:sz w:val="24"/>
          <w:szCs w:val="24"/>
          <w:highlight w:val="none"/>
        </w:rPr>
      </w:pPr>
      <w:r>
        <w:rPr>
          <w:rFonts w:hint="eastAsia" w:ascii="宋体" w:hAnsi="宋体" w:cs="宋体"/>
          <w:sz w:val="24"/>
          <w:szCs w:val="24"/>
          <w:highlight w:val="none"/>
        </w:rPr>
        <w:t>以</w:t>
      </w:r>
      <w:r>
        <w:rPr>
          <w:rFonts w:ascii="宋体" w:hAnsi="宋体" w:cs="宋体"/>
          <w:sz w:val="24"/>
          <w:szCs w:val="24"/>
          <w:highlight w:val="none"/>
          <w:u w:val="single"/>
        </w:rPr>
        <w:t xml:space="preserve">      </w:t>
      </w:r>
      <w:r>
        <w:rPr>
          <w:rFonts w:hint="eastAsia" w:ascii="宋体" w:hAnsi="宋体" w:cs="宋体"/>
          <w:sz w:val="24"/>
          <w:szCs w:val="24"/>
          <w:highlight w:val="none"/>
        </w:rPr>
        <w:t>形式出具的投标保证金，金额为人民币</w:t>
      </w:r>
      <w:r>
        <w:rPr>
          <w:rFonts w:ascii="宋体" w:hAnsi="宋体" w:cs="宋体"/>
          <w:sz w:val="24"/>
          <w:szCs w:val="24"/>
          <w:highlight w:val="none"/>
          <w:u w:val="single"/>
        </w:rPr>
        <w:t xml:space="preserve">     </w:t>
      </w:r>
      <w:r>
        <w:rPr>
          <w:rFonts w:hint="eastAsia" w:ascii="宋体" w:hAnsi="宋体" w:cs="宋体"/>
          <w:sz w:val="24"/>
          <w:szCs w:val="24"/>
          <w:highlight w:val="none"/>
        </w:rPr>
        <w:t>元。</w:t>
      </w:r>
    </w:p>
    <w:p>
      <w:pPr>
        <w:spacing w:line="360" w:lineRule="auto"/>
        <w:ind w:firstLine="480" w:firstLineChars="200"/>
        <w:rPr>
          <w:rFonts w:ascii="宋体" w:cs="宋体"/>
          <w:sz w:val="24"/>
          <w:szCs w:val="24"/>
          <w:highlight w:val="none"/>
        </w:rPr>
      </w:pPr>
      <w:r>
        <w:rPr>
          <w:rFonts w:hint="eastAsia" w:ascii="宋体" w:hAnsi="宋体" w:cs="宋体"/>
          <w:sz w:val="24"/>
          <w:szCs w:val="24"/>
          <w:highlight w:val="none"/>
        </w:rPr>
        <w:t>在此，签字代表宣布同意如下：</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所附投标价格表中规定的应提供的服务投标</w:t>
      </w:r>
      <w:r>
        <w:rPr>
          <w:rFonts w:hint="eastAsia" w:ascii="宋体" w:hAnsi="宋体" w:cs="宋体"/>
          <w:sz w:val="24"/>
          <w:szCs w:val="24"/>
          <w:highlight w:val="none"/>
          <w:lang w:val="en-US" w:eastAsia="zh-CN"/>
        </w:rPr>
        <w:t>下浮率</w:t>
      </w:r>
      <w:r>
        <w:rPr>
          <w:rFonts w:hint="eastAsia" w:ascii="宋体" w:hAnsi="宋体" w:cs="宋体"/>
          <w:sz w:val="24"/>
          <w:szCs w:val="24"/>
          <w:highlight w:val="none"/>
        </w:rPr>
        <w:t>为</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，合同履行期限为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我方将按招标文件的规定履行合同责任和义务。</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我方已详细审查全部招标文件。我方完全理解并同意放弃对这方面有不明及误解的权利。</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本投标有效期为自开标日起</w:t>
      </w:r>
      <w:r>
        <w:rPr>
          <w:rFonts w:ascii="宋体" w:hAnsi="宋体" w:cs="宋体"/>
          <w:sz w:val="24"/>
          <w:szCs w:val="24"/>
          <w:highlight w:val="none"/>
          <w:u w:val="single"/>
        </w:rPr>
        <w:t xml:space="preserve">        </w:t>
      </w:r>
      <w:r>
        <w:rPr>
          <w:rFonts w:hint="eastAsia" w:ascii="宋体" w:hAnsi="宋体" w:cs="宋体"/>
          <w:sz w:val="24"/>
          <w:szCs w:val="24"/>
          <w:highlight w:val="none"/>
        </w:rPr>
        <w:t>个日历日。</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如果在规定的开标时间后，我方在投标有效期内撤回投标，投标保证金将不予退还。</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我方承诺，我方与采购人和采购代理机构无关联。</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我方同意提供按照贵方可能要求的与其投标有关的一切数据或资料，完全理解贵方不一定接受最低投标报价的投标或收到的任何投标。</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有关处理，同时承担由此带来的一切法律后果。</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若我方获得中标，我方保证在领取中标通知书的同时，按有关规定向贵方支付招标代理服务费。</w:t>
      </w:r>
    </w:p>
    <w:p>
      <w:pPr>
        <w:numPr>
          <w:ilvl w:val="1"/>
          <w:numId w:val="19"/>
        </w:numPr>
        <w:spacing w:line="360" w:lineRule="auto"/>
        <w:rPr>
          <w:rFonts w:ascii="宋体" w:cs="宋体"/>
          <w:sz w:val="24"/>
          <w:szCs w:val="24"/>
          <w:highlight w:val="none"/>
        </w:rPr>
      </w:pPr>
      <w:r>
        <w:rPr>
          <w:rFonts w:hint="eastAsia" w:ascii="宋体" w:hAnsi="宋体" w:cs="宋体"/>
          <w:sz w:val="24"/>
          <w:szCs w:val="24"/>
          <w:highlight w:val="none"/>
        </w:rPr>
        <w:t>与本投标有关的一切正式往来信函请寄：</w:t>
      </w:r>
    </w:p>
    <w:tbl>
      <w:tblPr>
        <w:tblStyle w:val="48"/>
        <w:tblW w:w="0" w:type="auto"/>
        <w:tblInd w:w="0" w:type="dxa"/>
        <w:tblLayout w:type="fixed"/>
        <w:tblCellMar>
          <w:top w:w="0" w:type="dxa"/>
          <w:left w:w="108" w:type="dxa"/>
          <w:bottom w:w="0" w:type="dxa"/>
          <w:right w:w="108" w:type="dxa"/>
        </w:tblCellMar>
      </w:tblPr>
      <w:tblGrid>
        <w:gridCol w:w="4291"/>
        <w:gridCol w:w="4291"/>
      </w:tblGrid>
      <w:tr>
        <w:tblPrEx>
          <w:tblCellMar>
            <w:top w:w="0" w:type="dxa"/>
            <w:left w:w="108" w:type="dxa"/>
            <w:bottom w:w="0" w:type="dxa"/>
            <w:right w:w="108" w:type="dxa"/>
          </w:tblCellMar>
        </w:tblPrEx>
        <w:trPr>
          <w:trHeight w:val="716" w:hRule="atLeast"/>
        </w:trPr>
        <w:tc>
          <w:tcPr>
            <w:tcW w:w="4291" w:type="dxa"/>
          </w:tcPr>
          <w:p>
            <w:pPr>
              <w:spacing w:line="360" w:lineRule="auto"/>
              <w:rPr>
                <w:rFonts w:ascii="宋体"/>
                <w:sz w:val="24"/>
                <w:szCs w:val="24"/>
                <w:highlight w:val="none"/>
              </w:rPr>
            </w:pPr>
            <w:r>
              <w:rPr>
                <w:rFonts w:hint="eastAsia" w:ascii="宋体" w:hAnsi="宋体"/>
                <w:sz w:val="24"/>
                <w:szCs w:val="24"/>
                <w:highlight w:val="none"/>
              </w:rPr>
              <w:t>地址</w:t>
            </w:r>
            <w:r>
              <w:rPr>
                <w:rFonts w:ascii="宋体" w:hAnsi="宋体"/>
                <w:sz w:val="24"/>
                <w:szCs w:val="24"/>
                <w:highlight w:val="none"/>
                <w:u w:val="single"/>
              </w:rPr>
              <w:t xml:space="preserve">                              </w:t>
            </w:r>
          </w:p>
          <w:p>
            <w:pPr>
              <w:spacing w:line="360" w:lineRule="auto"/>
              <w:rPr>
                <w:rFonts w:ascii="宋体"/>
                <w:sz w:val="24"/>
                <w:szCs w:val="24"/>
                <w:highlight w:val="none"/>
              </w:rPr>
            </w:pPr>
            <w:r>
              <w:rPr>
                <w:rFonts w:hint="eastAsia" w:ascii="宋体" w:hAnsi="宋体"/>
                <w:sz w:val="24"/>
                <w:szCs w:val="24"/>
                <w:highlight w:val="none"/>
              </w:rPr>
              <w:t>电话</w:t>
            </w:r>
            <w:r>
              <w:rPr>
                <w:rFonts w:ascii="宋体" w:hAnsi="宋体"/>
                <w:sz w:val="24"/>
                <w:szCs w:val="24"/>
                <w:highlight w:val="none"/>
                <w:u w:val="single"/>
              </w:rPr>
              <w:t xml:space="preserve">                              </w:t>
            </w:r>
          </w:p>
        </w:tc>
        <w:tc>
          <w:tcPr>
            <w:tcW w:w="4291" w:type="dxa"/>
          </w:tcPr>
          <w:p>
            <w:pPr>
              <w:spacing w:line="360" w:lineRule="auto"/>
              <w:rPr>
                <w:rFonts w:ascii="宋体"/>
                <w:sz w:val="24"/>
                <w:szCs w:val="24"/>
                <w:highlight w:val="none"/>
              </w:rPr>
            </w:pPr>
            <w:r>
              <w:rPr>
                <w:rFonts w:hint="eastAsia" w:ascii="宋体" w:hAnsi="宋体"/>
                <w:sz w:val="24"/>
                <w:szCs w:val="24"/>
                <w:highlight w:val="none"/>
              </w:rPr>
              <w:t>传真</w:t>
            </w:r>
            <w:r>
              <w:rPr>
                <w:rFonts w:ascii="宋体" w:hAnsi="宋体"/>
                <w:sz w:val="24"/>
                <w:szCs w:val="24"/>
                <w:highlight w:val="none"/>
                <w:u w:val="single"/>
              </w:rPr>
              <w:t xml:space="preserve">                               </w:t>
            </w:r>
          </w:p>
          <w:p>
            <w:pPr>
              <w:spacing w:line="360" w:lineRule="auto"/>
              <w:rPr>
                <w:rFonts w:ascii="宋体"/>
                <w:sz w:val="24"/>
                <w:szCs w:val="24"/>
                <w:highlight w:val="none"/>
              </w:rPr>
            </w:pPr>
            <w:r>
              <w:rPr>
                <w:rFonts w:hint="eastAsia" w:ascii="宋体" w:hAnsi="宋体"/>
                <w:sz w:val="24"/>
                <w:szCs w:val="24"/>
                <w:highlight w:val="none"/>
              </w:rPr>
              <w:t>电子函件</w:t>
            </w:r>
            <w:r>
              <w:rPr>
                <w:rFonts w:ascii="宋体" w:hAnsi="宋体"/>
                <w:sz w:val="24"/>
                <w:szCs w:val="24"/>
                <w:highlight w:val="none"/>
                <w:u w:val="single"/>
              </w:rPr>
              <w:t xml:space="preserve">                           </w:t>
            </w:r>
          </w:p>
        </w:tc>
      </w:tr>
    </w:tbl>
    <w:p>
      <w:pPr>
        <w:spacing w:line="360" w:lineRule="auto"/>
        <w:jc w:val="right"/>
        <w:rPr>
          <w:rFonts w:ascii="宋体" w:cs="宋体"/>
          <w:sz w:val="24"/>
          <w:szCs w:val="24"/>
          <w:highlight w:val="none"/>
        </w:rPr>
      </w:pPr>
    </w:p>
    <w:p>
      <w:pPr>
        <w:spacing w:line="360" w:lineRule="auto"/>
        <w:jc w:val="right"/>
        <w:rPr>
          <w:rFonts w:ascii="宋体" w:cs="宋体"/>
          <w:sz w:val="24"/>
          <w:szCs w:val="24"/>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1"/>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1"/>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日期：</w:t>
      </w:r>
    </w:p>
    <w:p>
      <w:pPr>
        <w:pStyle w:val="6"/>
        <w:rPr>
          <w:rFonts w:ascii="宋体" w:cs="宋体"/>
          <w:szCs w:val="21"/>
          <w:highlight w:val="none"/>
        </w:rPr>
      </w:pPr>
      <w:bookmarkStart w:id="178" w:name="_Toc2355266"/>
      <w:bookmarkStart w:id="179" w:name="_Toc497167413"/>
      <w:bookmarkStart w:id="180" w:name="_Toc2512008"/>
      <w:r>
        <w:rPr>
          <w:rFonts w:ascii="宋体" w:cs="宋体"/>
          <w:szCs w:val="21"/>
          <w:highlight w:val="none"/>
        </w:rPr>
        <w:br w:type="page"/>
      </w:r>
      <w:bookmarkStart w:id="181" w:name="_Toc44705070"/>
      <w:bookmarkStart w:id="182" w:name="_Toc44705291"/>
      <w:bookmarkStart w:id="183" w:name="_Toc44704923"/>
      <w:bookmarkStart w:id="184" w:name="_Toc14776858"/>
      <w:r>
        <w:rPr>
          <w:rFonts w:ascii="宋体" w:hAnsi="宋体" w:cs="宋体"/>
          <w:sz w:val="32"/>
          <w:szCs w:val="24"/>
          <w:highlight w:val="none"/>
        </w:rPr>
        <w:t>2.2</w:t>
      </w:r>
      <w:r>
        <w:rPr>
          <w:rFonts w:hint="eastAsia" w:ascii="宋体" w:hAnsi="宋体" w:cs="宋体"/>
          <w:sz w:val="32"/>
          <w:szCs w:val="24"/>
          <w:highlight w:val="none"/>
        </w:rPr>
        <w:t>、开标一览表格式</w:t>
      </w:r>
      <w:bookmarkEnd w:id="178"/>
      <w:bookmarkEnd w:id="179"/>
      <w:bookmarkEnd w:id="180"/>
      <w:bookmarkEnd w:id="181"/>
      <w:bookmarkEnd w:id="182"/>
      <w:bookmarkEnd w:id="183"/>
      <w:bookmarkEnd w:id="184"/>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开标一览表</w:t>
      </w:r>
    </w:p>
    <w:p>
      <w:pPr>
        <w:pStyle w:val="265"/>
        <w:spacing w:line="360" w:lineRule="auto"/>
        <w:ind w:left="207" w:leftChars="28" w:hanging="148" w:hangingChars="6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投标单位名称：   </w:t>
      </w:r>
    </w:p>
    <w:p>
      <w:pPr>
        <w:pStyle w:val="265"/>
        <w:spacing w:line="360" w:lineRule="auto"/>
        <w:ind w:left="207" w:leftChars="28" w:hanging="148" w:hangingChars="6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招标编号：                             </w:t>
      </w:r>
      <w:r>
        <w:rPr>
          <w:rFonts w:hint="eastAsia" w:asciiTheme="minorEastAsia" w:hAnsiTheme="minorEastAsia" w:eastAsiaTheme="minorEastAsia" w:cstheme="minorEastAsia"/>
          <w:bCs/>
          <w:color w:val="auto"/>
          <w:kern w:val="2"/>
          <w:sz w:val="24"/>
          <w:szCs w:val="24"/>
          <w:highlight w:val="none"/>
        </w:rPr>
        <w:t>所投内容：</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9"/>
        <w:gridCol w:w="3074"/>
        <w:gridCol w:w="3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422" w:type="pct"/>
            <w:noWrap w:val="0"/>
            <w:vAlign w:val="center"/>
          </w:tcPr>
          <w:p>
            <w:pPr>
              <w:pStyle w:val="26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w:t>
            </w:r>
          </w:p>
        </w:tc>
        <w:tc>
          <w:tcPr>
            <w:tcW w:w="3578" w:type="pct"/>
            <w:gridSpan w:val="2"/>
            <w:noWrap w:val="0"/>
            <w:vAlign w:val="center"/>
          </w:tcPr>
          <w:p>
            <w:pPr>
              <w:pStyle w:val="265"/>
              <w:spacing w:line="44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422" w:type="pct"/>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维修报价</w:t>
            </w:r>
          </w:p>
        </w:tc>
        <w:tc>
          <w:tcPr>
            <w:tcW w:w="1702" w:type="pct"/>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工时费优惠下浮率 %</w:t>
            </w:r>
          </w:p>
        </w:tc>
        <w:tc>
          <w:tcPr>
            <w:tcW w:w="1876" w:type="pct"/>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零配件优惠下浮率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2" w:type="pct"/>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乌鲁木齐市各车型4S店维修工时费、零配件报价为基础</w:t>
            </w:r>
          </w:p>
        </w:tc>
        <w:tc>
          <w:tcPr>
            <w:tcW w:w="1702" w:type="pct"/>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下浮     %</w:t>
            </w:r>
          </w:p>
        </w:tc>
        <w:tc>
          <w:tcPr>
            <w:tcW w:w="1876" w:type="pct"/>
            <w:noWrap w:val="0"/>
            <w:vAlign w:val="center"/>
          </w:tcPr>
          <w:p>
            <w:pPr>
              <w:widowControl/>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下浮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noWrap w:val="0"/>
            <w:vAlign w:val="center"/>
          </w:tcPr>
          <w:p>
            <w:pPr>
              <w:pStyle w:val="265"/>
              <w:spacing w:line="440" w:lineRule="exact"/>
              <w:ind w:firstLine="120" w:firstLineChars="5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服务期限</w:t>
            </w:r>
          </w:p>
        </w:tc>
        <w:tc>
          <w:tcPr>
            <w:tcW w:w="3578" w:type="pct"/>
            <w:gridSpan w:val="2"/>
            <w:noWrap w:val="0"/>
            <w:vAlign w:val="center"/>
          </w:tcPr>
          <w:p>
            <w:pPr>
              <w:pStyle w:val="26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22" w:type="pct"/>
            <w:noWrap w:val="0"/>
            <w:vAlign w:val="center"/>
          </w:tcPr>
          <w:p>
            <w:pPr>
              <w:pStyle w:val="265"/>
              <w:spacing w:line="440" w:lineRule="exact"/>
              <w:ind w:firstLine="120" w:firstLineChars="5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tc>
        <w:tc>
          <w:tcPr>
            <w:tcW w:w="3578" w:type="pct"/>
            <w:gridSpan w:val="2"/>
            <w:noWrap w:val="0"/>
            <w:vAlign w:val="center"/>
          </w:tcPr>
          <w:p>
            <w:pPr>
              <w:pStyle w:val="265"/>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下浮率最多保留两位小数</w:t>
            </w:r>
          </w:p>
        </w:tc>
      </w:tr>
    </w:tbl>
    <w:p>
      <w:pPr>
        <w:pStyle w:val="265"/>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兹声明：1：以上投标报价在投标有效期内一直有效。</w:t>
      </w:r>
    </w:p>
    <w:p>
      <w:pPr>
        <w:pStyle w:val="265"/>
        <w:spacing w:line="44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2：材料费的基准价为中标企业按季度提交给采购单位各个原厂各种材料的市场价（中标后，需提供相应品牌配件的授权书）；</w:t>
      </w:r>
    </w:p>
    <w:p>
      <w:pPr>
        <w:pStyle w:val="265"/>
        <w:spacing w:line="440" w:lineRule="exact"/>
        <w:ind w:firstLine="960" w:firstLineChars="4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3：本报价已包含采购、装卸、运输、保管、损耗、税金、利润及市区范围内的施救费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拖车费</w:t>
      </w:r>
      <w:r>
        <w:rPr>
          <w:rFonts w:hint="eastAsia" w:asciiTheme="minorEastAsia" w:hAnsiTheme="minorEastAsia" w:eastAsiaTheme="minorEastAsia" w:cstheme="minorEastAsia"/>
          <w:color w:val="auto"/>
          <w:sz w:val="24"/>
          <w:szCs w:val="24"/>
          <w:highlight w:val="none"/>
        </w:rPr>
        <w:t>等</w:t>
      </w:r>
      <w:r>
        <w:rPr>
          <w:rFonts w:hint="eastAsia" w:asciiTheme="minorEastAsia" w:hAnsiTheme="minorEastAsia" w:eastAsiaTheme="minorEastAsia" w:cstheme="minorEastAsia"/>
          <w:color w:val="auto"/>
          <w:sz w:val="24"/>
          <w:szCs w:val="24"/>
          <w:highlight w:val="none"/>
          <w:lang w:val="en-US" w:eastAsia="zh-CN"/>
        </w:rPr>
        <w:t>与之有关的全部</w:t>
      </w:r>
      <w:r>
        <w:rPr>
          <w:rFonts w:hint="eastAsia" w:asciiTheme="minorEastAsia" w:hAnsiTheme="minorEastAsia" w:eastAsiaTheme="minorEastAsia" w:cstheme="minorEastAsia"/>
          <w:color w:val="auto"/>
          <w:sz w:val="24"/>
          <w:szCs w:val="24"/>
          <w:highlight w:val="none"/>
        </w:rPr>
        <w:t>费用。</w:t>
      </w:r>
    </w:p>
    <w:p>
      <w:pPr>
        <w:pStyle w:val="265"/>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兹声明：以上投标报价在投标有效期内一直有效。</w:t>
      </w:r>
    </w:p>
    <w:p>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投标人名称（加盖公章）：</w:t>
      </w:r>
      <w:r>
        <w:rPr>
          <w:rFonts w:hint="eastAsia" w:asciiTheme="minorEastAsia" w:hAnsiTheme="minorEastAsia" w:eastAsiaTheme="minorEastAsia" w:cstheme="minorEastAsia"/>
          <w:bCs/>
          <w:sz w:val="24"/>
          <w:szCs w:val="24"/>
          <w:highlight w:val="none"/>
          <w:u w:val="single"/>
        </w:rPr>
        <w:t xml:space="preserve">                               </w:t>
      </w:r>
    </w:p>
    <w:p>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 xml:space="preserve">代理（被授权人）签字：                  </w:t>
      </w:r>
    </w:p>
    <w:p>
      <w:pPr>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日期：       年     月    日</w:t>
      </w:r>
    </w:p>
    <w:p>
      <w:pPr>
        <w:pStyle w:val="25"/>
        <w:spacing w:line="360" w:lineRule="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 1、开标一览表内容与投标文件中相应内容不一致的，以开标一览表本表为准。</w:t>
      </w:r>
    </w:p>
    <w:p>
      <w:pPr>
        <w:pStyle w:val="6"/>
        <w:rPr>
          <w:rFonts w:hint="default" w:ascii="宋体" w:eastAsia="宋体" w:cs="宋体"/>
          <w:sz w:val="24"/>
          <w:highlight w:val="none"/>
          <w:lang w:val="en-US" w:eastAsia="zh-CN"/>
        </w:rPr>
      </w:pPr>
      <w:r>
        <w:rPr>
          <w:rFonts w:ascii="宋体" w:cs="宋体"/>
          <w:sz w:val="24"/>
          <w:highlight w:val="none"/>
        </w:rPr>
        <w:br w:type="page"/>
      </w:r>
      <w:bookmarkStart w:id="185" w:name="_Toc44705071"/>
      <w:bookmarkStart w:id="186" w:name="_Toc2512009"/>
      <w:bookmarkStart w:id="187" w:name="_Toc44704924"/>
      <w:bookmarkStart w:id="188" w:name="_Toc493422660"/>
      <w:bookmarkStart w:id="189" w:name="_Toc14776859"/>
      <w:bookmarkStart w:id="190" w:name="_Toc44705292"/>
      <w:bookmarkStart w:id="191" w:name="_Toc497167414"/>
      <w:bookmarkStart w:id="192" w:name="_Toc2355267"/>
      <w:r>
        <w:rPr>
          <w:rFonts w:ascii="宋体" w:hAnsi="宋体" w:cs="宋体"/>
          <w:sz w:val="32"/>
          <w:szCs w:val="24"/>
          <w:highlight w:val="none"/>
        </w:rPr>
        <w:t>2.3</w:t>
      </w:r>
      <w:r>
        <w:rPr>
          <w:rFonts w:hint="eastAsia" w:ascii="宋体" w:hAnsi="宋体" w:cs="宋体"/>
          <w:sz w:val="32"/>
          <w:szCs w:val="24"/>
          <w:highlight w:val="none"/>
        </w:rPr>
        <w:t>、投标分项（明细）报价表格式</w:t>
      </w:r>
      <w:bookmarkEnd w:id="185"/>
      <w:bookmarkEnd w:id="186"/>
      <w:bookmarkEnd w:id="187"/>
      <w:bookmarkEnd w:id="188"/>
      <w:bookmarkEnd w:id="189"/>
      <w:bookmarkEnd w:id="190"/>
      <w:bookmarkEnd w:id="191"/>
      <w:bookmarkEnd w:id="192"/>
      <w:r>
        <w:rPr>
          <w:rFonts w:hint="eastAsia" w:ascii="宋体" w:hAnsi="宋体" w:cs="宋体"/>
          <w:sz w:val="32"/>
          <w:szCs w:val="24"/>
          <w:highlight w:val="none"/>
          <w:lang w:val="en-US" w:eastAsia="zh-CN"/>
        </w:rPr>
        <w:t>(如有则填写)</w:t>
      </w:r>
    </w:p>
    <w:p>
      <w:pPr>
        <w:spacing w:line="360" w:lineRule="auto"/>
        <w:jc w:val="center"/>
        <w:rPr>
          <w:rFonts w:ascii="宋体" w:cs="宋体"/>
          <w:b/>
          <w:sz w:val="24"/>
          <w:highlight w:val="none"/>
        </w:rPr>
      </w:pPr>
      <w:r>
        <w:rPr>
          <w:rFonts w:hint="eastAsia" w:ascii="宋体" w:hAnsi="宋体"/>
          <w:b/>
          <w:bCs/>
          <w:sz w:val="30"/>
          <w:szCs w:val="30"/>
          <w:highlight w:val="none"/>
        </w:rPr>
        <w:t>车辆常规保养维修项目价格明细表</w:t>
      </w:r>
    </w:p>
    <w:p>
      <w:pPr>
        <w:spacing w:line="360" w:lineRule="auto"/>
        <w:ind w:left="-735" w:leftChars="-350" w:firstLine="960" w:firstLineChars="400"/>
        <w:jc w:val="left"/>
        <w:rPr>
          <w:rFonts w:ascii="宋体" w:cs="宋体"/>
          <w:sz w:val="24"/>
          <w:highlight w:val="none"/>
        </w:rPr>
      </w:pPr>
      <w:r>
        <w:rPr>
          <w:rFonts w:hint="eastAsia" w:ascii="宋体" w:hAnsi="宋体" w:cs="宋体"/>
          <w:sz w:val="24"/>
          <w:highlight w:val="none"/>
        </w:rPr>
        <w:t>项目名称：</w:t>
      </w:r>
      <w:r>
        <w:rPr>
          <w:rFonts w:ascii="宋体" w:hAnsi="宋体" w:cs="宋体"/>
          <w:sz w:val="24"/>
          <w:highlight w:val="none"/>
        </w:rPr>
        <w:t xml:space="preserve">                             </w:t>
      </w:r>
    </w:p>
    <w:p>
      <w:pPr>
        <w:spacing w:line="360" w:lineRule="auto"/>
        <w:ind w:left="-735" w:leftChars="-350" w:firstLine="960" w:firstLineChars="400"/>
        <w:jc w:val="left"/>
        <w:rPr>
          <w:rFonts w:ascii="宋体" w:cs="宋体"/>
          <w:sz w:val="24"/>
          <w:highlight w:val="none"/>
        </w:rPr>
      </w:pPr>
      <w:r>
        <w:rPr>
          <w:rFonts w:hint="eastAsia" w:ascii="宋体" w:hAnsi="宋体" w:cs="宋体"/>
          <w:sz w:val="24"/>
          <w:highlight w:val="none"/>
        </w:rPr>
        <w:t>项目编号：</w:t>
      </w:r>
      <w:r>
        <w:rPr>
          <w:rFonts w:ascii="宋体" w:hAnsi="宋体" w:cs="宋体"/>
          <w:sz w:val="24"/>
          <w:highlight w:val="none"/>
        </w:rPr>
        <w:t xml:space="preserve">                                                    </w:t>
      </w:r>
      <w:r>
        <w:rPr>
          <w:rFonts w:hint="eastAsia" w:ascii="宋体" w:hAnsi="宋体" w:cs="宋体"/>
          <w:sz w:val="24"/>
          <w:highlight w:val="none"/>
        </w:rPr>
        <w:t>单位：元</w:t>
      </w:r>
    </w:p>
    <w:tbl>
      <w:tblPr>
        <w:tblStyle w:val="48"/>
        <w:tblW w:w="4998" w:type="pct"/>
        <w:tblInd w:w="0" w:type="dxa"/>
        <w:tblLayout w:type="autofit"/>
        <w:tblCellMar>
          <w:top w:w="0" w:type="dxa"/>
          <w:left w:w="108" w:type="dxa"/>
          <w:bottom w:w="0" w:type="dxa"/>
          <w:right w:w="108" w:type="dxa"/>
        </w:tblCellMar>
      </w:tblPr>
      <w:tblGrid>
        <w:gridCol w:w="652"/>
        <w:gridCol w:w="1492"/>
        <w:gridCol w:w="652"/>
        <w:gridCol w:w="652"/>
        <w:gridCol w:w="612"/>
        <w:gridCol w:w="563"/>
        <w:gridCol w:w="562"/>
        <w:gridCol w:w="563"/>
        <w:gridCol w:w="789"/>
        <w:gridCol w:w="563"/>
        <w:gridCol w:w="789"/>
        <w:gridCol w:w="575"/>
        <w:gridCol w:w="564"/>
      </w:tblGrid>
      <w:tr>
        <w:tblPrEx>
          <w:tblCellMar>
            <w:top w:w="0" w:type="dxa"/>
            <w:left w:w="108" w:type="dxa"/>
            <w:bottom w:w="0" w:type="dxa"/>
            <w:right w:w="108" w:type="dxa"/>
          </w:tblCellMar>
        </w:tblPrEx>
        <w:trPr>
          <w:trHeight w:val="750" w:hRule="atLeast"/>
        </w:trPr>
        <w:tc>
          <w:tcPr>
            <w:tcW w:w="361" w:type="pct"/>
            <w:vMerge w:val="restart"/>
            <w:tcBorders>
              <w:top w:val="single" w:color="auto" w:sz="4" w:space="0"/>
              <w:left w:val="single" w:color="auto" w:sz="4" w:space="0"/>
              <w:right w:val="single" w:color="auto" w:sz="4" w:space="0"/>
            </w:tcBorders>
            <w:noWrap w:val="0"/>
            <w:vAlign w:val="center"/>
          </w:tcPr>
          <w:p>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序号</w:t>
            </w:r>
          </w:p>
        </w:tc>
        <w:tc>
          <w:tcPr>
            <w:tcW w:w="826" w:type="pct"/>
            <w:vMerge w:val="restart"/>
            <w:tcBorders>
              <w:top w:val="single" w:color="auto" w:sz="4" w:space="0"/>
              <w:left w:val="nil"/>
              <w:right w:val="single" w:color="auto" w:sz="4" w:space="0"/>
            </w:tcBorders>
            <w:noWrap w:val="0"/>
            <w:vAlign w:val="center"/>
          </w:tcPr>
          <w:p>
            <w:pPr>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车型</w:t>
            </w:r>
          </w:p>
        </w:tc>
        <w:tc>
          <w:tcPr>
            <w:tcW w:w="3500" w:type="pct"/>
            <w:gridSpan w:val="10"/>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保养、维修项目</w:t>
            </w:r>
          </w:p>
        </w:tc>
        <w:tc>
          <w:tcPr>
            <w:tcW w:w="312" w:type="pct"/>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备注</w:t>
            </w:r>
          </w:p>
        </w:tc>
      </w:tr>
      <w:tr>
        <w:tblPrEx>
          <w:tblCellMar>
            <w:top w:w="0" w:type="dxa"/>
            <w:left w:w="108" w:type="dxa"/>
            <w:bottom w:w="0" w:type="dxa"/>
            <w:right w:w="108" w:type="dxa"/>
          </w:tblCellMar>
        </w:tblPrEx>
        <w:trPr>
          <w:trHeight w:val="750" w:hRule="atLeast"/>
        </w:trPr>
        <w:tc>
          <w:tcPr>
            <w:tcW w:w="361" w:type="pct"/>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826" w:type="pct"/>
            <w:vMerge w:val="continue"/>
            <w:tcBorders>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6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6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39"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11"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43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437"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13"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390" w:hRule="atLeast"/>
        </w:trPr>
        <w:tc>
          <w:tcPr>
            <w:tcW w:w="361"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82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荣威550</w:t>
            </w:r>
          </w:p>
        </w:tc>
        <w:tc>
          <w:tcPr>
            <w:tcW w:w="361" w:type="pct"/>
            <w:tcBorders>
              <w:top w:val="nil"/>
              <w:left w:val="nil"/>
              <w:bottom w:val="single" w:color="auto" w:sz="4" w:space="0"/>
              <w:right w:val="single" w:color="auto" w:sz="4" w:space="0"/>
            </w:tcBorders>
            <w:noWrap w:val="0"/>
            <w:vAlign w:val="center"/>
          </w:tcPr>
          <w:p>
            <w:pPr>
              <w:jc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 xml:space="preserve"> </w:t>
            </w:r>
          </w:p>
        </w:tc>
        <w:tc>
          <w:tcPr>
            <w:tcW w:w="361" w:type="pct"/>
            <w:tcBorders>
              <w:top w:val="nil"/>
              <w:left w:val="nil"/>
              <w:bottom w:val="single" w:color="auto" w:sz="4" w:space="0"/>
              <w:right w:val="single" w:color="auto" w:sz="4" w:space="0"/>
            </w:tcBorders>
            <w:noWrap w:val="0"/>
            <w:vAlign w:val="center"/>
          </w:tcPr>
          <w:p>
            <w:pPr>
              <w:jc w:val="center"/>
              <w:rPr>
                <w:rFonts w:ascii="宋体" w:hAnsi="宋体" w:cs="宋体"/>
                <w:color w:val="000000"/>
                <w:sz w:val="22"/>
                <w:szCs w:val="22"/>
                <w:highlight w:val="none"/>
              </w:rPr>
            </w:pPr>
            <w:r>
              <w:rPr>
                <w:rFonts w:hint="eastAsia" w:ascii="宋体" w:hAnsi="宋体" w:cs="宋体"/>
                <w:color w:val="000000"/>
                <w:kern w:val="0"/>
                <w:sz w:val="22"/>
                <w:szCs w:val="22"/>
                <w:highlight w:val="none"/>
              </w:rPr>
              <w:t xml:space="preserve"> </w:t>
            </w:r>
          </w:p>
        </w:tc>
        <w:tc>
          <w:tcPr>
            <w:tcW w:w="339"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3"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390" w:hRule="atLeast"/>
        </w:trPr>
        <w:tc>
          <w:tcPr>
            <w:tcW w:w="361"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82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ascii="宋体" w:hAnsi="宋体" w:cs="宋体"/>
                <w:color w:val="000000"/>
                <w:kern w:val="0"/>
                <w:sz w:val="22"/>
                <w:szCs w:val="22"/>
                <w:highlight w:val="none"/>
              </w:rPr>
              <w:t>…</w:t>
            </w:r>
          </w:p>
        </w:tc>
        <w:tc>
          <w:tcPr>
            <w:tcW w:w="36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6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39"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3"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390" w:hRule="atLeast"/>
        </w:trPr>
        <w:tc>
          <w:tcPr>
            <w:tcW w:w="361"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82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ascii="宋体" w:hAnsi="宋体" w:cs="宋体"/>
                <w:color w:val="000000"/>
                <w:kern w:val="0"/>
                <w:sz w:val="22"/>
                <w:szCs w:val="22"/>
                <w:highlight w:val="none"/>
              </w:rPr>
              <w:t>…</w:t>
            </w:r>
          </w:p>
        </w:tc>
        <w:tc>
          <w:tcPr>
            <w:tcW w:w="36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6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39"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3"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390" w:hRule="atLeast"/>
        </w:trPr>
        <w:tc>
          <w:tcPr>
            <w:tcW w:w="361" w:type="pc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ascii="宋体" w:hAnsi="宋体" w:cs="宋体"/>
                <w:color w:val="000000"/>
                <w:kern w:val="0"/>
                <w:sz w:val="22"/>
                <w:szCs w:val="22"/>
                <w:highlight w:val="none"/>
              </w:rPr>
              <w:t>…</w:t>
            </w:r>
          </w:p>
        </w:tc>
        <w:tc>
          <w:tcPr>
            <w:tcW w:w="826"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ascii="宋体" w:hAnsi="宋体" w:cs="宋体"/>
                <w:color w:val="000000"/>
                <w:kern w:val="0"/>
                <w:sz w:val="22"/>
                <w:szCs w:val="22"/>
                <w:highlight w:val="none"/>
              </w:rPr>
              <w:t>…</w:t>
            </w:r>
          </w:p>
        </w:tc>
        <w:tc>
          <w:tcPr>
            <w:tcW w:w="36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6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p>
        </w:tc>
        <w:tc>
          <w:tcPr>
            <w:tcW w:w="339"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1"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437"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3"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312" w:type="pct"/>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bl>
    <w:p>
      <w:pPr>
        <w:spacing w:line="420" w:lineRule="exact"/>
        <w:rPr>
          <w:rFonts w:hint="eastAsia" w:ascii="宋体" w:hAnsi="宋体"/>
          <w:highlight w:val="none"/>
        </w:rPr>
      </w:pPr>
      <w:r>
        <w:rPr>
          <w:rFonts w:hint="eastAsia" w:ascii="宋体" w:hAnsi="宋体"/>
          <w:highlight w:val="none"/>
        </w:rPr>
        <w:t>注：1、投标人按本表填写对应以上七种常用车型的</w:t>
      </w:r>
      <w:r>
        <w:rPr>
          <w:rFonts w:hint="eastAsia" w:ascii="宋体" w:hAnsi="宋体" w:cs="宋体"/>
          <w:color w:val="000000"/>
          <w:kern w:val="0"/>
          <w:sz w:val="22"/>
          <w:szCs w:val="22"/>
          <w:highlight w:val="none"/>
        </w:rPr>
        <w:t>保养、维修项目</w:t>
      </w:r>
      <w:r>
        <w:rPr>
          <w:rFonts w:hint="eastAsia" w:ascii="宋体" w:hAnsi="宋体"/>
          <w:highlight w:val="none"/>
        </w:rPr>
        <w:t>。</w:t>
      </w:r>
      <w:r>
        <w:rPr>
          <w:rFonts w:hint="eastAsia" w:ascii="宋体" w:hAnsi="宋体" w:cs="宋体"/>
          <w:color w:val="000000"/>
          <w:kern w:val="0"/>
          <w:sz w:val="22"/>
          <w:szCs w:val="22"/>
          <w:highlight w:val="none"/>
        </w:rPr>
        <w:t>保养、维修项目由投标人自行填写，要求详细、全面。</w:t>
      </w:r>
    </w:p>
    <w:p>
      <w:pPr>
        <w:spacing w:line="420" w:lineRule="exact"/>
        <w:ind w:firstLine="424" w:firstLineChars="202"/>
        <w:rPr>
          <w:rFonts w:hint="eastAsia" w:ascii="宋体" w:hAnsi="宋体"/>
          <w:highlight w:val="none"/>
        </w:rPr>
      </w:pPr>
      <w:r>
        <w:rPr>
          <w:rFonts w:hint="eastAsia" w:ascii="宋体" w:hAnsi="宋体"/>
          <w:highlight w:val="none"/>
        </w:rPr>
        <w:t>2、以上七种仅为常用车型，实际服务期间车型包括但不限于以上七种。以实际签订合同为准</w:t>
      </w:r>
    </w:p>
    <w:p>
      <w:pPr>
        <w:spacing w:line="420" w:lineRule="exact"/>
        <w:ind w:firstLine="424" w:firstLineChars="202"/>
        <w:rPr>
          <w:rFonts w:hint="eastAsia" w:ascii="宋体" w:hAnsi="宋体"/>
          <w:highlight w:val="none"/>
        </w:rPr>
      </w:pPr>
      <w:r>
        <w:rPr>
          <w:rFonts w:hint="eastAsia" w:ascii="宋体" w:hAnsi="宋体"/>
          <w:highlight w:val="none"/>
        </w:rPr>
        <w:t>3、本表报价不作为价格评分因素。</w:t>
      </w:r>
    </w:p>
    <w:p>
      <w:pPr>
        <w:spacing w:line="360" w:lineRule="auto"/>
        <w:jc w:val="left"/>
        <w:rPr>
          <w:rFonts w:ascii="宋体" w:cs="宋体"/>
          <w:sz w:val="24"/>
          <w:highlight w:val="none"/>
        </w:rPr>
      </w:pPr>
    </w:p>
    <w:p>
      <w:pPr>
        <w:spacing w:line="360" w:lineRule="auto"/>
        <w:jc w:val="left"/>
        <w:rPr>
          <w:rFonts w:ascii="宋体" w:cs="宋体"/>
          <w:sz w:val="24"/>
          <w:highlight w:val="none"/>
        </w:rPr>
      </w:pPr>
    </w:p>
    <w:p>
      <w:pPr>
        <w:spacing w:line="360" w:lineRule="auto"/>
        <w:jc w:val="left"/>
        <w:rPr>
          <w:rFonts w:ascii="宋体" w:cs="宋体"/>
          <w:sz w:val="24"/>
          <w:highlight w:val="none"/>
        </w:rPr>
      </w:pPr>
      <w:r>
        <w:rPr>
          <w:rFonts w:hint="eastAsia" w:ascii="宋体" w:hAnsi="宋体" w:cs="宋体"/>
          <w:sz w:val="24"/>
          <w:highlight w:val="none"/>
        </w:rPr>
        <w:t>投标人法定代表人或代理人（盖章或签字）：</w:t>
      </w:r>
    </w:p>
    <w:p>
      <w:pPr>
        <w:spacing w:line="360" w:lineRule="auto"/>
        <w:jc w:val="left"/>
        <w:rPr>
          <w:rFonts w:ascii="宋体" w:cs="宋体"/>
          <w:sz w:val="24"/>
          <w:highlight w:val="none"/>
        </w:rPr>
      </w:pPr>
    </w:p>
    <w:p>
      <w:pPr>
        <w:spacing w:line="360" w:lineRule="auto"/>
        <w:jc w:val="left"/>
        <w:rPr>
          <w:rFonts w:ascii="宋体" w:cs="宋体"/>
          <w:sz w:val="24"/>
          <w:highlight w:val="none"/>
        </w:rPr>
      </w:pPr>
      <w:r>
        <w:rPr>
          <w:rFonts w:hint="eastAsia" w:ascii="宋体" w:hAnsi="宋体" w:cs="宋体"/>
          <w:sz w:val="24"/>
          <w:highlight w:val="none"/>
        </w:rPr>
        <w:t>投标人盖章：</w:t>
      </w:r>
      <w:r>
        <w:rPr>
          <w:rFonts w:ascii="宋体" w:hAnsi="宋体" w:cs="宋体"/>
          <w:sz w:val="24"/>
          <w:highlight w:val="none"/>
        </w:rPr>
        <w:t xml:space="preserve">                                       </w:t>
      </w:r>
    </w:p>
    <w:p>
      <w:pPr>
        <w:spacing w:line="360" w:lineRule="auto"/>
        <w:jc w:val="left"/>
        <w:rPr>
          <w:rFonts w:ascii="宋体" w:cs="宋体"/>
          <w:sz w:val="24"/>
          <w:highlight w:val="none"/>
        </w:rPr>
      </w:pPr>
    </w:p>
    <w:p>
      <w:pPr>
        <w:spacing w:line="360" w:lineRule="auto"/>
        <w:jc w:val="left"/>
        <w:rPr>
          <w:rFonts w:ascii="宋体" w:cs="宋体"/>
          <w:sz w:val="24"/>
          <w:highlight w:val="none"/>
        </w:rPr>
      </w:pPr>
    </w:p>
    <w:p>
      <w:pPr>
        <w:spacing w:line="360" w:lineRule="auto"/>
        <w:jc w:val="right"/>
        <w:rPr>
          <w:rFonts w:ascii="宋体" w:cs="宋体"/>
          <w:sz w:val="24"/>
          <w:highlight w:val="none"/>
        </w:rPr>
      </w:pP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p>
    <w:p>
      <w:pPr>
        <w:spacing w:line="360" w:lineRule="auto"/>
        <w:jc w:val="left"/>
        <w:rPr>
          <w:rFonts w:ascii="宋体" w:cs="宋体"/>
          <w:sz w:val="24"/>
          <w:highlight w:val="none"/>
        </w:rPr>
      </w:pPr>
    </w:p>
    <w:p>
      <w:pPr>
        <w:spacing w:line="360" w:lineRule="auto"/>
        <w:jc w:val="left"/>
        <w:rPr>
          <w:rFonts w:ascii="宋体" w:cs="宋体"/>
          <w:sz w:val="24"/>
          <w:highlight w:val="none"/>
        </w:rPr>
      </w:pPr>
    </w:p>
    <w:p>
      <w:pPr>
        <w:spacing w:line="360" w:lineRule="auto"/>
        <w:jc w:val="left"/>
        <w:rPr>
          <w:rFonts w:ascii="宋体" w:cs="宋体"/>
          <w:sz w:val="24"/>
          <w:highlight w:val="none"/>
        </w:rPr>
      </w:pPr>
      <w:r>
        <w:rPr>
          <w:rFonts w:hint="eastAsia" w:ascii="宋体" w:hAnsi="宋体" w:cs="宋体"/>
          <w:sz w:val="24"/>
          <w:highlight w:val="none"/>
        </w:rPr>
        <w:t>注：上述报价包含一切由供方承担的费用；</w:t>
      </w:r>
    </w:p>
    <w:p>
      <w:pPr>
        <w:widowControl/>
        <w:spacing w:line="360" w:lineRule="auto"/>
        <w:jc w:val="left"/>
        <w:rPr>
          <w:rFonts w:ascii="宋体" w:cs="宋体"/>
          <w:b/>
          <w:sz w:val="24"/>
          <w:highlight w:val="none"/>
        </w:rPr>
      </w:pPr>
      <w:r>
        <w:rPr>
          <w:rFonts w:ascii="宋体" w:cs="宋体"/>
          <w:b/>
          <w:sz w:val="24"/>
          <w:highlight w:val="none"/>
        </w:rPr>
        <w:br w:type="page"/>
      </w:r>
    </w:p>
    <w:p>
      <w:pPr>
        <w:pStyle w:val="6"/>
        <w:rPr>
          <w:rFonts w:ascii="宋体" w:cs="宋体"/>
          <w:bCs w:val="0"/>
          <w:sz w:val="32"/>
          <w:szCs w:val="24"/>
          <w:highlight w:val="none"/>
        </w:rPr>
      </w:pPr>
      <w:bookmarkStart w:id="193" w:name="_Toc44705293"/>
      <w:bookmarkStart w:id="194" w:name="_Toc44704925"/>
      <w:bookmarkStart w:id="195" w:name="_Toc44705072"/>
      <w:r>
        <w:rPr>
          <w:rFonts w:ascii="宋体" w:hAnsi="宋体" w:cs="宋体"/>
          <w:bCs w:val="0"/>
          <w:sz w:val="32"/>
          <w:szCs w:val="24"/>
          <w:highlight w:val="none"/>
        </w:rPr>
        <w:t>2.4</w:t>
      </w:r>
      <w:r>
        <w:rPr>
          <w:rFonts w:hint="eastAsia" w:ascii="宋体" w:hAnsi="宋体" w:cs="宋体"/>
          <w:bCs w:val="0"/>
          <w:sz w:val="32"/>
          <w:szCs w:val="24"/>
          <w:highlight w:val="none"/>
        </w:rPr>
        <w:t>、服务需求偏离表格式</w:t>
      </w:r>
      <w:bookmarkEnd w:id="193"/>
      <w:bookmarkEnd w:id="194"/>
      <w:bookmarkEnd w:id="195"/>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服务需求偏离表</w:t>
      </w:r>
    </w:p>
    <w:p>
      <w:pPr>
        <w:spacing w:line="360" w:lineRule="auto"/>
        <w:jc w:val="center"/>
        <w:rPr>
          <w:rFonts w:ascii="宋体" w:cs="宋体"/>
          <w:b/>
          <w:bCs/>
          <w:szCs w:val="21"/>
          <w:highlight w:val="none"/>
        </w:rPr>
      </w:pP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pPr>
        <w:spacing w:line="360" w:lineRule="auto"/>
        <w:rPr>
          <w:rFonts w:ascii="宋体" w:cs="宋体"/>
          <w:sz w:val="24"/>
          <w:szCs w:val="24"/>
          <w:highlight w:val="none"/>
        </w:rPr>
      </w:pPr>
    </w:p>
    <w:tbl>
      <w:tblPr>
        <w:tblStyle w:val="48"/>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782"/>
        <w:gridCol w:w="1250"/>
        <w:gridCol w:w="1250"/>
        <w:gridCol w:w="1250"/>
        <w:gridCol w:w="125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5"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782"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标的名称</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w:t>
            </w:r>
          </w:p>
          <w:p>
            <w:pPr>
              <w:spacing w:line="360" w:lineRule="auto"/>
              <w:jc w:val="center"/>
              <w:rPr>
                <w:rFonts w:ascii="宋体" w:cs="宋体"/>
                <w:sz w:val="24"/>
                <w:szCs w:val="24"/>
                <w:highlight w:val="none"/>
              </w:rPr>
            </w:pPr>
            <w:r>
              <w:rPr>
                <w:rFonts w:hint="eastAsia" w:ascii="宋体" w:hAnsi="宋体" w:cs="宋体"/>
                <w:sz w:val="24"/>
                <w:szCs w:val="24"/>
                <w:highlight w:val="none"/>
              </w:rPr>
              <w:t>条目号</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招标文件要求规格</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投标规格</w:t>
            </w:r>
          </w:p>
        </w:tc>
        <w:tc>
          <w:tcPr>
            <w:tcW w:w="12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1605"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645" w:type="dxa"/>
          </w:tcPr>
          <w:p>
            <w:pPr>
              <w:spacing w:line="360" w:lineRule="auto"/>
              <w:rPr>
                <w:rFonts w:ascii="宋体" w:cs="宋体"/>
                <w:sz w:val="24"/>
                <w:szCs w:val="24"/>
                <w:highlight w:val="none"/>
              </w:rPr>
            </w:pPr>
          </w:p>
        </w:tc>
        <w:tc>
          <w:tcPr>
            <w:tcW w:w="1782"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250" w:type="dxa"/>
          </w:tcPr>
          <w:p>
            <w:pPr>
              <w:spacing w:line="360" w:lineRule="auto"/>
              <w:rPr>
                <w:rFonts w:ascii="宋体" w:cs="宋体"/>
                <w:sz w:val="24"/>
                <w:szCs w:val="24"/>
                <w:highlight w:val="none"/>
              </w:rPr>
            </w:pPr>
          </w:p>
        </w:tc>
        <w:tc>
          <w:tcPr>
            <w:tcW w:w="1605" w:type="dxa"/>
          </w:tcPr>
          <w:p>
            <w:pPr>
              <w:spacing w:line="360" w:lineRule="auto"/>
              <w:rPr>
                <w:rFonts w:ascii="宋体" w:cs="宋体"/>
                <w:sz w:val="24"/>
                <w:szCs w:val="24"/>
                <w:highlight w:val="none"/>
              </w:rPr>
            </w:pPr>
          </w:p>
        </w:tc>
      </w:tr>
    </w:tbl>
    <w:p>
      <w:pP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p>
    <w:p>
      <w:pP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p>
    <w:p>
      <w:pPr>
        <w:spacing w:line="360" w:lineRule="auto"/>
        <w:rPr>
          <w:rFonts w:ascii="宋体" w:cs="宋体"/>
          <w:sz w:val="24"/>
          <w:szCs w:val="24"/>
          <w:highlight w:val="none"/>
        </w:rPr>
      </w:pPr>
      <w:r>
        <w:rPr>
          <w:rFonts w:hint="eastAsia" w:ascii="宋体" w:hAnsi="宋体" w:cs="宋体"/>
          <w:sz w:val="24"/>
          <w:szCs w:val="24"/>
          <w:highlight w:val="none"/>
        </w:rPr>
        <w:t>日期：</w:t>
      </w:r>
    </w:p>
    <w:p>
      <w:pPr>
        <w:spacing w:line="360" w:lineRule="auto"/>
        <w:rPr>
          <w:rFonts w:ascii="宋体" w:cs="宋体"/>
          <w:sz w:val="24"/>
          <w:highlight w:val="none"/>
        </w:rPr>
      </w:pPr>
      <w:r>
        <w:rPr>
          <w:rFonts w:hint="eastAsia" w:ascii="宋体" w:hAnsi="宋体" w:cs="宋体"/>
          <w:sz w:val="24"/>
          <w:highlight w:val="none"/>
        </w:rPr>
        <w:t>注：</w:t>
      </w:r>
      <w:r>
        <w:rPr>
          <w:rFonts w:ascii="宋体" w:hAnsi="宋体" w:cs="宋体"/>
          <w:sz w:val="24"/>
          <w:highlight w:val="none"/>
        </w:rPr>
        <w:t>1</w:t>
      </w:r>
      <w:r>
        <w:rPr>
          <w:rFonts w:hint="eastAsia" w:ascii="宋体" w:hAnsi="宋体" w:cs="宋体"/>
          <w:sz w:val="24"/>
          <w:highlight w:val="none"/>
        </w:rPr>
        <w:t>、投标人应对招标文件技术要求逐条填写偏离情况（正偏离、负偏离或无偏离），并说明偏离的具体内容及做出必要说明。投标人应对故意隐瞒偏离的行为承担责任。</w:t>
      </w:r>
    </w:p>
    <w:p>
      <w:pPr>
        <w:spacing w:line="360" w:lineRule="auto"/>
        <w:rPr>
          <w:rFonts w:ascii="宋体" w:cs="宋体"/>
          <w:sz w:val="24"/>
          <w:highlight w:val="none"/>
        </w:rPr>
      </w:pPr>
      <w:r>
        <w:rPr>
          <w:rFonts w:ascii="宋体" w:hAnsi="宋体" w:cs="宋体"/>
          <w:kern w:val="0"/>
          <w:sz w:val="24"/>
          <w:highlight w:val="none"/>
        </w:rPr>
        <w:t>2</w:t>
      </w:r>
      <w:r>
        <w:rPr>
          <w:rFonts w:hint="eastAsia" w:ascii="宋体" w:hAnsi="宋体" w:cs="宋体"/>
          <w:kern w:val="0"/>
          <w:sz w:val="24"/>
          <w:highlight w:val="none"/>
        </w:rPr>
        <w:t>、投标人应根据自身投标服务合理填写投标规格，</w:t>
      </w:r>
      <w:r>
        <w:rPr>
          <w:rFonts w:hint="eastAsia" w:ascii="宋体" w:hAnsi="宋体" w:cs="宋体"/>
          <w:sz w:val="24"/>
          <w:highlight w:val="none"/>
        </w:rPr>
        <w:t>如完全复制招标文件内容，评委有权按不响应处理，情况恶劣时将做无效投标处理。</w:t>
      </w:r>
    </w:p>
    <w:p>
      <w:pPr>
        <w:pStyle w:val="6"/>
        <w:rPr>
          <w:rFonts w:ascii="宋体" w:cs="宋体"/>
          <w:sz w:val="24"/>
          <w:highlight w:val="none"/>
        </w:rPr>
      </w:pPr>
      <w:r>
        <w:rPr>
          <w:rFonts w:ascii="宋体" w:cs="宋体"/>
          <w:sz w:val="24"/>
          <w:highlight w:val="none"/>
        </w:rPr>
        <w:br w:type="page"/>
      </w:r>
      <w:bookmarkStart w:id="196" w:name="_Toc2355269"/>
      <w:bookmarkStart w:id="197" w:name="_Toc2512011"/>
      <w:bookmarkStart w:id="198" w:name="_Toc493422663"/>
      <w:bookmarkStart w:id="199" w:name="_Toc44705073"/>
      <w:bookmarkStart w:id="200" w:name="_Toc44705294"/>
      <w:bookmarkStart w:id="201" w:name="_Toc44704926"/>
      <w:bookmarkStart w:id="202" w:name="_Toc497167416"/>
      <w:bookmarkStart w:id="203" w:name="_Toc14776861"/>
      <w:r>
        <w:rPr>
          <w:rFonts w:ascii="宋体" w:hAnsi="宋体" w:cs="宋体"/>
          <w:sz w:val="32"/>
          <w:szCs w:val="24"/>
          <w:highlight w:val="none"/>
        </w:rPr>
        <w:t>2.5</w:t>
      </w:r>
      <w:r>
        <w:rPr>
          <w:rFonts w:hint="eastAsia" w:ascii="宋体" w:hAnsi="宋体" w:cs="宋体"/>
          <w:sz w:val="32"/>
          <w:szCs w:val="24"/>
          <w:highlight w:val="none"/>
        </w:rPr>
        <w:t>、商务条款偏离表格式</w:t>
      </w:r>
      <w:bookmarkEnd w:id="196"/>
      <w:bookmarkEnd w:id="197"/>
      <w:bookmarkEnd w:id="198"/>
      <w:bookmarkEnd w:id="199"/>
      <w:bookmarkEnd w:id="200"/>
      <w:bookmarkEnd w:id="201"/>
      <w:bookmarkEnd w:id="202"/>
      <w:bookmarkEnd w:id="203"/>
    </w:p>
    <w:p>
      <w:pPr>
        <w:spacing w:line="360" w:lineRule="auto"/>
        <w:rPr>
          <w:rFonts w:ascii="宋体" w:cs="宋体"/>
          <w:sz w:val="24"/>
          <w:szCs w:val="24"/>
          <w:highlight w:val="none"/>
        </w:rPr>
      </w:pPr>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商务条款偏离表</w:t>
      </w: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招标编号：</w:t>
      </w:r>
    </w:p>
    <w:p>
      <w:pPr>
        <w:tabs>
          <w:tab w:val="left" w:pos="1800"/>
          <w:tab w:val="left" w:pos="5580"/>
        </w:tabs>
        <w:spacing w:line="360" w:lineRule="auto"/>
        <w:jc w:val="left"/>
        <w:rPr>
          <w:rFonts w:ascii="宋体" w:cs="宋体"/>
          <w:sz w:val="24"/>
          <w:highlight w:val="none"/>
          <w:u w:val="single"/>
        </w:rPr>
      </w:pPr>
      <w:r>
        <w:rPr>
          <w:rFonts w:hint="eastAsia" w:ascii="宋体" w:hAnsi="宋体" w:cs="宋体"/>
          <w:sz w:val="24"/>
          <w:highlight w:val="none"/>
        </w:rPr>
        <w:t>项目名称：</w:t>
      </w:r>
      <w:r>
        <w:rPr>
          <w:rFonts w:hint="eastAsia" w:ascii="宋体" w:hAnsi="宋体" w:cs="宋体"/>
          <w:sz w:val="24"/>
          <w:highlight w:val="none"/>
          <w:u w:val="single"/>
        </w:rPr>
        <w:t>　</w:t>
      </w:r>
      <w:r>
        <w:rPr>
          <w:rFonts w:ascii="宋体" w:hAnsi="宋体" w:cs="宋体"/>
          <w:sz w:val="24"/>
          <w:highlight w:val="none"/>
          <w:u w:val="single"/>
        </w:rPr>
        <w:t xml:space="preserve">          </w:t>
      </w:r>
    </w:p>
    <w:p>
      <w:pPr>
        <w:tabs>
          <w:tab w:val="left" w:pos="1800"/>
          <w:tab w:val="left" w:pos="5580"/>
        </w:tabs>
        <w:spacing w:line="360" w:lineRule="auto"/>
        <w:jc w:val="left"/>
        <w:rPr>
          <w:rFonts w:ascii="宋体" w:cs="宋体"/>
          <w:sz w:val="24"/>
          <w:highlight w:val="none"/>
          <w:u w:val="single"/>
        </w:rPr>
      </w:pPr>
    </w:p>
    <w:tbl>
      <w:tblPr>
        <w:tblStyle w:val="48"/>
        <w:tblW w:w="90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750"/>
        <w:gridCol w:w="2208"/>
        <w:gridCol w:w="2041"/>
        <w:gridCol w:w="1275"/>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72"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序号</w:t>
            </w:r>
          </w:p>
        </w:tc>
        <w:tc>
          <w:tcPr>
            <w:tcW w:w="1750"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w:t>
            </w:r>
          </w:p>
          <w:p>
            <w:pPr>
              <w:spacing w:line="360" w:lineRule="auto"/>
              <w:jc w:val="center"/>
              <w:rPr>
                <w:rFonts w:ascii="宋体" w:cs="宋体"/>
                <w:sz w:val="24"/>
                <w:szCs w:val="24"/>
                <w:highlight w:val="none"/>
              </w:rPr>
            </w:pPr>
            <w:r>
              <w:rPr>
                <w:rFonts w:hint="eastAsia" w:ascii="宋体" w:hAnsi="宋体" w:cs="宋体"/>
                <w:sz w:val="24"/>
                <w:szCs w:val="24"/>
                <w:highlight w:val="none"/>
              </w:rPr>
              <w:t>条目号</w:t>
            </w:r>
          </w:p>
        </w:tc>
        <w:tc>
          <w:tcPr>
            <w:tcW w:w="2208"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招标文件的</w:t>
            </w:r>
          </w:p>
          <w:p>
            <w:pPr>
              <w:spacing w:line="360" w:lineRule="auto"/>
              <w:jc w:val="center"/>
              <w:rPr>
                <w:rFonts w:ascii="宋体" w:cs="宋体"/>
                <w:sz w:val="24"/>
                <w:szCs w:val="24"/>
                <w:highlight w:val="none"/>
              </w:rPr>
            </w:pPr>
            <w:r>
              <w:rPr>
                <w:rFonts w:hint="eastAsia" w:ascii="宋体" w:hAnsi="宋体" w:cs="宋体"/>
                <w:sz w:val="24"/>
                <w:szCs w:val="24"/>
                <w:highlight w:val="none"/>
              </w:rPr>
              <w:t>商务条款</w:t>
            </w:r>
          </w:p>
        </w:tc>
        <w:tc>
          <w:tcPr>
            <w:tcW w:w="2041"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投标文件的</w:t>
            </w:r>
          </w:p>
          <w:p>
            <w:pPr>
              <w:spacing w:line="360" w:lineRule="auto"/>
              <w:jc w:val="center"/>
              <w:rPr>
                <w:rFonts w:ascii="宋体" w:cs="宋体"/>
                <w:sz w:val="24"/>
                <w:szCs w:val="24"/>
                <w:highlight w:val="none"/>
              </w:rPr>
            </w:pPr>
            <w:r>
              <w:rPr>
                <w:rFonts w:hint="eastAsia" w:ascii="宋体" w:hAnsi="宋体" w:cs="宋体"/>
                <w:sz w:val="24"/>
                <w:szCs w:val="24"/>
                <w:highlight w:val="none"/>
              </w:rPr>
              <w:t>商务条款</w:t>
            </w:r>
          </w:p>
        </w:tc>
        <w:tc>
          <w:tcPr>
            <w:tcW w:w="1275"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偏离情况</w:t>
            </w:r>
          </w:p>
        </w:tc>
        <w:tc>
          <w:tcPr>
            <w:tcW w:w="986" w:type="dxa"/>
            <w:vAlign w:val="center"/>
          </w:tcPr>
          <w:p>
            <w:pPr>
              <w:spacing w:line="360" w:lineRule="auto"/>
              <w:jc w:val="center"/>
              <w:rPr>
                <w:rFonts w:ascii="宋体" w:cs="宋体"/>
                <w:sz w:val="24"/>
                <w:szCs w:val="24"/>
                <w:highlight w:val="none"/>
              </w:rPr>
            </w:pPr>
            <w:r>
              <w:rPr>
                <w:rFonts w:hint="eastAsia" w:ascii="宋体" w:hAnsi="宋体" w:cs="宋体"/>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72" w:type="dxa"/>
          </w:tcPr>
          <w:p>
            <w:pPr>
              <w:spacing w:line="360" w:lineRule="auto"/>
              <w:rPr>
                <w:rFonts w:ascii="宋体" w:cs="宋体"/>
                <w:sz w:val="24"/>
                <w:szCs w:val="24"/>
                <w:highlight w:val="none"/>
              </w:rPr>
            </w:pPr>
          </w:p>
        </w:tc>
        <w:tc>
          <w:tcPr>
            <w:tcW w:w="1750" w:type="dxa"/>
          </w:tcPr>
          <w:p>
            <w:pPr>
              <w:spacing w:line="360" w:lineRule="auto"/>
              <w:rPr>
                <w:rFonts w:ascii="宋体" w:cs="宋体"/>
                <w:sz w:val="24"/>
                <w:szCs w:val="24"/>
                <w:highlight w:val="none"/>
              </w:rPr>
            </w:pPr>
          </w:p>
        </w:tc>
        <w:tc>
          <w:tcPr>
            <w:tcW w:w="2208" w:type="dxa"/>
          </w:tcPr>
          <w:p>
            <w:pPr>
              <w:spacing w:line="360" w:lineRule="auto"/>
              <w:rPr>
                <w:rFonts w:ascii="宋体" w:cs="宋体"/>
                <w:sz w:val="24"/>
                <w:szCs w:val="24"/>
                <w:highlight w:val="none"/>
              </w:rPr>
            </w:pPr>
          </w:p>
        </w:tc>
        <w:tc>
          <w:tcPr>
            <w:tcW w:w="2041" w:type="dxa"/>
          </w:tcPr>
          <w:p>
            <w:pPr>
              <w:spacing w:line="360" w:lineRule="auto"/>
              <w:rPr>
                <w:rFonts w:ascii="宋体" w:cs="宋体"/>
                <w:sz w:val="24"/>
                <w:szCs w:val="24"/>
                <w:highlight w:val="none"/>
              </w:rPr>
            </w:pPr>
          </w:p>
        </w:tc>
        <w:tc>
          <w:tcPr>
            <w:tcW w:w="1275" w:type="dxa"/>
          </w:tcPr>
          <w:p>
            <w:pPr>
              <w:spacing w:line="360" w:lineRule="auto"/>
              <w:rPr>
                <w:rFonts w:ascii="宋体" w:cs="宋体"/>
                <w:sz w:val="24"/>
                <w:szCs w:val="24"/>
                <w:highlight w:val="none"/>
              </w:rPr>
            </w:pPr>
          </w:p>
        </w:tc>
        <w:tc>
          <w:tcPr>
            <w:tcW w:w="986" w:type="dxa"/>
          </w:tcPr>
          <w:p>
            <w:pPr>
              <w:spacing w:line="360" w:lineRule="auto"/>
              <w:rPr>
                <w:rFonts w:ascii="宋体" w:cs="宋体"/>
                <w:sz w:val="24"/>
                <w:szCs w:val="24"/>
                <w:highlight w:val="none"/>
              </w:rPr>
            </w:pPr>
          </w:p>
        </w:tc>
      </w:tr>
    </w:tbl>
    <w:p>
      <w:pPr>
        <w:spacing w:line="360" w:lineRule="auto"/>
        <w:rPr>
          <w:rFonts w:ascii="宋体" w:cs="宋体"/>
          <w:sz w:val="24"/>
          <w:szCs w:val="24"/>
          <w:highlight w:val="none"/>
          <w:u w:val="single"/>
        </w:rPr>
      </w:pPr>
      <w:r>
        <w:rPr>
          <w:rFonts w:hint="eastAsia" w:ascii="宋体" w:hAnsi="宋体" w:cs="宋体"/>
          <w:sz w:val="24"/>
          <w:szCs w:val="24"/>
          <w:highlight w:val="none"/>
        </w:rPr>
        <w:t>投标人法定代表人或授权代表（签字）：</w:t>
      </w:r>
    </w:p>
    <w:p>
      <w:pPr>
        <w:spacing w:line="360" w:lineRule="auto"/>
        <w:rPr>
          <w:rFonts w:ascii="宋体" w:cs="宋体"/>
          <w:sz w:val="24"/>
          <w:szCs w:val="24"/>
          <w:highlight w:val="none"/>
        </w:rPr>
      </w:pPr>
      <w:r>
        <w:rPr>
          <w:rFonts w:hint="eastAsia" w:ascii="宋体" w:hAnsi="宋体" w:cs="宋体"/>
          <w:sz w:val="24"/>
          <w:szCs w:val="24"/>
          <w:highlight w:val="none"/>
        </w:rPr>
        <w:t>投标人名称（加盖单位公章）：</w:t>
      </w:r>
    </w:p>
    <w:p>
      <w:pPr>
        <w:spacing w:line="360" w:lineRule="auto"/>
        <w:rPr>
          <w:rFonts w:ascii="宋体" w:cs="宋体"/>
          <w:sz w:val="24"/>
          <w:szCs w:val="24"/>
          <w:highlight w:val="none"/>
        </w:rPr>
      </w:pPr>
      <w:r>
        <w:rPr>
          <w:rFonts w:hint="eastAsia" w:ascii="宋体" w:hAnsi="宋体" w:cs="宋体"/>
          <w:sz w:val="24"/>
          <w:szCs w:val="24"/>
          <w:highlight w:val="none"/>
        </w:rPr>
        <w:t>日期：</w:t>
      </w:r>
    </w:p>
    <w:p>
      <w:pPr>
        <w:spacing w:line="360" w:lineRule="auto"/>
        <w:rPr>
          <w:rFonts w:ascii="宋体" w:cs="宋体"/>
          <w:sz w:val="24"/>
          <w:szCs w:val="24"/>
          <w:highlight w:val="none"/>
        </w:rPr>
      </w:pPr>
      <w:r>
        <w:rPr>
          <w:rFonts w:hint="eastAsia" w:ascii="宋体" w:hAnsi="宋体" w:cs="宋体"/>
          <w:sz w:val="24"/>
          <w:szCs w:val="24"/>
          <w:highlight w:val="none"/>
        </w:rPr>
        <w:t>注：投标人如果对包括服务期限、服务地点，付款方式、时间、条件及合同条款等在内的商务条款的响应有任何偏离（正偏离</w:t>
      </w:r>
      <w:r>
        <w:rPr>
          <w:rFonts w:ascii="宋体" w:hAnsi="宋体" w:cs="宋体"/>
          <w:sz w:val="24"/>
          <w:szCs w:val="24"/>
          <w:highlight w:val="none"/>
        </w:rPr>
        <w:t>/</w:t>
      </w:r>
      <w:r>
        <w:rPr>
          <w:rFonts w:hint="eastAsia" w:ascii="宋体" w:hAnsi="宋体" w:cs="宋体"/>
          <w:sz w:val="24"/>
          <w:szCs w:val="24"/>
          <w:highlight w:val="none"/>
        </w:rPr>
        <w:t>负偏离），请在本表中详细填写；如对商务条款没有偏离，请注明“无偏离”。</w:t>
      </w:r>
    </w:p>
    <w:p>
      <w:pPr>
        <w:pStyle w:val="6"/>
        <w:rPr>
          <w:rFonts w:ascii="宋体"/>
          <w:highlight w:val="none"/>
        </w:rPr>
      </w:pPr>
      <w:r>
        <w:rPr>
          <w:highlight w:val="none"/>
          <w:u w:val="single"/>
        </w:rPr>
        <w:br w:type="page"/>
      </w:r>
      <w:bookmarkStart w:id="204" w:name="_Toc497167417"/>
      <w:bookmarkStart w:id="205" w:name="_Toc2512012"/>
      <w:bookmarkStart w:id="206" w:name="_Toc44705295"/>
      <w:bookmarkStart w:id="207" w:name="_Toc44705074"/>
      <w:bookmarkStart w:id="208" w:name="_Toc2355270"/>
      <w:bookmarkStart w:id="209" w:name="_Toc493422664"/>
      <w:bookmarkStart w:id="210" w:name="_Toc44704927"/>
      <w:bookmarkStart w:id="211" w:name="_Toc14776862"/>
      <w:r>
        <w:rPr>
          <w:rFonts w:ascii="宋体" w:hAnsi="宋体"/>
          <w:sz w:val="32"/>
          <w:highlight w:val="none"/>
        </w:rPr>
        <w:t>2.6</w:t>
      </w:r>
      <w:r>
        <w:rPr>
          <w:rFonts w:hint="eastAsia" w:ascii="宋体" w:hAnsi="宋体"/>
          <w:sz w:val="32"/>
          <w:highlight w:val="none"/>
        </w:rPr>
        <w:t>、法定代表人授权书格式</w:t>
      </w:r>
      <w:bookmarkEnd w:id="204"/>
      <w:bookmarkEnd w:id="205"/>
      <w:bookmarkEnd w:id="206"/>
      <w:bookmarkEnd w:id="207"/>
      <w:bookmarkEnd w:id="208"/>
      <w:bookmarkEnd w:id="209"/>
      <w:bookmarkEnd w:id="210"/>
      <w:bookmarkEnd w:id="211"/>
    </w:p>
    <w:p>
      <w:pPr>
        <w:spacing w:line="360" w:lineRule="auto"/>
        <w:rPr>
          <w:rFonts w:ascii="宋体" w:cs="宋体"/>
          <w:szCs w:val="21"/>
          <w:highlight w:val="none"/>
        </w:rPr>
      </w:pPr>
    </w:p>
    <w:p>
      <w:pPr>
        <w:spacing w:line="360" w:lineRule="auto"/>
        <w:jc w:val="center"/>
        <w:rPr>
          <w:rFonts w:ascii="宋体" w:cs="宋体"/>
          <w:b/>
          <w:bCs/>
          <w:sz w:val="32"/>
          <w:szCs w:val="32"/>
          <w:highlight w:val="none"/>
        </w:rPr>
      </w:pPr>
      <w:r>
        <w:rPr>
          <w:rFonts w:hint="eastAsia" w:ascii="宋体" w:hAnsi="宋体" w:cs="宋体"/>
          <w:b/>
          <w:bCs/>
          <w:sz w:val="32"/>
          <w:szCs w:val="32"/>
          <w:highlight w:val="none"/>
        </w:rPr>
        <w:t>法定代表人授权书</w:t>
      </w:r>
    </w:p>
    <w:p>
      <w:pPr>
        <w:spacing w:line="360" w:lineRule="auto"/>
        <w:rPr>
          <w:rFonts w:ascii="宋体" w:cs="宋体"/>
          <w:sz w:val="24"/>
          <w:szCs w:val="24"/>
          <w:highlight w:val="none"/>
        </w:rPr>
      </w:pPr>
    </w:p>
    <w:p>
      <w:pPr>
        <w:spacing w:line="360" w:lineRule="auto"/>
        <w:ind w:firstLine="435"/>
        <w:rPr>
          <w:rFonts w:ascii="宋体" w:cs="宋体"/>
          <w:sz w:val="24"/>
          <w:szCs w:val="24"/>
          <w:highlight w:val="none"/>
        </w:rPr>
      </w:pPr>
      <w:r>
        <w:rPr>
          <w:rFonts w:hint="eastAsia" w:ascii="宋体" w:hAnsi="宋体" w:cs="宋体"/>
          <w:sz w:val="24"/>
          <w:szCs w:val="24"/>
          <w:highlight w:val="none"/>
        </w:rPr>
        <w:t>本授权书声明：注册于（国家或地区的名称）的</w:t>
      </w:r>
      <w:r>
        <w:rPr>
          <w:rFonts w:hint="eastAsia" w:ascii="宋体" w:hAnsi="宋体" w:cs="宋体"/>
          <w:sz w:val="24"/>
          <w:szCs w:val="24"/>
          <w:highlight w:val="none"/>
          <w:u w:val="single"/>
        </w:rPr>
        <w:t>（投标人名称）</w:t>
      </w:r>
      <w:r>
        <w:rPr>
          <w:rFonts w:hint="eastAsia" w:ascii="宋体" w:hAnsi="宋体" w:cs="宋体"/>
          <w:sz w:val="24"/>
          <w:szCs w:val="24"/>
          <w:highlight w:val="none"/>
        </w:rPr>
        <w:t>的在下面签字的</w:t>
      </w:r>
      <w:r>
        <w:rPr>
          <w:rFonts w:hint="eastAsia" w:ascii="宋体" w:hAnsi="宋体" w:cs="宋体"/>
          <w:sz w:val="24"/>
          <w:szCs w:val="24"/>
          <w:highlight w:val="none"/>
          <w:u w:val="single"/>
        </w:rPr>
        <w:t>（法定代表人姓名、职务、身份证号码）</w:t>
      </w:r>
      <w:r>
        <w:rPr>
          <w:rFonts w:hint="eastAsia" w:ascii="宋体" w:hAnsi="宋体" w:cs="宋体"/>
          <w:sz w:val="24"/>
          <w:szCs w:val="24"/>
          <w:highlight w:val="none"/>
        </w:rPr>
        <w:t>代表本公司授权的在下面签字的</w:t>
      </w:r>
      <w:r>
        <w:rPr>
          <w:rFonts w:hint="eastAsia" w:ascii="宋体" w:hAnsi="宋体" w:cs="宋体"/>
          <w:sz w:val="24"/>
          <w:szCs w:val="24"/>
          <w:highlight w:val="none"/>
          <w:u w:val="single"/>
        </w:rPr>
        <w:t>（被授权人的姓名、职务、身份证号码）</w:t>
      </w:r>
      <w:r>
        <w:rPr>
          <w:rFonts w:hint="eastAsia" w:ascii="宋体" w:hAnsi="宋体" w:cs="宋体"/>
          <w:sz w:val="24"/>
          <w:szCs w:val="24"/>
          <w:highlight w:val="none"/>
        </w:rPr>
        <w:t>为本公司的合法代理人，就项目（招标编号</w:t>
      </w:r>
      <w:r>
        <w:rPr>
          <w:rFonts w:ascii="宋体" w:hAnsi="宋体" w:cs="宋体"/>
          <w:sz w:val="24"/>
          <w:szCs w:val="24"/>
          <w:highlight w:val="none"/>
        </w:rPr>
        <w:t>[</w:t>
      </w:r>
      <w:r>
        <w:rPr>
          <w:rFonts w:hint="eastAsia" w:ascii="宋体" w:hAnsi="宋体" w:cs="宋体"/>
          <w:sz w:val="24"/>
          <w:szCs w:val="24"/>
          <w:highlight w:val="none"/>
        </w:rPr>
        <w:t>包号</w:t>
      </w:r>
      <w:r>
        <w:rPr>
          <w:rFonts w:ascii="宋体" w:hAnsi="宋体" w:cs="宋体"/>
          <w:sz w:val="24"/>
          <w:szCs w:val="24"/>
          <w:highlight w:val="none"/>
        </w:rPr>
        <w:t>]</w:t>
      </w:r>
      <w:r>
        <w:rPr>
          <w:rFonts w:hint="eastAsia" w:ascii="宋体" w:hAnsi="宋体" w:cs="宋体"/>
          <w:sz w:val="24"/>
          <w:szCs w:val="24"/>
          <w:highlight w:val="none"/>
        </w:rPr>
        <w:t>：</w:t>
      </w:r>
      <w:r>
        <w:rPr>
          <w:rFonts w:ascii="宋体" w:hAnsi="宋体" w:cs="宋体"/>
          <w:sz w:val="24"/>
          <w:szCs w:val="24"/>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的采购（含投标和转为其他方式），以本公司名义处理一切与之有关的事务。我公司对被授权人的签名负全部法律责任。</w:t>
      </w:r>
    </w:p>
    <w:p>
      <w:pPr>
        <w:spacing w:line="360" w:lineRule="auto"/>
        <w:ind w:firstLine="435"/>
        <w:rPr>
          <w:rFonts w:ascii="宋体" w:cs="宋体"/>
          <w:sz w:val="24"/>
          <w:szCs w:val="24"/>
          <w:highlight w:val="none"/>
        </w:rPr>
      </w:pPr>
      <w:r>
        <w:rPr>
          <w:rFonts w:hint="eastAsia" w:ascii="宋体" w:hAnsi="宋体" w:cs="宋体"/>
          <w:sz w:val="24"/>
          <w:szCs w:val="24"/>
          <w:highlight w:val="none"/>
        </w:rPr>
        <w:t>本授权书于</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rPr>
        <w:t>日盖章生效，特此声明。</w:t>
      </w:r>
    </w:p>
    <w:p>
      <w:pPr>
        <w:spacing w:line="360" w:lineRule="auto"/>
        <w:ind w:firstLine="435"/>
        <w:rPr>
          <w:rFonts w:ascii="宋体" w:cs="宋体"/>
          <w:sz w:val="24"/>
          <w:szCs w:val="24"/>
          <w:highlight w:val="none"/>
        </w:rPr>
      </w:pPr>
    </w:p>
    <w:p>
      <w:pPr>
        <w:spacing w:line="360" w:lineRule="auto"/>
        <w:ind w:firstLine="435"/>
        <w:rPr>
          <w:rFonts w:ascii="宋体" w:cs="宋体"/>
          <w:sz w:val="24"/>
          <w:szCs w:val="24"/>
          <w:highlight w:val="none"/>
        </w:rPr>
      </w:pPr>
    </w:p>
    <w:p>
      <w:pPr>
        <w:spacing w:line="360" w:lineRule="auto"/>
        <w:ind w:firstLine="435"/>
        <w:rPr>
          <w:rFonts w:ascii="宋体" w:cs="宋体"/>
          <w:sz w:val="24"/>
          <w:szCs w:val="24"/>
          <w:highlight w:val="none"/>
        </w:rPr>
      </w:pPr>
    </w:p>
    <w:p>
      <w:pPr>
        <w:spacing w:line="360" w:lineRule="auto"/>
        <w:ind w:firstLine="435"/>
        <w:jc w:val="right"/>
        <w:rPr>
          <w:rFonts w:ascii="宋体" w:cs="宋体"/>
          <w:sz w:val="24"/>
          <w:szCs w:val="24"/>
          <w:highlight w:val="none"/>
        </w:rPr>
      </w:pPr>
      <w:r>
        <w:rPr>
          <w:rFonts w:hint="eastAsia" w:ascii="宋体" w:hAnsi="宋体" w:cs="宋体"/>
          <w:sz w:val="24"/>
          <w:szCs w:val="24"/>
          <w:highlight w:val="none"/>
        </w:rPr>
        <w:t>法定代表人签字或盖章：</w:t>
      </w:r>
    </w:p>
    <w:p>
      <w:pPr>
        <w:pStyle w:val="21"/>
        <w:rPr>
          <w:highlight w:val="none"/>
        </w:rPr>
      </w:pPr>
    </w:p>
    <w:p>
      <w:pPr>
        <w:spacing w:line="360" w:lineRule="auto"/>
        <w:ind w:firstLine="435"/>
        <w:jc w:val="right"/>
        <w:rPr>
          <w:rFonts w:ascii="宋体" w:cs="宋体"/>
          <w:sz w:val="24"/>
          <w:highlight w:val="none"/>
        </w:rPr>
      </w:pPr>
      <w:r>
        <w:rPr>
          <w:rFonts w:hint="eastAsia" w:ascii="宋体" w:hAnsi="宋体" w:cs="宋体"/>
          <w:sz w:val="24"/>
          <w:highlight w:val="none"/>
        </w:rPr>
        <w:t>授权代表签字：</w:t>
      </w:r>
    </w:p>
    <w:p>
      <w:pPr>
        <w:pStyle w:val="21"/>
        <w:rPr>
          <w:highlight w:val="none"/>
        </w:rPr>
      </w:pPr>
    </w:p>
    <w:p>
      <w:pPr>
        <w:spacing w:line="360" w:lineRule="auto"/>
        <w:ind w:firstLine="435"/>
        <w:jc w:val="right"/>
        <w:rPr>
          <w:rFonts w:ascii="宋体" w:cs="宋体"/>
          <w:sz w:val="24"/>
          <w:highlight w:val="none"/>
          <w:u w:val="single"/>
        </w:rPr>
      </w:pPr>
      <w:r>
        <w:rPr>
          <w:rFonts w:hint="eastAsia" w:ascii="宋体" w:hAnsi="宋体" w:cs="宋体"/>
          <w:sz w:val="24"/>
          <w:highlight w:val="none"/>
        </w:rPr>
        <w:t>投标人名称（加盖单位公章）：</w:t>
      </w:r>
    </w:p>
    <w:p>
      <w:pPr>
        <w:spacing w:line="360" w:lineRule="auto"/>
        <w:ind w:firstLine="435"/>
        <w:rPr>
          <w:rFonts w:ascii="宋体" w:cs="宋体"/>
          <w:highlight w:val="none"/>
        </w:rPr>
      </w:pPr>
    </w:p>
    <w:p>
      <w:pPr>
        <w:spacing w:line="360" w:lineRule="auto"/>
        <w:ind w:firstLine="435"/>
        <w:rPr>
          <w:rFonts w:ascii="宋体" w:cs="宋体"/>
          <w:sz w:val="24"/>
          <w:szCs w:val="24"/>
          <w:highlight w:val="none"/>
        </w:rPr>
      </w:pPr>
      <w:r>
        <w:rPr>
          <w:rFonts w:hint="eastAsia" w:ascii="宋体" w:hAnsi="宋体" w:cs="宋体"/>
          <w:sz w:val="24"/>
          <w:szCs w:val="24"/>
          <w:highlight w:val="none"/>
        </w:rPr>
        <w:t>附：</w:t>
      </w:r>
    </w:p>
    <w:p>
      <w:pPr>
        <w:spacing w:line="360" w:lineRule="auto"/>
        <w:ind w:firstLine="435"/>
        <w:rPr>
          <w:rFonts w:ascii="宋体" w:cs="宋体"/>
          <w:sz w:val="24"/>
          <w:szCs w:val="24"/>
          <w:highlight w:val="none"/>
          <w:u w:val="single"/>
        </w:rPr>
      </w:pPr>
      <w:r>
        <w:rPr>
          <w:rFonts w:hint="eastAsia" w:ascii="宋体" w:hAnsi="宋体" w:cs="宋体"/>
          <w:sz w:val="24"/>
          <w:szCs w:val="24"/>
          <w:highlight w:val="none"/>
        </w:rPr>
        <w:t>被授权人姓名：</w:t>
      </w:r>
    </w:p>
    <w:p>
      <w:pPr>
        <w:spacing w:line="360" w:lineRule="auto"/>
        <w:ind w:firstLine="435"/>
        <w:rPr>
          <w:rFonts w:ascii="宋体" w:cs="宋体"/>
          <w:sz w:val="24"/>
          <w:szCs w:val="24"/>
          <w:highlight w:val="none"/>
        </w:rPr>
      </w:pPr>
      <w:r>
        <w:rPr>
          <w:rFonts w:hint="eastAsia" w:ascii="宋体" w:hAnsi="宋体" w:cs="宋体"/>
          <w:sz w:val="24"/>
          <w:szCs w:val="24"/>
          <w:highlight w:val="none"/>
        </w:rPr>
        <w:t>职　　　　务：</w:t>
      </w:r>
    </w:p>
    <w:p>
      <w:pPr>
        <w:spacing w:line="360" w:lineRule="auto"/>
        <w:ind w:firstLine="435"/>
        <w:rPr>
          <w:rFonts w:ascii="宋体" w:cs="宋体"/>
          <w:sz w:val="24"/>
          <w:szCs w:val="24"/>
          <w:highlight w:val="none"/>
        </w:rPr>
      </w:pPr>
      <w:r>
        <w:rPr>
          <w:rFonts w:hint="eastAsia" w:ascii="宋体" w:hAnsi="宋体" w:cs="宋体"/>
          <w:sz w:val="24"/>
          <w:szCs w:val="24"/>
          <w:highlight w:val="none"/>
        </w:rPr>
        <w:t>详细通讯地址：</w:t>
      </w:r>
    </w:p>
    <w:p>
      <w:pPr>
        <w:spacing w:line="360" w:lineRule="auto"/>
        <w:ind w:firstLine="435"/>
        <w:rPr>
          <w:rFonts w:ascii="宋体" w:cs="宋体"/>
          <w:sz w:val="24"/>
          <w:szCs w:val="24"/>
          <w:highlight w:val="non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政</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rPr>
        <w:t xml:space="preserve"> </w:t>
      </w:r>
      <w:r>
        <w:rPr>
          <w:rFonts w:hint="eastAsia" w:ascii="宋体" w:hAnsi="宋体" w:cs="宋体"/>
          <w:sz w:val="24"/>
          <w:szCs w:val="24"/>
          <w:highlight w:val="none"/>
        </w:rPr>
        <w:t>码：</w:t>
      </w:r>
    </w:p>
    <w:p>
      <w:pPr>
        <w:spacing w:line="360" w:lineRule="auto"/>
        <w:ind w:firstLine="435"/>
        <w:rPr>
          <w:rFonts w:ascii="宋体" w:cs="宋体"/>
          <w:sz w:val="24"/>
          <w:szCs w:val="24"/>
          <w:highlight w:val="none"/>
        </w:rPr>
      </w:pPr>
      <w:r>
        <w:rPr>
          <w:rFonts w:hint="eastAsia" w:ascii="宋体" w:hAnsi="宋体" w:cs="宋体"/>
          <w:sz w:val="24"/>
          <w:szCs w:val="24"/>
          <w:highlight w:val="none"/>
        </w:rPr>
        <w:t>传　　　　真：</w:t>
      </w:r>
    </w:p>
    <w:p>
      <w:pPr>
        <w:spacing w:line="360" w:lineRule="auto"/>
        <w:ind w:firstLine="435"/>
        <w:rPr>
          <w:rFonts w:ascii="宋体" w:cs="宋体"/>
          <w:sz w:val="24"/>
          <w:szCs w:val="24"/>
          <w:highlight w:val="none"/>
        </w:rPr>
      </w:pPr>
      <w:r>
        <w:rPr>
          <w:rFonts w:hint="eastAsia" w:ascii="宋体" w:hAnsi="宋体" w:cs="宋体"/>
          <w:sz w:val="24"/>
          <w:szCs w:val="24"/>
          <w:highlight w:val="none"/>
        </w:rPr>
        <w:t>电　　　　话：</w:t>
      </w:r>
    </w:p>
    <w:p>
      <w:pPr>
        <w:spacing w:line="360" w:lineRule="auto"/>
        <w:ind w:firstLine="435"/>
        <w:rPr>
          <w:rFonts w:ascii="宋体" w:cs="宋体"/>
          <w:sz w:val="24"/>
          <w:szCs w:val="24"/>
          <w:highlight w:val="none"/>
        </w:rPr>
      </w:pPr>
      <w:r>
        <w:rPr>
          <w:rFonts w:hint="eastAsia" w:ascii="宋体" w:hAnsi="宋体" w:cs="宋体"/>
          <w:sz w:val="24"/>
          <w:szCs w:val="24"/>
          <w:highlight w:val="none"/>
        </w:rPr>
        <w:t>手</w:t>
      </w:r>
      <w:r>
        <w:rPr>
          <w:rFonts w:ascii="宋体" w:hAnsi="宋体" w:cs="宋体"/>
          <w:sz w:val="24"/>
          <w:szCs w:val="24"/>
          <w:highlight w:val="none"/>
        </w:rPr>
        <w:t xml:space="preserve">        </w:t>
      </w:r>
      <w:r>
        <w:rPr>
          <w:rFonts w:hint="eastAsia" w:ascii="宋体" w:hAnsi="宋体" w:cs="宋体"/>
          <w:sz w:val="24"/>
          <w:szCs w:val="24"/>
          <w:highlight w:val="none"/>
        </w:rPr>
        <w:t>机：</w:t>
      </w:r>
    </w:p>
    <w:p>
      <w:pPr>
        <w:spacing w:line="360" w:lineRule="auto"/>
        <w:ind w:firstLine="435"/>
        <w:rPr>
          <w:rFonts w:ascii="宋体" w:cs="宋体"/>
          <w:highlight w:val="none"/>
        </w:rPr>
      </w:pPr>
    </w:p>
    <w:p>
      <w:pPr>
        <w:spacing w:line="360" w:lineRule="auto"/>
        <w:ind w:firstLine="435"/>
        <w:rPr>
          <w:rFonts w:ascii="宋体" w:cs="宋体"/>
          <w:b/>
          <w:highlight w:val="none"/>
        </w:rPr>
      </w:pPr>
      <w:r>
        <w:rPr>
          <w:rFonts w:hint="eastAsia" w:ascii="宋体" w:hAnsi="宋体" w:cs="宋体"/>
          <w:b/>
          <w:highlight w:val="none"/>
        </w:rPr>
        <w:t>（后附法定代表人和被授权人身份证复印件加盖单位公章）</w:t>
      </w:r>
    </w:p>
    <w:p>
      <w:pPr>
        <w:pStyle w:val="6"/>
        <w:rPr>
          <w:rFonts w:ascii="宋体" w:cs="宋体"/>
          <w:highlight w:val="none"/>
        </w:rPr>
      </w:pPr>
      <w:r>
        <w:rPr>
          <w:rFonts w:ascii="宋体" w:cs="宋体"/>
          <w:highlight w:val="none"/>
        </w:rPr>
        <w:br w:type="page"/>
      </w:r>
      <w:bookmarkStart w:id="212" w:name="_Toc2355271"/>
      <w:bookmarkStart w:id="213" w:name="_Toc497167418"/>
      <w:bookmarkStart w:id="214" w:name="_Toc493422670"/>
      <w:bookmarkStart w:id="215" w:name="_Toc2512013"/>
      <w:bookmarkStart w:id="216" w:name="_Toc44705296"/>
      <w:bookmarkStart w:id="217" w:name="_Toc44705075"/>
      <w:bookmarkStart w:id="218" w:name="_Toc14776863"/>
      <w:bookmarkStart w:id="219" w:name="_Toc44704928"/>
      <w:r>
        <w:rPr>
          <w:rFonts w:ascii="宋体" w:hAnsi="宋体" w:cs="宋体"/>
          <w:sz w:val="32"/>
          <w:szCs w:val="24"/>
          <w:highlight w:val="none"/>
        </w:rPr>
        <w:t>2.7</w:t>
      </w:r>
      <w:r>
        <w:rPr>
          <w:rFonts w:hint="eastAsia" w:ascii="宋体" w:hAnsi="宋体" w:cs="宋体"/>
          <w:sz w:val="32"/>
          <w:szCs w:val="24"/>
          <w:highlight w:val="none"/>
        </w:rPr>
        <w:t>、按招标文件中投标人须知和采购需求中要求提供的有关文件</w:t>
      </w:r>
      <w:bookmarkEnd w:id="212"/>
      <w:bookmarkEnd w:id="213"/>
      <w:bookmarkEnd w:id="214"/>
      <w:bookmarkEnd w:id="215"/>
      <w:r>
        <w:rPr>
          <w:rFonts w:hint="eastAsia" w:ascii="宋体" w:hAnsi="宋体" w:cs="宋体"/>
          <w:sz w:val="32"/>
          <w:szCs w:val="24"/>
          <w:highlight w:val="none"/>
        </w:rPr>
        <w:t>（部分格式）</w:t>
      </w:r>
      <w:bookmarkEnd w:id="216"/>
      <w:bookmarkEnd w:id="217"/>
      <w:bookmarkEnd w:id="218"/>
      <w:bookmarkEnd w:id="219"/>
    </w:p>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一、目录</w:t>
      </w:r>
    </w:p>
    <w:p>
      <w:pPr>
        <w:pStyle w:val="2"/>
        <w:ind w:left="0" w:leftChars="0" w:firstLine="0" w:firstLineChars="0"/>
        <w:rPr>
          <w:rFonts w:hint="eastAsia" w:eastAsia="宋体"/>
          <w:highlight w:val="none"/>
          <w:lang w:eastAsia="zh-CN"/>
        </w:rPr>
      </w:pPr>
      <w:r>
        <w:rPr>
          <w:rFonts w:hint="eastAsia"/>
          <w:highlight w:val="none"/>
        </w:rPr>
        <w:t>2.7.1投标人基本概况一览表</w:t>
      </w:r>
      <w:r>
        <w:rPr>
          <w:rFonts w:hint="eastAsia"/>
          <w:highlight w:val="none"/>
          <w:lang w:eastAsia="zh-CN"/>
        </w:rPr>
        <w:t>；</w:t>
      </w:r>
    </w:p>
    <w:p>
      <w:pPr>
        <w:pStyle w:val="2"/>
        <w:ind w:left="0" w:leftChars="0" w:firstLine="0" w:firstLineChars="0"/>
        <w:rPr>
          <w:rFonts w:hint="default" w:eastAsia="宋体"/>
          <w:highlight w:val="none"/>
          <w:lang w:val="en-US" w:eastAsia="zh-CN"/>
        </w:rPr>
      </w:pPr>
      <w:r>
        <w:rPr>
          <w:rFonts w:hint="eastAsia"/>
          <w:highlight w:val="none"/>
          <w:lang w:val="en-US" w:eastAsia="zh-CN"/>
        </w:rPr>
        <w:t>2.7.2维修质量保证书；</w:t>
      </w:r>
    </w:p>
    <w:p>
      <w:pPr>
        <w:spacing w:line="360" w:lineRule="auto"/>
        <w:rPr>
          <w:rFonts w:ascii="宋体" w:cs="宋体"/>
          <w:sz w:val="24"/>
          <w:szCs w:val="24"/>
          <w:highlight w:val="none"/>
        </w:rPr>
      </w:pPr>
      <w:r>
        <w:rPr>
          <w:rFonts w:ascii="宋体" w:hAnsi="宋体" w:cs="宋体"/>
          <w:sz w:val="24"/>
          <w:szCs w:val="24"/>
          <w:highlight w:val="none"/>
        </w:rPr>
        <w:t>2.7.</w:t>
      </w:r>
      <w:r>
        <w:rPr>
          <w:rFonts w:hint="eastAsia" w:ascii="宋体" w:hAnsi="宋体" w:cs="宋体"/>
          <w:sz w:val="24"/>
          <w:szCs w:val="24"/>
          <w:highlight w:val="none"/>
          <w:lang w:val="en-US" w:eastAsia="zh-CN"/>
        </w:rPr>
        <w:t>3</w:t>
      </w:r>
      <w:r>
        <w:rPr>
          <w:rFonts w:hint="eastAsia" w:ascii="宋体" w:hAnsi="宋体" w:cs="宋体"/>
          <w:sz w:val="24"/>
          <w:szCs w:val="24"/>
          <w:highlight w:val="none"/>
        </w:rPr>
        <w:t>近三年类似项目业绩表（须提供中标</w:t>
      </w:r>
      <w:r>
        <w:rPr>
          <w:rFonts w:ascii="宋体" w:hAnsi="宋体" w:cs="宋体"/>
          <w:sz w:val="24"/>
          <w:szCs w:val="24"/>
          <w:highlight w:val="none"/>
        </w:rPr>
        <w:t>/</w:t>
      </w:r>
      <w:r>
        <w:rPr>
          <w:rFonts w:hint="eastAsia" w:ascii="宋体" w:hAnsi="宋体" w:cs="宋体"/>
          <w:sz w:val="24"/>
          <w:szCs w:val="24"/>
          <w:highlight w:val="none"/>
        </w:rPr>
        <w:t>中标通知书或者合同复印件加盖公章）；</w:t>
      </w:r>
    </w:p>
    <w:p>
      <w:pPr>
        <w:tabs>
          <w:tab w:val="left" w:pos="720"/>
        </w:tabs>
        <w:autoSpaceDE w:val="0"/>
        <w:autoSpaceDN w:val="0"/>
        <w:adjustRightInd w:val="0"/>
        <w:spacing w:line="360" w:lineRule="auto"/>
        <w:ind w:right="17"/>
        <w:jc w:val="left"/>
        <w:rPr>
          <w:rFonts w:hint="eastAsia" w:ascii="宋体" w:hAnsi="宋体" w:cs="宋体"/>
          <w:sz w:val="24"/>
          <w:szCs w:val="24"/>
          <w:highlight w:val="none"/>
        </w:rPr>
      </w:pPr>
      <w:r>
        <w:rPr>
          <w:rFonts w:ascii="宋体" w:hAnsi="宋体" w:cs="宋体"/>
          <w:sz w:val="24"/>
          <w:szCs w:val="24"/>
          <w:highlight w:val="none"/>
        </w:rPr>
        <w:t>2.7.</w:t>
      </w:r>
      <w:r>
        <w:rPr>
          <w:rFonts w:hint="eastAsia" w:ascii="宋体" w:hAnsi="宋体" w:cs="宋体"/>
          <w:sz w:val="24"/>
          <w:szCs w:val="24"/>
          <w:highlight w:val="none"/>
          <w:lang w:val="en-US" w:eastAsia="zh-CN"/>
        </w:rPr>
        <w:t>4</w:t>
      </w:r>
      <w:r>
        <w:rPr>
          <w:rFonts w:hint="eastAsia" w:ascii="宋体" w:hAnsi="宋体" w:cs="宋体"/>
          <w:sz w:val="24"/>
          <w:szCs w:val="24"/>
          <w:highlight w:val="none"/>
        </w:rPr>
        <w:t>项目人员配备表（须提供相关证明材料并同时提供社保缴纳证明，复印件加盖单位公章）；</w:t>
      </w:r>
    </w:p>
    <w:p>
      <w:pPr>
        <w:tabs>
          <w:tab w:val="left" w:pos="720"/>
        </w:tabs>
        <w:autoSpaceDE w:val="0"/>
        <w:autoSpaceDN w:val="0"/>
        <w:adjustRightInd w:val="0"/>
        <w:spacing w:line="360" w:lineRule="auto"/>
        <w:ind w:right="17"/>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2.7.</w:t>
      </w:r>
      <w:r>
        <w:rPr>
          <w:rFonts w:hint="eastAsia" w:ascii="宋体" w:hAnsi="宋体" w:cs="宋体"/>
          <w:sz w:val="24"/>
          <w:szCs w:val="24"/>
          <w:highlight w:val="none"/>
          <w:lang w:val="en-US" w:eastAsia="zh-CN"/>
        </w:rPr>
        <w:t>5</w:t>
      </w:r>
      <w:r>
        <w:rPr>
          <w:rFonts w:hint="eastAsia" w:ascii="宋体" w:hAnsi="宋体" w:cs="宋体"/>
          <w:sz w:val="24"/>
          <w:szCs w:val="24"/>
          <w:highlight w:val="none"/>
        </w:rPr>
        <w:t>汽车维修设备一览表</w:t>
      </w:r>
      <w:r>
        <w:rPr>
          <w:rFonts w:hint="eastAsia" w:ascii="宋体" w:hAnsi="宋体" w:cs="宋体"/>
          <w:sz w:val="24"/>
          <w:szCs w:val="24"/>
          <w:highlight w:val="none"/>
          <w:lang w:eastAsia="zh-CN"/>
        </w:rPr>
        <w:t>；</w:t>
      </w:r>
    </w:p>
    <w:p>
      <w:pPr>
        <w:tabs>
          <w:tab w:val="left" w:pos="720"/>
        </w:tabs>
        <w:autoSpaceDE w:val="0"/>
        <w:autoSpaceDN w:val="0"/>
        <w:adjustRightInd w:val="0"/>
        <w:spacing w:line="360" w:lineRule="auto"/>
        <w:ind w:right="17"/>
        <w:jc w:val="left"/>
        <w:rPr>
          <w:rFonts w:hint="eastAsia" w:ascii="宋体" w:hAnsi="宋体" w:cs="宋体"/>
          <w:sz w:val="24"/>
          <w:szCs w:val="24"/>
          <w:highlight w:val="none"/>
        </w:rPr>
      </w:pPr>
      <w:r>
        <w:rPr>
          <w:rFonts w:ascii="宋体" w:hAnsi="宋体" w:cs="宋体"/>
          <w:sz w:val="24"/>
          <w:szCs w:val="24"/>
          <w:highlight w:val="none"/>
        </w:rPr>
        <w:t>2.7.</w:t>
      </w:r>
      <w:r>
        <w:rPr>
          <w:rFonts w:hint="eastAsia" w:ascii="宋体" w:hAnsi="宋体" w:cs="宋体"/>
          <w:sz w:val="24"/>
          <w:szCs w:val="24"/>
          <w:highlight w:val="none"/>
          <w:lang w:val="en-US" w:eastAsia="zh-CN"/>
        </w:rPr>
        <w:t>6</w:t>
      </w:r>
      <w:r>
        <w:rPr>
          <w:rFonts w:hint="eastAsia" w:ascii="宋体" w:hAnsi="宋体" w:cs="宋体"/>
          <w:sz w:val="24"/>
          <w:szCs w:val="24"/>
          <w:highlight w:val="none"/>
        </w:rPr>
        <w:t>服务方案</w:t>
      </w:r>
      <w:r>
        <w:rPr>
          <w:rFonts w:ascii="宋体" w:cs="宋体"/>
          <w:sz w:val="24"/>
          <w:szCs w:val="24"/>
          <w:highlight w:val="none"/>
        </w:rPr>
        <w:t>-</w:t>
      </w:r>
      <w:r>
        <w:rPr>
          <w:rFonts w:hint="eastAsia" w:ascii="宋体" w:hAnsi="宋体" w:cs="宋体"/>
          <w:sz w:val="24"/>
          <w:szCs w:val="24"/>
          <w:highlight w:val="none"/>
        </w:rPr>
        <w:t>格式自拟；</w:t>
      </w:r>
    </w:p>
    <w:p>
      <w:pPr>
        <w:tabs>
          <w:tab w:val="left" w:pos="720"/>
        </w:tabs>
        <w:autoSpaceDE w:val="0"/>
        <w:autoSpaceDN w:val="0"/>
        <w:adjustRightInd w:val="0"/>
        <w:spacing w:line="360" w:lineRule="auto"/>
        <w:ind w:right="17"/>
        <w:jc w:val="left"/>
        <w:rPr>
          <w:rFonts w:ascii="宋体" w:cs="宋体"/>
          <w:sz w:val="24"/>
          <w:szCs w:val="24"/>
          <w:highlight w:val="none"/>
        </w:rPr>
      </w:pPr>
      <w:r>
        <w:rPr>
          <w:rFonts w:hint="eastAsia" w:ascii="宋体" w:hAnsi="宋体" w:cs="宋体"/>
          <w:sz w:val="24"/>
          <w:szCs w:val="24"/>
          <w:highlight w:val="none"/>
        </w:rPr>
        <w:t>2.7.</w:t>
      </w:r>
      <w:r>
        <w:rPr>
          <w:rFonts w:hint="eastAsia" w:ascii="宋体" w:hAnsi="宋体" w:cs="宋体"/>
          <w:sz w:val="24"/>
          <w:szCs w:val="24"/>
          <w:highlight w:val="none"/>
          <w:lang w:val="en-US" w:eastAsia="zh-CN"/>
        </w:rPr>
        <w:t>7</w:t>
      </w:r>
      <w:r>
        <w:rPr>
          <w:rFonts w:hint="eastAsia" w:ascii="宋体" w:hAnsi="宋体" w:cs="宋体"/>
          <w:sz w:val="24"/>
          <w:szCs w:val="24"/>
          <w:highlight w:val="none"/>
        </w:rPr>
        <w:t>保密承诺函</w:t>
      </w:r>
    </w:p>
    <w:p>
      <w:pPr>
        <w:tabs>
          <w:tab w:val="left" w:pos="720"/>
        </w:tabs>
        <w:autoSpaceDE w:val="0"/>
        <w:autoSpaceDN w:val="0"/>
        <w:adjustRightInd w:val="0"/>
        <w:spacing w:line="360" w:lineRule="auto"/>
        <w:ind w:right="17"/>
        <w:jc w:val="left"/>
        <w:rPr>
          <w:rFonts w:ascii="宋体" w:cs="宋体"/>
          <w:color w:val="000000"/>
          <w:sz w:val="24"/>
          <w:szCs w:val="24"/>
          <w:highlight w:val="none"/>
        </w:rPr>
      </w:pPr>
      <w:r>
        <w:rPr>
          <w:rFonts w:ascii="宋体" w:hAnsi="宋体" w:cs="宋体"/>
          <w:sz w:val="24"/>
          <w:szCs w:val="24"/>
          <w:highlight w:val="none"/>
        </w:rPr>
        <w:t>2.7.</w:t>
      </w:r>
      <w:r>
        <w:rPr>
          <w:rFonts w:hint="eastAsia" w:ascii="宋体" w:hAnsi="宋体" w:cs="宋体"/>
          <w:sz w:val="24"/>
          <w:szCs w:val="24"/>
          <w:highlight w:val="none"/>
          <w:lang w:val="en-US" w:eastAsia="zh-CN"/>
        </w:rPr>
        <w:t>8</w:t>
      </w:r>
      <w:r>
        <w:rPr>
          <w:rFonts w:hint="eastAsia" w:ascii="宋体" w:hAnsi="宋体" w:cs="宋体"/>
          <w:sz w:val="24"/>
          <w:szCs w:val="24"/>
          <w:highlight w:val="none"/>
        </w:rPr>
        <w:t>中小企业声明函（格式，不符合条件无须提交，如符合则提交并附相关证明材料，详见“评标方法及评标标准”</w:t>
      </w:r>
      <w:r>
        <w:rPr>
          <w:rFonts w:hint="eastAsia" w:ascii="宋体" w:hAnsi="宋体" w:cs="宋体"/>
          <w:color w:val="000000"/>
          <w:sz w:val="24"/>
          <w:szCs w:val="24"/>
          <w:highlight w:val="none"/>
        </w:rPr>
        <w:t>）；</w:t>
      </w:r>
    </w:p>
    <w:p>
      <w:pPr>
        <w:tabs>
          <w:tab w:val="left" w:pos="720"/>
        </w:tabs>
        <w:autoSpaceDE w:val="0"/>
        <w:autoSpaceDN w:val="0"/>
        <w:adjustRightInd w:val="0"/>
        <w:spacing w:line="360" w:lineRule="auto"/>
        <w:ind w:right="17"/>
        <w:jc w:val="left"/>
        <w:rPr>
          <w:rFonts w:ascii="宋体" w:cs="宋体"/>
          <w:color w:val="000000"/>
          <w:sz w:val="24"/>
          <w:highlight w:val="none"/>
        </w:rPr>
      </w:pPr>
      <w:r>
        <w:rPr>
          <w:rFonts w:ascii="宋体" w:hAnsi="宋体" w:cs="宋体"/>
          <w:color w:val="000000"/>
          <w:sz w:val="24"/>
          <w:highlight w:val="none"/>
        </w:rPr>
        <w:t>2.7.</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残疾人福利性单位声明函（</w:t>
      </w:r>
      <w:r>
        <w:rPr>
          <w:rFonts w:hint="eastAsia" w:ascii="宋体" w:hAnsi="宋体" w:cs="宋体"/>
          <w:sz w:val="24"/>
          <w:szCs w:val="24"/>
          <w:highlight w:val="none"/>
        </w:rPr>
        <w:t>格式，不符合 条件无须提交</w:t>
      </w:r>
      <w:r>
        <w:rPr>
          <w:rFonts w:hint="eastAsia" w:ascii="宋体" w:hAnsi="宋体" w:cs="宋体"/>
          <w:color w:val="000000"/>
          <w:sz w:val="24"/>
          <w:highlight w:val="none"/>
        </w:rPr>
        <w:t>）</w:t>
      </w:r>
    </w:p>
    <w:p>
      <w:pPr>
        <w:spacing w:line="360" w:lineRule="auto"/>
        <w:rPr>
          <w:rFonts w:ascii="宋体" w:cs="宋体"/>
          <w:color w:val="000000"/>
          <w:sz w:val="24"/>
          <w:highlight w:val="none"/>
        </w:rPr>
      </w:pPr>
      <w:r>
        <w:rPr>
          <w:rFonts w:ascii="宋体" w:hAnsi="宋体" w:cs="宋体"/>
          <w:color w:val="000000"/>
          <w:sz w:val="24"/>
          <w:highlight w:val="none"/>
        </w:rPr>
        <w:t>2.7.</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节能产品、环境标志产品、信息安全产品证明材料（如适用）；</w:t>
      </w:r>
    </w:p>
    <w:p>
      <w:pPr>
        <w:spacing w:line="360" w:lineRule="auto"/>
        <w:rPr>
          <w:rFonts w:ascii="宋体" w:hAnsi="宋体" w:cs="宋体"/>
          <w:color w:val="000000"/>
          <w:sz w:val="24"/>
          <w:highlight w:val="none"/>
        </w:rPr>
      </w:pPr>
      <w:r>
        <w:rPr>
          <w:rFonts w:ascii="宋体" w:hAnsi="宋体" w:cs="宋体"/>
          <w:color w:val="000000"/>
          <w:kern w:val="0"/>
          <w:sz w:val="24"/>
          <w:highlight w:val="none"/>
        </w:rPr>
        <w:t>2.7.</w:t>
      </w:r>
      <w:r>
        <w:rPr>
          <w:rFonts w:hint="eastAsia" w:ascii="宋体" w:hAnsi="宋体" w:cs="宋体"/>
          <w:color w:val="000000"/>
          <w:kern w:val="0"/>
          <w:sz w:val="24"/>
          <w:highlight w:val="none"/>
          <w:lang w:val="en-US" w:eastAsia="zh-CN"/>
        </w:rPr>
        <w:t>11</w:t>
      </w:r>
      <w:r>
        <w:rPr>
          <w:rFonts w:hint="eastAsia" w:ascii="宋体" w:hAnsi="宋体" w:cs="宋体"/>
          <w:color w:val="000000"/>
          <w:sz w:val="24"/>
          <w:highlight w:val="none"/>
        </w:rPr>
        <w:t>招标文件要求的其它文件及投标人认为有必要提供的其它文件。</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二、填写须知</w:t>
      </w:r>
    </w:p>
    <w:p>
      <w:pPr>
        <w:spacing w:line="360" w:lineRule="auto"/>
        <w:rPr>
          <w:rFonts w:ascii="宋体" w:cs="宋体"/>
          <w:color w:val="000000"/>
          <w:sz w:val="24"/>
          <w:szCs w:val="24"/>
          <w:highlight w:val="none"/>
        </w:rPr>
      </w:pPr>
      <w:r>
        <w:rPr>
          <w:rFonts w:ascii="宋体" w:hAnsi="宋体" w:cs="宋体"/>
          <w:color w:val="000000"/>
          <w:sz w:val="24"/>
          <w:szCs w:val="24"/>
          <w:highlight w:val="none"/>
        </w:rPr>
        <w:t>1</w:t>
      </w:r>
      <w:r>
        <w:rPr>
          <w:rFonts w:hint="eastAsia" w:ascii="宋体" w:hAnsi="宋体" w:cs="宋体"/>
          <w:color w:val="000000"/>
          <w:sz w:val="24"/>
          <w:szCs w:val="24"/>
          <w:highlight w:val="none"/>
        </w:rPr>
        <w:t>）制造商或经销商作为投标人应填写和提交下述规定的全部格式以及其他有关资料。</w:t>
      </w:r>
    </w:p>
    <w:p>
      <w:pP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）所附格式中要求填写的全部问题和信息都必须填写。</w:t>
      </w:r>
    </w:p>
    <w:p>
      <w:pPr>
        <w:spacing w:line="360" w:lineRule="auto"/>
        <w:rPr>
          <w:rFonts w:ascii="宋体" w:cs="宋体"/>
          <w:color w:val="000000"/>
          <w:sz w:val="24"/>
          <w:szCs w:val="24"/>
          <w:highlight w:val="none"/>
        </w:rPr>
      </w:pPr>
      <w:r>
        <w:rPr>
          <w:rFonts w:ascii="宋体" w:hAnsi="宋体" w:cs="宋体"/>
          <w:color w:val="000000"/>
          <w:sz w:val="24"/>
          <w:szCs w:val="24"/>
          <w:highlight w:val="none"/>
        </w:rPr>
        <w:t>3</w:t>
      </w:r>
      <w:r>
        <w:rPr>
          <w:rFonts w:hint="eastAsia" w:ascii="宋体" w:hAnsi="宋体" w:cs="宋体"/>
          <w:color w:val="000000"/>
          <w:sz w:val="24"/>
          <w:szCs w:val="24"/>
          <w:highlight w:val="none"/>
        </w:rPr>
        <w:t>）本资格声明的签字人应保证全部声明和填写的内容是真实的和正确的。</w:t>
      </w:r>
    </w:p>
    <w:p>
      <w:pPr>
        <w:spacing w:line="360" w:lineRule="auto"/>
        <w:rPr>
          <w:rFonts w:ascii="宋体" w:cs="宋体"/>
          <w:color w:val="000000"/>
          <w:sz w:val="24"/>
          <w:szCs w:val="24"/>
          <w:highlight w:val="none"/>
        </w:rPr>
      </w:pPr>
      <w:r>
        <w:rPr>
          <w:rFonts w:ascii="宋体" w:hAnsi="宋体" w:cs="宋体"/>
          <w:color w:val="000000"/>
          <w:sz w:val="24"/>
          <w:szCs w:val="24"/>
          <w:highlight w:val="none"/>
        </w:rPr>
        <w:t>4</w:t>
      </w:r>
      <w:r>
        <w:rPr>
          <w:rFonts w:hint="eastAsia" w:ascii="宋体" w:hAnsi="宋体" w:cs="宋体"/>
          <w:color w:val="000000"/>
          <w:sz w:val="24"/>
          <w:szCs w:val="24"/>
          <w:highlight w:val="none"/>
        </w:rPr>
        <w:t>）评标委员会将依据投标人提交的资料根据自己的评价和考虑决定投标人履行合同的能力。</w:t>
      </w:r>
    </w:p>
    <w:p>
      <w:pPr>
        <w:spacing w:line="360" w:lineRule="auto"/>
        <w:rPr>
          <w:rFonts w:ascii="宋体" w:cs="宋体"/>
          <w:color w:val="000000"/>
          <w:sz w:val="24"/>
          <w:szCs w:val="24"/>
          <w:highlight w:val="none"/>
        </w:rPr>
      </w:pPr>
      <w:r>
        <w:rPr>
          <w:rFonts w:ascii="宋体" w:hAnsi="宋体" w:cs="宋体"/>
          <w:color w:val="000000"/>
          <w:sz w:val="24"/>
          <w:szCs w:val="24"/>
          <w:highlight w:val="none"/>
        </w:rPr>
        <w:t>5</w:t>
      </w:r>
      <w:r>
        <w:rPr>
          <w:rFonts w:hint="eastAsia" w:ascii="宋体" w:hAnsi="宋体" w:cs="宋体"/>
          <w:color w:val="000000"/>
          <w:sz w:val="24"/>
          <w:szCs w:val="24"/>
          <w:highlight w:val="none"/>
        </w:rPr>
        <w:t>）投标人提交的材料将被保密，但不退还。</w:t>
      </w:r>
    </w:p>
    <w:p>
      <w:pPr>
        <w:spacing w:line="360" w:lineRule="auto"/>
        <w:rPr>
          <w:rFonts w:ascii="宋体" w:cs="宋体"/>
          <w:color w:val="000000"/>
          <w:sz w:val="24"/>
          <w:szCs w:val="24"/>
          <w:highlight w:val="none"/>
        </w:rPr>
      </w:pPr>
      <w:r>
        <w:rPr>
          <w:rFonts w:ascii="宋体" w:hAnsi="宋体" w:cs="宋体"/>
          <w:color w:val="000000"/>
          <w:sz w:val="24"/>
          <w:szCs w:val="24"/>
          <w:highlight w:val="none"/>
        </w:rPr>
        <w:t>6</w:t>
      </w:r>
      <w:r>
        <w:rPr>
          <w:rFonts w:hint="eastAsia" w:ascii="宋体" w:hAnsi="宋体" w:cs="宋体"/>
          <w:color w:val="000000"/>
          <w:sz w:val="24"/>
          <w:szCs w:val="24"/>
          <w:highlight w:val="none"/>
        </w:rPr>
        <w:t>）全部文件应按“投标人须知前附表”规定的份数提交。</w:t>
      </w:r>
    </w:p>
    <w:p>
      <w:pPr>
        <w:spacing w:line="360" w:lineRule="auto"/>
        <w:rPr>
          <w:rFonts w:ascii="宋体" w:cs="宋体"/>
          <w:b/>
          <w:color w:val="000000"/>
          <w:sz w:val="24"/>
          <w:szCs w:val="24"/>
          <w:highlight w:val="none"/>
        </w:rPr>
      </w:pPr>
      <w:r>
        <w:rPr>
          <w:rFonts w:ascii="宋体" w:hAnsi="宋体" w:cs="宋体"/>
          <w:b/>
          <w:color w:val="000000"/>
          <w:sz w:val="24"/>
          <w:szCs w:val="24"/>
          <w:highlight w:val="none"/>
        </w:rPr>
        <w:t>2.7.1-2.7.</w:t>
      </w:r>
      <w:r>
        <w:rPr>
          <w:rFonts w:hint="eastAsia" w:ascii="宋体" w:hAnsi="宋体" w:cs="宋体"/>
          <w:b/>
          <w:color w:val="000000"/>
          <w:sz w:val="24"/>
          <w:szCs w:val="24"/>
          <w:highlight w:val="none"/>
          <w:lang w:val="en-US" w:eastAsia="zh-CN"/>
        </w:rPr>
        <w:t>11</w:t>
      </w:r>
      <w:r>
        <w:rPr>
          <w:rFonts w:hint="eastAsia" w:ascii="宋体" w:hAnsi="宋体" w:cs="宋体"/>
          <w:b/>
          <w:color w:val="000000"/>
          <w:sz w:val="24"/>
          <w:szCs w:val="24"/>
          <w:highlight w:val="none"/>
        </w:rPr>
        <w:t>为附加条件，执行招标文件中评标方法综合打分。</w:t>
      </w:r>
    </w:p>
    <w:p>
      <w:pPr>
        <w:pStyle w:val="7"/>
        <w:rPr>
          <w:rFonts w:hint="eastAsia" w:ascii="宋体" w:hAnsi="宋体"/>
          <w:b/>
          <w:sz w:val="30"/>
          <w:szCs w:val="30"/>
          <w:highlight w:val="none"/>
        </w:rPr>
      </w:pPr>
      <w:bookmarkStart w:id="220" w:name="_Toc44704929"/>
      <w:bookmarkStart w:id="221" w:name="_Toc493422672"/>
      <w:bookmarkStart w:id="222" w:name="_Toc44705297"/>
      <w:r>
        <w:rPr>
          <w:rFonts w:ascii="宋体" w:cs="宋体"/>
          <w:color w:val="000000"/>
          <w:highlight w:val="none"/>
          <w:lang w:eastAsia="zh-CN"/>
        </w:rPr>
        <w:br w:type="page"/>
      </w:r>
      <w:r>
        <w:rPr>
          <w:rFonts w:ascii="宋体" w:hAnsi="宋体" w:cs="宋体"/>
          <w:szCs w:val="24"/>
          <w:highlight w:val="none"/>
          <w:lang w:eastAsia="zh-CN"/>
        </w:rPr>
        <w:t>2.7.1</w:t>
      </w:r>
      <w:r>
        <w:rPr>
          <w:rFonts w:hint="eastAsia" w:ascii="宋体" w:hAnsi="宋体"/>
          <w:b/>
          <w:sz w:val="30"/>
          <w:szCs w:val="30"/>
          <w:highlight w:val="none"/>
        </w:rPr>
        <w:t>投标人基本概况一览表</w:t>
      </w:r>
    </w:p>
    <w:p>
      <w:pPr>
        <w:rPr>
          <w:highlight w:val="none"/>
          <w:lang w:eastAsia="zh-CN"/>
        </w:rPr>
      </w:pPr>
    </w:p>
    <w:p>
      <w:pPr>
        <w:rPr>
          <w:rFonts w:hint="eastAsia" w:ascii="宋体" w:hAnsi="宋体"/>
          <w:sz w:val="24"/>
          <w:highlight w:val="none"/>
          <w:u w:val="single"/>
        </w:rPr>
      </w:pP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rPr>
        <w:t xml:space="preserve">          项目名称：</w:t>
      </w:r>
      <w:r>
        <w:rPr>
          <w:rFonts w:hint="eastAsia" w:ascii="宋体" w:hAnsi="宋体"/>
          <w:sz w:val="24"/>
          <w:highlight w:val="none"/>
          <w:u w:val="single"/>
        </w:rPr>
        <w:t xml:space="preserve">                            </w:t>
      </w:r>
    </w:p>
    <w:tbl>
      <w:tblPr>
        <w:tblStyle w:val="48"/>
        <w:tblW w:w="856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06"/>
        <w:gridCol w:w="1177"/>
        <w:gridCol w:w="1291"/>
        <w:gridCol w:w="689"/>
        <w:gridCol w:w="180"/>
        <w:gridCol w:w="213"/>
        <w:gridCol w:w="192"/>
        <w:gridCol w:w="855"/>
        <w:gridCol w:w="255"/>
        <w:gridCol w:w="300"/>
        <w:gridCol w:w="15"/>
        <w:gridCol w:w="723"/>
        <w:gridCol w:w="263"/>
        <w:gridCol w:w="64"/>
        <w:gridCol w:w="153"/>
        <w:gridCol w:w="57"/>
        <w:gridCol w:w="15"/>
        <w:gridCol w:w="30"/>
        <w:gridCol w:w="605"/>
        <w:gridCol w:w="78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 w:hRule="atLeas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投标人名称</w:t>
            </w:r>
          </w:p>
        </w:tc>
        <w:tc>
          <w:tcPr>
            <w:tcW w:w="6685" w:type="dxa"/>
            <w:gridSpan w:val="18"/>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经营地址</w:t>
            </w:r>
          </w:p>
        </w:tc>
        <w:tc>
          <w:tcPr>
            <w:tcW w:w="3990" w:type="dxa"/>
            <w:gridSpan w:val="9"/>
            <w:noWrap w:val="0"/>
            <w:vAlign w:val="center"/>
          </w:tcPr>
          <w:p>
            <w:pPr>
              <w:rPr>
                <w:rFonts w:hint="eastAsia" w:ascii="宋体" w:hAnsi="宋体"/>
                <w:szCs w:val="21"/>
                <w:highlight w:val="none"/>
              </w:rPr>
            </w:pPr>
          </w:p>
        </w:tc>
        <w:tc>
          <w:tcPr>
            <w:tcW w:w="1203" w:type="dxa"/>
            <w:gridSpan w:val="4"/>
            <w:noWrap w:val="0"/>
            <w:vAlign w:val="center"/>
          </w:tcPr>
          <w:p>
            <w:pPr>
              <w:rPr>
                <w:rFonts w:hint="eastAsia" w:ascii="宋体" w:hAnsi="宋体"/>
                <w:szCs w:val="21"/>
                <w:highlight w:val="none"/>
              </w:rPr>
            </w:pPr>
            <w:r>
              <w:rPr>
                <w:rFonts w:hint="eastAsia" w:ascii="宋体" w:hAnsi="宋体"/>
                <w:szCs w:val="21"/>
                <w:highlight w:val="none"/>
              </w:rPr>
              <w:t>联系电话</w:t>
            </w:r>
          </w:p>
        </w:tc>
        <w:tc>
          <w:tcPr>
            <w:tcW w:w="1492" w:type="dxa"/>
            <w:gridSpan w:val="5"/>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22" w:hRule="atLeas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企业注册地址</w:t>
            </w:r>
          </w:p>
        </w:tc>
        <w:tc>
          <w:tcPr>
            <w:tcW w:w="3990" w:type="dxa"/>
            <w:gridSpan w:val="9"/>
            <w:noWrap w:val="0"/>
            <w:vAlign w:val="center"/>
          </w:tcPr>
          <w:p>
            <w:pPr>
              <w:rPr>
                <w:rFonts w:hint="eastAsia" w:ascii="宋体" w:hAnsi="宋体"/>
                <w:szCs w:val="21"/>
                <w:highlight w:val="none"/>
              </w:rPr>
            </w:pPr>
          </w:p>
        </w:tc>
        <w:tc>
          <w:tcPr>
            <w:tcW w:w="1203" w:type="dxa"/>
            <w:gridSpan w:val="4"/>
            <w:noWrap w:val="0"/>
            <w:vAlign w:val="center"/>
          </w:tcPr>
          <w:p>
            <w:pPr>
              <w:rPr>
                <w:rFonts w:hint="eastAsia" w:ascii="宋体" w:hAnsi="宋体"/>
                <w:szCs w:val="21"/>
                <w:highlight w:val="none"/>
              </w:rPr>
            </w:pPr>
            <w:r>
              <w:rPr>
                <w:rFonts w:hint="eastAsia" w:ascii="宋体" w:hAnsi="宋体"/>
                <w:szCs w:val="21"/>
                <w:highlight w:val="none"/>
              </w:rPr>
              <w:t>传真电话</w:t>
            </w:r>
          </w:p>
        </w:tc>
        <w:tc>
          <w:tcPr>
            <w:tcW w:w="1492" w:type="dxa"/>
            <w:gridSpan w:val="5"/>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邮政编码</w:t>
            </w:r>
          </w:p>
        </w:tc>
        <w:tc>
          <w:tcPr>
            <w:tcW w:w="2565" w:type="dxa"/>
            <w:gridSpan w:val="5"/>
            <w:noWrap w:val="0"/>
            <w:vAlign w:val="center"/>
          </w:tcPr>
          <w:p>
            <w:pPr>
              <w:rPr>
                <w:rFonts w:hint="eastAsia" w:ascii="宋体" w:hAnsi="宋体"/>
                <w:szCs w:val="21"/>
                <w:highlight w:val="none"/>
              </w:rPr>
            </w:pPr>
          </w:p>
        </w:tc>
        <w:tc>
          <w:tcPr>
            <w:tcW w:w="1425" w:type="dxa"/>
            <w:gridSpan w:val="4"/>
            <w:noWrap w:val="0"/>
            <w:vAlign w:val="center"/>
          </w:tcPr>
          <w:p>
            <w:pPr>
              <w:rPr>
                <w:rFonts w:hint="eastAsia" w:ascii="宋体" w:hAnsi="宋体"/>
                <w:szCs w:val="21"/>
                <w:highlight w:val="none"/>
              </w:rPr>
            </w:pPr>
            <w:r>
              <w:rPr>
                <w:rFonts w:hint="eastAsia" w:ascii="宋体" w:hAnsi="宋体"/>
                <w:szCs w:val="21"/>
                <w:highlight w:val="none"/>
              </w:rPr>
              <w:t>电子信箱</w:t>
            </w:r>
          </w:p>
        </w:tc>
        <w:tc>
          <w:tcPr>
            <w:tcW w:w="2695" w:type="dxa"/>
            <w:gridSpan w:val="9"/>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工商执照号</w:t>
            </w:r>
          </w:p>
        </w:tc>
        <w:tc>
          <w:tcPr>
            <w:tcW w:w="2160" w:type="dxa"/>
            <w:gridSpan w:val="3"/>
            <w:noWrap w:val="0"/>
            <w:vAlign w:val="center"/>
          </w:tcPr>
          <w:p>
            <w:pPr>
              <w:rPr>
                <w:rFonts w:hint="eastAsia" w:ascii="宋体" w:hAnsi="宋体"/>
                <w:szCs w:val="21"/>
                <w:highlight w:val="none"/>
              </w:rPr>
            </w:pPr>
          </w:p>
        </w:tc>
        <w:tc>
          <w:tcPr>
            <w:tcW w:w="2880" w:type="dxa"/>
            <w:gridSpan w:val="9"/>
            <w:noWrap w:val="0"/>
            <w:vAlign w:val="center"/>
          </w:tcPr>
          <w:p>
            <w:pPr>
              <w:rPr>
                <w:rFonts w:hint="eastAsia" w:ascii="宋体" w:hAnsi="宋体"/>
                <w:szCs w:val="21"/>
                <w:highlight w:val="none"/>
              </w:rPr>
            </w:pPr>
            <w:r>
              <w:rPr>
                <w:rFonts w:hint="eastAsia" w:ascii="宋体" w:hAnsi="宋体"/>
                <w:szCs w:val="21"/>
                <w:highlight w:val="none"/>
              </w:rPr>
              <w:t>机动车维修经营许可证编号</w:t>
            </w:r>
          </w:p>
        </w:tc>
        <w:tc>
          <w:tcPr>
            <w:tcW w:w="1645" w:type="dxa"/>
            <w:gridSpan w:val="6"/>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经济类型</w:t>
            </w:r>
          </w:p>
        </w:tc>
        <w:tc>
          <w:tcPr>
            <w:tcW w:w="2565" w:type="dxa"/>
            <w:gridSpan w:val="5"/>
            <w:noWrap w:val="0"/>
            <w:vAlign w:val="center"/>
          </w:tcPr>
          <w:p>
            <w:pPr>
              <w:rPr>
                <w:rFonts w:hint="eastAsia" w:ascii="宋体" w:hAnsi="宋体"/>
                <w:szCs w:val="21"/>
                <w:highlight w:val="none"/>
              </w:rPr>
            </w:pPr>
          </w:p>
        </w:tc>
        <w:tc>
          <w:tcPr>
            <w:tcW w:w="1425" w:type="dxa"/>
            <w:gridSpan w:val="4"/>
            <w:noWrap w:val="0"/>
            <w:vAlign w:val="center"/>
          </w:tcPr>
          <w:p>
            <w:pPr>
              <w:rPr>
                <w:rFonts w:hint="eastAsia" w:ascii="宋体" w:hAnsi="宋体"/>
                <w:szCs w:val="21"/>
                <w:highlight w:val="none"/>
              </w:rPr>
            </w:pPr>
            <w:r>
              <w:rPr>
                <w:rFonts w:hint="eastAsia" w:ascii="宋体" w:hAnsi="宋体"/>
                <w:szCs w:val="21"/>
                <w:highlight w:val="none"/>
              </w:rPr>
              <w:t>注册资金</w:t>
            </w:r>
          </w:p>
        </w:tc>
        <w:tc>
          <w:tcPr>
            <w:tcW w:w="2695" w:type="dxa"/>
            <w:gridSpan w:val="9"/>
            <w:noWrap w:val="0"/>
            <w:vAlign w:val="center"/>
          </w:tcPr>
          <w:p>
            <w:pPr>
              <w:ind w:firstLine="1680" w:firstLineChars="800"/>
              <w:rPr>
                <w:rFonts w:hint="eastAsia" w:ascii="宋体" w:hAnsi="宋体"/>
                <w:szCs w:val="21"/>
                <w:highlight w:val="none"/>
              </w:rPr>
            </w:pPr>
            <w:r>
              <w:rPr>
                <w:rFonts w:hint="eastAsia" w:ascii="宋体" w:hAnsi="宋体"/>
                <w:szCs w:val="21"/>
                <w:highlight w:val="none"/>
              </w:rPr>
              <w:t>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开户银行</w:t>
            </w:r>
          </w:p>
        </w:tc>
        <w:tc>
          <w:tcPr>
            <w:tcW w:w="2565" w:type="dxa"/>
            <w:gridSpan w:val="5"/>
            <w:noWrap w:val="0"/>
            <w:vAlign w:val="center"/>
          </w:tcPr>
          <w:p>
            <w:pPr>
              <w:rPr>
                <w:rFonts w:hint="eastAsia" w:ascii="宋体" w:hAnsi="宋体"/>
                <w:szCs w:val="21"/>
                <w:highlight w:val="none"/>
              </w:rPr>
            </w:pPr>
          </w:p>
        </w:tc>
        <w:tc>
          <w:tcPr>
            <w:tcW w:w="1425" w:type="dxa"/>
            <w:gridSpan w:val="4"/>
            <w:noWrap w:val="0"/>
            <w:vAlign w:val="center"/>
          </w:tcPr>
          <w:p>
            <w:pPr>
              <w:rPr>
                <w:rFonts w:hint="eastAsia" w:ascii="宋体" w:hAnsi="宋体"/>
                <w:szCs w:val="21"/>
                <w:highlight w:val="none"/>
              </w:rPr>
            </w:pPr>
            <w:r>
              <w:rPr>
                <w:rFonts w:hint="eastAsia" w:ascii="宋体" w:hAnsi="宋体"/>
                <w:szCs w:val="21"/>
                <w:highlight w:val="none"/>
              </w:rPr>
              <w:t>帐   号</w:t>
            </w:r>
          </w:p>
        </w:tc>
        <w:tc>
          <w:tcPr>
            <w:tcW w:w="2695" w:type="dxa"/>
            <w:gridSpan w:val="9"/>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863" w:type="dxa"/>
            <w:gridSpan w:val="4"/>
            <w:noWrap w:val="0"/>
            <w:vAlign w:val="center"/>
          </w:tcPr>
          <w:p>
            <w:pPr>
              <w:rPr>
                <w:rFonts w:hint="eastAsia" w:ascii="宋体" w:hAnsi="宋体"/>
                <w:szCs w:val="21"/>
                <w:highlight w:val="none"/>
              </w:rPr>
            </w:pPr>
            <w:r>
              <w:rPr>
                <w:rFonts w:hint="eastAsia" w:ascii="宋体" w:hAnsi="宋体"/>
                <w:szCs w:val="21"/>
                <w:highlight w:val="none"/>
              </w:rPr>
              <w:t>机动车维修经营许可证许可的经营范围</w:t>
            </w:r>
          </w:p>
        </w:tc>
        <w:tc>
          <w:tcPr>
            <w:tcW w:w="4705" w:type="dxa"/>
            <w:gridSpan w:val="16"/>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主修车型</w:t>
            </w:r>
          </w:p>
        </w:tc>
        <w:tc>
          <w:tcPr>
            <w:tcW w:w="6685" w:type="dxa"/>
            <w:gridSpan w:val="18"/>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所在国省道代码</w:t>
            </w:r>
          </w:p>
        </w:tc>
        <w:tc>
          <w:tcPr>
            <w:tcW w:w="1291" w:type="dxa"/>
            <w:noWrap w:val="0"/>
            <w:vAlign w:val="center"/>
          </w:tcPr>
          <w:p>
            <w:pPr>
              <w:rPr>
                <w:rFonts w:hint="eastAsia" w:ascii="宋体" w:hAnsi="宋体"/>
                <w:szCs w:val="21"/>
                <w:highlight w:val="none"/>
              </w:rPr>
            </w:pPr>
          </w:p>
        </w:tc>
        <w:tc>
          <w:tcPr>
            <w:tcW w:w="1274" w:type="dxa"/>
            <w:gridSpan w:val="4"/>
            <w:noWrap w:val="0"/>
            <w:vAlign w:val="center"/>
          </w:tcPr>
          <w:p>
            <w:pPr>
              <w:rPr>
                <w:rFonts w:hint="eastAsia" w:ascii="宋体" w:hAnsi="宋体"/>
                <w:szCs w:val="21"/>
                <w:highlight w:val="none"/>
              </w:rPr>
            </w:pPr>
            <w:r>
              <w:rPr>
                <w:rFonts w:hint="eastAsia" w:ascii="宋体" w:hAnsi="宋体"/>
                <w:szCs w:val="21"/>
                <w:highlight w:val="none"/>
              </w:rPr>
              <w:t>路线名称</w:t>
            </w:r>
          </w:p>
        </w:tc>
        <w:tc>
          <w:tcPr>
            <w:tcW w:w="1410" w:type="dxa"/>
            <w:gridSpan w:val="3"/>
            <w:noWrap w:val="0"/>
            <w:vAlign w:val="center"/>
          </w:tcPr>
          <w:p>
            <w:pPr>
              <w:rPr>
                <w:rFonts w:hint="eastAsia" w:ascii="宋体" w:hAnsi="宋体"/>
                <w:szCs w:val="21"/>
                <w:highlight w:val="none"/>
              </w:rPr>
            </w:pPr>
          </w:p>
        </w:tc>
        <w:tc>
          <w:tcPr>
            <w:tcW w:w="1275" w:type="dxa"/>
            <w:gridSpan w:val="6"/>
            <w:noWrap w:val="0"/>
            <w:vAlign w:val="center"/>
          </w:tcPr>
          <w:p>
            <w:pPr>
              <w:rPr>
                <w:rFonts w:hint="eastAsia" w:ascii="宋体" w:hAnsi="宋体"/>
                <w:szCs w:val="21"/>
                <w:highlight w:val="none"/>
              </w:rPr>
            </w:pPr>
            <w:r>
              <w:rPr>
                <w:rFonts w:hint="eastAsia" w:ascii="宋体" w:hAnsi="宋体"/>
                <w:szCs w:val="21"/>
                <w:highlight w:val="none"/>
              </w:rPr>
              <w:t>桩号里程</w:t>
            </w:r>
          </w:p>
        </w:tc>
        <w:tc>
          <w:tcPr>
            <w:tcW w:w="1435" w:type="dxa"/>
            <w:gridSpan w:val="4"/>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是否特约维修</w:t>
            </w:r>
          </w:p>
        </w:tc>
        <w:tc>
          <w:tcPr>
            <w:tcW w:w="1291" w:type="dxa"/>
            <w:noWrap w:val="0"/>
            <w:vAlign w:val="center"/>
          </w:tcPr>
          <w:p>
            <w:pPr>
              <w:rPr>
                <w:rFonts w:hint="eastAsia" w:ascii="宋体" w:hAnsi="宋体"/>
                <w:szCs w:val="21"/>
                <w:highlight w:val="none"/>
              </w:rPr>
            </w:pPr>
          </w:p>
        </w:tc>
        <w:tc>
          <w:tcPr>
            <w:tcW w:w="1274" w:type="dxa"/>
            <w:gridSpan w:val="4"/>
            <w:noWrap w:val="0"/>
            <w:vAlign w:val="center"/>
          </w:tcPr>
          <w:p>
            <w:pPr>
              <w:rPr>
                <w:rFonts w:hint="eastAsia" w:ascii="宋体" w:hAnsi="宋体"/>
                <w:szCs w:val="21"/>
                <w:highlight w:val="none"/>
              </w:rPr>
            </w:pPr>
            <w:r>
              <w:rPr>
                <w:rFonts w:hint="eastAsia" w:ascii="宋体" w:hAnsi="宋体"/>
                <w:szCs w:val="21"/>
                <w:highlight w:val="none"/>
              </w:rPr>
              <w:t>特约车型</w:t>
            </w:r>
          </w:p>
        </w:tc>
        <w:tc>
          <w:tcPr>
            <w:tcW w:w="1410" w:type="dxa"/>
            <w:gridSpan w:val="3"/>
            <w:noWrap w:val="0"/>
            <w:vAlign w:val="center"/>
          </w:tcPr>
          <w:p>
            <w:pPr>
              <w:ind w:left="2637"/>
              <w:rPr>
                <w:rFonts w:hint="eastAsia" w:ascii="宋体" w:hAnsi="宋体"/>
                <w:szCs w:val="21"/>
                <w:highlight w:val="none"/>
              </w:rPr>
            </w:pPr>
          </w:p>
        </w:tc>
        <w:tc>
          <w:tcPr>
            <w:tcW w:w="2710" w:type="dxa"/>
            <w:gridSpan w:val="10"/>
            <w:noWrap w:val="0"/>
            <w:vAlign w:val="center"/>
          </w:tcPr>
          <w:p>
            <w:pPr>
              <w:ind w:left="2637"/>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是否救援服务</w:t>
            </w:r>
          </w:p>
        </w:tc>
        <w:tc>
          <w:tcPr>
            <w:tcW w:w="1291" w:type="dxa"/>
            <w:noWrap w:val="0"/>
            <w:vAlign w:val="center"/>
          </w:tcPr>
          <w:p>
            <w:pPr>
              <w:rPr>
                <w:rFonts w:hint="eastAsia" w:ascii="宋体" w:hAnsi="宋体"/>
                <w:szCs w:val="21"/>
                <w:highlight w:val="none"/>
              </w:rPr>
            </w:pPr>
          </w:p>
        </w:tc>
        <w:tc>
          <w:tcPr>
            <w:tcW w:w="1274" w:type="dxa"/>
            <w:gridSpan w:val="4"/>
            <w:noWrap w:val="0"/>
            <w:vAlign w:val="center"/>
          </w:tcPr>
          <w:p>
            <w:pPr>
              <w:rPr>
                <w:rFonts w:hint="eastAsia" w:ascii="宋体" w:hAnsi="宋体"/>
                <w:szCs w:val="21"/>
                <w:highlight w:val="none"/>
              </w:rPr>
            </w:pPr>
            <w:r>
              <w:rPr>
                <w:rFonts w:hint="eastAsia" w:ascii="宋体" w:hAnsi="宋体"/>
                <w:szCs w:val="21"/>
                <w:highlight w:val="none"/>
              </w:rPr>
              <w:t>救援车辆数</w:t>
            </w:r>
          </w:p>
        </w:tc>
        <w:tc>
          <w:tcPr>
            <w:tcW w:w="855" w:type="dxa"/>
            <w:noWrap w:val="0"/>
            <w:vAlign w:val="center"/>
          </w:tcPr>
          <w:p>
            <w:pPr>
              <w:rPr>
                <w:rFonts w:hint="eastAsia" w:ascii="宋体" w:hAnsi="宋体"/>
                <w:szCs w:val="21"/>
                <w:highlight w:val="none"/>
              </w:rPr>
            </w:pPr>
          </w:p>
        </w:tc>
        <w:tc>
          <w:tcPr>
            <w:tcW w:w="1845" w:type="dxa"/>
            <w:gridSpan w:val="9"/>
            <w:noWrap w:val="0"/>
            <w:vAlign w:val="center"/>
          </w:tcPr>
          <w:p>
            <w:pPr>
              <w:rPr>
                <w:rFonts w:hint="eastAsia" w:ascii="宋体" w:hAnsi="宋体"/>
                <w:szCs w:val="21"/>
                <w:highlight w:val="none"/>
              </w:rPr>
            </w:pPr>
            <w:r>
              <w:rPr>
                <w:rFonts w:hint="eastAsia" w:ascii="宋体" w:hAnsi="宋体"/>
                <w:szCs w:val="21"/>
                <w:highlight w:val="none"/>
              </w:rPr>
              <w:t>24小时救援电话</w:t>
            </w:r>
          </w:p>
        </w:tc>
        <w:tc>
          <w:tcPr>
            <w:tcW w:w="1420" w:type="dxa"/>
            <w:gridSpan w:val="3"/>
            <w:noWrap w:val="0"/>
            <w:vAlign w:val="center"/>
          </w:tcPr>
          <w:p>
            <w:pPr>
              <w:ind w:left="717"/>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是否连锁经营</w:t>
            </w:r>
          </w:p>
        </w:tc>
        <w:tc>
          <w:tcPr>
            <w:tcW w:w="1291" w:type="dxa"/>
            <w:noWrap w:val="0"/>
            <w:vAlign w:val="center"/>
          </w:tcPr>
          <w:p>
            <w:pPr>
              <w:rPr>
                <w:rFonts w:hint="eastAsia" w:ascii="宋体" w:hAnsi="宋体"/>
                <w:szCs w:val="21"/>
                <w:highlight w:val="none"/>
              </w:rPr>
            </w:pPr>
          </w:p>
        </w:tc>
        <w:tc>
          <w:tcPr>
            <w:tcW w:w="2384" w:type="dxa"/>
            <w:gridSpan w:val="6"/>
            <w:noWrap w:val="0"/>
            <w:vAlign w:val="center"/>
          </w:tcPr>
          <w:p>
            <w:pPr>
              <w:rPr>
                <w:rFonts w:hint="eastAsia" w:ascii="宋体" w:hAnsi="宋体"/>
                <w:szCs w:val="21"/>
                <w:highlight w:val="none"/>
              </w:rPr>
            </w:pPr>
            <w:r>
              <w:rPr>
                <w:rFonts w:hint="eastAsia" w:ascii="宋体" w:hAnsi="宋体"/>
                <w:szCs w:val="21"/>
                <w:highlight w:val="none"/>
              </w:rPr>
              <w:t>设立技术服务公司地址</w:t>
            </w:r>
          </w:p>
        </w:tc>
        <w:tc>
          <w:tcPr>
            <w:tcW w:w="3010" w:type="dxa"/>
            <w:gridSpan w:val="11"/>
            <w:noWrap w:val="0"/>
            <w:vAlign w:val="center"/>
          </w:tcPr>
          <w:p>
            <w:pPr>
              <w:ind w:firstLine="1260" w:firstLineChars="600"/>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vMerge w:val="restart"/>
            <w:noWrap w:val="0"/>
            <w:vAlign w:val="center"/>
          </w:tcPr>
          <w:p>
            <w:pPr>
              <w:rPr>
                <w:rFonts w:hint="eastAsia" w:ascii="宋体" w:hAnsi="宋体"/>
                <w:szCs w:val="21"/>
                <w:highlight w:val="none"/>
              </w:rPr>
            </w:pPr>
            <w:r>
              <w:rPr>
                <w:rFonts w:hint="eastAsia" w:ascii="宋体" w:hAnsi="宋体"/>
                <w:szCs w:val="21"/>
                <w:highlight w:val="none"/>
              </w:rPr>
              <w:t>场地面积</w:t>
            </w:r>
          </w:p>
          <w:p>
            <w:pPr>
              <w:rPr>
                <w:rFonts w:hint="eastAsia" w:ascii="宋体" w:hAnsi="宋体"/>
                <w:szCs w:val="21"/>
                <w:highlight w:val="none"/>
              </w:rPr>
            </w:pPr>
            <w:r>
              <w:rPr>
                <w:rFonts w:hint="eastAsia" w:ascii="宋体" w:hAnsi="宋体"/>
                <w:szCs w:val="21"/>
                <w:highlight w:val="none"/>
              </w:rPr>
              <w:t>(平方米)</w:t>
            </w:r>
          </w:p>
        </w:tc>
        <w:tc>
          <w:tcPr>
            <w:tcW w:w="1291" w:type="dxa"/>
            <w:noWrap w:val="0"/>
            <w:vAlign w:val="center"/>
          </w:tcPr>
          <w:p>
            <w:pPr>
              <w:rPr>
                <w:rFonts w:hint="eastAsia" w:ascii="宋体" w:hAnsi="宋体"/>
                <w:szCs w:val="21"/>
                <w:highlight w:val="none"/>
              </w:rPr>
            </w:pPr>
            <w:r>
              <w:rPr>
                <w:rFonts w:hint="eastAsia" w:ascii="宋体" w:hAnsi="宋体"/>
                <w:szCs w:val="21"/>
                <w:highlight w:val="none"/>
              </w:rPr>
              <w:t>场地总面积</w:t>
            </w: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厂房面积</w:t>
            </w:r>
          </w:p>
        </w:tc>
        <w:tc>
          <w:tcPr>
            <w:tcW w:w="1302" w:type="dxa"/>
            <w:gridSpan w:val="3"/>
            <w:noWrap w:val="0"/>
            <w:vAlign w:val="center"/>
          </w:tcPr>
          <w:p>
            <w:pPr>
              <w:rPr>
                <w:rFonts w:hint="eastAsia" w:ascii="宋体" w:hAnsi="宋体"/>
                <w:szCs w:val="21"/>
                <w:highlight w:val="none"/>
              </w:rPr>
            </w:pPr>
            <w:r>
              <w:rPr>
                <w:rFonts w:hint="eastAsia" w:ascii="宋体" w:hAnsi="宋体"/>
                <w:szCs w:val="21"/>
                <w:highlight w:val="none"/>
              </w:rPr>
              <w:t>办公室面积</w:t>
            </w:r>
          </w:p>
        </w:tc>
        <w:tc>
          <w:tcPr>
            <w:tcW w:w="1620" w:type="dxa"/>
            <w:gridSpan w:val="9"/>
            <w:noWrap w:val="0"/>
            <w:vAlign w:val="center"/>
          </w:tcPr>
          <w:p>
            <w:pPr>
              <w:rPr>
                <w:rFonts w:hint="eastAsia" w:ascii="宋体" w:hAnsi="宋体"/>
                <w:szCs w:val="21"/>
                <w:highlight w:val="none"/>
              </w:rPr>
            </w:pPr>
            <w:r>
              <w:rPr>
                <w:rFonts w:hint="eastAsia" w:ascii="宋体" w:hAnsi="宋体"/>
                <w:szCs w:val="21"/>
                <w:highlight w:val="none"/>
              </w:rPr>
              <w:t>接待室面积</w:t>
            </w:r>
          </w:p>
        </w:tc>
        <w:tc>
          <w:tcPr>
            <w:tcW w:w="1390" w:type="dxa"/>
            <w:gridSpan w:val="2"/>
            <w:noWrap w:val="0"/>
            <w:vAlign w:val="center"/>
          </w:tcPr>
          <w:p>
            <w:pPr>
              <w:rPr>
                <w:rFonts w:hint="eastAsia" w:ascii="宋体" w:hAnsi="宋体"/>
                <w:szCs w:val="21"/>
                <w:highlight w:val="none"/>
              </w:rPr>
            </w:pPr>
            <w:r>
              <w:rPr>
                <w:rFonts w:hint="eastAsia" w:ascii="宋体" w:hAnsi="宋体"/>
                <w:szCs w:val="21"/>
                <w:highlight w:val="none"/>
              </w:rPr>
              <w:t>停车场面积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95" w:hRule="atLeast"/>
          <w:jc w:val="center"/>
        </w:trPr>
        <w:tc>
          <w:tcPr>
            <w:tcW w:w="1883" w:type="dxa"/>
            <w:gridSpan w:val="2"/>
            <w:vMerge w:val="continue"/>
            <w:noWrap w:val="0"/>
            <w:vAlign w:val="center"/>
          </w:tcPr>
          <w:p>
            <w:pPr>
              <w:rPr>
                <w:rFonts w:hint="eastAsia" w:ascii="宋体" w:hAnsi="宋体"/>
                <w:szCs w:val="21"/>
                <w:highlight w:val="none"/>
              </w:rPr>
            </w:pP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ind w:left="300"/>
              <w:rPr>
                <w:rFonts w:hint="eastAsia" w:ascii="宋体" w:hAnsi="宋体"/>
                <w:szCs w:val="21"/>
                <w:highlight w:val="none"/>
              </w:rPr>
            </w:pPr>
          </w:p>
        </w:tc>
        <w:tc>
          <w:tcPr>
            <w:tcW w:w="1302" w:type="dxa"/>
            <w:gridSpan w:val="3"/>
            <w:noWrap w:val="0"/>
            <w:vAlign w:val="center"/>
          </w:tcPr>
          <w:p>
            <w:pPr>
              <w:rPr>
                <w:rFonts w:hint="eastAsia" w:ascii="宋体" w:hAnsi="宋体"/>
                <w:szCs w:val="21"/>
                <w:highlight w:val="none"/>
              </w:rPr>
            </w:pPr>
          </w:p>
        </w:tc>
        <w:tc>
          <w:tcPr>
            <w:tcW w:w="1620" w:type="dxa"/>
            <w:gridSpan w:val="9"/>
            <w:noWrap w:val="0"/>
            <w:vAlign w:val="center"/>
          </w:tcPr>
          <w:p>
            <w:pPr>
              <w:rPr>
                <w:rFonts w:hint="eastAsia" w:ascii="宋体" w:hAnsi="宋体"/>
                <w:szCs w:val="21"/>
                <w:highlight w:val="none"/>
              </w:rPr>
            </w:pPr>
          </w:p>
        </w:tc>
        <w:tc>
          <w:tcPr>
            <w:tcW w:w="1390" w:type="dxa"/>
            <w:gridSpan w:val="2"/>
            <w:noWrap w:val="0"/>
            <w:vAlign w:val="center"/>
          </w:tcPr>
          <w:p>
            <w:pPr>
              <w:ind w:left="375"/>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法定代表人</w:t>
            </w: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办公电话</w:t>
            </w:r>
          </w:p>
        </w:tc>
        <w:tc>
          <w:tcPr>
            <w:tcW w:w="1302" w:type="dxa"/>
            <w:gridSpan w:val="3"/>
            <w:noWrap w:val="0"/>
            <w:vAlign w:val="center"/>
          </w:tcPr>
          <w:p>
            <w:pPr>
              <w:rPr>
                <w:rFonts w:hint="eastAsia" w:ascii="宋体" w:hAnsi="宋体"/>
                <w:szCs w:val="21"/>
                <w:highlight w:val="none"/>
              </w:rPr>
            </w:pPr>
          </w:p>
        </w:tc>
        <w:tc>
          <w:tcPr>
            <w:tcW w:w="1038" w:type="dxa"/>
            <w:gridSpan w:val="3"/>
            <w:noWrap w:val="0"/>
            <w:vAlign w:val="center"/>
          </w:tcPr>
          <w:p>
            <w:pPr>
              <w:rPr>
                <w:rFonts w:hint="eastAsia" w:ascii="宋体" w:hAnsi="宋体"/>
                <w:szCs w:val="21"/>
                <w:highlight w:val="none"/>
              </w:rPr>
            </w:pPr>
            <w:r>
              <w:rPr>
                <w:rFonts w:hint="eastAsia" w:ascii="宋体" w:hAnsi="宋体"/>
                <w:szCs w:val="21"/>
                <w:highlight w:val="none"/>
              </w:rPr>
              <w:t>手机</w:t>
            </w:r>
          </w:p>
        </w:tc>
        <w:tc>
          <w:tcPr>
            <w:tcW w:w="1972" w:type="dxa"/>
            <w:gridSpan w:val="8"/>
            <w:noWrap w:val="0"/>
            <w:vAlign w:val="center"/>
          </w:tcPr>
          <w:p>
            <w:pPr>
              <w:ind w:left="432"/>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管理负责人</w:t>
            </w: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办公电话</w:t>
            </w:r>
          </w:p>
        </w:tc>
        <w:tc>
          <w:tcPr>
            <w:tcW w:w="1302" w:type="dxa"/>
            <w:gridSpan w:val="3"/>
            <w:noWrap w:val="0"/>
            <w:vAlign w:val="center"/>
          </w:tcPr>
          <w:p>
            <w:pPr>
              <w:rPr>
                <w:rFonts w:hint="eastAsia" w:ascii="宋体" w:hAnsi="宋体"/>
                <w:szCs w:val="21"/>
                <w:highlight w:val="none"/>
              </w:rPr>
            </w:pPr>
          </w:p>
        </w:tc>
        <w:tc>
          <w:tcPr>
            <w:tcW w:w="1038" w:type="dxa"/>
            <w:gridSpan w:val="3"/>
            <w:noWrap w:val="0"/>
            <w:vAlign w:val="center"/>
          </w:tcPr>
          <w:p>
            <w:pPr>
              <w:rPr>
                <w:rFonts w:hint="eastAsia" w:ascii="宋体" w:hAnsi="宋体"/>
                <w:szCs w:val="21"/>
                <w:highlight w:val="none"/>
              </w:rPr>
            </w:pPr>
            <w:r>
              <w:rPr>
                <w:rFonts w:hint="eastAsia" w:ascii="宋体" w:hAnsi="宋体"/>
                <w:szCs w:val="21"/>
                <w:highlight w:val="none"/>
              </w:rPr>
              <w:t>手机</w:t>
            </w:r>
          </w:p>
        </w:tc>
        <w:tc>
          <w:tcPr>
            <w:tcW w:w="1972" w:type="dxa"/>
            <w:gridSpan w:val="8"/>
            <w:noWrap w:val="0"/>
            <w:vAlign w:val="center"/>
          </w:tcPr>
          <w:p>
            <w:pPr>
              <w:ind w:left="432"/>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技术负责人</w:t>
            </w: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办公电话</w:t>
            </w:r>
          </w:p>
        </w:tc>
        <w:tc>
          <w:tcPr>
            <w:tcW w:w="1302" w:type="dxa"/>
            <w:gridSpan w:val="3"/>
            <w:noWrap w:val="0"/>
            <w:vAlign w:val="center"/>
          </w:tcPr>
          <w:p>
            <w:pPr>
              <w:rPr>
                <w:rFonts w:hint="eastAsia" w:ascii="宋体" w:hAnsi="宋体"/>
                <w:szCs w:val="21"/>
                <w:highlight w:val="none"/>
              </w:rPr>
            </w:pPr>
          </w:p>
        </w:tc>
        <w:tc>
          <w:tcPr>
            <w:tcW w:w="1038" w:type="dxa"/>
            <w:gridSpan w:val="3"/>
            <w:noWrap w:val="0"/>
            <w:vAlign w:val="center"/>
          </w:tcPr>
          <w:p>
            <w:pPr>
              <w:rPr>
                <w:rFonts w:hint="eastAsia" w:ascii="宋体" w:hAnsi="宋体"/>
                <w:szCs w:val="21"/>
                <w:highlight w:val="none"/>
              </w:rPr>
            </w:pPr>
            <w:r>
              <w:rPr>
                <w:rFonts w:hint="eastAsia" w:ascii="宋体" w:hAnsi="宋体"/>
                <w:szCs w:val="21"/>
                <w:highlight w:val="none"/>
              </w:rPr>
              <w:t>手机</w:t>
            </w:r>
          </w:p>
        </w:tc>
        <w:tc>
          <w:tcPr>
            <w:tcW w:w="1972" w:type="dxa"/>
            <w:gridSpan w:val="8"/>
            <w:noWrap w:val="0"/>
            <w:vAlign w:val="center"/>
          </w:tcPr>
          <w:p>
            <w:pPr>
              <w:ind w:left="432"/>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质量(总)检验员</w:t>
            </w: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办公电话</w:t>
            </w:r>
          </w:p>
        </w:tc>
        <w:tc>
          <w:tcPr>
            <w:tcW w:w="1302" w:type="dxa"/>
            <w:gridSpan w:val="3"/>
            <w:noWrap w:val="0"/>
            <w:vAlign w:val="center"/>
          </w:tcPr>
          <w:p>
            <w:pPr>
              <w:rPr>
                <w:rFonts w:hint="eastAsia" w:ascii="宋体" w:hAnsi="宋体"/>
                <w:szCs w:val="21"/>
                <w:highlight w:val="none"/>
              </w:rPr>
            </w:pPr>
          </w:p>
        </w:tc>
        <w:tc>
          <w:tcPr>
            <w:tcW w:w="1038" w:type="dxa"/>
            <w:gridSpan w:val="3"/>
            <w:noWrap w:val="0"/>
            <w:vAlign w:val="center"/>
          </w:tcPr>
          <w:p>
            <w:pPr>
              <w:rPr>
                <w:rFonts w:hint="eastAsia" w:ascii="宋体" w:hAnsi="宋体"/>
                <w:szCs w:val="21"/>
                <w:highlight w:val="none"/>
              </w:rPr>
            </w:pPr>
            <w:r>
              <w:rPr>
                <w:rFonts w:hint="eastAsia" w:ascii="宋体" w:hAnsi="宋体"/>
                <w:szCs w:val="21"/>
                <w:highlight w:val="none"/>
              </w:rPr>
              <w:t>手机</w:t>
            </w:r>
          </w:p>
        </w:tc>
        <w:tc>
          <w:tcPr>
            <w:tcW w:w="1972" w:type="dxa"/>
            <w:gridSpan w:val="8"/>
            <w:noWrap w:val="0"/>
            <w:vAlign w:val="center"/>
          </w:tcPr>
          <w:p>
            <w:pPr>
              <w:ind w:left="432"/>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质量(总)检验员</w:t>
            </w: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办公电话</w:t>
            </w:r>
          </w:p>
        </w:tc>
        <w:tc>
          <w:tcPr>
            <w:tcW w:w="1302" w:type="dxa"/>
            <w:gridSpan w:val="3"/>
            <w:noWrap w:val="0"/>
            <w:vAlign w:val="center"/>
          </w:tcPr>
          <w:p>
            <w:pPr>
              <w:rPr>
                <w:rFonts w:hint="eastAsia" w:ascii="宋体" w:hAnsi="宋体"/>
                <w:szCs w:val="21"/>
                <w:highlight w:val="none"/>
              </w:rPr>
            </w:pPr>
          </w:p>
        </w:tc>
        <w:tc>
          <w:tcPr>
            <w:tcW w:w="1038" w:type="dxa"/>
            <w:gridSpan w:val="3"/>
            <w:noWrap w:val="0"/>
            <w:vAlign w:val="center"/>
          </w:tcPr>
          <w:p>
            <w:pPr>
              <w:rPr>
                <w:rFonts w:hint="eastAsia" w:ascii="宋体" w:hAnsi="宋体"/>
                <w:szCs w:val="21"/>
                <w:highlight w:val="none"/>
              </w:rPr>
            </w:pPr>
            <w:r>
              <w:rPr>
                <w:rFonts w:hint="eastAsia" w:ascii="宋体" w:hAnsi="宋体"/>
                <w:szCs w:val="21"/>
                <w:highlight w:val="none"/>
              </w:rPr>
              <w:t>手机</w:t>
            </w:r>
          </w:p>
        </w:tc>
        <w:tc>
          <w:tcPr>
            <w:tcW w:w="1972" w:type="dxa"/>
            <w:gridSpan w:val="8"/>
            <w:noWrap w:val="0"/>
            <w:vAlign w:val="center"/>
          </w:tcPr>
          <w:p>
            <w:pPr>
              <w:ind w:left="432"/>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83" w:type="dxa"/>
            <w:gridSpan w:val="2"/>
            <w:noWrap w:val="0"/>
            <w:vAlign w:val="center"/>
          </w:tcPr>
          <w:p>
            <w:pPr>
              <w:rPr>
                <w:rFonts w:hint="eastAsia" w:ascii="宋体" w:hAnsi="宋体"/>
                <w:szCs w:val="21"/>
                <w:highlight w:val="none"/>
              </w:rPr>
            </w:pPr>
            <w:r>
              <w:rPr>
                <w:rFonts w:hint="eastAsia" w:ascii="宋体" w:hAnsi="宋体"/>
                <w:szCs w:val="21"/>
                <w:highlight w:val="none"/>
              </w:rPr>
              <w:t>质量(总)检验员</w:t>
            </w:r>
          </w:p>
        </w:tc>
        <w:tc>
          <w:tcPr>
            <w:tcW w:w="1291" w:type="dxa"/>
            <w:noWrap w:val="0"/>
            <w:vAlign w:val="center"/>
          </w:tcPr>
          <w:p>
            <w:pPr>
              <w:rPr>
                <w:rFonts w:hint="eastAsia" w:ascii="宋体" w:hAnsi="宋体"/>
                <w:szCs w:val="21"/>
                <w:highlight w:val="none"/>
              </w:rPr>
            </w:pPr>
          </w:p>
        </w:tc>
        <w:tc>
          <w:tcPr>
            <w:tcW w:w="1082" w:type="dxa"/>
            <w:gridSpan w:val="3"/>
            <w:noWrap w:val="0"/>
            <w:vAlign w:val="center"/>
          </w:tcPr>
          <w:p>
            <w:pPr>
              <w:rPr>
                <w:rFonts w:hint="eastAsia" w:ascii="宋体" w:hAnsi="宋体"/>
                <w:szCs w:val="21"/>
                <w:highlight w:val="none"/>
              </w:rPr>
            </w:pPr>
            <w:r>
              <w:rPr>
                <w:rFonts w:hint="eastAsia" w:ascii="宋体" w:hAnsi="宋体"/>
                <w:szCs w:val="21"/>
                <w:highlight w:val="none"/>
              </w:rPr>
              <w:t>办公电话</w:t>
            </w:r>
          </w:p>
        </w:tc>
        <w:tc>
          <w:tcPr>
            <w:tcW w:w="1302" w:type="dxa"/>
            <w:gridSpan w:val="3"/>
            <w:noWrap w:val="0"/>
            <w:vAlign w:val="center"/>
          </w:tcPr>
          <w:p>
            <w:pPr>
              <w:rPr>
                <w:rFonts w:hint="eastAsia" w:ascii="宋体" w:hAnsi="宋体"/>
                <w:szCs w:val="21"/>
                <w:highlight w:val="none"/>
              </w:rPr>
            </w:pPr>
          </w:p>
        </w:tc>
        <w:tc>
          <w:tcPr>
            <w:tcW w:w="1038" w:type="dxa"/>
            <w:gridSpan w:val="3"/>
            <w:noWrap w:val="0"/>
            <w:vAlign w:val="center"/>
          </w:tcPr>
          <w:p>
            <w:pPr>
              <w:rPr>
                <w:rFonts w:hint="eastAsia" w:ascii="宋体" w:hAnsi="宋体"/>
                <w:szCs w:val="21"/>
                <w:highlight w:val="none"/>
              </w:rPr>
            </w:pPr>
            <w:r>
              <w:rPr>
                <w:rFonts w:hint="eastAsia" w:ascii="宋体" w:hAnsi="宋体"/>
                <w:szCs w:val="21"/>
                <w:highlight w:val="none"/>
              </w:rPr>
              <w:t>手机</w:t>
            </w:r>
          </w:p>
        </w:tc>
        <w:tc>
          <w:tcPr>
            <w:tcW w:w="1972" w:type="dxa"/>
            <w:gridSpan w:val="8"/>
            <w:noWrap w:val="0"/>
            <w:vAlign w:val="center"/>
          </w:tcPr>
          <w:p>
            <w:pPr>
              <w:ind w:left="432"/>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restart"/>
            <w:noWrap w:val="0"/>
            <w:vAlign w:val="center"/>
          </w:tcPr>
          <w:p>
            <w:pPr>
              <w:rPr>
                <w:rFonts w:hint="eastAsia" w:ascii="宋体" w:hAnsi="宋体"/>
                <w:szCs w:val="21"/>
                <w:highlight w:val="none"/>
              </w:rPr>
            </w:pPr>
            <w:r>
              <w:rPr>
                <w:rFonts w:hint="eastAsia" w:ascii="宋体" w:hAnsi="宋体"/>
                <w:szCs w:val="21"/>
                <w:highlight w:val="none"/>
              </w:rPr>
              <w:t>人员配备情况(人)</w:t>
            </w:r>
          </w:p>
        </w:tc>
        <w:tc>
          <w:tcPr>
            <w:tcW w:w="1274" w:type="dxa"/>
            <w:gridSpan w:val="4"/>
            <w:noWrap w:val="0"/>
            <w:vAlign w:val="center"/>
          </w:tcPr>
          <w:p>
            <w:pPr>
              <w:rPr>
                <w:rFonts w:hint="eastAsia" w:ascii="宋体" w:hAnsi="宋体"/>
                <w:szCs w:val="21"/>
                <w:highlight w:val="none"/>
              </w:rPr>
            </w:pPr>
            <w:r>
              <w:rPr>
                <w:rFonts w:hint="eastAsia" w:ascii="宋体" w:hAnsi="宋体"/>
                <w:szCs w:val="21"/>
                <w:highlight w:val="none"/>
              </w:rPr>
              <w:t>在职总人数</w:t>
            </w:r>
          </w:p>
        </w:tc>
        <w:tc>
          <w:tcPr>
            <w:tcW w:w="1110" w:type="dxa"/>
            <w:gridSpan w:val="2"/>
            <w:noWrap w:val="0"/>
            <w:vAlign w:val="center"/>
          </w:tcPr>
          <w:p>
            <w:pPr>
              <w:rPr>
                <w:rFonts w:hint="eastAsia" w:ascii="宋体" w:hAnsi="宋体"/>
                <w:szCs w:val="21"/>
                <w:highlight w:val="none"/>
              </w:rPr>
            </w:pPr>
            <w:r>
              <w:rPr>
                <w:rFonts w:hint="eastAsia" w:ascii="宋体" w:hAnsi="宋体"/>
                <w:szCs w:val="21"/>
                <w:highlight w:val="none"/>
              </w:rPr>
              <w:t>管理人员</w:t>
            </w:r>
          </w:p>
        </w:tc>
        <w:tc>
          <w:tcPr>
            <w:tcW w:w="1301" w:type="dxa"/>
            <w:gridSpan w:val="4"/>
            <w:noWrap w:val="0"/>
            <w:vAlign w:val="center"/>
          </w:tcPr>
          <w:p>
            <w:pPr>
              <w:rPr>
                <w:rFonts w:hint="eastAsia" w:ascii="宋体" w:hAnsi="宋体"/>
                <w:szCs w:val="21"/>
                <w:highlight w:val="none"/>
              </w:rPr>
            </w:pPr>
            <w:r>
              <w:rPr>
                <w:rFonts w:hint="eastAsia" w:ascii="宋体" w:hAnsi="宋体"/>
                <w:szCs w:val="21"/>
                <w:highlight w:val="none"/>
              </w:rPr>
              <w:t>技术工人</w:t>
            </w:r>
          </w:p>
        </w:tc>
        <w:tc>
          <w:tcPr>
            <w:tcW w:w="1709" w:type="dxa"/>
            <w:gridSpan w:val="7"/>
            <w:noWrap w:val="0"/>
            <w:vAlign w:val="center"/>
          </w:tcPr>
          <w:p>
            <w:pPr>
              <w:rPr>
                <w:rFonts w:hint="eastAsia" w:ascii="宋体" w:hAnsi="宋体"/>
                <w:szCs w:val="21"/>
                <w:highlight w:val="none"/>
              </w:rPr>
            </w:pPr>
            <w:r>
              <w:rPr>
                <w:rFonts w:hint="eastAsia" w:ascii="宋体" w:hAnsi="宋体"/>
                <w:szCs w:val="21"/>
                <w:highlight w:val="none"/>
              </w:rPr>
              <w:t>其 他</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174" w:type="dxa"/>
            <w:gridSpan w:val="3"/>
            <w:vMerge w:val="continue"/>
            <w:noWrap w:val="0"/>
            <w:vAlign w:val="center"/>
          </w:tcPr>
          <w:p>
            <w:pPr>
              <w:rPr>
                <w:rFonts w:hint="eastAsia" w:ascii="宋体" w:hAnsi="宋体"/>
                <w:szCs w:val="21"/>
                <w:highlight w:val="none"/>
              </w:rPr>
            </w:pP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1709" w:type="dxa"/>
            <w:gridSpan w:val="7"/>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noWrap w:val="0"/>
            <w:vAlign w:val="center"/>
          </w:tcPr>
          <w:p>
            <w:pPr>
              <w:rPr>
                <w:rFonts w:hint="eastAsia" w:ascii="宋体" w:hAnsi="宋体"/>
                <w:szCs w:val="21"/>
                <w:highlight w:val="none"/>
              </w:rPr>
            </w:pPr>
            <w:r>
              <w:rPr>
                <w:rFonts w:hint="eastAsia" w:ascii="宋体" w:hAnsi="宋体"/>
                <w:szCs w:val="21"/>
                <w:highlight w:val="none"/>
              </w:rPr>
              <w:t>管理人员数量(人)</w:t>
            </w:r>
          </w:p>
        </w:tc>
        <w:tc>
          <w:tcPr>
            <w:tcW w:w="2468" w:type="dxa"/>
            <w:gridSpan w:val="2"/>
            <w:noWrap w:val="0"/>
            <w:vAlign w:val="center"/>
          </w:tcPr>
          <w:p>
            <w:pPr>
              <w:rPr>
                <w:rFonts w:hint="eastAsia" w:ascii="宋体" w:hAnsi="宋体"/>
                <w:szCs w:val="21"/>
                <w:highlight w:val="none"/>
              </w:rPr>
            </w:pPr>
          </w:p>
        </w:tc>
        <w:tc>
          <w:tcPr>
            <w:tcW w:w="1274" w:type="dxa"/>
            <w:gridSpan w:val="4"/>
            <w:noWrap w:val="0"/>
            <w:vAlign w:val="center"/>
          </w:tcPr>
          <w:p>
            <w:pPr>
              <w:rPr>
                <w:rFonts w:hint="eastAsia" w:ascii="宋体" w:hAnsi="宋体"/>
                <w:szCs w:val="21"/>
                <w:highlight w:val="none"/>
              </w:rPr>
            </w:pPr>
            <w:r>
              <w:rPr>
                <w:rFonts w:hint="eastAsia" w:ascii="宋体" w:hAnsi="宋体"/>
                <w:szCs w:val="21"/>
                <w:highlight w:val="none"/>
              </w:rPr>
              <w:t>高级工程师</w:t>
            </w:r>
          </w:p>
        </w:tc>
        <w:tc>
          <w:tcPr>
            <w:tcW w:w="1110" w:type="dxa"/>
            <w:gridSpan w:val="2"/>
            <w:noWrap w:val="0"/>
            <w:vAlign w:val="center"/>
          </w:tcPr>
          <w:p>
            <w:pPr>
              <w:rPr>
                <w:rFonts w:hint="eastAsia" w:ascii="宋体" w:hAnsi="宋体"/>
                <w:szCs w:val="21"/>
                <w:highlight w:val="none"/>
              </w:rPr>
            </w:pPr>
            <w:r>
              <w:rPr>
                <w:rFonts w:hint="eastAsia" w:ascii="宋体" w:hAnsi="宋体"/>
                <w:szCs w:val="21"/>
                <w:highlight w:val="none"/>
              </w:rPr>
              <w:t>工程师</w:t>
            </w:r>
          </w:p>
        </w:tc>
        <w:tc>
          <w:tcPr>
            <w:tcW w:w="1301" w:type="dxa"/>
            <w:gridSpan w:val="4"/>
            <w:noWrap w:val="0"/>
            <w:vAlign w:val="center"/>
          </w:tcPr>
          <w:p>
            <w:pPr>
              <w:rPr>
                <w:rFonts w:hint="eastAsia" w:ascii="宋体" w:hAnsi="宋体"/>
                <w:szCs w:val="21"/>
                <w:highlight w:val="none"/>
              </w:rPr>
            </w:pPr>
            <w:r>
              <w:rPr>
                <w:rFonts w:hint="eastAsia" w:ascii="宋体" w:hAnsi="宋体"/>
                <w:szCs w:val="21"/>
                <w:highlight w:val="none"/>
              </w:rPr>
              <w:t>助理工程师</w:t>
            </w:r>
          </w:p>
        </w:tc>
        <w:tc>
          <w:tcPr>
            <w:tcW w:w="924" w:type="dxa"/>
            <w:gridSpan w:val="6"/>
            <w:tcBorders>
              <w:right w:val="single" w:color="auto" w:sz="4" w:space="0"/>
            </w:tcBorders>
            <w:noWrap w:val="0"/>
            <w:vAlign w:val="center"/>
          </w:tcPr>
          <w:p>
            <w:pPr>
              <w:rPr>
                <w:rFonts w:hint="eastAsia" w:ascii="宋体" w:hAnsi="宋体"/>
                <w:szCs w:val="21"/>
                <w:highlight w:val="none"/>
              </w:rPr>
            </w:pPr>
            <w:r>
              <w:rPr>
                <w:rFonts w:hint="eastAsia" w:ascii="宋体" w:hAnsi="宋体"/>
                <w:szCs w:val="21"/>
                <w:highlight w:val="none"/>
              </w:rPr>
              <w:t>技术员</w:t>
            </w:r>
          </w:p>
        </w:tc>
        <w:tc>
          <w:tcPr>
            <w:tcW w:w="785" w:type="dxa"/>
            <w:tcBorders>
              <w:left w:val="single" w:color="auto" w:sz="4" w:space="0"/>
            </w:tcBorders>
            <w:noWrap w:val="0"/>
            <w:vAlign w:val="center"/>
          </w:tcPr>
          <w:p>
            <w:pPr>
              <w:rPr>
                <w:rFonts w:hint="eastAsia" w:ascii="宋体" w:hAnsi="宋体"/>
                <w:szCs w:val="21"/>
                <w:highlight w:val="none"/>
              </w:rPr>
            </w:pPr>
            <w:r>
              <w:rPr>
                <w:rFonts w:hint="eastAsia" w:ascii="宋体" w:hAnsi="宋体"/>
                <w:szCs w:val="21"/>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管理负责人</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技术负责人</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检验人员</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业务人员</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价格核算人员</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其他人员</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合   计</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restart"/>
            <w:noWrap w:val="0"/>
            <w:vAlign w:val="center"/>
          </w:tcPr>
          <w:p>
            <w:pPr>
              <w:rPr>
                <w:rFonts w:hint="eastAsia" w:ascii="宋体" w:hAnsi="宋体"/>
                <w:szCs w:val="21"/>
                <w:highlight w:val="none"/>
              </w:rPr>
            </w:pPr>
            <w:r>
              <w:rPr>
                <w:rFonts w:hint="eastAsia" w:ascii="宋体" w:hAnsi="宋体"/>
                <w:szCs w:val="21"/>
                <w:highlight w:val="none"/>
              </w:rPr>
              <w:t>技术工人数量(人)</w:t>
            </w:r>
          </w:p>
        </w:tc>
        <w:tc>
          <w:tcPr>
            <w:tcW w:w="2468" w:type="dxa"/>
            <w:gridSpan w:val="2"/>
            <w:noWrap w:val="0"/>
            <w:vAlign w:val="center"/>
          </w:tcPr>
          <w:p>
            <w:pPr>
              <w:rPr>
                <w:rFonts w:hint="eastAsia" w:ascii="宋体" w:hAnsi="宋体"/>
                <w:szCs w:val="21"/>
                <w:highlight w:val="none"/>
              </w:rPr>
            </w:pPr>
          </w:p>
        </w:tc>
        <w:tc>
          <w:tcPr>
            <w:tcW w:w="1274" w:type="dxa"/>
            <w:gridSpan w:val="4"/>
            <w:noWrap w:val="0"/>
            <w:vAlign w:val="center"/>
          </w:tcPr>
          <w:p>
            <w:pPr>
              <w:rPr>
                <w:rFonts w:hint="eastAsia" w:ascii="宋体" w:hAnsi="宋体"/>
                <w:szCs w:val="21"/>
                <w:highlight w:val="none"/>
              </w:rPr>
            </w:pPr>
            <w:r>
              <w:rPr>
                <w:rFonts w:hint="eastAsia" w:ascii="宋体" w:hAnsi="宋体"/>
                <w:szCs w:val="21"/>
                <w:highlight w:val="none"/>
              </w:rPr>
              <w:t>技工</w:t>
            </w:r>
          </w:p>
        </w:tc>
        <w:tc>
          <w:tcPr>
            <w:tcW w:w="1110" w:type="dxa"/>
            <w:gridSpan w:val="2"/>
            <w:noWrap w:val="0"/>
            <w:vAlign w:val="center"/>
          </w:tcPr>
          <w:p>
            <w:pPr>
              <w:rPr>
                <w:rFonts w:hint="eastAsia" w:ascii="宋体" w:hAnsi="宋体"/>
                <w:szCs w:val="21"/>
                <w:highlight w:val="none"/>
              </w:rPr>
            </w:pPr>
            <w:r>
              <w:rPr>
                <w:rFonts w:hint="eastAsia" w:ascii="宋体" w:hAnsi="宋体"/>
                <w:szCs w:val="21"/>
                <w:highlight w:val="none"/>
              </w:rPr>
              <w:t>高级工</w:t>
            </w:r>
          </w:p>
        </w:tc>
        <w:tc>
          <w:tcPr>
            <w:tcW w:w="1301" w:type="dxa"/>
            <w:gridSpan w:val="4"/>
            <w:noWrap w:val="0"/>
            <w:vAlign w:val="center"/>
          </w:tcPr>
          <w:p>
            <w:pPr>
              <w:rPr>
                <w:rFonts w:hint="eastAsia" w:ascii="宋体" w:hAnsi="宋体"/>
                <w:szCs w:val="21"/>
                <w:highlight w:val="none"/>
              </w:rPr>
            </w:pPr>
            <w:r>
              <w:rPr>
                <w:rFonts w:hint="eastAsia" w:ascii="宋体" w:hAnsi="宋体"/>
                <w:szCs w:val="21"/>
                <w:highlight w:val="none"/>
              </w:rPr>
              <w:t>中级工</w:t>
            </w:r>
          </w:p>
        </w:tc>
        <w:tc>
          <w:tcPr>
            <w:tcW w:w="924" w:type="dxa"/>
            <w:gridSpan w:val="6"/>
            <w:tcBorders>
              <w:right w:val="single" w:color="auto" w:sz="4" w:space="0"/>
            </w:tcBorders>
            <w:noWrap w:val="0"/>
            <w:vAlign w:val="center"/>
          </w:tcPr>
          <w:p>
            <w:pPr>
              <w:rPr>
                <w:rFonts w:hint="eastAsia" w:ascii="宋体" w:hAnsi="宋体"/>
                <w:szCs w:val="21"/>
                <w:highlight w:val="none"/>
              </w:rPr>
            </w:pPr>
            <w:r>
              <w:rPr>
                <w:rFonts w:hint="eastAsia" w:ascii="宋体" w:hAnsi="宋体"/>
                <w:szCs w:val="21"/>
                <w:highlight w:val="none"/>
              </w:rPr>
              <w:t>初级工</w:t>
            </w:r>
          </w:p>
        </w:tc>
        <w:tc>
          <w:tcPr>
            <w:tcW w:w="785" w:type="dxa"/>
            <w:tcBorders>
              <w:left w:val="single" w:color="auto" w:sz="4" w:space="0"/>
            </w:tcBorders>
            <w:noWrap w:val="0"/>
            <w:vAlign w:val="center"/>
          </w:tcPr>
          <w:p>
            <w:pPr>
              <w:rPr>
                <w:rFonts w:hint="eastAsia" w:ascii="宋体" w:hAnsi="宋体"/>
                <w:szCs w:val="21"/>
                <w:highlight w:val="none"/>
              </w:rPr>
            </w:pPr>
            <w:r>
              <w:rPr>
                <w:rFonts w:hint="eastAsia" w:ascii="宋体" w:hAnsi="宋体"/>
                <w:szCs w:val="21"/>
                <w:highlight w:val="none"/>
              </w:rPr>
              <w:t>合计</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机修工</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电器工</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钣金工</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tcBorders>
              <w:top w:val="single" w:color="auto" w:sz="4" w:space="0"/>
            </w:tcBorders>
            <w:noWrap w:val="0"/>
            <w:vAlign w:val="center"/>
          </w:tcPr>
          <w:p>
            <w:pPr>
              <w:rPr>
                <w:rFonts w:hint="eastAsia" w:ascii="宋体" w:hAnsi="宋体"/>
                <w:szCs w:val="21"/>
                <w:highlight w:val="none"/>
              </w:rPr>
            </w:pPr>
            <w:r>
              <w:rPr>
                <w:rFonts w:hint="eastAsia" w:ascii="宋体" w:hAnsi="宋体"/>
                <w:szCs w:val="21"/>
                <w:highlight w:val="none"/>
              </w:rPr>
              <w:t>油漆工</w:t>
            </w:r>
          </w:p>
        </w:tc>
        <w:tc>
          <w:tcPr>
            <w:tcW w:w="1274" w:type="dxa"/>
            <w:gridSpan w:val="4"/>
            <w:tcBorders>
              <w:top w:val="single" w:color="auto" w:sz="4" w:space="0"/>
            </w:tcBorders>
            <w:noWrap w:val="0"/>
            <w:vAlign w:val="center"/>
          </w:tcPr>
          <w:p>
            <w:pPr>
              <w:rPr>
                <w:rFonts w:hint="eastAsia" w:ascii="宋体" w:hAnsi="宋体"/>
                <w:szCs w:val="21"/>
                <w:highlight w:val="none"/>
              </w:rPr>
            </w:pPr>
          </w:p>
        </w:tc>
        <w:tc>
          <w:tcPr>
            <w:tcW w:w="1110" w:type="dxa"/>
            <w:gridSpan w:val="2"/>
            <w:tcBorders>
              <w:top w:val="single" w:color="auto" w:sz="4" w:space="0"/>
            </w:tcBorders>
            <w:noWrap w:val="0"/>
            <w:vAlign w:val="center"/>
          </w:tcPr>
          <w:p>
            <w:pPr>
              <w:rPr>
                <w:rFonts w:hint="eastAsia" w:ascii="宋体" w:hAnsi="宋体"/>
                <w:szCs w:val="21"/>
                <w:highlight w:val="none"/>
              </w:rPr>
            </w:pPr>
          </w:p>
        </w:tc>
        <w:tc>
          <w:tcPr>
            <w:tcW w:w="1301" w:type="dxa"/>
            <w:gridSpan w:val="4"/>
            <w:tcBorders>
              <w:top w:val="single" w:color="auto" w:sz="4" w:space="0"/>
            </w:tcBorders>
            <w:noWrap w:val="0"/>
            <w:vAlign w:val="center"/>
          </w:tcPr>
          <w:p>
            <w:pPr>
              <w:rPr>
                <w:rFonts w:hint="eastAsia" w:ascii="宋体" w:hAnsi="宋体"/>
                <w:szCs w:val="21"/>
                <w:highlight w:val="none"/>
              </w:rPr>
            </w:pPr>
          </w:p>
        </w:tc>
        <w:tc>
          <w:tcPr>
            <w:tcW w:w="924" w:type="dxa"/>
            <w:gridSpan w:val="6"/>
            <w:tcBorders>
              <w:top w:val="single" w:color="auto" w:sz="4" w:space="0"/>
              <w:right w:val="single" w:color="auto" w:sz="4" w:space="0"/>
            </w:tcBorders>
            <w:noWrap w:val="0"/>
            <w:vAlign w:val="center"/>
          </w:tcPr>
          <w:p>
            <w:pPr>
              <w:rPr>
                <w:rFonts w:hint="eastAsia" w:ascii="宋体" w:hAnsi="宋体"/>
                <w:szCs w:val="21"/>
                <w:highlight w:val="none"/>
              </w:rPr>
            </w:pPr>
          </w:p>
        </w:tc>
        <w:tc>
          <w:tcPr>
            <w:tcW w:w="785" w:type="dxa"/>
            <w:tcBorders>
              <w:top w:val="single" w:color="auto" w:sz="4" w:space="0"/>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检测工</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其他维修工</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06" w:type="dxa"/>
            <w:vMerge w:val="continue"/>
            <w:noWrap w:val="0"/>
            <w:vAlign w:val="center"/>
          </w:tcPr>
          <w:p>
            <w:pPr>
              <w:rPr>
                <w:rFonts w:hint="eastAsia" w:ascii="宋体" w:hAnsi="宋体"/>
                <w:szCs w:val="21"/>
                <w:highlight w:val="none"/>
              </w:rPr>
            </w:pPr>
          </w:p>
        </w:tc>
        <w:tc>
          <w:tcPr>
            <w:tcW w:w="2468" w:type="dxa"/>
            <w:gridSpan w:val="2"/>
            <w:noWrap w:val="0"/>
            <w:vAlign w:val="center"/>
          </w:tcPr>
          <w:p>
            <w:pPr>
              <w:rPr>
                <w:rFonts w:hint="eastAsia" w:ascii="宋体" w:hAnsi="宋体"/>
                <w:szCs w:val="21"/>
                <w:highlight w:val="none"/>
              </w:rPr>
            </w:pPr>
            <w:r>
              <w:rPr>
                <w:rFonts w:hint="eastAsia" w:ascii="宋体" w:hAnsi="宋体"/>
                <w:szCs w:val="21"/>
                <w:highlight w:val="none"/>
              </w:rPr>
              <w:t>合   计</w:t>
            </w:r>
          </w:p>
        </w:tc>
        <w:tc>
          <w:tcPr>
            <w:tcW w:w="1274" w:type="dxa"/>
            <w:gridSpan w:val="4"/>
            <w:noWrap w:val="0"/>
            <w:vAlign w:val="center"/>
          </w:tcPr>
          <w:p>
            <w:pPr>
              <w:rPr>
                <w:rFonts w:hint="eastAsia" w:ascii="宋体" w:hAnsi="宋体"/>
                <w:szCs w:val="21"/>
                <w:highlight w:val="none"/>
              </w:rPr>
            </w:pPr>
          </w:p>
        </w:tc>
        <w:tc>
          <w:tcPr>
            <w:tcW w:w="1110" w:type="dxa"/>
            <w:gridSpan w:val="2"/>
            <w:noWrap w:val="0"/>
            <w:vAlign w:val="center"/>
          </w:tcPr>
          <w:p>
            <w:pPr>
              <w:rPr>
                <w:rFonts w:hint="eastAsia" w:ascii="宋体" w:hAnsi="宋体"/>
                <w:szCs w:val="21"/>
                <w:highlight w:val="none"/>
              </w:rPr>
            </w:pPr>
          </w:p>
        </w:tc>
        <w:tc>
          <w:tcPr>
            <w:tcW w:w="1301" w:type="dxa"/>
            <w:gridSpan w:val="4"/>
            <w:noWrap w:val="0"/>
            <w:vAlign w:val="center"/>
          </w:tcPr>
          <w:p>
            <w:pPr>
              <w:rPr>
                <w:rFonts w:hint="eastAsia" w:ascii="宋体" w:hAnsi="宋体"/>
                <w:szCs w:val="21"/>
                <w:highlight w:val="none"/>
              </w:rPr>
            </w:pPr>
          </w:p>
        </w:tc>
        <w:tc>
          <w:tcPr>
            <w:tcW w:w="924" w:type="dxa"/>
            <w:gridSpan w:val="6"/>
            <w:tcBorders>
              <w:right w:val="single" w:color="auto" w:sz="4" w:space="0"/>
            </w:tcBorders>
            <w:noWrap w:val="0"/>
            <w:vAlign w:val="center"/>
          </w:tcPr>
          <w:p>
            <w:pPr>
              <w:rPr>
                <w:rFonts w:hint="eastAsia" w:ascii="宋体" w:hAnsi="宋体"/>
                <w:szCs w:val="21"/>
                <w:highlight w:val="none"/>
              </w:rPr>
            </w:pPr>
          </w:p>
        </w:tc>
        <w:tc>
          <w:tcPr>
            <w:tcW w:w="785" w:type="dxa"/>
            <w:tcBorders>
              <w:left w:val="single" w:color="auto" w:sz="4" w:space="0"/>
            </w:tcBorders>
            <w:noWrap w:val="0"/>
            <w:vAlign w:val="center"/>
          </w:tcPr>
          <w:p>
            <w:pPr>
              <w:rPr>
                <w:rFonts w:hint="eastAsia" w:ascii="宋体" w:hAnsi="宋体"/>
                <w:szCs w:val="21"/>
                <w:highlight w:val="none"/>
              </w:rPr>
            </w:pPr>
          </w:p>
        </w:tc>
      </w:tr>
    </w:tbl>
    <w:p>
      <w:pPr>
        <w:ind w:firstLine="2520" w:firstLineChars="1050"/>
        <w:rPr>
          <w:rFonts w:hint="eastAsia" w:ascii="宋体" w:hAnsi="宋体"/>
          <w:sz w:val="24"/>
          <w:highlight w:val="none"/>
          <w:u w:val="single"/>
        </w:rPr>
      </w:pPr>
      <w:r>
        <w:rPr>
          <w:rFonts w:hint="eastAsia" w:ascii="宋体" w:hAnsi="宋体"/>
          <w:sz w:val="24"/>
          <w:highlight w:val="none"/>
        </w:rPr>
        <w:t>投标人（全称并加盖公章）：</w:t>
      </w:r>
      <w:r>
        <w:rPr>
          <w:rFonts w:hint="eastAsia" w:ascii="宋体" w:hAnsi="宋体"/>
          <w:sz w:val="24"/>
          <w:highlight w:val="none"/>
          <w:u w:val="single"/>
        </w:rPr>
        <w:t xml:space="preserve">                    </w:t>
      </w:r>
    </w:p>
    <w:p>
      <w:pPr>
        <w:ind w:firstLine="2520" w:firstLineChars="1050"/>
        <w:rPr>
          <w:rFonts w:hint="eastAsia" w:ascii="宋体" w:hAnsi="宋体"/>
          <w:sz w:val="24"/>
          <w:highlight w:val="none"/>
          <w:u w:val="single"/>
        </w:rPr>
      </w:pPr>
      <w:r>
        <w:rPr>
          <w:rFonts w:hint="eastAsia" w:ascii="宋体" w:hAnsi="宋体"/>
          <w:sz w:val="24"/>
          <w:highlight w:val="none"/>
        </w:rPr>
        <w:t>投标代表签字：</w:t>
      </w:r>
      <w:r>
        <w:rPr>
          <w:rFonts w:hint="eastAsia" w:ascii="宋体" w:hAnsi="宋体"/>
          <w:sz w:val="24"/>
          <w:highlight w:val="none"/>
          <w:u w:val="single"/>
        </w:rPr>
        <w:t xml:space="preserve">               </w:t>
      </w:r>
    </w:p>
    <w:p>
      <w:pPr>
        <w:ind w:firstLine="2520" w:firstLineChars="1050"/>
        <w:rPr>
          <w:rFonts w:hint="eastAsia" w:ascii="宋体" w:hAnsi="宋体"/>
          <w:sz w:val="24"/>
          <w:highlight w:val="none"/>
        </w:rPr>
      </w:pPr>
      <w:r>
        <w:rPr>
          <w:rFonts w:hint="eastAsia" w:ascii="宋体" w:hAnsi="宋体"/>
          <w:sz w:val="24"/>
          <w:highlight w:val="none"/>
        </w:rPr>
        <w:t>日期:20  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rPr>
          <w:rFonts w:ascii="宋体" w:cs="宋体"/>
          <w:color w:val="000000"/>
          <w:highlight w:val="none"/>
          <w:lang w:eastAsia="zh-CN"/>
        </w:rPr>
      </w:pPr>
    </w:p>
    <w:p>
      <w:pPr>
        <w:pStyle w:val="7"/>
        <w:rPr>
          <w:rFonts w:ascii="宋体" w:cs="宋体"/>
          <w:sz w:val="24"/>
          <w:szCs w:val="24"/>
          <w:highlight w:val="none"/>
          <w:lang w:eastAsia="zh-CN"/>
        </w:rPr>
      </w:pPr>
      <w:r>
        <w:rPr>
          <w:rFonts w:ascii="宋体" w:hAnsi="宋体" w:cs="宋体"/>
          <w:szCs w:val="24"/>
          <w:highlight w:val="none"/>
          <w:lang w:eastAsia="zh-CN"/>
        </w:rPr>
        <w:t>2.7.</w:t>
      </w:r>
      <w:bookmarkEnd w:id="220"/>
      <w:bookmarkEnd w:id="221"/>
      <w:bookmarkEnd w:id="222"/>
      <w:r>
        <w:rPr>
          <w:rFonts w:hint="eastAsia" w:ascii="宋体" w:hAnsi="宋体" w:cs="宋体"/>
          <w:szCs w:val="24"/>
          <w:highlight w:val="none"/>
          <w:lang w:val="en-US" w:eastAsia="zh-CN"/>
        </w:rPr>
        <w:t>2</w:t>
      </w:r>
      <w:r>
        <w:rPr>
          <w:rFonts w:hint="eastAsia" w:ascii="宋体" w:hAnsi="宋体"/>
          <w:b/>
          <w:bCs/>
          <w:sz w:val="30"/>
          <w:szCs w:val="30"/>
          <w:highlight w:val="none"/>
        </w:rPr>
        <w:t>维修质量保证书</w:t>
      </w:r>
    </w:p>
    <w:p>
      <w:pPr>
        <w:spacing w:line="360" w:lineRule="auto"/>
        <w:rPr>
          <w:rFonts w:ascii="宋体" w:cs="宋体"/>
          <w:color w:val="000000"/>
          <w:szCs w:val="21"/>
          <w:highlight w:val="none"/>
        </w:rPr>
      </w:pPr>
    </w:p>
    <w:p>
      <w:pPr>
        <w:spacing w:line="440" w:lineRule="exact"/>
        <w:jc w:val="center"/>
        <w:rPr>
          <w:rFonts w:hint="eastAsia" w:ascii="宋体" w:hAnsi="宋体"/>
          <w:b/>
          <w:bCs/>
          <w:sz w:val="36"/>
          <w:highlight w:val="none"/>
        </w:rPr>
      </w:pPr>
      <w:r>
        <w:rPr>
          <w:rFonts w:hint="eastAsia" w:ascii="宋体" w:hAnsi="宋体"/>
          <w:b/>
          <w:bCs/>
          <w:sz w:val="30"/>
          <w:szCs w:val="30"/>
          <w:highlight w:val="none"/>
        </w:rPr>
        <w:t>维修质量保证书</w:t>
      </w:r>
    </w:p>
    <w:p>
      <w:pPr>
        <w:rPr>
          <w:rFonts w:hint="eastAsia" w:ascii="宋体" w:hAnsi="宋体"/>
          <w:sz w:val="24"/>
          <w:highlight w:val="none"/>
        </w:rPr>
      </w:pPr>
    </w:p>
    <w:p>
      <w:pPr>
        <w:spacing w:line="380" w:lineRule="exact"/>
        <w:rPr>
          <w:rFonts w:hint="eastAsia" w:ascii="宋体" w:hAnsi="宋体"/>
          <w:sz w:val="24"/>
          <w:highlight w:val="none"/>
        </w:rPr>
      </w:pPr>
      <w:r>
        <w:rPr>
          <w:rFonts w:hint="eastAsia" w:ascii="宋体" w:hAnsi="宋体"/>
          <w:sz w:val="24"/>
          <w:highlight w:val="none"/>
        </w:rPr>
        <w:t>乌鲁木齐高新建设工程项目管理咨询有限公司：</w:t>
      </w:r>
    </w:p>
    <w:p>
      <w:pPr>
        <w:spacing w:line="380" w:lineRule="exact"/>
        <w:ind w:firstLine="480" w:firstLineChars="200"/>
        <w:rPr>
          <w:rFonts w:hint="eastAsia" w:ascii="宋体" w:hAnsi="宋体"/>
          <w:sz w:val="24"/>
          <w:highlight w:val="none"/>
        </w:rPr>
      </w:pPr>
      <w:r>
        <w:rPr>
          <w:rFonts w:hint="eastAsia" w:ascii="宋体" w:hAnsi="宋体"/>
          <w:sz w:val="24"/>
          <w:highlight w:val="none"/>
        </w:rPr>
        <w:t>本保证书作为我方参加</w:t>
      </w:r>
      <w:r>
        <w:rPr>
          <w:rFonts w:hint="eastAsia" w:ascii="宋体" w:hAnsi="宋体"/>
          <w:sz w:val="24"/>
          <w:highlight w:val="none"/>
          <w:u w:val="single"/>
        </w:rPr>
        <w:t>（项目名称）</w:t>
      </w:r>
      <w:r>
        <w:rPr>
          <w:rFonts w:hint="eastAsia" w:ascii="宋体" w:hAnsi="宋体"/>
          <w:sz w:val="24"/>
          <w:highlight w:val="none"/>
        </w:rPr>
        <w:t>（招标编号：</w:t>
      </w:r>
      <w:r>
        <w:rPr>
          <w:rFonts w:hint="eastAsia" w:ascii="宋体" w:hAnsi="宋体"/>
          <w:sz w:val="24"/>
          <w:highlight w:val="none"/>
          <w:lang w:eastAsia="zh-CN"/>
        </w:rPr>
        <w:t>GXXG-2023-ZFCG052-2</w:t>
      </w:r>
      <w:r>
        <w:rPr>
          <w:rFonts w:hint="eastAsia" w:ascii="宋体" w:hAnsi="宋体"/>
          <w:sz w:val="24"/>
          <w:highlight w:val="none"/>
        </w:rPr>
        <w:t>）投标文件的不可分割的一部分。如我单位中标成为本项目的定点维修机构，在本次定点维修期限内，我方承诺维修质量保证如下：</w:t>
      </w:r>
    </w:p>
    <w:p>
      <w:pPr>
        <w:spacing w:line="380" w:lineRule="exact"/>
        <w:ind w:firstLine="480" w:firstLineChars="200"/>
        <w:rPr>
          <w:rFonts w:hint="eastAsia" w:ascii="宋体" w:hAnsi="宋体" w:cs="宋体"/>
          <w:kern w:val="0"/>
          <w:sz w:val="24"/>
          <w:highlight w:val="none"/>
        </w:rPr>
      </w:pPr>
      <w:r>
        <w:rPr>
          <w:rFonts w:ascii="宋体" w:hAnsi="宋体" w:cs="宋体"/>
          <w:kern w:val="0"/>
          <w:sz w:val="24"/>
          <w:highlight w:val="none"/>
        </w:rPr>
        <w:t>整车修理或总成修理质量保证期</w:t>
      </w:r>
      <w:r>
        <w:rPr>
          <w:rFonts w:hint="eastAsia" w:ascii="宋体" w:hAnsi="宋体" w:cs="宋体"/>
          <w:kern w:val="0"/>
          <w:sz w:val="24"/>
          <w:highlight w:val="none"/>
        </w:rPr>
        <w:t>（</w:t>
      </w:r>
      <w:r>
        <w:rPr>
          <w:rFonts w:hint="eastAsia" w:ascii="宋体" w:hAnsi="宋体"/>
          <w:sz w:val="24"/>
          <w:highlight w:val="none"/>
        </w:rPr>
        <w:t>里程</w:t>
      </w:r>
      <w:r>
        <w:rPr>
          <w:rFonts w:hint="eastAsia" w:ascii="宋体" w:hAnsi="宋体"/>
          <w:sz w:val="24"/>
          <w:highlight w:val="none"/>
          <w:u w:val="single"/>
        </w:rPr>
        <w:t xml:space="preserve">            </w:t>
      </w:r>
      <w:r>
        <w:rPr>
          <w:rFonts w:hint="eastAsia" w:ascii="宋体" w:hAnsi="宋体"/>
          <w:sz w:val="24"/>
          <w:highlight w:val="none"/>
        </w:rPr>
        <w:t>或日期</w:t>
      </w:r>
      <w:r>
        <w:rPr>
          <w:rFonts w:hint="eastAsia" w:ascii="宋体" w:hAnsi="宋体"/>
          <w:sz w:val="24"/>
          <w:highlight w:val="none"/>
          <w:u w:val="single"/>
        </w:rPr>
        <w:t xml:space="preserve">             </w:t>
      </w:r>
      <w:r>
        <w:rPr>
          <w:rFonts w:hint="eastAsia" w:ascii="宋体" w:hAnsi="宋体" w:cs="宋体"/>
          <w:kern w:val="0"/>
          <w:sz w:val="24"/>
          <w:highlight w:val="none"/>
        </w:rPr>
        <w:t>）</w:t>
      </w:r>
    </w:p>
    <w:p>
      <w:pPr>
        <w:spacing w:line="380" w:lineRule="exact"/>
        <w:ind w:firstLine="480" w:firstLineChars="200"/>
        <w:rPr>
          <w:rFonts w:hint="eastAsia" w:ascii="宋体" w:hAnsi="宋体" w:cs="宋体"/>
          <w:kern w:val="0"/>
          <w:sz w:val="24"/>
          <w:highlight w:val="none"/>
        </w:rPr>
      </w:pPr>
      <w:r>
        <w:rPr>
          <w:rFonts w:ascii="宋体" w:hAnsi="宋体" w:cs="宋体"/>
          <w:kern w:val="0"/>
          <w:sz w:val="24"/>
          <w:highlight w:val="none"/>
        </w:rPr>
        <w:t>二级维护质量保证期</w:t>
      </w:r>
      <w:r>
        <w:rPr>
          <w:rFonts w:hint="eastAsia" w:ascii="宋体" w:hAnsi="宋体" w:cs="宋体"/>
          <w:kern w:val="0"/>
          <w:sz w:val="24"/>
          <w:highlight w:val="none"/>
        </w:rPr>
        <w:t>（</w:t>
      </w:r>
      <w:r>
        <w:rPr>
          <w:rFonts w:hint="eastAsia" w:ascii="宋体" w:hAnsi="宋体"/>
          <w:sz w:val="24"/>
          <w:highlight w:val="none"/>
        </w:rPr>
        <w:t>里程</w:t>
      </w:r>
      <w:r>
        <w:rPr>
          <w:rFonts w:hint="eastAsia" w:ascii="宋体" w:hAnsi="宋体"/>
          <w:sz w:val="24"/>
          <w:highlight w:val="none"/>
          <w:u w:val="single"/>
        </w:rPr>
        <w:t xml:space="preserve">            </w:t>
      </w:r>
      <w:r>
        <w:rPr>
          <w:rFonts w:hint="eastAsia" w:ascii="宋体" w:hAnsi="宋体"/>
          <w:sz w:val="24"/>
          <w:highlight w:val="none"/>
        </w:rPr>
        <w:t>或日期</w:t>
      </w:r>
      <w:r>
        <w:rPr>
          <w:rFonts w:hint="eastAsia" w:ascii="宋体" w:hAnsi="宋体"/>
          <w:sz w:val="24"/>
          <w:highlight w:val="none"/>
          <w:u w:val="single"/>
        </w:rPr>
        <w:t xml:space="preserve">             </w:t>
      </w:r>
      <w:r>
        <w:rPr>
          <w:rFonts w:hint="eastAsia" w:ascii="宋体" w:hAnsi="宋体" w:cs="宋体"/>
          <w:kern w:val="0"/>
          <w:sz w:val="24"/>
          <w:highlight w:val="none"/>
        </w:rPr>
        <w:t>）</w:t>
      </w:r>
    </w:p>
    <w:p>
      <w:pPr>
        <w:spacing w:line="380" w:lineRule="exact"/>
        <w:ind w:firstLine="480" w:firstLineChars="200"/>
        <w:rPr>
          <w:rFonts w:hint="eastAsia" w:ascii="宋体" w:hAnsi="宋体" w:cs="宋体"/>
          <w:kern w:val="0"/>
          <w:sz w:val="24"/>
          <w:highlight w:val="none"/>
        </w:rPr>
      </w:pPr>
      <w:r>
        <w:rPr>
          <w:rFonts w:ascii="宋体" w:hAnsi="宋体" w:cs="宋体"/>
          <w:kern w:val="0"/>
          <w:sz w:val="24"/>
          <w:highlight w:val="none"/>
        </w:rPr>
        <w:t>一级维护、小修及专项修理质量保证期</w:t>
      </w:r>
      <w:r>
        <w:rPr>
          <w:rFonts w:hint="eastAsia" w:ascii="宋体" w:hAnsi="宋体" w:cs="宋体"/>
          <w:kern w:val="0"/>
          <w:sz w:val="24"/>
          <w:highlight w:val="none"/>
        </w:rPr>
        <w:t>（</w:t>
      </w:r>
      <w:r>
        <w:rPr>
          <w:rFonts w:hint="eastAsia" w:ascii="宋体" w:hAnsi="宋体"/>
          <w:sz w:val="24"/>
          <w:highlight w:val="none"/>
        </w:rPr>
        <w:t>里程</w:t>
      </w:r>
      <w:r>
        <w:rPr>
          <w:rFonts w:hint="eastAsia" w:ascii="宋体" w:hAnsi="宋体"/>
          <w:sz w:val="24"/>
          <w:highlight w:val="none"/>
          <w:u w:val="single"/>
        </w:rPr>
        <w:t xml:space="preserve">        </w:t>
      </w:r>
      <w:r>
        <w:rPr>
          <w:rFonts w:hint="eastAsia" w:ascii="宋体" w:hAnsi="宋体"/>
          <w:sz w:val="24"/>
          <w:highlight w:val="none"/>
        </w:rPr>
        <w:t>或日期</w:t>
      </w:r>
      <w:r>
        <w:rPr>
          <w:rFonts w:hint="eastAsia" w:ascii="宋体" w:hAnsi="宋体"/>
          <w:sz w:val="24"/>
          <w:highlight w:val="none"/>
          <w:u w:val="single"/>
        </w:rPr>
        <w:t xml:space="preserve">           </w:t>
      </w:r>
      <w:r>
        <w:rPr>
          <w:rFonts w:hint="eastAsia" w:ascii="宋体" w:hAnsi="宋体" w:cs="宋体"/>
          <w:kern w:val="0"/>
          <w:sz w:val="24"/>
          <w:highlight w:val="none"/>
        </w:rPr>
        <w:t>）</w:t>
      </w:r>
    </w:p>
    <w:p>
      <w:pPr>
        <w:spacing w:line="380" w:lineRule="exact"/>
        <w:ind w:firstLine="482" w:firstLineChars="200"/>
        <w:rPr>
          <w:rFonts w:hint="eastAsia" w:ascii="宋体" w:hAnsi="宋体"/>
          <w:b/>
          <w:sz w:val="24"/>
          <w:highlight w:val="none"/>
          <w:u w:val="single"/>
        </w:rPr>
      </w:pPr>
      <w:r>
        <w:rPr>
          <w:rFonts w:hint="eastAsia" w:ascii="宋体" w:hAnsi="宋体"/>
          <w:b/>
          <w:sz w:val="24"/>
          <w:highlight w:val="none"/>
        </w:rPr>
        <w:t>其他维修质量承诺内容：</w:t>
      </w:r>
      <w:r>
        <w:rPr>
          <w:rFonts w:hint="eastAsia" w:ascii="宋体" w:hAnsi="宋体"/>
          <w:b/>
          <w:sz w:val="24"/>
          <w:highlight w:val="none"/>
          <w:u w:val="single"/>
        </w:rPr>
        <w:t xml:space="preserve">                                           </w:t>
      </w:r>
    </w:p>
    <w:p>
      <w:pPr>
        <w:spacing w:line="380" w:lineRule="exact"/>
        <w:rPr>
          <w:rFonts w:hint="eastAsia" w:ascii="宋体" w:hAnsi="宋体"/>
          <w:b/>
          <w:sz w:val="24"/>
          <w:highlight w:val="none"/>
          <w:u w:val="single"/>
        </w:rPr>
      </w:pPr>
      <w:r>
        <w:rPr>
          <w:rFonts w:hint="eastAsia" w:ascii="宋体" w:hAnsi="宋体"/>
          <w:b/>
          <w:sz w:val="24"/>
          <w:highlight w:val="none"/>
          <w:u w:val="single"/>
        </w:rPr>
        <w:t xml:space="preserve">                                                                   。</w:t>
      </w:r>
    </w:p>
    <w:p>
      <w:pPr>
        <w:rPr>
          <w:rFonts w:hint="eastAsia" w:ascii="宋体" w:hAnsi="宋体"/>
          <w:b/>
          <w:sz w:val="24"/>
          <w:highlight w:val="none"/>
        </w:rPr>
      </w:pPr>
    </w:p>
    <w:p>
      <w:pPr>
        <w:spacing w:line="380" w:lineRule="exact"/>
        <w:ind w:firstLine="2280" w:firstLineChars="950"/>
        <w:rPr>
          <w:rFonts w:hint="eastAsia" w:ascii="宋体" w:hAnsi="宋体"/>
          <w:sz w:val="24"/>
          <w:highlight w:val="none"/>
        </w:rPr>
      </w:pPr>
      <w:r>
        <w:rPr>
          <w:rFonts w:hint="eastAsia" w:ascii="宋体" w:hAnsi="宋体"/>
          <w:sz w:val="24"/>
          <w:highlight w:val="none"/>
        </w:rPr>
        <w:t>投 标 人 名 称：</w:t>
      </w:r>
      <w:r>
        <w:rPr>
          <w:rFonts w:hint="eastAsia" w:ascii="宋体" w:hAnsi="宋体"/>
          <w:sz w:val="24"/>
          <w:highlight w:val="none"/>
          <w:u w:val="single"/>
        </w:rPr>
        <w:t xml:space="preserve">     （全称并加盖公章）     </w:t>
      </w:r>
    </w:p>
    <w:p>
      <w:pPr>
        <w:spacing w:line="380" w:lineRule="exact"/>
        <w:rPr>
          <w:rFonts w:hint="eastAsia" w:ascii="宋体" w:hAnsi="宋体"/>
          <w:sz w:val="24"/>
          <w:highlight w:val="none"/>
          <w:u w:val="single"/>
        </w:rPr>
      </w:pPr>
      <w:r>
        <w:rPr>
          <w:rFonts w:hint="eastAsia" w:ascii="宋体" w:hAnsi="宋体"/>
          <w:sz w:val="24"/>
          <w:highlight w:val="none"/>
        </w:rPr>
        <w:t xml:space="preserve">                   投标人代表签字：</w:t>
      </w:r>
      <w:r>
        <w:rPr>
          <w:rFonts w:hint="eastAsia" w:ascii="宋体" w:hAnsi="宋体"/>
          <w:sz w:val="24"/>
          <w:highlight w:val="none"/>
          <w:u w:val="single"/>
        </w:rPr>
        <w:t xml:space="preserve">                            </w:t>
      </w:r>
    </w:p>
    <w:p>
      <w:pPr>
        <w:spacing w:line="360" w:lineRule="auto"/>
        <w:ind w:firstLine="477" w:firstLineChars="199"/>
        <w:jc w:val="center"/>
        <w:rPr>
          <w:rFonts w:hint="eastAsia" w:ascii="宋体" w:hAnsi="宋体"/>
          <w:sz w:val="24"/>
          <w:highlight w:val="none"/>
        </w:rPr>
      </w:pPr>
      <w:r>
        <w:rPr>
          <w:rFonts w:hint="eastAsia" w:ascii="宋体" w:hAnsi="宋体"/>
          <w:sz w:val="24"/>
          <w:highlight w:val="none"/>
        </w:rPr>
        <w:t xml:space="preserve">          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 xml:space="preserve"> 日</w:t>
      </w:r>
    </w:p>
    <w:p>
      <w:pPr>
        <w:spacing w:line="360" w:lineRule="auto"/>
        <w:jc w:val="right"/>
        <w:rPr>
          <w:rFonts w:ascii="宋体" w:cs="宋体"/>
          <w:sz w:val="24"/>
          <w:szCs w:val="24"/>
          <w:highlight w:val="none"/>
        </w:rPr>
      </w:pPr>
    </w:p>
    <w:p>
      <w:pPr>
        <w:pStyle w:val="7"/>
        <w:rPr>
          <w:rFonts w:ascii="宋体" w:cs="宋体"/>
          <w:b w:val="0"/>
          <w:color w:val="000000"/>
          <w:sz w:val="24"/>
          <w:szCs w:val="24"/>
          <w:highlight w:val="none"/>
          <w:u w:val="single"/>
          <w:lang w:eastAsia="zh-CN"/>
        </w:rPr>
      </w:pPr>
      <w:r>
        <w:rPr>
          <w:rFonts w:ascii="宋体" w:cs="宋体"/>
          <w:color w:val="000000"/>
          <w:sz w:val="24"/>
          <w:szCs w:val="24"/>
          <w:highlight w:val="none"/>
          <w:u w:val="single"/>
          <w:lang w:eastAsia="zh-CN"/>
        </w:rPr>
        <w:br w:type="page"/>
      </w:r>
      <w:bookmarkStart w:id="223" w:name="_Toc493422675"/>
      <w:bookmarkStart w:id="224" w:name="_Toc44705298"/>
      <w:bookmarkStart w:id="225" w:name="_Toc44704930"/>
      <w:r>
        <w:rPr>
          <w:rFonts w:ascii="宋体" w:hAnsi="宋体" w:cs="宋体"/>
          <w:szCs w:val="24"/>
          <w:highlight w:val="none"/>
          <w:lang w:eastAsia="zh-CN"/>
        </w:rPr>
        <w:t>2.7.</w:t>
      </w:r>
      <w:bookmarkEnd w:id="223"/>
      <w:r>
        <w:rPr>
          <w:rFonts w:hint="eastAsia" w:ascii="宋体" w:hAnsi="宋体" w:cs="宋体"/>
          <w:szCs w:val="24"/>
          <w:highlight w:val="none"/>
          <w:lang w:val="en-US" w:eastAsia="zh-CN"/>
        </w:rPr>
        <w:t>3</w:t>
      </w:r>
      <w:r>
        <w:rPr>
          <w:rFonts w:hint="eastAsia" w:ascii="宋体" w:hAnsi="宋体" w:cs="宋体"/>
          <w:szCs w:val="24"/>
          <w:highlight w:val="none"/>
          <w:lang w:eastAsia="zh-CN"/>
        </w:rPr>
        <w:t>项目人员配备表</w:t>
      </w:r>
      <w:r>
        <w:rPr>
          <w:rFonts w:hint="eastAsia" w:ascii="宋体" w:hAnsi="宋体" w:cs="宋体"/>
          <w:b w:val="0"/>
          <w:sz w:val="24"/>
          <w:szCs w:val="24"/>
          <w:highlight w:val="none"/>
          <w:lang w:eastAsia="zh-CN"/>
        </w:rPr>
        <w:t>（后附人员相关身份证明及职称证明等相关证书并加盖公章）</w:t>
      </w:r>
      <w:bookmarkEnd w:id="224"/>
      <w:bookmarkEnd w:id="225"/>
    </w:p>
    <w:p>
      <w:pPr>
        <w:spacing w:line="360" w:lineRule="auto"/>
        <w:rPr>
          <w:rFonts w:ascii="宋体" w:cs="宋体"/>
          <w:sz w:val="24"/>
          <w:szCs w:val="24"/>
          <w:highlight w:val="none"/>
        </w:rPr>
      </w:pPr>
      <w:r>
        <w:rPr>
          <w:rFonts w:hint="eastAsia" w:ascii="宋体" w:hAnsi="宋体" w:cs="宋体"/>
          <w:sz w:val="24"/>
          <w:szCs w:val="24"/>
          <w:highlight w:val="none"/>
        </w:rPr>
        <w:t>项目名称：</w:t>
      </w:r>
    </w:p>
    <w:p>
      <w:pPr>
        <w:spacing w:line="360" w:lineRule="auto"/>
        <w:rPr>
          <w:rFonts w:hint="eastAsia" w:ascii="宋体" w:hAnsi="宋体" w:cs="宋体"/>
          <w:sz w:val="24"/>
          <w:szCs w:val="24"/>
          <w:highlight w:val="none"/>
        </w:rPr>
      </w:pPr>
      <w:r>
        <w:rPr>
          <w:rFonts w:hint="eastAsia" w:ascii="宋体" w:hAnsi="宋体" w:cs="宋体"/>
          <w:sz w:val="24"/>
          <w:szCs w:val="24"/>
          <w:highlight w:val="none"/>
        </w:rPr>
        <w:t>项目编号：</w:t>
      </w:r>
    </w:p>
    <w:p>
      <w:pPr>
        <w:numPr>
          <w:ilvl w:val="0"/>
          <w:numId w:val="20"/>
        </w:numPr>
        <w:spacing w:line="440" w:lineRule="exact"/>
        <w:rPr>
          <w:highlight w:val="none"/>
        </w:rPr>
      </w:pPr>
      <w:r>
        <w:rPr>
          <w:rFonts w:hint="eastAsia" w:ascii="宋体" w:hAnsi="宋体"/>
          <w:b/>
          <w:sz w:val="24"/>
          <w:highlight w:val="none"/>
        </w:rPr>
        <w:t>项目负责人简历表</w:t>
      </w:r>
    </w:p>
    <w:tbl>
      <w:tblPr>
        <w:tblStyle w:val="48"/>
        <w:tblpPr w:leftFromText="180" w:rightFromText="180" w:vertAnchor="text" w:horzAnchor="page" w:tblpX="1545" w:tblpY="427"/>
        <w:tblOverlap w:val="never"/>
        <w:tblW w:w="9854" w:type="dxa"/>
        <w:tblInd w:w="0" w:type="dxa"/>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highlight w:val="none"/>
              </w:rPr>
            </w:pPr>
            <w:r>
              <w:rPr>
                <w:rFonts w:hint="eastAsia" w:ascii="宋体" w:hAnsi="宋体"/>
                <w:sz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r>
      <w:tr>
        <w:tblPrEx>
          <w:tblCellMar>
            <w:top w:w="0" w:type="dxa"/>
            <w:left w:w="108" w:type="dxa"/>
            <w:bottom w:w="0" w:type="dxa"/>
            <w:right w:w="108" w:type="dxa"/>
          </w:tblCellMar>
        </w:tblPrEx>
        <w:trPr>
          <w:trHeight w:val="816" w:hRule="atLeast"/>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ascii="宋体" w:hAnsi="宋体"/>
                <w:sz w:val="24"/>
                <w:highlight w:val="none"/>
              </w:rPr>
            </w:pPr>
            <w:r>
              <w:rPr>
                <w:rFonts w:hint="eastAsia" w:ascii="宋体" w:hAnsi="宋体"/>
                <w:sz w:val="24"/>
                <w:highlight w:val="none"/>
              </w:rPr>
              <w:t>主要经历</w:t>
            </w: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p>
            <w:pPr>
              <w:spacing w:line="440" w:lineRule="exact"/>
              <w:rPr>
                <w:rFonts w:ascii="宋体" w:hAnsi="宋体"/>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r>
              <w:rPr>
                <w:rFonts w:hint="eastAsia" w:ascii="宋体" w:hAnsi="宋体"/>
                <w:sz w:val="24"/>
                <w:highlight w:val="none"/>
              </w:rPr>
              <w:t>备注</w:t>
            </w: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r>
      <w:tr>
        <w:tblPrEx>
          <w:tblCellMar>
            <w:top w:w="0" w:type="dxa"/>
            <w:left w:w="108" w:type="dxa"/>
            <w:bottom w:w="0" w:type="dxa"/>
            <w:right w:w="108" w:type="dxa"/>
          </w:tblCellMar>
        </w:tblPrEx>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ascii="宋体" w:hAnsi="宋体"/>
                <w:sz w:val="24"/>
                <w:highlight w:val="none"/>
              </w:rPr>
            </w:pPr>
          </w:p>
        </w:tc>
      </w:tr>
    </w:tbl>
    <w:p>
      <w:pPr>
        <w:autoSpaceDE w:val="0"/>
        <w:autoSpaceDN w:val="0"/>
        <w:adjustRightInd w:val="0"/>
        <w:spacing w:line="440" w:lineRule="exact"/>
        <w:rPr>
          <w:rFonts w:ascii="宋体" w:hAnsi="宋体"/>
          <w:b/>
          <w:bCs/>
          <w:sz w:val="24"/>
          <w:highlight w:val="none"/>
        </w:rPr>
      </w:pPr>
    </w:p>
    <w:p>
      <w:pPr>
        <w:autoSpaceDE w:val="0"/>
        <w:autoSpaceDN w:val="0"/>
        <w:adjustRightInd w:val="0"/>
        <w:spacing w:line="440" w:lineRule="exact"/>
        <w:rPr>
          <w:rFonts w:ascii="宋体" w:hAnsi="宋体"/>
          <w:b/>
          <w:bCs/>
          <w:sz w:val="24"/>
          <w:highlight w:val="none"/>
        </w:rPr>
      </w:pPr>
      <w:r>
        <w:rPr>
          <w:rFonts w:ascii="宋体" w:hAnsi="宋体"/>
          <w:b/>
          <w:bCs/>
          <w:sz w:val="24"/>
          <w:highlight w:val="none"/>
        </w:rPr>
        <w:t>2</w:t>
      </w:r>
      <w:r>
        <w:rPr>
          <w:rFonts w:hint="eastAsia" w:ascii="宋体" w:hAnsi="宋体"/>
          <w:b/>
          <w:bCs/>
          <w:sz w:val="24"/>
          <w:highlight w:val="none"/>
        </w:rPr>
        <w:t>、拟投入本项目的主要成员表</w:t>
      </w:r>
    </w:p>
    <w:tbl>
      <w:tblPr>
        <w:tblStyle w:val="4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ascii="宋体" w:hAnsi="宋体"/>
                <w:sz w:val="24"/>
                <w:highlight w:val="none"/>
              </w:rPr>
            </w:pPr>
            <w:r>
              <w:rPr>
                <w:rFonts w:hint="eastAsia" w:ascii="宋体" w:hAnsi="宋体"/>
                <w:sz w:val="24"/>
                <w:highlight w:val="none"/>
              </w:rPr>
              <w:t>序号</w:t>
            </w:r>
          </w:p>
        </w:tc>
        <w:tc>
          <w:tcPr>
            <w:tcW w:w="1330" w:type="dxa"/>
            <w:noWrap w:val="0"/>
            <w:vAlign w:val="center"/>
          </w:tcPr>
          <w:p>
            <w:pPr>
              <w:spacing w:line="440" w:lineRule="exact"/>
              <w:jc w:val="center"/>
              <w:rPr>
                <w:rFonts w:ascii="宋体" w:hAnsi="宋体"/>
                <w:sz w:val="24"/>
                <w:highlight w:val="none"/>
              </w:rPr>
            </w:pPr>
            <w:r>
              <w:rPr>
                <w:rFonts w:hint="eastAsia" w:ascii="宋体" w:hAnsi="宋体"/>
                <w:sz w:val="24"/>
                <w:highlight w:val="none"/>
              </w:rPr>
              <w:t>姓名</w:t>
            </w:r>
          </w:p>
        </w:tc>
        <w:tc>
          <w:tcPr>
            <w:tcW w:w="2040" w:type="dxa"/>
            <w:noWrap w:val="0"/>
            <w:vAlign w:val="center"/>
          </w:tcPr>
          <w:p>
            <w:pPr>
              <w:spacing w:line="440" w:lineRule="exact"/>
              <w:jc w:val="center"/>
              <w:rPr>
                <w:rFonts w:ascii="宋体" w:hAnsi="宋体"/>
                <w:sz w:val="24"/>
                <w:highlight w:val="none"/>
              </w:rPr>
            </w:pPr>
            <w:r>
              <w:rPr>
                <w:rFonts w:hint="eastAsia" w:ascii="宋体" w:hAnsi="宋体"/>
                <w:sz w:val="24"/>
                <w:highlight w:val="none"/>
              </w:rPr>
              <w:t>性别</w:t>
            </w:r>
          </w:p>
        </w:tc>
        <w:tc>
          <w:tcPr>
            <w:tcW w:w="1939" w:type="dxa"/>
            <w:noWrap w:val="0"/>
            <w:vAlign w:val="center"/>
          </w:tcPr>
          <w:p>
            <w:pPr>
              <w:spacing w:line="440" w:lineRule="exact"/>
              <w:jc w:val="center"/>
              <w:rPr>
                <w:rFonts w:ascii="宋体" w:hAnsi="宋体"/>
                <w:sz w:val="24"/>
                <w:highlight w:val="none"/>
              </w:rPr>
            </w:pPr>
            <w:r>
              <w:rPr>
                <w:rFonts w:hint="eastAsia" w:ascii="宋体" w:hAnsi="宋体"/>
                <w:sz w:val="24"/>
                <w:highlight w:val="none"/>
              </w:rPr>
              <w:t>职称</w:t>
            </w:r>
          </w:p>
        </w:tc>
        <w:tc>
          <w:tcPr>
            <w:tcW w:w="1799" w:type="dxa"/>
            <w:noWrap w:val="0"/>
            <w:vAlign w:val="center"/>
          </w:tcPr>
          <w:p>
            <w:pPr>
              <w:spacing w:line="440" w:lineRule="exact"/>
              <w:jc w:val="center"/>
              <w:rPr>
                <w:rFonts w:ascii="宋体" w:hAnsi="宋体"/>
                <w:sz w:val="24"/>
                <w:highlight w:val="none"/>
              </w:rPr>
            </w:pPr>
            <w:r>
              <w:rPr>
                <w:rFonts w:hint="eastAsia" w:ascii="宋体" w:hAnsi="宋体"/>
                <w:sz w:val="24"/>
                <w:highlight w:val="none"/>
              </w:rPr>
              <w:t>岗位</w:t>
            </w:r>
          </w:p>
        </w:tc>
        <w:tc>
          <w:tcPr>
            <w:tcW w:w="2006" w:type="dxa"/>
            <w:noWrap w:val="0"/>
            <w:vAlign w:val="center"/>
          </w:tcPr>
          <w:p>
            <w:pPr>
              <w:spacing w:line="440" w:lineRule="exact"/>
              <w:jc w:val="center"/>
              <w:rPr>
                <w:rFonts w:ascii="宋体" w:hAnsi="宋体"/>
                <w:sz w:val="24"/>
                <w:highlight w:val="none"/>
              </w:rPr>
            </w:pPr>
            <w:r>
              <w:rPr>
                <w:rFonts w:hint="eastAsia" w:ascii="宋体" w:hAnsi="宋体"/>
                <w:sz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highlight w:val="none"/>
              </w:rPr>
            </w:pPr>
            <w:r>
              <w:rPr>
                <w:rFonts w:ascii="宋体" w:hAnsi="宋体"/>
                <w:sz w:val="24"/>
                <w:highlight w:val="none"/>
              </w:rPr>
              <w:t>1</w:t>
            </w:r>
          </w:p>
        </w:tc>
        <w:tc>
          <w:tcPr>
            <w:tcW w:w="1330" w:type="dxa"/>
            <w:noWrap w:val="0"/>
            <w:vAlign w:val="top"/>
          </w:tcPr>
          <w:p>
            <w:pPr>
              <w:spacing w:line="440" w:lineRule="exact"/>
              <w:jc w:val="center"/>
              <w:rPr>
                <w:rFonts w:ascii="宋体" w:hAnsi="宋体"/>
                <w:sz w:val="24"/>
                <w:highlight w:val="none"/>
              </w:rPr>
            </w:pPr>
          </w:p>
        </w:tc>
        <w:tc>
          <w:tcPr>
            <w:tcW w:w="2040" w:type="dxa"/>
            <w:noWrap w:val="0"/>
            <w:vAlign w:val="top"/>
          </w:tcPr>
          <w:p>
            <w:pPr>
              <w:spacing w:line="440" w:lineRule="exact"/>
              <w:jc w:val="center"/>
              <w:rPr>
                <w:rFonts w:ascii="宋体" w:hAnsi="宋体"/>
                <w:sz w:val="24"/>
                <w:highlight w:val="none"/>
              </w:rPr>
            </w:pPr>
          </w:p>
        </w:tc>
        <w:tc>
          <w:tcPr>
            <w:tcW w:w="1939" w:type="dxa"/>
            <w:noWrap w:val="0"/>
            <w:vAlign w:val="top"/>
          </w:tcPr>
          <w:p>
            <w:pPr>
              <w:spacing w:line="440" w:lineRule="exact"/>
              <w:jc w:val="center"/>
              <w:rPr>
                <w:rFonts w:ascii="宋体" w:hAnsi="宋体"/>
                <w:sz w:val="24"/>
                <w:highlight w:val="none"/>
              </w:rPr>
            </w:pPr>
          </w:p>
        </w:tc>
        <w:tc>
          <w:tcPr>
            <w:tcW w:w="1799" w:type="dxa"/>
            <w:noWrap w:val="0"/>
            <w:vAlign w:val="top"/>
          </w:tcPr>
          <w:p>
            <w:pPr>
              <w:spacing w:line="440" w:lineRule="exact"/>
              <w:jc w:val="center"/>
              <w:rPr>
                <w:rFonts w:ascii="宋体" w:hAnsi="宋体"/>
                <w:sz w:val="24"/>
                <w:highlight w:val="none"/>
              </w:rPr>
            </w:pPr>
          </w:p>
        </w:tc>
        <w:tc>
          <w:tcPr>
            <w:tcW w:w="2006" w:type="dxa"/>
            <w:noWrap w:val="0"/>
            <w:vAlign w:val="top"/>
          </w:tcPr>
          <w:p>
            <w:pPr>
              <w:spacing w:line="44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ascii="宋体" w:hAnsi="宋体"/>
                <w:sz w:val="24"/>
                <w:highlight w:val="none"/>
              </w:rPr>
            </w:pPr>
            <w:r>
              <w:rPr>
                <w:rFonts w:ascii="宋体" w:hAnsi="宋体"/>
                <w:sz w:val="24"/>
                <w:highlight w:val="none"/>
              </w:rPr>
              <w:t>2</w:t>
            </w:r>
          </w:p>
        </w:tc>
        <w:tc>
          <w:tcPr>
            <w:tcW w:w="1330" w:type="dxa"/>
            <w:noWrap w:val="0"/>
            <w:vAlign w:val="top"/>
          </w:tcPr>
          <w:p>
            <w:pPr>
              <w:spacing w:line="440" w:lineRule="exact"/>
              <w:jc w:val="center"/>
              <w:rPr>
                <w:rFonts w:ascii="宋体" w:hAnsi="宋体"/>
                <w:sz w:val="24"/>
                <w:highlight w:val="none"/>
              </w:rPr>
            </w:pPr>
          </w:p>
        </w:tc>
        <w:tc>
          <w:tcPr>
            <w:tcW w:w="2040" w:type="dxa"/>
            <w:noWrap w:val="0"/>
            <w:vAlign w:val="top"/>
          </w:tcPr>
          <w:p>
            <w:pPr>
              <w:spacing w:line="440" w:lineRule="exact"/>
              <w:jc w:val="center"/>
              <w:rPr>
                <w:rFonts w:ascii="宋体" w:hAnsi="宋体"/>
                <w:sz w:val="24"/>
                <w:highlight w:val="none"/>
              </w:rPr>
            </w:pPr>
          </w:p>
        </w:tc>
        <w:tc>
          <w:tcPr>
            <w:tcW w:w="1939" w:type="dxa"/>
            <w:noWrap w:val="0"/>
            <w:vAlign w:val="top"/>
          </w:tcPr>
          <w:p>
            <w:pPr>
              <w:spacing w:line="440" w:lineRule="exact"/>
              <w:jc w:val="center"/>
              <w:rPr>
                <w:rFonts w:ascii="宋体" w:hAnsi="宋体"/>
                <w:sz w:val="24"/>
                <w:highlight w:val="none"/>
              </w:rPr>
            </w:pPr>
          </w:p>
        </w:tc>
        <w:tc>
          <w:tcPr>
            <w:tcW w:w="1799" w:type="dxa"/>
            <w:noWrap w:val="0"/>
            <w:vAlign w:val="top"/>
          </w:tcPr>
          <w:p>
            <w:pPr>
              <w:spacing w:line="440" w:lineRule="exact"/>
              <w:jc w:val="center"/>
              <w:rPr>
                <w:rFonts w:ascii="宋体" w:hAnsi="宋体"/>
                <w:sz w:val="24"/>
                <w:highlight w:val="none"/>
              </w:rPr>
            </w:pPr>
          </w:p>
        </w:tc>
        <w:tc>
          <w:tcPr>
            <w:tcW w:w="2006" w:type="dxa"/>
            <w:noWrap w:val="0"/>
            <w:vAlign w:val="top"/>
          </w:tcPr>
          <w:p>
            <w:pPr>
              <w:spacing w:line="44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highlight w:val="none"/>
              </w:rPr>
            </w:pPr>
            <w:r>
              <w:rPr>
                <w:rFonts w:ascii="宋体" w:hAnsi="宋体"/>
                <w:sz w:val="24"/>
                <w:highlight w:val="none"/>
              </w:rPr>
              <w:t>3</w:t>
            </w:r>
          </w:p>
        </w:tc>
        <w:tc>
          <w:tcPr>
            <w:tcW w:w="1330" w:type="dxa"/>
            <w:noWrap w:val="0"/>
            <w:vAlign w:val="top"/>
          </w:tcPr>
          <w:p>
            <w:pPr>
              <w:spacing w:line="440" w:lineRule="exact"/>
              <w:jc w:val="center"/>
              <w:rPr>
                <w:rFonts w:ascii="宋体" w:hAnsi="宋体"/>
                <w:sz w:val="24"/>
                <w:highlight w:val="none"/>
              </w:rPr>
            </w:pPr>
          </w:p>
        </w:tc>
        <w:tc>
          <w:tcPr>
            <w:tcW w:w="2040" w:type="dxa"/>
            <w:noWrap w:val="0"/>
            <w:vAlign w:val="top"/>
          </w:tcPr>
          <w:p>
            <w:pPr>
              <w:spacing w:line="440" w:lineRule="exact"/>
              <w:jc w:val="center"/>
              <w:rPr>
                <w:rFonts w:ascii="宋体" w:hAnsi="宋体"/>
                <w:sz w:val="24"/>
                <w:highlight w:val="none"/>
              </w:rPr>
            </w:pPr>
          </w:p>
        </w:tc>
        <w:tc>
          <w:tcPr>
            <w:tcW w:w="1939" w:type="dxa"/>
            <w:noWrap w:val="0"/>
            <w:vAlign w:val="top"/>
          </w:tcPr>
          <w:p>
            <w:pPr>
              <w:spacing w:line="440" w:lineRule="exact"/>
              <w:jc w:val="center"/>
              <w:rPr>
                <w:rFonts w:ascii="宋体" w:hAnsi="宋体"/>
                <w:sz w:val="24"/>
                <w:highlight w:val="none"/>
              </w:rPr>
            </w:pPr>
          </w:p>
        </w:tc>
        <w:tc>
          <w:tcPr>
            <w:tcW w:w="1799" w:type="dxa"/>
            <w:noWrap w:val="0"/>
            <w:vAlign w:val="top"/>
          </w:tcPr>
          <w:p>
            <w:pPr>
              <w:spacing w:line="440" w:lineRule="exact"/>
              <w:jc w:val="center"/>
              <w:rPr>
                <w:rFonts w:ascii="宋体" w:hAnsi="宋体"/>
                <w:sz w:val="24"/>
                <w:highlight w:val="none"/>
              </w:rPr>
            </w:pPr>
          </w:p>
        </w:tc>
        <w:tc>
          <w:tcPr>
            <w:tcW w:w="2006" w:type="dxa"/>
            <w:noWrap w:val="0"/>
            <w:vAlign w:val="top"/>
          </w:tcPr>
          <w:p>
            <w:pPr>
              <w:spacing w:line="440" w:lineRule="exact"/>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ascii="宋体" w:hAnsi="宋体"/>
                <w:sz w:val="24"/>
                <w:highlight w:val="none"/>
              </w:rPr>
            </w:pPr>
            <w:r>
              <w:rPr>
                <w:rFonts w:hint="eastAsia" w:ascii="宋体" w:hAnsi="宋体"/>
                <w:sz w:val="24"/>
                <w:highlight w:val="none"/>
              </w:rPr>
              <w:t>…</w:t>
            </w:r>
          </w:p>
        </w:tc>
        <w:tc>
          <w:tcPr>
            <w:tcW w:w="1330" w:type="dxa"/>
            <w:noWrap w:val="0"/>
            <w:vAlign w:val="top"/>
          </w:tcPr>
          <w:p>
            <w:pPr>
              <w:spacing w:line="440" w:lineRule="exact"/>
              <w:jc w:val="center"/>
              <w:rPr>
                <w:rFonts w:ascii="宋体" w:hAnsi="宋体"/>
                <w:sz w:val="24"/>
                <w:highlight w:val="none"/>
              </w:rPr>
            </w:pPr>
          </w:p>
        </w:tc>
        <w:tc>
          <w:tcPr>
            <w:tcW w:w="2040" w:type="dxa"/>
            <w:noWrap w:val="0"/>
            <w:vAlign w:val="top"/>
          </w:tcPr>
          <w:p>
            <w:pPr>
              <w:spacing w:line="440" w:lineRule="exact"/>
              <w:jc w:val="center"/>
              <w:rPr>
                <w:rFonts w:ascii="宋体" w:hAnsi="宋体"/>
                <w:sz w:val="24"/>
                <w:highlight w:val="none"/>
              </w:rPr>
            </w:pPr>
          </w:p>
        </w:tc>
        <w:tc>
          <w:tcPr>
            <w:tcW w:w="1939" w:type="dxa"/>
            <w:noWrap w:val="0"/>
            <w:vAlign w:val="top"/>
          </w:tcPr>
          <w:p>
            <w:pPr>
              <w:spacing w:line="440" w:lineRule="exact"/>
              <w:jc w:val="center"/>
              <w:rPr>
                <w:rFonts w:ascii="宋体" w:hAnsi="宋体"/>
                <w:sz w:val="24"/>
                <w:highlight w:val="none"/>
              </w:rPr>
            </w:pPr>
          </w:p>
        </w:tc>
        <w:tc>
          <w:tcPr>
            <w:tcW w:w="1799" w:type="dxa"/>
            <w:noWrap w:val="0"/>
            <w:vAlign w:val="top"/>
          </w:tcPr>
          <w:p>
            <w:pPr>
              <w:spacing w:line="440" w:lineRule="exact"/>
              <w:jc w:val="center"/>
              <w:rPr>
                <w:rFonts w:ascii="宋体" w:hAnsi="宋体"/>
                <w:sz w:val="24"/>
                <w:highlight w:val="none"/>
              </w:rPr>
            </w:pPr>
          </w:p>
        </w:tc>
        <w:tc>
          <w:tcPr>
            <w:tcW w:w="2006" w:type="dxa"/>
            <w:noWrap w:val="0"/>
            <w:vAlign w:val="top"/>
          </w:tcPr>
          <w:p>
            <w:pPr>
              <w:spacing w:line="440" w:lineRule="exact"/>
              <w:jc w:val="center"/>
              <w:rPr>
                <w:rFonts w:ascii="宋体" w:hAnsi="宋体"/>
                <w:sz w:val="24"/>
                <w:highlight w:val="none"/>
              </w:rPr>
            </w:pPr>
          </w:p>
        </w:tc>
      </w:tr>
    </w:tbl>
    <w:p>
      <w:pPr>
        <w:spacing w:line="360" w:lineRule="auto"/>
        <w:rPr>
          <w:rFonts w:ascii="宋体" w:cs="宋体"/>
          <w:sz w:val="24"/>
          <w:szCs w:val="24"/>
          <w:highlight w:val="none"/>
        </w:rPr>
      </w:pPr>
      <w:r>
        <w:rPr>
          <w:rFonts w:hint="eastAsia" w:ascii="宋体" w:hAnsi="宋体" w:cs="宋体"/>
          <w:sz w:val="24"/>
          <w:szCs w:val="24"/>
          <w:highlight w:val="none"/>
        </w:rPr>
        <w:t>合计共</w:t>
      </w:r>
      <w:r>
        <w:rPr>
          <w:rFonts w:ascii="宋体" w:hAnsi="宋体" w:cs="宋体"/>
          <w:sz w:val="24"/>
          <w:szCs w:val="24"/>
          <w:highlight w:val="none"/>
          <w:u w:val="single"/>
        </w:rPr>
        <w:t xml:space="preserve">    </w:t>
      </w:r>
      <w:r>
        <w:rPr>
          <w:rFonts w:hint="eastAsia" w:ascii="宋体" w:hAnsi="宋体" w:cs="宋体"/>
          <w:sz w:val="24"/>
          <w:szCs w:val="24"/>
          <w:highlight w:val="none"/>
        </w:rPr>
        <w:t>人。</w:t>
      </w:r>
    </w:p>
    <w:p>
      <w:pPr>
        <w:spacing w:line="360" w:lineRule="auto"/>
        <w:rPr>
          <w:rFonts w:ascii="宋体" w:cs="宋体"/>
          <w:highlight w:val="none"/>
        </w:rPr>
      </w:pPr>
      <w:r>
        <w:rPr>
          <w:rFonts w:hint="eastAsia" w:ascii="宋体" w:hAnsi="宋体" w:cs="宋体"/>
          <w:sz w:val="24"/>
          <w:szCs w:val="24"/>
          <w:highlight w:val="none"/>
        </w:rPr>
        <w:t>注：此表不足可以按照格式扩展。</w:t>
      </w:r>
    </w:p>
    <w:p>
      <w:pPr>
        <w:spacing w:line="360" w:lineRule="auto"/>
        <w:jc w:val="right"/>
        <w:rPr>
          <w:rFonts w:ascii="宋体" w:cs="宋体"/>
          <w:sz w:val="24"/>
          <w:szCs w:val="24"/>
          <w:highlight w:val="none"/>
          <w:u w:val="single"/>
        </w:rPr>
      </w:pPr>
      <w:r>
        <w:rPr>
          <w:rFonts w:hint="eastAsia" w:ascii="宋体" w:hAnsi="宋体" w:cs="宋体"/>
          <w:sz w:val="24"/>
          <w:szCs w:val="24"/>
          <w:highlight w:val="none"/>
        </w:rPr>
        <w:t>被授权人签字：</w:t>
      </w:r>
    </w:p>
    <w:p>
      <w:pPr>
        <w:spacing w:line="360" w:lineRule="auto"/>
        <w:jc w:val="right"/>
        <w:rPr>
          <w:highlight w:val="none"/>
        </w:rPr>
      </w:pPr>
      <w:r>
        <w:rPr>
          <w:rFonts w:hint="eastAsia" w:ascii="宋体" w:hAnsi="宋体" w:cs="宋体"/>
          <w:sz w:val="24"/>
          <w:szCs w:val="24"/>
          <w:highlight w:val="none"/>
        </w:rPr>
        <w:t>投标人名称（加盖单位公章）：</w:t>
      </w:r>
    </w:p>
    <w:p>
      <w:pPr>
        <w:pStyle w:val="21"/>
        <w:jc w:val="right"/>
        <w:rPr>
          <w:highlight w:val="none"/>
        </w:rPr>
      </w:pPr>
      <w:r>
        <w:rPr>
          <w:rFonts w:hint="eastAsia"/>
          <w:highlight w:val="none"/>
        </w:rPr>
        <w:t>日期：</w:t>
      </w:r>
    </w:p>
    <w:p>
      <w:pPr>
        <w:jc w:val="left"/>
        <w:rPr>
          <w:rFonts w:hint="eastAsia" w:ascii="宋体" w:hAnsi="宋体"/>
          <w:b/>
          <w:bCs/>
          <w:sz w:val="30"/>
          <w:szCs w:val="30"/>
          <w:highlight w:val="none"/>
        </w:rPr>
      </w:pPr>
      <w:bookmarkStart w:id="226" w:name="_Toc44705299"/>
      <w:bookmarkStart w:id="227" w:name="_Toc44704931"/>
      <w:r>
        <w:rPr>
          <w:rFonts w:ascii="宋体" w:cs="宋体"/>
          <w:highlight w:val="none"/>
          <w:lang w:eastAsia="zh-CN"/>
        </w:rPr>
        <w:br w:type="page"/>
      </w:r>
      <w:r>
        <w:rPr>
          <w:rFonts w:hint="eastAsia" w:ascii="宋体" w:hAnsi="宋体"/>
          <w:b/>
          <w:bCs/>
          <w:sz w:val="30"/>
          <w:szCs w:val="30"/>
          <w:highlight w:val="none"/>
          <w:lang w:eastAsia="zh-CN"/>
        </w:rPr>
        <w:t>2.7.</w:t>
      </w:r>
      <w:r>
        <w:rPr>
          <w:rFonts w:hint="eastAsia" w:ascii="宋体" w:hAnsi="宋体"/>
          <w:b/>
          <w:bCs/>
          <w:sz w:val="30"/>
          <w:szCs w:val="30"/>
          <w:highlight w:val="none"/>
          <w:lang w:val="en-US" w:eastAsia="zh-CN"/>
        </w:rPr>
        <w:t>4</w:t>
      </w:r>
      <w:r>
        <w:rPr>
          <w:rFonts w:hint="eastAsia" w:ascii="宋体" w:hAnsi="宋体"/>
          <w:b/>
          <w:bCs/>
          <w:sz w:val="30"/>
          <w:szCs w:val="30"/>
          <w:highlight w:val="none"/>
        </w:rPr>
        <w:t>汽车维修设备一览表</w:t>
      </w:r>
    </w:p>
    <w:p>
      <w:pPr>
        <w:jc w:val="center"/>
        <w:rPr>
          <w:rFonts w:hint="eastAsia" w:ascii="宋体" w:hAnsi="宋体"/>
          <w:b/>
          <w:sz w:val="24"/>
          <w:highlight w:val="none"/>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992"/>
        <w:gridCol w:w="1228"/>
        <w:gridCol w:w="1118"/>
        <w:gridCol w:w="835"/>
        <w:gridCol w:w="1617"/>
        <w:gridCol w:w="1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center"/>
          </w:tcPr>
          <w:p>
            <w:pPr>
              <w:jc w:val="center"/>
              <w:rPr>
                <w:rFonts w:hint="eastAsia" w:ascii="宋体" w:hAnsi="宋体"/>
                <w:highlight w:val="none"/>
              </w:rPr>
            </w:pPr>
            <w:r>
              <w:rPr>
                <w:rFonts w:hint="eastAsia" w:ascii="宋体" w:hAnsi="宋体"/>
                <w:highlight w:val="none"/>
              </w:rPr>
              <w:t>序号</w:t>
            </w:r>
          </w:p>
        </w:tc>
        <w:tc>
          <w:tcPr>
            <w:tcW w:w="1103" w:type="pct"/>
            <w:noWrap w:val="0"/>
            <w:vAlign w:val="center"/>
          </w:tcPr>
          <w:p>
            <w:pPr>
              <w:jc w:val="center"/>
              <w:rPr>
                <w:rFonts w:hint="eastAsia" w:ascii="宋体" w:hAnsi="宋体"/>
                <w:highlight w:val="none"/>
              </w:rPr>
            </w:pPr>
            <w:r>
              <w:rPr>
                <w:rFonts w:hint="eastAsia" w:ascii="宋体" w:hAnsi="宋体"/>
                <w:highlight w:val="none"/>
              </w:rPr>
              <w:t>设备名称</w:t>
            </w:r>
          </w:p>
        </w:tc>
        <w:tc>
          <w:tcPr>
            <w:tcW w:w="680" w:type="pct"/>
            <w:noWrap w:val="0"/>
            <w:vAlign w:val="center"/>
          </w:tcPr>
          <w:p>
            <w:pPr>
              <w:jc w:val="center"/>
              <w:rPr>
                <w:rFonts w:hint="eastAsia" w:ascii="宋体" w:hAnsi="宋体"/>
                <w:highlight w:val="none"/>
              </w:rPr>
            </w:pPr>
            <w:r>
              <w:rPr>
                <w:rFonts w:hint="eastAsia" w:ascii="宋体" w:hAnsi="宋体"/>
                <w:highlight w:val="none"/>
              </w:rPr>
              <w:t>品牌型号</w:t>
            </w:r>
          </w:p>
        </w:tc>
        <w:tc>
          <w:tcPr>
            <w:tcW w:w="619" w:type="pct"/>
            <w:noWrap w:val="0"/>
            <w:vAlign w:val="center"/>
          </w:tcPr>
          <w:p>
            <w:pPr>
              <w:jc w:val="center"/>
              <w:rPr>
                <w:rFonts w:hint="eastAsia" w:ascii="宋体" w:hAnsi="宋体"/>
                <w:highlight w:val="none"/>
              </w:rPr>
            </w:pPr>
            <w:r>
              <w:rPr>
                <w:rFonts w:hint="eastAsia" w:ascii="宋体" w:hAnsi="宋体"/>
                <w:highlight w:val="none"/>
              </w:rPr>
              <w:t>产地</w:t>
            </w:r>
          </w:p>
        </w:tc>
        <w:tc>
          <w:tcPr>
            <w:tcW w:w="462" w:type="pct"/>
            <w:noWrap w:val="0"/>
            <w:vAlign w:val="center"/>
          </w:tcPr>
          <w:p>
            <w:pPr>
              <w:jc w:val="center"/>
              <w:rPr>
                <w:rFonts w:hint="eastAsia" w:ascii="宋体" w:hAnsi="宋体"/>
                <w:highlight w:val="none"/>
              </w:rPr>
            </w:pPr>
            <w:r>
              <w:rPr>
                <w:rFonts w:hint="eastAsia" w:ascii="宋体" w:hAnsi="宋体"/>
                <w:highlight w:val="none"/>
              </w:rPr>
              <w:t>数量</w:t>
            </w:r>
          </w:p>
        </w:tc>
        <w:tc>
          <w:tcPr>
            <w:tcW w:w="895" w:type="pct"/>
            <w:noWrap w:val="0"/>
            <w:vAlign w:val="center"/>
          </w:tcPr>
          <w:p>
            <w:pPr>
              <w:jc w:val="center"/>
              <w:rPr>
                <w:rFonts w:hint="eastAsia" w:ascii="宋体" w:hAnsi="宋体"/>
                <w:highlight w:val="none"/>
              </w:rPr>
            </w:pPr>
            <w:r>
              <w:rPr>
                <w:rFonts w:hint="eastAsia" w:ascii="宋体" w:hAnsi="宋体"/>
                <w:highlight w:val="none"/>
              </w:rPr>
              <w:t>功能</w:t>
            </w:r>
          </w:p>
        </w:tc>
        <w:tc>
          <w:tcPr>
            <w:tcW w:w="865" w:type="pct"/>
            <w:noWrap w:val="0"/>
            <w:vAlign w:val="center"/>
          </w:tcPr>
          <w:p>
            <w:pPr>
              <w:jc w:val="center"/>
              <w:rPr>
                <w:rFonts w:hint="eastAsia" w:ascii="宋体" w:hAnsi="宋体"/>
                <w:highlight w:val="none"/>
              </w:rPr>
            </w:pPr>
            <w:r>
              <w:rPr>
                <w:rFonts w:hint="eastAsia" w:ascii="宋体" w:hAnsi="宋体"/>
                <w:highlight w:val="none"/>
              </w:rPr>
              <w:t>详见彩图编号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6" w:type="pct"/>
            <w:noWrap w:val="0"/>
            <w:vAlign w:val="top"/>
          </w:tcPr>
          <w:p>
            <w:pPr>
              <w:spacing w:line="420" w:lineRule="exact"/>
              <w:rPr>
                <w:rFonts w:hint="eastAsia" w:ascii="宋体" w:hAnsi="宋体"/>
                <w:highlight w:val="none"/>
              </w:rPr>
            </w:pPr>
          </w:p>
        </w:tc>
        <w:tc>
          <w:tcPr>
            <w:tcW w:w="1103" w:type="pct"/>
            <w:noWrap w:val="0"/>
            <w:vAlign w:val="top"/>
          </w:tcPr>
          <w:p>
            <w:pPr>
              <w:spacing w:line="420" w:lineRule="exact"/>
              <w:rPr>
                <w:rFonts w:hint="eastAsia" w:ascii="宋体" w:hAnsi="宋体"/>
                <w:highlight w:val="none"/>
              </w:rPr>
            </w:pPr>
          </w:p>
        </w:tc>
        <w:tc>
          <w:tcPr>
            <w:tcW w:w="680" w:type="pct"/>
            <w:noWrap w:val="0"/>
            <w:vAlign w:val="top"/>
          </w:tcPr>
          <w:p>
            <w:pPr>
              <w:spacing w:line="420" w:lineRule="exact"/>
              <w:rPr>
                <w:rFonts w:hint="eastAsia" w:ascii="宋体" w:hAnsi="宋体"/>
                <w:b/>
                <w:bCs/>
                <w:highlight w:val="none"/>
              </w:rPr>
            </w:pPr>
          </w:p>
        </w:tc>
        <w:tc>
          <w:tcPr>
            <w:tcW w:w="619" w:type="pct"/>
            <w:noWrap w:val="0"/>
            <w:vAlign w:val="top"/>
          </w:tcPr>
          <w:p>
            <w:pPr>
              <w:spacing w:line="420" w:lineRule="exact"/>
              <w:rPr>
                <w:rFonts w:hint="eastAsia" w:ascii="宋体" w:hAnsi="宋体"/>
                <w:b/>
                <w:bCs/>
                <w:highlight w:val="none"/>
              </w:rPr>
            </w:pPr>
          </w:p>
        </w:tc>
        <w:tc>
          <w:tcPr>
            <w:tcW w:w="462" w:type="pct"/>
            <w:noWrap w:val="0"/>
            <w:vAlign w:val="top"/>
          </w:tcPr>
          <w:p>
            <w:pPr>
              <w:spacing w:line="420" w:lineRule="exact"/>
              <w:rPr>
                <w:rFonts w:hint="eastAsia" w:ascii="宋体" w:hAnsi="宋体"/>
                <w:b/>
                <w:bCs/>
                <w:highlight w:val="none"/>
              </w:rPr>
            </w:pPr>
          </w:p>
        </w:tc>
        <w:tc>
          <w:tcPr>
            <w:tcW w:w="895" w:type="pct"/>
            <w:noWrap w:val="0"/>
            <w:vAlign w:val="top"/>
          </w:tcPr>
          <w:p>
            <w:pPr>
              <w:spacing w:line="420" w:lineRule="exact"/>
              <w:rPr>
                <w:rFonts w:hint="eastAsia" w:ascii="宋体" w:hAnsi="宋体"/>
                <w:b/>
                <w:bCs/>
                <w:highlight w:val="none"/>
              </w:rPr>
            </w:pPr>
          </w:p>
        </w:tc>
        <w:tc>
          <w:tcPr>
            <w:tcW w:w="865" w:type="pct"/>
            <w:noWrap w:val="0"/>
            <w:vAlign w:val="top"/>
          </w:tcPr>
          <w:p>
            <w:pPr>
              <w:spacing w:line="420" w:lineRule="exact"/>
              <w:rPr>
                <w:rFonts w:hint="eastAsia" w:ascii="宋体" w:hAnsi="宋体"/>
                <w:b/>
                <w:bCs/>
                <w:highlight w:val="none"/>
              </w:rPr>
            </w:pPr>
          </w:p>
        </w:tc>
      </w:tr>
    </w:tbl>
    <w:p>
      <w:pPr>
        <w:spacing w:line="420" w:lineRule="exact"/>
        <w:rPr>
          <w:rFonts w:hint="eastAsia" w:ascii="宋体" w:hAnsi="宋体"/>
          <w:highlight w:val="none"/>
        </w:rPr>
      </w:pPr>
      <w:r>
        <w:rPr>
          <w:rFonts w:hint="eastAsia" w:ascii="宋体" w:hAnsi="宋体"/>
          <w:highlight w:val="none"/>
        </w:rPr>
        <w:t>注：1、如同一设备具有多种型号，须在此表中分开填写。如在本表格不能全部填写完，可按此表格格式自行划表填写。</w:t>
      </w:r>
    </w:p>
    <w:p>
      <w:pPr>
        <w:spacing w:line="420" w:lineRule="exact"/>
        <w:ind w:firstLine="420" w:firstLineChars="200"/>
        <w:rPr>
          <w:rFonts w:hint="eastAsia" w:ascii="宋体" w:hAnsi="宋体"/>
          <w:highlight w:val="none"/>
        </w:rPr>
      </w:pPr>
      <w:r>
        <w:rPr>
          <w:rFonts w:hint="eastAsia" w:ascii="宋体" w:hAnsi="宋体"/>
          <w:highlight w:val="none"/>
        </w:rPr>
        <w:t>2、其中包括消防设备、自有的施救车等。</w:t>
      </w:r>
    </w:p>
    <w:p>
      <w:pPr>
        <w:spacing w:line="420" w:lineRule="exact"/>
        <w:ind w:firstLine="420" w:firstLineChars="200"/>
        <w:rPr>
          <w:rFonts w:hint="eastAsia" w:ascii="宋体" w:hAnsi="宋体"/>
          <w:highlight w:val="none"/>
        </w:rPr>
      </w:pPr>
      <w:r>
        <w:rPr>
          <w:rFonts w:hint="eastAsia" w:ascii="宋体" w:hAnsi="宋体"/>
          <w:highlight w:val="none"/>
        </w:rPr>
        <w:t>3、主要设备须提供固定资产登记卡或设备购买发票复印件加盖公章。</w:t>
      </w:r>
    </w:p>
    <w:p>
      <w:pPr>
        <w:spacing w:line="420" w:lineRule="exact"/>
        <w:ind w:firstLine="420" w:firstLineChars="200"/>
        <w:rPr>
          <w:rFonts w:hint="eastAsia" w:ascii="宋体" w:hAnsi="宋体"/>
          <w:bCs/>
          <w:highlight w:val="none"/>
        </w:rPr>
      </w:pPr>
      <w:r>
        <w:rPr>
          <w:rFonts w:hint="eastAsia" w:ascii="宋体" w:hAnsi="宋体"/>
          <w:bCs/>
          <w:highlight w:val="none"/>
        </w:rPr>
        <w:t>4、施救车须提供机动车行驶证等复印件加盖公章。</w:t>
      </w:r>
    </w:p>
    <w:p>
      <w:pPr>
        <w:spacing w:line="420" w:lineRule="exact"/>
        <w:ind w:firstLine="420" w:firstLineChars="200"/>
        <w:rPr>
          <w:rFonts w:hint="eastAsia" w:ascii="宋体" w:hAnsi="宋体"/>
          <w:bCs/>
          <w:highlight w:val="none"/>
        </w:rPr>
      </w:pPr>
      <w:r>
        <w:rPr>
          <w:rFonts w:hint="eastAsia" w:ascii="宋体" w:hAnsi="宋体"/>
          <w:bCs/>
          <w:highlight w:val="none"/>
        </w:rPr>
        <w:t>5、投标人应在投标文件中，根据自身实际情况提供自有的汽车维修设备的实物彩色照片或图片，照片或图片的表面上要注明设备名称并排列成册，以方便评标委员会逐条对应评估。未提供相应照片或图片的，视同没有，将影响评委对其投标文件的评分。</w:t>
      </w:r>
    </w:p>
    <w:p>
      <w:pPr>
        <w:spacing w:line="420" w:lineRule="exact"/>
        <w:rPr>
          <w:rFonts w:hint="eastAsia" w:ascii="宋体" w:hAnsi="宋体"/>
          <w:highlight w:val="none"/>
        </w:rPr>
      </w:pPr>
    </w:p>
    <w:p>
      <w:pPr>
        <w:spacing w:line="460" w:lineRule="exact"/>
        <w:rPr>
          <w:rFonts w:hint="eastAsia" w:ascii="宋体" w:hAnsi="宋体"/>
          <w:sz w:val="24"/>
          <w:highlight w:val="none"/>
        </w:rPr>
      </w:pPr>
      <w:r>
        <w:rPr>
          <w:rFonts w:hint="eastAsia" w:ascii="宋体" w:hAnsi="宋体"/>
          <w:sz w:val="24"/>
          <w:highlight w:val="none"/>
        </w:rPr>
        <w:t>投标人（全称并加盖公章）：</w:t>
      </w:r>
      <w:r>
        <w:rPr>
          <w:rFonts w:hint="eastAsia" w:ascii="宋体" w:hAnsi="宋体"/>
          <w:sz w:val="24"/>
          <w:highlight w:val="none"/>
          <w:u w:val="single"/>
        </w:rPr>
        <w:t xml:space="preserve">              </w:t>
      </w:r>
    </w:p>
    <w:p>
      <w:pPr>
        <w:spacing w:line="460" w:lineRule="exact"/>
        <w:rPr>
          <w:rFonts w:hint="eastAsia" w:ascii="宋体" w:hAnsi="宋体"/>
          <w:sz w:val="24"/>
          <w:highlight w:val="none"/>
        </w:rPr>
      </w:pPr>
      <w:r>
        <w:rPr>
          <w:rFonts w:hint="eastAsia" w:ascii="宋体" w:hAnsi="宋体"/>
          <w:sz w:val="24"/>
          <w:highlight w:val="none"/>
        </w:rPr>
        <w:t>投标人代表（签字）：</w:t>
      </w:r>
      <w:r>
        <w:rPr>
          <w:rFonts w:hint="eastAsia" w:ascii="宋体" w:hAnsi="宋体"/>
          <w:sz w:val="24"/>
          <w:highlight w:val="none"/>
          <w:u w:val="single"/>
        </w:rPr>
        <w:t xml:space="preserve">              </w:t>
      </w:r>
    </w:p>
    <w:p>
      <w:pPr>
        <w:spacing w:line="460" w:lineRule="exact"/>
        <w:rPr>
          <w:rFonts w:hint="eastAsia" w:ascii="宋体" w:hAnsi="宋体"/>
          <w:sz w:val="24"/>
          <w:highlight w:val="none"/>
        </w:rPr>
      </w:pPr>
      <w:r>
        <w:rPr>
          <w:rFonts w:hint="eastAsia" w:ascii="宋体" w:hAnsi="宋体"/>
          <w:sz w:val="24"/>
          <w:highlight w:val="none"/>
        </w:rPr>
        <w:t>日期:201</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pPr>
        <w:rPr>
          <w:rFonts w:ascii="宋体" w:cs="宋体"/>
          <w:highlight w:val="none"/>
          <w:lang w:eastAsia="zh-CN"/>
        </w:rPr>
      </w:pPr>
    </w:p>
    <w:p>
      <w:pPr>
        <w:rPr>
          <w:rFonts w:ascii="宋体" w:hAnsi="宋体" w:cs="宋体"/>
          <w:szCs w:val="24"/>
          <w:highlight w:val="none"/>
          <w:lang w:eastAsia="zh-CN"/>
        </w:rPr>
      </w:pPr>
      <w:r>
        <w:rPr>
          <w:rFonts w:ascii="宋体" w:hAnsi="宋体" w:cs="宋体"/>
          <w:szCs w:val="24"/>
          <w:highlight w:val="none"/>
          <w:lang w:eastAsia="zh-CN"/>
        </w:rPr>
        <w:br w:type="page"/>
      </w:r>
    </w:p>
    <w:p>
      <w:pPr>
        <w:pStyle w:val="7"/>
        <w:rPr>
          <w:rFonts w:ascii="宋体" w:hAnsi="宋体" w:cs="宋体"/>
          <w:szCs w:val="24"/>
          <w:highlight w:val="none"/>
          <w:lang w:eastAsia="zh-CN"/>
        </w:rPr>
      </w:pPr>
      <w:r>
        <w:rPr>
          <w:rFonts w:ascii="宋体" w:hAnsi="宋体" w:cs="宋体"/>
          <w:szCs w:val="24"/>
          <w:highlight w:val="none"/>
          <w:lang w:eastAsia="zh-CN"/>
        </w:rPr>
        <w:t>2.7.</w:t>
      </w:r>
      <w:r>
        <w:rPr>
          <w:rFonts w:hint="eastAsia" w:ascii="宋体" w:hAnsi="宋体" w:cs="宋体"/>
          <w:szCs w:val="24"/>
          <w:highlight w:val="none"/>
          <w:lang w:val="en-US" w:eastAsia="zh-CN"/>
        </w:rPr>
        <w:t>5</w:t>
      </w:r>
      <w:r>
        <w:rPr>
          <w:rFonts w:hint="eastAsia" w:ascii="宋体" w:hAnsi="宋体" w:cs="宋体"/>
          <w:szCs w:val="24"/>
          <w:highlight w:val="none"/>
          <w:lang w:eastAsia="zh-CN"/>
        </w:rPr>
        <w:t>服务方案</w:t>
      </w:r>
      <w:r>
        <w:rPr>
          <w:rFonts w:ascii="宋体" w:cs="宋体"/>
          <w:szCs w:val="24"/>
          <w:highlight w:val="none"/>
          <w:lang w:eastAsia="zh-CN"/>
        </w:rPr>
        <w:t>-</w:t>
      </w:r>
      <w:r>
        <w:rPr>
          <w:rFonts w:hint="eastAsia" w:ascii="宋体" w:hAnsi="宋体" w:cs="宋体"/>
          <w:szCs w:val="24"/>
          <w:highlight w:val="none"/>
          <w:lang w:eastAsia="zh-CN"/>
        </w:rPr>
        <w:t>格式自拟</w:t>
      </w:r>
      <w:bookmarkEnd w:id="226"/>
      <w:bookmarkEnd w:id="227"/>
    </w:p>
    <w:p>
      <w:pPr>
        <w:spacing w:line="360" w:lineRule="auto"/>
        <w:ind w:firstLine="480" w:firstLineChars="200"/>
        <w:rPr>
          <w:rFonts w:ascii="宋体" w:cs="宋体"/>
          <w:bCs/>
          <w:kern w:val="0"/>
          <w:sz w:val="24"/>
          <w:szCs w:val="24"/>
          <w:highlight w:val="none"/>
        </w:rPr>
      </w:pPr>
    </w:p>
    <w:p>
      <w:pPr>
        <w:spacing w:line="360" w:lineRule="exact"/>
        <w:jc w:val="center"/>
        <w:rPr>
          <w:rFonts w:ascii="宋体" w:cs="宋体"/>
          <w:highlight w:val="none"/>
        </w:rPr>
      </w:pPr>
      <w:r>
        <w:rPr>
          <w:rFonts w:hint="eastAsia" w:ascii="宋体" w:cs="宋体"/>
          <w:bCs/>
          <w:kern w:val="0"/>
          <w:sz w:val="24"/>
          <w:szCs w:val="24"/>
          <w:highlight w:val="none"/>
        </w:rPr>
        <w:t>服务技术描述（服务方案、</w:t>
      </w:r>
      <w:r>
        <w:rPr>
          <w:rFonts w:ascii="宋体" w:hAnsi="宋体" w:eastAsia="宋体" w:cs="宋体"/>
          <w:sz w:val="24"/>
          <w:szCs w:val="24"/>
          <w:highlight w:val="none"/>
        </w:rPr>
        <w:t>管理制度</w:t>
      </w:r>
      <w:r>
        <w:rPr>
          <w:rFonts w:hint="eastAsia" w:ascii="宋体" w:hAnsi="宋体" w:cs="宋体"/>
          <w:sz w:val="24"/>
          <w:szCs w:val="24"/>
          <w:highlight w:val="none"/>
          <w:lang w:eastAsia="zh-CN"/>
        </w:rPr>
        <w:t>、</w:t>
      </w:r>
      <w:r>
        <w:rPr>
          <w:rFonts w:ascii="宋体" w:hAnsi="宋体" w:eastAsia="宋体" w:cs="宋体"/>
          <w:sz w:val="24"/>
          <w:szCs w:val="24"/>
          <w:highlight w:val="none"/>
        </w:rPr>
        <w:t>售后服务方案</w:t>
      </w:r>
      <w:r>
        <w:rPr>
          <w:rFonts w:hint="eastAsia" w:ascii="宋体" w:hAnsi="宋体" w:cs="宋体"/>
          <w:sz w:val="24"/>
          <w:szCs w:val="24"/>
          <w:highlight w:val="none"/>
          <w:lang w:val="en-US" w:eastAsia="zh-CN"/>
        </w:rPr>
        <w:t>等</w:t>
      </w:r>
      <w:r>
        <w:rPr>
          <w:rFonts w:hint="eastAsia" w:ascii="宋体" w:cs="宋体"/>
          <w:bCs/>
          <w:kern w:val="0"/>
          <w:sz w:val="24"/>
          <w:szCs w:val="24"/>
          <w:highlight w:val="none"/>
        </w:rPr>
        <w:t>）、招标文件技术需求部分要求提供的内容、综合说明、服务偏离表等。</w:t>
      </w: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rPr>
          <w:rFonts w:ascii="宋体" w:cs="宋体"/>
          <w:highlight w:val="none"/>
        </w:rPr>
      </w:pPr>
    </w:p>
    <w:p>
      <w:pPr>
        <w:spacing w:line="360" w:lineRule="auto"/>
        <w:jc w:val="right"/>
        <w:rPr>
          <w:rFonts w:ascii="宋体" w:cs="宋体"/>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投标人法定代表人或授权代表（签字</w:t>
      </w:r>
      <w:r>
        <w:rPr>
          <w:rFonts w:hint="eastAsia" w:ascii="宋体" w:hAnsi="宋体"/>
          <w:sz w:val="24"/>
          <w:highlight w:val="none"/>
        </w:rPr>
        <w:t>或盖章</w:t>
      </w:r>
      <w:r>
        <w:rPr>
          <w:rFonts w:hint="eastAsia" w:ascii="宋体" w:hAnsi="宋体" w:cs="宋体"/>
          <w:sz w:val="24"/>
          <w:szCs w:val="24"/>
          <w:highlight w:val="none"/>
        </w:rPr>
        <w:t>）：</w:t>
      </w:r>
    </w:p>
    <w:p>
      <w:pPr>
        <w:pStyle w:val="21"/>
        <w:rPr>
          <w:highlight w:val="none"/>
        </w:rPr>
      </w:pPr>
    </w:p>
    <w:p>
      <w:pPr>
        <w:spacing w:line="360" w:lineRule="auto"/>
        <w:jc w:val="right"/>
        <w:rPr>
          <w:rFonts w:ascii="宋体" w:cs="宋体"/>
          <w:sz w:val="24"/>
          <w:szCs w:val="24"/>
          <w:highlight w:val="none"/>
        </w:rPr>
      </w:pPr>
      <w:r>
        <w:rPr>
          <w:rFonts w:hint="eastAsia" w:ascii="宋体" w:hAnsi="宋体" w:cs="宋体"/>
          <w:sz w:val="24"/>
          <w:szCs w:val="24"/>
          <w:highlight w:val="none"/>
        </w:rPr>
        <w:t>投标人名称（加盖单位公章）：</w:t>
      </w:r>
    </w:p>
    <w:p>
      <w:pPr>
        <w:pStyle w:val="21"/>
        <w:rPr>
          <w:highlight w:val="none"/>
        </w:rPr>
      </w:pPr>
    </w:p>
    <w:p>
      <w:pPr>
        <w:spacing w:line="360" w:lineRule="auto"/>
        <w:jc w:val="right"/>
        <w:rPr>
          <w:rFonts w:ascii="宋体" w:hAnsi="宋体" w:cs="宋体"/>
          <w:sz w:val="24"/>
          <w:szCs w:val="24"/>
          <w:highlight w:val="none"/>
        </w:rPr>
      </w:pPr>
      <w:r>
        <w:rPr>
          <w:rFonts w:hint="eastAsia" w:ascii="宋体" w:hAnsi="宋体" w:cs="宋体"/>
          <w:sz w:val="24"/>
          <w:szCs w:val="24"/>
          <w:highlight w:val="none"/>
        </w:rPr>
        <w:t>日期：</w:t>
      </w:r>
    </w:p>
    <w:p>
      <w:pPr>
        <w:rPr>
          <w:highlight w:val="none"/>
        </w:rPr>
      </w:pPr>
      <w:r>
        <w:rPr>
          <w:rFonts w:hint="eastAsia" w:ascii="宋体" w:hAnsi="宋体" w:cs="宋体"/>
          <w:sz w:val="24"/>
          <w:szCs w:val="24"/>
          <w:highlight w:val="none"/>
        </w:rPr>
        <w:br w:type="page"/>
      </w:r>
    </w:p>
    <w:p>
      <w:pPr>
        <w:rPr>
          <w:rFonts w:ascii="宋体" w:hAnsi="宋体"/>
          <w:b/>
          <w:sz w:val="32"/>
          <w:szCs w:val="32"/>
          <w:highlight w:val="none"/>
        </w:rPr>
      </w:pPr>
      <w:r>
        <w:rPr>
          <w:rFonts w:hint="eastAsia" w:ascii="宋体" w:hAnsi="宋体" w:eastAsia="宋体" w:cs="宋体"/>
          <w:b/>
          <w:bCs/>
          <w:kern w:val="0"/>
          <w:sz w:val="28"/>
          <w:szCs w:val="24"/>
          <w:highlight w:val="none"/>
          <w:lang w:val="en-US" w:eastAsia="zh-CN" w:bidi="ar-SA"/>
        </w:rPr>
        <w:t>2.7.</w:t>
      </w:r>
      <w:r>
        <w:rPr>
          <w:rFonts w:hint="eastAsia" w:ascii="宋体" w:hAnsi="宋体" w:cs="宋体"/>
          <w:b/>
          <w:bCs/>
          <w:kern w:val="0"/>
          <w:sz w:val="28"/>
          <w:szCs w:val="24"/>
          <w:highlight w:val="none"/>
          <w:lang w:val="en-US" w:eastAsia="zh-CN" w:bidi="ar-SA"/>
        </w:rPr>
        <w:t xml:space="preserve">6  </w:t>
      </w:r>
      <w:r>
        <w:rPr>
          <w:rFonts w:hint="eastAsia" w:ascii="宋体" w:hAnsi="宋体" w:eastAsia="宋体" w:cs="宋体"/>
          <w:b/>
          <w:bCs/>
          <w:kern w:val="0"/>
          <w:sz w:val="28"/>
          <w:szCs w:val="24"/>
          <w:highlight w:val="none"/>
          <w:lang w:val="en-US" w:eastAsia="zh-CN" w:bidi="ar-SA"/>
        </w:rPr>
        <w:t>保密承诺函</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招标人：乌鲁木齐市公安局高新技术产业开发区（新市区）分局</w:t>
      </w:r>
    </w:p>
    <w:p>
      <w:pPr>
        <w:spacing w:line="360" w:lineRule="auto"/>
        <w:ind w:firstLine="480" w:firstLineChars="200"/>
        <w:rPr>
          <w:rFonts w:hint="eastAsia" w:ascii="宋体" w:cs="宋体"/>
          <w:bCs/>
          <w:kern w:val="0"/>
          <w:sz w:val="24"/>
          <w:szCs w:val="24"/>
          <w:highlight w:val="none"/>
          <w:lang w:eastAsia="zh-CN"/>
        </w:rPr>
      </w:pPr>
      <w:r>
        <w:rPr>
          <w:rFonts w:hint="eastAsia" w:ascii="宋体" w:cs="宋体"/>
          <w:bCs/>
          <w:kern w:val="0"/>
          <w:sz w:val="24"/>
          <w:szCs w:val="24"/>
          <w:highlight w:val="none"/>
        </w:rPr>
        <w:t>招标代理机构：</w:t>
      </w:r>
      <w:r>
        <w:rPr>
          <w:rFonts w:hint="eastAsia" w:ascii="宋体" w:cs="宋体"/>
          <w:bCs/>
          <w:kern w:val="0"/>
          <w:sz w:val="24"/>
          <w:szCs w:val="24"/>
          <w:highlight w:val="none"/>
          <w:lang w:eastAsia="zh-CN"/>
        </w:rPr>
        <w:t>乌鲁木齐高新建设工程项目管理咨询有限公司</w:t>
      </w:r>
    </w:p>
    <w:p>
      <w:pPr>
        <w:spacing w:line="360" w:lineRule="auto"/>
        <w:ind w:firstLine="480" w:firstLineChars="200"/>
        <w:rPr>
          <w:rFonts w:hint="eastAsia" w:ascii="宋体" w:cs="宋体"/>
          <w:bCs/>
          <w:kern w:val="0"/>
          <w:sz w:val="24"/>
          <w:szCs w:val="24"/>
          <w:highlight w:val="none"/>
          <w:lang w:eastAsia="zh-CN"/>
        </w:rPr>
      </w:pPr>
      <w:r>
        <w:rPr>
          <w:rFonts w:hint="eastAsia" w:ascii="宋体" w:cs="宋体"/>
          <w:bCs/>
          <w:kern w:val="0"/>
          <w:sz w:val="24"/>
          <w:szCs w:val="24"/>
          <w:highlight w:val="none"/>
          <w:lang w:eastAsia="zh-CN"/>
        </w:rPr>
        <w:t>项目名称：</w:t>
      </w:r>
      <w:r>
        <w:rPr>
          <w:rFonts w:hint="eastAsia" w:ascii="宋体" w:cs="宋体"/>
          <w:bCs/>
          <w:kern w:val="0"/>
          <w:sz w:val="24"/>
          <w:szCs w:val="24"/>
          <w:highlight w:val="none"/>
          <w:lang w:val="en-US" w:eastAsia="zh-CN"/>
        </w:rPr>
        <w:t xml:space="preserve"> </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因</w:t>
      </w:r>
      <w:r>
        <w:rPr>
          <w:rFonts w:hint="eastAsia" w:ascii="宋体" w:cs="宋体"/>
          <w:bCs/>
          <w:kern w:val="0"/>
          <w:sz w:val="24"/>
          <w:szCs w:val="24"/>
          <w:highlight w:val="none"/>
          <w:lang w:eastAsia="zh-CN"/>
        </w:rPr>
        <w:t>我方</w:t>
      </w:r>
      <w:r>
        <w:rPr>
          <w:rFonts w:hint="eastAsia" w:ascii="宋体" w:cs="宋体"/>
          <w:bCs/>
          <w:kern w:val="0"/>
          <w:sz w:val="24"/>
          <w:szCs w:val="24"/>
          <w:highlight w:val="none"/>
        </w:rPr>
        <w:t>将要为</w:t>
      </w:r>
      <w:r>
        <w:rPr>
          <w:rFonts w:hint="eastAsia" w:ascii="宋体" w:cs="宋体"/>
          <w:bCs/>
          <w:kern w:val="0"/>
          <w:sz w:val="24"/>
          <w:szCs w:val="24"/>
          <w:highlight w:val="none"/>
          <w:lang w:eastAsia="zh-CN"/>
        </w:rPr>
        <w:t>（</w:t>
      </w:r>
      <w:r>
        <w:rPr>
          <w:rFonts w:hint="eastAsia" w:ascii="宋体" w:cs="宋体"/>
          <w:bCs/>
          <w:kern w:val="0"/>
          <w:sz w:val="24"/>
          <w:szCs w:val="24"/>
          <w:highlight w:val="none"/>
          <w:lang w:val="en-US" w:eastAsia="zh-CN"/>
        </w:rPr>
        <w:t>或可能要为</w:t>
      </w:r>
      <w:r>
        <w:rPr>
          <w:rFonts w:hint="eastAsia" w:ascii="宋体" w:cs="宋体"/>
          <w:bCs/>
          <w:kern w:val="0"/>
          <w:sz w:val="24"/>
          <w:szCs w:val="24"/>
          <w:highlight w:val="none"/>
          <w:lang w:eastAsia="zh-CN"/>
        </w:rPr>
        <w:t>）</w:t>
      </w:r>
      <w:r>
        <w:rPr>
          <w:rFonts w:hint="eastAsia" w:ascii="宋体" w:cs="宋体"/>
          <w:bCs/>
          <w:kern w:val="0"/>
          <w:sz w:val="24"/>
          <w:szCs w:val="24"/>
          <w:highlight w:val="none"/>
        </w:rPr>
        <w:t>甲方提供服务和履行职务，已经（或将要）知悉甲方的国家机密。为了明确</w:t>
      </w:r>
      <w:r>
        <w:rPr>
          <w:rFonts w:hint="eastAsia" w:ascii="宋体" w:cs="宋体"/>
          <w:bCs/>
          <w:kern w:val="0"/>
          <w:sz w:val="24"/>
          <w:szCs w:val="24"/>
          <w:highlight w:val="none"/>
          <w:lang w:eastAsia="zh-CN"/>
        </w:rPr>
        <w:t>我方</w:t>
      </w:r>
      <w:r>
        <w:rPr>
          <w:rFonts w:hint="eastAsia" w:ascii="宋体" w:cs="宋体"/>
          <w:bCs/>
          <w:kern w:val="0"/>
          <w:sz w:val="24"/>
          <w:szCs w:val="24"/>
          <w:highlight w:val="none"/>
        </w:rPr>
        <w:t>的保密义务，有效保护甲方的国家机密，防止该国家机密被公开披露或以任何形式泄漏，根据国家、地方政府有关规定，我方承诺：</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一、本项目保密信息包括：技术信息、专有技术、经营信息和甲方列为绝密、机密级的各项文件。</w:t>
      </w:r>
      <w:r>
        <w:rPr>
          <w:rFonts w:hint="eastAsia" w:ascii="宋体" w:cs="宋体"/>
          <w:bCs/>
          <w:kern w:val="0"/>
          <w:sz w:val="24"/>
          <w:szCs w:val="24"/>
          <w:highlight w:val="none"/>
          <w:lang w:eastAsia="zh-CN"/>
        </w:rPr>
        <w:t>我方</w:t>
      </w:r>
      <w:r>
        <w:rPr>
          <w:rFonts w:hint="eastAsia" w:ascii="宋体" w:cs="宋体"/>
          <w:bCs/>
          <w:kern w:val="0"/>
          <w:sz w:val="24"/>
          <w:szCs w:val="24"/>
          <w:highlight w:val="none"/>
        </w:rPr>
        <w:t>对此保密信息承担保密义务。上述保密信息可以以数据、文字、图片及记载上述内容的资料、光盘、软件、图书等有型媒介体现，也可通过口头等视听形式传递。</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二、权利与义务：</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（1）我方对其因身份、职务、职业或技术关系而知悉的甲方国家机密应严格保守，保证不被披露或使用，包括意外或过失。即使这些信息甚至可能是全部地由我方因工作而构思或取得的。</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2）在服务关系存续期间，我方未经授权，不得以竞争为目的、或出于私利、或为第三人谋利、或为故意加害于甲方，擅自披露、使用国家机密、制造再现国家机密的器材、取走与国家机密有关的物件；不得直接或间接地向任何第三人泄露；不得向不承担保密义务的任何第三人披露甲方的国家机密；不得允许或协助不承担保密义务的任何第三人使用甲方的国家机密；不得复制或公开包含甲方国家机密的文件或文件副本；对因工作所保管、接触的有关的文件应妥善对待，未经许可不得超出工作范围使用。</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三、违约责任：</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（1）我方违反保密义务，追究我方刑事责任。</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（2）我方如将国家机密泄露给第三人或使用国家机密使甲方遭受损失的，我方将对甲方进行赔偿，其赔偿数额不少于由于其违反义务所给甲方带来的损失，并追究其刑事责任。</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（3）因我方恶意泄露国家机密给甲方造成严重后果的，甲方将通过</w:t>
      </w:r>
      <w:r>
        <w:rPr>
          <w:rFonts w:hint="eastAsia" w:ascii="宋体" w:cs="宋体"/>
          <w:bCs/>
          <w:kern w:val="0"/>
          <w:sz w:val="24"/>
          <w:szCs w:val="24"/>
          <w:highlight w:val="none"/>
        </w:rPr>
        <w:fldChar w:fldCharType="begin"/>
      </w:r>
      <w:r>
        <w:rPr>
          <w:rFonts w:hint="eastAsia" w:ascii="宋体" w:cs="宋体"/>
          <w:bCs/>
          <w:kern w:val="0"/>
          <w:sz w:val="24"/>
          <w:szCs w:val="24"/>
          <w:highlight w:val="none"/>
        </w:rPr>
        <w:instrText xml:space="preserve"> HYPERLINK "http://www.chinalawedu.com/" \t "_blank" \o "法律" </w:instrText>
      </w:r>
      <w:r>
        <w:rPr>
          <w:rFonts w:hint="eastAsia" w:ascii="宋体" w:cs="宋体"/>
          <w:bCs/>
          <w:kern w:val="0"/>
          <w:sz w:val="24"/>
          <w:szCs w:val="24"/>
          <w:highlight w:val="none"/>
        </w:rPr>
        <w:fldChar w:fldCharType="separate"/>
      </w:r>
      <w:r>
        <w:rPr>
          <w:rFonts w:hint="eastAsia" w:ascii="宋体" w:cs="宋体"/>
          <w:bCs/>
          <w:kern w:val="0"/>
          <w:sz w:val="24"/>
          <w:szCs w:val="24"/>
          <w:highlight w:val="none"/>
        </w:rPr>
        <w:t>法律</w:t>
      </w:r>
      <w:r>
        <w:rPr>
          <w:rFonts w:hint="eastAsia" w:ascii="宋体" w:cs="宋体"/>
          <w:bCs/>
          <w:kern w:val="0"/>
          <w:sz w:val="24"/>
          <w:szCs w:val="24"/>
          <w:highlight w:val="none"/>
        </w:rPr>
        <w:fldChar w:fldCharType="end"/>
      </w:r>
      <w:r>
        <w:rPr>
          <w:rFonts w:hint="eastAsia" w:ascii="宋体" w:cs="宋体"/>
          <w:bCs/>
          <w:kern w:val="0"/>
          <w:sz w:val="24"/>
          <w:szCs w:val="24"/>
          <w:highlight w:val="none"/>
        </w:rPr>
        <w:t>手段追究其侵权责任及刑事责任。</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四、若双方发生争议，交由人</w:t>
      </w:r>
      <w:r>
        <w:rPr>
          <w:rFonts w:hint="eastAsia" w:ascii="宋体" w:cs="宋体"/>
          <w:bCs/>
          <w:kern w:val="0"/>
          <w:sz w:val="24"/>
          <w:szCs w:val="24"/>
          <w:highlight w:val="none"/>
        </w:rPr>
        <w:fldChar w:fldCharType="begin"/>
      </w:r>
      <w:r>
        <w:rPr>
          <w:rFonts w:hint="eastAsia" w:ascii="宋体" w:cs="宋体"/>
          <w:bCs/>
          <w:kern w:val="0"/>
          <w:sz w:val="24"/>
          <w:szCs w:val="24"/>
          <w:highlight w:val="none"/>
        </w:rPr>
        <w:instrText xml:space="preserve"> HYPERLINK "http://www.chinalawedu.com/sifakaoshi/ziliao/minfa/" \t "_blank" \o "民法" </w:instrText>
      </w:r>
      <w:r>
        <w:rPr>
          <w:rFonts w:hint="eastAsia" w:ascii="宋体" w:cs="宋体"/>
          <w:bCs/>
          <w:kern w:val="0"/>
          <w:sz w:val="24"/>
          <w:szCs w:val="24"/>
          <w:highlight w:val="none"/>
        </w:rPr>
        <w:fldChar w:fldCharType="separate"/>
      </w:r>
      <w:r>
        <w:rPr>
          <w:rFonts w:hint="eastAsia" w:ascii="宋体" w:cs="宋体"/>
          <w:bCs/>
          <w:kern w:val="0"/>
          <w:sz w:val="24"/>
          <w:szCs w:val="24"/>
          <w:highlight w:val="none"/>
        </w:rPr>
        <w:t>民法</w:t>
      </w:r>
      <w:r>
        <w:rPr>
          <w:rFonts w:hint="eastAsia" w:ascii="宋体" w:cs="宋体"/>
          <w:bCs/>
          <w:kern w:val="0"/>
          <w:sz w:val="24"/>
          <w:szCs w:val="24"/>
          <w:highlight w:val="none"/>
        </w:rPr>
        <w:fldChar w:fldCharType="end"/>
      </w:r>
      <w:r>
        <w:rPr>
          <w:rFonts w:hint="eastAsia" w:ascii="宋体" w:cs="宋体"/>
          <w:bCs/>
          <w:kern w:val="0"/>
          <w:sz w:val="24"/>
          <w:szCs w:val="24"/>
          <w:highlight w:val="none"/>
        </w:rPr>
        <w:t>院诉讼解决。</w:t>
      </w: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　　特此承诺</w:t>
      </w:r>
    </w:p>
    <w:p>
      <w:pPr>
        <w:spacing w:line="360" w:lineRule="auto"/>
        <w:ind w:firstLine="480" w:firstLineChars="200"/>
        <w:rPr>
          <w:rFonts w:hint="eastAsia" w:ascii="宋体" w:cs="宋体"/>
          <w:bCs/>
          <w:kern w:val="0"/>
          <w:sz w:val="24"/>
          <w:szCs w:val="24"/>
          <w:highlight w:val="none"/>
        </w:rPr>
      </w:pP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投标人名称（加盖单位公章）：</w:t>
      </w:r>
    </w:p>
    <w:p>
      <w:pPr>
        <w:spacing w:line="360" w:lineRule="auto"/>
        <w:ind w:firstLine="480" w:firstLineChars="200"/>
        <w:rPr>
          <w:rFonts w:hint="eastAsia" w:ascii="宋体" w:cs="宋体"/>
          <w:bCs/>
          <w:kern w:val="0"/>
          <w:sz w:val="24"/>
          <w:szCs w:val="24"/>
          <w:highlight w:val="none"/>
        </w:rPr>
      </w:pPr>
    </w:p>
    <w:p>
      <w:pPr>
        <w:spacing w:line="360" w:lineRule="auto"/>
        <w:ind w:firstLine="480" w:firstLineChars="200"/>
        <w:rPr>
          <w:rFonts w:hint="eastAsia" w:ascii="宋体" w:cs="宋体"/>
          <w:bCs/>
          <w:kern w:val="0"/>
          <w:sz w:val="24"/>
          <w:szCs w:val="24"/>
          <w:highlight w:val="none"/>
        </w:rPr>
      </w:pPr>
      <w:r>
        <w:rPr>
          <w:rFonts w:hint="eastAsia" w:ascii="宋体" w:cs="宋体"/>
          <w:bCs/>
          <w:kern w:val="0"/>
          <w:sz w:val="24"/>
          <w:szCs w:val="24"/>
          <w:highlight w:val="none"/>
        </w:rPr>
        <w:t>投标人法定代表人或授权代表（签字或盖章）：</w:t>
      </w:r>
    </w:p>
    <w:p>
      <w:pPr>
        <w:jc w:val="both"/>
        <w:rPr>
          <w:rFonts w:hint="eastAsia" w:ascii="宋体" w:hAnsi="宋体"/>
          <w:sz w:val="28"/>
          <w:szCs w:val="28"/>
          <w:highlight w:val="none"/>
        </w:rPr>
      </w:pPr>
    </w:p>
    <w:p>
      <w:pPr>
        <w:ind w:firstLine="2520" w:firstLineChars="900"/>
        <w:jc w:val="both"/>
        <w:rPr>
          <w:rFonts w:ascii="宋体" w:hAnsi="宋体"/>
          <w:sz w:val="28"/>
          <w:szCs w:val="28"/>
          <w:highlight w:val="none"/>
        </w:rPr>
      </w:pPr>
      <w:r>
        <w:rPr>
          <w:rFonts w:hint="eastAsia" w:ascii="宋体" w:hAnsi="宋体"/>
          <w:sz w:val="28"/>
          <w:szCs w:val="28"/>
          <w:highlight w:val="none"/>
        </w:rPr>
        <w:t>日</w:t>
      </w:r>
      <w:r>
        <w:rPr>
          <w:rFonts w:hint="eastAsia" w:ascii="宋体" w:hAnsi="宋体"/>
          <w:sz w:val="28"/>
          <w:szCs w:val="28"/>
          <w:highlight w:val="none"/>
          <w:lang w:val="en-US" w:eastAsia="zh-CN"/>
        </w:rPr>
        <w:t xml:space="preserve"> </w:t>
      </w:r>
      <w:r>
        <w:rPr>
          <w:rFonts w:hint="eastAsia" w:ascii="宋体" w:hAnsi="宋体"/>
          <w:sz w:val="28"/>
          <w:szCs w:val="28"/>
          <w:highlight w:val="none"/>
        </w:rPr>
        <w:t>期</w:t>
      </w:r>
      <w:r>
        <w:rPr>
          <w:rFonts w:hint="eastAsia" w:ascii="宋体" w:hAnsi="宋体"/>
          <w:sz w:val="28"/>
          <w:szCs w:val="28"/>
          <w:highlight w:val="none"/>
          <w:lang w:val="en-US" w:eastAsia="zh-CN"/>
        </w:rPr>
        <w:t xml:space="preserve"> </w:t>
      </w:r>
      <w:r>
        <w:rPr>
          <w:rFonts w:hint="eastAsia" w:ascii="宋体" w:hAnsi="宋体"/>
          <w:sz w:val="28"/>
          <w:szCs w:val="28"/>
          <w:highlight w:val="none"/>
        </w:rPr>
        <w:t>：</w:t>
      </w:r>
    </w:p>
    <w:p>
      <w:pPr>
        <w:rPr>
          <w:rFonts w:ascii="宋体" w:hAnsi="宋体"/>
          <w:sz w:val="28"/>
          <w:szCs w:val="28"/>
          <w:highlight w:val="none"/>
        </w:rPr>
      </w:pPr>
    </w:p>
    <w:p>
      <w:pPr>
        <w:rPr>
          <w:rFonts w:ascii="宋体" w:hAnsi="宋体" w:cs="宋体"/>
          <w:szCs w:val="24"/>
          <w:highlight w:val="none"/>
          <w:lang w:eastAsia="zh-CN"/>
        </w:rPr>
      </w:pPr>
    </w:p>
    <w:p>
      <w:pPr>
        <w:rPr>
          <w:rFonts w:ascii="宋体" w:hAnsi="宋体" w:cs="宋体"/>
          <w:szCs w:val="24"/>
          <w:highlight w:val="none"/>
          <w:lang w:eastAsia="zh-CN"/>
        </w:rPr>
      </w:pPr>
      <w:r>
        <w:rPr>
          <w:rFonts w:ascii="宋体" w:hAnsi="宋体" w:cs="宋体"/>
          <w:szCs w:val="24"/>
          <w:highlight w:val="none"/>
          <w:lang w:eastAsia="zh-CN"/>
        </w:rPr>
        <w:br w:type="page"/>
      </w:r>
    </w:p>
    <w:p>
      <w:pPr>
        <w:pStyle w:val="7"/>
        <w:rPr>
          <w:rFonts w:ascii="宋体" w:cs="宋体"/>
          <w:b w:val="0"/>
          <w:sz w:val="32"/>
          <w:szCs w:val="32"/>
          <w:highlight w:val="none"/>
          <w:lang w:eastAsia="zh-CN"/>
        </w:rPr>
      </w:pPr>
      <w:r>
        <w:rPr>
          <w:rFonts w:ascii="宋体" w:hAnsi="宋体" w:cs="宋体"/>
          <w:szCs w:val="24"/>
          <w:highlight w:val="none"/>
          <w:lang w:eastAsia="zh-CN"/>
        </w:rPr>
        <w:t>2.7.</w:t>
      </w:r>
      <w:r>
        <w:rPr>
          <w:rFonts w:hint="eastAsia" w:ascii="宋体" w:hAnsi="宋体" w:cs="宋体"/>
          <w:szCs w:val="24"/>
          <w:highlight w:val="none"/>
          <w:lang w:val="en-US" w:eastAsia="zh-CN"/>
        </w:rPr>
        <w:t>7</w:t>
      </w:r>
      <w:r>
        <w:rPr>
          <w:rFonts w:hint="eastAsia" w:ascii="宋体" w:hAnsi="宋体" w:cs="宋体"/>
          <w:szCs w:val="24"/>
          <w:highlight w:val="none"/>
          <w:lang w:eastAsia="zh-CN"/>
        </w:rPr>
        <w:t>中小企业声明函</w:t>
      </w:r>
      <w:r>
        <w:rPr>
          <w:rFonts w:hint="eastAsia" w:ascii="宋体" w:hAnsi="宋体" w:cs="宋体"/>
          <w:b w:val="0"/>
          <w:highlight w:val="none"/>
          <w:lang w:eastAsia="zh-CN"/>
        </w:rPr>
        <w:t>（格式，不符合条件无须提交）</w:t>
      </w:r>
    </w:p>
    <w:p>
      <w:pPr>
        <w:tabs>
          <w:tab w:val="left" w:pos="720"/>
        </w:tabs>
        <w:autoSpaceDE w:val="0"/>
        <w:autoSpaceDN w:val="0"/>
        <w:adjustRightInd w:val="0"/>
        <w:spacing w:line="360" w:lineRule="auto"/>
        <w:ind w:right="17"/>
        <w:jc w:val="left"/>
        <w:rPr>
          <w:rFonts w:ascii="宋体" w:cs="宋体"/>
          <w:sz w:val="24"/>
          <w:highlight w:val="none"/>
        </w:rPr>
      </w:pPr>
    </w:p>
    <w:p>
      <w:pPr>
        <w:pStyle w:val="6"/>
        <w:spacing w:before="0" w:after="0" w:line="480" w:lineRule="auto"/>
        <w:ind w:firstLine="2276" w:firstLineChars="900"/>
        <w:rPr>
          <w:rFonts w:ascii="宋体" w:hAnsi="宋体"/>
          <w:bCs w:val="0"/>
          <w:kern w:val="0"/>
          <w:sz w:val="24"/>
          <w:szCs w:val="24"/>
          <w:highlight w:val="none"/>
        </w:rPr>
      </w:pPr>
      <w:r>
        <w:rPr>
          <w:rFonts w:hint="eastAsia" w:ascii="宋体" w:hAnsi="宋体" w:cs="宋体"/>
          <w:bCs w:val="0"/>
          <w:spacing w:val="6"/>
          <w:sz w:val="24"/>
          <w:szCs w:val="20"/>
          <w:highlight w:val="none"/>
          <w:shd w:val="clear" w:color="auto" w:fill="FFFFFF"/>
        </w:rPr>
        <w:t>中小企业声明函（工程、服务）</w:t>
      </w:r>
    </w:p>
    <w:p>
      <w:pPr>
        <w:pStyle w:val="6"/>
        <w:spacing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rPr>
        <w:t>本公司（联合体）郑重声明，根据《政府采购促进中小企业发展管理办法》（财库﹝2020﹞46 号）的规定，本公司（联合体）参加</w:t>
      </w:r>
      <w:r>
        <w:rPr>
          <w:rFonts w:hint="eastAsia" w:ascii="宋体" w:hAnsi="宋体"/>
          <w:b w:val="0"/>
          <w:bCs w:val="0"/>
          <w:sz w:val="24"/>
          <w:szCs w:val="24"/>
          <w:highlight w:val="none"/>
          <w:u w:val="single"/>
        </w:rPr>
        <w:t>（单位名称）</w:t>
      </w:r>
      <w:r>
        <w:rPr>
          <w:rFonts w:hint="eastAsia" w:ascii="宋体" w:hAnsi="宋体"/>
          <w:b w:val="0"/>
          <w:bCs w:val="0"/>
          <w:sz w:val="24"/>
          <w:szCs w:val="24"/>
          <w:highlight w:val="none"/>
        </w:rPr>
        <w:t>的</w:t>
      </w:r>
      <w:r>
        <w:rPr>
          <w:rFonts w:hint="eastAsia" w:ascii="宋体" w:hAnsi="宋体"/>
          <w:b w:val="0"/>
          <w:bCs w:val="0"/>
          <w:sz w:val="24"/>
          <w:szCs w:val="24"/>
          <w:highlight w:val="none"/>
          <w:u w:val="single"/>
        </w:rPr>
        <w:t>（项目名称）</w:t>
      </w:r>
      <w:r>
        <w:rPr>
          <w:rFonts w:hint="eastAsia" w:ascii="宋体" w:hAnsi="宋体"/>
          <w:b w:val="0"/>
          <w:bCs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6"/>
        <w:spacing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rPr>
        <w:t xml:space="preserve">1.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r>
        <w:rPr>
          <w:rFonts w:hint="eastAsia" w:ascii="宋体" w:hAnsi="宋体"/>
          <w:b w:val="0"/>
          <w:bCs w:val="0"/>
          <w:sz w:val="24"/>
          <w:szCs w:val="24"/>
          <w:highlight w:val="none"/>
        </w:rPr>
        <w:t>；</w:t>
      </w:r>
    </w:p>
    <w:p>
      <w:pPr>
        <w:pStyle w:val="6"/>
        <w:spacing w:line="360" w:lineRule="auto"/>
        <w:ind w:left="210" w:leftChars="100" w:firstLine="240" w:firstLineChars="100"/>
        <w:rPr>
          <w:rFonts w:ascii="宋体" w:hAnsi="宋体"/>
          <w:b w:val="0"/>
          <w:bCs w:val="0"/>
          <w:sz w:val="24"/>
          <w:szCs w:val="24"/>
          <w:highlight w:val="none"/>
          <w:u w:val="single"/>
        </w:rPr>
      </w:pPr>
      <w:r>
        <w:rPr>
          <w:rFonts w:hint="eastAsia" w:ascii="宋体" w:hAnsi="宋体"/>
          <w:b w:val="0"/>
          <w:bCs w:val="0"/>
          <w:sz w:val="24"/>
          <w:szCs w:val="24"/>
          <w:highlight w:val="none"/>
        </w:rPr>
        <w:t xml:space="preserve">2. </w:t>
      </w:r>
      <w:r>
        <w:rPr>
          <w:rFonts w:hint="eastAsia" w:ascii="宋体" w:hAnsi="宋体"/>
          <w:b w:val="0"/>
          <w:bCs w:val="0"/>
          <w:sz w:val="24"/>
          <w:szCs w:val="24"/>
          <w:highlight w:val="none"/>
          <w:u w:val="single"/>
        </w:rPr>
        <w:t>（标的名称）</w:t>
      </w:r>
      <w:r>
        <w:rPr>
          <w:rFonts w:hint="eastAsia" w:ascii="宋体" w:hAnsi="宋体"/>
          <w:b w:val="0"/>
          <w:bCs w:val="0"/>
          <w:sz w:val="24"/>
          <w:szCs w:val="24"/>
          <w:highlight w:val="none"/>
        </w:rPr>
        <w:t xml:space="preserve"> ，属于</w:t>
      </w:r>
      <w:r>
        <w:rPr>
          <w:rFonts w:hint="eastAsia" w:ascii="宋体" w:hAnsi="宋体"/>
          <w:b w:val="0"/>
          <w:bCs w:val="0"/>
          <w:sz w:val="24"/>
          <w:szCs w:val="24"/>
          <w:highlight w:val="none"/>
          <w:u w:val="single"/>
        </w:rPr>
        <w:t>（采购文件中明确的所属行业）</w:t>
      </w:r>
      <w:r>
        <w:rPr>
          <w:rFonts w:hint="eastAsia" w:ascii="宋体" w:hAnsi="宋体"/>
          <w:b w:val="0"/>
          <w:bCs w:val="0"/>
          <w:sz w:val="24"/>
          <w:szCs w:val="24"/>
          <w:highlight w:val="none"/>
        </w:rPr>
        <w:t>；承建（承接）企业为</w:t>
      </w:r>
      <w:r>
        <w:rPr>
          <w:rFonts w:hint="eastAsia" w:ascii="宋体" w:hAnsi="宋体"/>
          <w:b w:val="0"/>
          <w:bCs w:val="0"/>
          <w:sz w:val="24"/>
          <w:szCs w:val="24"/>
          <w:highlight w:val="none"/>
          <w:u w:val="single"/>
        </w:rPr>
        <w:t>（企业名称）</w:t>
      </w:r>
      <w:r>
        <w:rPr>
          <w:rFonts w:hint="eastAsia" w:ascii="宋体" w:hAnsi="宋体"/>
          <w:b w:val="0"/>
          <w:bCs w:val="0"/>
          <w:sz w:val="24"/>
          <w:szCs w:val="24"/>
          <w:highlight w:val="none"/>
        </w:rPr>
        <w:t>，从业人员</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人，营业收入为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万元，资产总额为</w:t>
      </w:r>
      <w:r>
        <w:rPr>
          <w:rFonts w:hint="eastAsia" w:ascii="宋体" w:hAnsi="宋体"/>
          <w:b w:val="0"/>
          <w:bCs w:val="0"/>
          <w:sz w:val="24"/>
          <w:szCs w:val="24"/>
          <w:highlight w:val="none"/>
          <w:u w:val="single"/>
        </w:rPr>
        <w:t xml:space="preserve">     </w:t>
      </w:r>
      <w:r>
        <w:rPr>
          <w:rFonts w:hint="eastAsia" w:ascii="宋体" w:hAnsi="宋体"/>
          <w:b w:val="0"/>
          <w:bCs w:val="0"/>
          <w:sz w:val="24"/>
          <w:szCs w:val="24"/>
          <w:highlight w:val="none"/>
        </w:rPr>
        <w:t>万元，属于</w:t>
      </w:r>
      <w:r>
        <w:rPr>
          <w:rFonts w:hint="eastAsia" w:ascii="宋体" w:hAnsi="宋体"/>
          <w:b w:val="0"/>
          <w:bCs w:val="0"/>
          <w:sz w:val="24"/>
          <w:szCs w:val="24"/>
          <w:highlight w:val="none"/>
          <w:u w:val="single"/>
        </w:rPr>
        <w:t>（中型企业、小型企业、微型企业）；</w:t>
      </w:r>
    </w:p>
    <w:p>
      <w:pPr>
        <w:pStyle w:val="6"/>
        <w:rPr>
          <w:rFonts w:ascii="宋体" w:hAnsi="宋体"/>
          <w:b w:val="0"/>
          <w:bCs w:val="0"/>
          <w:sz w:val="24"/>
          <w:szCs w:val="24"/>
          <w:highlight w:val="none"/>
        </w:rPr>
      </w:pPr>
      <w:r>
        <w:rPr>
          <w:rFonts w:hint="eastAsia" w:ascii="宋体" w:hAnsi="宋体"/>
          <w:b w:val="0"/>
          <w:bCs w:val="0"/>
          <w:sz w:val="24"/>
          <w:szCs w:val="24"/>
          <w:highlight w:val="none"/>
        </w:rPr>
        <w:t>……</w:t>
      </w:r>
    </w:p>
    <w:p>
      <w:pPr>
        <w:pStyle w:val="6"/>
        <w:spacing w:line="360" w:lineRule="auto"/>
        <w:ind w:firstLine="480" w:firstLineChars="200"/>
        <w:rPr>
          <w:rFonts w:ascii="宋体" w:hAnsi="宋体"/>
          <w:b w:val="0"/>
          <w:bCs w:val="0"/>
          <w:sz w:val="24"/>
          <w:szCs w:val="24"/>
          <w:highlight w:val="none"/>
        </w:rPr>
      </w:pPr>
      <w:r>
        <w:rPr>
          <w:rFonts w:hint="eastAsia" w:ascii="宋体" w:hAnsi="宋体"/>
          <w:b w:val="0"/>
          <w:bCs w:val="0"/>
          <w:sz w:val="24"/>
          <w:szCs w:val="24"/>
          <w:highlight w:val="none"/>
        </w:rPr>
        <w:t>以上企业，不属于大企业的分支机构，不存在控股股东为大企业的情形，也不存在与大企业的负责人为同一人的情形。</w:t>
      </w:r>
    </w:p>
    <w:p>
      <w:pPr>
        <w:pStyle w:val="6"/>
        <w:ind w:left="210" w:leftChars="100" w:firstLine="240" w:firstLineChars="100"/>
        <w:rPr>
          <w:rFonts w:ascii="宋体" w:hAnsi="宋体"/>
          <w:b w:val="0"/>
          <w:bCs w:val="0"/>
          <w:sz w:val="24"/>
          <w:szCs w:val="24"/>
          <w:highlight w:val="none"/>
        </w:rPr>
      </w:pPr>
      <w:r>
        <w:rPr>
          <w:rFonts w:hint="eastAsia" w:ascii="宋体" w:hAnsi="宋体"/>
          <w:b w:val="0"/>
          <w:bCs w:val="0"/>
          <w:sz w:val="24"/>
          <w:szCs w:val="24"/>
          <w:highlight w:val="none"/>
        </w:rPr>
        <w:t>本企业对上述声明内容的真实性负责。如有虚假，将依法承担相应责任。</w:t>
      </w:r>
    </w:p>
    <w:p>
      <w:pPr>
        <w:pStyle w:val="6"/>
        <w:rPr>
          <w:rFonts w:ascii="宋体" w:hAnsi="宋体"/>
          <w:b w:val="0"/>
          <w:bCs w:val="0"/>
          <w:sz w:val="24"/>
          <w:szCs w:val="24"/>
          <w:highlight w:val="none"/>
        </w:rPr>
      </w:pPr>
      <w:r>
        <w:rPr>
          <w:rFonts w:hint="eastAsia" w:ascii="宋体" w:hAnsi="宋体"/>
          <w:b w:val="0"/>
          <w:bCs w:val="0"/>
          <w:sz w:val="24"/>
          <w:szCs w:val="24"/>
          <w:highlight w:val="none"/>
        </w:rPr>
        <w:t xml:space="preserve">                                     企业名称（盖章）：</w:t>
      </w:r>
    </w:p>
    <w:p>
      <w:pPr>
        <w:pStyle w:val="6"/>
        <w:rPr>
          <w:rFonts w:ascii="宋体" w:hAnsi="宋体"/>
          <w:b w:val="0"/>
          <w:bCs w:val="0"/>
          <w:sz w:val="24"/>
          <w:szCs w:val="24"/>
          <w:highlight w:val="none"/>
        </w:rPr>
      </w:pPr>
      <w:r>
        <w:rPr>
          <w:rFonts w:hint="eastAsia" w:ascii="宋体" w:hAnsi="宋体"/>
          <w:b w:val="0"/>
          <w:bCs w:val="0"/>
          <w:sz w:val="24"/>
          <w:szCs w:val="24"/>
          <w:highlight w:val="none"/>
        </w:rPr>
        <w:t xml:space="preserve">                                      日 期：</w:t>
      </w:r>
    </w:p>
    <w:p>
      <w:pPr>
        <w:pStyle w:val="6"/>
        <w:spacing w:line="360" w:lineRule="auto"/>
        <w:ind w:firstLine="480" w:firstLineChars="200"/>
        <w:rPr>
          <w:rFonts w:ascii="宋体" w:hAnsi="宋体"/>
          <w:b w:val="0"/>
          <w:bCs w:val="0"/>
          <w:sz w:val="24"/>
          <w:szCs w:val="24"/>
          <w:highlight w:val="none"/>
        </w:rPr>
      </w:pPr>
    </w:p>
    <w:p>
      <w:pPr>
        <w:pStyle w:val="6"/>
        <w:spacing w:line="360" w:lineRule="auto"/>
        <w:ind w:firstLine="480" w:firstLineChars="200"/>
        <w:rPr>
          <w:rFonts w:ascii="宋体" w:hAnsi="宋体"/>
          <w:b w:val="0"/>
          <w:bCs w:val="0"/>
          <w:sz w:val="24"/>
          <w:szCs w:val="24"/>
          <w:highlight w:val="none"/>
        </w:rPr>
      </w:pPr>
    </w:p>
    <w:p>
      <w:pPr>
        <w:pStyle w:val="6"/>
        <w:spacing w:line="360" w:lineRule="auto"/>
        <w:ind w:firstLine="482" w:firstLineChars="200"/>
        <w:rPr>
          <w:rFonts w:ascii="宋体" w:hAnsi="宋体"/>
          <w:bCs w:val="0"/>
          <w:sz w:val="24"/>
          <w:szCs w:val="24"/>
          <w:highlight w:val="none"/>
        </w:rPr>
      </w:pPr>
      <w:r>
        <w:rPr>
          <w:rFonts w:hint="eastAsia" w:ascii="宋体" w:hAnsi="宋体"/>
          <w:bCs w:val="0"/>
          <w:sz w:val="24"/>
          <w:szCs w:val="24"/>
          <w:highlight w:val="none"/>
        </w:rPr>
        <w:t>注：从业人员、营业收入、资产总额填报上一年度数据，无上度数据的新成立企业可不填报</w:t>
      </w:r>
    </w:p>
    <w:p>
      <w:pPr>
        <w:pStyle w:val="6"/>
        <w:spacing w:line="360" w:lineRule="auto"/>
        <w:rPr>
          <w:rFonts w:ascii="宋体" w:cs="宋体"/>
          <w:b w:val="0"/>
          <w:color w:val="000000"/>
          <w:sz w:val="24"/>
          <w:highlight w:val="none"/>
        </w:rPr>
      </w:pPr>
      <w:r>
        <w:rPr>
          <w:rFonts w:ascii="宋体" w:cs="宋体"/>
          <w:highlight w:val="none"/>
        </w:rPr>
        <w:br w:type="page"/>
      </w:r>
      <w:bookmarkStart w:id="228" w:name="_Toc44705301"/>
      <w:bookmarkStart w:id="229" w:name="_Toc44704933"/>
      <w:r>
        <w:rPr>
          <w:rFonts w:ascii="宋体" w:hAnsi="宋体" w:cs="宋体"/>
          <w:sz w:val="28"/>
          <w:szCs w:val="28"/>
          <w:highlight w:val="none"/>
        </w:rPr>
        <w:t>2.7.</w:t>
      </w:r>
      <w:r>
        <w:rPr>
          <w:rFonts w:hint="eastAsia" w:ascii="宋体" w:hAnsi="宋体" w:cs="宋体"/>
          <w:sz w:val="28"/>
          <w:szCs w:val="28"/>
          <w:highlight w:val="none"/>
          <w:lang w:val="en-US" w:eastAsia="zh-CN"/>
        </w:rPr>
        <w:t>8</w:t>
      </w:r>
      <w:r>
        <w:rPr>
          <w:rFonts w:hint="eastAsia" w:ascii="宋体" w:hAnsi="宋体" w:cs="宋体"/>
          <w:sz w:val="28"/>
          <w:szCs w:val="28"/>
          <w:highlight w:val="none"/>
        </w:rPr>
        <w:t>残疾人福利性单位声明函</w:t>
      </w:r>
      <w:r>
        <w:rPr>
          <w:rFonts w:hint="eastAsia" w:ascii="宋体" w:hAnsi="宋体" w:cs="宋体"/>
          <w:b w:val="0"/>
          <w:sz w:val="28"/>
          <w:szCs w:val="28"/>
          <w:highlight w:val="none"/>
        </w:rPr>
        <w:t>（格式，不符合条件无须提交）</w:t>
      </w:r>
      <w:bookmarkEnd w:id="228"/>
      <w:bookmarkEnd w:id="229"/>
    </w:p>
    <w:p>
      <w:pPr>
        <w:pStyle w:val="42"/>
        <w:spacing w:line="360" w:lineRule="auto"/>
        <w:rPr>
          <w:rFonts w:cs="宋体"/>
          <w:highlight w:val="none"/>
        </w:rPr>
      </w:pPr>
      <w:r>
        <w:rPr>
          <w:rFonts w:hint="eastAsia" w:cs="宋体"/>
          <w:highlight w:val="none"/>
        </w:rPr>
        <w:t>注：</w:t>
      </w:r>
      <w:r>
        <w:rPr>
          <w:rFonts w:cs="宋体"/>
          <w:highlight w:val="none"/>
        </w:rPr>
        <w:t>1</w:t>
      </w:r>
      <w:r>
        <w:rPr>
          <w:rFonts w:hint="eastAsia" w:cs="宋体"/>
          <w:highlight w:val="none"/>
        </w:rPr>
        <w:t>、</w:t>
      </w:r>
      <w:r>
        <w:rPr>
          <w:rFonts w:hint="eastAsia" w:cs="宋体"/>
          <w:spacing w:val="6"/>
          <w:highlight w:val="none"/>
        </w:rPr>
        <w:t>根据《财政部</w:t>
      </w:r>
      <w:r>
        <w:rPr>
          <w:rFonts w:cs="宋体"/>
          <w:spacing w:val="6"/>
          <w:highlight w:val="none"/>
        </w:rPr>
        <w:t xml:space="preserve"> </w:t>
      </w:r>
      <w:r>
        <w:rPr>
          <w:rFonts w:hint="eastAsia" w:cs="宋体"/>
          <w:spacing w:val="6"/>
          <w:highlight w:val="none"/>
        </w:rPr>
        <w:t>民政部</w:t>
      </w:r>
      <w:r>
        <w:rPr>
          <w:rFonts w:cs="宋体"/>
          <w:spacing w:val="6"/>
          <w:highlight w:val="none"/>
        </w:rPr>
        <w:t xml:space="preserve"> </w:t>
      </w:r>
      <w:r>
        <w:rPr>
          <w:rFonts w:hint="eastAsia" w:cs="宋体"/>
          <w:spacing w:val="6"/>
          <w:highlight w:val="none"/>
        </w:rPr>
        <w:t>中国残疾人联合会关于促进残疾人就业政府采购政策的通知》（财库</w:t>
      </w:r>
      <w:r>
        <w:rPr>
          <w:rFonts w:hint="eastAsia" w:cs="宋体"/>
          <w:highlight w:val="none"/>
        </w:rPr>
        <w:t>〔</w:t>
      </w:r>
      <w:r>
        <w:rPr>
          <w:rFonts w:cs="宋体"/>
          <w:highlight w:val="none"/>
        </w:rPr>
        <w:t>2017</w:t>
      </w:r>
      <w:r>
        <w:rPr>
          <w:rFonts w:hint="eastAsia" w:cs="宋体"/>
          <w:highlight w:val="none"/>
        </w:rPr>
        <w:t>〕</w:t>
      </w:r>
      <w:r>
        <w:rPr>
          <w:rFonts w:cs="宋体"/>
          <w:highlight w:val="none"/>
        </w:rPr>
        <w:t xml:space="preserve"> 141</w:t>
      </w:r>
      <w:r>
        <w:rPr>
          <w:rFonts w:hint="eastAsia" w:cs="宋体"/>
          <w:spacing w:val="6"/>
          <w:highlight w:val="none"/>
        </w:rPr>
        <w:t>号）的规定，</w:t>
      </w:r>
      <w:r>
        <w:rPr>
          <w:rFonts w:hint="eastAsia" w:cs="宋体"/>
          <w:highlight w:val="none"/>
        </w:rPr>
        <w:t>符合条件的残疾人福利性单位在参加政府采购活动时，应当提供通知规定的《残疾人福利性单位声明函》，并对声明的真实性负责。</w:t>
      </w:r>
    </w:p>
    <w:p>
      <w:pPr>
        <w:pStyle w:val="42"/>
        <w:spacing w:line="360" w:lineRule="auto"/>
        <w:rPr>
          <w:rFonts w:cs="宋体"/>
          <w:highlight w:val="none"/>
        </w:rPr>
      </w:pPr>
      <w:r>
        <w:rPr>
          <w:rFonts w:hint="eastAsia" w:cs="宋体"/>
          <w:highlight w:val="none"/>
        </w:rPr>
        <w:t>　　</w:t>
      </w:r>
      <w:r>
        <w:rPr>
          <w:rFonts w:cs="宋体"/>
          <w:highlight w:val="none"/>
        </w:rPr>
        <w:t>2</w:t>
      </w:r>
      <w:r>
        <w:rPr>
          <w:rFonts w:hint="eastAsia" w:cs="宋体"/>
          <w:highlight w:val="none"/>
        </w:rPr>
        <w:t>、中标人为残疾人福利性单位的，其《残疾人福利性单位声明函》将随中标结果同时公告，接受社会监督。</w:t>
      </w:r>
    </w:p>
    <w:p>
      <w:pPr>
        <w:spacing w:before="240" w:beforeLines="100" w:line="360" w:lineRule="auto"/>
        <w:ind w:left="1359" w:leftChars="257" w:hanging="819" w:hangingChars="325"/>
        <w:jc w:val="center"/>
        <w:rPr>
          <w:rFonts w:ascii="宋体" w:cs="宋体"/>
          <w:color w:val="000000"/>
          <w:spacing w:val="6"/>
          <w:sz w:val="24"/>
          <w:szCs w:val="24"/>
          <w:highlight w:val="none"/>
        </w:rPr>
      </w:pPr>
    </w:p>
    <w:p>
      <w:pPr>
        <w:spacing w:before="240" w:beforeLines="100" w:line="360" w:lineRule="auto"/>
        <w:ind w:left="1323" w:leftChars="257" w:hanging="783" w:hangingChars="325"/>
        <w:jc w:val="center"/>
        <w:rPr>
          <w:rFonts w:ascii="宋体" w:cs="宋体"/>
          <w:b/>
          <w:spacing w:val="6"/>
          <w:sz w:val="28"/>
          <w:szCs w:val="32"/>
          <w:highlight w:val="none"/>
        </w:rPr>
      </w:pPr>
      <w:r>
        <w:rPr>
          <w:rFonts w:hint="eastAsia" w:ascii="宋体" w:hAnsi="宋体" w:cs="宋体"/>
          <w:b/>
          <w:kern w:val="0"/>
          <w:sz w:val="24"/>
          <w:highlight w:val="none"/>
        </w:rPr>
        <w:t>残疾人福利性单位声明函</w:t>
      </w:r>
    </w:p>
    <w:p>
      <w:pPr>
        <w:spacing w:line="360" w:lineRule="auto"/>
        <w:rPr>
          <w:rFonts w:ascii="宋体" w:cs="宋体"/>
          <w:b/>
          <w:spacing w:val="6"/>
          <w:sz w:val="30"/>
          <w:szCs w:val="30"/>
          <w:highlight w:val="none"/>
        </w:rPr>
      </w:pPr>
    </w:p>
    <w:p>
      <w:pPr>
        <w:spacing w:line="360" w:lineRule="auto"/>
        <w:ind w:firstLine="504" w:firstLineChars="200"/>
        <w:rPr>
          <w:rFonts w:ascii="宋体" w:cs="宋体"/>
          <w:spacing w:val="6"/>
          <w:sz w:val="24"/>
          <w:szCs w:val="24"/>
          <w:highlight w:val="none"/>
        </w:rPr>
      </w:pPr>
      <w:r>
        <w:rPr>
          <w:rFonts w:hint="eastAsia" w:ascii="宋体" w:hAnsi="宋体" w:cs="宋体"/>
          <w:spacing w:val="6"/>
          <w:sz w:val="24"/>
          <w:szCs w:val="24"/>
          <w:highlight w:val="none"/>
        </w:rPr>
        <w:t>本单位郑重声明，根据《财政部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民政部</w:t>
      </w:r>
      <w:r>
        <w:rPr>
          <w:rFonts w:ascii="宋体" w:hAnsi="宋体" w:cs="宋体"/>
          <w:spacing w:val="6"/>
          <w:sz w:val="24"/>
          <w:szCs w:val="24"/>
          <w:highlight w:val="none"/>
        </w:rPr>
        <w:t xml:space="preserve"> </w:t>
      </w:r>
      <w:r>
        <w:rPr>
          <w:rFonts w:hint="eastAsia" w:ascii="宋体" w:hAnsi="宋体" w:cs="宋体"/>
          <w:spacing w:val="6"/>
          <w:sz w:val="24"/>
          <w:szCs w:val="24"/>
          <w:highlight w:val="none"/>
        </w:rPr>
        <w:t>中国残疾人联合会关于促进残疾人就业政府采购政策的通知》（财库</w:t>
      </w:r>
      <w:r>
        <w:rPr>
          <w:rFonts w:hint="eastAsia" w:ascii="宋体" w:hAnsi="宋体" w:cs="宋体"/>
          <w:sz w:val="24"/>
          <w:szCs w:val="24"/>
          <w:highlight w:val="none"/>
        </w:rPr>
        <w:t>〔</w:t>
      </w:r>
      <w:r>
        <w:rPr>
          <w:rFonts w:ascii="宋体" w:hAnsi="宋体" w:cs="宋体"/>
          <w:sz w:val="24"/>
          <w:szCs w:val="24"/>
          <w:highlight w:val="none"/>
        </w:rPr>
        <w:t>2017</w:t>
      </w:r>
      <w:r>
        <w:rPr>
          <w:rFonts w:hint="eastAsia" w:ascii="宋体" w:hAnsi="宋体" w:cs="宋体"/>
          <w:sz w:val="24"/>
          <w:szCs w:val="24"/>
          <w:highlight w:val="none"/>
        </w:rPr>
        <w:t>〕</w:t>
      </w:r>
      <w:r>
        <w:rPr>
          <w:rFonts w:ascii="宋体" w:hAnsi="宋体" w:cs="宋体"/>
          <w:sz w:val="24"/>
          <w:szCs w:val="24"/>
          <w:highlight w:val="none"/>
        </w:rPr>
        <w:t xml:space="preserve"> 141</w:t>
      </w:r>
      <w:r>
        <w:rPr>
          <w:rFonts w:hint="eastAsia" w:ascii="宋体" w:hAnsi="宋体" w:cs="宋体"/>
          <w:spacing w:val="6"/>
          <w:sz w:val="24"/>
          <w:szCs w:val="24"/>
          <w:highlight w:val="none"/>
        </w:rPr>
        <w:t>号）的规定，本单位为符合条件的残疾人福利性单位，且本单位参加</w:t>
      </w:r>
      <w:r>
        <w:rPr>
          <w:rFonts w:ascii="宋体" w:hAnsi="宋体" w:cs="宋体"/>
          <w:spacing w:val="6"/>
          <w:sz w:val="24"/>
          <w:szCs w:val="24"/>
          <w:highlight w:val="none"/>
        </w:rPr>
        <w:t>______</w:t>
      </w:r>
      <w:r>
        <w:rPr>
          <w:rFonts w:hint="eastAsia" w:ascii="宋体" w:hAnsi="宋体" w:cs="宋体"/>
          <w:spacing w:val="6"/>
          <w:sz w:val="24"/>
          <w:szCs w:val="24"/>
          <w:highlight w:val="none"/>
        </w:rPr>
        <w:t>单位的</w:t>
      </w:r>
      <w:r>
        <w:rPr>
          <w:rFonts w:ascii="宋体" w:hAnsi="宋体" w:cs="宋体"/>
          <w:spacing w:val="6"/>
          <w:sz w:val="24"/>
          <w:szCs w:val="24"/>
          <w:highlight w:val="none"/>
        </w:rPr>
        <w:t>______</w:t>
      </w:r>
      <w:r>
        <w:rPr>
          <w:rFonts w:hint="eastAsia" w:ascii="宋体" w:hAnsi="宋体" w:cs="宋体"/>
          <w:spacing w:val="6"/>
          <w:sz w:val="24"/>
          <w:szCs w:val="24"/>
          <w:highlight w:val="none"/>
        </w:rPr>
        <w:t>项目采购活动提供本单位制造的货物（由本单位承担工程</w:t>
      </w:r>
      <w:r>
        <w:rPr>
          <w:rFonts w:ascii="宋体" w:hAnsi="宋体" w:cs="宋体"/>
          <w:spacing w:val="6"/>
          <w:sz w:val="24"/>
          <w:szCs w:val="24"/>
          <w:highlight w:val="none"/>
        </w:rPr>
        <w:t>/</w:t>
      </w:r>
      <w:r>
        <w:rPr>
          <w:rFonts w:hint="eastAsia" w:ascii="宋体" w:hAnsi="宋体" w:cs="宋体"/>
          <w:spacing w:val="6"/>
          <w:sz w:val="24"/>
          <w:szCs w:val="24"/>
          <w:highlight w:val="none"/>
        </w:rPr>
        <w:t>提供服务），或者提供其他残疾人福利性单位制造的货物（不包括使用非残疾人福利性单位注册商标的货物）。</w:t>
      </w:r>
    </w:p>
    <w:p>
      <w:pPr>
        <w:widowControl/>
        <w:spacing w:before="240" w:beforeLines="100" w:after="100" w:afterAutospacing="1" w:line="360" w:lineRule="auto"/>
        <w:ind w:firstLine="720" w:firstLineChars="300"/>
        <w:jc w:val="left"/>
        <w:rPr>
          <w:rFonts w:ascii="宋体" w:cs="宋体"/>
          <w:sz w:val="24"/>
          <w:highlight w:val="none"/>
        </w:rPr>
      </w:pPr>
      <w:r>
        <w:rPr>
          <w:rFonts w:hint="eastAsia" w:ascii="宋体" w:hAnsi="宋体" w:cs="宋体"/>
          <w:sz w:val="24"/>
          <w:highlight w:val="none"/>
        </w:rPr>
        <w:t>本单位对上述声明的真实性负责。如有虚假，将依法承担相应责任。</w:t>
      </w:r>
    </w:p>
    <w:p>
      <w:pPr>
        <w:spacing w:line="360" w:lineRule="auto"/>
        <w:ind w:firstLine="624" w:firstLineChars="200"/>
        <w:rPr>
          <w:rFonts w:ascii="宋体" w:cs="宋体"/>
          <w:spacing w:val="6"/>
          <w:sz w:val="30"/>
          <w:szCs w:val="30"/>
          <w:highlight w:val="none"/>
        </w:rPr>
      </w:pPr>
    </w:p>
    <w:p>
      <w:pPr>
        <w:spacing w:line="360" w:lineRule="auto"/>
        <w:ind w:firstLine="624" w:firstLineChars="200"/>
        <w:rPr>
          <w:rFonts w:ascii="宋体" w:cs="宋体"/>
          <w:spacing w:val="6"/>
          <w:sz w:val="30"/>
          <w:szCs w:val="30"/>
          <w:highlight w:val="none"/>
        </w:rPr>
      </w:pPr>
    </w:p>
    <w:p>
      <w:pPr>
        <w:widowControl/>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单位名称（盖章）：</w:t>
      </w:r>
    </w:p>
    <w:p>
      <w:pPr>
        <w:widowControl/>
        <w:spacing w:before="100" w:beforeAutospacing="1" w:after="100" w:afterAutospacing="1" w:line="360" w:lineRule="auto"/>
        <w:ind w:firstLine="5160" w:firstLineChars="2150"/>
        <w:jc w:val="left"/>
        <w:rPr>
          <w:rFonts w:ascii="宋体" w:cs="宋体"/>
          <w:sz w:val="24"/>
          <w:highlight w:val="none"/>
        </w:rPr>
      </w:pPr>
      <w:r>
        <w:rPr>
          <w:rFonts w:hint="eastAsia" w:ascii="宋体" w:hAnsi="宋体" w:cs="宋体"/>
          <w:sz w:val="24"/>
          <w:highlight w:val="none"/>
        </w:rPr>
        <w:t>日期：</w:t>
      </w:r>
    </w:p>
    <w:p>
      <w:pPr>
        <w:pStyle w:val="7"/>
        <w:rPr>
          <w:rFonts w:ascii="宋体" w:cs="宋体"/>
          <w:b w:val="0"/>
          <w:color w:val="000000"/>
          <w:highlight w:val="none"/>
          <w:lang w:eastAsia="zh-CN"/>
        </w:rPr>
      </w:pPr>
      <w:r>
        <w:rPr>
          <w:rFonts w:ascii="宋体" w:cs="宋体"/>
          <w:color w:val="000000"/>
          <w:highlight w:val="none"/>
          <w:lang w:eastAsia="zh-CN"/>
        </w:rPr>
        <w:br w:type="page"/>
      </w:r>
      <w:bookmarkStart w:id="230" w:name="_Toc493422676"/>
      <w:bookmarkStart w:id="231" w:name="_Toc44705302"/>
      <w:bookmarkStart w:id="232" w:name="_Toc44704934"/>
      <w:r>
        <w:rPr>
          <w:rFonts w:ascii="宋体" w:hAnsi="宋体" w:cs="宋体"/>
          <w:szCs w:val="24"/>
          <w:highlight w:val="none"/>
          <w:lang w:eastAsia="zh-CN"/>
        </w:rPr>
        <w:t>2.7.</w:t>
      </w:r>
      <w:r>
        <w:rPr>
          <w:rFonts w:hint="eastAsia" w:ascii="宋体" w:hAnsi="宋体" w:cs="宋体"/>
          <w:szCs w:val="24"/>
          <w:highlight w:val="none"/>
          <w:lang w:val="en-US" w:eastAsia="zh-CN"/>
        </w:rPr>
        <w:t>9</w:t>
      </w:r>
      <w:r>
        <w:rPr>
          <w:rFonts w:hint="eastAsia" w:ascii="宋体" w:hAnsi="宋体" w:cs="宋体"/>
          <w:szCs w:val="24"/>
          <w:highlight w:val="none"/>
          <w:lang w:eastAsia="zh-CN"/>
        </w:rPr>
        <w:t>节能产品、环境标志产品、信息安全产品证明材料</w:t>
      </w:r>
      <w:r>
        <w:rPr>
          <w:rFonts w:hint="eastAsia" w:ascii="宋体" w:hAnsi="宋体" w:cs="宋体"/>
          <w:b w:val="0"/>
          <w:sz w:val="24"/>
          <w:szCs w:val="24"/>
          <w:highlight w:val="none"/>
          <w:lang w:eastAsia="zh-CN"/>
        </w:rPr>
        <w:t>（如适用）</w:t>
      </w:r>
      <w:bookmarkEnd w:id="230"/>
      <w:bookmarkEnd w:id="231"/>
      <w:bookmarkEnd w:id="232"/>
    </w:p>
    <w:p>
      <w:pPr>
        <w:spacing w:line="360" w:lineRule="auto"/>
        <w:rPr>
          <w:rFonts w:ascii="宋体" w:cs="宋体"/>
          <w:color w:val="000000"/>
          <w:szCs w:val="21"/>
          <w:highlight w:val="none"/>
        </w:rPr>
      </w:pPr>
      <w:r>
        <w:rPr>
          <w:rFonts w:ascii="宋体" w:cs="宋体"/>
          <w:color w:val="000000"/>
          <w:szCs w:val="21"/>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节能产品、环境标志产品</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台式计算机，便携式计算机，平板式微型计算机，激光打印机，针式打印机，显示设备，制冷压缩机，空调机组，专用制冷、空调设备，镇流器，空调机，电热水器，普通照明用双端荧光灯，电视设备，视频设备，便器，水嘴等品目为政府强制采购节能产品。</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台式计算机产品性能参数须与节能产品政府采购清单台式计算机性能参数的附件一致，凡与附件所列性能参数不一致的产品，不得参加政府采购活动。</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在上述范围内的投标货物须提供国家确定的认证机构出具的、处于有效期之内的节能产品、环境标志产品认证证书，未提供的属于未实质响应招标文件要求。</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ascii="宋体" w:hAnsi="宋体" w:cs="宋体"/>
          <w:color w:val="000000"/>
          <w:sz w:val="24"/>
          <w:szCs w:val="24"/>
          <w:highlight w:val="none"/>
        </w:rPr>
        <w:t>a.</w:t>
      </w:r>
      <w:r>
        <w:rPr>
          <w:rFonts w:hint="eastAsia" w:ascii="宋体" w:hAnsi="宋体" w:cs="宋体"/>
          <w:color w:val="000000"/>
          <w:sz w:val="24"/>
          <w:szCs w:val="24"/>
          <w:highlight w:val="none"/>
        </w:rPr>
        <w:t>节能产品（非强制、如有）：须提供国家确定的认证机构出具的、处于有效期之内的节能产品认证证书。</w:t>
      </w:r>
    </w:p>
    <w:p>
      <w:pP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p>
    <w:p>
      <w:pPr>
        <w:spacing w:line="360" w:lineRule="auto"/>
        <w:rPr>
          <w:rFonts w:ascii="宋体" w:cs="宋体"/>
          <w:color w:val="000000"/>
          <w:sz w:val="24"/>
          <w:szCs w:val="24"/>
          <w:highlight w:val="none"/>
        </w:rPr>
      </w:pPr>
      <w:r>
        <w:rPr>
          <w:rFonts w:ascii="宋体" w:hAnsi="宋体" w:cs="宋体"/>
          <w:color w:val="000000"/>
          <w:sz w:val="24"/>
          <w:szCs w:val="24"/>
          <w:highlight w:val="none"/>
        </w:rPr>
        <w:t>b.</w:t>
      </w:r>
      <w:r>
        <w:rPr>
          <w:rFonts w:hint="eastAsia" w:ascii="宋体" w:hAnsi="宋体" w:cs="宋体"/>
          <w:color w:val="000000"/>
          <w:sz w:val="24"/>
          <w:szCs w:val="24"/>
          <w:highlight w:val="none"/>
        </w:rPr>
        <w:t>环境标志产品（如有）：须提供国家确定的认证机构出具的、处于有效期之内的节能产品认证证书。</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信息安全产品</w:t>
      </w:r>
    </w:p>
    <w:p>
      <w:pPr>
        <w:spacing w:line="360" w:lineRule="auto"/>
        <w:rPr>
          <w:rFonts w:ascii="宋体" w:cs="宋体"/>
          <w:color w:val="000000"/>
          <w:sz w:val="24"/>
          <w:szCs w:val="24"/>
          <w:highlight w:val="none"/>
        </w:rPr>
      </w:pPr>
      <w:r>
        <w:rPr>
          <w:rFonts w:ascii="宋体" w:cs="宋体"/>
          <w:color w:val="000000"/>
          <w:sz w:val="24"/>
          <w:szCs w:val="24"/>
          <w:highlight w:val="none"/>
        </w:rPr>
        <w:t>   </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信息安全产品应提供由中国信息安全认证中心按国家标准认证颁发的有效认证证书。</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上述的投标货物须提供中国信息安全认证中心按国家标准认证颁发的有效认证证书，未提供的属于未实质响应招标文件要求。</w:t>
      </w:r>
    </w:p>
    <w:p>
      <w:pPr>
        <w:spacing w:line="360" w:lineRule="auto"/>
        <w:rPr>
          <w:rFonts w:ascii="宋体" w:cs="宋体"/>
          <w:color w:val="000000"/>
          <w:sz w:val="24"/>
          <w:szCs w:val="24"/>
          <w:highlight w:val="none"/>
        </w:rPr>
      </w:pPr>
      <w:r>
        <w:rPr>
          <w:rFonts w:ascii="宋体" w:cs="宋体"/>
          <w:color w:val="000000"/>
          <w:sz w:val="24"/>
          <w:szCs w:val="24"/>
          <w:highlight w:val="none"/>
        </w:rPr>
        <w:t> </w:t>
      </w:r>
    </w:p>
    <w:p>
      <w:pPr>
        <w:spacing w:line="360" w:lineRule="auto"/>
        <w:rPr>
          <w:rFonts w:ascii="宋体" w:cs="宋体"/>
          <w:color w:val="000000"/>
          <w:sz w:val="24"/>
          <w:szCs w:val="24"/>
          <w:highlight w:val="none"/>
        </w:rPr>
      </w:pPr>
      <w:r>
        <w:rPr>
          <w:rFonts w:hint="eastAsia" w:ascii="宋体" w:hAnsi="宋体" w:cs="宋体"/>
          <w:color w:val="000000"/>
          <w:sz w:val="24"/>
          <w:szCs w:val="24"/>
          <w:highlight w:val="none"/>
        </w:rPr>
        <w:t>注：</w:t>
      </w:r>
      <w:r>
        <w:rPr>
          <w:rFonts w:ascii="宋体" w:hAnsi="宋体" w:cs="宋体"/>
          <w:color w:val="000000"/>
          <w:sz w:val="24"/>
          <w:szCs w:val="24"/>
          <w:highlight w:val="none"/>
        </w:rPr>
        <w:t>1.</w:t>
      </w:r>
      <w:r>
        <w:rPr>
          <w:rFonts w:hint="eastAsia" w:ascii="宋体" w:hAnsi="宋体" w:cs="宋体"/>
          <w:color w:val="000000"/>
          <w:sz w:val="24"/>
          <w:szCs w:val="24"/>
          <w:highlight w:val="none"/>
        </w:rPr>
        <w:t>在本处提供的证明材料如与投标人所投产品内容（品牌、型号、规格等）不符，视为无效。</w:t>
      </w:r>
    </w:p>
    <w:p>
      <w:pPr>
        <w:spacing w:line="360" w:lineRule="auto"/>
        <w:rPr>
          <w:rFonts w:ascii="宋体" w:cs="宋体"/>
          <w:color w:val="000000"/>
          <w:sz w:val="24"/>
          <w:szCs w:val="24"/>
          <w:highlight w:val="none"/>
        </w:rPr>
      </w:pPr>
      <w:r>
        <w:rPr>
          <w:rFonts w:ascii="宋体" w:hAnsi="宋体" w:cs="宋体"/>
          <w:color w:val="000000"/>
          <w:sz w:val="24"/>
          <w:szCs w:val="24"/>
          <w:highlight w:val="none"/>
        </w:rPr>
        <w:t>2.</w:t>
      </w:r>
      <w:r>
        <w:rPr>
          <w:rFonts w:hint="eastAsia" w:ascii="宋体" w:hAnsi="宋体" w:cs="宋体"/>
          <w:color w:val="000000"/>
          <w:sz w:val="24"/>
          <w:szCs w:val="24"/>
          <w:highlight w:val="none"/>
        </w:rPr>
        <w:t>如提供虚假材料，投标人须承担相应法律责任。</w:t>
      </w:r>
      <w:bookmarkStart w:id="233" w:name="_Toc493422677"/>
    </w:p>
    <w:p>
      <w:pPr>
        <w:pStyle w:val="7"/>
        <w:rPr>
          <w:rFonts w:ascii="宋体" w:cs="宋体"/>
          <w:color w:val="000000"/>
          <w:sz w:val="24"/>
          <w:szCs w:val="24"/>
          <w:highlight w:val="none"/>
          <w:lang w:eastAsia="zh-CN"/>
        </w:rPr>
      </w:pPr>
      <w:r>
        <w:rPr>
          <w:rFonts w:ascii="宋体" w:cs="宋体"/>
          <w:color w:val="000000"/>
          <w:sz w:val="24"/>
          <w:szCs w:val="24"/>
          <w:highlight w:val="none"/>
          <w:lang w:eastAsia="zh-CN"/>
        </w:rPr>
        <w:br w:type="page"/>
      </w:r>
      <w:bookmarkStart w:id="234" w:name="_Toc44705303"/>
      <w:bookmarkStart w:id="235" w:name="_Toc44704935"/>
      <w:r>
        <w:rPr>
          <w:rFonts w:ascii="宋体" w:hAnsi="宋体" w:cs="宋体"/>
          <w:szCs w:val="24"/>
          <w:highlight w:val="none"/>
          <w:lang w:eastAsia="zh-CN"/>
        </w:rPr>
        <w:t>2.7.</w:t>
      </w:r>
      <w:r>
        <w:rPr>
          <w:rFonts w:hint="eastAsia" w:ascii="宋体" w:hAnsi="宋体" w:cs="宋体"/>
          <w:szCs w:val="24"/>
          <w:highlight w:val="none"/>
          <w:lang w:val="en-US" w:eastAsia="zh-CN"/>
        </w:rPr>
        <w:t>10</w:t>
      </w:r>
      <w:r>
        <w:rPr>
          <w:rFonts w:hint="eastAsia" w:ascii="宋体" w:hAnsi="宋体" w:cs="宋体"/>
          <w:szCs w:val="24"/>
          <w:highlight w:val="none"/>
          <w:lang w:eastAsia="zh-CN"/>
        </w:rPr>
        <w:t>招标文件要求的其它文件及投标人认为有必要提供的其它文件</w:t>
      </w:r>
      <w:bookmarkEnd w:id="233"/>
      <w:bookmarkEnd w:id="234"/>
      <w:bookmarkEnd w:id="235"/>
    </w:p>
    <w:p>
      <w:pPr>
        <w:spacing w:line="360" w:lineRule="auto"/>
        <w:jc w:val="left"/>
        <w:rPr>
          <w:rFonts w:ascii="宋体" w:cs="宋体"/>
          <w:color w:val="000000"/>
          <w:sz w:val="24"/>
          <w:szCs w:val="24"/>
          <w:highlight w:val="none"/>
        </w:rPr>
      </w:pPr>
    </w:p>
    <w:p>
      <w:pPr>
        <w:spacing w:line="360" w:lineRule="auto"/>
        <w:jc w:val="left"/>
        <w:rPr>
          <w:rFonts w:ascii="宋体" w:cs="宋体"/>
          <w:color w:val="000000"/>
          <w:sz w:val="24"/>
          <w:szCs w:val="24"/>
          <w:highlight w:val="none"/>
        </w:rPr>
      </w:pPr>
    </w:p>
    <w:p>
      <w:pPr>
        <w:spacing w:line="360" w:lineRule="auto"/>
        <w:jc w:val="left"/>
        <w:rPr>
          <w:rFonts w:ascii="宋体" w:hAnsi="宋体" w:cs="宋体"/>
          <w:color w:val="000000"/>
          <w:sz w:val="24"/>
          <w:szCs w:val="24"/>
          <w:highlight w:val="none"/>
        </w:rPr>
      </w:pPr>
      <w:r>
        <w:rPr>
          <w:rFonts w:hint="eastAsia" w:ascii="宋体" w:hAnsi="宋体" w:cs="宋体"/>
          <w:color w:val="000000"/>
          <w:sz w:val="24"/>
          <w:szCs w:val="24"/>
          <w:highlight w:val="none"/>
        </w:rPr>
        <w:t>投标人应仔细阅读招标文件，包括评标标准等，提供招标文件要求的相关方案、措施等，</w:t>
      </w:r>
      <w:r>
        <w:rPr>
          <w:rFonts w:hint="eastAsia" w:ascii="宋体" w:hAnsi="宋体" w:cs="宋体"/>
          <w:b/>
          <w:bCs/>
          <w:color w:val="000000"/>
          <w:sz w:val="24"/>
          <w:szCs w:val="24"/>
          <w:highlight w:val="none"/>
        </w:rPr>
        <w:t>格式自拟提供</w:t>
      </w:r>
      <w:r>
        <w:rPr>
          <w:rFonts w:hint="eastAsia" w:ascii="宋体" w:hAnsi="宋体" w:cs="宋体"/>
          <w:color w:val="000000"/>
          <w:sz w:val="24"/>
          <w:szCs w:val="24"/>
          <w:highlight w:val="none"/>
        </w:rPr>
        <w:t>。</w:t>
      </w:r>
      <w:bookmarkStart w:id="236" w:name="_Toc155772936"/>
      <w:bookmarkStart w:id="237" w:name="_Toc155772037"/>
      <w:bookmarkStart w:id="238" w:name="_Toc195427236"/>
      <w:bookmarkStart w:id="239" w:name="_Toc153353723"/>
      <w:bookmarkStart w:id="240" w:name="_Toc153356464"/>
      <w:bookmarkStart w:id="241" w:name="_Toc146011787"/>
      <w:bookmarkStart w:id="242" w:name="_Toc193858800"/>
      <w:bookmarkStart w:id="243" w:name="_Toc155772930"/>
      <w:bookmarkStart w:id="244" w:name="_Toc153353722"/>
      <w:bookmarkStart w:id="245" w:name="_Toc47418939"/>
      <w:bookmarkStart w:id="246" w:name="_Toc47261886"/>
      <w:bookmarkStart w:id="247" w:name="_Toc47418732"/>
      <w:bookmarkStart w:id="248" w:name="_Toc146011786"/>
      <w:bookmarkStart w:id="249" w:name="_Toc47261691"/>
      <w:bookmarkStart w:id="250" w:name="_Toc47262070"/>
      <w:bookmarkStart w:id="251" w:name="_Toc49019237"/>
      <w:bookmarkStart w:id="252" w:name="_Toc47418256"/>
      <w:bookmarkStart w:id="253" w:name="_Toc48995852"/>
      <w:bookmarkStart w:id="254" w:name="_Toc48791236"/>
    </w:p>
    <w:p>
      <w:pPr>
        <w:spacing w:line="360" w:lineRule="auto"/>
        <w:jc w:val="center"/>
        <w:rPr>
          <w:rFonts w:ascii="宋体" w:cs="宋体"/>
          <w:b/>
          <w:color w:val="000000"/>
          <w:sz w:val="24"/>
          <w:szCs w:val="24"/>
          <w:highlight w:val="none"/>
        </w:rPr>
      </w:pPr>
      <w:r>
        <w:rPr>
          <w:highlight w:val="none"/>
        </w:rPr>
        <w:br w:type="page"/>
      </w:r>
      <w:bookmarkEnd w:id="236"/>
      <w:bookmarkEnd w:id="237"/>
      <w:bookmarkEnd w:id="238"/>
      <w:bookmarkEnd w:id="239"/>
      <w:bookmarkEnd w:id="240"/>
      <w:bookmarkEnd w:id="241"/>
      <w:bookmarkEnd w:id="242"/>
      <w:r>
        <w:rPr>
          <w:rFonts w:hint="eastAsia" w:ascii="宋体" w:hAnsi="宋体" w:cs="宋体"/>
          <w:b/>
          <w:color w:val="000000"/>
          <w:sz w:val="24"/>
          <w:szCs w:val="24"/>
          <w:highlight w:val="none"/>
        </w:rPr>
        <w:t>关于中小企业的相关规定</w:t>
      </w:r>
    </w:p>
    <w:p>
      <w:pPr>
        <w:spacing w:line="360" w:lineRule="auto"/>
        <w:jc w:val="center"/>
        <w:rPr>
          <w:rFonts w:ascii="宋体" w:hAnsi="宋体" w:cs="宋体"/>
          <w:b/>
          <w:color w:val="000000"/>
          <w:sz w:val="32"/>
          <w:szCs w:val="24"/>
          <w:highlight w:val="none"/>
        </w:rPr>
      </w:pPr>
      <w:r>
        <w:rPr>
          <w:rFonts w:hint="eastAsia" w:ascii="宋体" w:hAnsi="宋体" w:cs="宋体"/>
          <w:b/>
          <w:color w:val="000000"/>
          <w:sz w:val="32"/>
          <w:szCs w:val="24"/>
          <w:highlight w:val="none"/>
        </w:rPr>
        <w:t>政府采购促进中小企业发展管理办法</w:t>
      </w:r>
    </w:p>
    <w:p>
      <w:pPr>
        <w:spacing w:line="360" w:lineRule="auto"/>
        <w:ind w:firstLine="482" w:firstLineChars="200"/>
        <w:rPr>
          <w:rFonts w:ascii="宋体" w:hAnsi="宋体" w:cs="宋体"/>
          <w:b/>
          <w:color w:val="000000"/>
          <w:sz w:val="24"/>
          <w:szCs w:val="24"/>
          <w:highlight w:val="none"/>
        </w:rPr>
      </w:pP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第一条</w:t>
      </w:r>
      <w:r>
        <w:rPr>
          <w:rFonts w:hint="eastAsia" w:ascii="宋体" w:hAnsi="宋体" w:cs="宋体"/>
          <w:color w:val="000000"/>
          <w:sz w:val="24"/>
          <w:szCs w:val="24"/>
          <w:highlight w:val="none"/>
        </w:rPr>
        <w:t>为了发挥政府采购的政策功能，促进中小企业健康发展，根据《中华人民共和国政府采购法》、《中华人民共和国中小企业促进法》等有关法律法规，制定本办法。</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第二条</w:t>
      </w:r>
      <w:r>
        <w:rPr>
          <w:rFonts w:hint="eastAsia" w:ascii="宋体" w:hAnsi="宋体" w:cs="宋体"/>
          <w:color w:val="000000"/>
          <w:sz w:val="24"/>
          <w:szCs w:val="24"/>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第三条</w:t>
      </w:r>
      <w:r>
        <w:rPr>
          <w:rFonts w:hint="eastAsia" w:ascii="宋体" w:hAnsi="宋体" w:cs="宋体"/>
          <w:color w:val="000000"/>
          <w:sz w:val="24"/>
          <w:szCs w:val="24"/>
          <w:highlight w:val="none"/>
        </w:rPr>
        <w:t>采购人在政府采购活动中应当通过加强采购需求管理，落实预留采购份额、价格评审优惠、优先采购等措施，提高中小企业在政府采购中的份额，支持中小企业发展。</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第四条</w:t>
      </w:r>
      <w:r>
        <w:rPr>
          <w:rFonts w:hint="eastAsia" w:ascii="宋体" w:hAnsi="宋体" w:cs="宋体"/>
          <w:color w:val="000000"/>
          <w:sz w:val="24"/>
          <w:szCs w:val="24"/>
          <w:highlight w:val="none"/>
        </w:rPr>
        <w:t>在政府采购活动中，供应商提供的货物、工程或者服务符合下列情形的，享受本办法规定的中小企业扶持政策：</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（一）在货物采购项目中，货物由中小企业制造，即货</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物由中小企业生产且使用该中小企业商号或者注册商标；</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（二）在工程采购项目中，工程由中小企业承建，即工</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程施工单位为中小企业；</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（三）在服务采购项目中，服务由中小企业承接，即提供服务的人员为中小企业依照《中华人民共和国劳动合同法》订立劳动合同的从业人员。</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在货物采购项目中，供应商提供的货物既有中小企业制造货物，也有大型企业制造货物的，不享受本办法规定的中小企业扶持政策。</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以联合体形式参加政府采购活动，联合体各方均为中小企业的，联合体视同中小企业。其中，联合体各方均为小微企业的，联合体视同小微企业。</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第五条</w:t>
      </w:r>
      <w:r>
        <w:rPr>
          <w:rFonts w:hint="eastAsia" w:ascii="宋体" w:hAnsi="宋体" w:cs="宋体"/>
          <w:color w:val="000000"/>
          <w:sz w:val="24"/>
          <w:szCs w:val="24"/>
          <w:highlight w:val="none"/>
        </w:rPr>
        <w:t>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第六条</w:t>
      </w:r>
      <w:r>
        <w:rPr>
          <w:rFonts w:hint="eastAsia" w:ascii="宋体" w:hAnsi="宋体" w:cs="宋体"/>
          <w:color w:val="000000"/>
          <w:sz w:val="24"/>
          <w:szCs w:val="24"/>
          <w:highlight w:val="none"/>
        </w:rPr>
        <w:t>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符合下列情形之一的，可不专门面向中小企业预留采购份额：</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（一）法律法规和国家有关政策明确规定优先或者应当面向事业单位、社会组织等非企业主体采购的；</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（二）因确需使用不可替代的专利、专有技术，基础设施限制，或者提供特定公共服务等原因，只能从中小企业之外的供应商处采购的；</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（三）按照本办法规定预留采购份额无法确保充分供应、充分竞争，或者存在可能影响政府采购目标实现的情形；</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（四）框架协议采购项目；</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（五）省级以上人民政府财政部门规定的其他情形。除上述情形外，其他均为适宜由中小企业提供的情形。</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第七条</w:t>
      </w:r>
      <w:r>
        <w:rPr>
          <w:rFonts w:hint="eastAsia" w:ascii="宋体" w:hAnsi="宋体" w:cs="宋体"/>
          <w:color w:val="000000"/>
          <w:sz w:val="24"/>
          <w:szCs w:val="24"/>
          <w:highlight w:val="none"/>
        </w:rPr>
        <w:t>采购限额标准以上，</w:t>
      </w:r>
      <w:r>
        <w:rPr>
          <w:rFonts w:ascii="宋体" w:hAnsi="宋体" w:cs="宋体"/>
          <w:color w:val="000000"/>
          <w:sz w:val="24"/>
          <w:szCs w:val="24"/>
          <w:highlight w:val="none"/>
        </w:rPr>
        <w:t xml:space="preserve">200 </w:t>
      </w:r>
      <w:r>
        <w:rPr>
          <w:rFonts w:hint="eastAsia" w:ascii="宋体" w:hAnsi="宋体" w:cs="宋体"/>
          <w:color w:val="000000"/>
          <w:sz w:val="24"/>
          <w:szCs w:val="24"/>
          <w:highlight w:val="none"/>
        </w:rPr>
        <w:t>万元以下的货物和服务采购项目、</w:t>
      </w:r>
      <w:r>
        <w:rPr>
          <w:rFonts w:ascii="宋体" w:hAnsi="宋体" w:cs="宋体"/>
          <w:color w:val="000000"/>
          <w:sz w:val="24"/>
          <w:szCs w:val="24"/>
          <w:highlight w:val="none"/>
        </w:rPr>
        <w:t xml:space="preserve">400 </w:t>
      </w:r>
      <w:r>
        <w:rPr>
          <w:rFonts w:hint="eastAsia" w:ascii="宋体" w:hAnsi="宋体" w:cs="宋体"/>
          <w:color w:val="000000"/>
          <w:sz w:val="24"/>
          <w:szCs w:val="24"/>
          <w:highlight w:val="none"/>
        </w:rPr>
        <w:t>万元以下的工程采购项目，适宜由中小企业提供的，采购人应当专门面向中小企业采购。</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第八条</w:t>
      </w:r>
      <w:r>
        <w:rPr>
          <w:rFonts w:hint="eastAsia" w:ascii="宋体" w:hAnsi="宋体" w:cs="宋体"/>
          <w:color w:val="000000"/>
          <w:sz w:val="24"/>
          <w:szCs w:val="24"/>
          <w:highlight w:val="none"/>
        </w:rPr>
        <w:t>超过</w:t>
      </w:r>
      <w:r>
        <w:rPr>
          <w:rFonts w:ascii="宋体" w:hAnsi="宋体" w:cs="宋体"/>
          <w:color w:val="000000"/>
          <w:sz w:val="24"/>
          <w:szCs w:val="24"/>
          <w:highlight w:val="none"/>
        </w:rPr>
        <w:t xml:space="preserve">200 </w:t>
      </w:r>
      <w:r>
        <w:rPr>
          <w:rFonts w:hint="eastAsia" w:ascii="宋体" w:hAnsi="宋体" w:cs="宋体"/>
          <w:color w:val="000000"/>
          <w:sz w:val="24"/>
          <w:szCs w:val="24"/>
          <w:highlight w:val="none"/>
        </w:rPr>
        <w:t>万元的货物和服务采购项目、超过</w:t>
      </w:r>
      <w:r>
        <w:rPr>
          <w:rFonts w:ascii="宋体" w:hAnsi="宋体" w:cs="宋体"/>
          <w:color w:val="000000"/>
          <w:sz w:val="24"/>
          <w:szCs w:val="24"/>
          <w:highlight w:val="none"/>
        </w:rPr>
        <w:t xml:space="preserve">400 </w:t>
      </w:r>
      <w:r>
        <w:rPr>
          <w:rFonts w:hint="eastAsia" w:ascii="宋体" w:hAnsi="宋体" w:cs="宋体"/>
          <w:color w:val="000000"/>
          <w:sz w:val="24"/>
          <w:szCs w:val="24"/>
          <w:highlight w:val="none"/>
        </w:rPr>
        <w:t>万元的工程采购项目中适宜由中小企业提供的，预留该部分采购项目预算总额的</w:t>
      </w:r>
      <w:r>
        <w:rPr>
          <w:rFonts w:ascii="宋体" w:hAnsi="宋体" w:cs="宋体"/>
          <w:color w:val="000000"/>
          <w:sz w:val="24"/>
          <w:szCs w:val="24"/>
          <w:highlight w:val="none"/>
        </w:rPr>
        <w:t>30%</w:t>
      </w:r>
      <w:r>
        <w:rPr>
          <w:rFonts w:hint="eastAsia" w:ascii="宋体" w:hAnsi="宋体" w:cs="宋体"/>
          <w:color w:val="000000"/>
          <w:sz w:val="24"/>
          <w:szCs w:val="24"/>
          <w:highlight w:val="none"/>
        </w:rPr>
        <w:t>以上专门面向中小企业采购，其中预留给小微企业的比例不低于</w:t>
      </w:r>
      <w:r>
        <w:rPr>
          <w:rFonts w:ascii="宋体" w:hAnsi="宋体" w:cs="宋体"/>
          <w:color w:val="000000"/>
          <w:sz w:val="24"/>
          <w:szCs w:val="24"/>
          <w:highlight w:val="none"/>
        </w:rPr>
        <w:t>60%</w:t>
      </w:r>
      <w:r>
        <w:rPr>
          <w:rFonts w:hint="eastAsia" w:ascii="宋体" w:hAnsi="宋体" w:cs="宋体"/>
          <w:color w:val="000000"/>
          <w:sz w:val="24"/>
          <w:szCs w:val="24"/>
          <w:highlight w:val="none"/>
        </w:rPr>
        <w:t>。预留份额通过下列措施进行：</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（一）将采购项目整体或者设置采购包专门面向中小企</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业采购；</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（二）要求供应商以联合体形式参加采购活动，且联合</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体中中小企业承担的部分达到一定比例；</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（三）要求获得采购合同的供应商将采购项目中的一定比例分包给一家或者多家中小企业。组成联合体或者接受分包合同的中小企业与联合体内其他企业、分包企业之间不得存在直接控股、管理关系。</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第九条</w:t>
      </w:r>
      <w:r>
        <w:rPr>
          <w:rFonts w:hint="eastAsia" w:ascii="宋体" w:hAnsi="宋体" w:cs="宋体"/>
          <w:color w:val="000000"/>
          <w:sz w:val="24"/>
          <w:szCs w:val="24"/>
          <w:highlight w:val="none"/>
        </w:rPr>
        <w:t>对于经主管预算单位统筹后未预留份额专门面向中小企业采购的采购项目，以及预留份额项目中的非预留部分采购包，采购人、采购代理机构应当对符合本办法规定的小微企业报价给予</w:t>
      </w:r>
      <w:r>
        <w:rPr>
          <w:rFonts w:ascii="宋体" w:hAnsi="宋体" w:cs="宋体"/>
          <w:color w:val="000000"/>
          <w:sz w:val="24"/>
          <w:szCs w:val="24"/>
          <w:highlight w:val="none"/>
        </w:rPr>
        <w:t>6%</w:t>
      </w:r>
      <w:r>
        <w:rPr>
          <w:rFonts w:hint="eastAsia" w:ascii="宋体" w:hAnsi="宋体" w:cs="宋体"/>
          <w:color w:val="000000"/>
          <w:sz w:val="24"/>
          <w:szCs w:val="24"/>
          <w:highlight w:val="none"/>
        </w:rPr>
        <w:t>—</w:t>
      </w:r>
      <w:r>
        <w:rPr>
          <w:rFonts w:ascii="宋体" w:hAnsi="宋体" w:cs="宋体"/>
          <w:color w:val="000000"/>
          <w:sz w:val="24"/>
          <w:szCs w:val="24"/>
          <w:highlight w:val="none"/>
        </w:rPr>
        <w:t>10%</w:t>
      </w:r>
      <w:r>
        <w:rPr>
          <w:rFonts w:hint="eastAsia" w:ascii="宋体" w:hAnsi="宋体" w:cs="宋体"/>
          <w:color w:val="000000"/>
          <w:sz w:val="24"/>
          <w:szCs w:val="24"/>
          <w:highlight w:val="none"/>
        </w:rPr>
        <w:t>（工程项目为</w:t>
      </w:r>
      <w:r>
        <w:rPr>
          <w:rFonts w:ascii="宋体" w:hAnsi="宋体" w:cs="宋体"/>
          <w:color w:val="000000"/>
          <w:sz w:val="24"/>
          <w:szCs w:val="24"/>
          <w:highlight w:val="none"/>
        </w:rPr>
        <w:t>3%</w:t>
      </w:r>
      <w:r>
        <w:rPr>
          <w:rFonts w:hint="eastAsia" w:ascii="宋体" w:hAnsi="宋体" w:cs="宋体"/>
          <w:color w:val="000000"/>
          <w:sz w:val="24"/>
          <w:szCs w:val="24"/>
          <w:highlight w:val="none"/>
        </w:rPr>
        <w:t>—</w:t>
      </w:r>
      <w:r>
        <w:rPr>
          <w:rFonts w:ascii="宋体" w:hAnsi="宋体" w:cs="宋体"/>
          <w:color w:val="000000"/>
          <w:sz w:val="24"/>
          <w:szCs w:val="24"/>
          <w:highlight w:val="none"/>
        </w:rPr>
        <w:t>5%</w:t>
      </w:r>
      <w:r>
        <w:rPr>
          <w:rFonts w:hint="eastAsia" w:ascii="宋体" w:hAnsi="宋体" w:cs="宋体"/>
          <w:color w:val="000000"/>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color w:val="000000"/>
          <w:sz w:val="24"/>
          <w:szCs w:val="24"/>
          <w:highlight w:val="none"/>
        </w:rPr>
        <w:t>3%</w:t>
      </w:r>
      <w:r>
        <w:rPr>
          <w:rFonts w:hint="eastAsia" w:ascii="宋体" w:hAnsi="宋体" w:cs="宋体"/>
          <w:color w:val="000000"/>
          <w:sz w:val="24"/>
          <w:szCs w:val="24"/>
          <w:highlight w:val="none"/>
        </w:rPr>
        <w:t>—</w:t>
      </w:r>
      <w:r>
        <w:rPr>
          <w:rFonts w:ascii="宋体" w:hAnsi="宋体" w:cs="宋体"/>
          <w:color w:val="000000"/>
          <w:sz w:val="24"/>
          <w:szCs w:val="24"/>
          <w:highlight w:val="none"/>
        </w:rPr>
        <w:t>5%</w:t>
      </w:r>
      <w:r>
        <w:rPr>
          <w:rFonts w:hint="eastAsia" w:ascii="宋体" w:hAnsi="宋体" w:cs="宋体"/>
          <w:color w:val="000000"/>
          <w:sz w:val="24"/>
          <w:szCs w:val="24"/>
          <w:highlight w:val="none"/>
        </w:rPr>
        <w:t>作为其价格分。</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s="宋体"/>
          <w:color w:val="000000"/>
          <w:sz w:val="24"/>
          <w:szCs w:val="24"/>
          <w:highlight w:val="none"/>
        </w:rPr>
        <w:t>30%</w:t>
      </w:r>
      <w:r>
        <w:rPr>
          <w:rFonts w:hint="eastAsia" w:ascii="宋体" w:hAnsi="宋体" w:cs="宋体"/>
          <w:color w:val="000000"/>
          <w:sz w:val="24"/>
          <w:szCs w:val="24"/>
          <w:highlight w:val="none"/>
        </w:rPr>
        <w:t>以上的，采购人、采购代理机构应当对联合体或者大中型企业的报价给予</w:t>
      </w:r>
      <w:r>
        <w:rPr>
          <w:rFonts w:ascii="宋体" w:hAnsi="宋体" w:cs="宋体"/>
          <w:color w:val="000000"/>
          <w:sz w:val="24"/>
          <w:szCs w:val="24"/>
          <w:highlight w:val="none"/>
        </w:rPr>
        <w:t>2%-3%</w:t>
      </w:r>
      <w:r>
        <w:rPr>
          <w:rFonts w:hint="eastAsia" w:ascii="宋体" w:hAnsi="宋体" w:cs="宋体"/>
          <w:color w:val="000000"/>
          <w:sz w:val="24"/>
          <w:szCs w:val="24"/>
          <w:highlight w:val="none"/>
        </w:rPr>
        <w:t>（工程项目为</w:t>
      </w: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ascii="宋体" w:hAnsi="宋体" w:cs="宋体"/>
          <w:color w:val="000000"/>
          <w:sz w:val="24"/>
          <w:szCs w:val="24"/>
          <w:highlight w:val="none"/>
        </w:rPr>
        <w:t>2%</w:t>
      </w:r>
      <w:r>
        <w:rPr>
          <w:rFonts w:hint="eastAsia" w:ascii="宋体" w:hAnsi="宋体" w:cs="宋体"/>
          <w:color w:val="000000"/>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hAnsi="宋体" w:cs="宋体"/>
          <w:color w:val="000000"/>
          <w:sz w:val="24"/>
          <w:szCs w:val="24"/>
          <w:highlight w:val="none"/>
        </w:rPr>
        <w:t>1%</w:t>
      </w:r>
      <w:r>
        <w:rPr>
          <w:rFonts w:hint="eastAsia" w:ascii="宋体" w:hAnsi="宋体" w:cs="宋体"/>
          <w:color w:val="000000"/>
          <w:sz w:val="24"/>
          <w:szCs w:val="24"/>
          <w:highlight w:val="none"/>
        </w:rPr>
        <w:t>—</w:t>
      </w:r>
      <w:r>
        <w:rPr>
          <w:rFonts w:ascii="宋体" w:hAnsi="宋体" w:cs="宋体"/>
          <w:color w:val="000000"/>
          <w:sz w:val="24"/>
          <w:szCs w:val="24"/>
          <w:highlight w:val="none"/>
        </w:rPr>
        <w:t>2%</w:t>
      </w:r>
      <w:r>
        <w:rPr>
          <w:rFonts w:hint="eastAsia" w:ascii="宋体" w:hAnsi="宋体" w:cs="宋体"/>
          <w:color w:val="000000"/>
          <w:sz w:val="24"/>
          <w:szCs w:val="24"/>
          <w:highlight w:val="none"/>
        </w:rPr>
        <w:t>作为其价格分。组成联合体或者接受分包的小微企业与联合体内其他企业、分包企业之间存在直接控</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股、管理关系的，不享受价格扣除优惠政策。</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第十条</w:t>
      </w:r>
      <w:r>
        <w:rPr>
          <w:rFonts w:hint="eastAsia" w:ascii="宋体" w:hAnsi="宋体" w:cs="宋体"/>
          <w:color w:val="000000"/>
          <w:sz w:val="24"/>
          <w:szCs w:val="24"/>
          <w:highlight w:val="none"/>
        </w:rPr>
        <w:t>采购人应当严格按照本办法规定和主管预算单位制定的预留采购份额具体方案开展采购活动。预留份额的采购项目或者采购包，通过发布公告方式邀请供应商后，符合资格条件的中小企业数量不足</w:t>
      </w:r>
      <w:r>
        <w:rPr>
          <w:rFonts w:ascii="宋体" w:hAnsi="宋体" w:cs="宋体"/>
          <w:color w:val="000000"/>
          <w:sz w:val="24"/>
          <w:szCs w:val="24"/>
          <w:highlight w:val="none"/>
        </w:rPr>
        <w:t xml:space="preserve">3 </w:t>
      </w:r>
      <w:r>
        <w:rPr>
          <w:rFonts w:hint="eastAsia" w:ascii="宋体" w:hAnsi="宋体" w:cs="宋体"/>
          <w:color w:val="000000"/>
          <w:sz w:val="24"/>
          <w:szCs w:val="24"/>
          <w:highlight w:val="none"/>
        </w:rPr>
        <w:t>家的，应当中止采购活动，视同未预留份额的采购项目或者采购包，按照本办法第九条有关规定重新组织采购活动。</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第十一条</w:t>
      </w:r>
      <w:r>
        <w:rPr>
          <w:rFonts w:hint="eastAsia" w:ascii="宋体" w:hAnsi="宋体" w:cs="宋体"/>
          <w:color w:val="000000"/>
          <w:sz w:val="24"/>
          <w:szCs w:val="24"/>
          <w:highlight w:val="none"/>
        </w:rPr>
        <w:t>中小企业参加政府采购活动，应当出具本办法规定的《中小企业声明函》，否则不得享受相关中小企业扶持政策。任何单位和个人不得要求供应商提供《中小企业声明函》之外的中小企业身份证明文件。</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第十二条</w:t>
      </w:r>
      <w:r>
        <w:rPr>
          <w:rFonts w:hint="eastAsia" w:ascii="宋体" w:hAnsi="宋体" w:cs="宋体"/>
          <w:color w:val="000000"/>
          <w:sz w:val="24"/>
          <w:szCs w:val="24"/>
          <w:highlight w:val="none"/>
        </w:rPr>
        <w:t>采购项目涉及中小企业采购的，采购文件应当明确以下内容：</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（一）预留份额的采购项目或者采购包，明确该项目或相关采购包专门面向中小企业采购，以及相关标的及预算金额；</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（二）要求以联合体形式参加或者合同分包的，明确联合协议或者分包意向协议中中小企业合同金额应当达到的比例，并作为供应商资格条件；</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（三）非预留份额的采购项目或者采购包，明确有关价格扣除比例或者价格分加分比例；</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（四）规定依据本办法规定享受扶持政策获得政府采购合同的，小微企业不得将合同分包给大中型企业，中型企业不得将合同分包给大型企业；</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（五）采购人认为具备相关条件的，明确对中小企业在资金支付期限、预付款比例等方面的优惠措施；</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（六）明确采购标的对应的中小企业划分标准所属行业；</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（七）法律法规和省级以上人民政府财政部门规定的其他事项。</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第十三条</w:t>
      </w:r>
      <w:r>
        <w:rPr>
          <w:rFonts w:hint="eastAsia" w:ascii="宋体" w:hAnsi="宋体" w:cs="宋体"/>
          <w:color w:val="000000"/>
          <w:sz w:val="24"/>
          <w:szCs w:val="24"/>
          <w:highlight w:val="none"/>
        </w:rPr>
        <w:t>中标、中标人享受本办法规定的中小企业扶持政策的，采购人、采购代理机构应当随中标、中标结果公开中标、中标人的《中小企业声明函》。</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适用招标投标法的政府采购工程建设项目，应当在公示中标候选人时公开中标候选人的《中小企业声明函》。</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第十四条</w:t>
      </w:r>
      <w:r>
        <w:rPr>
          <w:rFonts w:hint="eastAsia" w:ascii="宋体" w:hAnsi="宋体" w:cs="宋体"/>
          <w:color w:val="000000"/>
          <w:sz w:val="24"/>
          <w:szCs w:val="24"/>
          <w:highlight w:val="none"/>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第十五条</w:t>
      </w:r>
      <w:r>
        <w:rPr>
          <w:rFonts w:hint="eastAsia" w:ascii="宋体" w:hAnsi="宋体" w:cs="宋体"/>
          <w:color w:val="000000"/>
          <w:sz w:val="24"/>
          <w:szCs w:val="24"/>
          <w:highlight w:val="none"/>
        </w:rPr>
        <w:t>鼓励各地区、各部门在采购活动中允许中小企业引入信用担保手段，为中小企业在投标（响应）保证、履约保证等方面提供专业化服务。鼓励中小企业依法合规通过政府采购合同融资。</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第十六条</w:t>
      </w:r>
      <w:r>
        <w:rPr>
          <w:rFonts w:hint="eastAsia" w:ascii="宋体" w:hAnsi="宋体" w:cs="宋体"/>
          <w:color w:val="000000"/>
          <w:sz w:val="24"/>
          <w:szCs w:val="24"/>
          <w:highlight w:val="none"/>
        </w:rPr>
        <w:t>政府采购监督检查、投诉处理及政府采购行政处罚中对中小企业的认定，由货物制造商或者工程、服务供应商注册登记所在地的县级以上人民政府中小企业主管部门负责。</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中小企业主管部门应当在收到财政部门或者有关招标投标行政监督部门关于协助开展中小企业认定函后</w:t>
      </w:r>
      <w:r>
        <w:rPr>
          <w:rFonts w:ascii="宋体" w:hAnsi="宋体" w:cs="宋体"/>
          <w:color w:val="000000"/>
          <w:sz w:val="24"/>
          <w:szCs w:val="24"/>
          <w:highlight w:val="none"/>
        </w:rPr>
        <w:t xml:space="preserve">10 </w:t>
      </w:r>
      <w:r>
        <w:rPr>
          <w:rFonts w:hint="eastAsia" w:ascii="宋体" w:hAnsi="宋体" w:cs="宋体"/>
          <w:color w:val="000000"/>
          <w:sz w:val="24"/>
          <w:szCs w:val="24"/>
          <w:highlight w:val="none"/>
        </w:rPr>
        <w:t>个工作日内做出书面答复。</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第十七条</w:t>
      </w:r>
      <w:r>
        <w:rPr>
          <w:rFonts w:hint="eastAsia" w:ascii="宋体" w:hAnsi="宋体" w:cs="宋体"/>
          <w:color w:val="000000"/>
          <w:sz w:val="24"/>
          <w:szCs w:val="24"/>
          <w:highlight w:val="none"/>
        </w:rPr>
        <w:t>各地区、各部门应当对涉及中小企业采购的预算项目实施全过程绩效管理，合理设置绩效目标和指标，落实扶持中小企业有关政策要求，定期开展绩效监控和评价，强化绩效评价结果应用。</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第十八条</w:t>
      </w:r>
      <w:r>
        <w:rPr>
          <w:rFonts w:hint="eastAsia" w:ascii="宋体" w:hAnsi="宋体" w:cs="宋体"/>
          <w:color w:val="000000"/>
          <w:sz w:val="24"/>
          <w:szCs w:val="24"/>
          <w:highlight w:val="none"/>
        </w:rPr>
        <w:t>主管预算单位应当自</w:t>
      </w:r>
      <w:r>
        <w:rPr>
          <w:rFonts w:ascii="宋体" w:hAnsi="宋体" w:cs="宋体"/>
          <w:color w:val="000000"/>
          <w:sz w:val="24"/>
          <w:szCs w:val="24"/>
          <w:highlight w:val="none"/>
        </w:rPr>
        <w:t xml:space="preserve">2022 </w:t>
      </w:r>
      <w:r>
        <w:rPr>
          <w:rFonts w:hint="eastAsia" w:ascii="宋体" w:hAnsi="宋体" w:cs="宋体"/>
          <w:color w:val="000000"/>
          <w:sz w:val="24"/>
          <w:szCs w:val="24"/>
          <w:highlight w:val="none"/>
        </w:rPr>
        <w:t>年起向同级财政部门报告本部门上一年度面向中小企业预留份额和采购的具体情况，并在中国政府采购网公开预留项目执行情况。未达到本办法规定的预留份额比例的，应当作出说明。</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第十九条</w:t>
      </w:r>
      <w:r>
        <w:rPr>
          <w:rFonts w:hint="eastAsia" w:ascii="宋体" w:hAnsi="宋体" w:cs="宋体"/>
          <w:color w:val="000000"/>
          <w:sz w:val="24"/>
          <w:szCs w:val="24"/>
          <w:highlight w:val="none"/>
        </w:rPr>
        <w:t>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第二十条</w:t>
      </w:r>
      <w:r>
        <w:rPr>
          <w:rFonts w:hint="eastAsia" w:ascii="宋体" w:hAnsi="宋体" w:cs="宋体"/>
          <w:color w:val="000000"/>
          <w:sz w:val="24"/>
          <w:szCs w:val="24"/>
          <w:highlight w:val="none"/>
        </w:rPr>
        <w:t>供应商按照本办法规定提供声明函内容不实的，属于提供虚假材料谋取中标、中标，依照《中华人民共和国政府采购法》等国家有关规定追究相应责任。</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适用招标投标法的政府采购工程建设项目，投标人按照本办法规定提供声明函内容不实的，属于弄虚作假骗取中标，</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依照《中华人民共和国招标投标法》等国家有关规定追究相应责任。</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第二十一条</w:t>
      </w:r>
      <w:r>
        <w:rPr>
          <w:rFonts w:hint="eastAsia" w:ascii="宋体" w:hAnsi="宋体" w:cs="宋体"/>
          <w:color w:val="000000"/>
          <w:sz w:val="24"/>
          <w:szCs w:val="24"/>
          <w:highlight w:val="none"/>
        </w:rPr>
        <w:t>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第二十二条</w:t>
      </w:r>
      <w:r>
        <w:rPr>
          <w:rFonts w:hint="eastAsia" w:ascii="宋体" w:hAnsi="宋体" w:cs="宋体"/>
          <w:color w:val="000000"/>
          <w:sz w:val="24"/>
          <w:szCs w:val="24"/>
          <w:highlight w:val="none"/>
        </w:rPr>
        <w:t>对外援助项目、国家相关资格或者资质管理制度另有规定的项目，不适用本办法。</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第二十三条</w:t>
      </w:r>
      <w:r>
        <w:rPr>
          <w:rFonts w:hint="eastAsia" w:ascii="宋体" w:hAnsi="宋体" w:cs="宋体"/>
          <w:color w:val="000000"/>
          <w:sz w:val="24"/>
          <w:szCs w:val="24"/>
          <w:highlight w:val="none"/>
        </w:rPr>
        <w:t>关于视同中小企业的其他主体的政府采购扶持政策，由财政部会同有关部门另行规定。</w:t>
      </w:r>
    </w:p>
    <w:p>
      <w:pPr>
        <w:spacing w:line="360" w:lineRule="auto"/>
        <w:ind w:firstLine="482" w:firstLineChars="200"/>
        <w:rPr>
          <w:rFonts w:ascii="宋体" w:hAnsi="宋体" w:cs="宋体"/>
          <w:color w:val="000000"/>
          <w:sz w:val="24"/>
          <w:szCs w:val="24"/>
          <w:highlight w:val="none"/>
        </w:rPr>
      </w:pPr>
      <w:r>
        <w:rPr>
          <w:rFonts w:hint="eastAsia" w:ascii="宋体" w:hAnsi="宋体" w:cs="宋体"/>
          <w:b/>
          <w:color w:val="000000"/>
          <w:sz w:val="24"/>
          <w:szCs w:val="24"/>
          <w:highlight w:val="none"/>
        </w:rPr>
        <w:t>第二十四条</w:t>
      </w:r>
      <w:r>
        <w:rPr>
          <w:rFonts w:hint="eastAsia" w:ascii="宋体" w:hAnsi="宋体" w:cs="宋体"/>
          <w:color w:val="000000"/>
          <w:sz w:val="24"/>
          <w:szCs w:val="24"/>
          <w:highlight w:val="none"/>
        </w:rPr>
        <w:t>省级财政部门可以会同中小企业主管部门根据本办法的规定制定具体实施办法。</w:t>
      </w:r>
    </w:p>
    <w:p>
      <w:pPr>
        <w:spacing w:line="360" w:lineRule="auto"/>
        <w:ind w:firstLine="482" w:firstLineChars="200"/>
        <w:rPr>
          <w:rFonts w:ascii="宋体" w:hAnsi="宋体" w:cs="宋体"/>
          <w:b/>
          <w:color w:val="000000"/>
          <w:sz w:val="24"/>
          <w:szCs w:val="24"/>
          <w:highlight w:val="none"/>
        </w:rPr>
      </w:pPr>
      <w:r>
        <w:rPr>
          <w:rFonts w:hint="eastAsia" w:ascii="宋体" w:hAnsi="宋体" w:cs="宋体"/>
          <w:b/>
          <w:color w:val="000000"/>
          <w:sz w:val="24"/>
          <w:szCs w:val="24"/>
          <w:highlight w:val="none"/>
        </w:rPr>
        <w:t>第二十五条</w:t>
      </w:r>
      <w:r>
        <w:rPr>
          <w:rFonts w:hint="eastAsia" w:ascii="宋体" w:hAnsi="宋体" w:cs="宋体"/>
          <w:color w:val="000000"/>
          <w:sz w:val="24"/>
          <w:szCs w:val="24"/>
          <w:highlight w:val="none"/>
        </w:rPr>
        <w:t>本办法自</w:t>
      </w:r>
      <w:r>
        <w:rPr>
          <w:rFonts w:ascii="宋体" w:hAnsi="宋体" w:cs="宋体"/>
          <w:color w:val="000000"/>
          <w:sz w:val="24"/>
          <w:szCs w:val="24"/>
          <w:highlight w:val="none"/>
        </w:rPr>
        <w:t xml:space="preserve">2021 </w:t>
      </w:r>
      <w:r>
        <w:rPr>
          <w:rFonts w:hint="eastAsia" w:ascii="宋体" w:hAnsi="宋体" w:cs="宋体"/>
          <w:color w:val="000000"/>
          <w:sz w:val="24"/>
          <w:szCs w:val="24"/>
          <w:highlight w:val="none"/>
        </w:rPr>
        <w:t>年</w:t>
      </w:r>
      <w:r>
        <w:rPr>
          <w:rFonts w:ascii="宋体" w:hAnsi="宋体" w:cs="宋体"/>
          <w:color w:val="000000"/>
          <w:sz w:val="24"/>
          <w:szCs w:val="24"/>
          <w:highlight w:val="none"/>
        </w:rPr>
        <w:t xml:space="preserve">1 </w:t>
      </w:r>
      <w:r>
        <w:rPr>
          <w:rFonts w:hint="eastAsia" w:ascii="宋体" w:hAnsi="宋体" w:cs="宋体"/>
          <w:color w:val="000000"/>
          <w:sz w:val="24"/>
          <w:szCs w:val="24"/>
          <w:highlight w:val="none"/>
        </w:rPr>
        <w:t>月</w:t>
      </w:r>
      <w:r>
        <w:rPr>
          <w:rFonts w:ascii="宋体" w:hAnsi="宋体" w:cs="宋体"/>
          <w:color w:val="000000"/>
          <w:sz w:val="24"/>
          <w:szCs w:val="24"/>
          <w:highlight w:val="none"/>
        </w:rPr>
        <w:t xml:space="preserve">1 </w:t>
      </w:r>
      <w:r>
        <w:rPr>
          <w:rFonts w:hint="eastAsia" w:ascii="宋体" w:hAnsi="宋体" w:cs="宋体"/>
          <w:color w:val="000000"/>
          <w:sz w:val="24"/>
          <w:szCs w:val="24"/>
          <w:highlight w:val="none"/>
        </w:rPr>
        <w:t>日起施行。《财政部工业和信息化部关于印发〈政府采购促进中小企业发展暂行办法〉的通知》（财库﹝</w:t>
      </w:r>
      <w:r>
        <w:rPr>
          <w:rFonts w:ascii="宋体" w:hAnsi="宋体" w:cs="宋体"/>
          <w:color w:val="000000"/>
          <w:sz w:val="24"/>
          <w:szCs w:val="24"/>
          <w:highlight w:val="none"/>
        </w:rPr>
        <w:t>2011</w:t>
      </w:r>
      <w:r>
        <w:rPr>
          <w:rFonts w:hint="eastAsia" w:ascii="宋体" w:hAnsi="宋体" w:cs="宋体"/>
          <w:color w:val="000000"/>
          <w:sz w:val="24"/>
          <w:szCs w:val="24"/>
          <w:highlight w:val="none"/>
        </w:rPr>
        <w:t>﹞</w:t>
      </w:r>
      <w:r>
        <w:rPr>
          <w:rFonts w:ascii="宋体" w:hAnsi="宋体" w:cs="宋体"/>
          <w:color w:val="000000"/>
          <w:sz w:val="24"/>
          <w:szCs w:val="24"/>
          <w:highlight w:val="none"/>
        </w:rPr>
        <w:t xml:space="preserve">181 </w:t>
      </w:r>
      <w:r>
        <w:rPr>
          <w:rFonts w:hint="eastAsia" w:ascii="宋体" w:hAnsi="宋体" w:cs="宋体"/>
          <w:color w:val="000000"/>
          <w:sz w:val="24"/>
          <w:szCs w:val="24"/>
          <w:highlight w:val="none"/>
        </w:rPr>
        <w:t>号）同时废止。</w:t>
      </w:r>
    </w:p>
    <w:p>
      <w:pPr>
        <w:widowControl/>
        <w:jc w:val="left"/>
        <w:rPr>
          <w:rFonts w:ascii="宋体" w:hAnsi="宋体" w:cs="宋体"/>
          <w:b/>
          <w:color w:val="000000"/>
          <w:sz w:val="24"/>
          <w:szCs w:val="24"/>
          <w:highlight w:val="none"/>
        </w:rPr>
      </w:pPr>
      <w:r>
        <w:rPr>
          <w:rFonts w:ascii="宋体" w:hAnsi="宋体" w:cs="宋体"/>
          <w:b/>
          <w:color w:val="000000"/>
          <w:sz w:val="24"/>
          <w:szCs w:val="24"/>
          <w:highlight w:val="none"/>
        </w:rPr>
        <w:br w:type="page"/>
      </w:r>
    </w:p>
    <w:p>
      <w:pPr>
        <w:spacing w:line="360" w:lineRule="auto"/>
        <w:rPr>
          <w:rFonts w:ascii="宋体" w:hAnsi="宋体" w:cs="宋体"/>
          <w:b/>
          <w:color w:val="000000"/>
          <w:sz w:val="24"/>
          <w:szCs w:val="24"/>
          <w:highlight w:val="none"/>
        </w:rPr>
      </w:pPr>
      <w:r>
        <w:rPr>
          <w:rFonts w:hint="eastAsia" w:ascii="宋体" w:hAnsi="宋体" w:cs="宋体"/>
          <w:b/>
          <w:color w:val="000000"/>
          <w:sz w:val="24"/>
          <w:szCs w:val="24"/>
          <w:highlight w:val="none"/>
        </w:rPr>
        <w:t>关于进一步加大政府采购支持中小企业力度的通知</w:t>
      </w:r>
    </w:p>
    <w:p>
      <w:pPr>
        <w:spacing w:line="360" w:lineRule="auto"/>
        <w:rPr>
          <w:rFonts w:ascii="宋体" w:hAnsi="宋体" w:cs="宋体"/>
          <w:color w:val="000000"/>
          <w:sz w:val="24"/>
          <w:szCs w:val="24"/>
          <w:highlight w:val="none"/>
        </w:rPr>
      </w:pPr>
    </w:p>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财库〔2022〕19号</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各中央预算单位，各省、自治区、直辖市、计划单列市财政厅（局），新疆生产建设兵团财政局：</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pPr>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四、认真做好组织实施。各地区、各部门应当加强组织领导，明确工作责任，细化执行要求，强化监督检查，确保国务院部署落实到位，对通知执行中出现的问题要及时向财政部报告。</w:t>
      </w:r>
    </w:p>
    <w:p>
      <w:pPr>
        <w:spacing w:line="360" w:lineRule="auto"/>
        <w:rPr>
          <w:rFonts w:ascii="宋体" w:hAnsi="宋体" w:cs="宋体"/>
          <w:color w:val="000000"/>
          <w:sz w:val="24"/>
          <w:szCs w:val="24"/>
          <w:highlight w:val="none"/>
        </w:rPr>
      </w:pPr>
    </w:p>
    <w:p>
      <w:pP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rPr>
        <w:t>财  政  部</w:t>
      </w:r>
    </w:p>
    <w:p>
      <w:pPr>
        <w:spacing w:line="360" w:lineRule="auto"/>
        <w:jc w:val="right"/>
        <w:rPr>
          <w:rFonts w:ascii="宋体" w:hAnsi="宋体" w:cs="宋体"/>
          <w:color w:val="000000"/>
          <w:sz w:val="24"/>
          <w:szCs w:val="24"/>
          <w:highlight w:val="none"/>
        </w:rPr>
      </w:pPr>
    </w:p>
    <w:p>
      <w:pP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rPr>
        <w:t>2022年5月30日</w:t>
      </w:r>
    </w:p>
    <w:p>
      <w:pPr>
        <w:pStyle w:val="42"/>
        <w:spacing w:before="0" w:beforeAutospacing="0" w:after="0" w:afterAutospacing="0" w:line="360" w:lineRule="auto"/>
        <w:rPr>
          <w:rFonts w:cs="宋体"/>
          <w:color w:val="000000"/>
          <w:highlight w:val="none"/>
        </w:rPr>
      </w:pPr>
      <w:r>
        <w:rPr>
          <w:rFonts w:cs="宋体"/>
          <w:b/>
          <w:color w:val="000000"/>
          <w:highlight w:val="none"/>
        </w:rPr>
        <w:br w:type="page"/>
      </w:r>
      <w:r>
        <w:rPr>
          <w:rStyle w:val="51"/>
          <w:rFonts w:hint="eastAsia" w:cs="宋体"/>
          <w:color w:val="000000"/>
          <w:highlight w:val="none"/>
        </w:rPr>
        <w:t>中小企业划型标准规定</w:t>
      </w:r>
    </w:p>
    <w:p>
      <w:pPr>
        <w:pStyle w:val="42"/>
        <w:spacing w:before="0" w:beforeAutospacing="0" w:after="0" w:afterAutospacing="0" w:line="360" w:lineRule="auto"/>
        <w:rPr>
          <w:rFonts w:cs="宋体"/>
          <w:color w:val="000000"/>
          <w:highlight w:val="none"/>
        </w:rPr>
      </w:pPr>
      <w:r>
        <w:rPr>
          <w:rFonts w:cs="宋体"/>
          <w:color w:val="000000"/>
          <w:highlight w:val="none"/>
        </w:rPr>
        <w:t> </w:t>
      </w:r>
      <w:r>
        <w:rPr>
          <w:rFonts w:hint="eastAsia" w:cs="宋体"/>
          <w:color w:val="000000"/>
          <w:highlight w:val="none"/>
        </w:rPr>
        <w:t>　一、根据《中华人民共和国中小企业促进法》和《国务院关于进一步促进中小企业发展的若干意见》</w:t>
      </w:r>
      <w:r>
        <w:rPr>
          <w:rFonts w:cs="宋体"/>
          <w:color w:val="000000"/>
          <w:highlight w:val="none"/>
        </w:rPr>
        <w:t>(</w:t>
      </w:r>
      <w:r>
        <w:rPr>
          <w:rFonts w:hint="eastAsia" w:cs="宋体"/>
          <w:color w:val="000000"/>
          <w:highlight w:val="none"/>
        </w:rPr>
        <w:t>国发〔</w:t>
      </w:r>
      <w:r>
        <w:rPr>
          <w:rFonts w:cs="宋体"/>
          <w:color w:val="000000"/>
          <w:highlight w:val="none"/>
        </w:rPr>
        <w:t>2009</w:t>
      </w:r>
      <w:r>
        <w:rPr>
          <w:rFonts w:hint="eastAsia" w:cs="宋体"/>
          <w:color w:val="000000"/>
          <w:highlight w:val="none"/>
        </w:rPr>
        <w:t>〕</w:t>
      </w:r>
      <w:r>
        <w:rPr>
          <w:rFonts w:cs="宋体"/>
          <w:color w:val="000000"/>
          <w:highlight w:val="none"/>
        </w:rPr>
        <w:t>36</w:t>
      </w:r>
      <w:r>
        <w:rPr>
          <w:rFonts w:hint="eastAsia" w:cs="宋体"/>
          <w:color w:val="000000"/>
          <w:highlight w:val="none"/>
        </w:rPr>
        <w:t>号</w:t>
      </w:r>
      <w:r>
        <w:rPr>
          <w:rFonts w:cs="宋体"/>
          <w:color w:val="000000"/>
          <w:highlight w:val="none"/>
        </w:rPr>
        <w:t>)</w:t>
      </w:r>
      <w:r>
        <w:rPr>
          <w:rFonts w:hint="eastAsia" w:cs="宋体"/>
          <w:color w:val="000000"/>
          <w:highlight w:val="none"/>
        </w:rPr>
        <w:t>，制定本规定。</w:t>
      </w:r>
      <w:r>
        <w:rPr>
          <w:rFonts w:cs="宋体"/>
          <w:color w:val="000000"/>
          <w:highlight w:val="none"/>
        </w:rPr>
        <w:br w:type="textWrapping"/>
      </w:r>
      <w:r>
        <w:rPr>
          <w:rFonts w:hint="eastAsia" w:cs="宋体"/>
          <w:color w:val="000000"/>
          <w:highlight w:val="none"/>
        </w:rPr>
        <w:t>　　二、中小企业划分为中型、小型、微型三种类型，具体标准根据企业从业人员、营业收入、资产总额等指标，结合行业特点制定。</w:t>
      </w:r>
      <w:r>
        <w:rPr>
          <w:rFonts w:cs="宋体"/>
          <w:color w:val="000000"/>
          <w:highlight w:val="none"/>
        </w:rPr>
        <w:br w:type="textWrapping"/>
      </w:r>
      <w:r>
        <w:rPr>
          <w:rFonts w:hint="eastAsia" w:cs="宋体"/>
          <w:color w:val="000000"/>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cs="宋体"/>
          <w:color w:val="000000"/>
          <w:highlight w:val="none"/>
        </w:rPr>
        <w:br w:type="textWrapping"/>
      </w:r>
      <w:r>
        <w:rPr>
          <w:rFonts w:hint="eastAsia" w:cs="宋体"/>
          <w:color w:val="000000"/>
          <w:highlight w:val="none"/>
        </w:rPr>
        <w:t>　　四、各行业划型标准为：</w:t>
      </w:r>
      <w:r>
        <w:rPr>
          <w:rFonts w:cs="宋体"/>
          <w:color w:val="000000"/>
          <w:highlight w:val="none"/>
        </w:rPr>
        <w:br w:type="textWrapping"/>
      </w:r>
      <w:r>
        <w:rPr>
          <w:rFonts w:hint="eastAsia" w:cs="宋体"/>
          <w:color w:val="000000"/>
          <w:highlight w:val="none"/>
        </w:rPr>
        <w:t>　　（一）农、林、牧、渔业。营业收入</w:t>
      </w:r>
      <w:r>
        <w:rPr>
          <w:rFonts w:cs="宋体"/>
          <w:color w:val="000000"/>
          <w:highlight w:val="none"/>
        </w:rPr>
        <w:t>20000</w:t>
      </w:r>
      <w:r>
        <w:rPr>
          <w:rFonts w:hint="eastAsia" w:cs="宋体"/>
          <w:color w:val="000000"/>
          <w:highlight w:val="none"/>
        </w:rPr>
        <w:t>万元以下的为中小微型企业。其中，营业收入</w:t>
      </w:r>
      <w:r>
        <w:rPr>
          <w:rFonts w:cs="宋体"/>
          <w:color w:val="000000"/>
          <w:highlight w:val="none"/>
        </w:rPr>
        <w:t>500</w:t>
      </w:r>
      <w:r>
        <w:rPr>
          <w:rFonts w:hint="eastAsia" w:cs="宋体"/>
          <w:color w:val="000000"/>
          <w:highlight w:val="none"/>
        </w:rPr>
        <w:t>万元及以上的为中型企业，营业收入</w:t>
      </w:r>
      <w:r>
        <w:rPr>
          <w:rFonts w:cs="宋体"/>
          <w:color w:val="000000"/>
          <w:highlight w:val="none"/>
        </w:rPr>
        <w:t>50</w:t>
      </w:r>
      <w:r>
        <w:rPr>
          <w:rFonts w:hint="eastAsia" w:cs="宋体"/>
          <w:color w:val="000000"/>
          <w:highlight w:val="none"/>
        </w:rPr>
        <w:t>万元及以上的为小型企业，营业收入</w:t>
      </w:r>
      <w:r>
        <w:rPr>
          <w:rFonts w:cs="宋体"/>
          <w:color w:val="000000"/>
          <w:highlight w:val="none"/>
        </w:rPr>
        <w:t>50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（二）工业。从业人员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40000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300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300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（三）建筑业。营业收入</w:t>
      </w:r>
      <w:r>
        <w:rPr>
          <w:rFonts w:cs="宋体"/>
          <w:color w:val="000000"/>
          <w:highlight w:val="none"/>
        </w:rPr>
        <w:t>80000</w:t>
      </w:r>
      <w:r>
        <w:rPr>
          <w:rFonts w:hint="eastAsia" w:cs="宋体"/>
          <w:color w:val="000000"/>
          <w:highlight w:val="none"/>
        </w:rPr>
        <w:t>万元以下或资产总额</w:t>
      </w:r>
      <w:r>
        <w:rPr>
          <w:rFonts w:cs="宋体"/>
          <w:color w:val="000000"/>
          <w:highlight w:val="none"/>
        </w:rPr>
        <w:t>80000</w:t>
      </w:r>
      <w:r>
        <w:rPr>
          <w:rFonts w:hint="eastAsia" w:cs="宋体"/>
          <w:color w:val="000000"/>
          <w:highlight w:val="none"/>
        </w:rPr>
        <w:t>万元以下的为中小微型企业。其中，营业收入</w:t>
      </w:r>
      <w:r>
        <w:rPr>
          <w:rFonts w:cs="宋体"/>
          <w:color w:val="000000"/>
          <w:highlight w:val="none"/>
        </w:rPr>
        <w:t>6000</w:t>
      </w:r>
      <w:r>
        <w:rPr>
          <w:rFonts w:hint="eastAsia" w:cs="宋体"/>
          <w:color w:val="000000"/>
          <w:highlight w:val="none"/>
        </w:rPr>
        <w:t>万元及以上，且资产总额</w:t>
      </w:r>
      <w:r>
        <w:rPr>
          <w:rFonts w:cs="宋体"/>
          <w:color w:val="000000"/>
          <w:highlight w:val="none"/>
        </w:rPr>
        <w:t>5000</w:t>
      </w:r>
      <w:r>
        <w:rPr>
          <w:rFonts w:hint="eastAsia" w:cs="宋体"/>
          <w:color w:val="000000"/>
          <w:highlight w:val="none"/>
        </w:rPr>
        <w:t>万元及以上的为中型企业；营业收入</w:t>
      </w:r>
      <w:r>
        <w:rPr>
          <w:rFonts w:cs="宋体"/>
          <w:color w:val="000000"/>
          <w:highlight w:val="none"/>
        </w:rPr>
        <w:t>300</w:t>
      </w:r>
      <w:r>
        <w:rPr>
          <w:rFonts w:hint="eastAsia" w:cs="宋体"/>
          <w:color w:val="000000"/>
          <w:highlight w:val="none"/>
        </w:rPr>
        <w:t>万元及以上，且资产总额</w:t>
      </w:r>
      <w:r>
        <w:rPr>
          <w:rFonts w:cs="宋体"/>
          <w:color w:val="000000"/>
          <w:highlight w:val="none"/>
        </w:rPr>
        <w:t>300</w:t>
      </w:r>
      <w:r>
        <w:rPr>
          <w:rFonts w:hint="eastAsia" w:cs="宋体"/>
          <w:color w:val="000000"/>
          <w:highlight w:val="none"/>
        </w:rPr>
        <w:t>万元及以上的为小型企业；营业收入</w:t>
      </w:r>
      <w:r>
        <w:rPr>
          <w:rFonts w:cs="宋体"/>
          <w:color w:val="000000"/>
          <w:highlight w:val="none"/>
        </w:rPr>
        <w:t>300</w:t>
      </w:r>
      <w:r>
        <w:rPr>
          <w:rFonts w:hint="eastAsia" w:cs="宋体"/>
          <w:color w:val="000000"/>
          <w:highlight w:val="none"/>
        </w:rPr>
        <w:t>万元以下或资产总额</w:t>
      </w:r>
      <w:r>
        <w:rPr>
          <w:rFonts w:cs="宋体"/>
          <w:color w:val="000000"/>
          <w:highlight w:val="none"/>
        </w:rPr>
        <w:t>300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（四）批发业。从业人员</w:t>
      </w:r>
      <w:r>
        <w:rPr>
          <w:rFonts w:cs="宋体"/>
          <w:color w:val="000000"/>
          <w:highlight w:val="none"/>
        </w:rPr>
        <w:t>200</w:t>
      </w:r>
      <w:r>
        <w:rPr>
          <w:rFonts w:hint="eastAsia" w:cs="宋体"/>
          <w:color w:val="000000"/>
          <w:highlight w:val="none"/>
        </w:rPr>
        <w:t>人以下或营业收入</w:t>
      </w:r>
      <w:r>
        <w:rPr>
          <w:rFonts w:cs="宋体"/>
          <w:color w:val="000000"/>
          <w:highlight w:val="none"/>
        </w:rPr>
        <w:t>40000</w:t>
      </w:r>
      <w:r>
        <w:rPr>
          <w:rFonts w:hint="eastAsia" w:cs="宋体"/>
          <w:color w:val="000000"/>
          <w:highlight w:val="none"/>
        </w:rPr>
        <w:t>万元以下的为中小微型企业。其中，从业人员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5000</w:t>
      </w:r>
      <w:r>
        <w:rPr>
          <w:rFonts w:hint="eastAsia" w:cs="宋体"/>
          <w:color w:val="000000"/>
          <w:highlight w:val="none"/>
        </w:rPr>
        <w:t>万元及以上的为中型企业；从业人员</w:t>
      </w:r>
      <w:r>
        <w:rPr>
          <w:rFonts w:cs="宋体"/>
          <w:color w:val="000000"/>
          <w:highlight w:val="none"/>
        </w:rPr>
        <w:t>5</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万元及以上的为小型企业；从业人员</w:t>
      </w:r>
      <w:r>
        <w:rPr>
          <w:rFonts w:cs="宋体"/>
          <w:color w:val="000000"/>
          <w:highlight w:val="none"/>
        </w:rPr>
        <w:t>5</w:t>
      </w:r>
      <w:r>
        <w:rPr>
          <w:rFonts w:hint="eastAsia" w:cs="宋体"/>
          <w:color w:val="000000"/>
          <w:highlight w:val="none"/>
        </w:rPr>
        <w:t>人以下或营业收入</w:t>
      </w:r>
      <w:r>
        <w:rPr>
          <w:rFonts w:cs="宋体"/>
          <w:color w:val="000000"/>
          <w:highlight w:val="none"/>
        </w:rPr>
        <w:t>1000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（五）零售业。从业人员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20000</w:t>
      </w:r>
      <w:r>
        <w:rPr>
          <w:rFonts w:hint="eastAsia" w:cs="宋体"/>
          <w:color w:val="000000"/>
          <w:highlight w:val="none"/>
        </w:rPr>
        <w:t>万元以下的为中小微型企业。其中，从业人员</w:t>
      </w:r>
      <w:r>
        <w:rPr>
          <w:rFonts w:cs="宋体"/>
          <w:color w:val="000000"/>
          <w:highlight w:val="none"/>
        </w:rPr>
        <w:t>50</w:t>
      </w:r>
      <w:r>
        <w:rPr>
          <w:rFonts w:hint="eastAsia" w:cs="宋体"/>
          <w:color w:val="000000"/>
          <w:highlight w:val="none"/>
        </w:rPr>
        <w:t>人及以上，且营业收入</w:t>
      </w:r>
      <w:r>
        <w:rPr>
          <w:rFonts w:cs="宋体"/>
          <w:color w:val="000000"/>
          <w:highlight w:val="none"/>
        </w:rPr>
        <w:t>500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（六）交通运输业。从业人员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30000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3000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200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200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（七）仓储业。从业人员</w:t>
      </w:r>
      <w:r>
        <w:rPr>
          <w:rFonts w:cs="宋体"/>
          <w:color w:val="000000"/>
          <w:highlight w:val="none"/>
        </w:rPr>
        <w:t>200</w:t>
      </w:r>
      <w:r>
        <w:rPr>
          <w:rFonts w:hint="eastAsia" w:cs="宋体"/>
          <w:color w:val="000000"/>
          <w:highlight w:val="none"/>
        </w:rPr>
        <w:t>人以下或营业收入</w:t>
      </w:r>
      <w:r>
        <w:rPr>
          <w:rFonts w:cs="宋体"/>
          <w:color w:val="000000"/>
          <w:highlight w:val="none"/>
        </w:rPr>
        <w:t>30000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（八）邮政业。从业人员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30000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20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20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（九）住宿业。从业人员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10000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（十）餐饮业。从业人员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10000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2000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（十一）信息传输业。从业人员</w:t>
      </w:r>
      <w:r>
        <w:rPr>
          <w:rFonts w:cs="宋体"/>
          <w:color w:val="000000"/>
          <w:highlight w:val="none"/>
        </w:rPr>
        <w:t>2000</w:t>
      </w:r>
      <w:r>
        <w:rPr>
          <w:rFonts w:hint="eastAsia" w:cs="宋体"/>
          <w:color w:val="000000"/>
          <w:highlight w:val="none"/>
        </w:rPr>
        <w:t>人以下或营业收入</w:t>
      </w:r>
      <w:r>
        <w:rPr>
          <w:rFonts w:cs="宋体"/>
          <w:color w:val="000000"/>
          <w:highlight w:val="none"/>
        </w:rPr>
        <w:t>100000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（十二）软件和信息技术服务业。从业人员</w:t>
      </w:r>
      <w:r>
        <w:rPr>
          <w:rFonts w:cs="宋体"/>
          <w:color w:val="000000"/>
          <w:highlight w:val="none"/>
        </w:rPr>
        <w:t>300</w:t>
      </w:r>
      <w:r>
        <w:rPr>
          <w:rFonts w:hint="eastAsia" w:cs="宋体"/>
          <w:color w:val="000000"/>
          <w:highlight w:val="none"/>
        </w:rPr>
        <w:t>人以下或营业收入</w:t>
      </w:r>
      <w:r>
        <w:rPr>
          <w:rFonts w:cs="宋体"/>
          <w:color w:val="000000"/>
          <w:highlight w:val="none"/>
        </w:rPr>
        <w:t>10000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人及以上，且营业收入</w:t>
      </w:r>
      <w:r>
        <w:rPr>
          <w:rFonts w:cs="宋体"/>
          <w:color w:val="000000"/>
          <w:highlight w:val="none"/>
        </w:rPr>
        <w:t>50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人以下或营业收入</w:t>
      </w:r>
      <w:r>
        <w:rPr>
          <w:rFonts w:cs="宋体"/>
          <w:color w:val="000000"/>
          <w:highlight w:val="none"/>
        </w:rPr>
        <w:t>50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（十三）房地产开发经营。营业收入</w:t>
      </w:r>
      <w:r>
        <w:rPr>
          <w:rFonts w:cs="宋体"/>
          <w:color w:val="000000"/>
          <w:highlight w:val="none"/>
        </w:rPr>
        <w:t>200000</w:t>
      </w:r>
      <w:r>
        <w:rPr>
          <w:rFonts w:hint="eastAsia" w:cs="宋体"/>
          <w:color w:val="000000"/>
          <w:highlight w:val="none"/>
        </w:rPr>
        <w:t>万元以下或资产总额</w:t>
      </w:r>
      <w:r>
        <w:rPr>
          <w:rFonts w:cs="宋体"/>
          <w:color w:val="000000"/>
          <w:highlight w:val="none"/>
        </w:rPr>
        <w:t>10000</w:t>
      </w:r>
      <w:r>
        <w:rPr>
          <w:rFonts w:hint="eastAsia" w:cs="宋体"/>
          <w:color w:val="000000"/>
          <w:highlight w:val="none"/>
        </w:rPr>
        <w:t>万元以下的为中小微型企业。其中，营业收入</w:t>
      </w:r>
      <w:r>
        <w:rPr>
          <w:rFonts w:cs="宋体"/>
          <w:color w:val="000000"/>
          <w:highlight w:val="none"/>
        </w:rPr>
        <w:t>1000</w:t>
      </w:r>
      <w:r>
        <w:rPr>
          <w:rFonts w:hint="eastAsia" w:cs="宋体"/>
          <w:color w:val="000000"/>
          <w:highlight w:val="none"/>
        </w:rPr>
        <w:t>万元及以上，且资产总额</w:t>
      </w:r>
      <w:r>
        <w:rPr>
          <w:rFonts w:cs="宋体"/>
          <w:color w:val="000000"/>
          <w:highlight w:val="none"/>
        </w:rPr>
        <w:t>5000</w:t>
      </w:r>
      <w:r>
        <w:rPr>
          <w:rFonts w:hint="eastAsia" w:cs="宋体"/>
          <w:color w:val="000000"/>
          <w:highlight w:val="none"/>
        </w:rPr>
        <w:t>万元及以上的为中型企业；营业收入</w:t>
      </w:r>
      <w:r>
        <w:rPr>
          <w:rFonts w:cs="宋体"/>
          <w:color w:val="000000"/>
          <w:highlight w:val="none"/>
        </w:rPr>
        <w:t>100</w:t>
      </w:r>
      <w:r>
        <w:rPr>
          <w:rFonts w:hint="eastAsia" w:cs="宋体"/>
          <w:color w:val="000000"/>
          <w:highlight w:val="none"/>
        </w:rPr>
        <w:t>万元及以上，且资产总额</w:t>
      </w:r>
      <w:r>
        <w:rPr>
          <w:rFonts w:cs="宋体"/>
          <w:color w:val="000000"/>
          <w:highlight w:val="none"/>
        </w:rPr>
        <w:t>2000</w:t>
      </w:r>
      <w:r>
        <w:rPr>
          <w:rFonts w:hint="eastAsia" w:cs="宋体"/>
          <w:color w:val="000000"/>
          <w:highlight w:val="none"/>
        </w:rPr>
        <w:t>万元及以上的为小型企业；营业收入</w:t>
      </w:r>
      <w:r>
        <w:rPr>
          <w:rFonts w:cs="宋体"/>
          <w:color w:val="000000"/>
          <w:highlight w:val="none"/>
        </w:rPr>
        <w:t>100</w:t>
      </w:r>
      <w:r>
        <w:rPr>
          <w:rFonts w:hint="eastAsia" w:cs="宋体"/>
          <w:color w:val="000000"/>
          <w:highlight w:val="none"/>
        </w:rPr>
        <w:t>万元以下或资产总额</w:t>
      </w:r>
      <w:r>
        <w:rPr>
          <w:rFonts w:cs="宋体"/>
          <w:color w:val="000000"/>
          <w:highlight w:val="none"/>
        </w:rPr>
        <w:t>2000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（十四）物业管理。从业人员</w:t>
      </w:r>
      <w:r>
        <w:rPr>
          <w:rFonts w:cs="宋体"/>
          <w:color w:val="000000"/>
          <w:highlight w:val="none"/>
        </w:rPr>
        <w:t>1000</w:t>
      </w:r>
      <w:r>
        <w:rPr>
          <w:rFonts w:hint="eastAsia" w:cs="宋体"/>
          <w:color w:val="000000"/>
          <w:highlight w:val="none"/>
        </w:rPr>
        <w:t>人以下或营业收入</w:t>
      </w:r>
      <w:r>
        <w:rPr>
          <w:rFonts w:cs="宋体"/>
          <w:color w:val="000000"/>
          <w:highlight w:val="none"/>
        </w:rPr>
        <w:t>5000</w:t>
      </w:r>
      <w:r>
        <w:rPr>
          <w:rFonts w:hint="eastAsia" w:cs="宋体"/>
          <w:color w:val="000000"/>
          <w:highlight w:val="none"/>
        </w:rPr>
        <w:t>万元以下的为中小微型企业。其中，从业人员</w:t>
      </w:r>
      <w:r>
        <w:rPr>
          <w:rFonts w:cs="宋体"/>
          <w:color w:val="000000"/>
          <w:highlight w:val="none"/>
        </w:rPr>
        <w:t>300</w:t>
      </w:r>
      <w:r>
        <w:rPr>
          <w:rFonts w:hint="eastAsia" w:cs="宋体"/>
          <w:color w:val="000000"/>
          <w:highlight w:val="none"/>
        </w:rPr>
        <w:t>人及以上，且营业收入</w:t>
      </w:r>
      <w:r>
        <w:rPr>
          <w:rFonts w:cs="宋体"/>
          <w:color w:val="000000"/>
          <w:highlight w:val="none"/>
        </w:rPr>
        <w:t>1000</w:t>
      </w:r>
      <w:r>
        <w:rPr>
          <w:rFonts w:hint="eastAsia" w:cs="宋体"/>
          <w:color w:val="000000"/>
          <w:highlight w:val="none"/>
        </w:rPr>
        <w:t>万元及以上的为中型企业；从业人员</w:t>
      </w:r>
      <w:r>
        <w:rPr>
          <w:rFonts w:cs="宋体"/>
          <w:color w:val="000000"/>
          <w:highlight w:val="none"/>
        </w:rPr>
        <w:t>100</w:t>
      </w:r>
      <w:r>
        <w:rPr>
          <w:rFonts w:hint="eastAsia" w:cs="宋体"/>
          <w:color w:val="000000"/>
          <w:highlight w:val="none"/>
        </w:rPr>
        <w:t>人及以上，且营业收入</w:t>
      </w:r>
      <w:r>
        <w:rPr>
          <w:rFonts w:cs="宋体"/>
          <w:color w:val="000000"/>
          <w:highlight w:val="none"/>
        </w:rPr>
        <w:t>500</w:t>
      </w:r>
      <w:r>
        <w:rPr>
          <w:rFonts w:hint="eastAsia" w:cs="宋体"/>
          <w:color w:val="000000"/>
          <w:highlight w:val="none"/>
        </w:rPr>
        <w:t>万元及以上的为小型企业；从业人员</w:t>
      </w:r>
      <w:r>
        <w:rPr>
          <w:rFonts w:cs="宋体"/>
          <w:color w:val="000000"/>
          <w:highlight w:val="none"/>
        </w:rPr>
        <w:t>100</w:t>
      </w:r>
      <w:r>
        <w:rPr>
          <w:rFonts w:hint="eastAsia" w:cs="宋体"/>
          <w:color w:val="000000"/>
          <w:highlight w:val="none"/>
        </w:rPr>
        <w:t>人以下或营业收入</w:t>
      </w:r>
      <w:r>
        <w:rPr>
          <w:rFonts w:cs="宋体"/>
          <w:color w:val="000000"/>
          <w:highlight w:val="none"/>
        </w:rPr>
        <w:t>500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（十五）租赁和商务服务业。从业人员</w:t>
      </w:r>
      <w:r>
        <w:rPr>
          <w:rFonts w:cs="宋体"/>
          <w:color w:val="000000"/>
          <w:highlight w:val="none"/>
        </w:rPr>
        <w:t>300</w:t>
      </w:r>
      <w:r>
        <w:rPr>
          <w:rFonts w:hint="eastAsia" w:cs="宋体"/>
          <w:color w:val="000000"/>
          <w:highlight w:val="none"/>
        </w:rPr>
        <w:t>人以下或资产总额</w:t>
      </w:r>
      <w:r>
        <w:rPr>
          <w:rFonts w:cs="宋体"/>
          <w:color w:val="000000"/>
          <w:highlight w:val="none"/>
        </w:rPr>
        <w:t>120000</w:t>
      </w:r>
      <w:r>
        <w:rPr>
          <w:rFonts w:hint="eastAsia" w:cs="宋体"/>
          <w:color w:val="000000"/>
          <w:highlight w:val="none"/>
        </w:rPr>
        <w:t>万元以下的为中小微型企业。其中，从业人员</w:t>
      </w:r>
      <w:r>
        <w:rPr>
          <w:rFonts w:cs="宋体"/>
          <w:color w:val="000000"/>
          <w:highlight w:val="none"/>
        </w:rPr>
        <w:t>100</w:t>
      </w:r>
      <w:r>
        <w:rPr>
          <w:rFonts w:hint="eastAsia" w:cs="宋体"/>
          <w:color w:val="000000"/>
          <w:highlight w:val="none"/>
        </w:rPr>
        <w:t>人及以上，且资产总额</w:t>
      </w:r>
      <w:r>
        <w:rPr>
          <w:rFonts w:cs="宋体"/>
          <w:color w:val="000000"/>
          <w:highlight w:val="none"/>
        </w:rPr>
        <w:t>8000</w:t>
      </w:r>
      <w:r>
        <w:rPr>
          <w:rFonts w:hint="eastAsia" w:cs="宋体"/>
          <w:color w:val="000000"/>
          <w:highlight w:val="none"/>
        </w:rPr>
        <w:t>万元及以上的为中型企业；从业人员</w:t>
      </w:r>
      <w:r>
        <w:rPr>
          <w:rFonts w:cs="宋体"/>
          <w:color w:val="000000"/>
          <w:highlight w:val="none"/>
        </w:rPr>
        <w:t>10</w:t>
      </w:r>
      <w:r>
        <w:rPr>
          <w:rFonts w:hint="eastAsia" w:cs="宋体"/>
          <w:color w:val="000000"/>
          <w:highlight w:val="none"/>
        </w:rPr>
        <w:t>人及以上，且资产总额</w:t>
      </w:r>
      <w:r>
        <w:rPr>
          <w:rFonts w:cs="宋体"/>
          <w:color w:val="000000"/>
          <w:highlight w:val="none"/>
        </w:rPr>
        <w:t>100</w:t>
      </w:r>
      <w:r>
        <w:rPr>
          <w:rFonts w:hint="eastAsia" w:cs="宋体"/>
          <w:color w:val="000000"/>
          <w:highlight w:val="none"/>
        </w:rPr>
        <w:t>万元及以上的为小型企业；从业人员</w:t>
      </w:r>
      <w:r>
        <w:rPr>
          <w:rFonts w:cs="宋体"/>
          <w:color w:val="000000"/>
          <w:highlight w:val="none"/>
        </w:rPr>
        <w:t>10</w:t>
      </w:r>
      <w:r>
        <w:rPr>
          <w:rFonts w:hint="eastAsia" w:cs="宋体"/>
          <w:color w:val="000000"/>
          <w:highlight w:val="none"/>
        </w:rPr>
        <w:t>人以下或资产总额</w:t>
      </w:r>
      <w:r>
        <w:rPr>
          <w:rFonts w:cs="宋体"/>
          <w:color w:val="000000"/>
          <w:highlight w:val="none"/>
        </w:rPr>
        <w:t>100</w:t>
      </w:r>
      <w:r>
        <w:rPr>
          <w:rFonts w:hint="eastAsia" w:cs="宋体"/>
          <w:color w:val="000000"/>
          <w:highlight w:val="none"/>
        </w:rPr>
        <w:t>万元以下的为微型企业。</w:t>
      </w:r>
      <w:r>
        <w:rPr>
          <w:rFonts w:cs="宋体"/>
          <w:color w:val="000000"/>
          <w:highlight w:val="none"/>
        </w:rPr>
        <w:br w:type="textWrapping"/>
      </w:r>
      <w:r>
        <w:rPr>
          <w:rFonts w:hint="eastAsia" w:cs="宋体"/>
          <w:color w:val="000000"/>
          <w:highlight w:val="none"/>
        </w:rPr>
        <w:t>　　（十六）其他未列明行业。从业人员</w:t>
      </w:r>
      <w:r>
        <w:rPr>
          <w:rFonts w:cs="宋体"/>
          <w:color w:val="000000"/>
          <w:highlight w:val="none"/>
        </w:rPr>
        <w:t>300</w:t>
      </w:r>
      <w:r>
        <w:rPr>
          <w:rFonts w:hint="eastAsia" w:cs="宋体"/>
          <w:color w:val="000000"/>
          <w:highlight w:val="none"/>
        </w:rPr>
        <w:t>人以下的为中小微型企业。其中，从业人员</w:t>
      </w:r>
      <w:r>
        <w:rPr>
          <w:rFonts w:cs="宋体"/>
          <w:color w:val="000000"/>
          <w:highlight w:val="none"/>
        </w:rPr>
        <w:t>100</w:t>
      </w:r>
      <w:r>
        <w:rPr>
          <w:rFonts w:hint="eastAsia" w:cs="宋体"/>
          <w:color w:val="000000"/>
          <w:highlight w:val="none"/>
        </w:rPr>
        <w:t>人及以上的为中型企业；从业人员</w:t>
      </w:r>
      <w:r>
        <w:rPr>
          <w:rFonts w:cs="宋体"/>
          <w:color w:val="000000"/>
          <w:highlight w:val="none"/>
        </w:rPr>
        <w:t>10</w:t>
      </w:r>
      <w:r>
        <w:rPr>
          <w:rFonts w:hint="eastAsia" w:cs="宋体"/>
          <w:color w:val="000000"/>
          <w:highlight w:val="none"/>
        </w:rPr>
        <w:t>人及以上的为小型企业；从业人员</w:t>
      </w:r>
      <w:r>
        <w:rPr>
          <w:rFonts w:cs="宋体"/>
          <w:color w:val="000000"/>
          <w:highlight w:val="none"/>
        </w:rPr>
        <w:t>10</w:t>
      </w:r>
      <w:r>
        <w:rPr>
          <w:rFonts w:hint="eastAsia" w:cs="宋体"/>
          <w:color w:val="000000"/>
          <w:highlight w:val="none"/>
        </w:rPr>
        <w:t>人以下的为微型企业。</w:t>
      </w:r>
      <w:r>
        <w:rPr>
          <w:rFonts w:cs="宋体"/>
          <w:color w:val="000000"/>
          <w:highlight w:val="none"/>
        </w:rPr>
        <w:br w:type="textWrapping"/>
      </w:r>
      <w:r>
        <w:rPr>
          <w:rFonts w:hint="eastAsia" w:cs="宋体"/>
          <w:color w:val="000000"/>
          <w:highlight w:val="none"/>
        </w:rPr>
        <w:t>　　五、企业类型的划分以统计部门的统计数据为依据。</w:t>
      </w:r>
      <w:r>
        <w:rPr>
          <w:rFonts w:cs="宋体"/>
          <w:color w:val="000000"/>
          <w:highlight w:val="none"/>
        </w:rPr>
        <w:br w:type="textWrapping"/>
      </w:r>
      <w:r>
        <w:rPr>
          <w:rFonts w:hint="eastAsia" w:cs="宋体"/>
          <w:color w:val="000000"/>
          <w:highlight w:val="none"/>
        </w:rPr>
        <w:t>　　六、本规定适用于在中华人民共和国境内依法设立的各类所有制和各种组织形式的企业。个体工商户和本规定以外的行业，参照本规定进行划型。</w:t>
      </w:r>
      <w:r>
        <w:rPr>
          <w:rFonts w:cs="宋体"/>
          <w:color w:val="000000"/>
          <w:highlight w:val="none"/>
        </w:rPr>
        <w:br w:type="textWrapping"/>
      </w:r>
      <w:r>
        <w:rPr>
          <w:rFonts w:hint="eastAsia" w:cs="宋体"/>
          <w:color w:val="000000"/>
          <w:highlight w:val="none"/>
        </w:rPr>
        <w:t>　　七、本规定的中型企业标准上限即为大型企业标准的下限，国家统计部门据此制定大中小微型企业的统计分类。国务院有关部门据此进行相关数据分析，不得制定与本规定不一致的企业划型标准。</w:t>
      </w:r>
      <w:r>
        <w:rPr>
          <w:rFonts w:cs="宋体"/>
          <w:color w:val="000000"/>
          <w:highlight w:val="none"/>
        </w:rPr>
        <w:br w:type="textWrapping"/>
      </w:r>
      <w:r>
        <w:rPr>
          <w:rFonts w:hint="eastAsia" w:cs="宋体"/>
          <w:color w:val="000000"/>
          <w:highlight w:val="none"/>
        </w:rPr>
        <w:t>　　八、本规定由工业和信息化部、国家统计局会同有关部门根据《国民经济行业分类》修订情况和企业发展变化情况适时修订。</w:t>
      </w:r>
      <w:r>
        <w:rPr>
          <w:rFonts w:cs="宋体"/>
          <w:color w:val="000000"/>
          <w:highlight w:val="none"/>
        </w:rPr>
        <w:br w:type="textWrapping"/>
      </w:r>
      <w:r>
        <w:rPr>
          <w:rFonts w:hint="eastAsia" w:cs="宋体"/>
          <w:color w:val="000000"/>
          <w:highlight w:val="none"/>
        </w:rPr>
        <w:t>　　九、本规定由工业和信息化部、国家统计局会同有关部门负责解释。</w:t>
      </w:r>
      <w:r>
        <w:rPr>
          <w:rFonts w:cs="宋体"/>
          <w:color w:val="000000"/>
          <w:highlight w:val="none"/>
        </w:rPr>
        <w:br w:type="textWrapping"/>
      </w:r>
      <w:r>
        <w:rPr>
          <w:rFonts w:hint="eastAsia" w:cs="宋体"/>
          <w:color w:val="000000"/>
          <w:highlight w:val="none"/>
        </w:rPr>
        <w:t>　　十、本规定自发布之日起执行，原国家经贸委、原国家计委、财政部和国家统计局</w:t>
      </w:r>
      <w:r>
        <w:rPr>
          <w:rFonts w:cs="宋体"/>
          <w:color w:val="000000"/>
          <w:highlight w:val="none"/>
        </w:rPr>
        <w:t>2003</w:t>
      </w:r>
      <w:r>
        <w:rPr>
          <w:rFonts w:hint="eastAsia" w:cs="宋体"/>
          <w:color w:val="000000"/>
          <w:highlight w:val="none"/>
        </w:rPr>
        <w:t>年颁布的《中小企业标准暂行规定》同时废止。</w:t>
      </w:r>
    </w:p>
    <w:p>
      <w:pPr>
        <w:spacing w:line="360" w:lineRule="auto"/>
        <w:rPr>
          <w:rFonts w:ascii="宋体" w:cs="宋体"/>
          <w:color w:val="000000"/>
          <w:sz w:val="24"/>
          <w:szCs w:val="24"/>
          <w:highlight w:val="none"/>
        </w:rPr>
      </w:pPr>
    </w:p>
    <w:p>
      <w:pPr>
        <w:spacing w:line="360" w:lineRule="auto"/>
        <w:jc w:val="right"/>
        <w:rPr>
          <w:rFonts w:ascii="宋体" w:cs="宋体"/>
          <w:color w:val="000000"/>
          <w:sz w:val="24"/>
          <w:szCs w:val="24"/>
          <w:highlight w:val="none"/>
        </w:rPr>
      </w:pPr>
      <w:r>
        <w:rPr>
          <w:rFonts w:hint="eastAsia" w:ascii="宋体" w:hAnsi="宋体" w:cs="宋体"/>
          <w:color w:val="000000"/>
          <w:sz w:val="24"/>
          <w:szCs w:val="24"/>
          <w:highlight w:val="none"/>
        </w:rPr>
        <w:t>工业和信息化部</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国家统计局</w:t>
      </w:r>
    </w:p>
    <w:p>
      <w:pPr>
        <w:spacing w:line="360" w:lineRule="auto"/>
        <w:jc w:val="right"/>
        <w:rPr>
          <w:rFonts w:ascii="宋体" w:cs="宋体"/>
          <w:color w:val="000000"/>
          <w:sz w:val="24"/>
          <w:szCs w:val="24"/>
          <w:highlight w:val="none"/>
        </w:rPr>
      </w:pPr>
      <w:r>
        <w:rPr>
          <w:rFonts w:hint="eastAsia" w:ascii="宋体" w:hAnsi="宋体" w:cs="宋体"/>
          <w:color w:val="000000"/>
          <w:sz w:val="24"/>
          <w:szCs w:val="24"/>
          <w:highlight w:val="none"/>
        </w:rPr>
        <w:t>国家发展和改革委员会</w:t>
      </w:r>
      <w:r>
        <w:rPr>
          <w:rFonts w:ascii="宋体" w:hAnsi="宋体" w:cs="宋体"/>
          <w:color w:val="000000"/>
          <w:sz w:val="24"/>
          <w:szCs w:val="24"/>
          <w:highlight w:val="none"/>
        </w:rPr>
        <w:t xml:space="preserve">  </w:t>
      </w:r>
      <w:r>
        <w:rPr>
          <w:rFonts w:hint="eastAsia" w:ascii="宋体" w:hAnsi="宋体" w:cs="宋体"/>
          <w:color w:val="000000"/>
          <w:sz w:val="24"/>
          <w:szCs w:val="24"/>
          <w:highlight w:val="none"/>
        </w:rPr>
        <w:t>财政部</w:t>
      </w:r>
    </w:p>
    <w:p>
      <w:pPr>
        <w:spacing w:line="360" w:lineRule="auto"/>
        <w:ind w:right="240"/>
        <w:jc w:val="right"/>
        <w:rPr>
          <w:rFonts w:ascii="宋体" w:cs="宋体"/>
          <w:color w:val="000000"/>
          <w:sz w:val="24"/>
          <w:szCs w:val="24"/>
          <w:highlight w:val="none"/>
        </w:rPr>
      </w:pPr>
      <w:r>
        <w:rPr>
          <w:rFonts w:hint="eastAsia" w:ascii="宋体" w:hAnsi="宋体" w:cs="宋体"/>
          <w:color w:val="000000"/>
          <w:sz w:val="24"/>
          <w:szCs w:val="24"/>
          <w:highlight w:val="none"/>
        </w:rPr>
        <w:t>二〇一一年六月十八日</w:t>
      </w:r>
      <w:bookmarkEnd w:id="243"/>
      <w:bookmarkEnd w:id="244"/>
      <w:bookmarkEnd w:id="245"/>
      <w:bookmarkEnd w:id="246"/>
      <w:bookmarkEnd w:id="247"/>
      <w:bookmarkEnd w:id="248"/>
      <w:bookmarkEnd w:id="249"/>
      <w:bookmarkEnd w:id="250"/>
      <w:bookmarkEnd w:id="251"/>
      <w:bookmarkEnd w:id="252"/>
      <w:bookmarkEnd w:id="253"/>
      <w:bookmarkEnd w:id="254"/>
    </w:p>
    <w:p>
      <w:pPr>
        <w:spacing w:line="360" w:lineRule="auto"/>
        <w:ind w:right="240"/>
        <w:jc w:val="right"/>
        <w:rPr>
          <w:rFonts w:ascii="宋体" w:cs="宋体"/>
          <w:color w:val="000000"/>
          <w:sz w:val="24"/>
          <w:szCs w:val="24"/>
          <w:highlight w:val="none"/>
        </w:rPr>
      </w:pPr>
    </w:p>
    <w:sectPr>
      <w:footerReference r:id="rId9" w:type="default"/>
      <w:pgSz w:w="11907" w:h="16840"/>
      <w:pgMar w:top="1440" w:right="1469" w:bottom="1440" w:left="1622" w:header="45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Style w:val="52"/>
      </w:rPr>
      <w:fldChar w:fldCharType="begin"/>
    </w:r>
    <w:r>
      <w:rPr>
        <w:rStyle w:val="52"/>
      </w:rPr>
      <w:instrText xml:space="preserve"> PAGE </w:instrText>
    </w:r>
    <w:r>
      <w:rPr>
        <w:rStyle w:val="52"/>
      </w:rPr>
      <w:fldChar w:fldCharType="separate"/>
    </w:r>
    <w:r>
      <w:rPr>
        <w:rStyle w:val="52"/>
      </w:rPr>
      <w:t>2</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27</w:t>
    </w:r>
    <w:r>
      <w:rPr>
        <w:rStyle w:val="52"/>
      </w:rPr>
      <w:fldChar w:fldCharType="end"/>
    </w:r>
  </w:p>
  <w:p>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81</w:t>
    </w:r>
    <w:r>
      <w:rPr>
        <w:lang w:val="zh-CN"/>
      </w:rPr>
      <w:fldChar w:fldCharType="end"/>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Cs w:val="18"/>
      </w:rPr>
    </w:pPr>
    <w:r>
      <w:rPr>
        <w:rStyle w:val="52"/>
        <w:szCs w:val="18"/>
      </w:rPr>
      <w:fldChar w:fldCharType="begin"/>
    </w:r>
    <w:r>
      <w:rPr>
        <w:rStyle w:val="52"/>
        <w:szCs w:val="18"/>
      </w:rPr>
      <w:instrText xml:space="preserve"> PAGE </w:instrText>
    </w:r>
    <w:r>
      <w:rPr>
        <w:rStyle w:val="52"/>
        <w:szCs w:val="18"/>
      </w:rPr>
      <w:fldChar w:fldCharType="separate"/>
    </w:r>
    <w:r>
      <w:rPr>
        <w:rStyle w:val="52"/>
        <w:szCs w:val="18"/>
      </w:rPr>
      <w:t>117</w:t>
    </w:r>
    <w:r>
      <w:rPr>
        <w:rStyle w:val="52"/>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0"/>
      </w:pBdr>
      <w:jc w:val="center"/>
    </w:pPr>
    <w:r>
      <w:rPr>
        <w:rFonts w:hint="eastAsia" w:ascii="宋体" w:eastAsia="宋体" w:cs="宋体"/>
        <w:b w:val="0"/>
        <w:bCs/>
        <w:sz w:val="160"/>
        <w:szCs w:val="24"/>
        <w:u w:val="single"/>
        <w:lang w:eastAsia="zh-CN"/>
      </w:rPr>
      <w:drawing>
        <wp:anchor distT="0" distB="0" distL="114300" distR="114300" simplePos="0" relativeHeight="251660288" behindDoc="1" locked="0" layoutInCell="1" allowOverlap="1">
          <wp:simplePos x="0" y="0"/>
          <wp:positionH relativeFrom="column">
            <wp:posOffset>-545465</wp:posOffset>
          </wp:positionH>
          <wp:positionV relativeFrom="paragraph">
            <wp:posOffset>-95250</wp:posOffset>
          </wp:positionV>
          <wp:extent cx="566420" cy="481330"/>
          <wp:effectExtent l="0" t="0" r="5080" b="13970"/>
          <wp:wrapTight wrapText="bothSides">
            <wp:wrapPolygon>
              <wp:start x="0" y="0"/>
              <wp:lineTo x="0" y="20517"/>
              <wp:lineTo x="21067" y="20517"/>
              <wp:lineTo x="21067" y="0"/>
              <wp:lineTo x="0" y="0"/>
            </wp:wrapPolygon>
          </wp:wrapTight>
          <wp:docPr id="1" name="图片 1"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1"/>
                  <pic:cNvPicPr>
                    <a:picLocks noChangeAspect="1"/>
                  </pic:cNvPicPr>
                </pic:nvPicPr>
                <pic:blipFill>
                  <a:blip r:embed="rId1"/>
                  <a:stretch>
                    <a:fillRect/>
                  </a:stretch>
                </pic:blipFill>
                <pic:spPr>
                  <a:xfrm>
                    <a:off x="0" y="0"/>
                    <a:ext cx="566420" cy="481330"/>
                  </a:xfrm>
                  <a:prstGeom prst="rect">
                    <a:avLst/>
                  </a:prstGeom>
                </pic:spPr>
              </pic:pic>
            </a:graphicData>
          </a:graphic>
        </wp:anchor>
      </w:drawing>
    </w:r>
    <w:r>
      <w:rPr>
        <w:rFonts w:hint="eastAsia" w:ascii="宋体" w:hAnsi="宋体" w:cs="宋体"/>
        <w:bCs/>
        <w:sz w:val="28"/>
        <w:szCs w:val="28"/>
        <w:highlight w:val="none"/>
        <w:u w:val="none"/>
        <w:lang w:eastAsia="zh-CN"/>
      </w:rPr>
      <w:t>乌鲁木齐高新区（新市区）某单位车辆维修服务项目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auto" w:sz="4" w:space="1"/>
      </w:pBdr>
    </w:pPr>
    <w:r>
      <w:rPr>
        <w:rFonts w:hint="eastAsia" w:ascii="宋体" w:eastAsia="宋体" w:cs="宋体"/>
        <w:b w:val="0"/>
        <w:bCs/>
        <w:sz w:val="160"/>
        <w:szCs w:val="24"/>
        <w:u w:val="single"/>
        <w:lang w:eastAsia="zh-CN"/>
      </w:rPr>
      <w:drawing>
        <wp:anchor distT="0" distB="0" distL="114300" distR="114300" simplePos="0" relativeHeight="251659264" behindDoc="1" locked="0" layoutInCell="1" allowOverlap="1">
          <wp:simplePos x="0" y="0"/>
          <wp:positionH relativeFrom="column">
            <wp:posOffset>-545465</wp:posOffset>
          </wp:positionH>
          <wp:positionV relativeFrom="paragraph">
            <wp:posOffset>-95250</wp:posOffset>
          </wp:positionV>
          <wp:extent cx="566420" cy="481330"/>
          <wp:effectExtent l="0" t="0" r="5080" b="13970"/>
          <wp:wrapTight wrapText="bothSides">
            <wp:wrapPolygon>
              <wp:start x="0" y="0"/>
              <wp:lineTo x="0" y="20517"/>
              <wp:lineTo x="21067" y="20517"/>
              <wp:lineTo x="21067" y="0"/>
              <wp:lineTo x="0" y="0"/>
            </wp:wrapPolygon>
          </wp:wrapTight>
          <wp:docPr id="4" name="图片 4" descr="公司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1"/>
                  <pic:cNvPicPr>
                    <a:picLocks noChangeAspect="1"/>
                  </pic:cNvPicPr>
                </pic:nvPicPr>
                <pic:blipFill>
                  <a:blip r:embed="rId1"/>
                  <a:stretch>
                    <a:fillRect/>
                  </a:stretch>
                </pic:blipFill>
                <pic:spPr>
                  <a:xfrm>
                    <a:off x="0" y="0"/>
                    <a:ext cx="566420" cy="481330"/>
                  </a:xfrm>
                  <a:prstGeom prst="rect">
                    <a:avLst/>
                  </a:prstGeom>
                </pic:spPr>
              </pic:pic>
            </a:graphicData>
          </a:graphic>
        </wp:anchor>
      </w:drawing>
    </w:r>
    <w:r>
      <w:rPr>
        <w:rFonts w:hint="eastAsia" w:ascii="宋体" w:hAnsi="宋体" w:cs="宋体"/>
        <w:bCs/>
        <w:sz w:val="28"/>
        <w:szCs w:val="28"/>
        <w:highlight w:val="none"/>
        <w:u w:val="none"/>
        <w:lang w:eastAsia="zh-CN"/>
      </w:rPr>
      <w:t>乌鲁木齐高新区（新市区）某单位车辆维修服务项目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right"/>
      <w:rPr>
        <w:rFonts w:eastAsia="隶书"/>
        <w:color w:val="FF0000"/>
        <w:spacing w:val="40"/>
        <w:sz w:val="21"/>
        <w:szCs w:val="21"/>
        <w:u w:val="single"/>
      </w:rPr>
    </w:pPr>
  </w:p>
  <w:p>
    <w:pPr>
      <w:pStyle w:val="31"/>
      <w:pBdr>
        <w:bottom w:val="none" w:color="auto" w:sz="0" w:space="0"/>
      </w:pBdr>
      <w:jc w:val="both"/>
      <w:rPr>
        <w:rFonts w:eastAsia="隶书"/>
        <w:color w:val="FF0000"/>
        <w:spacing w:val="40"/>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50294"/>
    <w:multiLevelType w:val="singleLevel"/>
    <w:tmpl w:val="FA950294"/>
    <w:lvl w:ilvl="0" w:tentative="0">
      <w:start w:val="1"/>
      <w:numFmt w:val="decimal"/>
      <w:pStyle w:val="35"/>
      <w:lvlText w:val="%1."/>
      <w:lvlJc w:val="left"/>
      <w:pPr>
        <w:tabs>
          <w:tab w:val="left" w:pos="2040"/>
        </w:tabs>
        <w:ind w:left="2040" w:hanging="360"/>
      </w:pPr>
    </w:lvl>
  </w:abstractNum>
  <w:abstractNum w:abstractNumId="1">
    <w:nsid w:val="00000022"/>
    <w:multiLevelType w:val="multilevel"/>
    <w:tmpl w:val="00000022"/>
    <w:lvl w:ilvl="0" w:tentative="0">
      <w:start w:val="1"/>
      <w:numFmt w:val="decimal"/>
      <w:lvlText w:val="%1)"/>
      <w:lvlJc w:val="left"/>
      <w:pPr>
        <w:tabs>
          <w:tab w:val="left" w:pos="1680"/>
        </w:tabs>
        <w:ind w:left="1680" w:hanging="420"/>
      </w:pPr>
      <w:rPr>
        <w:rFonts w:hint="eastAsia" w:cs="Times New Roman"/>
      </w:rPr>
    </w:lvl>
    <w:lvl w:ilvl="1" w:tentative="0">
      <w:start w:val="1"/>
      <w:numFmt w:val="decimal"/>
      <w:lvlText w:val="%2、"/>
      <w:lvlJc w:val="left"/>
      <w:pPr>
        <w:tabs>
          <w:tab w:val="left" w:pos="780"/>
        </w:tabs>
        <w:ind w:left="780" w:hanging="360"/>
      </w:pPr>
      <w:rPr>
        <w:rFonts w:hint="default" w:cs="Times New Roman"/>
        <w:b w:val="0"/>
      </w:rPr>
    </w:lvl>
    <w:lvl w:ilvl="2" w:tentative="0">
      <w:start w:val="1"/>
      <w:numFmt w:val="decimal"/>
      <w:lvlText w:val="%3."/>
      <w:lvlJc w:val="left"/>
      <w:pPr>
        <w:tabs>
          <w:tab w:val="left" w:pos="1560"/>
        </w:tabs>
        <w:ind w:left="1560" w:hanging="720"/>
      </w:pPr>
      <w:rPr>
        <w:rFonts w:hint="default" w:cs="Times New Roman"/>
      </w:rPr>
    </w:lvl>
    <w:lvl w:ilvl="3" w:tentative="0">
      <w:start w:val="5"/>
      <w:numFmt w:val="bullet"/>
      <w:lvlText w:val="●"/>
      <w:lvlJc w:val="left"/>
      <w:pPr>
        <w:tabs>
          <w:tab w:val="left" w:pos="1620"/>
        </w:tabs>
        <w:ind w:left="1620" w:hanging="360"/>
      </w:pPr>
      <w:rPr>
        <w:rFonts w:hint="eastAsia" w:ascii="宋体" w:hAnsi="宋体" w:eastAsia="宋体"/>
      </w:rPr>
    </w:lvl>
    <w:lvl w:ilvl="4" w:tentative="0">
      <w:start w:val="1"/>
      <w:numFmt w:val="japaneseCounting"/>
      <w:lvlText w:val="%5、"/>
      <w:lvlJc w:val="left"/>
      <w:pPr>
        <w:tabs>
          <w:tab w:val="left" w:pos="2400"/>
        </w:tabs>
        <w:ind w:left="2400" w:hanging="720"/>
      </w:pPr>
      <w:rPr>
        <w:rFonts w:hint="default" w:cs="Times New Roman"/>
      </w:rPr>
    </w:lvl>
    <w:lvl w:ilvl="5" w:tentative="0">
      <w:start w:val="0"/>
      <w:numFmt w:val="bullet"/>
      <w:lvlText w:val=""/>
      <w:lvlJc w:val="left"/>
      <w:pPr>
        <w:tabs>
          <w:tab w:val="left" w:pos="2460"/>
        </w:tabs>
        <w:ind w:left="2460" w:hanging="360"/>
      </w:pPr>
      <w:rPr>
        <w:rFonts w:hint="default" w:ascii="Wingdings" w:hAnsi="Wingdings" w:eastAsia="宋体"/>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5397C3C"/>
    <w:multiLevelType w:val="multilevel"/>
    <w:tmpl w:val="05397C3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3">
    <w:nsid w:val="05C505B4"/>
    <w:multiLevelType w:val="multilevel"/>
    <w:tmpl w:val="05C505B4"/>
    <w:lvl w:ilvl="0" w:tentative="0">
      <w:start w:val="1"/>
      <w:numFmt w:val="decimal"/>
      <w:lvlText w:val="%1)"/>
      <w:lvlJc w:val="left"/>
      <w:pPr>
        <w:tabs>
          <w:tab w:val="left" w:pos="1680"/>
        </w:tabs>
        <w:ind w:left="168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C1657F2"/>
    <w:multiLevelType w:val="multilevel"/>
    <w:tmpl w:val="0C1657F2"/>
    <w:lvl w:ilvl="0" w:tentative="0">
      <w:start w:val="1"/>
      <w:numFmt w:val="decimal"/>
      <w:lvlText w:val="%1)"/>
      <w:lvlJc w:val="left"/>
      <w:pPr>
        <w:ind w:left="900" w:hanging="420"/>
      </w:pPr>
      <w:rPr>
        <w:rFonts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18CF6D9C"/>
    <w:multiLevelType w:val="multilevel"/>
    <w:tmpl w:val="18CF6D9C"/>
    <w:lvl w:ilvl="0" w:tentative="0">
      <w:start w:val="1"/>
      <w:numFmt w:val="decimal"/>
      <w:lvlText w:val="%1、"/>
      <w:lvlJc w:val="left"/>
      <w:pPr>
        <w:tabs>
          <w:tab w:val="left" w:pos="840"/>
        </w:tabs>
        <w:ind w:left="840" w:hanging="360"/>
      </w:pPr>
      <w:rPr>
        <w:rFonts w:hint="default"/>
        <w:b w:val="0"/>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6">
    <w:nsid w:val="23757D77"/>
    <w:multiLevelType w:val="multilevel"/>
    <w:tmpl w:val="23757D77"/>
    <w:lvl w:ilvl="0" w:tentative="0">
      <w:start w:val="1"/>
      <w:numFmt w:val="japaneseCounting"/>
      <w:lvlText w:val="%1、"/>
      <w:lvlJc w:val="left"/>
      <w:pPr>
        <w:tabs>
          <w:tab w:val="left" w:pos="420"/>
        </w:tabs>
        <w:ind w:left="420" w:hanging="420"/>
      </w:pPr>
      <w:rPr>
        <w:rFonts w:hint="default" w:cs="Times New Roman"/>
      </w:rPr>
    </w:lvl>
    <w:lvl w:ilvl="1" w:tentative="0">
      <w:start w:val="1"/>
      <w:numFmt w:val="japaneseCounting"/>
      <w:lvlText w:val="第%2章"/>
      <w:lvlJc w:val="left"/>
      <w:pPr>
        <w:tabs>
          <w:tab w:val="left" w:pos="1408"/>
        </w:tabs>
        <w:ind w:left="1408" w:hanging="840"/>
      </w:pPr>
      <w:rPr>
        <w:rFonts w:hint="default" w:cs="Times New Roman"/>
      </w:rPr>
    </w:lvl>
    <w:lvl w:ilvl="2" w:tentative="0">
      <w:start w:val="1"/>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20"/>
        </w:tabs>
        <w:ind w:left="1620" w:hanging="360"/>
      </w:pPr>
      <w:rPr>
        <w:rFonts w:hint="default"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23A77F1A"/>
    <w:multiLevelType w:val="multilevel"/>
    <w:tmpl w:val="23A77F1A"/>
    <w:lvl w:ilvl="0" w:tentative="0">
      <w:start w:val="1"/>
      <w:numFmt w:val="decimal"/>
      <w:lvlText w:val="%1)"/>
      <w:lvlJc w:val="left"/>
      <w:pPr>
        <w:tabs>
          <w:tab w:val="left" w:pos="1140"/>
        </w:tabs>
        <w:ind w:left="1140" w:hanging="420"/>
      </w:pPr>
      <w:rPr>
        <w:rFonts w:hint="eastAsia" w:cs="Times New Roman"/>
        <w:b/>
      </w:rPr>
    </w:lvl>
    <w:lvl w:ilvl="1" w:tentative="0">
      <w:start w:val="1"/>
      <w:numFmt w:val="lowerLetter"/>
      <w:lvlText w:val="%2)"/>
      <w:lvlJc w:val="left"/>
      <w:pPr>
        <w:tabs>
          <w:tab w:val="left" w:pos="1200"/>
        </w:tabs>
        <w:ind w:left="1200" w:hanging="420"/>
      </w:pPr>
      <w:rPr>
        <w:rFonts w:cs="Times New Roman"/>
      </w:rPr>
    </w:lvl>
    <w:lvl w:ilvl="2" w:tentative="0">
      <w:start w:val="1"/>
      <w:numFmt w:val="lowerRoman"/>
      <w:lvlText w:val="%3."/>
      <w:lvlJc w:val="right"/>
      <w:pPr>
        <w:tabs>
          <w:tab w:val="left" w:pos="1620"/>
        </w:tabs>
        <w:ind w:left="1620" w:hanging="420"/>
      </w:pPr>
      <w:rPr>
        <w:rFonts w:cs="Times New Roman"/>
      </w:rPr>
    </w:lvl>
    <w:lvl w:ilvl="3" w:tentative="0">
      <w:start w:val="1"/>
      <w:numFmt w:val="decimal"/>
      <w:lvlText w:val="%4."/>
      <w:lvlJc w:val="left"/>
      <w:pPr>
        <w:tabs>
          <w:tab w:val="left" w:pos="2040"/>
        </w:tabs>
        <w:ind w:left="2040" w:hanging="420"/>
      </w:pPr>
      <w:rPr>
        <w:rFonts w:cs="Times New Roman"/>
      </w:rPr>
    </w:lvl>
    <w:lvl w:ilvl="4" w:tentative="0">
      <w:start w:val="1"/>
      <w:numFmt w:val="lowerLetter"/>
      <w:lvlText w:val="%5)"/>
      <w:lvlJc w:val="left"/>
      <w:pPr>
        <w:tabs>
          <w:tab w:val="left" w:pos="2460"/>
        </w:tabs>
        <w:ind w:left="2460" w:hanging="420"/>
      </w:pPr>
      <w:rPr>
        <w:rFonts w:cs="Times New Roman"/>
      </w:rPr>
    </w:lvl>
    <w:lvl w:ilvl="5" w:tentative="0">
      <w:start w:val="1"/>
      <w:numFmt w:val="lowerRoman"/>
      <w:lvlText w:val="%6."/>
      <w:lvlJc w:val="right"/>
      <w:pPr>
        <w:tabs>
          <w:tab w:val="left" w:pos="2880"/>
        </w:tabs>
        <w:ind w:left="2880" w:hanging="420"/>
      </w:pPr>
      <w:rPr>
        <w:rFonts w:cs="Times New Roman"/>
      </w:rPr>
    </w:lvl>
    <w:lvl w:ilvl="6" w:tentative="0">
      <w:start w:val="1"/>
      <w:numFmt w:val="decimal"/>
      <w:lvlText w:val="%7."/>
      <w:lvlJc w:val="left"/>
      <w:pPr>
        <w:tabs>
          <w:tab w:val="left" w:pos="3300"/>
        </w:tabs>
        <w:ind w:left="3300" w:hanging="420"/>
      </w:pPr>
      <w:rPr>
        <w:rFonts w:cs="Times New Roman"/>
      </w:rPr>
    </w:lvl>
    <w:lvl w:ilvl="7" w:tentative="0">
      <w:start w:val="1"/>
      <w:numFmt w:val="lowerLetter"/>
      <w:lvlText w:val="%8)"/>
      <w:lvlJc w:val="left"/>
      <w:pPr>
        <w:tabs>
          <w:tab w:val="left" w:pos="3720"/>
        </w:tabs>
        <w:ind w:left="3720" w:hanging="420"/>
      </w:pPr>
      <w:rPr>
        <w:rFonts w:cs="Times New Roman"/>
      </w:rPr>
    </w:lvl>
    <w:lvl w:ilvl="8" w:tentative="0">
      <w:start w:val="1"/>
      <w:numFmt w:val="lowerRoman"/>
      <w:lvlText w:val="%9."/>
      <w:lvlJc w:val="right"/>
      <w:pPr>
        <w:tabs>
          <w:tab w:val="left" w:pos="4140"/>
        </w:tabs>
        <w:ind w:left="4140" w:hanging="420"/>
      </w:pPr>
      <w:rPr>
        <w:rFonts w:cs="Times New Roman"/>
      </w:rPr>
    </w:lvl>
  </w:abstractNum>
  <w:abstractNum w:abstractNumId="8">
    <w:nsid w:val="2C4501E9"/>
    <w:multiLevelType w:val="multilevel"/>
    <w:tmpl w:val="2C4501E9"/>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3FA85A6C"/>
    <w:multiLevelType w:val="multilevel"/>
    <w:tmpl w:val="3FA85A6C"/>
    <w:lvl w:ilvl="0" w:tentative="0">
      <w:start w:val="1"/>
      <w:numFmt w:val="decimal"/>
      <w:pStyle w:val="231"/>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0">
    <w:nsid w:val="3FBB35D9"/>
    <w:multiLevelType w:val="multilevel"/>
    <w:tmpl w:val="3FBB35D9"/>
    <w:lvl w:ilvl="0" w:tentative="0">
      <w:start w:val="1"/>
      <w:numFmt w:val="decimal"/>
      <w:pStyle w:val="235"/>
      <w:lvlText w:val="（%1）"/>
      <w:lvlJc w:val="left"/>
      <w:pPr>
        <w:ind w:left="1200" w:hanging="720"/>
      </w:pPr>
      <w:rPr>
        <w:rFonts w:hint="default" w:ascii="Calibri" w:hAnsi="Calibri" w:cs="宋体"/>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1">
    <w:nsid w:val="423C354E"/>
    <w:multiLevelType w:val="multilevel"/>
    <w:tmpl w:val="423C354E"/>
    <w:lvl w:ilvl="0" w:tentative="0">
      <w:start w:val="1"/>
      <w:numFmt w:val="decimal"/>
      <w:pStyle w:val="14"/>
      <w:lvlText w:val="%1."/>
      <w:lvlJc w:val="left"/>
      <w:pPr>
        <w:tabs>
          <w:tab w:val="left" w:pos="420"/>
        </w:tabs>
        <w:ind w:left="420" w:hanging="420"/>
      </w:pPr>
      <w:rPr>
        <w:rFonts w:cs="Times New Roman"/>
      </w:rPr>
    </w:lvl>
    <w:lvl w:ilvl="1" w:tentative="0">
      <w:start w:val="1"/>
      <w:numFmt w:val="bullet"/>
      <w:pStyle w:val="16"/>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4A1D0B86"/>
    <w:multiLevelType w:val="multilevel"/>
    <w:tmpl w:val="4A1D0B86"/>
    <w:lvl w:ilvl="0" w:tentative="0">
      <w:start w:val="1"/>
      <w:numFmt w:val="decimal"/>
      <w:lvlText w:val="%1."/>
      <w:lvlJc w:val="left"/>
      <w:pPr>
        <w:tabs>
          <w:tab w:val="left" w:pos="560"/>
        </w:tabs>
        <w:ind w:left="900" w:hanging="340"/>
      </w:pPr>
      <w:rPr>
        <w:rFonts w:hint="eastAsia" w:cs="Times New Roman"/>
      </w:rPr>
    </w:lvl>
    <w:lvl w:ilvl="1" w:tentative="0">
      <w:start w:val="1"/>
      <w:numFmt w:val="decimal"/>
      <w:lvlText w:val="%2."/>
      <w:lvlJc w:val="left"/>
      <w:pPr>
        <w:tabs>
          <w:tab w:val="left" w:pos="420"/>
        </w:tabs>
        <w:ind w:left="760" w:hanging="34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3">
    <w:nsid w:val="4AF31D51"/>
    <w:multiLevelType w:val="multilevel"/>
    <w:tmpl w:val="4AF31D51"/>
    <w:lvl w:ilvl="0" w:tentative="0">
      <w:start w:val="1"/>
      <w:numFmt w:val="bullet"/>
      <w:pStyle w:val="150"/>
      <w:lvlText w:val=""/>
      <w:lvlJc w:val="left"/>
      <w:pPr>
        <w:tabs>
          <w:tab w:val="left" w:pos="1500"/>
        </w:tabs>
        <w:ind w:left="1500" w:hanging="420"/>
      </w:pPr>
      <w:rPr>
        <w:rFonts w:hint="default" w:ascii="Wingdings" w:hAnsi="Wingdings"/>
      </w:rPr>
    </w:lvl>
    <w:lvl w:ilvl="1" w:tentative="0">
      <w:start w:val="1"/>
      <w:numFmt w:val="decimal"/>
      <w:lvlText w:val="%2."/>
      <w:lvlJc w:val="left"/>
      <w:pPr>
        <w:tabs>
          <w:tab w:val="left" w:pos="1407"/>
        </w:tabs>
        <w:ind w:left="1407" w:hanging="420"/>
      </w:pPr>
      <w:rPr>
        <w:rFonts w:hint="default" w:cs="Times New Roman"/>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14">
    <w:nsid w:val="4C5F2D84"/>
    <w:multiLevelType w:val="multilevel"/>
    <w:tmpl w:val="4C5F2D84"/>
    <w:lvl w:ilvl="0" w:tentative="0">
      <w:start w:val="1"/>
      <w:numFmt w:val="decimal"/>
      <w:lvlText w:val="%1."/>
      <w:lvlJc w:val="left"/>
      <w:pPr>
        <w:tabs>
          <w:tab w:val="left" w:pos="840"/>
        </w:tabs>
        <w:ind w:left="1180" w:hanging="340"/>
      </w:pPr>
      <w:rPr>
        <w:rFonts w:hint="eastAsia" w:cs="Times New Roman"/>
      </w:rPr>
    </w:lvl>
    <w:lvl w:ilvl="1" w:tentative="0">
      <w:start w:val="1"/>
      <w:numFmt w:val="decimal"/>
      <w:lvlText w:val="%2)"/>
      <w:lvlJc w:val="left"/>
      <w:pPr>
        <w:tabs>
          <w:tab w:val="left" w:pos="1680"/>
        </w:tabs>
        <w:ind w:left="1680" w:hanging="420"/>
      </w:pPr>
      <w:rPr>
        <w:rFonts w:hint="eastAsia" w:cs="Times New Roman"/>
      </w:rPr>
    </w:lvl>
    <w:lvl w:ilvl="2" w:tentative="0">
      <w:start w:val="1"/>
      <w:numFmt w:val="decimal"/>
      <w:lvlText w:val="%3）"/>
      <w:lvlJc w:val="left"/>
      <w:pPr>
        <w:tabs>
          <w:tab w:val="left" w:pos="2520"/>
        </w:tabs>
        <w:ind w:left="2520" w:hanging="840"/>
      </w:pPr>
      <w:rPr>
        <w:rFonts w:hint="default"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15">
    <w:nsid w:val="502200E6"/>
    <w:multiLevelType w:val="multilevel"/>
    <w:tmpl w:val="502200E6"/>
    <w:lvl w:ilvl="0" w:tentative="0">
      <w:start w:val="1"/>
      <w:numFmt w:val="chineseCountingThousand"/>
      <w:lvlText w:val="%1、"/>
      <w:lvlJc w:val="left"/>
      <w:pPr>
        <w:tabs>
          <w:tab w:val="left" w:pos="420"/>
        </w:tabs>
        <w:ind w:left="420" w:hanging="420"/>
      </w:pPr>
      <w:rPr>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63B4382"/>
    <w:multiLevelType w:val="multilevel"/>
    <w:tmpl w:val="663B4382"/>
    <w:lvl w:ilvl="0" w:tentative="0">
      <w:start w:val="1"/>
      <w:numFmt w:val="decimal"/>
      <w:lvlText w:val="%1."/>
      <w:lvlJc w:val="left"/>
      <w:pPr>
        <w:tabs>
          <w:tab w:val="left" w:pos="360"/>
        </w:tabs>
        <w:ind w:left="360" w:hanging="360"/>
      </w:pPr>
      <w:rPr>
        <w:rFonts w:hint="default" w:cs="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decimal"/>
      <w:lvlText w:val="3.%3"/>
      <w:lvlJc w:val="left"/>
      <w:pPr>
        <w:tabs>
          <w:tab w:val="left" w:pos="0"/>
        </w:tabs>
        <w:ind w:left="454" w:hanging="454"/>
      </w:pPr>
      <w:rPr>
        <w:rFonts w:hint="eastAsia" w:cs="Times New Roman"/>
      </w:rPr>
    </w:lvl>
    <w:lvl w:ilvl="3" w:tentative="0">
      <w:start w:val="1"/>
      <w:numFmt w:val="decimal"/>
      <w:pStyle w:val="237"/>
      <w:lvlText w:val="%4)"/>
      <w:lvlJc w:val="left"/>
      <w:pPr>
        <w:tabs>
          <w:tab w:val="left" w:pos="1680"/>
        </w:tabs>
        <w:ind w:left="1680" w:hanging="420"/>
      </w:pPr>
      <w:rPr>
        <w:rFonts w:hint="eastAsia" w:cs="Times New Roman"/>
      </w:rPr>
    </w:lvl>
    <w:lvl w:ilvl="4" w:tentative="0">
      <w:start w:val="1"/>
      <w:numFmt w:val="decimal"/>
      <w:lvlText w:val="%5）"/>
      <w:lvlJc w:val="left"/>
      <w:pPr>
        <w:tabs>
          <w:tab w:val="left" w:pos="2400"/>
        </w:tabs>
        <w:ind w:left="2400" w:hanging="72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8">
    <w:nsid w:val="6F54455B"/>
    <w:multiLevelType w:val="multilevel"/>
    <w:tmpl w:val="6F54455B"/>
    <w:lvl w:ilvl="0" w:tentative="0">
      <w:start w:val="17"/>
      <w:numFmt w:val="decimal"/>
      <w:lvlText w:val="%1"/>
      <w:lvlJc w:val="left"/>
      <w:pPr>
        <w:ind w:left="480" w:hanging="480"/>
      </w:pPr>
      <w:rPr>
        <w:rFonts w:hint="default" w:cs="Times New Roman"/>
      </w:rPr>
    </w:lvl>
    <w:lvl w:ilvl="1" w:tentative="0">
      <w:start w:val="6"/>
      <w:numFmt w:val="decimal"/>
      <w:lvlText w:val="%1.%2"/>
      <w:lvlJc w:val="left"/>
      <w:pPr>
        <w:ind w:left="960" w:hanging="480"/>
      </w:pPr>
      <w:rPr>
        <w:rFonts w:hint="default" w:cs="Times New Roman"/>
      </w:rPr>
    </w:lvl>
    <w:lvl w:ilvl="2" w:tentative="0">
      <w:start w:val="1"/>
      <w:numFmt w:val="decimal"/>
      <w:lvlText w:val="%1.%2.%3"/>
      <w:lvlJc w:val="left"/>
      <w:pPr>
        <w:ind w:left="1680" w:hanging="720"/>
      </w:pPr>
      <w:rPr>
        <w:rFonts w:hint="default" w:cs="Times New Roman"/>
      </w:rPr>
    </w:lvl>
    <w:lvl w:ilvl="3" w:tentative="0">
      <w:start w:val="1"/>
      <w:numFmt w:val="decimal"/>
      <w:lvlText w:val="%1.%2.%3.%4"/>
      <w:lvlJc w:val="left"/>
      <w:pPr>
        <w:ind w:left="2520" w:hanging="1080"/>
      </w:pPr>
      <w:rPr>
        <w:rFonts w:hint="default" w:cs="Times New Roman"/>
      </w:rPr>
    </w:lvl>
    <w:lvl w:ilvl="4" w:tentative="0">
      <w:start w:val="1"/>
      <w:numFmt w:val="decimal"/>
      <w:lvlText w:val="%1.%2.%3.%4.%5"/>
      <w:lvlJc w:val="left"/>
      <w:pPr>
        <w:ind w:left="3000" w:hanging="1080"/>
      </w:pPr>
      <w:rPr>
        <w:rFonts w:hint="default" w:cs="Times New Roman"/>
      </w:rPr>
    </w:lvl>
    <w:lvl w:ilvl="5" w:tentative="0">
      <w:start w:val="1"/>
      <w:numFmt w:val="decimal"/>
      <w:lvlText w:val="%1.%2.%3.%4.%5.%6"/>
      <w:lvlJc w:val="left"/>
      <w:pPr>
        <w:ind w:left="3840" w:hanging="1440"/>
      </w:pPr>
      <w:rPr>
        <w:rFonts w:hint="default" w:cs="Times New Roman"/>
      </w:rPr>
    </w:lvl>
    <w:lvl w:ilvl="6" w:tentative="0">
      <w:start w:val="1"/>
      <w:numFmt w:val="decimal"/>
      <w:lvlText w:val="%1.%2.%3.%4.%5.%6.%7"/>
      <w:lvlJc w:val="left"/>
      <w:pPr>
        <w:ind w:left="4680" w:hanging="1800"/>
      </w:pPr>
      <w:rPr>
        <w:rFonts w:hint="default" w:cs="Times New Roman"/>
      </w:rPr>
    </w:lvl>
    <w:lvl w:ilvl="7" w:tentative="0">
      <w:start w:val="1"/>
      <w:numFmt w:val="decimal"/>
      <w:lvlText w:val="%1.%2.%3.%4.%5.%6.%7.%8"/>
      <w:lvlJc w:val="left"/>
      <w:pPr>
        <w:ind w:left="5160" w:hanging="1800"/>
      </w:pPr>
      <w:rPr>
        <w:rFonts w:hint="default" w:cs="Times New Roman"/>
      </w:rPr>
    </w:lvl>
    <w:lvl w:ilvl="8" w:tentative="0">
      <w:start w:val="1"/>
      <w:numFmt w:val="decimal"/>
      <w:lvlText w:val="%1.%2.%3.%4.%5.%6.%7.%8.%9"/>
      <w:lvlJc w:val="left"/>
      <w:pPr>
        <w:ind w:left="6000" w:hanging="2160"/>
      </w:pPr>
      <w:rPr>
        <w:rFonts w:hint="default" w:cs="Times New Roman"/>
      </w:rPr>
    </w:lvl>
  </w:abstractNum>
  <w:abstractNum w:abstractNumId="19">
    <w:nsid w:val="7723474C"/>
    <w:multiLevelType w:val="multilevel"/>
    <w:tmpl w:val="7723474C"/>
    <w:lvl w:ilvl="0" w:tentative="0">
      <w:start w:val="1"/>
      <w:numFmt w:val="decimal"/>
      <w:lvlText w:val="%1)"/>
      <w:lvlJc w:val="left"/>
      <w:pPr>
        <w:tabs>
          <w:tab w:val="left" w:pos="900"/>
        </w:tabs>
        <w:ind w:left="900" w:hanging="42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0"/>
  </w:num>
  <w:num w:numId="3">
    <w:abstractNumId w:val="13"/>
  </w:num>
  <w:num w:numId="4">
    <w:abstractNumId w:val="9"/>
  </w:num>
  <w:num w:numId="5">
    <w:abstractNumId w:val="10"/>
  </w:num>
  <w:num w:numId="6">
    <w:abstractNumId w:val="16"/>
  </w:num>
  <w:num w:numId="7">
    <w:abstractNumId w:val="4"/>
  </w:num>
  <w:num w:numId="8">
    <w:abstractNumId w:val="6"/>
  </w:num>
  <w:num w:numId="9">
    <w:abstractNumId w:val="3"/>
  </w:num>
  <w:num w:numId="10">
    <w:abstractNumId w:val="18"/>
  </w:num>
  <w:num w:numId="11">
    <w:abstractNumId w:val="7"/>
  </w:num>
  <w:num w:numId="12">
    <w:abstractNumId w:val="15"/>
  </w:num>
  <w:num w:numId="13">
    <w:abstractNumId w:val="5"/>
  </w:num>
  <w:num w:numId="14">
    <w:abstractNumId w:val="2"/>
  </w:num>
  <w:num w:numId="15">
    <w:abstractNumId w:val="19"/>
  </w:num>
  <w:num w:numId="16">
    <w:abstractNumId w:val="8"/>
  </w:num>
  <w:num w:numId="17">
    <w:abstractNumId w:val="1"/>
  </w:num>
  <w:num w:numId="18">
    <w:abstractNumId w:val="14"/>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ZGQ3MjIwZGRjM2ExNTRlODk0MTM0MDc2MzgzOTYifQ=="/>
  </w:docVars>
  <w:rsids>
    <w:rsidRoot w:val="00064755"/>
    <w:rsid w:val="0000036B"/>
    <w:rsid w:val="00000F9D"/>
    <w:rsid w:val="00001749"/>
    <w:rsid w:val="0000229A"/>
    <w:rsid w:val="000025A7"/>
    <w:rsid w:val="00002916"/>
    <w:rsid w:val="00002B02"/>
    <w:rsid w:val="00003093"/>
    <w:rsid w:val="0000388F"/>
    <w:rsid w:val="00004038"/>
    <w:rsid w:val="0000462E"/>
    <w:rsid w:val="00004984"/>
    <w:rsid w:val="0000630B"/>
    <w:rsid w:val="00007F5F"/>
    <w:rsid w:val="00007FA8"/>
    <w:rsid w:val="00010580"/>
    <w:rsid w:val="00010F0A"/>
    <w:rsid w:val="00011A63"/>
    <w:rsid w:val="00011D72"/>
    <w:rsid w:val="00012625"/>
    <w:rsid w:val="00012640"/>
    <w:rsid w:val="000127B7"/>
    <w:rsid w:val="00014B79"/>
    <w:rsid w:val="00014EE7"/>
    <w:rsid w:val="000153AC"/>
    <w:rsid w:val="0001555F"/>
    <w:rsid w:val="000157A5"/>
    <w:rsid w:val="00015D99"/>
    <w:rsid w:val="0001785D"/>
    <w:rsid w:val="00017B44"/>
    <w:rsid w:val="00020477"/>
    <w:rsid w:val="000221EF"/>
    <w:rsid w:val="00022767"/>
    <w:rsid w:val="00023661"/>
    <w:rsid w:val="00023BF4"/>
    <w:rsid w:val="000246D1"/>
    <w:rsid w:val="0002628D"/>
    <w:rsid w:val="000267F3"/>
    <w:rsid w:val="00026990"/>
    <w:rsid w:val="0003098C"/>
    <w:rsid w:val="00030A21"/>
    <w:rsid w:val="00030C24"/>
    <w:rsid w:val="00030D6D"/>
    <w:rsid w:val="00031366"/>
    <w:rsid w:val="00033DA2"/>
    <w:rsid w:val="00035062"/>
    <w:rsid w:val="00036452"/>
    <w:rsid w:val="000400FD"/>
    <w:rsid w:val="00040B5C"/>
    <w:rsid w:val="00040BF6"/>
    <w:rsid w:val="00041460"/>
    <w:rsid w:val="000420A8"/>
    <w:rsid w:val="00042779"/>
    <w:rsid w:val="00043411"/>
    <w:rsid w:val="00043643"/>
    <w:rsid w:val="00045904"/>
    <w:rsid w:val="00046008"/>
    <w:rsid w:val="00046806"/>
    <w:rsid w:val="0004718D"/>
    <w:rsid w:val="00047CCA"/>
    <w:rsid w:val="0005001E"/>
    <w:rsid w:val="00050D49"/>
    <w:rsid w:val="0005143E"/>
    <w:rsid w:val="00051738"/>
    <w:rsid w:val="000517A4"/>
    <w:rsid w:val="000517AC"/>
    <w:rsid w:val="000518A9"/>
    <w:rsid w:val="00051C7D"/>
    <w:rsid w:val="00051D70"/>
    <w:rsid w:val="00052536"/>
    <w:rsid w:val="00053ECD"/>
    <w:rsid w:val="00054067"/>
    <w:rsid w:val="000557FD"/>
    <w:rsid w:val="0005580C"/>
    <w:rsid w:val="0005623A"/>
    <w:rsid w:val="000567F1"/>
    <w:rsid w:val="0005742C"/>
    <w:rsid w:val="00060438"/>
    <w:rsid w:val="000604E0"/>
    <w:rsid w:val="0006175B"/>
    <w:rsid w:val="000631D1"/>
    <w:rsid w:val="00063E84"/>
    <w:rsid w:val="00064755"/>
    <w:rsid w:val="0006591A"/>
    <w:rsid w:val="00066220"/>
    <w:rsid w:val="00066D3B"/>
    <w:rsid w:val="00067049"/>
    <w:rsid w:val="00067615"/>
    <w:rsid w:val="00067950"/>
    <w:rsid w:val="000707C6"/>
    <w:rsid w:val="00071096"/>
    <w:rsid w:val="00071F8E"/>
    <w:rsid w:val="000736E3"/>
    <w:rsid w:val="0007403F"/>
    <w:rsid w:val="00074DC5"/>
    <w:rsid w:val="00075C58"/>
    <w:rsid w:val="000760AD"/>
    <w:rsid w:val="000765B1"/>
    <w:rsid w:val="00076648"/>
    <w:rsid w:val="000775E1"/>
    <w:rsid w:val="0008159A"/>
    <w:rsid w:val="00081EFB"/>
    <w:rsid w:val="000835AA"/>
    <w:rsid w:val="00084193"/>
    <w:rsid w:val="00084872"/>
    <w:rsid w:val="00085E2A"/>
    <w:rsid w:val="00086A75"/>
    <w:rsid w:val="0008799A"/>
    <w:rsid w:val="00087B35"/>
    <w:rsid w:val="00087CC2"/>
    <w:rsid w:val="0009165E"/>
    <w:rsid w:val="0009173F"/>
    <w:rsid w:val="000924AA"/>
    <w:rsid w:val="00092B21"/>
    <w:rsid w:val="0009314A"/>
    <w:rsid w:val="00093716"/>
    <w:rsid w:val="000952B8"/>
    <w:rsid w:val="00095CC4"/>
    <w:rsid w:val="000965CF"/>
    <w:rsid w:val="00096766"/>
    <w:rsid w:val="0009703C"/>
    <w:rsid w:val="000A0B91"/>
    <w:rsid w:val="000A1D75"/>
    <w:rsid w:val="000A22F0"/>
    <w:rsid w:val="000A2ACA"/>
    <w:rsid w:val="000A34BD"/>
    <w:rsid w:val="000A410E"/>
    <w:rsid w:val="000A49F8"/>
    <w:rsid w:val="000A4DB7"/>
    <w:rsid w:val="000A4E2D"/>
    <w:rsid w:val="000A5C49"/>
    <w:rsid w:val="000A66C9"/>
    <w:rsid w:val="000A67CD"/>
    <w:rsid w:val="000A6870"/>
    <w:rsid w:val="000B0B34"/>
    <w:rsid w:val="000B0DDA"/>
    <w:rsid w:val="000B116D"/>
    <w:rsid w:val="000B20B7"/>
    <w:rsid w:val="000B20EB"/>
    <w:rsid w:val="000B2FE5"/>
    <w:rsid w:val="000B4E08"/>
    <w:rsid w:val="000B5CA7"/>
    <w:rsid w:val="000B72F1"/>
    <w:rsid w:val="000B77AE"/>
    <w:rsid w:val="000B7EAE"/>
    <w:rsid w:val="000C0E75"/>
    <w:rsid w:val="000C2A5B"/>
    <w:rsid w:val="000C3052"/>
    <w:rsid w:val="000C3EE7"/>
    <w:rsid w:val="000C42F6"/>
    <w:rsid w:val="000C5678"/>
    <w:rsid w:val="000C7035"/>
    <w:rsid w:val="000C74C4"/>
    <w:rsid w:val="000C7787"/>
    <w:rsid w:val="000C7795"/>
    <w:rsid w:val="000C7A05"/>
    <w:rsid w:val="000C7AAF"/>
    <w:rsid w:val="000C7AEA"/>
    <w:rsid w:val="000C7C91"/>
    <w:rsid w:val="000C7E20"/>
    <w:rsid w:val="000D051A"/>
    <w:rsid w:val="000D060E"/>
    <w:rsid w:val="000D147E"/>
    <w:rsid w:val="000D1CB9"/>
    <w:rsid w:val="000D2582"/>
    <w:rsid w:val="000D2762"/>
    <w:rsid w:val="000D27D6"/>
    <w:rsid w:val="000D2A0A"/>
    <w:rsid w:val="000D31D7"/>
    <w:rsid w:val="000D32E3"/>
    <w:rsid w:val="000D3676"/>
    <w:rsid w:val="000D39FC"/>
    <w:rsid w:val="000D5410"/>
    <w:rsid w:val="000D6086"/>
    <w:rsid w:val="000D6212"/>
    <w:rsid w:val="000D658E"/>
    <w:rsid w:val="000D65B1"/>
    <w:rsid w:val="000E0198"/>
    <w:rsid w:val="000E2123"/>
    <w:rsid w:val="000E2C34"/>
    <w:rsid w:val="000E3037"/>
    <w:rsid w:val="000E3790"/>
    <w:rsid w:val="000E392D"/>
    <w:rsid w:val="000E492B"/>
    <w:rsid w:val="000E5615"/>
    <w:rsid w:val="000E77B1"/>
    <w:rsid w:val="000F099A"/>
    <w:rsid w:val="000F0C1A"/>
    <w:rsid w:val="000F1B6B"/>
    <w:rsid w:val="000F1CD4"/>
    <w:rsid w:val="000F2B09"/>
    <w:rsid w:val="000F2D05"/>
    <w:rsid w:val="000F3FD2"/>
    <w:rsid w:val="000F4088"/>
    <w:rsid w:val="000F4324"/>
    <w:rsid w:val="000F45DB"/>
    <w:rsid w:val="000F5BF6"/>
    <w:rsid w:val="000F5D6E"/>
    <w:rsid w:val="000F6252"/>
    <w:rsid w:val="000F7155"/>
    <w:rsid w:val="000F717F"/>
    <w:rsid w:val="000F71C6"/>
    <w:rsid w:val="000F77FB"/>
    <w:rsid w:val="000F7D53"/>
    <w:rsid w:val="00100B45"/>
    <w:rsid w:val="00100CB8"/>
    <w:rsid w:val="001018DC"/>
    <w:rsid w:val="00101BD1"/>
    <w:rsid w:val="00102B61"/>
    <w:rsid w:val="00104913"/>
    <w:rsid w:val="00104B69"/>
    <w:rsid w:val="00105123"/>
    <w:rsid w:val="001053B3"/>
    <w:rsid w:val="00106FEC"/>
    <w:rsid w:val="00107903"/>
    <w:rsid w:val="001136B8"/>
    <w:rsid w:val="001138F8"/>
    <w:rsid w:val="00116339"/>
    <w:rsid w:val="0011678D"/>
    <w:rsid w:val="001178B3"/>
    <w:rsid w:val="00117E2F"/>
    <w:rsid w:val="00117EA4"/>
    <w:rsid w:val="001217F8"/>
    <w:rsid w:val="001228E5"/>
    <w:rsid w:val="00122C22"/>
    <w:rsid w:val="0012373B"/>
    <w:rsid w:val="001242AD"/>
    <w:rsid w:val="00124AD4"/>
    <w:rsid w:val="00126B84"/>
    <w:rsid w:val="001272B3"/>
    <w:rsid w:val="001276AE"/>
    <w:rsid w:val="00127E99"/>
    <w:rsid w:val="001307DD"/>
    <w:rsid w:val="001308FA"/>
    <w:rsid w:val="0013168C"/>
    <w:rsid w:val="00132DA6"/>
    <w:rsid w:val="001346C8"/>
    <w:rsid w:val="00134B91"/>
    <w:rsid w:val="00134EF1"/>
    <w:rsid w:val="0013500F"/>
    <w:rsid w:val="00135A97"/>
    <w:rsid w:val="00135D56"/>
    <w:rsid w:val="00136109"/>
    <w:rsid w:val="00136441"/>
    <w:rsid w:val="00136489"/>
    <w:rsid w:val="0013699F"/>
    <w:rsid w:val="00136F75"/>
    <w:rsid w:val="00140482"/>
    <w:rsid w:val="00140D99"/>
    <w:rsid w:val="00143B70"/>
    <w:rsid w:val="00146705"/>
    <w:rsid w:val="0014704D"/>
    <w:rsid w:val="0014771D"/>
    <w:rsid w:val="00150F07"/>
    <w:rsid w:val="00155142"/>
    <w:rsid w:val="0015531B"/>
    <w:rsid w:val="001553D2"/>
    <w:rsid w:val="00155B14"/>
    <w:rsid w:val="00156047"/>
    <w:rsid w:val="00156128"/>
    <w:rsid w:val="00156484"/>
    <w:rsid w:val="00156C04"/>
    <w:rsid w:val="00156F5E"/>
    <w:rsid w:val="001570AA"/>
    <w:rsid w:val="00160452"/>
    <w:rsid w:val="001604C9"/>
    <w:rsid w:val="00160BA0"/>
    <w:rsid w:val="00160DBB"/>
    <w:rsid w:val="00161728"/>
    <w:rsid w:val="00161804"/>
    <w:rsid w:val="00162851"/>
    <w:rsid w:val="00162A64"/>
    <w:rsid w:val="00163155"/>
    <w:rsid w:val="001631F4"/>
    <w:rsid w:val="001632DC"/>
    <w:rsid w:val="00163749"/>
    <w:rsid w:val="00163EAE"/>
    <w:rsid w:val="00164D06"/>
    <w:rsid w:val="00164F6C"/>
    <w:rsid w:val="00165357"/>
    <w:rsid w:val="001659C6"/>
    <w:rsid w:val="001665F0"/>
    <w:rsid w:val="00167483"/>
    <w:rsid w:val="00167CA3"/>
    <w:rsid w:val="00170701"/>
    <w:rsid w:val="00170D94"/>
    <w:rsid w:val="00171077"/>
    <w:rsid w:val="001714FE"/>
    <w:rsid w:val="00172593"/>
    <w:rsid w:val="00172D14"/>
    <w:rsid w:val="00173093"/>
    <w:rsid w:val="001732B7"/>
    <w:rsid w:val="0017425F"/>
    <w:rsid w:val="00174CF8"/>
    <w:rsid w:val="0017577C"/>
    <w:rsid w:val="00175D86"/>
    <w:rsid w:val="0017684C"/>
    <w:rsid w:val="001777AF"/>
    <w:rsid w:val="00180E4D"/>
    <w:rsid w:val="00181082"/>
    <w:rsid w:val="00182526"/>
    <w:rsid w:val="00182896"/>
    <w:rsid w:val="001830E1"/>
    <w:rsid w:val="001834B3"/>
    <w:rsid w:val="0018365B"/>
    <w:rsid w:val="00183684"/>
    <w:rsid w:val="00183BB3"/>
    <w:rsid w:val="00184170"/>
    <w:rsid w:val="001848F1"/>
    <w:rsid w:val="001859C3"/>
    <w:rsid w:val="00185B35"/>
    <w:rsid w:val="00185B8E"/>
    <w:rsid w:val="00186A27"/>
    <w:rsid w:val="001874B5"/>
    <w:rsid w:val="001918F5"/>
    <w:rsid w:val="00191B6E"/>
    <w:rsid w:val="00192BF1"/>
    <w:rsid w:val="001932CF"/>
    <w:rsid w:val="00193AA2"/>
    <w:rsid w:val="00194B7E"/>
    <w:rsid w:val="00194C89"/>
    <w:rsid w:val="00195E49"/>
    <w:rsid w:val="00196240"/>
    <w:rsid w:val="0019651F"/>
    <w:rsid w:val="00196E27"/>
    <w:rsid w:val="001976FE"/>
    <w:rsid w:val="001A15A5"/>
    <w:rsid w:val="001A1B92"/>
    <w:rsid w:val="001A208D"/>
    <w:rsid w:val="001A2248"/>
    <w:rsid w:val="001A330E"/>
    <w:rsid w:val="001A33E0"/>
    <w:rsid w:val="001A48D6"/>
    <w:rsid w:val="001A4C39"/>
    <w:rsid w:val="001A4D0B"/>
    <w:rsid w:val="001A5098"/>
    <w:rsid w:val="001A5502"/>
    <w:rsid w:val="001A5B1E"/>
    <w:rsid w:val="001A7233"/>
    <w:rsid w:val="001A7C62"/>
    <w:rsid w:val="001B0142"/>
    <w:rsid w:val="001B0CA3"/>
    <w:rsid w:val="001B0E45"/>
    <w:rsid w:val="001B0F9A"/>
    <w:rsid w:val="001B3AC6"/>
    <w:rsid w:val="001B3EF4"/>
    <w:rsid w:val="001B41E5"/>
    <w:rsid w:val="001B42A7"/>
    <w:rsid w:val="001B4747"/>
    <w:rsid w:val="001B4F02"/>
    <w:rsid w:val="001B5839"/>
    <w:rsid w:val="001B69BD"/>
    <w:rsid w:val="001B6E8D"/>
    <w:rsid w:val="001B7BD2"/>
    <w:rsid w:val="001C1CAB"/>
    <w:rsid w:val="001C25CA"/>
    <w:rsid w:val="001C2650"/>
    <w:rsid w:val="001C272E"/>
    <w:rsid w:val="001C4412"/>
    <w:rsid w:val="001C466A"/>
    <w:rsid w:val="001C526E"/>
    <w:rsid w:val="001C5412"/>
    <w:rsid w:val="001D03E5"/>
    <w:rsid w:val="001D060A"/>
    <w:rsid w:val="001D1952"/>
    <w:rsid w:val="001D23AE"/>
    <w:rsid w:val="001D2536"/>
    <w:rsid w:val="001D3E02"/>
    <w:rsid w:val="001D418F"/>
    <w:rsid w:val="001D5374"/>
    <w:rsid w:val="001D5997"/>
    <w:rsid w:val="001D5ACC"/>
    <w:rsid w:val="001D6194"/>
    <w:rsid w:val="001E0C56"/>
    <w:rsid w:val="001E1A8C"/>
    <w:rsid w:val="001E236E"/>
    <w:rsid w:val="001E2C78"/>
    <w:rsid w:val="001E2F31"/>
    <w:rsid w:val="001E3519"/>
    <w:rsid w:val="001E3727"/>
    <w:rsid w:val="001E39B4"/>
    <w:rsid w:val="001E3EF1"/>
    <w:rsid w:val="001E5961"/>
    <w:rsid w:val="001E62E4"/>
    <w:rsid w:val="001E67F5"/>
    <w:rsid w:val="001E694C"/>
    <w:rsid w:val="001E6A17"/>
    <w:rsid w:val="001E6D93"/>
    <w:rsid w:val="001E7F55"/>
    <w:rsid w:val="001F0025"/>
    <w:rsid w:val="001F127D"/>
    <w:rsid w:val="001F24DC"/>
    <w:rsid w:val="001F2CD4"/>
    <w:rsid w:val="001F3DCF"/>
    <w:rsid w:val="001F409B"/>
    <w:rsid w:val="001F48E0"/>
    <w:rsid w:val="001F4FC3"/>
    <w:rsid w:val="001F55ED"/>
    <w:rsid w:val="001F5F8D"/>
    <w:rsid w:val="001F6224"/>
    <w:rsid w:val="001F7393"/>
    <w:rsid w:val="001F78F5"/>
    <w:rsid w:val="00201181"/>
    <w:rsid w:val="00201397"/>
    <w:rsid w:val="0020159F"/>
    <w:rsid w:val="00203763"/>
    <w:rsid w:val="00203B6C"/>
    <w:rsid w:val="00204152"/>
    <w:rsid w:val="0020509B"/>
    <w:rsid w:val="002052B1"/>
    <w:rsid w:val="0020559D"/>
    <w:rsid w:val="00205DDE"/>
    <w:rsid w:val="00206F7D"/>
    <w:rsid w:val="00207AEE"/>
    <w:rsid w:val="00207D34"/>
    <w:rsid w:val="00207EE2"/>
    <w:rsid w:val="00211239"/>
    <w:rsid w:val="00211B48"/>
    <w:rsid w:val="00212E88"/>
    <w:rsid w:val="00213548"/>
    <w:rsid w:val="00214155"/>
    <w:rsid w:val="00216B1F"/>
    <w:rsid w:val="00216F2E"/>
    <w:rsid w:val="00217EDF"/>
    <w:rsid w:val="0022008D"/>
    <w:rsid w:val="00220109"/>
    <w:rsid w:val="00220370"/>
    <w:rsid w:val="00220498"/>
    <w:rsid w:val="00220CCE"/>
    <w:rsid w:val="002214F0"/>
    <w:rsid w:val="00222570"/>
    <w:rsid w:val="00223C71"/>
    <w:rsid w:val="002241AC"/>
    <w:rsid w:val="0022443F"/>
    <w:rsid w:val="002246FD"/>
    <w:rsid w:val="00224E79"/>
    <w:rsid w:val="00225407"/>
    <w:rsid w:val="00225E8D"/>
    <w:rsid w:val="00226FAB"/>
    <w:rsid w:val="00227EC0"/>
    <w:rsid w:val="00230346"/>
    <w:rsid w:val="00230721"/>
    <w:rsid w:val="002308A0"/>
    <w:rsid w:val="00231029"/>
    <w:rsid w:val="00231E61"/>
    <w:rsid w:val="0023227F"/>
    <w:rsid w:val="00232696"/>
    <w:rsid w:val="002327AC"/>
    <w:rsid w:val="00232CE0"/>
    <w:rsid w:val="00233039"/>
    <w:rsid w:val="00233203"/>
    <w:rsid w:val="00234770"/>
    <w:rsid w:val="00234884"/>
    <w:rsid w:val="00234C10"/>
    <w:rsid w:val="00234CCF"/>
    <w:rsid w:val="002364E9"/>
    <w:rsid w:val="00236786"/>
    <w:rsid w:val="00237308"/>
    <w:rsid w:val="002407DC"/>
    <w:rsid w:val="002408CB"/>
    <w:rsid w:val="00240A5B"/>
    <w:rsid w:val="00240AC7"/>
    <w:rsid w:val="002417E7"/>
    <w:rsid w:val="00241807"/>
    <w:rsid w:val="00241D71"/>
    <w:rsid w:val="00242A9D"/>
    <w:rsid w:val="00243C35"/>
    <w:rsid w:val="00244679"/>
    <w:rsid w:val="00244B81"/>
    <w:rsid w:val="00246A7F"/>
    <w:rsid w:val="00247D17"/>
    <w:rsid w:val="002510AE"/>
    <w:rsid w:val="00252A9F"/>
    <w:rsid w:val="00252BFE"/>
    <w:rsid w:val="0025377F"/>
    <w:rsid w:val="00254C30"/>
    <w:rsid w:val="00254CC3"/>
    <w:rsid w:val="0025537B"/>
    <w:rsid w:val="00255E20"/>
    <w:rsid w:val="0025619B"/>
    <w:rsid w:val="002563B1"/>
    <w:rsid w:val="002564AD"/>
    <w:rsid w:val="002570AF"/>
    <w:rsid w:val="00257678"/>
    <w:rsid w:val="00257AE6"/>
    <w:rsid w:val="00257DAC"/>
    <w:rsid w:val="002603BA"/>
    <w:rsid w:val="00260C01"/>
    <w:rsid w:val="002615AC"/>
    <w:rsid w:val="00262C2F"/>
    <w:rsid w:val="0026330C"/>
    <w:rsid w:val="00263417"/>
    <w:rsid w:val="00264F98"/>
    <w:rsid w:val="00265788"/>
    <w:rsid w:val="00265A87"/>
    <w:rsid w:val="0026630F"/>
    <w:rsid w:val="00266D94"/>
    <w:rsid w:val="00267C1B"/>
    <w:rsid w:val="00270F32"/>
    <w:rsid w:val="00271BC8"/>
    <w:rsid w:val="00271FFE"/>
    <w:rsid w:val="002724DC"/>
    <w:rsid w:val="0027440A"/>
    <w:rsid w:val="0027617F"/>
    <w:rsid w:val="0027634D"/>
    <w:rsid w:val="002779E9"/>
    <w:rsid w:val="0028060E"/>
    <w:rsid w:val="00281402"/>
    <w:rsid w:val="00281C3C"/>
    <w:rsid w:val="00282E93"/>
    <w:rsid w:val="00282ECB"/>
    <w:rsid w:val="00284589"/>
    <w:rsid w:val="00284CB4"/>
    <w:rsid w:val="002866EE"/>
    <w:rsid w:val="00291DD7"/>
    <w:rsid w:val="00291FE7"/>
    <w:rsid w:val="00292465"/>
    <w:rsid w:val="00292B27"/>
    <w:rsid w:val="002942EE"/>
    <w:rsid w:val="002953B1"/>
    <w:rsid w:val="002A0ABB"/>
    <w:rsid w:val="002A0D4A"/>
    <w:rsid w:val="002A0EE7"/>
    <w:rsid w:val="002A100B"/>
    <w:rsid w:val="002A171D"/>
    <w:rsid w:val="002A2A14"/>
    <w:rsid w:val="002A43C1"/>
    <w:rsid w:val="002A610A"/>
    <w:rsid w:val="002A61EC"/>
    <w:rsid w:val="002A6D50"/>
    <w:rsid w:val="002A74C7"/>
    <w:rsid w:val="002A7513"/>
    <w:rsid w:val="002A76A5"/>
    <w:rsid w:val="002A773B"/>
    <w:rsid w:val="002B12F4"/>
    <w:rsid w:val="002B1844"/>
    <w:rsid w:val="002B1EDC"/>
    <w:rsid w:val="002B20A3"/>
    <w:rsid w:val="002B20A5"/>
    <w:rsid w:val="002B31A8"/>
    <w:rsid w:val="002B36F6"/>
    <w:rsid w:val="002B38BE"/>
    <w:rsid w:val="002B5077"/>
    <w:rsid w:val="002B50A6"/>
    <w:rsid w:val="002B7235"/>
    <w:rsid w:val="002B750F"/>
    <w:rsid w:val="002C0B8B"/>
    <w:rsid w:val="002C1CA4"/>
    <w:rsid w:val="002C2D7B"/>
    <w:rsid w:val="002C2F96"/>
    <w:rsid w:val="002C3849"/>
    <w:rsid w:val="002C3B7E"/>
    <w:rsid w:val="002C4AAE"/>
    <w:rsid w:val="002C51CE"/>
    <w:rsid w:val="002C72C7"/>
    <w:rsid w:val="002C7DD0"/>
    <w:rsid w:val="002D0860"/>
    <w:rsid w:val="002D18CA"/>
    <w:rsid w:val="002D2DEE"/>
    <w:rsid w:val="002D34F1"/>
    <w:rsid w:val="002D3CA4"/>
    <w:rsid w:val="002D4394"/>
    <w:rsid w:val="002D4669"/>
    <w:rsid w:val="002D4D80"/>
    <w:rsid w:val="002D55DB"/>
    <w:rsid w:val="002D5C30"/>
    <w:rsid w:val="002D5FCC"/>
    <w:rsid w:val="002D6365"/>
    <w:rsid w:val="002D69FF"/>
    <w:rsid w:val="002E017F"/>
    <w:rsid w:val="002E0570"/>
    <w:rsid w:val="002E1491"/>
    <w:rsid w:val="002E14D8"/>
    <w:rsid w:val="002E1825"/>
    <w:rsid w:val="002E22FC"/>
    <w:rsid w:val="002E3211"/>
    <w:rsid w:val="002E3E93"/>
    <w:rsid w:val="002E4049"/>
    <w:rsid w:val="002E4E33"/>
    <w:rsid w:val="002E5056"/>
    <w:rsid w:val="002E50BC"/>
    <w:rsid w:val="002E62A5"/>
    <w:rsid w:val="002E6313"/>
    <w:rsid w:val="002E6B6B"/>
    <w:rsid w:val="002E6D60"/>
    <w:rsid w:val="002F034A"/>
    <w:rsid w:val="002F07AA"/>
    <w:rsid w:val="002F08F0"/>
    <w:rsid w:val="002F0ADC"/>
    <w:rsid w:val="002F0D45"/>
    <w:rsid w:val="002F192E"/>
    <w:rsid w:val="002F2F06"/>
    <w:rsid w:val="002F3585"/>
    <w:rsid w:val="002F3C8B"/>
    <w:rsid w:val="002F3F0F"/>
    <w:rsid w:val="002F46C2"/>
    <w:rsid w:val="002F652F"/>
    <w:rsid w:val="002F6F81"/>
    <w:rsid w:val="00300561"/>
    <w:rsid w:val="003009F0"/>
    <w:rsid w:val="00301393"/>
    <w:rsid w:val="00301F93"/>
    <w:rsid w:val="003020D1"/>
    <w:rsid w:val="003031A7"/>
    <w:rsid w:val="00303211"/>
    <w:rsid w:val="00303444"/>
    <w:rsid w:val="003051E6"/>
    <w:rsid w:val="00305FCF"/>
    <w:rsid w:val="003070DE"/>
    <w:rsid w:val="00307A01"/>
    <w:rsid w:val="003100B2"/>
    <w:rsid w:val="00311071"/>
    <w:rsid w:val="00311551"/>
    <w:rsid w:val="003116ED"/>
    <w:rsid w:val="0031185D"/>
    <w:rsid w:val="00311B59"/>
    <w:rsid w:val="00312399"/>
    <w:rsid w:val="003128BD"/>
    <w:rsid w:val="003145B2"/>
    <w:rsid w:val="00315457"/>
    <w:rsid w:val="003156F6"/>
    <w:rsid w:val="00317018"/>
    <w:rsid w:val="00317A31"/>
    <w:rsid w:val="00320076"/>
    <w:rsid w:val="00320E5E"/>
    <w:rsid w:val="00320F3C"/>
    <w:rsid w:val="0032115A"/>
    <w:rsid w:val="003216D5"/>
    <w:rsid w:val="00321FD3"/>
    <w:rsid w:val="00322A96"/>
    <w:rsid w:val="003242E4"/>
    <w:rsid w:val="003243D5"/>
    <w:rsid w:val="003249A7"/>
    <w:rsid w:val="00324A8F"/>
    <w:rsid w:val="00324DCE"/>
    <w:rsid w:val="00324FA2"/>
    <w:rsid w:val="003253BF"/>
    <w:rsid w:val="00325BC7"/>
    <w:rsid w:val="003260AC"/>
    <w:rsid w:val="003264ED"/>
    <w:rsid w:val="0033013B"/>
    <w:rsid w:val="00331486"/>
    <w:rsid w:val="00331738"/>
    <w:rsid w:val="00334370"/>
    <w:rsid w:val="00334A6D"/>
    <w:rsid w:val="00334CD9"/>
    <w:rsid w:val="00334CFA"/>
    <w:rsid w:val="00335469"/>
    <w:rsid w:val="003377AE"/>
    <w:rsid w:val="00337B0C"/>
    <w:rsid w:val="00340531"/>
    <w:rsid w:val="00341AC1"/>
    <w:rsid w:val="003422C3"/>
    <w:rsid w:val="003424D6"/>
    <w:rsid w:val="003427FC"/>
    <w:rsid w:val="00344B4A"/>
    <w:rsid w:val="0034506A"/>
    <w:rsid w:val="00345E5B"/>
    <w:rsid w:val="00346597"/>
    <w:rsid w:val="0035275E"/>
    <w:rsid w:val="0035287E"/>
    <w:rsid w:val="00354C8F"/>
    <w:rsid w:val="00354E59"/>
    <w:rsid w:val="00354EB0"/>
    <w:rsid w:val="00355C4B"/>
    <w:rsid w:val="00356B84"/>
    <w:rsid w:val="00362399"/>
    <w:rsid w:val="00362645"/>
    <w:rsid w:val="00363BD9"/>
    <w:rsid w:val="00363E63"/>
    <w:rsid w:val="00363F9B"/>
    <w:rsid w:val="00365AD4"/>
    <w:rsid w:val="00365CC1"/>
    <w:rsid w:val="00365D78"/>
    <w:rsid w:val="00366666"/>
    <w:rsid w:val="00366EA6"/>
    <w:rsid w:val="00367F31"/>
    <w:rsid w:val="0037061E"/>
    <w:rsid w:val="00370918"/>
    <w:rsid w:val="00371B14"/>
    <w:rsid w:val="00371C6C"/>
    <w:rsid w:val="00372A36"/>
    <w:rsid w:val="00373176"/>
    <w:rsid w:val="00374233"/>
    <w:rsid w:val="0037522B"/>
    <w:rsid w:val="003752A2"/>
    <w:rsid w:val="00375682"/>
    <w:rsid w:val="00375980"/>
    <w:rsid w:val="003816F3"/>
    <w:rsid w:val="00381733"/>
    <w:rsid w:val="00381CD1"/>
    <w:rsid w:val="00381E7B"/>
    <w:rsid w:val="003823ED"/>
    <w:rsid w:val="00382548"/>
    <w:rsid w:val="00382C2D"/>
    <w:rsid w:val="003832DD"/>
    <w:rsid w:val="00383CCE"/>
    <w:rsid w:val="0038405D"/>
    <w:rsid w:val="003841ED"/>
    <w:rsid w:val="00384D26"/>
    <w:rsid w:val="0038531F"/>
    <w:rsid w:val="00386655"/>
    <w:rsid w:val="00387308"/>
    <w:rsid w:val="00390CC4"/>
    <w:rsid w:val="003926EF"/>
    <w:rsid w:val="003928F3"/>
    <w:rsid w:val="00392BEC"/>
    <w:rsid w:val="00393E1B"/>
    <w:rsid w:val="00393FDC"/>
    <w:rsid w:val="0039404A"/>
    <w:rsid w:val="003940A7"/>
    <w:rsid w:val="00394FCA"/>
    <w:rsid w:val="0039597A"/>
    <w:rsid w:val="00395E15"/>
    <w:rsid w:val="003962DB"/>
    <w:rsid w:val="00396ED3"/>
    <w:rsid w:val="00397858"/>
    <w:rsid w:val="0039792F"/>
    <w:rsid w:val="00397BE8"/>
    <w:rsid w:val="003A000E"/>
    <w:rsid w:val="003A0204"/>
    <w:rsid w:val="003A0B3D"/>
    <w:rsid w:val="003A13AC"/>
    <w:rsid w:val="003A30FE"/>
    <w:rsid w:val="003A3CD8"/>
    <w:rsid w:val="003A47C8"/>
    <w:rsid w:val="003A4A3E"/>
    <w:rsid w:val="003A4E52"/>
    <w:rsid w:val="003A62FD"/>
    <w:rsid w:val="003A7002"/>
    <w:rsid w:val="003A7D18"/>
    <w:rsid w:val="003A7EA9"/>
    <w:rsid w:val="003B088F"/>
    <w:rsid w:val="003B0DF7"/>
    <w:rsid w:val="003B1D4E"/>
    <w:rsid w:val="003B21FF"/>
    <w:rsid w:val="003B30CA"/>
    <w:rsid w:val="003B45C7"/>
    <w:rsid w:val="003B582F"/>
    <w:rsid w:val="003B5AB3"/>
    <w:rsid w:val="003B633A"/>
    <w:rsid w:val="003B79FB"/>
    <w:rsid w:val="003C05AA"/>
    <w:rsid w:val="003C0ADC"/>
    <w:rsid w:val="003C2EEC"/>
    <w:rsid w:val="003C34A6"/>
    <w:rsid w:val="003C426F"/>
    <w:rsid w:val="003C4322"/>
    <w:rsid w:val="003C46E7"/>
    <w:rsid w:val="003C50E4"/>
    <w:rsid w:val="003C5E69"/>
    <w:rsid w:val="003C613E"/>
    <w:rsid w:val="003C68C1"/>
    <w:rsid w:val="003C68CD"/>
    <w:rsid w:val="003C78EF"/>
    <w:rsid w:val="003C7D23"/>
    <w:rsid w:val="003D04A1"/>
    <w:rsid w:val="003D0CB6"/>
    <w:rsid w:val="003D10EF"/>
    <w:rsid w:val="003D140C"/>
    <w:rsid w:val="003D1C13"/>
    <w:rsid w:val="003D23B5"/>
    <w:rsid w:val="003D27A4"/>
    <w:rsid w:val="003D3448"/>
    <w:rsid w:val="003D3467"/>
    <w:rsid w:val="003D39A3"/>
    <w:rsid w:val="003D4A14"/>
    <w:rsid w:val="003D4D5F"/>
    <w:rsid w:val="003D649A"/>
    <w:rsid w:val="003D7E36"/>
    <w:rsid w:val="003E182C"/>
    <w:rsid w:val="003E1A8A"/>
    <w:rsid w:val="003E1F59"/>
    <w:rsid w:val="003E2E1A"/>
    <w:rsid w:val="003E33FC"/>
    <w:rsid w:val="003E3A12"/>
    <w:rsid w:val="003E59C4"/>
    <w:rsid w:val="003E5F72"/>
    <w:rsid w:val="003E6A10"/>
    <w:rsid w:val="003F02BA"/>
    <w:rsid w:val="003F04CD"/>
    <w:rsid w:val="003F192C"/>
    <w:rsid w:val="003F2A79"/>
    <w:rsid w:val="003F3FC0"/>
    <w:rsid w:val="003F4275"/>
    <w:rsid w:val="003F482C"/>
    <w:rsid w:val="003F4918"/>
    <w:rsid w:val="003F58BE"/>
    <w:rsid w:val="003F5C37"/>
    <w:rsid w:val="003F73CD"/>
    <w:rsid w:val="00400C60"/>
    <w:rsid w:val="0040118D"/>
    <w:rsid w:val="004012D4"/>
    <w:rsid w:val="00402283"/>
    <w:rsid w:val="00402952"/>
    <w:rsid w:val="00402A9F"/>
    <w:rsid w:val="00403F65"/>
    <w:rsid w:val="00407B1C"/>
    <w:rsid w:val="00407D2E"/>
    <w:rsid w:val="00410744"/>
    <w:rsid w:val="00411150"/>
    <w:rsid w:val="0041167A"/>
    <w:rsid w:val="004129AA"/>
    <w:rsid w:val="00412EEF"/>
    <w:rsid w:val="00414D90"/>
    <w:rsid w:val="00415B79"/>
    <w:rsid w:val="00415C86"/>
    <w:rsid w:val="00415D0F"/>
    <w:rsid w:val="004201FA"/>
    <w:rsid w:val="004211ED"/>
    <w:rsid w:val="00422207"/>
    <w:rsid w:val="004227AB"/>
    <w:rsid w:val="00423E9B"/>
    <w:rsid w:val="004248EA"/>
    <w:rsid w:val="00424E5D"/>
    <w:rsid w:val="004254BA"/>
    <w:rsid w:val="0042604E"/>
    <w:rsid w:val="00426B5C"/>
    <w:rsid w:val="00427063"/>
    <w:rsid w:val="00427791"/>
    <w:rsid w:val="00427BE0"/>
    <w:rsid w:val="004302DD"/>
    <w:rsid w:val="004307FA"/>
    <w:rsid w:val="00431E5B"/>
    <w:rsid w:val="004328EC"/>
    <w:rsid w:val="00432CFF"/>
    <w:rsid w:val="0043312E"/>
    <w:rsid w:val="004331C6"/>
    <w:rsid w:val="0043323F"/>
    <w:rsid w:val="004335FF"/>
    <w:rsid w:val="00433CBF"/>
    <w:rsid w:val="00434344"/>
    <w:rsid w:val="00434524"/>
    <w:rsid w:val="00434F5C"/>
    <w:rsid w:val="0043575D"/>
    <w:rsid w:val="004359F8"/>
    <w:rsid w:val="0043705A"/>
    <w:rsid w:val="00437A5A"/>
    <w:rsid w:val="00437E23"/>
    <w:rsid w:val="00442116"/>
    <w:rsid w:val="004422EC"/>
    <w:rsid w:val="004426CF"/>
    <w:rsid w:val="0044383D"/>
    <w:rsid w:val="00444D88"/>
    <w:rsid w:val="00445106"/>
    <w:rsid w:val="0044557F"/>
    <w:rsid w:val="00445BB3"/>
    <w:rsid w:val="00446F16"/>
    <w:rsid w:val="00447B59"/>
    <w:rsid w:val="00450172"/>
    <w:rsid w:val="0045080C"/>
    <w:rsid w:val="004523A1"/>
    <w:rsid w:val="00452734"/>
    <w:rsid w:val="00452FA3"/>
    <w:rsid w:val="00453148"/>
    <w:rsid w:val="004545C2"/>
    <w:rsid w:val="0045486C"/>
    <w:rsid w:val="00455813"/>
    <w:rsid w:val="00455B98"/>
    <w:rsid w:val="00456875"/>
    <w:rsid w:val="004569AE"/>
    <w:rsid w:val="00456BC6"/>
    <w:rsid w:val="0045719B"/>
    <w:rsid w:val="0045762D"/>
    <w:rsid w:val="00460BD4"/>
    <w:rsid w:val="00460E14"/>
    <w:rsid w:val="00461200"/>
    <w:rsid w:val="00461242"/>
    <w:rsid w:val="004612C8"/>
    <w:rsid w:val="00461DD2"/>
    <w:rsid w:val="00463247"/>
    <w:rsid w:val="00466BFC"/>
    <w:rsid w:val="00467009"/>
    <w:rsid w:val="00467FD9"/>
    <w:rsid w:val="0047057C"/>
    <w:rsid w:val="00470E3A"/>
    <w:rsid w:val="004714FE"/>
    <w:rsid w:val="0047276A"/>
    <w:rsid w:val="00472FDA"/>
    <w:rsid w:val="004736C9"/>
    <w:rsid w:val="00473B7F"/>
    <w:rsid w:val="0047445C"/>
    <w:rsid w:val="004748C8"/>
    <w:rsid w:val="004757B6"/>
    <w:rsid w:val="00475DB3"/>
    <w:rsid w:val="004760BC"/>
    <w:rsid w:val="0047707A"/>
    <w:rsid w:val="0047769A"/>
    <w:rsid w:val="00480B88"/>
    <w:rsid w:val="00481889"/>
    <w:rsid w:val="004827EF"/>
    <w:rsid w:val="00482A3A"/>
    <w:rsid w:val="00482F7D"/>
    <w:rsid w:val="004844EC"/>
    <w:rsid w:val="00485B39"/>
    <w:rsid w:val="0048657C"/>
    <w:rsid w:val="00486F37"/>
    <w:rsid w:val="0048717E"/>
    <w:rsid w:val="004900DC"/>
    <w:rsid w:val="004901EE"/>
    <w:rsid w:val="004902A0"/>
    <w:rsid w:val="00490444"/>
    <w:rsid w:val="00490F30"/>
    <w:rsid w:val="00491842"/>
    <w:rsid w:val="004919F3"/>
    <w:rsid w:val="00491B20"/>
    <w:rsid w:val="00492258"/>
    <w:rsid w:val="004928A0"/>
    <w:rsid w:val="00493AAE"/>
    <w:rsid w:val="00494169"/>
    <w:rsid w:val="00494620"/>
    <w:rsid w:val="00496480"/>
    <w:rsid w:val="0049654F"/>
    <w:rsid w:val="00496DC6"/>
    <w:rsid w:val="004979EE"/>
    <w:rsid w:val="004A013B"/>
    <w:rsid w:val="004A0A05"/>
    <w:rsid w:val="004A2D26"/>
    <w:rsid w:val="004A3118"/>
    <w:rsid w:val="004A3440"/>
    <w:rsid w:val="004A3D8E"/>
    <w:rsid w:val="004A5EBF"/>
    <w:rsid w:val="004A5ED9"/>
    <w:rsid w:val="004A64F6"/>
    <w:rsid w:val="004A69F4"/>
    <w:rsid w:val="004B0707"/>
    <w:rsid w:val="004B11C2"/>
    <w:rsid w:val="004B1D9B"/>
    <w:rsid w:val="004B2042"/>
    <w:rsid w:val="004B29B2"/>
    <w:rsid w:val="004B4945"/>
    <w:rsid w:val="004B4DDD"/>
    <w:rsid w:val="004B4E62"/>
    <w:rsid w:val="004B589F"/>
    <w:rsid w:val="004B6062"/>
    <w:rsid w:val="004B606F"/>
    <w:rsid w:val="004B6785"/>
    <w:rsid w:val="004B720D"/>
    <w:rsid w:val="004C0855"/>
    <w:rsid w:val="004C135A"/>
    <w:rsid w:val="004C1C81"/>
    <w:rsid w:val="004C225C"/>
    <w:rsid w:val="004C2E40"/>
    <w:rsid w:val="004C385D"/>
    <w:rsid w:val="004C4577"/>
    <w:rsid w:val="004C45CC"/>
    <w:rsid w:val="004C5420"/>
    <w:rsid w:val="004C62B4"/>
    <w:rsid w:val="004C6326"/>
    <w:rsid w:val="004C6728"/>
    <w:rsid w:val="004C6CF7"/>
    <w:rsid w:val="004D02B5"/>
    <w:rsid w:val="004D0BD7"/>
    <w:rsid w:val="004D0E1C"/>
    <w:rsid w:val="004D1B67"/>
    <w:rsid w:val="004D1C19"/>
    <w:rsid w:val="004D228E"/>
    <w:rsid w:val="004D319E"/>
    <w:rsid w:val="004D3336"/>
    <w:rsid w:val="004D360C"/>
    <w:rsid w:val="004D36BF"/>
    <w:rsid w:val="004D395F"/>
    <w:rsid w:val="004D3CAD"/>
    <w:rsid w:val="004D4BAD"/>
    <w:rsid w:val="004D5476"/>
    <w:rsid w:val="004D5A69"/>
    <w:rsid w:val="004D5D79"/>
    <w:rsid w:val="004D5E94"/>
    <w:rsid w:val="004D6127"/>
    <w:rsid w:val="004D7C00"/>
    <w:rsid w:val="004E018B"/>
    <w:rsid w:val="004E0FF3"/>
    <w:rsid w:val="004E24A2"/>
    <w:rsid w:val="004E27F5"/>
    <w:rsid w:val="004E2E93"/>
    <w:rsid w:val="004E38C4"/>
    <w:rsid w:val="004E3934"/>
    <w:rsid w:val="004E3FE0"/>
    <w:rsid w:val="004E4EA5"/>
    <w:rsid w:val="004E5251"/>
    <w:rsid w:val="004E6175"/>
    <w:rsid w:val="004E61FB"/>
    <w:rsid w:val="004E67C2"/>
    <w:rsid w:val="004E76F4"/>
    <w:rsid w:val="004F0C27"/>
    <w:rsid w:val="004F14E0"/>
    <w:rsid w:val="004F1CEE"/>
    <w:rsid w:val="004F2963"/>
    <w:rsid w:val="004F3228"/>
    <w:rsid w:val="004F482C"/>
    <w:rsid w:val="004F4D04"/>
    <w:rsid w:val="004F5FBA"/>
    <w:rsid w:val="004F6B3E"/>
    <w:rsid w:val="004F7178"/>
    <w:rsid w:val="004F77C8"/>
    <w:rsid w:val="004F7E96"/>
    <w:rsid w:val="0050003C"/>
    <w:rsid w:val="00500E2D"/>
    <w:rsid w:val="00501B29"/>
    <w:rsid w:val="0050333C"/>
    <w:rsid w:val="0050456C"/>
    <w:rsid w:val="005045C6"/>
    <w:rsid w:val="00504F2E"/>
    <w:rsid w:val="00505C78"/>
    <w:rsid w:val="005061AF"/>
    <w:rsid w:val="0050693E"/>
    <w:rsid w:val="00506E16"/>
    <w:rsid w:val="005072F9"/>
    <w:rsid w:val="00511D90"/>
    <w:rsid w:val="00512382"/>
    <w:rsid w:val="00512E54"/>
    <w:rsid w:val="00513729"/>
    <w:rsid w:val="00515074"/>
    <w:rsid w:val="0051511F"/>
    <w:rsid w:val="00515C18"/>
    <w:rsid w:val="00516C1C"/>
    <w:rsid w:val="00517683"/>
    <w:rsid w:val="00517B8E"/>
    <w:rsid w:val="005200F8"/>
    <w:rsid w:val="0052050E"/>
    <w:rsid w:val="00520FCE"/>
    <w:rsid w:val="0052147B"/>
    <w:rsid w:val="00521531"/>
    <w:rsid w:val="00521C05"/>
    <w:rsid w:val="00521F8E"/>
    <w:rsid w:val="005239B6"/>
    <w:rsid w:val="005240E6"/>
    <w:rsid w:val="0052454B"/>
    <w:rsid w:val="00525AAC"/>
    <w:rsid w:val="00525F6A"/>
    <w:rsid w:val="005266F3"/>
    <w:rsid w:val="00526E95"/>
    <w:rsid w:val="00527332"/>
    <w:rsid w:val="0053057F"/>
    <w:rsid w:val="00530A11"/>
    <w:rsid w:val="00530F7C"/>
    <w:rsid w:val="0053122E"/>
    <w:rsid w:val="00531F9E"/>
    <w:rsid w:val="005324C6"/>
    <w:rsid w:val="0053263D"/>
    <w:rsid w:val="00532AA3"/>
    <w:rsid w:val="00533683"/>
    <w:rsid w:val="005339E5"/>
    <w:rsid w:val="00533CC8"/>
    <w:rsid w:val="005340F1"/>
    <w:rsid w:val="0053481F"/>
    <w:rsid w:val="005371E1"/>
    <w:rsid w:val="00541044"/>
    <w:rsid w:val="0054172F"/>
    <w:rsid w:val="00541C0F"/>
    <w:rsid w:val="00541D48"/>
    <w:rsid w:val="00542058"/>
    <w:rsid w:val="00542154"/>
    <w:rsid w:val="00542FB0"/>
    <w:rsid w:val="005430A7"/>
    <w:rsid w:val="0054320C"/>
    <w:rsid w:val="0054345B"/>
    <w:rsid w:val="00543AE8"/>
    <w:rsid w:val="005441A0"/>
    <w:rsid w:val="005441FA"/>
    <w:rsid w:val="005449FA"/>
    <w:rsid w:val="00544D0C"/>
    <w:rsid w:val="00545379"/>
    <w:rsid w:val="005457B2"/>
    <w:rsid w:val="0054653C"/>
    <w:rsid w:val="005475F3"/>
    <w:rsid w:val="00547BD3"/>
    <w:rsid w:val="00551057"/>
    <w:rsid w:val="005511B9"/>
    <w:rsid w:val="00551213"/>
    <w:rsid w:val="005515E1"/>
    <w:rsid w:val="00551C68"/>
    <w:rsid w:val="005522A7"/>
    <w:rsid w:val="005522EA"/>
    <w:rsid w:val="005523B6"/>
    <w:rsid w:val="00552552"/>
    <w:rsid w:val="005546DE"/>
    <w:rsid w:val="00554F63"/>
    <w:rsid w:val="0055523B"/>
    <w:rsid w:val="005566F7"/>
    <w:rsid w:val="005600B5"/>
    <w:rsid w:val="005600B8"/>
    <w:rsid w:val="00560BFE"/>
    <w:rsid w:val="005610CE"/>
    <w:rsid w:val="00561650"/>
    <w:rsid w:val="0056175D"/>
    <w:rsid w:val="00562852"/>
    <w:rsid w:val="00562B50"/>
    <w:rsid w:val="00563024"/>
    <w:rsid w:val="005630A3"/>
    <w:rsid w:val="00563191"/>
    <w:rsid w:val="005638D7"/>
    <w:rsid w:val="00563B7D"/>
    <w:rsid w:val="005641FC"/>
    <w:rsid w:val="00564822"/>
    <w:rsid w:val="00564FB1"/>
    <w:rsid w:val="00564FE9"/>
    <w:rsid w:val="00565251"/>
    <w:rsid w:val="00566BDE"/>
    <w:rsid w:val="00570DAB"/>
    <w:rsid w:val="00571C8E"/>
    <w:rsid w:val="00571D5E"/>
    <w:rsid w:val="00571E46"/>
    <w:rsid w:val="00571ECA"/>
    <w:rsid w:val="0057216D"/>
    <w:rsid w:val="0057263B"/>
    <w:rsid w:val="0057281E"/>
    <w:rsid w:val="00572EC9"/>
    <w:rsid w:val="00573050"/>
    <w:rsid w:val="00573689"/>
    <w:rsid w:val="005737AD"/>
    <w:rsid w:val="00573F8B"/>
    <w:rsid w:val="00574576"/>
    <w:rsid w:val="00574E8C"/>
    <w:rsid w:val="0057510E"/>
    <w:rsid w:val="00575697"/>
    <w:rsid w:val="00576551"/>
    <w:rsid w:val="00576E8B"/>
    <w:rsid w:val="0057729B"/>
    <w:rsid w:val="00577A36"/>
    <w:rsid w:val="00577CA1"/>
    <w:rsid w:val="00580BC4"/>
    <w:rsid w:val="00582465"/>
    <w:rsid w:val="00583532"/>
    <w:rsid w:val="00583F9E"/>
    <w:rsid w:val="00584077"/>
    <w:rsid w:val="00584E84"/>
    <w:rsid w:val="0058640B"/>
    <w:rsid w:val="0058678C"/>
    <w:rsid w:val="005876AA"/>
    <w:rsid w:val="005876FE"/>
    <w:rsid w:val="005877C9"/>
    <w:rsid w:val="005878ED"/>
    <w:rsid w:val="00590191"/>
    <w:rsid w:val="005905C9"/>
    <w:rsid w:val="00590809"/>
    <w:rsid w:val="00591639"/>
    <w:rsid w:val="00591B79"/>
    <w:rsid w:val="00591E2F"/>
    <w:rsid w:val="0059610F"/>
    <w:rsid w:val="00596686"/>
    <w:rsid w:val="00596AE0"/>
    <w:rsid w:val="00597572"/>
    <w:rsid w:val="00597641"/>
    <w:rsid w:val="005A08C1"/>
    <w:rsid w:val="005A2A9A"/>
    <w:rsid w:val="005A3FDF"/>
    <w:rsid w:val="005A4EEF"/>
    <w:rsid w:val="005A568A"/>
    <w:rsid w:val="005A58FB"/>
    <w:rsid w:val="005A5B71"/>
    <w:rsid w:val="005A6621"/>
    <w:rsid w:val="005A69BD"/>
    <w:rsid w:val="005A776F"/>
    <w:rsid w:val="005B1285"/>
    <w:rsid w:val="005B1465"/>
    <w:rsid w:val="005B1D4C"/>
    <w:rsid w:val="005B1FEB"/>
    <w:rsid w:val="005B20E7"/>
    <w:rsid w:val="005B26D6"/>
    <w:rsid w:val="005B2A2E"/>
    <w:rsid w:val="005B37AB"/>
    <w:rsid w:val="005B3D4B"/>
    <w:rsid w:val="005B3E97"/>
    <w:rsid w:val="005B4D20"/>
    <w:rsid w:val="005B5AE6"/>
    <w:rsid w:val="005B6310"/>
    <w:rsid w:val="005B6886"/>
    <w:rsid w:val="005B6FA5"/>
    <w:rsid w:val="005C00E4"/>
    <w:rsid w:val="005C024B"/>
    <w:rsid w:val="005C092D"/>
    <w:rsid w:val="005C0C73"/>
    <w:rsid w:val="005C1F71"/>
    <w:rsid w:val="005C1F75"/>
    <w:rsid w:val="005C2022"/>
    <w:rsid w:val="005C2FAE"/>
    <w:rsid w:val="005C3686"/>
    <w:rsid w:val="005C3B27"/>
    <w:rsid w:val="005C6B97"/>
    <w:rsid w:val="005C6DB9"/>
    <w:rsid w:val="005C72FC"/>
    <w:rsid w:val="005C7320"/>
    <w:rsid w:val="005C77CE"/>
    <w:rsid w:val="005D06F1"/>
    <w:rsid w:val="005D0FBB"/>
    <w:rsid w:val="005D2390"/>
    <w:rsid w:val="005D369C"/>
    <w:rsid w:val="005D4603"/>
    <w:rsid w:val="005D51E8"/>
    <w:rsid w:val="005D55B2"/>
    <w:rsid w:val="005D5AC1"/>
    <w:rsid w:val="005D748E"/>
    <w:rsid w:val="005E0441"/>
    <w:rsid w:val="005E0481"/>
    <w:rsid w:val="005E12DB"/>
    <w:rsid w:val="005E1F81"/>
    <w:rsid w:val="005E2162"/>
    <w:rsid w:val="005E28C2"/>
    <w:rsid w:val="005E2EFA"/>
    <w:rsid w:val="005E33E4"/>
    <w:rsid w:val="005E3FE4"/>
    <w:rsid w:val="005E5B01"/>
    <w:rsid w:val="005E6166"/>
    <w:rsid w:val="005E76C1"/>
    <w:rsid w:val="005F097E"/>
    <w:rsid w:val="005F0E7F"/>
    <w:rsid w:val="005F1126"/>
    <w:rsid w:val="005F133F"/>
    <w:rsid w:val="005F144B"/>
    <w:rsid w:val="005F1EFB"/>
    <w:rsid w:val="005F281E"/>
    <w:rsid w:val="005F2AA0"/>
    <w:rsid w:val="005F2E09"/>
    <w:rsid w:val="005F335F"/>
    <w:rsid w:val="005F3A4A"/>
    <w:rsid w:val="005F3BE2"/>
    <w:rsid w:val="005F3C79"/>
    <w:rsid w:val="005F5021"/>
    <w:rsid w:val="005F5612"/>
    <w:rsid w:val="005F58AD"/>
    <w:rsid w:val="005F6422"/>
    <w:rsid w:val="005F7310"/>
    <w:rsid w:val="005F78E1"/>
    <w:rsid w:val="005F7B0A"/>
    <w:rsid w:val="00602201"/>
    <w:rsid w:val="00602B9B"/>
    <w:rsid w:val="00602F8D"/>
    <w:rsid w:val="006030A2"/>
    <w:rsid w:val="00603544"/>
    <w:rsid w:val="00603C3A"/>
    <w:rsid w:val="00603F92"/>
    <w:rsid w:val="006050AE"/>
    <w:rsid w:val="0060523D"/>
    <w:rsid w:val="00605AEF"/>
    <w:rsid w:val="00605EFC"/>
    <w:rsid w:val="006076E0"/>
    <w:rsid w:val="0060782F"/>
    <w:rsid w:val="00607BE8"/>
    <w:rsid w:val="00607FDE"/>
    <w:rsid w:val="00611202"/>
    <w:rsid w:val="00611DD0"/>
    <w:rsid w:val="0061436F"/>
    <w:rsid w:val="00616305"/>
    <w:rsid w:val="00617CCE"/>
    <w:rsid w:val="006206C9"/>
    <w:rsid w:val="00620CD1"/>
    <w:rsid w:val="0062179F"/>
    <w:rsid w:val="00621863"/>
    <w:rsid w:val="00621887"/>
    <w:rsid w:val="00622BA8"/>
    <w:rsid w:val="00623699"/>
    <w:rsid w:val="006249A7"/>
    <w:rsid w:val="00625C97"/>
    <w:rsid w:val="00627283"/>
    <w:rsid w:val="006300AC"/>
    <w:rsid w:val="00630E6D"/>
    <w:rsid w:val="006311DD"/>
    <w:rsid w:val="0063267F"/>
    <w:rsid w:val="00633B95"/>
    <w:rsid w:val="00633C5E"/>
    <w:rsid w:val="00633EEA"/>
    <w:rsid w:val="00635BFA"/>
    <w:rsid w:val="0063769A"/>
    <w:rsid w:val="00637FF2"/>
    <w:rsid w:val="00640130"/>
    <w:rsid w:val="00640F96"/>
    <w:rsid w:val="00641CF3"/>
    <w:rsid w:val="006426AC"/>
    <w:rsid w:val="00642D83"/>
    <w:rsid w:val="00643047"/>
    <w:rsid w:val="006430D1"/>
    <w:rsid w:val="006431D3"/>
    <w:rsid w:val="006434B9"/>
    <w:rsid w:val="00643637"/>
    <w:rsid w:val="00643F64"/>
    <w:rsid w:val="006443E1"/>
    <w:rsid w:val="00644496"/>
    <w:rsid w:val="0064469F"/>
    <w:rsid w:val="0064485A"/>
    <w:rsid w:val="006455B3"/>
    <w:rsid w:val="006466CE"/>
    <w:rsid w:val="00651209"/>
    <w:rsid w:val="0065160E"/>
    <w:rsid w:val="006537F0"/>
    <w:rsid w:val="00653BCD"/>
    <w:rsid w:val="006546CA"/>
    <w:rsid w:val="006558B4"/>
    <w:rsid w:val="00655AE1"/>
    <w:rsid w:val="006561D1"/>
    <w:rsid w:val="006569FC"/>
    <w:rsid w:val="00656C0A"/>
    <w:rsid w:val="00656EAD"/>
    <w:rsid w:val="006574B3"/>
    <w:rsid w:val="006608CE"/>
    <w:rsid w:val="00660B2F"/>
    <w:rsid w:val="00660D4C"/>
    <w:rsid w:val="00661CF4"/>
    <w:rsid w:val="00661D4E"/>
    <w:rsid w:val="00661E2D"/>
    <w:rsid w:val="006621D2"/>
    <w:rsid w:val="00662336"/>
    <w:rsid w:val="00662881"/>
    <w:rsid w:val="00662C76"/>
    <w:rsid w:val="00662DFB"/>
    <w:rsid w:val="00663092"/>
    <w:rsid w:val="00664EB2"/>
    <w:rsid w:val="0066679D"/>
    <w:rsid w:val="006667CB"/>
    <w:rsid w:val="00667578"/>
    <w:rsid w:val="00670124"/>
    <w:rsid w:val="00671894"/>
    <w:rsid w:val="00672197"/>
    <w:rsid w:val="00672295"/>
    <w:rsid w:val="0067314D"/>
    <w:rsid w:val="00674425"/>
    <w:rsid w:val="0067472E"/>
    <w:rsid w:val="00674ECF"/>
    <w:rsid w:val="00675397"/>
    <w:rsid w:val="00676C10"/>
    <w:rsid w:val="006776F5"/>
    <w:rsid w:val="00677E45"/>
    <w:rsid w:val="0068150B"/>
    <w:rsid w:val="006815BA"/>
    <w:rsid w:val="006821D9"/>
    <w:rsid w:val="006825DC"/>
    <w:rsid w:val="0068393C"/>
    <w:rsid w:val="0068394F"/>
    <w:rsid w:val="0068488E"/>
    <w:rsid w:val="00684DF9"/>
    <w:rsid w:val="00684EC1"/>
    <w:rsid w:val="0068569D"/>
    <w:rsid w:val="00685F0F"/>
    <w:rsid w:val="00687CCC"/>
    <w:rsid w:val="00690296"/>
    <w:rsid w:val="00691BB8"/>
    <w:rsid w:val="006920A0"/>
    <w:rsid w:val="0069215E"/>
    <w:rsid w:val="00692AB9"/>
    <w:rsid w:val="00693896"/>
    <w:rsid w:val="00693DF3"/>
    <w:rsid w:val="00696331"/>
    <w:rsid w:val="006966E7"/>
    <w:rsid w:val="00696B97"/>
    <w:rsid w:val="00696EAE"/>
    <w:rsid w:val="006970C0"/>
    <w:rsid w:val="00697307"/>
    <w:rsid w:val="00697335"/>
    <w:rsid w:val="00697E16"/>
    <w:rsid w:val="006A0424"/>
    <w:rsid w:val="006A1346"/>
    <w:rsid w:val="006A1A01"/>
    <w:rsid w:val="006A33FF"/>
    <w:rsid w:val="006A34CA"/>
    <w:rsid w:val="006A39A9"/>
    <w:rsid w:val="006A3D31"/>
    <w:rsid w:val="006A5205"/>
    <w:rsid w:val="006A6159"/>
    <w:rsid w:val="006A6288"/>
    <w:rsid w:val="006A6713"/>
    <w:rsid w:val="006A774D"/>
    <w:rsid w:val="006A78E8"/>
    <w:rsid w:val="006B0261"/>
    <w:rsid w:val="006B0FBC"/>
    <w:rsid w:val="006B32DA"/>
    <w:rsid w:val="006B3833"/>
    <w:rsid w:val="006B3FE3"/>
    <w:rsid w:val="006B4513"/>
    <w:rsid w:val="006B4F98"/>
    <w:rsid w:val="006B52BD"/>
    <w:rsid w:val="006B5494"/>
    <w:rsid w:val="006B6368"/>
    <w:rsid w:val="006B7892"/>
    <w:rsid w:val="006B7A5C"/>
    <w:rsid w:val="006C058C"/>
    <w:rsid w:val="006C10DC"/>
    <w:rsid w:val="006C1D5D"/>
    <w:rsid w:val="006C45AD"/>
    <w:rsid w:val="006C487D"/>
    <w:rsid w:val="006C4F11"/>
    <w:rsid w:val="006C5C5D"/>
    <w:rsid w:val="006C5F5A"/>
    <w:rsid w:val="006C602E"/>
    <w:rsid w:val="006C689C"/>
    <w:rsid w:val="006C7448"/>
    <w:rsid w:val="006C77B5"/>
    <w:rsid w:val="006C77C7"/>
    <w:rsid w:val="006C7902"/>
    <w:rsid w:val="006C7BF5"/>
    <w:rsid w:val="006D043B"/>
    <w:rsid w:val="006D089F"/>
    <w:rsid w:val="006D0CE0"/>
    <w:rsid w:val="006D16E6"/>
    <w:rsid w:val="006D1DF2"/>
    <w:rsid w:val="006D266F"/>
    <w:rsid w:val="006D2AFA"/>
    <w:rsid w:val="006D36DC"/>
    <w:rsid w:val="006D3832"/>
    <w:rsid w:val="006D3C51"/>
    <w:rsid w:val="006D4028"/>
    <w:rsid w:val="006D47AB"/>
    <w:rsid w:val="006D4B46"/>
    <w:rsid w:val="006D5837"/>
    <w:rsid w:val="006D5B22"/>
    <w:rsid w:val="006E09C0"/>
    <w:rsid w:val="006E193A"/>
    <w:rsid w:val="006E2092"/>
    <w:rsid w:val="006E2458"/>
    <w:rsid w:val="006E2A8B"/>
    <w:rsid w:val="006E33BB"/>
    <w:rsid w:val="006E3557"/>
    <w:rsid w:val="006E3BBE"/>
    <w:rsid w:val="006E3E18"/>
    <w:rsid w:val="006E4292"/>
    <w:rsid w:val="006E4684"/>
    <w:rsid w:val="006E4916"/>
    <w:rsid w:val="006E4C82"/>
    <w:rsid w:val="006E60F9"/>
    <w:rsid w:val="006E67B6"/>
    <w:rsid w:val="006E71F7"/>
    <w:rsid w:val="006E7363"/>
    <w:rsid w:val="006E75E6"/>
    <w:rsid w:val="006E7868"/>
    <w:rsid w:val="006F1EA0"/>
    <w:rsid w:val="006F2428"/>
    <w:rsid w:val="006F3446"/>
    <w:rsid w:val="006F4224"/>
    <w:rsid w:val="006F422C"/>
    <w:rsid w:val="006F53A9"/>
    <w:rsid w:val="006F69F7"/>
    <w:rsid w:val="006F73BE"/>
    <w:rsid w:val="006F7DB0"/>
    <w:rsid w:val="007000D2"/>
    <w:rsid w:val="0070113C"/>
    <w:rsid w:val="007020E4"/>
    <w:rsid w:val="00702637"/>
    <w:rsid w:val="00702C80"/>
    <w:rsid w:val="00703317"/>
    <w:rsid w:val="00703C91"/>
    <w:rsid w:val="007049F1"/>
    <w:rsid w:val="00705329"/>
    <w:rsid w:val="00705DB2"/>
    <w:rsid w:val="007061A2"/>
    <w:rsid w:val="0070700E"/>
    <w:rsid w:val="007070DA"/>
    <w:rsid w:val="00710803"/>
    <w:rsid w:val="00710CE0"/>
    <w:rsid w:val="007112C7"/>
    <w:rsid w:val="00711C90"/>
    <w:rsid w:val="00712039"/>
    <w:rsid w:val="0071205D"/>
    <w:rsid w:val="00712504"/>
    <w:rsid w:val="007126FF"/>
    <w:rsid w:val="0071371F"/>
    <w:rsid w:val="007138E0"/>
    <w:rsid w:val="00714397"/>
    <w:rsid w:val="00714EA1"/>
    <w:rsid w:val="00715FE5"/>
    <w:rsid w:val="00716BC6"/>
    <w:rsid w:val="00717777"/>
    <w:rsid w:val="00720399"/>
    <w:rsid w:val="00720C52"/>
    <w:rsid w:val="00722506"/>
    <w:rsid w:val="007241B2"/>
    <w:rsid w:val="00724834"/>
    <w:rsid w:val="00725350"/>
    <w:rsid w:val="007260F1"/>
    <w:rsid w:val="00726E81"/>
    <w:rsid w:val="0073038B"/>
    <w:rsid w:val="007317C0"/>
    <w:rsid w:val="0073292D"/>
    <w:rsid w:val="00732E59"/>
    <w:rsid w:val="00733093"/>
    <w:rsid w:val="007334B7"/>
    <w:rsid w:val="007345F4"/>
    <w:rsid w:val="00735234"/>
    <w:rsid w:val="007363A5"/>
    <w:rsid w:val="00736A7A"/>
    <w:rsid w:val="00737719"/>
    <w:rsid w:val="00740791"/>
    <w:rsid w:val="00740A1C"/>
    <w:rsid w:val="00741293"/>
    <w:rsid w:val="00741788"/>
    <w:rsid w:val="00741FA3"/>
    <w:rsid w:val="00741FB7"/>
    <w:rsid w:val="00742571"/>
    <w:rsid w:val="00742A29"/>
    <w:rsid w:val="007431D3"/>
    <w:rsid w:val="007433E1"/>
    <w:rsid w:val="00745573"/>
    <w:rsid w:val="0074608C"/>
    <w:rsid w:val="00747455"/>
    <w:rsid w:val="00747D0A"/>
    <w:rsid w:val="00750517"/>
    <w:rsid w:val="007518AD"/>
    <w:rsid w:val="00751E46"/>
    <w:rsid w:val="007529FC"/>
    <w:rsid w:val="00752DAF"/>
    <w:rsid w:val="00753C96"/>
    <w:rsid w:val="00754432"/>
    <w:rsid w:val="00755009"/>
    <w:rsid w:val="00755E22"/>
    <w:rsid w:val="0075762A"/>
    <w:rsid w:val="00757965"/>
    <w:rsid w:val="00757CF9"/>
    <w:rsid w:val="00760773"/>
    <w:rsid w:val="0076270D"/>
    <w:rsid w:val="0076272D"/>
    <w:rsid w:val="00762D02"/>
    <w:rsid w:val="0076337C"/>
    <w:rsid w:val="00763458"/>
    <w:rsid w:val="00764228"/>
    <w:rsid w:val="007649B8"/>
    <w:rsid w:val="0076501B"/>
    <w:rsid w:val="00765CEC"/>
    <w:rsid w:val="007662E3"/>
    <w:rsid w:val="00766C4F"/>
    <w:rsid w:val="00767453"/>
    <w:rsid w:val="00767A78"/>
    <w:rsid w:val="00770F55"/>
    <w:rsid w:val="00772149"/>
    <w:rsid w:val="00772EC9"/>
    <w:rsid w:val="0077427A"/>
    <w:rsid w:val="00775312"/>
    <w:rsid w:val="0077543E"/>
    <w:rsid w:val="00776539"/>
    <w:rsid w:val="00776616"/>
    <w:rsid w:val="00777B27"/>
    <w:rsid w:val="00777B7D"/>
    <w:rsid w:val="00781640"/>
    <w:rsid w:val="00781747"/>
    <w:rsid w:val="00781876"/>
    <w:rsid w:val="00781D1F"/>
    <w:rsid w:val="0078200F"/>
    <w:rsid w:val="00782309"/>
    <w:rsid w:val="00782F8B"/>
    <w:rsid w:val="007841BE"/>
    <w:rsid w:val="007850DE"/>
    <w:rsid w:val="007867D4"/>
    <w:rsid w:val="00786B90"/>
    <w:rsid w:val="00787173"/>
    <w:rsid w:val="00790CF5"/>
    <w:rsid w:val="007914D3"/>
    <w:rsid w:val="00792B6C"/>
    <w:rsid w:val="00792D44"/>
    <w:rsid w:val="00793064"/>
    <w:rsid w:val="00793D45"/>
    <w:rsid w:val="00794486"/>
    <w:rsid w:val="0079547D"/>
    <w:rsid w:val="0079566D"/>
    <w:rsid w:val="007957C3"/>
    <w:rsid w:val="00795E59"/>
    <w:rsid w:val="00796615"/>
    <w:rsid w:val="0079716F"/>
    <w:rsid w:val="007A0112"/>
    <w:rsid w:val="007A0BED"/>
    <w:rsid w:val="007A1C2F"/>
    <w:rsid w:val="007A245C"/>
    <w:rsid w:val="007A338B"/>
    <w:rsid w:val="007A33BF"/>
    <w:rsid w:val="007A3422"/>
    <w:rsid w:val="007A3457"/>
    <w:rsid w:val="007A3DC4"/>
    <w:rsid w:val="007A55B6"/>
    <w:rsid w:val="007A56A0"/>
    <w:rsid w:val="007A6238"/>
    <w:rsid w:val="007A68DC"/>
    <w:rsid w:val="007A749B"/>
    <w:rsid w:val="007A7E4B"/>
    <w:rsid w:val="007B0F14"/>
    <w:rsid w:val="007B13EC"/>
    <w:rsid w:val="007B22F9"/>
    <w:rsid w:val="007B2A74"/>
    <w:rsid w:val="007B3A17"/>
    <w:rsid w:val="007B4C5F"/>
    <w:rsid w:val="007B5A3B"/>
    <w:rsid w:val="007B5B0C"/>
    <w:rsid w:val="007B6D66"/>
    <w:rsid w:val="007B72E4"/>
    <w:rsid w:val="007C065A"/>
    <w:rsid w:val="007C13B1"/>
    <w:rsid w:val="007C14E9"/>
    <w:rsid w:val="007C15F8"/>
    <w:rsid w:val="007C3033"/>
    <w:rsid w:val="007C4973"/>
    <w:rsid w:val="007C4A97"/>
    <w:rsid w:val="007C6974"/>
    <w:rsid w:val="007C6BDD"/>
    <w:rsid w:val="007C7185"/>
    <w:rsid w:val="007C71CF"/>
    <w:rsid w:val="007C7209"/>
    <w:rsid w:val="007D016C"/>
    <w:rsid w:val="007D0612"/>
    <w:rsid w:val="007D10D3"/>
    <w:rsid w:val="007D28C8"/>
    <w:rsid w:val="007D3A1B"/>
    <w:rsid w:val="007D3FE7"/>
    <w:rsid w:val="007D4255"/>
    <w:rsid w:val="007D5A4B"/>
    <w:rsid w:val="007D5A80"/>
    <w:rsid w:val="007D69F8"/>
    <w:rsid w:val="007D6C6A"/>
    <w:rsid w:val="007D74D9"/>
    <w:rsid w:val="007E087C"/>
    <w:rsid w:val="007E11C2"/>
    <w:rsid w:val="007E1AF9"/>
    <w:rsid w:val="007E2720"/>
    <w:rsid w:val="007E27CB"/>
    <w:rsid w:val="007E2B71"/>
    <w:rsid w:val="007E3234"/>
    <w:rsid w:val="007E3ACE"/>
    <w:rsid w:val="007E4064"/>
    <w:rsid w:val="007E48E5"/>
    <w:rsid w:val="007E4A03"/>
    <w:rsid w:val="007E56D3"/>
    <w:rsid w:val="007E6E53"/>
    <w:rsid w:val="007E737D"/>
    <w:rsid w:val="007F0E67"/>
    <w:rsid w:val="007F0EF4"/>
    <w:rsid w:val="007F18E7"/>
    <w:rsid w:val="007F20AD"/>
    <w:rsid w:val="007F221D"/>
    <w:rsid w:val="007F2FE9"/>
    <w:rsid w:val="007F3130"/>
    <w:rsid w:val="007F425D"/>
    <w:rsid w:val="007F492E"/>
    <w:rsid w:val="007F4BA5"/>
    <w:rsid w:val="007F5340"/>
    <w:rsid w:val="007F5785"/>
    <w:rsid w:val="007F5AF0"/>
    <w:rsid w:val="007F5F13"/>
    <w:rsid w:val="007F6B32"/>
    <w:rsid w:val="007F6B59"/>
    <w:rsid w:val="007F6D4E"/>
    <w:rsid w:val="007F74DA"/>
    <w:rsid w:val="007F7A91"/>
    <w:rsid w:val="0080045C"/>
    <w:rsid w:val="00802B80"/>
    <w:rsid w:val="00803521"/>
    <w:rsid w:val="00805553"/>
    <w:rsid w:val="0080556E"/>
    <w:rsid w:val="00805947"/>
    <w:rsid w:val="00805C34"/>
    <w:rsid w:val="008062E1"/>
    <w:rsid w:val="00806324"/>
    <w:rsid w:val="00806746"/>
    <w:rsid w:val="00807B65"/>
    <w:rsid w:val="00807C96"/>
    <w:rsid w:val="00810B79"/>
    <w:rsid w:val="008115E3"/>
    <w:rsid w:val="0081181C"/>
    <w:rsid w:val="00812975"/>
    <w:rsid w:val="00812B08"/>
    <w:rsid w:val="00813C57"/>
    <w:rsid w:val="008147C5"/>
    <w:rsid w:val="008149EE"/>
    <w:rsid w:val="00815FA1"/>
    <w:rsid w:val="008174B6"/>
    <w:rsid w:val="00817A24"/>
    <w:rsid w:val="00817F01"/>
    <w:rsid w:val="008202D9"/>
    <w:rsid w:val="00820E34"/>
    <w:rsid w:val="00822234"/>
    <w:rsid w:val="00822307"/>
    <w:rsid w:val="00822BF9"/>
    <w:rsid w:val="00825AAC"/>
    <w:rsid w:val="00825AFE"/>
    <w:rsid w:val="00826E7A"/>
    <w:rsid w:val="00827817"/>
    <w:rsid w:val="0082793C"/>
    <w:rsid w:val="00827D7C"/>
    <w:rsid w:val="00830463"/>
    <w:rsid w:val="0083092E"/>
    <w:rsid w:val="00831A33"/>
    <w:rsid w:val="00831A63"/>
    <w:rsid w:val="00832296"/>
    <w:rsid w:val="00832990"/>
    <w:rsid w:val="0083316D"/>
    <w:rsid w:val="00834C98"/>
    <w:rsid w:val="00835736"/>
    <w:rsid w:val="00835AEE"/>
    <w:rsid w:val="00836C20"/>
    <w:rsid w:val="00836DC7"/>
    <w:rsid w:val="00837477"/>
    <w:rsid w:val="008408D9"/>
    <w:rsid w:val="008424E9"/>
    <w:rsid w:val="00843863"/>
    <w:rsid w:val="008441B5"/>
    <w:rsid w:val="00844610"/>
    <w:rsid w:val="0084646B"/>
    <w:rsid w:val="00846A96"/>
    <w:rsid w:val="00846B32"/>
    <w:rsid w:val="0084728A"/>
    <w:rsid w:val="0084782E"/>
    <w:rsid w:val="00847983"/>
    <w:rsid w:val="008479CC"/>
    <w:rsid w:val="00847D81"/>
    <w:rsid w:val="00850090"/>
    <w:rsid w:val="00850495"/>
    <w:rsid w:val="008511DB"/>
    <w:rsid w:val="008520BF"/>
    <w:rsid w:val="008530FC"/>
    <w:rsid w:val="00853761"/>
    <w:rsid w:val="008537C0"/>
    <w:rsid w:val="0085516E"/>
    <w:rsid w:val="00856669"/>
    <w:rsid w:val="008579AF"/>
    <w:rsid w:val="00860060"/>
    <w:rsid w:val="008607AB"/>
    <w:rsid w:val="00860A85"/>
    <w:rsid w:val="00860EDD"/>
    <w:rsid w:val="0086135B"/>
    <w:rsid w:val="00861878"/>
    <w:rsid w:val="00862857"/>
    <w:rsid w:val="008628BF"/>
    <w:rsid w:val="0086345C"/>
    <w:rsid w:val="00863C93"/>
    <w:rsid w:val="00864732"/>
    <w:rsid w:val="00864AA3"/>
    <w:rsid w:val="00864B42"/>
    <w:rsid w:val="00865480"/>
    <w:rsid w:val="008665D4"/>
    <w:rsid w:val="00866EEC"/>
    <w:rsid w:val="008672E1"/>
    <w:rsid w:val="008701BD"/>
    <w:rsid w:val="008706DB"/>
    <w:rsid w:val="0087167F"/>
    <w:rsid w:val="008725B4"/>
    <w:rsid w:val="00872A40"/>
    <w:rsid w:val="00872CBE"/>
    <w:rsid w:val="00873756"/>
    <w:rsid w:val="00873EB5"/>
    <w:rsid w:val="00874275"/>
    <w:rsid w:val="00874634"/>
    <w:rsid w:val="00875314"/>
    <w:rsid w:val="00875A12"/>
    <w:rsid w:val="00877029"/>
    <w:rsid w:val="00880119"/>
    <w:rsid w:val="00881067"/>
    <w:rsid w:val="0088114D"/>
    <w:rsid w:val="0088150E"/>
    <w:rsid w:val="00882B62"/>
    <w:rsid w:val="00883392"/>
    <w:rsid w:val="008845D1"/>
    <w:rsid w:val="008846EA"/>
    <w:rsid w:val="008853A7"/>
    <w:rsid w:val="0088550E"/>
    <w:rsid w:val="00886013"/>
    <w:rsid w:val="00887C68"/>
    <w:rsid w:val="00887EB7"/>
    <w:rsid w:val="008900A9"/>
    <w:rsid w:val="0089046E"/>
    <w:rsid w:val="00891643"/>
    <w:rsid w:val="00891664"/>
    <w:rsid w:val="00892563"/>
    <w:rsid w:val="008929DB"/>
    <w:rsid w:val="0089438C"/>
    <w:rsid w:val="00895558"/>
    <w:rsid w:val="0089583E"/>
    <w:rsid w:val="00897439"/>
    <w:rsid w:val="008975A9"/>
    <w:rsid w:val="00897687"/>
    <w:rsid w:val="008A068F"/>
    <w:rsid w:val="008A06C3"/>
    <w:rsid w:val="008A1C7A"/>
    <w:rsid w:val="008A2E4A"/>
    <w:rsid w:val="008A3628"/>
    <w:rsid w:val="008A3743"/>
    <w:rsid w:val="008A40B2"/>
    <w:rsid w:val="008A42CA"/>
    <w:rsid w:val="008A7188"/>
    <w:rsid w:val="008A71F5"/>
    <w:rsid w:val="008A72DC"/>
    <w:rsid w:val="008A763F"/>
    <w:rsid w:val="008A7D55"/>
    <w:rsid w:val="008B06A7"/>
    <w:rsid w:val="008B1EA5"/>
    <w:rsid w:val="008B26E0"/>
    <w:rsid w:val="008B2E9C"/>
    <w:rsid w:val="008B3145"/>
    <w:rsid w:val="008B39D8"/>
    <w:rsid w:val="008B3B6C"/>
    <w:rsid w:val="008B60AD"/>
    <w:rsid w:val="008B61FC"/>
    <w:rsid w:val="008B71D2"/>
    <w:rsid w:val="008B7D62"/>
    <w:rsid w:val="008C0462"/>
    <w:rsid w:val="008C0DD3"/>
    <w:rsid w:val="008C19F5"/>
    <w:rsid w:val="008C1AB8"/>
    <w:rsid w:val="008C26A2"/>
    <w:rsid w:val="008C298B"/>
    <w:rsid w:val="008C2F42"/>
    <w:rsid w:val="008C3088"/>
    <w:rsid w:val="008C3182"/>
    <w:rsid w:val="008C336A"/>
    <w:rsid w:val="008C33F2"/>
    <w:rsid w:val="008C3B9D"/>
    <w:rsid w:val="008C50D7"/>
    <w:rsid w:val="008C51E0"/>
    <w:rsid w:val="008C5CBE"/>
    <w:rsid w:val="008C624D"/>
    <w:rsid w:val="008C6574"/>
    <w:rsid w:val="008C6A4E"/>
    <w:rsid w:val="008C79AC"/>
    <w:rsid w:val="008C7C25"/>
    <w:rsid w:val="008D1571"/>
    <w:rsid w:val="008D20BD"/>
    <w:rsid w:val="008D49B8"/>
    <w:rsid w:val="008D60B9"/>
    <w:rsid w:val="008D6229"/>
    <w:rsid w:val="008D6438"/>
    <w:rsid w:val="008D6BB6"/>
    <w:rsid w:val="008D7682"/>
    <w:rsid w:val="008D7B03"/>
    <w:rsid w:val="008D7F9D"/>
    <w:rsid w:val="008E0571"/>
    <w:rsid w:val="008E1A65"/>
    <w:rsid w:val="008E1C50"/>
    <w:rsid w:val="008E1F3C"/>
    <w:rsid w:val="008E2DD1"/>
    <w:rsid w:val="008E37C0"/>
    <w:rsid w:val="008E3B5A"/>
    <w:rsid w:val="008E3BC6"/>
    <w:rsid w:val="008E4552"/>
    <w:rsid w:val="008E4592"/>
    <w:rsid w:val="008E77BF"/>
    <w:rsid w:val="008E7B48"/>
    <w:rsid w:val="008F0087"/>
    <w:rsid w:val="008F0372"/>
    <w:rsid w:val="008F0A0F"/>
    <w:rsid w:val="008F0B48"/>
    <w:rsid w:val="008F1DBB"/>
    <w:rsid w:val="008F2DE4"/>
    <w:rsid w:val="008F3283"/>
    <w:rsid w:val="008F3337"/>
    <w:rsid w:val="008F3691"/>
    <w:rsid w:val="008F3D17"/>
    <w:rsid w:val="008F5D9E"/>
    <w:rsid w:val="008F626A"/>
    <w:rsid w:val="008F6346"/>
    <w:rsid w:val="008F66A1"/>
    <w:rsid w:val="008F74AA"/>
    <w:rsid w:val="008F7660"/>
    <w:rsid w:val="0090002B"/>
    <w:rsid w:val="009008ED"/>
    <w:rsid w:val="00900BB2"/>
    <w:rsid w:val="00900CD8"/>
    <w:rsid w:val="00900DF2"/>
    <w:rsid w:val="00900E5E"/>
    <w:rsid w:val="009014D3"/>
    <w:rsid w:val="009028D8"/>
    <w:rsid w:val="009033C9"/>
    <w:rsid w:val="009034F0"/>
    <w:rsid w:val="0090399F"/>
    <w:rsid w:val="00903E67"/>
    <w:rsid w:val="009051FA"/>
    <w:rsid w:val="009066D7"/>
    <w:rsid w:val="00906E50"/>
    <w:rsid w:val="009078CB"/>
    <w:rsid w:val="009105C2"/>
    <w:rsid w:val="00910713"/>
    <w:rsid w:val="00911AE6"/>
    <w:rsid w:val="009129E3"/>
    <w:rsid w:val="009133EC"/>
    <w:rsid w:val="00913CC1"/>
    <w:rsid w:val="00913ED5"/>
    <w:rsid w:val="00914308"/>
    <w:rsid w:val="0091631D"/>
    <w:rsid w:val="00916544"/>
    <w:rsid w:val="00916ABA"/>
    <w:rsid w:val="00917677"/>
    <w:rsid w:val="00917E68"/>
    <w:rsid w:val="00920314"/>
    <w:rsid w:val="00920546"/>
    <w:rsid w:val="00922081"/>
    <w:rsid w:val="009225CF"/>
    <w:rsid w:val="0092283D"/>
    <w:rsid w:val="0092361B"/>
    <w:rsid w:val="00923734"/>
    <w:rsid w:val="00923994"/>
    <w:rsid w:val="009244BC"/>
    <w:rsid w:val="0092515F"/>
    <w:rsid w:val="009257A0"/>
    <w:rsid w:val="00925B1C"/>
    <w:rsid w:val="00925B94"/>
    <w:rsid w:val="00926998"/>
    <w:rsid w:val="009276A8"/>
    <w:rsid w:val="00927FEB"/>
    <w:rsid w:val="009309CA"/>
    <w:rsid w:val="00930B43"/>
    <w:rsid w:val="00930F45"/>
    <w:rsid w:val="00931AD2"/>
    <w:rsid w:val="0093221C"/>
    <w:rsid w:val="00932394"/>
    <w:rsid w:val="00932C43"/>
    <w:rsid w:val="00932FD2"/>
    <w:rsid w:val="00934CC1"/>
    <w:rsid w:val="00934EB5"/>
    <w:rsid w:val="0093593A"/>
    <w:rsid w:val="00940180"/>
    <w:rsid w:val="009401E2"/>
    <w:rsid w:val="009409B8"/>
    <w:rsid w:val="00940C1C"/>
    <w:rsid w:val="00940CD4"/>
    <w:rsid w:val="00940DE1"/>
    <w:rsid w:val="00942BF3"/>
    <w:rsid w:val="00942E3B"/>
    <w:rsid w:val="00943B51"/>
    <w:rsid w:val="00944776"/>
    <w:rsid w:val="00944878"/>
    <w:rsid w:val="0094492D"/>
    <w:rsid w:val="009451DE"/>
    <w:rsid w:val="009454F1"/>
    <w:rsid w:val="00945D6E"/>
    <w:rsid w:val="0094605C"/>
    <w:rsid w:val="00946758"/>
    <w:rsid w:val="0094682E"/>
    <w:rsid w:val="009475A5"/>
    <w:rsid w:val="00947A10"/>
    <w:rsid w:val="00947A2F"/>
    <w:rsid w:val="00947C23"/>
    <w:rsid w:val="00947DCF"/>
    <w:rsid w:val="00950A44"/>
    <w:rsid w:val="00951AB5"/>
    <w:rsid w:val="0095220B"/>
    <w:rsid w:val="00953F35"/>
    <w:rsid w:val="0095490A"/>
    <w:rsid w:val="00954960"/>
    <w:rsid w:val="009557E7"/>
    <w:rsid w:val="00955A99"/>
    <w:rsid w:val="00956E3F"/>
    <w:rsid w:val="0095759A"/>
    <w:rsid w:val="009579D6"/>
    <w:rsid w:val="00957E99"/>
    <w:rsid w:val="00960266"/>
    <w:rsid w:val="00960353"/>
    <w:rsid w:val="00960DE9"/>
    <w:rsid w:val="00961146"/>
    <w:rsid w:val="009611F9"/>
    <w:rsid w:val="0096148B"/>
    <w:rsid w:val="009637FE"/>
    <w:rsid w:val="00963BFE"/>
    <w:rsid w:val="0096503F"/>
    <w:rsid w:val="009656C7"/>
    <w:rsid w:val="00965D1C"/>
    <w:rsid w:val="00966179"/>
    <w:rsid w:val="00967676"/>
    <w:rsid w:val="00970475"/>
    <w:rsid w:val="00971401"/>
    <w:rsid w:val="009730D9"/>
    <w:rsid w:val="009737E9"/>
    <w:rsid w:val="00973D2A"/>
    <w:rsid w:val="009740FE"/>
    <w:rsid w:val="00975706"/>
    <w:rsid w:val="00975749"/>
    <w:rsid w:val="00975861"/>
    <w:rsid w:val="00975AC6"/>
    <w:rsid w:val="00975D2B"/>
    <w:rsid w:val="00976613"/>
    <w:rsid w:val="00977C4C"/>
    <w:rsid w:val="00977E89"/>
    <w:rsid w:val="0098116D"/>
    <w:rsid w:val="009824CD"/>
    <w:rsid w:val="00982924"/>
    <w:rsid w:val="00983B6F"/>
    <w:rsid w:val="0098450D"/>
    <w:rsid w:val="0098596B"/>
    <w:rsid w:val="009867AA"/>
    <w:rsid w:val="009869D1"/>
    <w:rsid w:val="00990C3A"/>
    <w:rsid w:val="00991091"/>
    <w:rsid w:val="00991107"/>
    <w:rsid w:val="00993D52"/>
    <w:rsid w:val="009957C3"/>
    <w:rsid w:val="00995AB0"/>
    <w:rsid w:val="00995CB0"/>
    <w:rsid w:val="00995ED0"/>
    <w:rsid w:val="009964FD"/>
    <w:rsid w:val="0099682C"/>
    <w:rsid w:val="00997F47"/>
    <w:rsid w:val="009A0451"/>
    <w:rsid w:val="009A0B1A"/>
    <w:rsid w:val="009A1EF8"/>
    <w:rsid w:val="009A23B0"/>
    <w:rsid w:val="009A2A1E"/>
    <w:rsid w:val="009A2B7D"/>
    <w:rsid w:val="009A2BF3"/>
    <w:rsid w:val="009A3263"/>
    <w:rsid w:val="009A3DC8"/>
    <w:rsid w:val="009A4257"/>
    <w:rsid w:val="009A63AA"/>
    <w:rsid w:val="009A6721"/>
    <w:rsid w:val="009A710F"/>
    <w:rsid w:val="009A7C2F"/>
    <w:rsid w:val="009B09FF"/>
    <w:rsid w:val="009B0DC6"/>
    <w:rsid w:val="009B1395"/>
    <w:rsid w:val="009B2908"/>
    <w:rsid w:val="009B2977"/>
    <w:rsid w:val="009B2B8A"/>
    <w:rsid w:val="009B33AF"/>
    <w:rsid w:val="009B387C"/>
    <w:rsid w:val="009B3D57"/>
    <w:rsid w:val="009B4CDE"/>
    <w:rsid w:val="009B5832"/>
    <w:rsid w:val="009B697D"/>
    <w:rsid w:val="009B78F3"/>
    <w:rsid w:val="009C121E"/>
    <w:rsid w:val="009C12BA"/>
    <w:rsid w:val="009C2064"/>
    <w:rsid w:val="009C49AD"/>
    <w:rsid w:val="009C5629"/>
    <w:rsid w:val="009C63BA"/>
    <w:rsid w:val="009C6C5B"/>
    <w:rsid w:val="009C6FD6"/>
    <w:rsid w:val="009C7C9A"/>
    <w:rsid w:val="009C7DE0"/>
    <w:rsid w:val="009D0732"/>
    <w:rsid w:val="009D143A"/>
    <w:rsid w:val="009D1B60"/>
    <w:rsid w:val="009D290D"/>
    <w:rsid w:val="009D2D90"/>
    <w:rsid w:val="009D2E51"/>
    <w:rsid w:val="009D39B3"/>
    <w:rsid w:val="009D4CE9"/>
    <w:rsid w:val="009D53D3"/>
    <w:rsid w:val="009D588A"/>
    <w:rsid w:val="009D60EA"/>
    <w:rsid w:val="009D7449"/>
    <w:rsid w:val="009E200A"/>
    <w:rsid w:val="009E24A0"/>
    <w:rsid w:val="009E3062"/>
    <w:rsid w:val="009E38A4"/>
    <w:rsid w:val="009E3AC0"/>
    <w:rsid w:val="009E3FEB"/>
    <w:rsid w:val="009E4797"/>
    <w:rsid w:val="009F043B"/>
    <w:rsid w:val="009F04B8"/>
    <w:rsid w:val="009F0EA5"/>
    <w:rsid w:val="009F1502"/>
    <w:rsid w:val="009F1627"/>
    <w:rsid w:val="009F1747"/>
    <w:rsid w:val="009F1A8D"/>
    <w:rsid w:val="009F21DA"/>
    <w:rsid w:val="009F3216"/>
    <w:rsid w:val="009F3835"/>
    <w:rsid w:val="009F3862"/>
    <w:rsid w:val="009F4179"/>
    <w:rsid w:val="009F475E"/>
    <w:rsid w:val="009F47D7"/>
    <w:rsid w:val="009F4CD6"/>
    <w:rsid w:val="009F4F47"/>
    <w:rsid w:val="009F5725"/>
    <w:rsid w:val="009F5768"/>
    <w:rsid w:val="009F57FF"/>
    <w:rsid w:val="009F5BEF"/>
    <w:rsid w:val="009F71FF"/>
    <w:rsid w:val="009F7C94"/>
    <w:rsid w:val="00A0130D"/>
    <w:rsid w:val="00A019A6"/>
    <w:rsid w:val="00A0261F"/>
    <w:rsid w:val="00A040BA"/>
    <w:rsid w:val="00A05F67"/>
    <w:rsid w:val="00A0620D"/>
    <w:rsid w:val="00A07C00"/>
    <w:rsid w:val="00A10003"/>
    <w:rsid w:val="00A1006F"/>
    <w:rsid w:val="00A10B88"/>
    <w:rsid w:val="00A10F91"/>
    <w:rsid w:val="00A11235"/>
    <w:rsid w:val="00A11389"/>
    <w:rsid w:val="00A11F00"/>
    <w:rsid w:val="00A1269B"/>
    <w:rsid w:val="00A1296F"/>
    <w:rsid w:val="00A12E25"/>
    <w:rsid w:val="00A134FD"/>
    <w:rsid w:val="00A14CD2"/>
    <w:rsid w:val="00A16844"/>
    <w:rsid w:val="00A175CF"/>
    <w:rsid w:val="00A176E2"/>
    <w:rsid w:val="00A17D3E"/>
    <w:rsid w:val="00A205B1"/>
    <w:rsid w:val="00A209D9"/>
    <w:rsid w:val="00A20C1F"/>
    <w:rsid w:val="00A2162A"/>
    <w:rsid w:val="00A217ED"/>
    <w:rsid w:val="00A21CFC"/>
    <w:rsid w:val="00A21F56"/>
    <w:rsid w:val="00A22F79"/>
    <w:rsid w:val="00A232C9"/>
    <w:rsid w:val="00A237EE"/>
    <w:rsid w:val="00A23BDC"/>
    <w:rsid w:val="00A2404D"/>
    <w:rsid w:val="00A24E1E"/>
    <w:rsid w:val="00A25610"/>
    <w:rsid w:val="00A256A2"/>
    <w:rsid w:val="00A27828"/>
    <w:rsid w:val="00A27867"/>
    <w:rsid w:val="00A30D10"/>
    <w:rsid w:val="00A30EF1"/>
    <w:rsid w:val="00A32BC2"/>
    <w:rsid w:val="00A3323F"/>
    <w:rsid w:val="00A34CDE"/>
    <w:rsid w:val="00A34F62"/>
    <w:rsid w:val="00A36692"/>
    <w:rsid w:val="00A369FE"/>
    <w:rsid w:val="00A36D92"/>
    <w:rsid w:val="00A4027D"/>
    <w:rsid w:val="00A40289"/>
    <w:rsid w:val="00A40B14"/>
    <w:rsid w:val="00A41BE5"/>
    <w:rsid w:val="00A41D0B"/>
    <w:rsid w:val="00A42475"/>
    <w:rsid w:val="00A43286"/>
    <w:rsid w:val="00A436A0"/>
    <w:rsid w:val="00A4393E"/>
    <w:rsid w:val="00A44798"/>
    <w:rsid w:val="00A45B6A"/>
    <w:rsid w:val="00A46F7B"/>
    <w:rsid w:val="00A47672"/>
    <w:rsid w:val="00A50F42"/>
    <w:rsid w:val="00A518C7"/>
    <w:rsid w:val="00A51919"/>
    <w:rsid w:val="00A524CF"/>
    <w:rsid w:val="00A530C8"/>
    <w:rsid w:val="00A530E5"/>
    <w:rsid w:val="00A533ED"/>
    <w:rsid w:val="00A534DE"/>
    <w:rsid w:val="00A538AD"/>
    <w:rsid w:val="00A53C99"/>
    <w:rsid w:val="00A5469A"/>
    <w:rsid w:val="00A5658C"/>
    <w:rsid w:val="00A572C6"/>
    <w:rsid w:val="00A60935"/>
    <w:rsid w:val="00A6155C"/>
    <w:rsid w:val="00A61737"/>
    <w:rsid w:val="00A61FBE"/>
    <w:rsid w:val="00A62450"/>
    <w:rsid w:val="00A627AC"/>
    <w:rsid w:val="00A62A7B"/>
    <w:rsid w:val="00A62C63"/>
    <w:rsid w:val="00A63429"/>
    <w:rsid w:val="00A6370F"/>
    <w:rsid w:val="00A63BEC"/>
    <w:rsid w:val="00A63D3E"/>
    <w:rsid w:val="00A64059"/>
    <w:rsid w:val="00A64206"/>
    <w:rsid w:val="00A64DB5"/>
    <w:rsid w:val="00A65606"/>
    <w:rsid w:val="00A66D25"/>
    <w:rsid w:val="00A670BA"/>
    <w:rsid w:val="00A67F55"/>
    <w:rsid w:val="00A73C3C"/>
    <w:rsid w:val="00A74A68"/>
    <w:rsid w:val="00A7636E"/>
    <w:rsid w:val="00A76BA5"/>
    <w:rsid w:val="00A7773A"/>
    <w:rsid w:val="00A7785B"/>
    <w:rsid w:val="00A8148B"/>
    <w:rsid w:val="00A8218F"/>
    <w:rsid w:val="00A82396"/>
    <w:rsid w:val="00A8283E"/>
    <w:rsid w:val="00A828E8"/>
    <w:rsid w:val="00A82DBA"/>
    <w:rsid w:val="00A835A0"/>
    <w:rsid w:val="00A83785"/>
    <w:rsid w:val="00A8567A"/>
    <w:rsid w:val="00A86CC3"/>
    <w:rsid w:val="00A871EF"/>
    <w:rsid w:val="00A87212"/>
    <w:rsid w:val="00A900EF"/>
    <w:rsid w:val="00A912E4"/>
    <w:rsid w:val="00A91BBB"/>
    <w:rsid w:val="00A91E95"/>
    <w:rsid w:val="00A92B39"/>
    <w:rsid w:val="00A92FA0"/>
    <w:rsid w:val="00A93CCB"/>
    <w:rsid w:val="00A9453F"/>
    <w:rsid w:val="00A94975"/>
    <w:rsid w:val="00A94FC9"/>
    <w:rsid w:val="00A95A65"/>
    <w:rsid w:val="00A96A47"/>
    <w:rsid w:val="00A97173"/>
    <w:rsid w:val="00A97524"/>
    <w:rsid w:val="00AA0381"/>
    <w:rsid w:val="00AA188D"/>
    <w:rsid w:val="00AA1F0C"/>
    <w:rsid w:val="00AA2171"/>
    <w:rsid w:val="00AA2259"/>
    <w:rsid w:val="00AA4E42"/>
    <w:rsid w:val="00AA6367"/>
    <w:rsid w:val="00AA6F57"/>
    <w:rsid w:val="00AA71F1"/>
    <w:rsid w:val="00AA7666"/>
    <w:rsid w:val="00AA79F6"/>
    <w:rsid w:val="00AB03C1"/>
    <w:rsid w:val="00AB06F9"/>
    <w:rsid w:val="00AB073E"/>
    <w:rsid w:val="00AB0891"/>
    <w:rsid w:val="00AB1CB9"/>
    <w:rsid w:val="00AB239A"/>
    <w:rsid w:val="00AB2E67"/>
    <w:rsid w:val="00AB2E88"/>
    <w:rsid w:val="00AB396E"/>
    <w:rsid w:val="00AB65CC"/>
    <w:rsid w:val="00AB72E1"/>
    <w:rsid w:val="00AB74BC"/>
    <w:rsid w:val="00AC1053"/>
    <w:rsid w:val="00AC13BF"/>
    <w:rsid w:val="00AC1862"/>
    <w:rsid w:val="00AC24FF"/>
    <w:rsid w:val="00AC4658"/>
    <w:rsid w:val="00AC4A1E"/>
    <w:rsid w:val="00AC4C46"/>
    <w:rsid w:val="00AC58B4"/>
    <w:rsid w:val="00AC66ED"/>
    <w:rsid w:val="00AC7518"/>
    <w:rsid w:val="00AD059A"/>
    <w:rsid w:val="00AD08FD"/>
    <w:rsid w:val="00AD0CE8"/>
    <w:rsid w:val="00AD0DA1"/>
    <w:rsid w:val="00AD384D"/>
    <w:rsid w:val="00AD3CDF"/>
    <w:rsid w:val="00AD4309"/>
    <w:rsid w:val="00AD46B7"/>
    <w:rsid w:val="00AD4C4D"/>
    <w:rsid w:val="00AD4C6B"/>
    <w:rsid w:val="00AD66CD"/>
    <w:rsid w:val="00AD6BCB"/>
    <w:rsid w:val="00AD76B9"/>
    <w:rsid w:val="00AD7F7A"/>
    <w:rsid w:val="00AE05CC"/>
    <w:rsid w:val="00AE1415"/>
    <w:rsid w:val="00AE14E2"/>
    <w:rsid w:val="00AE2ACC"/>
    <w:rsid w:val="00AE30A9"/>
    <w:rsid w:val="00AE39D1"/>
    <w:rsid w:val="00AE54E7"/>
    <w:rsid w:val="00AF1EF4"/>
    <w:rsid w:val="00AF204F"/>
    <w:rsid w:val="00AF4141"/>
    <w:rsid w:val="00AF4403"/>
    <w:rsid w:val="00AF44CE"/>
    <w:rsid w:val="00AF45F8"/>
    <w:rsid w:val="00AF4B6A"/>
    <w:rsid w:val="00AF5AC0"/>
    <w:rsid w:val="00AF6414"/>
    <w:rsid w:val="00AF6BA7"/>
    <w:rsid w:val="00AF6F04"/>
    <w:rsid w:val="00AF7F2B"/>
    <w:rsid w:val="00B000E0"/>
    <w:rsid w:val="00B02999"/>
    <w:rsid w:val="00B032CB"/>
    <w:rsid w:val="00B034E8"/>
    <w:rsid w:val="00B0610F"/>
    <w:rsid w:val="00B062F3"/>
    <w:rsid w:val="00B06BEC"/>
    <w:rsid w:val="00B1068A"/>
    <w:rsid w:val="00B11136"/>
    <w:rsid w:val="00B11748"/>
    <w:rsid w:val="00B12888"/>
    <w:rsid w:val="00B12939"/>
    <w:rsid w:val="00B1324C"/>
    <w:rsid w:val="00B1390B"/>
    <w:rsid w:val="00B13A81"/>
    <w:rsid w:val="00B13EEE"/>
    <w:rsid w:val="00B1416A"/>
    <w:rsid w:val="00B14A88"/>
    <w:rsid w:val="00B14F42"/>
    <w:rsid w:val="00B154B2"/>
    <w:rsid w:val="00B155E0"/>
    <w:rsid w:val="00B1581D"/>
    <w:rsid w:val="00B1647D"/>
    <w:rsid w:val="00B165D6"/>
    <w:rsid w:val="00B17952"/>
    <w:rsid w:val="00B2076D"/>
    <w:rsid w:val="00B20CD9"/>
    <w:rsid w:val="00B21321"/>
    <w:rsid w:val="00B216D1"/>
    <w:rsid w:val="00B2479E"/>
    <w:rsid w:val="00B247E9"/>
    <w:rsid w:val="00B25464"/>
    <w:rsid w:val="00B26281"/>
    <w:rsid w:val="00B27635"/>
    <w:rsid w:val="00B27D35"/>
    <w:rsid w:val="00B31014"/>
    <w:rsid w:val="00B31A1D"/>
    <w:rsid w:val="00B328F0"/>
    <w:rsid w:val="00B34FFB"/>
    <w:rsid w:val="00B36C7A"/>
    <w:rsid w:val="00B37219"/>
    <w:rsid w:val="00B410EA"/>
    <w:rsid w:val="00B4195C"/>
    <w:rsid w:val="00B41EE1"/>
    <w:rsid w:val="00B42FAB"/>
    <w:rsid w:val="00B431CC"/>
    <w:rsid w:val="00B435B5"/>
    <w:rsid w:val="00B4392E"/>
    <w:rsid w:val="00B4486F"/>
    <w:rsid w:val="00B44981"/>
    <w:rsid w:val="00B44CCF"/>
    <w:rsid w:val="00B44F5C"/>
    <w:rsid w:val="00B46458"/>
    <w:rsid w:val="00B46735"/>
    <w:rsid w:val="00B477FB"/>
    <w:rsid w:val="00B50715"/>
    <w:rsid w:val="00B50C9A"/>
    <w:rsid w:val="00B51CF6"/>
    <w:rsid w:val="00B522AA"/>
    <w:rsid w:val="00B52309"/>
    <w:rsid w:val="00B531CD"/>
    <w:rsid w:val="00B547C8"/>
    <w:rsid w:val="00B5505D"/>
    <w:rsid w:val="00B555B1"/>
    <w:rsid w:val="00B5661C"/>
    <w:rsid w:val="00B567FB"/>
    <w:rsid w:val="00B6199B"/>
    <w:rsid w:val="00B620BC"/>
    <w:rsid w:val="00B6226B"/>
    <w:rsid w:val="00B64B35"/>
    <w:rsid w:val="00B655CB"/>
    <w:rsid w:val="00B668E9"/>
    <w:rsid w:val="00B66E76"/>
    <w:rsid w:val="00B66E78"/>
    <w:rsid w:val="00B67336"/>
    <w:rsid w:val="00B67B38"/>
    <w:rsid w:val="00B70FAD"/>
    <w:rsid w:val="00B72063"/>
    <w:rsid w:val="00B721EF"/>
    <w:rsid w:val="00B72ADB"/>
    <w:rsid w:val="00B72F0F"/>
    <w:rsid w:val="00B74912"/>
    <w:rsid w:val="00B756B6"/>
    <w:rsid w:val="00B75E97"/>
    <w:rsid w:val="00B7742A"/>
    <w:rsid w:val="00B77CAB"/>
    <w:rsid w:val="00B81EA0"/>
    <w:rsid w:val="00B8290E"/>
    <w:rsid w:val="00B8351C"/>
    <w:rsid w:val="00B849E9"/>
    <w:rsid w:val="00B84A96"/>
    <w:rsid w:val="00B863A7"/>
    <w:rsid w:val="00B876F5"/>
    <w:rsid w:val="00B8793D"/>
    <w:rsid w:val="00B909F3"/>
    <w:rsid w:val="00B90F11"/>
    <w:rsid w:val="00B9107D"/>
    <w:rsid w:val="00B91899"/>
    <w:rsid w:val="00B91B93"/>
    <w:rsid w:val="00B92EB7"/>
    <w:rsid w:val="00B9484A"/>
    <w:rsid w:val="00B96824"/>
    <w:rsid w:val="00B96ADA"/>
    <w:rsid w:val="00B96D16"/>
    <w:rsid w:val="00BA1BDA"/>
    <w:rsid w:val="00BA3382"/>
    <w:rsid w:val="00BA3A0B"/>
    <w:rsid w:val="00BA4644"/>
    <w:rsid w:val="00BA52AF"/>
    <w:rsid w:val="00BA5998"/>
    <w:rsid w:val="00BA5D24"/>
    <w:rsid w:val="00BA5FC7"/>
    <w:rsid w:val="00BA63A0"/>
    <w:rsid w:val="00BA68F6"/>
    <w:rsid w:val="00BA6D0B"/>
    <w:rsid w:val="00BA7C2C"/>
    <w:rsid w:val="00BB0074"/>
    <w:rsid w:val="00BB01B5"/>
    <w:rsid w:val="00BB19C4"/>
    <w:rsid w:val="00BB1A15"/>
    <w:rsid w:val="00BB1A23"/>
    <w:rsid w:val="00BB1CD4"/>
    <w:rsid w:val="00BB1E3B"/>
    <w:rsid w:val="00BB2194"/>
    <w:rsid w:val="00BB2552"/>
    <w:rsid w:val="00BB257F"/>
    <w:rsid w:val="00BB43EF"/>
    <w:rsid w:val="00BB49E3"/>
    <w:rsid w:val="00BB4B9D"/>
    <w:rsid w:val="00BB4D8D"/>
    <w:rsid w:val="00BB5021"/>
    <w:rsid w:val="00BB570E"/>
    <w:rsid w:val="00BB5DC4"/>
    <w:rsid w:val="00BB717A"/>
    <w:rsid w:val="00BB7FE6"/>
    <w:rsid w:val="00BC022F"/>
    <w:rsid w:val="00BC051A"/>
    <w:rsid w:val="00BC0769"/>
    <w:rsid w:val="00BC09AA"/>
    <w:rsid w:val="00BC18AF"/>
    <w:rsid w:val="00BC29FA"/>
    <w:rsid w:val="00BC2A44"/>
    <w:rsid w:val="00BC300D"/>
    <w:rsid w:val="00BC396A"/>
    <w:rsid w:val="00BC3C65"/>
    <w:rsid w:val="00BC3DBF"/>
    <w:rsid w:val="00BC55E0"/>
    <w:rsid w:val="00BC73B3"/>
    <w:rsid w:val="00BC7912"/>
    <w:rsid w:val="00BC7D89"/>
    <w:rsid w:val="00BD08EF"/>
    <w:rsid w:val="00BD0CB6"/>
    <w:rsid w:val="00BD2056"/>
    <w:rsid w:val="00BD230C"/>
    <w:rsid w:val="00BD252C"/>
    <w:rsid w:val="00BD3332"/>
    <w:rsid w:val="00BD3AD3"/>
    <w:rsid w:val="00BD47CB"/>
    <w:rsid w:val="00BD4962"/>
    <w:rsid w:val="00BD5501"/>
    <w:rsid w:val="00BD6EB3"/>
    <w:rsid w:val="00BD72D9"/>
    <w:rsid w:val="00BE060B"/>
    <w:rsid w:val="00BE155A"/>
    <w:rsid w:val="00BE1DF0"/>
    <w:rsid w:val="00BE43E1"/>
    <w:rsid w:val="00BE7044"/>
    <w:rsid w:val="00BE7085"/>
    <w:rsid w:val="00BF01FA"/>
    <w:rsid w:val="00BF2784"/>
    <w:rsid w:val="00BF30E1"/>
    <w:rsid w:val="00BF44E3"/>
    <w:rsid w:val="00BF5389"/>
    <w:rsid w:val="00BF54D2"/>
    <w:rsid w:val="00BF5EC6"/>
    <w:rsid w:val="00BF6220"/>
    <w:rsid w:val="00BF62A0"/>
    <w:rsid w:val="00BF6359"/>
    <w:rsid w:val="00BF64BD"/>
    <w:rsid w:val="00BF6DCE"/>
    <w:rsid w:val="00BF77D9"/>
    <w:rsid w:val="00BF7D15"/>
    <w:rsid w:val="00C021F7"/>
    <w:rsid w:val="00C022EF"/>
    <w:rsid w:val="00C02732"/>
    <w:rsid w:val="00C02BBB"/>
    <w:rsid w:val="00C03696"/>
    <w:rsid w:val="00C0379A"/>
    <w:rsid w:val="00C0392F"/>
    <w:rsid w:val="00C039E9"/>
    <w:rsid w:val="00C04529"/>
    <w:rsid w:val="00C0491C"/>
    <w:rsid w:val="00C0575F"/>
    <w:rsid w:val="00C05843"/>
    <w:rsid w:val="00C06C17"/>
    <w:rsid w:val="00C06E16"/>
    <w:rsid w:val="00C07216"/>
    <w:rsid w:val="00C07360"/>
    <w:rsid w:val="00C1048F"/>
    <w:rsid w:val="00C10EE9"/>
    <w:rsid w:val="00C123BD"/>
    <w:rsid w:val="00C123DB"/>
    <w:rsid w:val="00C124F1"/>
    <w:rsid w:val="00C1278A"/>
    <w:rsid w:val="00C13745"/>
    <w:rsid w:val="00C13A76"/>
    <w:rsid w:val="00C13C46"/>
    <w:rsid w:val="00C14888"/>
    <w:rsid w:val="00C14963"/>
    <w:rsid w:val="00C1500A"/>
    <w:rsid w:val="00C16209"/>
    <w:rsid w:val="00C165D9"/>
    <w:rsid w:val="00C171FD"/>
    <w:rsid w:val="00C1758C"/>
    <w:rsid w:val="00C17C5A"/>
    <w:rsid w:val="00C2091B"/>
    <w:rsid w:val="00C20BE4"/>
    <w:rsid w:val="00C20C56"/>
    <w:rsid w:val="00C21356"/>
    <w:rsid w:val="00C2160C"/>
    <w:rsid w:val="00C2177D"/>
    <w:rsid w:val="00C22DDB"/>
    <w:rsid w:val="00C22E49"/>
    <w:rsid w:val="00C22E50"/>
    <w:rsid w:val="00C26EB1"/>
    <w:rsid w:val="00C277F1"/>
    <w:rsid w:val="00C3038C"/>
    <w:rsid w:val="00C3101A"/>
    <w:rsid w:val="00C31978"/>
    <w:rsid w:val="00C319B0"/>
    <w:rsid w:val="00C32CD1"/>
    <w:rsid w:val="00C34FED"/>
    <w:rsid w:val="00C35389"/>
    <w:rsid w:val="00C35C7B"/>
    <w:rsid w:val="00C366A4"/>
    <w:rsid w:val="00C378B7"/>
    <w:rsid w:val="00C409DE"/>
    <w:rsid w:val="00C40BAD"/>
    <w:rsid w:val="00C42B37"/>
    <w:rsid w:val="00C4373D"/>
    <w:rsid w:val="00C43819"/>
    <w:rsid w:val="00C4381B"/>
    <w:rsid w:val="00C44B71"/>
    <w:rsid w:val="00C453F3"/>
    <w:rsid w:val="00C464B6"/>
    <w:rsid w:val="00C46817"/>
    <w:rsid w:val="00C4695F"/>
    <w:rsid w:val="00C46A11"/>
    <w:rsid w:val="00C475B4"/>
    <w:rsid w:val="00C47EEE"/>
    <w:rsid w:val="00C51730"/>
    <w:rsid w:val="00C51D93"/>
    <w:rsid w:val="00C51DB7"/>
    <w:rsid w:val="00C521E3"/>
    <w:rsid w:val="00C52C9F"/>
    <w:rsid w:val="00C53617"/>
    <w:rsid w:val="00C53AB1"/>
    <w:rsid w:val="00C53DB2"/>
    <w:rsid w:val="00C53F5F"/>
    <w:rsid w:val="00C56080"/>
    <w:rsid w:val="00C562BA"/>
    <w:rsid w:val="00C562DE"/>
    <w:rsid w:val="00C5633C"/>
    <w:rsid w:val="00C56747"/>
    <w:rsid w:val="00C56CE5"/>
    <w:rsid w:val="00C575CF"/>
    <w:rsid w:val="00C57BE7"/>
    <w:rsid w:val="00C60387"/>
    <w:rsid w:val="00C61030"/>
    <w:rsid w:val="00C6137F"/>
    <w:rsid w:val="00C61B51"/>
    <w:rsid w:val="00C64792"/>
    <w:rsid w:val="00C66018"/>
    <w:rsid w:val="00C6652F"/>
    <w:rsid w:val="00C666B0"/>
    <w:rsid w:val="00C702C5"/>
    <w:rsid w:val="00C70434"/>
    <w:rsid w:val="00C708DD"/>
    <w:rsid w:val="00C71C4F"/>
    <w:rsid w:val="00C71CB9"/>
    <w:rsid w:val="00C72310"/>
    <w:rsid w:val="00C72B6A"/>
    <w:rsid w:val="00C7518B"/>
    <w:rsid w:val="00C7613C"/>
    <w:rsid w:val="00C767EB"/>
    <w:rsid w:val="00C769A3"/>
    <w:rsid w:val="00C772B1"/>
    <w:rsid w:val="00C77BCF"/>
    <w:rsid w:val="00C77D53"/>
    <w:rsid w:val="00C81A37"/>
    <w:rsid w:val="00C82559"/>
    <w:rsid w:val="00C82675"/>
    <w:rsid w:val="00C8286B"/>
    <w:rsid w:val="00C83B85"/>
    <w:rsid w:val="00C83DCE"/>
    <w:rsid w:val="00C84056"/>
    <w:rsid w:val="00C84B64"/>
    <w:rsid w:val="00C84E27"/>
    <w:rsid w:val="00C8556B"/>
    <w:rsid w:val="00C855F8"/>
    <w:rsid w:val="00C85638"/>
    <w:rsid w:val="00C85AFA"/>
    <w:rsid w:val="00C85D61"/>
    <w:rsid w:val="00C864B1"/>
    <w:rsid w:val="00C866B4"/>
    <w:rsid w:val="00C86CEE"/>
    <w:rsid w:val="00C86E6F"/>
    <w:rsid w:val="00C87427"/>
    <w:rsid w:val="00C876DF"/>
    <w:rsid w:val="00C877B6"/>
    <w:rsid w:val="00C90956"/>
    <w:rsid w:val="00C92002"/>
    <w:rsid w:val="00C92D13"/>
    <w:rsid w:val="00C93071"/>
    <w:rsid w:val="00C94699"/>
    <w:rsid w:val="00C9551B"/>
    <w:rsid w:val="00C95D2A"/>
    <w:rsid w:val="00C95E05"/>
    <w:rsid w:val="00C961C7"/>
    <w:rsid w:val="00C977A6"/>
    <w:rsid w:val="00C97ACB"/>
    <w:rsid w:val="00C97F57"/>
    <w:rsid w:val="00CA114F"/>
    <w:rsid w:val="00CA505F"/>
    <w:rsid w:val="00CA5953"/>
    <w:rsid w:val="00CA6296"/>
    <w:rsid w:val="00CA63EA"/>
    <w:rsid w:val="00CA6CD0"/>
    <w:rsid w:val="00CB0133"/>
    <w:rsid w:val="00CB05A1"/>
    <w:rsid w:val="00CB0ED7"/>
    <w:rsid w:val="00CB24A7"/>
    <w:rsid w:val="00CB38C8"/>
    <w:rsid w:val="00CB394F"/>
    <w:rsid w:val="00CB39F5"/>
    <w:rsid w:val="00CB3AF9"/>
    <w:rsid w:val="00CB3B9F"/>
    <w:rsid w:val="00CB4607"/>
    <w:rsid w:val="00CB461A"/>
    <w:rsid w:val="00CB4C2C"/>
    <w:rsid w:val="00CB5A2A"/>
    <w:rsid w:val="00CB659A"/>
    <w:rsid w:val="00CB7100"/>
    <w:rsid w:val="00CB7478"/>
    <w:rsid w:val="00CB74F9"/>
    <w:rsid w:val="00CC2BD6"/>
    <w:rsid w:val="00CC2E4C"/>
    <w:rsid w:val="00CC3903"/>
    <w:rsid w:val="00CC4EB3"/>
    <w:rsid w:val="00CC5144"/>
    <w:rsid w:val="00CC6748"/>
    <w:rsid w:val="00CC72C7"/>
    <w:rsid w:val="00CC760D"/>
    <w:rsid w:val="00CD0864"/>
    <w:rsid w:val="00CD0BB5"/>
    <w:rsid w:val="00CD1788"/>
    <w:rsid w:val="00CD2A8F"/>
    <w:rsid w:val="00CD2EDA"/>
    <w:rsid w:val="00CD54BD"/>
    <w:rsid w:val="00CD5511"/>
    <w:rsid w:val="00CD55D6"/>
    <w:rsid w:val="00CD5A9E"/>
    <w:rsid w:val="00CD7459"/>
    <w:rsid w:val="00CD75A8"/>
    <w:rsid w:val="00CD7AE3"/>
    <w:rsid w:val="00CD7C4E"/>
    <w:rsid w:val="00CE003E"/>
    <w:rsid w:val="00CE0D0A"/>
    <w:rsid w:val="00CE0D1F"/>
    <w:rsid w:val="00CE2907"/>
    <w:rsid w:val="00CE5074"/>
    <w:rsid w:val="00CE644B"/>
    <w:rsid w:val="00CF0173"/>
    <w:rsid w:val="00CF0A15"/>
    <w:rsid w:val="00CF0EE0"/>
    <w:rsid w:val="00CF1C6E"/>
    <w:rsid w:val="00CF2215"/>
    <w:rsid w:val="00CF337D"/>
    <w:rsid w:val="00CF4690"/>
    <w:rsid w:val="00CF5C78"/>
    <w:rsid w:val="00CF6B17"/>
    <w:rsid w:val="00CF70B4"/>
    <w:rsid w:val="00CF71E9"/>
    <w:rsid w:val="00D00E03"/>
    <w:rsid w:val="00D011B3"/>
    <w:rsid w:val="00D02BA9"/>
    <w:rsid w:val="00D03D7D"/>
    <w:rsid w:val="00D03F44"/>
    <w:rsid w:val="00D040E0"/>
    <w:rsid w:val="00D04DC3"/>
    <w:rsid w:val="00D054F9"/>
    <w:rsid w:val="00D06BE9"/>
    <w:rsid w:val="00D07249"/>
    <w:rsid w:val="00D07D8E"/>
    <w:rsid w:val="00D101C6"/>
    <w:rsid w:val="00D107B3"/>
    <w:rsid w:val="00D10CA9"/>
    <w:rsid w:val="00D10EEB"/>
    <w:rsid w:val="00D11D7E"/>
    <w:rsid w:val="00D1318D"/>
    <w:rsid w:val="00D13EC4"/>
    <w:rsid w:val="00D13F67"/>
    <w:rsid w:val="00D14037"/>
    <w:rsid w:val="00D152F1"/>
    <w:rsid w:val="00D174BB"/>
    <w:rsid w:val="00D2081E"/>
    <w:rsid w:val="00D20AC5"/>
    <w:rsid w:val="00D23751"/>
    <w:rsid w:val="00D23AAE"/>
    <w:rsid w:val="00D2525A"/>
    <w:rsid w:val="00D257D3"/>
    <w:rsid w:val="00D25D56"/>
    <w:rsid w:val="00D26008"/>
    <w:rsid w:val="00D26847"/>
    <w:rsid w:val="00D304F1"/>
    <w:rsid w:val="00D31A06"/>
    <w:rsid w:val="00D31B9C"/>
    <w:rsid w:val="00D31EC3"/>
    <w:rsid w:val="00D33861"/>
    <w:rsid w:val="00D33B6B"/>
    <w:rsid w:val="00D33CA6"/>
    <w:rsid w:val="00D3462C"/>
    <w:rsid w:val="00D3477C"/>
    <w:rsid w:val="00D34B28"/>
    <w:rsid w:val="00D3547A"/>
    <w:rsid w:val="00D41058"/>
    <w:rsid w:val="00D436F5"/>
    <w:rsid w:val="00D442B9"/>
    <w:rsid w:val="00D45373"/>
    <w:rsid w:val="00D46836"/>
    <w:rsid w:val="00D47091"/>
    <w:rsid w:val="00D47924"/>
    <w:rsid w:val="00D500C1"/>
    <w:rsid w:val="00D501F0"/>
    <w:rsid w:val="00D5035A"/>
    <w:rsid w:val="00D50746"/>
    <w:rsid w:val="00D5084F"/>
    <w:rsid w:val="00D5118B"/>
    <w:rsid w:val="00D524AB"/>
    <w:rsid w:val="00D525BA"/>
    <w:rsid w:val="00D528FA"/>
    <w:rsid w:val="00D52E05"/>
    <w:rsid w:val="00D52FE5"/>
    <w:rsid w:val="00D531CD"/>
    <w:rsid w:val="00D553A4"/>
    <w:rsid w:val="00D55824"/>
    <w:rsid w:val="00D561EE"/>
    <w:rsid w:val="00D56CE3"/>
    <w:rsid w:val="00D575B9"/>
    <w:rsid w:val="00D60A9B"/>
    <w:rsid w:val="00D60C3A"/>
    <w:rsid w:val="00D6260D"/>
    <w:rsid w:val="00D62AA9"/>
    <w:rsid w:val="00D6347A"/>
    <w:rsid w:val="00D636C1"/>
    <w:rsid w:val="00D64156"/>
    <w:rsid w:val="00D6421A"/>
    <w:rsid w:val="00D65E7A"/>
    <w:rsid w:val="00D6662B"/>
    <w:rsid w:val="00D67E8A"/>
    <w:rsid w:val="00D7062A"/>
    <w:rsid w:val="00D7080D"/>
    <w:rsid w:val="00D717D5"/>
    <w:rsid w:val="00D72D36"/>
    <w:rsid w:val="00D73C26"/>
    <w:rsid w:val="00D73D98"/>
    <w:rsid w:val="00D74A82"/>
    <w:rsid w:val="00D74E61"/>
    <w:rsid w:val="00D76279"/>
    <w:rsid w:val="00D76F66"/>
    <w:rsid w:val="00D77434"/>
    <w:rsid w:val="00D77641"/>
    <w:rsid w:val="00D80615"/>
    <w:rsid w:val="00D810F5"/>
    <w:rsid w:val="00D81163"/>
    <w:rsid w:val="00D815A2"/>
    <w:rsid w:val="00D81609"/>
    <w:rsid w:val="00D81DA3"/>
    <w:rsid w:val="00D8226A"/>
    <w:rsid w:val="00D830C2"/>
    <w:rsid w:val="00D86726"/>
    <w:rsid w:val="00D87EEA"/>
    <w:rsid w:val="00D9029B"/>
    <w:rsid w:val="00D90FDF"/>
    <w:rsid w:val="00D91426"/>
    <w:rsid w:val="00D9181B"/>
    <w:rsid w:val="00D92EC2"/>
    <w:rsid w:val="00D93C31"/>
    <w:rsid w:val="00D93CAC"/>
    <w:rsid w:val="00D950C7"/>
    <w:rsid w:val="00D95740"/>
    <w:rsid w:val="00D96DEA"/>
    <w:rsid w:val="00DA07D7"/>
    <w:rsid w:val="00DA1510"/>
    <w:rsid w:val="00DA1873"/>
    <w:rsid w:val="00DA1C1F"/>
    <w:rsid w:val="00DA34C9"/>
    <w:rsid w:val="00DA3B72"/>
    <w:rsid w:val="00DA4DE3"/>
    <w:rsid w:val="00DA4FFE"/>
    <w:rsid w:val="00DA5059"/>
    <w:rsid w:val="00DA555C"/>
    <w:rsid w:val="00DA5E00"/>
    <w:rsid w:val="00DA61B1"/>
    <w:rsid w:val="00DA6377"/>
    <w:rsid w:val="00DA751C"/>
    <w:rsid w:val="00DA77A7"/>
    <w:rsid w:val="00DA7D1A"/>
    <w:rsid w:val="00DA7FF1"/>
    <w:rsid w:val="00DB03C7"/>
    <w:rsid w:val="00DB06F2"/>
    <w:rsid w:val="00DB24B4"/>
    <w:rsid w:val="00DB3BB4"/>
    <w:rsid w:val="00DB3DEF"/>
    <w:rsid w:val="00DB465C"/>
    <w:rsid w:val="00DB4C42"/>
    <w:rsid w:val="00DB4DD4"/>
    <w:rsid w:val="00DB5A3E"/>
    <w:rsid w:val="00DB5BED"/>
    <w:rsid w:val="00DB5CB8"/>
    <w:rsid w:val="00DB6B3B"/>
    <w:rsid w:val="00DB6C46"/>
    <w:rsid w:val="00DB7741"/>
    <w:rsid w:val="00DC031C"/>
    <w:rsid w:val="00DC1AF4"/>
    <w:rsid w:val="00DC242D"/>
    <w:rsid w:val="00DC2B77"/>
    <w:rsid w:val="00DC3253"/>
    <w:rsid w:val="00DC4457"/>
    <w:rsid w:val="00DC46AE"/>
    <w:rsid w:val="00DC498D"/>
    <w:rsid w:val="00DC5233"/>
    <w:rsid w:val="00DC5541"/>
    <w:rsid w:val="00DC5F92"/>
    <w:rsid w:val="00DC64CA"/>
    <w:rsid w:val="00DC682C"/>
    <w:rsid w:val="00DC7633"/>
    <w:rsid w:val="00DC7B11"/>
    <w:rsid w:val="00DC7DF3"/>
    <w:rsid w:val="00DC7E0F"/>
    <w:rsid w:val="00DD02C4"/>
    <w:rsid w:val="00DD06BD"/>
    <w:rsid w:val="00DD0A94"/>
    <w:rsid w:val="00DD1204"/>
    <w:rsid w:val="00DD1DAB"/>
    <w:rsid w:val="00DD3924"/>
    <w:rsid w:val="00DD4B9E"/>
    <w:rsid w:val="00DD51BC"/>
    <w:rsid w:val="00DD5FFC"/>
    <w:rsid w:val="00DD6044"/>
    <w:rsid w:val="00DD61B8"/>
    <w:rsid w:val="00DD74A8"/>
    <w:rsid w:val="00DE004A"/>
    <w:rsid w:val="00DE0742"/>
    <w:rsid w:val="00DE44FC"/>
    <w:rsid w:val="00DE4C75"/>
    <w:rsid w:val="00DE69E9"/>
    <w:rsid w:val="00DE769D"/>
    <w:rsid w:val="00DE7A2A"/>
    <w:rsid w:val="00DE7DA0"/>
    <w:rsid w:val="00DF0114"/>
    <w:rsid w:val="00DF0C27"/>
    <w:rsid w:val="00DF0D60"/>
    <w:rsid w:val="00DF190B"/>
    <w:rsid w:val="00DF190C"/>
    <w:rsid w:val="00DF288A"/>
    <w:rsid w:val="00DF2EFD"/>
    <w:rsid w:val="00DF44A2"/>
    <w:rsid w:val="00DF44D7"/>
    <w:rsid w:val="00DF47F1"/>
    <w:rsid w:val="00DF49BF"/>
    <w:rsid w:val="00DF5695"/>
    <w:rsid w:val="00DF5E21"/>
    <w:rsid w:val="00E030A9"/>
    <w:rsid w:val="00E03384"/>
    <w:rsid w:val="00E03AC3"/>
    <w:rsid w:val="00E0421C"/>
    <w:rsid w:val="00E0426B"/>
    <w:rsid w:val="00E044B8"/>
    <w:rsid w:val="00E065A5"/>
    <w:rsid w:val="00E06C1F"/>
    <w:rsid w:val="00E06EED"/>
    <w:rsid w:val="00E0766A"/>
    <w:rsid w:val="00E115DF"/>
    <w:rsid w:val="00E1268D"/>
    <w:rsid w:val="00E12A68"/>
    <w:rsid w:val="00E12B51"/>
    <w:rsid w:val="00E12E61"/>
    <w:rsid w:val="00E12F45"/>
    <w:rsid w:val="00E132A3"/>
    <w:rsid w:val="00E135A6"/>
    <w:rsid w:val="00E1371E"/>
    <w:rsid w:val="00E14184"/>
    <w:rsid w:val="00E16A8F"/>
    <w:rsid w:val="00E173D2"/>
    <w:rsid w:val="00E20B20"/>
    <w:rsid w:val="00E20E49"/>
    <w:rsid w:val="00E2112C"/>
    <w:rsid w:val="00E21EBE"/>
    <w:rsid w:val="00E22238"/>
    <w:rsid w:val="00E23929"/>
    <w:rsid w:val="00E23F0F"/>
    <w:rsid w:val="00E2455C"/>
    <w:rsid w:val="00E24DDC"/>
    <w:rsid w:val="00E25DD0"/>
    <w:rsid w:val="00E26380"/>
    <w:rsid w:val="00E26495"/>
    <w:rsid w:val="00E27E0B"/>
    <w:rsid w:val="00E27EB4"/>
    <w:rsid w:val="00E30055"/>
    <w:rsid w:val="00E314C7"/>
    <w:rsid w:val="00E31B6C"/>
    <w:rsid w:val="00E31DE5"/>
    <w:rsid w:val="00E3234E"/>
    <w:rsid w:val="00E3282C"/>
    <w:rsid w:val="00E32A4A"/>
    <w:rsid w:val="00E335FF"/>
    <w:rsid w:val="00E33868"/>
    <w:rsid w:val="00E3429A"/>
    <w:rsid w:val="00E34FDB"/>
    <w:rsid w:val="00E355B9"/>
    <w:rsid w:val="00E3604F"/>
    <w:rsid w:val="00E4055E"/>
    <w:rsid w:val="00E4121B"/>
    <w:rsid w:val="00E420E4"/>
    <w:rsid w:val="00E420F2"/>
    <w:rsid w:val="00E428EB"/>
    <w:rsid w:val="00E42C45"/>
    <w:rsid w:val="00E430D4"/>
    <w:rsid w:val="00E445EF"/>
    <w:rsid w:val="00E46B36"/>
    <w:rsid w:val="00E50865"/>
    <w:rsid w:val="00E50C73"/>
    <w:rsid w:val="00E50DC1"/>
    <w:rsid w:val="00E51115"/>
    <w:rsid w:val="00E5125F"/>
    <w:rsid w:val="00E512BF"/>
    <w:rsid w:val="00E51543"/>
    <w:rsid w:val="00E522A7"/>
    <w:rsid w:val="00E543CF"/>
    <w:rsid w:val="00E5537F"/>
    <w:rsid w:val="00E55B06"/>
    <w:rsid w:val="00E56AD1"/>
    <w:rsid w:val="00E57EAA"/>
    <w:rsid w:val="00E6028A"/>
    <w:rsid w:val="00E60DD7"/>
    <w:rsid w:val="00E6105F"/>
    <w:rsid w:val="00E612C6"/>
    <w:rsid w:val="00E620CA"/>
    <w:rsid w:val="00E63926"/>
    <w:rsid w:val="00E645E9"/>
    <w:rsid w:val="00E65E18"/>
    <w:rsid w:val="00E66FF6"/>
    <w:rsid w:val="00E706D6"/>
    <w:rsid w:val="00E707BC"/>
    <w:rsid w:val="00E707DC"/>
    <w:rsid w:val="00E70B44"/>
    <w:rsid w:val="00E712EE"/>
    <w:rsid w:val="00E71318"/>
    <w:rsid w:val="00E71449"/>
    <w:rsid w:val="00E718C4"/>
    <w:rsid w:val="00E71F6A"/>
    <w:rsid w:val="00E73310"/>
    <w:rsid w:val="00E73621"/>
    <w:rsid w:val="00E7416C"/>
    <w:rsid w:val="00E74179"/>
    <w:rsid w:val="00E75229"/>
    <w:rsid w:val="00E75E68"/>
    <w:rsid w:val="00E779B9"/>
    <w:rsid w:val="00E77C62"/>
    <w:rsid w:val="00E807AE"/>
    <w:rsid w:val="00E81C69"/>
    <w:rsid w:val="00E82070"/>
    <w:rsid w:val="00E826F4"/>
    <w:rsid w:val="00E82B1C"/>
    <w:rsid w:val="00E838F4"/>
    <w:rsid w:val="00E83952"/>
    <w:rsid w:val="00E83C2B"/>
    <w:rsid w:val="00E84872"/>
    <w:rsid w:val="00E84A97"/>
    <w:rsid w:val="00E84D1B"/>
    <w:rsid w:val="00E85102"/>
    <w:rsid w:val="00E85572"/>
    <w:rsid w:val="00E865BF"/>
    <w:rsid w:val="00E86B21"/>
    <w:rsid w:val="00E8705E"/>
    <w:rsid w:val="00E8766B"/>
    <w:rsid w:val="00E90A99"/>
    <w:rsid w:val="00E912C1"/>
    <w:rsid w:val="00E92376"/>
    <w:rsid w:val="00E9271A"/>
    <w:rsid w:val="00E93B67"/>
    <w:rsid w:val="00E94D82"/>
    <w:rsid w:val="00E95C7D"/>
    <w:rsid w:val="00E964B3"/>
    <w:rsid w:val="00EA068B"/>
    <w:rsid w:val="00EA0C46"/>
    <w:rsid w:val="00EA1BC7"/>
    <w:rsid w:val="00EA2396"/>
    <w:rsid w:val="00EA240E"/>
    <w:rsid w:val="00EA30D4"/>
    <w:rsid w:val="00EA361B"/>
    <w:rsid w:val="00EA3915"/>
    <w:rsid w:val="00EA3E56"/>
    <w:rsid w:val="00EA3E76"/>
    <w:rsid w:val="00EA6BCA"/>
    <w:rsid w:val="00EB0031"/>
    <w:rsid w:val="00EB0641"/>
    <w:rsid w:val="00EB0AF9"/>
    <w:rsid w:val="00EB152B"/>
    <w:rsid w:val="00EB1AA7"/>
    <w:rsid w:val="00EB3022"/>
    <w:rsid w:val="00EB351C"/>
    <w:rsid w:val="00EB487E"/>
    <w:rsid w:val="00EB5C26"/>
    <w:rsid w:val="00EB6264"/>
    <w:rsid w:val="00EB7C25"/>
    <w:rsid w:val="00EC06C8"/>
    <w:rsid w:val="00EC0B9F"/>
    <w:rsid w:val="00EC0CF4"/>
    <w:rsid w:val="00EC11BE"/>
    <w:rsid w:val="00EC1426"/>
    <w:rsid w:val="00EC23F0"/>
    <w:rsid w:val="00EC48A8"/>
    <w:rsid w:val="00EC533A"/>
    <w:rsid w:val="00EC5D6B"/>
    <w:rsid w:val="00EC6835"/>
    <w:rsid w:val="00EC6EF8"/>
    <w:rsid w:val="00EC7576"/>
    <w:rsid w:val="00EC7CDA"/>
    <w:rsid w:val="00ED0076"/>
    <w:rsid w:val="00ED0E7B"/>
    <w:rsid w:val="00ED12F1"/>
    <w:rsid w:val="00ED14C4"/>
    <w:rsid w:val="00ED15DE"/>
    <w:rsid w:val="00ED1942"/>
    <w:rsid w:val="00ED2C83"/>
    <w:rsid w:val="00ED37DE"/>
    <w:rsid w:val="00ED398E"/>
    <w:rsid w:val="00ED3B18"/>
    <w:rsid w:val="00ED3B3C"/>
    <w:rsid w:val="00ED3E39"/>
    <w:rsid w:val="00ED4771"/>
    <w:rsid w:val="00ED4844"/>
    <w:rsid w:val="00ED5753"/>
    <w:rsid w:val="00ED6757"/>
    <w:rsid w:val="00ED7B63"/>
    <w:rsid w:val="00ED7F56"/>
    <w:rsid w:val="00EE0F03"/>
    <w:rsid w:val="00EE11F5"/>
    <w:rsid w:val="00EE1603"/>
    <w:rsid w:val="00EE32E1"/>
    <w:rsid w:val="00EE34CA"/>
    <w:rsid w:val="00EE43EE"/>
    <w:rsid w:val="00EE4B62"/>
    <w:rsid w:val="00EE5798"/>
    <w:rsid w:val="00EE59D1"/>
    <w:rsid w:val="00EE5C7B"/>
    <w:rsid w:val="00EE6CC9"/>
    <w:rsid w:val="00EE7370"/>
    <w:rsid w:val="00EF0AFD"/>
    <w:rsid w:val="00EF1206"/>
    <w:rsid w:val="00EF1670"/>
    <w:rsid w:val="00EF19B0"/>
    <w:rsid w:val="00EF19F8"/>
    <w:rsid w:val="00EF3254"/>
    <w:rsid w:val="00EF36CD"/>
    <w:rsid w:val="00EF4421"/>
    <w:rsid w:val="00EF5748"/>
    <w:rsid w:val="00EF601C"/>
    <w:rsid w:val="00EF6717"/>
    <w:rsid w:val="00F02882"/>
    <w:rsid w:val="00F032CB"/>
    <w:rsid w:val="00F066F2"/>
    <w:rsid w:val="00F07B93"/>
    <w:rsid w:val="00F113F2"/>
    <w:rsid w:val="00F119E4"/>
    <w:rsid w:val="00F121D9"/>
    <w:rsid w:val="00F12C33"/>
    <w:rsid w:val="00F12D8D"/>
    <w:rsid w:val="00F12ED8"/>
    <w:rsid w:val="00F14C1F"/>
    <w:rsid w:val="00F15844"/>
    <w:rsid w:val="00F15D3C"/>
    <w:rsid w:val="00F17607"/>
    <w:rsid w:val="00F20D46"/>
    <w:rsid w:val="00F21C9D"/>
    <w:rsid w:val="00F2255F"/>
    <w:rsid w:val="00F22725"/>
    <w:rsid w:val="00F22EF1"/>
    <w:rsid w:val="00F23421"/>
    <w:rsid w:val="00F2380C"/>
    <w:rsid w:val="00F23C66"/>
    <w:rsid w:val="00F23F9B"/>
    <w:rsid w:val="00F24A0F"/>
    <w:rsid w:val="00F24E50"/>
    <w:rsid w:val="00F25D51"/>
    <w:rsid w:val="00F25F1A"/>
    <w:rsid w:val="00F26121"/>
    <w:rsid w:val="00F2697D"/>
    <w:rsid w:val="00F27D31"/>
    <w:rsid w:val="00F309EA"/>
    <w:rsid w:val="00F30EAA"/>
    <w:rsid w:val="00F31350"/>
    <w:rsid w:val="00F32539"/>
    <w:rsid w:val="00F325BB"/>
    <w:rsid w:val="00F3273E"/>
    <w:rsid w:val="00F32A73"/>
    <w:rsid w:val="00F34463"/>
    <w:rsid w:val="00F345D2"/>
    <w:rsid w:val="00F34A60"/>
    <w:rsid w:val="00F3591A"/>
    <w:rsid w:val="00F35D8A"/>
    <w:rsid w:val="00F36240"/>
    <w:rsid w:val="00F40364"/>
    <w:rsid w:val="00F412D8"/>
    <w:rsid w:val="00F4202F"/>
    <w:rsid w:val="00F4220F"/>
    <w:rsid w:val="00F42C0D"/>
    <w:rsid w:val="00F43250"/>
    <w:rsid w:val="00F434C4"/>
    <w:rsid w:val="00F438B0"/>
    <w:rsid w:val="00F4475D"/>
    <w:rsid w:val="00F44C0C"/>
    <w:rsid w:val="00F458BD"/>
    <w:rsid w:val="00F463EB"/>
    <w:rsid w:val="00F464C5"/>
    <w:rsid w:val="00F5000F"/>
    <w:rsid w:val="00F50884"/>
    <w:rsid w:val="00F50D21"/>
    <w:rsid w:val="00F523CA"/>
    <w:rsid w:val="00F52615"/>
    <w:rsid w:val="00F5300C"/>
    <w:rsid w:val="00F536CB"/>
    <w:rsid w:val="00F540A8"/>
    <w:rsid w:val="00F54E66"/>
    <w:rsid w:val="00F55F0B"/>
    <w:rsid w:val="00F60533"/>
    <w:rsid w:val="00F60F72"/>
    <w:rsid w:val="00F610F9"/>
    <w:rsid w:val="00F61D17"/>
    <w:rsid w:val="00F632CD"/>
    <w:rsid w:val="00F63ABB"/>
    <w:rsid w:val="00F64D8F"/>
    <w:rsid w:val="00F652E3"/>
    <w:rsid w:val="00F65F9B"/>
    <w:rsid w:val="00F66258"/>
    <w:rsid w:val="00F678F1"/>
    <w:rsid w:val="00F67928"/>
    <w:rsid w:val="00F67DE3"/>
    <w:rsid w:val="00F703D7"/>
    <w:rsid w:val="00F71092"/>
    <w:rsid w:val="00F729F9"/>
    <w:rsid w:val="00F7302E"/>
    <w:rsid w:val="00F73194"/>
    <w:rsid w:val="00F74149"/>
    <w:rsid w:val="00F741B7"/>
    <w:rsid w:val="00F74671"/>
    <w:rsid w:val="00F76B1C"/>
    <w:rsid w:val="00F77362"/>
    <w:rsid w:val="00F80B9B"/>
    <w:rsid w:val="00F80CA5"/>
    <w:rsid w:val="00F81227"/>
    <w:rsid w:val="00F81BC3"/>
    <w:rsid w:val="00F83092"/>
    <w:rsid w:val="00F83412"/>
    <w:rsid w:val="00F839A4"/>
    <w:rsid w:val="00F83C8F"/>
    <w:rsid w:val="00F842DE"/>
    <w:rsid w:val="00F84457"/>
    <w:rsid w:val="00F85C7B"/>
    <w:rsid w:val="00F86790"/>
    <w:rsid w:val="00F86D86"/>
    <w:rsid w:val="00F870FF"/>
    <w:rsid w:val="00F877E7"/>
    <w:rsid w:val="00F87C14"/>
    <w:rsid w:val="00F913DC"/>
    <w:rsid w:val="00F91908"/>
    <w:rsid w:val="00F91EEE"/>
    <w:rsid w:val="00F91FE8"/>
    <w:rsid w:val="00F93077"/>
    <w:rsid w:val="00F9309F"/>
    <w:rsid w:val="00F93B06"/>
    <w:rsid w:val="00F93FE8"/>
    <w:rsid w:val="00F94081"/>
    <w:rsid w:val="00F94450"/>
    <w:rsid w:val="00F94598"/>
    <w:rsid w:val="00F95974"/>
    <w:rsid w:val="00F960B6"/>
    <w:rsid w:val="00F96BC7"/>
    <w:rsid w:val="00F9750A"/>
    <w:rsid w:val="00F97CBE"/>
    <w:rsid w:val="00F97D6A"/>
    <w:rsid w:val="00FA0037"/>
    <w:rsid w:val="00FA15B8"/>
    <w:rsid w:val="00FA20DA"/>
    <w:rsid w:val="00FA2329"/>
    <w:rsid w:val="00FA287A"/>
    <w:rsid w:val="00FA2AE7"/>
    <w:rsid w:val="00FA388E"/>
    <w:rsid w:val="00FA4626"/>
    <w:rsid w:val="00FA564A"/>
    <w:rsid w:val="00FA5FAF"/>
    <w:rsid w:val="00FA65B7"/>
    <w:rsid w:val="00FA68C0"/>
    <w:rsid w:val="00FA7CB7"/>
    <w:rsid w:val="00FB0192"/>
    <w:rsid w:val="00FB0ABD"/>
    <w:rsid w:val="00FB109A"/>
    <w:rsid w:val="00FB20B5"/>
    <w:rsid w:val="00FB3366"/>
    <w:rsid w:val="00FB3EC6"/>
    <w:rsid w:val="00FB44C6"/>
    <w:rsid w:val="00FB461D"/>
    <w:rsid w:val="00FB5792"/>
    <w:rsid w:val="00FB6FE4"/>
    <w:rsid w:val="00FB7197"/>
    <w:rsid w:val="00FB729E"/>
    <w:rsid w:val="00FC03A6"/>
    <w:rsid w:val="00FC04AC"/>
    <w:rsid w:val="00FC0E4C"/>
    <w:rsid w:val="00FC30DE"/>
    <w:rsid w:val="00FC3A84"/>
    <w:rsid w:val="00FC427F"/>
    <w:rsid w:val="00FC4DD5"/>
    <w:rsid w:val="00FC550A"/>
    <w:rsid w:val="00FC5780"/>
    <w:rsid w:val="00FC57D6"/>
    <w:rsid w:val="00FC5F20"/>
    <w:rsid w:val="00FC7A36"/>
    <w:rsid w:val="00FD042B"/>
    <w:rsid w:val="00FD209C"/>
    <w:rsid w:val="00FD2221"/>
    <w:rsid w:val="00FD3180"/>
    <w:rsid w:val="00FD3AF0"/>
    <w:rsid w:val="00FD3B57"/>
    <w:rsid w:val="00FD54E6"/>
    <w:rsid w:val="00FD58E8"/>
    <w:rsid w:val="00FD59D5"/>
    <w:rsid w:val="00FD5CA7"/>
    <w:rsid w:val="00FD5D05"/>
    <w:rsid w:val="00FD5E2C"/>
    <w:rsid w:val="00FD624C"/>
    <w:rsid w:val="00FD65BA"/>
    <w:rsid w:val="00FD6745"/>
    <w:rsid w:val="00FD6E39"/>
    <w:rsid w:val="00FD7089"/>
    <w:rsid w:val="00FD7258"/>
    <w:rsid w:val="00FD76EE"/>
    <w:rsid w:val="00FD7B11"/>
    <w:rsid w:val="00FD7C80"/>
    <w:rsid w:val="00FE0CC6"/>
    <w:rsid w:val="00FE19D7"/>
    <w:rsid w:val="00FE2313"/>
    <w:rsid w:val="00FE26A9"/>
    <w:rsid w:val="00FE46F0"/>
    <w:rsid w:val="00FE472B"/>
    <w:rsid w:val="00FE5D20"/>
    <w:rsid w:val="00FE6E39"/>
    <w:rsid w:val="00FF086A"/>
    <w:rsid w:val="00FF0E20"/>
    <w:rsid w:val="00FF0F42"/>
    <w:rsid w:val="00FF1BC6"/>
    <w:rsid w:val="00FF26BB"/>
    <w:rsid w:val="00FF29EA"/>
    <w:rsid w:val="00FF3604"/>
    <w:rsid w:val="00FF5F9A"/>
    <w:rsid w:val="00FF647D"/>
    <w:rsid w:val="00FF70A3"/>
    <w:rsid w:val="00FF7AEF"/>
    <w:rsid w:val="014150EC"/>
    <w:rsid w:val="01620901"/>
    <w:rsid w:val="01A64956"/>
    <w:rsid w:val="01B953DE"/>
    <w:rsid w:val="01DA366C"/>
    <w:rsid w:val="028D2B9A"/>
    <w:rsid w:val="02DB4857"/>
    <w:rsid w:val="03A10246"/>
    <w:rsid w:val="03C23741"/>
    <w:rsid w:val="03DB0A08"/>
    <w:rsid w:val="04163446"/>
    <w:rsid w:val="05416969"/>
    <w:rsid w:val="05F075BE"/>
    <w:rsid w:val="05F11835"/>
    <w:rsid w:val="0641482C"/>
    <w:rsid w:val="06BB55AB"/>
    <w:rsid w:val="06BC556F"/>
    <w:rsid w:val="06C90471"/>
    <w:rsid w:val="06D3183B"/>
    <w:rsid w:val="079746BB"/>
    <w:rsid w:val="07AA2E63"/>
    <w:rsid w:val="07F21C72"/>
    <w:rsid w:val="080720F7"/>
    <w:rsid w:val="084361B5"/>
    <w:rsid w:val="08457A55"/>
    <w:rsid w:val="08791123"/>
    <w:rsid w:val="08A017B8"/>
    <w:rsid w:val="08F6648F"/>
    <w:rsid w:val="092B7994"/>
    <w:rsid w:val="094C2A73"/>
    <w:rsid w:val="099D3423"/>
    <w:rsid w:val="09BE25B6"/>
    <w:rsid w:val="0A477FF4"/>
    <w:rsid w:val="0AA33311"/>
    <w:rsid w:val="0B600C6F"/>
    <w:rsid w:val="0BA40152"/>
    <w:rsid w:val="0CC95C35"/>
    <w:rsid w:val="0D6B65B1"/>
    <w:rsid w:val="0D94218E"/>
    <w:rsid w:val="0E1C78AB"/>
    <w:rsid w:val="0E384926"/>
    <w:rsid w:val="0E5B092E"/>
    <w:rsid w:val="0E5E18FB"/>
    <w:rsid w:val="0EB24B66"/>
    <w:rsid w:val="0ECA5A9C"/>
    <w:rsid w:val="0F604037"/>
    <w:rsid w:val="0F755016"/>
    <w:rsid w:val="0FAA27D5"/>
    <w:rsid w:val="0FAC57C4"/>
    <w:rsid w:val="0FFE0200"/>
    <w:rsid w:val="100106D5"/>
    <w:rsid w:val="105B3E4D"/>
    <w:rsid w:val="11261781"/>
    <w:rsid w:val="11843743"/>
    <w:rsid w:val="119C28BD"/>
    <w:rsid w:val="11A45C86"/>
    <w:rsid w:val="11AA2CD7"/>
    <w:rsid w:val="11CF5AA0"/>
    <w:rsid w:val="120F3227"/>
    <w:rsid w:val="122277F5"/>
    <w:rsid w:val="12D9707E"/>
    <w:rsid w:val="130F7E33"/>
    <w:rsid w:val="1333312B"/>
    <w:rsid w:val="136A730B"/>
    <w:rsid w:val="13DB69C9"/>
    <w:rsid w:val="13F02505"/>
    <w:rsid w:val="148E0B68"/>
    <w:rsid w:val="148E5ED8"/>
    <w:rsid w:val="14A37E3E"/>
    <w:rsid w:val="14BB7C7F"/>
    <w:rsid w:val="14E725C9"/>
    <w:rsid w:val="14F63C6C"/>
    <w:rsid w:val="15223BD0"/>
    <w:rsid w:val="154C165B"/>
    <w:rsid w:val="154F298D"/>
    <w:rsid w:val="157319DE"/>
    <w:rsid w:val="15B41D32"/>
    <w:rsid w:val="15CE459E"/>
    <w:rsid w:val="15DD0268"/>
    <w:rsid w:val="179D67C3"/>
    <w:rsid w:val="17E14287"/>
    <w:rsid w:val="17E525AD"/>
    <w:rsid w:val="18895317"/>
    <w:rsid w:val="18A264A4"/>
    <w:rsid w:val="192F467F"/>
    <w:rsid w:val="19737523"/>
    <w:rsid w:val="19C62294"/>
    <w:rsid w:val="19E558E9"/>
    <w:rsid w:val="19ED7773"/>
    <w:rsid w:val="1A381AE4"/>
    <w:rsid w:val="1A3A7A37"/>
    <w:rsid w:val="1A6858B8"/>
    <w:rsid w:val="1AF20311"/>
    <w:rsid w:val="1B4723CD"/>
    <w:rsid w:val="1B524A22"/>
    <w:rsid w:val="1B5C2DF2"/>
    <w:rsid w:val="1B7A03B1"/>
    <w:rsid w:val="1B8A7732"/>
    <w:rsid w:val="1B9143D0"/>
    <w:rsid w:val="1BA333BA"/>
    <w:rsid w:val="1BC3052C"/>
    <w:rsid w:val="1BF553AD"/>
    <w:rsid w:val="1C5730EB"/>
    <w:rsid w:val="1C8C7369"/>
    <w:rsid w:val="1C9D1087"/>
    <w:rsid w:val="1CAD0CD7"/>
    <w:rsid w:val="1D2111E0"/>
    <w:rsid w:val="1D454033"/>
    <w:rsid w:val="1D495351"/>
    <w:rsid w:val="1D800546"/>
    <w:rsid w:val="1DC22E11"/>
    <w:rsid w:val="1DCC60E2"/>
    <w:rsid w:val="1DED6688"/>
    <w:rsid w:val="1E0F11DA"/>
    <w:rsid w:val="1E3866E4"/>
    <w:rsid w:val="1E3B5B2B"/>
    <w:rsid w:val="1E405B08"/>
    <w:rsid w:val="1E917D12"/>
    <w:rsid w:val="1ED007F0"/>
    <w:rsid w:val="1F126404"/>
    <w:rsid w:val="1F1E78CF"/>
    <w:rsid w:val="1F4C00D9"/>
    <w:rsid w:val="1F91161F"/>
    <w:rsid w:val="1FCC5792"/>
    <w:rsid w:val="2008099C"/>
    <w:rsid w:val="20241E45"/>
    <w:rsid w:val="205E3D53"/>
    <w:rsid w:val="20983C9F"/>
    <w:rsid w:val="20D34930"/>
    <w:rsid w:val="21004E9C"/>
    <w:rsid w:val="210743CD"/>
    <w:rsid w:val="212F12B7"/>
    <w:rsid w:val="21DF0EC4"/>
    <w:rsid w:val="21EC402B"/>
    <w:rsid w:val="22211D2B"/>
    <w:rsid w:val="22F3479D"/>
    <w:rsid w:val="230C3692"/>
    <w:rsid w:val="233957E9"/>
    <w:rsid w:val="23504D9A"/>
    <w:rsid w:val="235350DD"/>
    <w:rsid w:val="23A130E8"/>
    <w:rsid w:val="24682699"/>
    <w:rsid w:val="24A922E7"/>
    <w:rsid w:val="24F51069"/>
    <w:rsid w:val="24FB3A0D"/>
    <w:rsid w:val="25982E24"/>
    <w:rsid w:val="25A35F8B"/>
    <w:rsid w:val="25C45A9B"/>
    <w:rsid w:val="26055255"/>
    <w:rsid w:val="26C94C07"/>
    <w:rsid w:val="270F7B55"/>
    <w:rsid w:val="27136455"/>
    <w:rsid w:val="27313F6F"/>
    <w:rsid w:val="27392A2B"/>
    <w:rsid w:val="27445CAF"/>
    <w:rsid w:val="27BD41B0"/>
    <w:rsid w:val="27DF3D1D"/>
    <w:rsid w:val="27EB3977"/>
    <w:rsid w:val="27FF5E1C"/>
    <w:rsid w:val="28033B1E"/>
    <w:rsid w:val="28145FB7"/>
    <w:rsid w:val="282B6CD3"/>
    <w:rsid w:val="28694090"/>
    <w:rsid w:val="28845944"/>
    <w:rsid w:val="28BB1716"/>
    <w:rsid w:val="28EE73E7"/>
    <w:rsid w:val="2962747B"/>
    <w:rsid w:val="299F1540"/>
    <w:rsid w:val="29A4511F"/>
    <w:rsid w:val="29C1739D"/>
    <w:rsid w:val="29F82C9B"/>
    <w:rsid w:val="2AA35D41"/>
    <w:rsid w:val="2AC60E73"/>
    <w:rsid w:val="2B553D51"/>
    <w:rsid w:val="2B5D536C"/>
    <w:rsid w:val="2BDB68F0"/>
    <w:rsid w:val="2C385A8A"/>
    <w:rsid w:val="2C6C216F"/>
    <w:rsid w:val="2C904653"/>
    <w:rsid w:val="2C9F6D93"/>
    <w:rsid w:val="2CA6293E"/>
    <w:rsid w:val="2CA70CBA"/>
    <w:rsid w:val="2CB30937"/>
    <w:rsid w:val="2CC50203"/>
    <w:rsid w:val="2D832F3B"/>
    <w:rsid w:val="2D8D2F06"/>
    <w:rsid w:val="2D8F7C42"/>
    <w:rsid w:val="2E2B2EDC"/>
    <w:rsid w:val="2E506FDC"/>
    <w:rsid w:val="2E646914"/>
    <w:rsid w:val="2E8865CC"/>
    <w:rsid w:val="2EB711FE"/>
    <w:rsid w:val="2EC1761D"/>
    <w:rsid w:val="2ECE4481"/>
    <w:rsid w:val="2F107762"/>
    <w:rsid w:val="2F372ABC"/>
    <w:rsid w:val="2F5D14DA"/>
    <w:rsid w:val="2FA914DE"/>
    <w:rsid w:val="300C229B"/>
    <w:rsid w:val="3036407A"/>
    <w:rsid w:val="307F7A7C"/>
    <w:rsid w:val="309E339F"/>
    <w:rsid w:val="30C83D8E"/>
    <w:rsid w:val="30F2186C"/>
    <w:rsid w:val="313B06D9"/>
    <w:rsid w:val="315F195A"/>
    <w:rsid w:val="31821FA8"/>
    <w:rsid w:val="31FF3D16"/>
    <w:rsid w:val="32002EBC"/>
    <w:rsid w:val="321F6FB8"/>
    <w:rsid w:val="322F384B"/>
    <w:rsid w:val="32485C04"/>
    <w:rsid w:val="32603FEA"/>
    <w:rsid w:val="32723893"/>
    <w:rsid w:val="32A83CA0"/>
    <w:rsid w:val="32EB3B6C"/>
    <w:rsid w:val="32FF7F57"/>
    <w:rsid w:val="33334A79"/>
    <w:rsid w:val="335334BF"/>
    <w:rsid w:val="33C97B6D"/>
    <w:rsid w:val="34300D63"/>
    <w:rsid w:val="34F943E0"/>
    <w:rsid w:val="35674600"/>
    <w:rsid w:val="35CD32E4"/>
    <w:rsid w:val="362D44F2"/>
    <w:rsid w:val="362D6B76"/>
    <w:rsid w:val="36770097"/>
    <w:rsid w:val="3684409B"/>
    <w:rsid w:val="36EF5490"/>
    <w:rsid w:val="3705164D"/>
    <w:rsid w:val="371F1D47"/>
    <w:rsid w:val="37296A11"/>
    <w:rsid w:val="37316742"/>
    <w:rsid w:val="37364C27"/>
    <w:rsid w:val="37564AF7"/>
    <w:rsid w:val="37955999"/>
    <w:rsid w:val="379C6CAB"/>
    <w:rsid w:val="38054525"/>
    <w:rsid w:val="385043B8"/>
    <w:rsid w:val="389D6BFC"/>
    <w:rsid w:val="394C4EC3"/>
    <w:rsid w:val="396839A3"/>
    <w:rsid w:val="39D6277A"/>
    <w:rsid w:val="3A6170D3"/>
    <w:rsid w:val="3A6F4087"/>
    <w:rsid w:val="3B483EE1"/>
    <w:rsid w:val="3B5D7C12"/>
    <w:rsid w:val="3B9330CB"/>
    <w:rsid w:val="3BA51165"/>
    <w:rsid w:val="3BCC7276"/>
    <w:rsid w:val="3BCE402B"/>
    <w:rsid w:val="3C4465A4"/>
    <w:rsid w:val="3C5B7244"/>
    <w:rsid w:val="3C784591"/>
    <w:rsid w:val="3C9F7897"/>
    <w:rsid w:val="3CDB69FF"/>
    <w:rsid w:val="3D2C725B"/>
    <w:rsid w:val="3D803A0D"/>
    <w:rsid w:val="3DB44244"/>
    <w:rsid w:val="3E723F45"/>
    <w:rsid w:val="3E850E06"/>
    <w:rsid w:val="3E87558E"/>
    <w:rsid w:val="3ECC2AA4"/>
    <w:rsid w:val="3EE15558"/>
    <w:rsid w:val="3EE93DB9"/>
    <w:rsid w:val="3F9E3173"/>
    <w:rsid w:val="3FA17652"/>
    <w:rsid w:val="3FC506DD"/>
    <w:rsid w:val="3FD6727B"/>
    <w:rsid w:val="3FDD65EB"/>
    <w:rsid w:val="3FEB378B"/>
    <w:rsid w:val="40283E93"/>
    <w:rsid w:val="40343666"/>
    <w:rsid w:val="403F1053"/>
    <w:rsid w:val="40674E0E"/>
    <w:rsid w:val="410F15EE"/>
    <w:rsid w:val="417F2CD0"/>
    <w:rsid w:val="41A75102"/>
    <w:rsid w:val="41AC1E55"/>
    <w:rsid w:val="41BF3F3D"/>
    <w:rsid w:val="4273599D"/>
    <w:rsid w:val="429B0D77"/>
    <w:rsid w:val="42F05AF8"/>
    <w:rsid w:val="4300593B"/>
    <w:rsid w:val="434F4771"/>
    <w:rsid w:val="436E5946"/>
    <w:rsid w:val="43974D1C"/>
    <w:rsid w:val="43BC551C"/>
    <w:rsid w:val="43DA63F6"/>
    <w:rsid w:val="448D351B"/>
    <w:rsid w:val="44A8255D"/>
    <w:rsid w:val="44FA663F"/>
    <w:rsid w:val="451A4E08"/>
    <w:rsid w:val="45224EC2"/>
    <w:rsid w:val="45471EAF"/>
    <w:rsid w:val="45950583"/>
    <w:rsid w:val="460E3773"/>
    <w:rsid w:val="46146893"/>
    <w:rsid w:val="465E3DEC"/>
    <w:rsid w:val="466F5D1F"/>
    <w:rsid w:val="46765C61"/>
    <w:rsid w:val="46BE55BB"/>
    <w:rsid w:val="46C66DCA"/>
    <w:rsid w:val="474E6B75"/>
    <w:rsid w:val="476632D8"/>
    <w:rsid w:val="47B01353"/>
    <w:rsid w:val="482D304E"/>
    <w:rsid w:val="48601B55"/>
    <w:rsid w:val="487C41EC"/>
    <w:rsid w:val="48CD208A"/>
    <w:rsid w:val="48EB621C"/>
    <w:rsid w:val="48F06C8D"/>
    <w:rsid w:val="495E139C"/>
    <w:rsid w:val="4976065D"/>
    <w:rsid w:val="49B303BC"/>
    <w:rsid w:val="49B567AB"/>
    <w:rsid w:val="49C900F1"/>
    <w:rsid w:val="49F7386B"/>
    <w:rsid w:val="4A53553E"/>
    <w:rsid w:val="4A93645E"/>
    <w:rsid w:val="4AB20FBB"/>
    <w:rsid w:val="4B09156D"/>
    <w:rsid w:val="4B2A5B9E"/>
    <w:rsid w:val="4B4A0C11"/>
    <w:rsid w:val="4B682742"/>
    <w:rsid w:val="4BC32B39"/>
    <w:rsid w:val="4BE400C1"/>
    <w:rsid w:val="4BE74853"/>
    <w:rsid w:val="4BFB6950"/>
    <w:rsid w:val="4C01483C"/>
    <w:rsid w:val="4C723A45"/>
    <w:rsid w:val="4D1B4BF6"/>
    <w:rsid w:val="4D297AA2"/>
    <w:rsid w:val="4D451FE7"/>
    <w:rsid w:val="4D73058E"/>
    <w:rsid w:val="4D7757D0"/>
    <w:rsid w:val="4DB246A9"/>
    <w:rsid w:val="4E2A77E0"/>
    <w:rsid w:val="4E9A4768"/>
    <w:rsid w:val="4EC458E5"/>
    <w:rsid w:val="4ED82C27"/>
    <w:rsid w:val="4ED95E96"/>
    <w:rsid w:val="4F161B19"/>
    <w:rsid w:val="4F1C09C2"/>
    <w:rsid w:val="4F6039AF"/>
    <w:rsid w:val="4F6A4C4B"/>
    <w:rsid w:val="4FC819B8"/>
    <w:rsid w:val="4FDA66A3"/>
    <w:rsid w:val="50835169"/>
    <w:rsid w:val="50A32247"/>
    <w:rsid w:val="518D5725"/>
    <w:rsid w:val="51BB6FB8"/>
    <w:rsid w:val="51D4507F"/>
    <w:rsid w:val="524370EE"/>
    <w:rsid w:val="52E45649"/>
    <w:rsid w:val="52EE62DD"/>
    <w:rsid w:val="53394FF5"/>
    <w:rsid w:val="534A724C"/>
    <w:rsid w:val="53787A0D"/>
    <w:rsid w:val="537D32FD"/>
    <w:rsid w:val="53C3497A"/>
    <w:rsid w:val="53D32540"/>
    <w:rsid w:val="54D473A8"/>
    <w:rsid w:val="54E621EE"/>
    <w:rsid w:val="550E4D86"/>
    <w:rsid w:val="55694E25"/>
    <w:rsid w:val="55B97C03"/>
    <w:rsid w:val="55F65ECA"/>
    <w:rsid w:val="563479CD"/>
    <w:rsid w:val="563B6FA5"/>
    <w:rsid w:val="567B6B94"/>
    <w:rsid w:val="568D326E"/>
    <w:rsid w:val="568F11B7"/>
    <w:rsid w:val="56DE3570"/>
    <w:rsid w:val="572165EE"/>
    <w:rsid w:val="578F7158"/>
    <w:rsid w:val="57BB299A"/>
    <w:rsid w:val="58BE0CF0"/>
    <w:rsid w:val="59570D64"/>
    <w:rsid w:val="597E42AD"/>
    <w:rsid w:val="598E0C21"/>
    <w:rsid w:val="59A70D41"/>
    <w:rsid w:val="59B10409"/>
    <w:rsid w:val="5A782122"/>
    <w:rsid w:val="5AC835F9"/>
    <w:rsid w:val="5AD214D4"/>
    <w:rsid w:val="5AD563E4"/>
    <w:rsid w:val="5AE326E8"/>
    <w:rsid w:val="5AF214D7"/>
    <w:rsid w:val="5B0A4E70"/>
    <w:rsid w:val="5B56026D"/>
    <w:rsid w:val="5B922351"/>
    <w:rsid w:val="5BCC45D6"/>
    <w:rsid w:val="5BCE27A6"/>
    <w:rsid w:val="5BDC0F7B"/>
    <w:rsid w:val="5C347E52"/>
    <w:rsid w:val="5C493178"/>
    <w:rsid w:val="5C7F0CFE"/>
    <w:rsid w:val="5D2E2F1D"/>
    <w:rsid w:val="5D5978B1"/>
    <w:rsid w:val="5D73466D"/>
    <w:rsid w:val="5D897264"/>
    <w:rsid w:val="5DA852D2"/>
    <w:rsid w:val="5DDC4E8B"/>
    <w:rsid w:val="5E246319"/>
    <w:rsid w:val="5E9B7945"/>
    <w:rsid w:val="5EAC56AE"/>
    <w:rsid w:val="5ECF1B47"/>
    <w:rsid w:val="5ED36A31"/>
    <w:rsid w:val="5EE12FF6"/>
    <w:rsid w:val="5F437532"/>
    <w:rsid w:val="5F912BDB"/>
    <w:rsid w:val="5FD46F39"/>
    <w:rsid w:val="603F0414"/>
    <w:rsid w:val="60401F66"/>
    <w:rsid w:val="607C7302"/>
    <w:rsid w:val="60A85C13"/>
    <w:rsid w:val="612F46A4"/>
    <w:rsid w:val="61780285"/>
    <w:rsid w:val="61ED061F"/>
    <w:rsid w:val="620E4AB0"/>
    <w:rsid w:val="624C5211"/>
    <w:rsid w:val="629342FA"/>
    <w:rsid w:val="62B639F5"/>
    <w:rsid w:val="62EB1355"/>
    <w:rsid w:val="632F0F5F"/>
    <w:rsid w:val="63B2791F"/>
    <w:rsid w:val="63B40E6B"/>
    <w:rsid w:val="63F168D8"/>
    <w:rsid w:val="63F527C5"/>
    <w:rsid w:val="64770155"/>
    <w:rsid w:val="647C7678"/>
    <w:rsid w:val="64E11EB3"/>
    <w:rsid w:val="64EE1F08"/>
    <w:rsid w:val="65071890"/>
    <w:rsid w:val="652D25B4"/>
    <w:rsid w:val="654F3736"/>
    <w:rsid w:val="65566374"/>
    <w:rsid w:val="65CE15B1"/>
    <w:rsid w:val="65E0208C"/>
    <w:rsid w:val="662D28B6"/>
    <w:rsid w:val="666C6F7B"/>
    <w:rsid w:val="66DB625C"/>
    <w:rsid w:val="66EA1828"/>
    <w:rsid w:val="678306B0"/>
    <w:rsid w:val="678D769B"/>
    <w:rsid w:val="67F55412"/>
    <w:rsid w:val="68D90020"/>
    <w:rsid w:val="69341B87"/>
    <w:rsid w:val="697D1671"/>
    <w:rsid w:val="69A5703B"/>
    <w:rsid w:val="69AD52E1"/>
    <w:rsid w:val="69D900ED"/>
    <w:rsid w:val="6A282597"/>
    <w:rsid w:val="6A503CD9"/>
    <w:rsid w:val="6A566BE2"/>
    <w:rsid w:val="6A80545F"/>
    <w:rsid w:val="6B150D27"/>
    <w:rsid w:val="6B476E8A"/>
    <w:rsid w:val="6B7E6C3C"/>
    <w:rsid w:val="6BF92A4A"/>
    <w:rsid w:val="6C0B7AF4"/>
    <w:rsid w:val="6C352DD4"/>
    <w:rsid w:val="6C7F3FB5"/>
    <w:rsid w:val="6CB23765"/>
    <w:rsid w:val="6CC8344F"/>
    <w:rsid w:val="6D3618D2"/>
    <w:rsid w:val="6D3B0212"/>
    <w:rsid w:val="6D3C6F19"/>
    <w:rsid w:val="6DF018B1"/>
    <w:rsid w:val="6E013804"/>
    <w:rsid w:val="6E2241C6"/>
    <w:rsid w:val="6E8B2FEF"/>
    <w:rsid w:val="6F4C31BA"/>
    <w:rsid w:val="6FC535DB"/>
    <w:rsid w:val="6FEE7EF1"/>
    <w:rsid w:val="70037034"/>
    <w:rsid w:val="700510C2"/>
    <w:rsid w:val="703B5596"/>
    <w:rsid w:val="708C426C"/>
    <w:rsid w:val="713E0DC1"/>
    <w:rsid w:val="71406C47"/>
    <w:rsid w:val="71A60683"/>
    <w:rsid w:val="71B05F7D"/>
    <w:rsid w:val="72645F5A"/>
    <w:rsid w:val="727711B5"/>
    <w:rsid w:val="727E5AC1"/>
    <w:rsid w:val="72810960"/>
    <w:rsid w:val="728F38B6"/>
    <w:rsid w:val="7297251B"/>
    <w:rsid w:val="72C21A73"/>
    <w:rsid w:val="73115E7C"/>
    <w:rsid w:val="73C96B2F"/>
    <w:rsid w:val="745167AA"/>
    <w:rsid w:val="745C25CC"/>
    <w:rsid w:val="74C96E61"/>
    <w:rsid w:val="75564E94"/>
    <w:rsid w:val="757C0B36"/>
    <w:rsid w:val="759D2552"/>
    <w:rsid w:val="75EB5E61"/>
    <w:rsid w:val="76366479"/>
    <w:rsid w:val="76726933"/>
    <w:rsid w:val="76894F7E"/>
    <w:rsid w:val="76C51888"/>
    <w:rsid w:val="76EA0738"/>
    <w:rsid w:val="775F7292"/>
    <w:rsid w:val="77656071"/>
    <w:rsid w:val="778A1A3D"/>
    <w:rsid w:val="77F6089B"/>
    <w:rsid w:val="78026295"/>
    <w:rsid w:val="781E4D92"/>
    <w:rsid w:val="7828345B"/>
    <w:rsid w:val="78A562A6"/>
    <w:rsid w:val="78EF2C59"/>
    <w:rsid w:val="78F30DF4"/>
    <w:rsid w:val="791353A7"/>
    <w:rsid w:val="79440EAD"/>
    <w:rsid w:val="79681277"/>
    <w:rsid w:val="7A011C46"/>
    <w:rsid w:val="7A097B9C"/>
    <w:rsid w:val="7A653177"/>
    <w:rsid w:val="7A6F6088"/>
    <w:rsid w:val="7A8A68A8"/>
    <w:rsid w:val="7ACE0F3C"/>
    <w:rsid w:val="7AE150F8"/>
    <w:rsid w:val="7B0F6894"/>
    <w:rsid w:val="7B197A1F"/>
    <w:rsid w:val="7B3412B3"/>
    <w:rsid w:val="7B584DE6"/>
    <w:rsid w:val="7B913079"/>
    <w:rsid w:val="7BA365AD"/>
    <w:rsid w:val="7BBF3C2E"/>
    <w:rsid w:val="7C1C3F97"/>
    <w:rsid w:val="7C397321"/>
    <w:rsid w:val="7C3B04A6"/>
    <w:rsid w:val="7C5E0B6B"/>
    <w:rsid w:val="7CAF663E"/>
    <w:rsid w:val="7CBC6FAC"/>
    <w:rsid w:val="7D2D3DD9"/>
    <w:rsid w:val="7D992B22"/>
    <w:rsid w:val="7DB61C4E"/>
    <w:rsid w:val="7DDE5E6C"/>
    <w:rsid w:val="7DF32EA2"/>
    <w:rsid w:val="7DF94956"/>
    <w:rsid w:val="7E050C3A"/>
    <w:rsid w:val="7EF1027D"/>
    <w:rsid w:val="7F5A4473"/>
    <w:rsid w:val="7F9345EA"/>
    <w:rsid w:val="7FA123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qFormat="1" w:unhideWhenUsed="0" w:uiPriority="99" w:semiHidden="0" w:name="List Bullet 4"/>
    <w:lsdException w:uiPriority="99" w:name="List Bullet 5" w:locked="1"/>
    <w:lsdException w:uiPriority="99" w:name="List Number 2" w:locked="1"/>
    <w:lsdException w:uiPriority="99" w:name="List Number 3" w:locked="1"/>
    <w:lsdException w:uiPriority="99" w:name="List Number 4" w:locked="1"/>
    <w:lsdException w:qFormat="1"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ocked="1"/>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qFormat="1"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8"/>
    <w:qFormat/>
    <w:uiPriority w:val="99"/>
    <w:pPr>
      <w:keepNext/>
      <w:keepLines/>
      <w:spacing w:before="340" w:after="330" w:line="578" w:lineRule="auto"/>
      <w:outlineLvl w:val="0"/>
    </w:pPr>
    <w:rPr>
      <w:rFonts w:ascii="Calibri" w:hAnsi="Calibri" w:cs="Arial"/>
      <w:b/>
      <w:bCs/>
      <w:kern w:val="44"/>
      <w:sz w:val="44"/>
      <w:szCs w:val="44"/>
    </w:rPr>
  </w:style>
  <w:style w:type="paragraph" w:styleId="4">
    <w:name w:val="heading 2"/>
    <w:basedOn w:val="1"/>
    <w:next w:val="5"/>
    <w:link w:val="59"/>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60"/>
    <w:qFormat/>
    <w:uiPriority w:val="99"/>
    <w:pPr>
      <w:keepNext/>
      <w:keepLines/>
      <w:spacing w:before="120" w:after="120"/>
      <w:outlineLvl w:val="2"/>
    </w:pPr>
    <w:rPr>
      <w:rFonts w:ascii="Calibri" w:hAnsi="Calibri"/>
      <w:b/>
      <w:bCs/>
      <w:szCs w:val="32"/>
    </w:rPr>
  </w:style>
  <w:style w:type="paragraph" w:styleId="7">
    <w:name w:val="heading 4"/>
    <w:basedOn w:val="1"/>
    <w:next w:val="1"/>
    <w:link w:val="61"/>
    <w:qFormat/>
    <w:uiPriority w:val="99"/>
    <w:pPr>
      <w:keepNext/>
      <w:widowControl/>
      <w:spacing w:before="240" w:after="60"/>
      <w:jc w:val="left"/>
      <w:outlineLvl w:val="3"/>
    </w:pPr>
    <w:rPr>
      <w:rFonts w:ascii="Calibri" w:hAnsi="Calibri" w:cs="Arial"/>
      <w:b/>
      <w:bCs/>
      <w:kern w:val="0"/>
      <w:sz w:val="28"/>
      <w:szCs w:val="28"/>
      <w:lang w:eastAsia="en-US"/>
    </w:rPr>
  </w:style>
  <w:style w:type="paragraph" w:styleId="8">
    <w:name w:val="heading 5"/>
    <w:basedOn w:val="1"/>
    <w:next w:val="1"/>
    <w:link w:val="62"/>
    <w:qFormat/>
    <w:uiPriority w:val="99"/>
    <w:pPr>
      <w:widowControl/>
      <w:spacing w:before="240" w:after="60"/>
      <w:jc w:val="left"/>
      <w:outlineLvl w:val="4"/>
    </w:pPr>
    <w:rPr>
      <w:rFonts w:ascii="Calibri" w:hAnsi="Calibri" w:cs="Arial"/>
      <w:b/>
      <w:bCs/>
      <w:i/>
      <w:iCs/>
      <w:kern w:val="0"/>
      <w:sz w:val="26"/>
      <w:szCs w:val="26"/>
      <w:lang w:eastAsia="en-US"/>
    </w:rPr>
  </w:style>
  <w:style w:type="paragraph" w:styleId="9">
    <w:name w:val="heading 6"/>
    <w:basedOn w:val="1"/>
    <w:next w:val="1"/>
    <w:link w:val="63"/>
    <w:qFormat/>
    <w:uiPriority w:val="99"/>
    <w:pPr>
      <w:widowControl/>
      <w:spacing w:before="240" w:after="60"/>
      <w:jc w:val="left"/>
      <w:outlineLvl w:val="5"/>
    </w:pPr>
    <w:rPr>
      <w:rFonts w:ascii="Calibri" w:hAnsi="Calibri" w:cs="Arial"/>
      <w:b/>
      <w:bCs/>
      <w:kern w:val="0"/>
      <w:sz w:val="22"/>
      <w:szCs w:val="22"/>
      <w:lang w:eastAsia="en-US"/>
    </w:rPr>
  </w:style>
  <w:style w:type="paragraph" w:styleId="10">
    <w:name w:val="heading 7"/>
    <w:basedOn w:val="1"/>
    <w:next w:val="1"/>
    <w:link w:val="64"/>
    <w:qFormat/>
    <w:uiPriority w:val="99"/>
    <w:pPr>
      <w:widowControl/>
      <w:spacing w:before="240" w:after="60"/>
      <w:jc w:val="left"/>
      <w:outlineLvl w:val="6"/>
    </w:pPr>
    <w:rPr>
      <w:rFonts w:ascii="Calibri" w:hAnsi="Calibri" w:cs="Arial"/>
      <w:kern w:val="0"/>
      <w:sz w:val="24"/>
      <w:szCs w:val="24"/>
      <w:lang w:eastAsia="en-US"/>
    </w:rPr>
  </w:style>
  <w:style w:type="paragraph" w:styleId="11">
    <w:name w:val="heading 8"/>
    <w:basedOn w:val="1"/>
    <w:next w:val="1"/>
    <w:link w:val="65"/>
    <w:qFormat/>
    <w:uiPriority w:val="99"/>
    <w:pPr>
      <w:widowControl/>
      <w:spacing w:before="240" w:after="60"/>
      <w:jc w:val="left"/>
      <w:outlineLvl w:val="7"/>
    </w:pPr>
    <w:rPr>
      <w:rFonts w:ascii="Calibri" w:hAnsi="Calibri" w:cs="Arial"/>
      <w:i/>
      <w:iCs/>
      <w:kern w:val="0"/>
      <w:sz w:val="24"/>
      <w:szCs w:val="24"/>
      <w:lang w:eastAsia="en-US"/>
    </w:rPr>
  </w:style>
  <w:style w:type="paragraph" w:styleId="12">
    <w:name w:val="heading 9"/>
    <w:basedOn w:val="1"/>
    <w:next w:val="1"/>
    <w:link w:val="66"/>
    <w:qFormat/>
    <w:uiPriority w:val="99"/>
    <w:pPr>
      <w:widowControl/>
      <w:spacing w:before="240" w:after="60"/>
      <w:jc w:val="left"/>
      <w:outlineLvl w:val="8"/>
    </w:pPr>
    <w:rPr>
      <w:rFonts w:ascii="Cambria" w:hAnsi="Cambria" w:cs="Arial"/>
      <w:kern w:val="0"/>
      <w:sz w:val="22"/>
      <w:szCs w:val="22"/>
      <w:lang w:eastAsia="en-US"/>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jc w:val="left"/>
    </w:pPr>
    <w:rPr>
      <w:rFonts w:ascii="宋体" w:hAnsi="Calibri"/>
      <w:kern w:val="0"/>
      <w:sz w:val="24"/>
      <w:szCs w:val="20"/>
    </w:rPr>
  </w:style>
  <w:style w:type="paragraph" w:styleId="5">
    <w:name w:val="Normal Indent"/>
    <w:basedOn w:val="1"/>
    <w:next w:val="1"/>
    <w:link w:val="84"/>
    <w:qFormat/>
    <w:uiPriority w:val="99"/>
    <w:pPr>
      <w:ind w:firstLine="420"/>
    </w:pPr>
    <w:rPr>
      <w:rFonts w:ascii="Calibri" w:hAnsi="Calibri"/>
    </w:rPr>
  </w:style>
  <w:style w:type="paragraph" w:styleId="13">
    <w:name w:val="toc 7"/>
    <w:basedOn w:val="1"/>
    <w:next w:val="1"/>
    <w:qFormat/>
    <w:uiPriority w:val="99"/>
    <w:pPr>
      <w:ind w:left="1260"/>
      <w:jc w:val="left"/>
    </w:pPr>
    <w:rPr>
      <w:rFonts w:ascii="Calibri" w:hAnsi="Calibri" w:cs="Calibri"/>
      <w:sz w:val="18"/>
      <w:szCs w:val="18"/>
    </w:rPr>
  </w:style>
  <w:style w:type="paragraph" w:styleId="14">
    <w:name w:val="List Bullet 4"/>
    <w:basedOn w:val="1"/>
    <w:qFormat/>
    <w:uiPriority w:val="99"/>
    <w:pPr>
      <w:widowControl/>
      <w:numPr>
        <w:ilvl w:val="0"/>
        <w:numId w:val="1"/>
      </w:numPr>
      <w:topLinePunct/>
      <w:adjustRightInd w:val="0"/>
      <w:snapToGrid w:val="0"/>
      <w:spacing w:before="160" w:after="160" w:line="240" w:lineRule="atLeast"/>
      <w:jc w:val="left"/>
    </w:pPr>
    <w:rPr>
      <w:rFonts w:cs="Arial"/>
      <w:szCs w:val="21"/>
    </w:rPr>
  </w:style>
  <w:style w:type="paragraph" w:styleId="15">
    <w:name w:val="caption"/>
    <w:basedOn w:val="1"/>
    <w:next w:val="1"/>
    <w:qFormat/>
    <w:uiPriority w:val="99"/>
    <w:rPr>
      <w:rFonts w:ascii="Arial" w:hAnsi="Arial" w:eastAsia="黑体"/>
      <w:sz w:val="20"/>
    </w:rPr>
  </w:style>
  <w:style w:type="paragraph" w:styleId="16">
    <w:name w:val="List Bullet"/>
    <w:basedOn w:val="17"/>
    <w:qFormat/>
    <w:uiPriority w:val="99"/>
    <w:pPr>
      <w:widowControl/>
      <w:numPr>
        <w:ilvl w:val="1"/>
        <w:numId w:val="1"/>
      </w:numPr>
      <w:spacing w:line="300" w:lineRule="auto"/>
      <w:ind w:firstLine="0" w:firstLineChars="0"/>
    </w:pPr>
    <w:rPr>
      <w:rFonts w:eastAsia="幼圆"/>
      <w:spacing w:val="-5"/>
      <w:kern w:val="0"/>
      <w:sz w:val="24"/>
      <w:szCs w:val="24"/>
      <w:lang w:val="zh-CN"/>
    </w:rPr>
  </w:style>
  <w:style w:type="paragraph" w:styleId="17">
    <w:name w:val="List"/>
    <w:basedOn w:val="1"/>
    <w:qFormat/>
    <w:uiPriority w:val="99"/>
    <w:pPr>
      <w:ind w:left="200" w:hanging="200" w:hangingChars="200"/>
    </w:pPr>
  </w:style>
  <w:style w:type="paragraph" w:styleId="18">
    <w:name w:val="Document Map"/>
    <w:basedOn w:val="1"/>
    <w:link w:val="68"/>
    <w:qFormat/>
    <w:uiPriority w:val="99"/>
    <w:pPr>
      <w:shd w:val="clear" w:color="auto" w:fill="000080"/>
    </w:pPr>
    <w:rPr>
      <w:rFonts w:ascii="Calibri" w:hAnsi="Calibri"/>
    </w:rPr>
  </w:style>
  <w:style w:type="paragraph" w:styleId="19">
    <w:name w:val="annotation text"/>
    <w:basedOn w:val="1"/>
    <w:link w:val="69"/>
    <w:qFormat/>
    <w:uiPriority w:val="99"/>
    <w:pPr>
      <w:jc w:val="left"/>
    </w:pPr>
    <w:rPr>
      <w:rFonts w:ascii="Calibri" w:hAnsi="Calibri" w:cs="Arial"/>
    </w:rPr>
  </w:style>
  <w:style w:type="paragraph" w:styleId="20">
    <w:name w:val="Body Text 3"/>
    <w:basedOn w:val="1"/>
    <w:link w:val="70"/>
    <w:qFormat/>
    <w:uiPriority w:val="99"/>
    <w:pPr>
      <w:spacing w:after="120"/>
    </w:pPr>
    <w:rPr>
      <w:sz w:val="16"/>
      <w:szCs w:val="16"/>
    </w:rPr>
  </w:style>
  <w:style w:type="paragraph" w:styleId="21">
    <w:name w:val="Body Text"/>
    <w:basedOn w:val="1"/>
    <w:next w:val="1"/>
    <w:link w:val="67"/>
    <w:qFormat/>
    <w:uiPriority w:val="99"/>
    <w:pPr>
      <w:spacing w:line="360" w:lineRule="auto"/>
    </w:pPr>
    <w:rPr>
      <w:rFonts w:ascii="Calibri" w:hAnsi="Calibri"/>
      <w:sz w:val="24"/>
    </w:rPr>
  </w:style>
  <w:style w:type="paragraph" w:styleId="22">
    <w:name w:val="Body Text Indent"/>
    <w:basedOn w:val="1"/>
    <w:link w:val="71"/>
    <w:qFormat/>
    <w:uiPriority w:val="99"/>
    <w:pPr>
      <w:snapToGrid w:val="0"/>
      <w:spacing w:line="400" w:lineRule="exact"/>
      <w:ind w:firstLine="540" w:firstLineChars="225"/>
    </w:pPr>
    <w:rPr>
      <w:rFonts w:ascii="Calibri" w:hAnsi="Calibri" w:eastAsia="仿宋_GB2312"/>
      <w:sz w:val="24"/>
      <w:szCs w:val="24"/>
    </w:rPr>
  </w:style>
  <w:style w:type="paragraph" w:styleId="23">
    <w:name w:val="toc 5"/>
    <w:basedOn w:val="1"/>
    <w:next w:val="1"/>
    <w:qFormat/>
    <w:uiPriority w:val="99"/>
    <w:pPr>
      <w:ind w:left="840"/>
      <w:jc w:val="left"/>
    </w:pPr>
    <w:rPr>
      <w:rFonts w:ascii="Calibri" w:hAnsi="Calibri" w:cs="Calibri"/>
      <w:sz w:val="18"/>
      <w:szCs w:val="18"/>
    </w:rPr>
  </w:style>
  <w:style w:type="paragraph" w:styleId="24">
    <w:name w:val="toc 3"/>
    <w:basedOn w:val="1"/>
    <w:next w:val="1"/>
    <w:qFormat/>
    <w:uiPriority w:val="39"/>
    <w:pPr>
      <w:ind w:left="420"/>
      <w:jc w:val="left"/>
    </w:pPr>
    <w:rPr>
      <w:rFonts w:ascii="Calibri" w:hAnsi="Calibri" w:cs="Calibri"/>
      <w:i/>
      <w:iCs/>
      <w:sz w:val="20"/>
    </w:rPr>
  </w:style>
  <w:style w:type="paragraph" w:styleId="25">
    <w:name w:val="Plain Text"/>
    <w:basedOn w:val="1"/>
    <w:link w:val="72"/>
    <w:qFormat/>
    <w:uiPriority w:val="0"/>
    <w:rPr>
      <w:rFonts w:ascii="宋体" w:hAnsi="Courier New" w:cs="Arial"/>
    </w:rPr>
  </w:style>
  <w:style w:type="paragraph" w:styleId="26">
    <w:name w:val="toc 8"/>
    <w:basedOn w:val="1"/>
    <w:next w:val="1"/>
    <w:qFormat/>
    <w:uiPriority w:val="99"/>
    <w:pPr>
      <w:ind w:left="1470"/>
      <w:jc w:val="left"/>
    </w:pPr>
    <w:rPr>
      <w:rFonts w:ascii="Calibri" w:hAnsi="Calibri" w:cs="Calibri"/>
      <w:sz w:val="18"/>
      <w:szCs w:val="18"/>
    </w:rPr>
  </w:style>
  <w:style w:type="paragraph" w:styleId="27">
    <w:name w:val="Date"/>
    <w:basedOn w:val="1"/>
    <w:next w:val="1"/>
    <w:link w:val="73"/>
    <w:qFormat/>
    <w:uiPriority w:val="99"/>
    <w:rPr>
      <w:rFonts w:ascii="Calibri" w:hAnsi="Calibri"/>
    </w:rPr>
  </w:style>
  <w:style w:type="paragraph" w:styleId="28">
    <w:name w:val="Body Text Indent 2"/>
    <w:basedOn w:val="1"/>
    <w:link w:val="74"/>
    <w:qFormat/>
    <w:uiPriority w:val="99"/>
    <w:pPr>
      <w:spacing w:after="120" w:line="480" w:lineRule="auto"/>
      <w:ind w:left="420" w:leftChars="200"/>
    </w:pPr>
    <w:rPr>
      <w:rFonts w:ascii="Calibri" w:hAnsi="Calibri"/>
    </w:rPr>
  </w:style>
  <w:style w:type="paragraph" w:styleId="29">
    <w:name w:val="Balloon Text"/>
    <w:basedOn w:val="1"/>
    <w:link w:val="75"/>
    <w:qFormat/>
    <w:uiPriority w:val="99"/>
    <w:rPr>
      <w:rFonts w:ascii="Calibri" w:hAnsi="Calibri"/>
      <w:sz w:val="18"/>
      <w:szCs w:val="18"/>
    </w:rPr>
  </w:style>
  <w:style w:type="paragraph" w:styleId="30">
    <w:name w:val="footer"/>
    <w:basedOn w:val="1"/>
    <w:link w:val="76"/>
    <w:qFormat/>
    <w:uiPriority w:val="99"/>
    <w:pPr>
      <w:tabs>
        <w:tab w:val="center" w:pos="4153"/>
        <w:tab w:val="right" w:pos="8306"/>
      </w:tabs>
      <w:snapToGrid w:val="0"/>
      <w:jc w:val="left"/>
    </w:pPr>
    <w:rPr>
      <w:rFonts w:ascii="Calibri" w:hAnsi="Calibri"/>
      <w:sz w:val="18"/>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rFonts w:ascii="Calibri" w:hAnsi="Calibri"/>
      <w:sz w:val="18"/>
    </w:rPr>
  </w:style>
  <w:style w:type="paragraph" w:styleId="32">
    <w:name w:val="toc 1"/>
    <w:basedOn w:val="1"/>
    <w:next w:val="1"/>
    <w:qFormat/>
    <w:uiPriority w:val="39"/>
    <w:pPr>
      <w:spacing w:before="120" w:after="120"/>
      <w:jc w:val="left"/>
    </w:pPr>
    <w:rPr>
      <w:rFonts w:ascii="Calibri" w:hAnsi="Calibri" w:cs="Calibri"/>
      <w:b/>
      <w:bCs/>
      <w:caps/>
      <w:sz w:val="20"/>
    </w:rPr>
  </w:style>
  <w:style w:type="paragraph" w:styleId="33">
    <w:name w:val="toc 4"/>
    <w:basedOn w:val="1"/>
    <w:next w:val="1"/>
    <w:qFormat/>
    <w:uiPriority w:val="39"/>
    <w:pPr>
      <w:ind w:left="630"/>
      <w:jc w:val="left"/>
    </w:pPr>
    <w:rPr>
      <w:rFonts w:ascii="Calibri" w:hAnsi="Calibri" w:cs="Calibri"/>
      <w:sz w:val="18"/>
      <w:szCs w:val="18"/>
    </w:rPr>
  </w:style>
  <w:style w:type="paragraph" w:styleId="34">
    <w:name w:val="Subtitle"/>
    <w:basedOn w:val="1"/>
    <w:next w:val="1"/>
    <w:link w:val="78"/>
    <w:qFormat/>
    <w:uiPriority w:val="99"/>
    <w:pPr>
      <w:widowControl/>
      <w:spacing w:after="60"/>
      <w:jc w:val="center"/>
      <w:outlineLvl w:val="1"/>
    </w:pPr>
    <w:rPr>
      <w:rFonts w:ascii="Cambria" w:hAnsi="Cambria" w:cs="Arial"/>
      <w:kern w:val="0"/>
      <w:sz w:val="24"/>
      <w:szCs w:val="24"/>
      <w:lang w:eastAsia="en-US"/>
    </w:rPr>
  </w:style>
  <w:style w:type="paragraph" w:styleId="35">
    <w:name w:val="List Number 5"/>
    <w:basedOn w:val="1"/>
    <w:semiHidden/>
    <w:unhideWhenUsed/>
    <w:qFormat/>
    <w:locked/>
    <w:uiPriority w:val="99"/>
    <w:pPr>
      <w:numPr>
        <w:ilvl w:val="0"/>
        <w:numId w:val="2"/>
      </w:numPr>
    </w:pPr>
  </w:style>
  <w:style w:type="paragraph" w:styleId="36">
    <w:name w:val="toc 6"/>
    <w:basedOn w:val="1"/>
    <w:next w:val="1"/>
    <w:qFormat/>
    <w:uiPriority w:val="99"/>
    <w:pPr>
      <w:ind w:left="1050"/>
      <w:jc w:val="left"/>
    </w:pPr>
    <w:rPr>
      <w:rFonts w:ascii="Calibri" w:hAnsi="Calibri" w:cs="Calibri"/>
      <w:sz w:val="18"/>
      <w:szCs w:val="18"/>
    </w:rPr>
  </w:style>
  <w:style w:type="paragraph" w:styleId="37">
    <w:name w:val="Body Text Indent 3"/>
    <w:basedOn w:val="1"/>
    <w:link w:val="79"/>
    <w:qFormat/>
    <w:uiPriority w:val="99"/>
    <w:pPr>
      <w:spacing w:after="120"/>
      <w:ind w:left="420" w:leftChars="200"/>
    </w:pPr>
    <w:rPr>
      <w:rFonts w:ascii="Calibri" w:hAnsi="Calibri"/>
      <w:sz w:val="16"/>
      <w:szCs w:val="16"/>
    </w:rPr>
  </w:style>
  <w:style w:type="paragraph" w:styleId="38">
    <w:name w:val="toc 2"/>
    <w:basedOn w:val="1"/>
    <w:next w:val="1"/>
    <w:qFormat/>
    <w:uiPriority w:val="39"/>
    <w:pPr>
      <w:ind w:left="210"/>
      <w:jc w:val="left"/>
    </w:pPr>
    <w:rPr>
      <w:rFonts w:ascii="Calibri" w:hAnsi="Calibri" w:cs="Calibri"/>
      <w:smallCaps/>
      <w:sz w:val="20"/>
    </w:rPr>
  </w:style>
  <w:style w:type="paragraph" w:styleId="39">
    <w:name w:val="toc 9"/>
    <w:basedOn w:val="1"/>
    <w:next w:val="1"/>
    <w:qFormat/>
    <w:uiPriority w:val="99"/>
    <w:pPr>
      <w:ind w:left="1680"/>
      <w:jc w:val="left"/>
    </w:pPr>
    <w:rPr>
      <w:rFonts w:ascii="Calibri" w:hAnsi="Calibri" w:cs="Calibri"/>
      <w:sz w:val="18"/>
      <w:szCs w:val="18"/>
    </w:rPr>
  </w:style>
  <w:style w:type="paragraph" w:styleId="40">
    <w:name w:val="Body Text 2"/>
    <w:basedOn w:val="1"/>
    <w:link w:val="80"/>
    <w:qFormat/>
    <w:uiPriority w:val="99"/>
    <w:pPr>
      <w:spacing w:after="120" w:line="480" w:lineRule="auto"/>
    </w:pPr>
    <w:rPr>
      <w:rFonts w:ascii="Calibri" w:hAnsi="Calibri"/>
      <w:szCs w:val="21"/>
    </w:rPr>
  </w:style>
  <w:style w:type="paragraph" w:styleId="41">
    <w:name w:val="HTML Preformatted"/>
    <w:basedOn w:val="1"/>
    <w:link w:val="8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3">
    <w:name w:val="index 1"/>
    <w:basedOn w:val="1"/>
    <w:next w:val="1"/>
    <w:semiHidden/>
    <w:qFormat/>
    <w:uiPriority w:val="99"/>
  </w:style>
  <w:style w:type="paragraph" w:styleId="44">
    <w:name w:val="Title"/>
    <w:basedOn w:val="1"/>
    <w:link w:val="82"/>
    <w:qFormat/>
    <w:uiPriority w:val="99"/>
    <w:pPr>
      <w:spacing w:before="240" w:after="60"/>
      <w:jc w:val="center"/>
      <w:outlineLvl w:val="0"/>
    </w:pPr>
    <w:rPr>
      <w:rFonts w:ascii="Arial" w:hAnsi="Arial"/>
      <w:b/>
      <w:bCs/>
      <w:sz w:val="32"/>
      <w:szCs w:val="32"/>
    </w:rPr>
  </w:style>
  <w:style w:type="paragraph" w:styleId="45">
    <w:name w:val="annotation subject"/>
    <w:basedOn w:val="19"/>
    <w:next w:val="19"/>
    <w:link w:val="83"/>
    <w:qFormat/>
    <w:uiPriority w:val="99"/>
    <w:rPr>
      <w:b/>
      <w:bCs/>
    </w:rPr>
  </w:style>
  <w:style w:type="paragraph" w:styleId="46">
    <w:name w:val="Body Text First Indent"/>
    <w:basedOn w:val="21"/>
    <w:qFormat/>
    <w:uiPriority w:val="0"/>
    <w:pPr>
      <w:spacing w:after="120"/>
      <w:ind w:firstLine="420" w:firstLineChars="100"/>
      <w:jc w:val="both"/>
    </w:pPr>
    <w:rPr>
      <w:sz w:val="21"/>
    </w:rPr>
  </w:style>
  <w:style w:type="paragraph" w:styleId="47">
    <w:name w:val="Body Text First Indent 2"/>
    <w:basedOn w:val="22"/>
    <w:qFormat/>
    <w:locked/>
    <w:uiPriority w:val="0"/>
    <w:pPr>
      <w:widowControl/>
      <w:spacing w:after="120" w:line="240" w:lineRule="auto"/>
      <w:ind w:left="420" w:firstLine="210"/>
      <w:jc w:val="left"/>
    </w:pPr>
    <w:rPr>
      <w:rFonts w:ascii="Times New Roman"/>
      <w:kern w:val="0"/>
      <w:sz w:val="20"/>
    </w:rPr>
  </w:style>
  <w:style w:type="table" w:styleId="49">
    <w:name w:val="Table Grid"/>
    <w:basedOn w:val="4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rFonts w:cs="Times New Roman"/>
      <w:b/>
      <w:bCs/>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line number"/>
    <w:basedOn w:val="50"/>
    <w:qFormat/>
    <w:uiPriority w:val="99"/>
    <w:rPr>
      <w:rFonts w:cs="Times New Roman"/>
    </w:rPr>
  </w:style>
  <w:style w:type="character" w:styleId="55">
    <w:name w:val="Hyperlink"/>
    <w:basedOn w:val="50"/>
    <w:qFormat/>
    <w:uiPriority w:val="99"/>
    <w:rPr>
      <w:rFonts w:cs="Times New Roman"/>
      <w:color w:val="0000FF"/>
      <w:u w:val="single"/>
    </w:rPr>
  </w:style>
  <w:style w:type="character" w:styleId="56">
    <w:name w:val="annotation reference"/>
    <w:basedOn w:val="50"/>
    <w:qFormat/>
    <w:uiPriority w:val="99"/>
    <w:rPr>
      <w:rFonts w:cs="Times New Roman"/>
      <w:sz w:val="21"/>
    </w:rPr>
  </w:style>
  <w:style w:type="character" w:styleId="57">
    <w:name w:val="HTML Sample"/>
    <w:basedOn w:val="50"/>
    <w:semiHidden/>
    <w:unhideWhenUsed/>
    <w:qFormat/>
    <w:locked/>
    <w:uiPriority w:val="99"/>
    <w:rPr>
      <w:rFonts w:ascii="宋体" w:hAnsi="宋体" w:eastAsia="宋体" w:cs="宋体"/>
    </w:rPr>
  </w:style>
  <w:style w:type="character" w:customStyle="1" w:styleId="58">
    <w:name w:val="标题 1 字符"/>
    <w:basedOn w:val="50"/>
    <w:link w:val="3"/>
    <w:qFormat/>
    <w:locked/>
    <w:uiPriority w:val="99"/>
    <w:rPr>
      <w:rFonts w:eastAsia="宋体"/>
      <w:b/>
      <w:kern w:val="44"/>
      <w:sz w:val="44"/>
      <w:lang w:val="en-US" w:eastAsia="zh-CN"/>
    </w:rPr>
  </w:style>
  <w:style w:type="character" w:customStyle="1" w:styleId="59">
    <w:name w:val="标题 2 字符"/>
    <w:basedOn w:val="50"/>
    <w:link w:val="4"/>
    <w:qFormat/>
    <w:locked/>
    <w:uiPriority w:val="99"/>
    <w:rPr>
      <w:rFonts w:ascii="Arial" w:hAnsi="Arial" w:eastAsia="黑体"/>
      <w:b/>
      <w:kern w:val="2"/>
      <w:sz w:val="32"/>
    </w:rPr>
  </w:style>
  <w:style w:type="character" w:customStyle="1" w:styleId="60">
    <w:name w:val="标题 3 字符"/>
    <w:basedOn w:val="50"/>
    <w:link w:val="6"/>
    <w:qFormat/>
    <w:locked/>
    <w:uiPriority w:val="99"/>
    <w:rPr>
      <w:b/>
      <w:kern w:val="2"/>
      <w:sz w:val="32"/>
    </w:rPr>
  </w:style>
  <w:style w:type="character" w:customStyle="1" w:styleId="61">
    <w:name w:val="标题 4 字符"/>
    <w:basedOn w:val="50"/>
    <w:link w:val="7"/>
    <w:qFormat/>
    <w:locked/>
    <w:uiPriority w:val="99"/>
    <w:rPr>
      <w:rFonts w:ascii="Calibri" w:hAnsi="Calibri"/>
      <w:b/>
      <w:sz w:val="28"/>
      <w:lang w:eastAsia="en-US"/>
    </w:rPr>
  </w:style>
  <w:style w:type="character" w:customStyle="1" w:styleId="62">
    <w:name w:val="标题 5 字符"/>
    <w:basedOn w:val="50"/>
    <w:link w:val="8"/>
    <w:qFormat/>
    <w:locked/>
    <w:uiPriority w:val="99"/>
    <w:rPr>
      <w:rFonts w:ascii="Calibri" w:hAnsi="Calibri"/>
      <w:b/>
      <w:i/>
      <w:sz w:val="26"/>
      <w:lang w:eastAsia="en-US"/>
    </w:rPr>
  </w:style>
  <w:style w:type="character" w:customStyle="1" w:styleId="63">
    <w:name w:val="标题 6 字符"/>
    <w:basedOn w:val="50"/>
    <w:link w:val="9"/>
    <w:qFormat/>
    <w:locked/>
    <w:uiPriority w:val="99"/>
    <w:rPr>
      <w:rFonts w:ascii="Calibri" w:hAnsi="Calibri"/>
      <w:b/>
      <w:sz w:val="22"/>
      <w:lang w:eastAsia="en-US"/>
    </w:rPr>
  </w:style>
  <w:style w:type="character" w:customStyle="1" w:styleId="64">
    <w:name w:val="标题 7 字符"/>
    <w:basedOn w:val="50"/>
    <w:link w:val="10"/>
    <w:qFormat/>
    <w:locked/>
    <w:uiPriority w:val="99"/>
    <w:rPr>
      <w:rFonts w:ascii="Calibri" w:hAnsi="Calibri"/>
      <w:sz w:val="24"/>
      <w:lang w:eastAsia="en-US"/>
    </w:rPr>
  </w:style>
  <w:style w:type="character" w:customStyle="1" w:styleId="65">
    <w:name w:val="标题 8 字符"/>
    <w:basedOn w:val="50"/>
    <w:link w:val="11"/>
    <w:qFormat/>
    <w:locked/>
    <w:uiPriority w:val="99"/>
    <w:rPr>
      <w:rFonts w:ascii="Calibri" w:hAnsi="Calibri"/>
      <w:i/>
      <w:sz w:val="24"/>
      <w:lang w:eastAsia="en-US"/>
    </w:rPr>
  </w:style>
  <w:style w:type="character" w:customStyle="1" w:styleId="66">
    <w:name w:val="标题 9 字符"/>
    <w:basedOn w:val="50"/>
    <w:link w:val="12"/>
    <w:qFormat/>
    <w:locked/>
    <w:uiPriority w:val="99"/>
    <w:rPr>
      <w:rFonts w:ascii="Cambria" w:hAnsi="Cambria"/>
      <w:sz w:val="22"/>
      <w:lang w:eastAsia="en-US"/>
    </w:rPr>
  </w:style>
  <w:style w:type="character" w:customStyle="1" w:styleId="67">
    <w:name w:val="正文文本 字符"/>
    <w:basedOn w:val="50"/>
    <w:link w:val="21"/>
    <w:qFormat/>
    <w:locked/>
    <w:uiPriority w:val="99"/>
    <w:rPr>
      <w:kern w:val="2"/>
      <w:sz w:val="24"/>
    </w:rPr>
  </w:style>
  <w:style w:type="character" w:customStyle="1" w:styleId="68">
    <w:name w:val="文档结构图 字符"/>
    <w:basedOn w:val="50"/>
    <w:link w:val="18"/>
    <w:qFormat/>
    <w:locked/>
    <w:uiPriority w:val="99"/>
    <w:rPr>
      <w:kern w:val="2"/>
      <w:sz w:val="21"/>
      <w:shd w:val="clear" w:color="auto" w:fill="000080"/>
    </w:rPr>
  </w:style>
  <w:style w:type="character" w:customStyle="1" w:styleId="69">
    <w:name w:val="批注文字 字符"/>
    <w:basedOn w:val="50"/>
    <w:link w:val="19"/>
    <w:qFormat/>
    <w:locked/>
    <w:uiPriority w:val="99"/>
    <w:rPr>
      <w:rFonts w:eastAsia="宋体"/>
      <w:kern w:val="2"/>
      <w:sz w:val="21"/>
      <w:lang w:val="en-US" w:eastAsia="zh-CN"/>
    </w:rPr>
  </w:style>
  <w:style w:type="character" w:customStyle="1" w:styleId="70">
    <w:name w:val="正文文本 3 字符"/>
    <w:basedOn w:val="50"/>
    <w:link w:val="20"/>
    <w:semiHidden/>
    <w:qFormat/>
    <w:uiPriority w:val="99"/>
    <w:rPr>
      <w:rFonts w:ascii="Times New Roman" w:hAnsi="Times New Roman" w:cs="Times New Roman"/>
      <w:sz w:val="16"/>
      <w:szCs w:val="16"/>
    </w:rPr>
  </w:style>
  <w:style w:type="character" w:customStyle="1" w:styleId="71">
    <w:name w:val="正文文本缩进 字符"/>
    <w:basedOn w:val="50"/>
    <w:link w:val="22"/>
    <w:qFormat/>
    <w:locked/>
    <w:uiPriority w:val="99"/>
    <w:rPr>
      <w:rFonts w:eastAsia="仿宋_GB2312"/>
      <w:kern w:val="2"/>
      <w:sz w:val="24"/>
    </w:rPr>
  </w:style>
  <w:style w:type="character" w:customStyle="1" w:styleId="72">
    <w:name w:val="纯文本 字符"/>
    <w:basedOn w:val="50"/>
    <w:link w:val="25"/>
    <w:qFormat/>
    <w:locked/>
    <w:uiPriority w:val="0"/>
    <w:rPr>
      <w:rFonts w:ascii="宋体" w:hAnsi="Courier New" w:eastAsia="宋体"/>
      <w:kern w:val="2"/>
      <w:sz w:val="21"/>
      <w:lang w:val="en-US" w:eastAsia="zh-CN"/>
    </w:rPr>
  </w:style>
  <w:style w:type="character" w:customStyle="1" w:styleId="73">
    <w:name w:val="日期 字符"/>
    <w:basedOn w:val="50"/>
    <w:link w:val="27"/>
    <w:qFormat/>
    <w:locked/>
    <w:uiPriority w:val="99"/>
    <w:rPr>
      <w:kern w:val="2"/>
      <w:sz w:val="21"/>
    </w:rPr>
  </w:style>
  <w:style w:type="character" w:customStyle="1" w:styleId="74">
    <w:name w:val="正文文本缩进 2 字符"/>
    <w:basedOn w:val="50"/>
    <w:link w:val="28"/>
    <w:qFormat/>
    <w:locked/>
    <w:uiPriority w:val="99"/>
    <w:rPr>
      <w:kern w:val="2"/>
      <w:sz w:val="21"/>
    </w:rPr>
  </w:style>
  <w:style w:type="character" w:customStyle="1" w:styleId="75">
    <w:name w:val="批注框文本 字符"/>
    <w:basedOn w:val="50"/>
    <w:link w:val="29"/>
    <w:qFormat/>
    <w:locked/>
    <w:uiPriority w:val="99"/>
    <w:rPr>
      <w:kern w:val="2"/>
      <w:sz w:val="18"/>
    </w:rPr>
  </w:style>
  <w:style w:type="character" w:customStyle="1" w:styleId="76">
    <w:name w:val="页脚 字符1"/>
    <w:basedOn w:val="50"/>
    <w:link w:val="30"/>
    <w:qFormat/>
    <w:locked/>
    <w:uiPriority w:val="99"/>
    <w:rPr>
      <w:kern w:val="2"/>
      <w:sz w:val="18"/>
    </w:rPr>
  </w:style>
  <w:style w:type="character" w:customStyle="1" w:styleId="77">
    <w:name w:val="页眉 字符1"/>
    <w:basedOn w:val="50"/>
    <w:link w:val="31"/>
    <w:qFormat/>
    <w:locked/>
    <w:uiPriority w:val="99"/>
    <w:rPr>
      <w:kern w:val="2"/>
      <w:sz w:val="18"/>
    </w:rPr>
  </w:style>
  <w:style w:type="character" w:customStyle="1" w:styleId="78">
    <w:name w:val="副标题 字符"/>
    <w:basedOn w:val="50"/>
    <w:link w:val="34"/>
    <w:qFormat/>
    <w:locked/>
    <w:uiPriority w:val="99"/>
    <w:rPr>
      <w:rFonts w:ascii="Cambria" w:hAnsi="Cambria"/>
      <w:sz w:val="24"/>
      <w:lang w:eastAsia="en-US"/>
    </w:rPr>
  </w:style>
  <w:style w:type="character" w:customStyle="1" w:styleId="79">
    <w:name w:val="正文文本缩进 3 字符"/>
    <w:basedOn w:val="50"/>
    <w:link w:val="37"/>
    <w:qFormat/>
    <w:locked/>
    <w:uiPriority w:val="99"/>
    <w:rPr>
      <w:kern w:val="2"/>
      <w:sz w:val="16"/>
    </w:rPr>
  </w:style>
  <w:style w:type="character" w:customStyle="1" w:styleId="80">
    <w:name w:val="正文文本 2 字符"/>
    <w:basedOn w:val="50"/>
    <w:link w:val="40"/>
    <w:qFormat/>
    <w:locked/>
    <w:uiPriority w:val="99"/>
    <w:rPr>
      <w:kern w:val="2"/>
      <w:sz w:val="21"/>
    </w:rPr>
  </w:style>
  <w:style w:type="character" w:customStyle="1" w:styleId="81">
    <w:name w:val="HTML 预设格式 字符"/>
    <w:basedOn w:val="50"/>
    <w:link w:val="41"/>
    <w:semiHidden/>
    <w:qFormat/>
    <w:uiPriority w:val="99"/>
    <w:rPr>
      <w:rFonts w:ascii="Courier New" w:hAnsi="Courier New" w:cs="Courier New"/>
      <w:sz w:val="20"/>
      <w:szCs w:val="20"/>
    </w:rPr>
  </w:style>
  <w:style w:type="character" w:customStyle="1" w:styleId="82">
    <w:name w:val="标题 字符"/>
    <w:basedOn w:val="50"/>
    <w:link w:val="44"/>
    <w:qFormat/>
    <w:locked/>
    <w:uiPriority w:val="99"/>
    <w:rPr>
      <w:rFonts w:ascii="Arial" w:hAnsi="Arial"/>
      <w:b/>
      <w:kern w:val="2"/>
      <w:sz w:val="32"/>
    </w:rPr>
  </w:style>
  <w:style w:type="character" w:customStyle="1" w:styleId="83">
    <w:name w:val="批注主题 字符"/>
    <w:basedOn w:val="69"/>
    <w:link w:val="45"/>
    <w:qFormat/>
    <w:locked/>
    <w:uiPriority w:val="99"/>
    <w:rPr>
      <w:rFonts w:eastAsia="宋体"/>
      <w:b/>
      <w:kern w:val="2"/>
      <w:sz w:val="21"/>
      <w:lang w:val="en-US" w:eastAsia="zh-CN"/>
    </w:rPr>
  </w:style>
  <w:style w:type="character" w:customStyle="1" w:styleId="84">
    <w:name w:val="正文缩进 字符"/>
    <w:link w:val="5"/>
    <w:qFormat/>
    <w:locked/>
    <w:uiPriority w:val="99"/>
    <w:rPr>
      <w:kern w:val="2"/>
      <w:sz w:val="21"/>
    </w:rPr>
  </w:style>
  <w:style w:type="paragraph" w:customStyle="1" w:styleId="85">
    <w:name w:val="标题1"/>
    <w:basedOn w:val="44"/>
    <w:qFormat/>
    <w:uiPriority w:val="99"/>
    <w:pPr>
      <w:spacing w:after="240"/>
    </w:pPr>
    <w:rPr>
      <w:spacing w:val="2"/>
      <w:sz w:val="44"/>
      <w:szCs w:val="44"/>
    </w:rPr>
  </w:style>
  <w:style w:type="paragraph" w:customStyle="1" w:styleId="86">
    <w:name w:val="font8"/>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87">
    <w:name w:val="Char Char Char Char Char Char1 Char Char Char Char Char Char1 Char Char Char Char Char Char Char"/>
    <w:basedOn w:val="1"/>
    <w:qFormat/>
    <w:uiPriority w:val="99"/>
    <w:rPr>
      <w:rFonts w:ascii="Tahoma" w:hAnsi="Tahoma"/>
      <w:sz w:val="24"/>
    </w:rPr>
  </w:style>
  <w:style w:type="paragraph" w:customStyle="1" w:styleId="88">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89">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90">
    <w:name w:val="xl68"/>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91">
    <w:name w:val="font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2">
    <w:name w:val="xl3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4"/>
      <w:szCs w:val="24"/>
    </w:rPr>
  </w:style>
  <w:style w:type="paragraph" w:customStyle="1" w:styleId="93">
    <w:name w:val="font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4">
    <w:name w:val="Char"/>
    <w:basedOn w:val="1"/>
    <w:qFormat/>
    <w:uiPriority w:val="99"/>
    <w:rPr>
      <w:szCs w:val="24"/>
    </w:rPr>
  </w:style>
  <w:style w:type="paragraph" w:customStyle="1" w:styleId="95">
    <w:name w:val="xl32"/>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96">
    <w:name w:val="font10"/>
    <w:basedOn w:val="1"/>
    <w:qFormat/>
    <w:uiPriority w:val="99"/>
    <w:pPr>
      <w:widowControl/>
      <w:spacing w:before="100" w:beforeAutospacing="1" w:after="100" w:afterAutospacing="1"/>
      <w:jc w:val="left"/>
    </w:pPr>
    <w:rPr>
      <w:rFonts w:ascii="Arial" w:hAnsi="Arial" w:cs="Arial"/>
      <w:color w:val="000000"/>
      <w:kern w:val="0"/>
      <w:sz w:val="20"/>
    </w:rPr>
  </w:style>
  <w:style w:type="paragraph" w:customStyle="1" w:styleId="97">
    <w:name w:val="Char3 Char Char Char"/>
    <w:basedOn w:val="1"/>
    <w:qFormat/>
    <w:uiPriority w:val="99"/>
    <w:rPr>
      <w:rFonts w:ascii="Tahoma" w:hAnsi="Tahoma"/>
      <w:sz w:val="24"/>
    </w:rPr>
  </w:style>
  <w:style w:type="paragraph" w:customStyle="1" w:styleId="98">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99">
    <w:name w:val="xl28"/>
    <w:basedOn w:val="1"/>
    <w:qFormat/>
    <w:uiPriority w:val="99"/>
    <w:pPr>
      <w:widowControl/>
      <w:spacing w:before="100" w:beforeAutospacing="1" w:after="100" w:afterAutospacing="1"/>
      <w:textAlignment w:val="top"/>
    </w:pPr>
    <w:rPr>
      <w:rFonts w:ascii="宋体" w:hAnsi="宋体"/>
      <w:kern w:val="0"/>
      <w:sz w:val="22"/>
      <w:szCs w:val="22"/>
    </w:rPr>
  </w:style>
  <w:style w:type="paragraph" w:customStyle="1" w:styleId="100">
    <w:name w:val="正文加重首行缩进2字"/>
    <w:basedOn w:val="101"/>
    <w:link w:val="103"/>
    <w:qFormat/>
    <w:uiPriority w:val="99"/>
    <w:rPr>
      <w:b/>
      <w:bCs/>
    </w:rPr>
  </w:style>
  <w:style w:type="paragraph" w:customStyle="1" w:styleId="101">
    <w:name w:val="正文首行缩进2字"/>
    <w:basedOn w:val="1"/>
    <w:link w:val="102"/>
    <w:qFormat/>
    <w:uiPriority w:val="99"/>
    <w:pPr>
      <w:ind w:firstLine="560" w:firstLineChars="200"/>
    </w:pPr>
    <w:rPr>
      <w:rFonts w:ascii="Calibri" w:hAnsi="Calibri" w:eastAsia="楷体_GB2312" w:cs="Arial"/>
      <w:kern w:val="0"/>
      <w:sz w:val="28"/>
      <w:szCs w:val="24"/>
    </w:rPr>
  </w:style>
  <w:style w:type="character" w:customStyle="1" w:styleId="102">
    <w:name w:val="正文首行缩进2字 Char"/>
    <w:link w:val="101"/>
    <w:qFormat/>
    <w:locked/>
    <w:uiPriority w:val="99"/>
    <w:rPr>
      <w:rFonts w:eastAsia="楷体_GB2312"/>
      <w:sz w:val="24"/>
      <w:lang w:val="en-US" w:eastAsia="zh-CN"/>
    </w:rPr>
  </w:style>
  <w:style w:type="character" w:customStyle="1" w:styleId="103">
    <w:name w:val="正文加重首行缩进2字 Char"/>
    <w:link w:val="100"/>
    <w:qFormat/>
    <w:locked/>
    <w:uiPriority w:val="99"/>
    <w:rPr>
      <w:rFonts w:eastAsia="楷体_GB2312"/>
      <w:b/>
      <w:sz w:val="24"/>
      <w:lang w:val="en-US" w:eastAsia="zh-CN"/>
    </w:rPr>
  </w:style>
  <w:style w:type="paragraph" w:customStyle="1" w:styleId="104">
    <w:name w:val="xl31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05">
    <w:name w:val="xl36"/>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06">
    <w:name w:val="Char Char Char1 Char Char Char Char Char Char Char Char Char Char"/>
    <w:basedOn w:val="1"/>
    <w:qFormat/>
    <w:uiPriority w:val="99"/>
    <w:rPr>
      <w:rFonts w:ascii="Tahoma" w:hAnsi="Tahoma"/>
      <w:sz w:val="24"/>
    </w:rPr>
  </w:style>
  <w:style w:type="paragraph" w:customStyle="1" w:styleId="107">
    <w:name w:val="xl31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8">
    <w:name w:val="xl81"/>
    <w:basedOn w:val="1"/>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09">
    <w:name w:val="Char Char Char Char Char Char1 Char Char Char Char Char Char1 Char Char Char Char"/>
    <w:basedOn w:val="1"/>
    <w:qFormat/>
    <w:uiPriority w:val="99"/>
    <w:rPr>
      <w:rFonts w:ascii="Tahoma" w:hAnsi="Tahoma"/>
      <w:sz w:val="24"/>
    </w:rPr>
  </w:style>
  <w:style w:type="paragraph" w:customStyle="1" w:styleId="110">
    <w:name w:val="Char Char Char Char Char Char Char Char Char Char Char Char Char"/>
    <w:basedOn w:val="1"/>
    <w:qFormat/>
    <w:uiPriority w:val="99"/>
    <w:pPr>
      <w:tabs>
        <w:tab w:val="left" w:pos="360"/>
      </w:tabs>
      <w:ind w:firstLine="420" w:firstLineChars="150"/>
    </w:pPr>
    <w:rPr>
      <w:rFonts w:ascii="Arial" w:hAnsi="Arial" w:cs="Arial"/>
      <w:sz w:val="20"/>
    </w:rPr>
  </w:style>
  <w:style w:type="paragraph" w:customStyle="1" w:styleId="111">
    <w:name w:val="Char Char Char"/>
    <w:basedOn w:val="1"/>
    <w:qFormat/>
    <w:uiPriority w:val="99"/>
    <w:rPr>
      <w:rFonts w:ascii="Tahoma" w:hAnsi="Tahoma"/>
      <w:sz w:val="24"/>
    </w:rPr>
  </w:style>
  <w:style w:type="paragraph" w:styleId="112">
    <w:name w:val="List Paragraph"/>
    <w:basedOn w:val="1"/>
    <w:link w:val="113"/>
    <w:qFormat/>
    <w:uiPriority w:val="99"/>
    <w:pPr>
      <w:ind w:firstLine="420" w:firstLineChars="200"/>
    </w:pPr>
    <w:rPr>
      <w:rFonts w:ascii="Calibri" w:hAnsi="Calibri"/>
    </w:rPr>
  </w:style>
  <w:style w:type="character" w:customStyle="1" w:styleId="113">
    <w:name w:val="列表段落 字符"/>
    <w:link w:val="112"/>
    <w:qFormat/>
    <w:locked/>
    <w:uiPriority w:val="99"/>
    <w:rPr>
      <w:kern w:val="2"/>
      <w:sz w:val="21"/>
    </w:rPr>
  </w:style>
  <w:style w:type="paragraph" w:customStyle="1" w:styleId="114">
    <w:name w:val="xl315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115">
    <w:name w:val="xl29"/>
    <w:basedOn w:val="1"/>
    <w:qFormat/>
    <w:uiPriority w:val="99"/>
    <w:pPr>
      <w:widowControl/>
      <w:spacing w:before="100" w:beforeAutospacing="1" w:after="100" w:afterAutospacing="1"/>
      <w:textAlignment w:val="top"/>
    </w:pPr>
    <w:rPr>
      <w:rFonts w:ascii="宋体" w:hAnsi="宋体"/>
      <w:b/>
      <w:bCs/>
      <w:kern w:val="0"/>
      <w:sz w:val="22"/>
      <w:szCs w:val="22"/>
    </w:rPr>
  </w:style>
  <w:style w:type="paragraph" w:customStyle="1" w:styleId="116">
    <w:name w:val="节2"/>
    <w:basedOn w:val="1"/>
    <w:qFormat/>
    <w:uiPriority w:val="99"/>
    <w:rPr>
      <w:rFonts w:eastAsia="黑体"/>
      <w:bCs/>
      <w:sz w:val="28"/>
      <w:szCs w:val="24"/>
    </w:rPr>
  </w:style>
  <w:style w:type="paragraph" w:customStyle="1" w:styleId="117">
    <w:name w:val="xl7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kern w:val="0"/>
      <w:sz w:val="20"/>
    </w:rPr>
  </w:style>
  <w:style w:type="paragraph" w:customStyle="1" w:styleId="118">
    <w:name w:val="font7"/>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1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20">
    <w:name w:val="xl3140"/>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121">
    <w:name w:val="正文样式"/>
    <w:basedOn w:val="122"/>
    <w:qFormat/>
    <w:uiPriority w:val="99"/>
    <w:pPr>
      <w:ind w:firstLine="420"/>
    </w:pPr>
  </w:style>
  <w:style w:type="paragraph" w:customStyle="1" w:styleId="122">
    <w:name w:val="文"/>
    <w:basedOn w:val="1"/>
    <w:qFormat/>
    <w:uiPriority w:val="99"/>
    <w:pPr>
      <w:adjustRightInd w:val="0"/>
      <w:ind w:firstLine="200" w:firstLineChars="200"/>
      <w:jc w:val="left"/>
    </w:pPr>
    <w:rPr>
      <w:szCs w:val="21"/>
    </w:rPr>
  </w:style>
  <w:style w:type="paragraph" w:customStyle="1" w:styleId="123">
    <w:name w:val="xl3153"/>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24">
    <w:name w:val="xl316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25">
    <w:name w:val="列出段落1"/>
    <w:basedOn w:val="1"/>
    <w:qFormat/>
    <w:uiPriority w:val="99"/>
    <w:pPr>
      <w:spacing w:line="360" w:lineRule="auto"/>
      <w:ind w:firstLine="420" w:firstLineChars="200"/>
    </w:pPr>
    <w:rPr>
      <w:rFonts w:ascii="Calibri" w:hAnsi="Calibri"/>
    </w:rPr>
  </w:style>
  <w:style w:type="paragraph" w:customStyle="1" w:styleId="126">
    <w:name w:val="xl30"/>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27">
    <w:name w:val="xl35"/>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28">
    <w:name w:val="xl31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29">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130">
    <w:name w:val="Char Char Char Char"/>
    <w:basedOn w:val="1"/>
    <w:qFormat/>
    <w:uiPriority w:val="0"/>
    <w:pPr>
      <w:widowControl/>
      <w:spacing w:after="160" w:line="240" w:lineRule="exact"/>
      <w:jc w:val="left"/>
    </w:pPr>
    <w:rPr>
      <w:rFonts w:ascii="Verdana" w:hAnsi="Verdana"/>
      <w:kern w:val="0"/>
      <w:lang w:eastAsia="en-US"/>
    </w:rPr>
  </w:style>
  <w:style w:type="paragraph" w:customStyle="1" w:styleId="13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32">
    <w:name w:val="xl31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33">
    <w:name w:val="font12"/>
    <w:basedOn w:val="1"/>
    <w:qFormat/>
    <w:uiPriority w:val="99"/>
    <w:pPr>
      <w:widowControl/>
      <w:spacing w:before="100" w:beforeAutospacing="1" w:after="100" w:afterAutospacing="1"/>
      <w:jc w:val="left"/>
    </w:pPr>
    <w:rPr>
      <w:rFonts w:ascii="Arial" w:hAnsi="Arial" w:cs="Arial"/>
      <w:kern w:val="0"/>
      <w:sz w:val="20"/>
    </w:rPr>
  </w:style>
  <w:style w:type="paragraph" w:customStyle="1" w:styleId="134">
    <w:name w:val="xl3160"/>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135">
    <w:name w:val="xl33"/>
    <w:basedOn w:val="1"/>
    <w:qFormat/>
    <w:uiPriority w:val="99"/>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136">
    <w:name w:val="xl3147"/>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137">
    <w:name w:val="Char Char1 Char Char 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38">
    <w:name w:val="xl3165"/>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39">
    <w:name w:val="Balloon Text1"/>
    <w:basedOn w:val="1"/>
    <w:qFormat/>
    <w:uiPriority w:val="99"/>
    <w:rPr>
      <w:sz w:val="18"/>
      <w:szCs w:val="18"/>
    </w:rPr>
  </w:style>
  <w:style w:type="paragraph" w:customStyle="1" w:styleId="140">
    <w:name w:val="xl3146"/>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41">
    <w:name w:val="引用1"/>
    <w:basedOn w:val="1"/>
    <w:next w:val="1"/>
    <w:link w:val="142"/>
    <w:qFormat/>
    <w:uiPriority w:val="99"/>
    <w:pPr>
      <w:widowControl/>
      <w:jc w:val="left"/>
    </w:pPr>
    <w:rPr>
      <w:rFonts w:ascii="Calibri" w:hAnsi="Calibri" w:cs="Arial"/>
      <w:i/>
      <w:kern w:val="0"/>
      <w:sz w:val="24"/>
      <w:szCs w:val="24"/>
      <w:lang w:eastAsia="en-US"/>
    </w:rPr>
  </w:style>
  <w:style w:type="character" w:customStyle="1" w:styleId="142">
    <w:name w:val="引用 Char"/>
    <w:link w:val="141"/>
    <w:qFormat/>
    <w:locked/>
    <w:uiPriority w:val="99"/>
    <w:rPr>
      <w:rFonts w:ascii="Calibri" w:hAnsi="Calibri"/>
      <w:i/>
      <w:sz w:val="24"/>
      <w:lang w:eastAsia="en-US"/>
    </w:rPr>
  </w:style>
  <w:style w:type="paragraph" w:customStyle="1" w:styleId="143">
    <w:name w:val="xl8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44">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45">
    <w:name w:val="无间隔1"/>
    <w:basedOn w:val="1"/>
    <w:link w:val="146"/>
    <w:qFormat/>
    <w:uiPriority w:val="99"/>
    <w:pPr>
      <w:widowControl/>
      <w:jc w:val="left"/>
    </w:pPr>
    <w:rPr>
      <w:rFonts w:ascii="Calibri" w:hAnsi="Calibri" w:cs="Arial"/>
      <w:kern w:val="0"/>
      <w:sz w:val="24"/>
      <w:szCs w:val="32"/>
      <w:lang w:eastAsia="en-US"/>
    </w:rPr>
  </w:style>
  <w:style w:type="character" w:customStyle="1" w:styleId="146">
    <w:name w:val="无间隔 Char"/>
    <w:link w:val="145"/>
    <w:qFormat/>
    <w:locked/>
    <w:uiPriority w:val="99"/>
    <w:rPr>
      <w:rFonts w:ascii="Calibri" w:hAnsi="Calibri"/>
      <w:sz w:val="32"/>
      <w:lang w:eastAsia="en-US"/>
    </w:rPr>
  </w:style>
  <w:style w:type="paragraph" w:customStyle="1" w:styleId="147">
    <w:name w:val="Char Char Char Char Char Char Char Char Char Char Char Char Char1"/>
    <w:basedOn w:val="1"/>
    <w:qFormat/>
    <w:uiPriority w:val="99"/>
    <w:pPr>
      <w:tabs>
        <w:tab w:val="left" w:pos="360"/>
      </w:tabs>
      <w:ind w:firstLine="420" w:firstLineChars="150"/>
    </w:pPr>
    <w:rPr>
      <w:rFonts w:ascii="Arial" w:hAnsi="Arial" w:cs="Arial"/>
      <w:sz w:val="20"/>
    </w:rPr>
  </w:style>
  <w:style w:type="paragraph" w:customStyle="1" w:styleId="148">
    <w:name w:val="1 Char Char Char Char"/>
    <w:basedOn w:val="1"/>
    <w:qFormat/>
    <w:uiPriority w:val="99"/>
    <w:rPr>
      <w:rFonts w:ascii="Tahoma" w:hAnsi="Tahoma"/>
      <w:sz w:val="24"/>
    </w:rPr>
  </w:style>
  <w:style w:type="paragraph" w:customStyle="1" w:styleId="149">
    <w:name w:val="font11"/>
    <w:basedOn w:val="1"/>
    <w:qFormat/>
    <w:uiPriority w:val="99"/>
    <w:pPr>
      <w:widowControl/>
      <w:spacing w:before="100" w:beforeAutospacing="1" w:after="100" w:afterAutospacing="1"/>
      <w:jc w:val="left"/>
    </w:pPr>
    <w:rPr>
      <w:rFonts w:ascii="华文细黑" w:hAnsi="华文细黑" w:eastAsia="华文细黑" w:cs="宋体"/>
      <w:color w:val="000000"/>
      <w:kern w:val="0"/>
      <w:sz w:val="20"/>
    </w:rPr>
  </w:style>
  <w:style w:type="paragraph" w:customStyle="1" w:styleId="150">
    <w:name w:val="正文符号1"/>
    <w:basedOn w:val="101"/>
    <w:link w:val="151"/>
    <w:qFormat/>
    <w:uiPriority w:val="99"/>
    <w:pPr>
      <w:numPr>
        <w:ilvl w:val="0"/>
        <w:numId w:val="3"/>
      </w:numPr>
      <w:tabs>
        <w:tab w:val="left" w:pos="960"/>
        <w:tab w:val="left" w:pos="1080"/>
        <w:tab w:val="clear" w:pos="1500"/>
      </w:tabs>
      <w:ind w:left="960" w:firstLine="0" w:firstLineChars="0"/>
    </w:pPr>
  </w:style>
  <w:style w:type="character" w:customStyle="1" w:styleId="151">
    <w:name w:val="正文符号1 Char"/>
    <w:link w:val="150"/>
    <w:qFormat/>
    <w:locked/>
    <w:uiPriority w:val="99"/>
    <w:rPr>
      <w:rFonts w:eastAsia="楷体_GB2312"/>
      <w:kern w:val="0"/>
      <w:sz w:val="28"/>
      <w:szCs w:val="24"/>
    </w:rPr>
  </w:style>
  <w:style w:type="paragraph" w:customStyle="1" w:styleId="152">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3">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20"/>
    </w:rPr>
  </w:style>
  <w:style w:type="paragraph" w:customStyle="1" w:styleId="154">
    <w:name w:val="正文 首行缩进:  2 字符"/>
    <w:basedOn w:val="1"/>
    <w:link w:val="155"/>
    <w:qFormat/>
    <w:uiPriority w:val="99"/>
    <w:pPr>
      <w:ind w:firstLine="560" w:firstLineChars="200"/>
    </w:pPr>
    <w:rPr>
      <w:rFonts w:ascii="Arial" w:hAnsi="Arial" w:eastAsia="楷体_GB2312" w:cs="Arial"/>
      <w:sz w:val="28"/>
    </w:rPr>
  </w:style>
  <w:style w:type="character" w:customStyle="1" w:styleId="155">
    <w:name w:val="正文 首行缩进:  2 字符 Char1"/>
    <w:link w:val="154"/>
    <w:qFormat/>
    <w:locked/>
    <w:uiPriority w:val="99"/>
    <w:rPr>
      <w:rFonts w:ascii="Arial" w:hAnsi="Arial" w:eastAsia="楷体_GB2312"/>
      <w:kern w:val="2"/>
      <w:sz w:val="28"/>
      <w:lang w:val="en-US" w:eastAsia="zh-CN"/>
    </w:rPr>
  </w:style>
  <w:style w:type="paragraph" w:customStyle="1" w:styleId="156">
    <w:name w:val="xl31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57">
    <w:name w:val="style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8">
    <w:name w:val="xl31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15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rPr>
  </w:style>
  <w:style w:type="paragraph" w:customStyle="1" w:styleId="160">
    <w:name w:val="font6"/>
    <w:basedOn w:val="1"/>
    <w:qFormat/>
    <w:uiPriority w:val="99"/>
    <w:pPr>
      <w:widowControl/>
      <w:spacing w:before="100" w:beforeAutospacing="1" w:after="100" w:afterAutospacing="1"/>
      <w:jc w:val="left"/>
    </w:pPr>
    <w:rPr>
      <w:rFonts w:ascii="宋体" w:hAnsi="宋体"/>
      <w:kern w:val="0"/>
      <w:sz w:val="22"/>
      <w:szCs w:val="22"/>
    </w:rPr>
  </w:style>
  <w:style w:type="paragraph" w:customStyle="1" w:styleId="161">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62">
    <w:name w:val="xl3155"/>
    <w:basedOn w:val="1"/>
    <w:qFormat/>
    <w:uiPriority w:val="99"/>
    <w:pPr>
      <w:widowControl/>
      <w:pBdr>
        <w:top w:val="single" w:color="auto" w:sz="4" w:space="0"/>
        <w:left w:val="single" w:color="auto" w:sz="4" w:space="0"/>
        <w:right w:val="single" w:color="auto" w:sz="4" w:space="0"/>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163">
    <w:name w:val="contentlabel"/>
    <w:basedOn w:val="1"/>
    <w:qFormat/>
    <w:uiPriority w:val="99"/>
    <w:pPr>
      <w:widowControl/>
      <w:spacing w:before="30" w:after="100" w:afterAutospacing="1"/>
      <w:ind w:left="90"/>
      <w:jc w:val="left"/>
    </w:pPr>
    <w:rPr>
      <w:rFonts w:ascii="Arial Unicode MS" w:hAnsi="Arial Unicode MS" w:cs="Arial Unicode MS"/>
      <w:color w:val="336666"/>
      <w:kern w:val="0"/>
      <w:sz w:val="18"/>
      <w:szCs w:val="18"/>
    </w:rPr>
  </w:style>
  <w:style w:type="paragraph" w:customStyle="1" w:styleId="164">
    <w:name w:val="xl25"/>
    <w:basedOn w:val="1"/>
    <w:qFormat/>
    <w:uiPriority w:val="99"/>
    <w:pPr>
      <w:widowControl/>
      <w:spacing w:before="100" w:beforeAutospacing="1" w:after="100" w:afterAutospacing="1"/>
      <w:jc w:val="left"/>
      <w:textAlignment w:val="center"/>
    </w:pPr>
    <w:rPr>
      <w:rFonts w:ascii="宋体" w:hAnsi="宋体"/>
      <w:b/>
      <w:bCs/>
      <w:kern w:val="0"/>
      <w:sz w:val="22"/>
      <w:szCs w:val="22"/>
    </w:rPr>
  </w:style>
  <w:style w:type="paragraph" w:customStyle="1" w:styleId="165">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6">
    <w:name w:val="xl3151"/>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167">
    <w:name w:val="xl3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68">
    <w:name w:val="Char1"/>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69">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0">
    <w:name w:val="font9"/>
    <w:basedOn w:val="1"/>
    <w:qFormat/>
    <w:uiPriority w:val="99"/>
    <w:pPr>
      <w:widowControl/>
      <w:spacing w:before="100" w:beforeAutospacing="1" w:after="100" w:afterAutospacing="1"/>
      <w:jc w:val="left"/>
    </w:pPr>
    <w:rPr>
      <w:kern w:val="0"/>
      <w:sz w:val="20"/>
    </w:rPr>
  </w:style>
  <w:style w:type="paragraph" w:customStyle="1" w:styleId="171">
    <w:name w:val="xl83"/>
    <w:basedOn w:val="1"/>
    <w:qFormat/>
    <w:uiPriority w:val="99"/>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172">
    <w:name w:val="xl31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73">
    <w:name w:val="_Style 132"/>
    <w:semiHidden/>
    <w:qFormat/>
    <w:uiPriority w:val="99"/>
    <w:rPr>
      <w:rFonts w:ascii="Times New Roman" w:hAnsi="Times New Roman" w:eastAsia="宋体" w:cs="Times New Roman"/>
      <w:kern w:val="2"/>
      <w:sz w:val="21"/>
      <w:lang w:val="en-US" w:eastAsia="zh-CN" w:bidi="ar-SA"/>
    </w:rPr>
  </w:style>
  <w:style w:type="paragraph" w:customStyle="1" w:styleId="174">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5">
    <w:name w:val="xl315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17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7">
    <w:name w:val="xl3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8">
    <w:name w:val="he"/>
    <w:basedOn w:val="1"/>
    <w:next w:val="5"/>
    <w:qFormat/>
    <w:uiPriority w:val="99"/>
    <w:pPr>
      <w:keepNext/>
      <w:keepLines/>
      <w:autoSpaceDE w:val="0"/>
      <w:autoSpaceDN w:val="0"/>
      <w:adjustRightInd w:val="0"/>
      <w:spacing w:before="120" w:line="300" w:lineRule="auto"/>
      <w:jc w:val="center"/>
    </w:pPr>
    <w:rPr>
      <w:rFonts w:ascii="Arial" w:hAnsi="Arial" w:eastAsia="黑体"/>
      <w:b/>
      <w:bCs/>
      <w:kern w:val="0"/>
      <w:sz w:val="30"/>
      <w:szCs w:val="30"/>
    </w:rPr>
  </w:style>
  <w:style w:type="paragraph" w:customStyle="1" w:styleId="179">
    <w:name w:val="xl7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0">
    <w:name w:val="节"/>
    <w:basedOn w:val="1"/>
    <w:qFormat/>
    <w:uiPriority w:val="99"/>
    <w:pPr>
      <w:adjustRightInd w:val="0"/>
      <w:spacing w:before="100" w:beforeAutospacing="1"/>
    </w:pPr>
    <w:rPr>
      <w:rFonts w:eastAsia="仿宋_GB2312"/>
      <w:b/>
      <w:sz w:val="32"/>
      <w:szCs w:val="32"/>
    </w:rPr>
  </w:style>
  <w:style w:type="paragraph" w:customStyle="1" w:styleId="181">
    <w:name w:val="xl24"/>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8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183">
    <w:name w:val="正文 A"/>
    <w:next w:val="184"/>
    <w:qFormat/>
    <w:uiPriority w:val="99"/>
    <w:pPr>
      <w:widowControl w:val="0"/>
      <w:jc w:val="both"/>
    </w:pPr>
    <w:rPr>
      <w:rFonts w:ascii="Arial Unicode MS" w:hAnsi="Arial Unicode MS" w:eastAsia="宋体" w:cs="Arial Unicode MS"/>
      <w:color w:val="000000"/>
      <w:kern w:val="2"/>
      <w:sz w:val="21"/>
      <w:szCs w:val="21"/>
      <w:u w:color="000000"/>
      <w:lang w:val="en-US" w:eastAsia="zh-CN" w:bidi="ar-SA"/>
    </w:rPr>
  </w:style>
  <w:style w:type="paragraph" w:customStyle="1" w:styleId="184">
    <w:name w:val="段"/>
    <w:next w:val="183"/>
    <w:qFormat/>
    <w:uiPriority w:val="99"/>
    <w:pPr>
      <w:widowControl w:val="0"/>
      <w:ind w:firstLine="200"/>
      <w:jc w:val="both"/>
    </w:pPr>
    <w:rPr>
      <w:rFonts w:ascii="宋体" w:hAnsi="宋体" w:eastAsia="宋体" w:cs="宋体"/>
      <w:color w:val="000000"/>
      <w:sz w:val="21"/>
      <w:szCs w:val="21"/>
      <w:lang w:val="en-US" w:eastAsia="zh-CN" w:bidi="ar-SA"/>
    </w:rPr>
  </w:style>
  <w:style w:type="paragraph" w:customStyle="1" w:styleId="185">
    <w:name w:val="font13"/>
    <w:basedOn w:val="1"/>
    <w:qFormat/>
    <w:uiPriority w:val="99"/>
    <w:pPr>
      <w:widowControl/>
      <w:spacing w:before="100" w:beforeAutospacing="1" w:after="100" w:afterAutospacing="1"/>
      <w:jc w:val="left"/>
    </w:pPr>
    <w:rPr>
      <w:rFonts w:ascii="华文细黑" w:hAnsi="华文细黑" w:eastAsia="华文细黑" w:cs="宋体"/>
      <w:kern w:val="0"/>
      <w:sz w:val="20"/>
    </w:rPr>
  </w:style>
  <w:style w:type="paragraph" w:customStyle="1" w:styleId="186">
    <w:name w:val="xl316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87">
    <w:name w:val="Char Char Char Char Char Char1 Char Char Char Char Char Char1 Char Char Char Char1"/>
    <w:basedOn w:val="1"/>
    <w:qFormat/>
    <w:uiPriority w:val="99"/>
    <w:rPr>
      <w:rFonts w:ascii="Tahoma" w:hAnsi="Tahoma"/>
      <w:sz w:val="24"/>
    </w:rPr>
  </w:style>
  <w:style w:type="paragraph" w:customStyle="1" w:styleId="188">
    <w:name w:val="xl31"/>
    <w:basedOn w:val="1"/>
    <w:qFormat/>
    <w:uiPriority w:val="99"/>
    <w:pPr>
      <w:widowControl/>
      <w:spacing w:before="100" w:beforeAutospacing="1" w:after="100" w:afterAutospacing="1"/>
      <w:jc w:val="left"/>
      <w:textAlignment w:val="top"/>
    </w:pPr>
    <w:rPr>
      <w:rFonts w:ascii="宋体" w:hAnsi="宋体"/>
      <w:b/>
      <w:bCs/>
      <w:kern w:val="0"/>
      <w:sz w:val="22"/>
      <w:szCs w:val="22"/>
    </w:rPr>
  </w:style>
  <w:style w:type="paragraph" w:customStyle="1" w:styleId="189">
    <w:name w:val="Char Char Char Char Char Char1 Char Char Char Char Char Char1 Char Char Char Char Char Char Char1"/>
    <w:basedOn w:val="1"/>
    <w:qFormat/>
    <w:uiPriority w:val="99"/>
    <w:rPr>
      <w:rFonts w:ascii="Tahoma" w:hAnsi="Tahoma"/>
      <w:sz w:val="24"/>
    </w:rPr>
  </w:style>
  <w:style w:type="paragraph" w:customStyle="1" w:styleId="190">
    <w:name w:val="图中文字"/>
    <w:basedOn w:val="1"/>
    <w:qFormat/>
    <w:uiPriority w:val="99"/>
    <w:pPr>
      <w:adjustRightInd w:val="0"/>
      <w:snapToGrid w:val="0"/>
      <w:spacing w:line="240" w:lineRule="atLeast"/>
      <w:jc w:val="center"/>
    </w:pPr>
    <w:rPr>
      <w:sz w:val="24"/>
      <w:szCs w:val="24"/>
    </w:rPr>
  </w:style>
  <w:style w:type="paragraph" w:customStyle="1" w:styleId="191">
    <w:name w:val="font14"/>
    <w:basedOn w:val="1"/>
    <w:qFormat/>
    <w:uiPriority w:val="99"/>
    <w:pPr>
      <w:widowControl/>
      <w:spacing w:before="100" w:beforeAutospacing="1" w:after="100" w:afterAutospacing="1"/>
      <w:jc w:val="left"/>
    </w:pPr>
    <w:rPr>
      <w:rFonts w:ascii="Calibri" w:hAnsi="Calibri" w:cs="宋体"/>
      <w:kern w:val="0"/>
      <w:sz w:val="20"/>
    </w:rPr>
  </w:style>
  <w:style w:type="paragraph" w:customStyle="1" w:styleId="192">
    <w:name w:val="xl27"/>
    <w:basedOn w:val="1"/>
    <w:qFormat/>
    <w:uiPriority w:val="99"/>
    <w:pPr>
      <w:widowControl/>
      <w:spacing w:before="100" w:beforeAutospacing="1" w:after="100" w:afterAutospacing="1"/>
      <w:jc w:val="left"/>
    </w:pPr>
    <w:rPr>
      <w:rFonts w:ascii="宋体" w:hAnsi="宋体"/>
      <w:b/>
      <w:bCs/>
      <w:kern w:val="0"/>
      <w:sz w:val="22"/>
      <w:szCs w:val="22"/>
    </w:rPr>
  </w:style>
  <w:style w:type="paragraph" w:customStyle="1" w:styleId="193">
    <w:name w:val="xl31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94">
    <w:name w:val="xl26"/>
    <w:basedOn w:val="1"/>
    <w:qFormat/>
    <w:uiPriority w:val="99"/>
    <w:pPr>
      <w:widowControl/>
      <w:spacing w:before="100" w:beforeAutospacing="1" w:after="100" w:afterAutospacing="1"/>
      <w:jc w:val="left"/>
      <w:textAlignment w:val="top"/>
    </w:pPr>
    <w:rPr>
      <w:rFonts w:ascii="宋体" w:hAnsi="宋体"/>
      <w:kern w:val="0"/>
      <w:sz w:val="22"/>
      <w:szCs w:val="22"/>
    </w:rPr>
  </w:style>
  <w:style w:type="paragraph" w:customStyle="1" w:styleId="195">
    <w:name w:val="xl3161"/>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196">
    <w:name w:val="style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7">
    <w:name w:val="xl3159"/>
    <w:basedOn w:val="1"/>
    <w:qFormat/>
    <w:uiPriority w:val="99"/>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198">
    <w:name w:val="xl34"/>
    <w:basedOn w:val="1"/>
    <w:qFormat/>
    <w:uiPriority w:val="99"/>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199">
    <w:name w:val="Char2"/>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200">
    <w:name w:val="明显引用1"/>
    <w:basedOn w:val="1"/>
    <w:next w:val="1"/>
    <w:link w:val="201"/>
    <w:qFormat/>
    <w:uiPriority w:val="99"/>
    <w:pPr>
      <w:widowControl/>
      <w:ind w:left="720" w:right="720"/>
      <w:jc w:val="left"/>
    </w:pPr>
    <w:rPr>
      <w:rFonts w:ascii="Calibri" w:hAnsi="Calibri" w:cs="Arial"/>
      <w:b/>
      <w:i/>
      <w:kern w:val="0"/>
      <w:sz w:val="24"/>
      <w:szCs w:val="22"/>
      <w:lang w:eastAsia="en-US"/>
    </w:rPr>
  </w:style>
  <w:style w:type="character" w:customStyle="1" w:styleId="201">
    <w:name w:val="明显引用 Char"/>
    <w:link w:val="200"/>
    <w:qFormat/>
    <w:locked/>
    <w:uiPriority w:val="99"/>
    <w:rPr>
      <w:rFonts w:ascii="Calibri" w:hAnsi="Calibri"/>
      <w:b/>
      <w:i/>
      <w:sz w:val="22"/>
      <w:lang w:eastAsia="en-US"/>
    </w:rPr>
  </w:style>
  <w:style w:type="paragraph" w:customStyle="1" w:styleId="202">
    <w:name w:val="style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3">
    <w:name w:val="xl3154"/>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204">
    <w:name w:val="xl3156"/>
    <w:basedOn w:val="1"/>
    <w:qFormat/>
    <w:uiPriority w:val="99"/>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205">
    <w:name w:val="xl3141"/>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206">
    <w:name w:val="xl31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8">
    <w:name w:val="List Paragraph1"/>
    <w:basedOn w:val="1"/>
    <w:qFormat/>
    <w:uiPriority w:val="99"/>
    <w:pPr>
      <w:ind w:firstLine="420" w:firstLineChars="200"/>
    </w:pPr>
    <w:rPr>
      <w:szCs w:val="24"/>
    </w:rPr>
  </w:style>
  <w:style w:type="paragraph" w:customStyle="1" w:styleId="209">
    <w:name w:val="*正文"/>
    <w:basedOn w:val="1"/>
    <w:qFormat/>
    <w:uiPriority w:val="99"/>
    <w:pPr>
      <w:spacing w:line="360" w:lineRule="auto"/>
      <w:ind w:firstLine="480" w:firstLineChars="200"/>
    </w:pPr>
    <w:rPr>
      <w:rFonts w:ascii="宋体" w:hAnsi="宋体"/>
      <w:kern w:val="0"/>
      <w:sz w:val="24"/>
      <w:szCs w:val="24"/>
      <w:lang w:val="zh-CN"/>
    </w:rPr>
  </w:style>
  <w:style w:type="paragraph" w:customStyle="1" w:styleId="210">
    <w:name w:val="标准文本"/>
    <w:basedOn w:val="1"/>
    <w:link w:val="211"/>
    <w:qFormat/>
    <w:uiPriority w:val="99"/>
    <w:pPr>
      <w:spacing w:line="360" w:lineRule="auto"/>
      <w:ind w:firstLine="480" w:firstLineChars="200"/>
    </w:pPr>
    <w:rPr>
      <w:rFonts w:ascii="Calibri" w:hAnsi="Calibri"/>
    </w:rPr>
  </w:style>
  <w:style w:type="character" w:customStyle="1" w:styleId="211">
    <w:name w:val="标准文本 Char"/>
    <w:link w:val="210"/>
    <w:qFormat/>
    <w:locked/>
    <w:uiPriority w:val="99"/>
    <w:rPr>
      <w:kern w:val="2"/>
      <w:sz w:val="21"/>
    </w:rPr>
  </w:style>
  <w:style w:type="character" w:customStyle="1" w:styleId="212">
    <w:name w:val="locspan"/>
    <w:basedOn w:val="50"/>
    <w:qFormat/>
    <w:uiPriority w:val="99"/>
    <w:rPr>
      <w:rFonts w:cs="Times New Roman"/>
    </w:rPr>
  </w:style>
  <w:style w:type="character" w:customStyle="1" w:styleId="213">
    <w:name w:val="font31"/>
    <w:qFormat/>
    <w:uiPriority w:val="99"/>
    <w:rPr>
      <w:rFonts w:ascii="Arial" w:hAnsi="Arial"/>
      <w:color w:val="000000"/>
      <w:sz w:val="20"/>
      <w:u w:val="none"/>
    </w:rPr>
  </w:style>
  <w:style w:type="character" w:customStyle="1" w:styleId="214">
    <w:name w:val="apple-converted-space"/>
    <w:basedOn w:val="50"/>
    <w:qFormat/>
    <w:uiPriority w:val="99"/>
    <w:rPr>
      <w:rFonts w:cs="Times New Roman"/>
    </w:rPr>
  </w:style>
  <w:style w:type="character" w:customStyle="1" w:styleId="215">
    <w:name w:val="style41"/>
    <w:qFormat/>
    <w:uiPriority w:val="99"/>
    <w:rPr>
      <w:sz w:val="18"/>
    </w:rPr>
  </w:style>
  <w:style w:type="character" w:customStyle="1" w:styleId="216">
    <w:name w:val="标题 Char1"/>
    <w:qFormat/>
    <w:uiPriority w:val="99"/>
    <w:rPr>
      <w:rFonts w:ascii="Cambria" w:hAnsi="Cambria"/>
      <w:b/>
      <w:kern w:val="2"/>
      <w:sz w:val="32"/>
    </w:rPr>
  </w:style>
  <w:style w:type="character" w:customStyle="1" w:styleId="217">
    <w:name w:val="text1"/>
    <w:qFormat/>
    <w:uiPriority w:val="99"/>
    <w:rPr>
      <w:rFonts w:ascii="Arial" w:hAnsi="Arial"/>
      <w:color w:val="333333"/>
      <w:sz w:val="18"/>
    </w:rPr>
  </w:style>
  <w:style w:type="character" w:customStyle="1" w:styleId="218">
    <w:name w:val="Char Char2"/>
    <w:qFormat/>
    <w:uiPriority w:val="99"/>
    <w:rPr>
      <w:kern w:val="2"/>
      <w:sz w:val="21"/>
    </w:rPr>
  </w:style>
  <w:style w:type="character" w:customStyle="1" w:styleId="219">
    <w:name w:val="副标题 Char1"/>
    <w:qFormat/>
    <w:uiPriority w:val="99"/>
    <w:rPr>
      <w:rFonts w:ascii="Cambria" w:hAnsi="Cambria"/>
      <w:b/>
      <w:kern w:val="28"/>
      <w:sz w:val="32"/>
    </w:rPr>
  </w:style>
  <w:style w:type="character" w:customStyle="1" w:styleId="220">
    <w:name w:val="style11"/>
    <w:qFormat/>
    <w:uiPriority w:val="99"/>
    <w:rPr>
      <w:color w:val="000000"/>
      <w:sz w:val="18"/>
    </w:rPr>
  </w:style>
  <w:style w:type="character" w:customStyle="1" w:styleId="221">
    <w:name w:val="Char Char1"/>
    <w:qFormat/>
    <w:uiPriority w:val="99"/>
    <w:rPr>
      <w:kern w:val="2"/>
      <w:sz w:val="24"/>
    </w:rPr>
  </w:style>
  <w:style w:type="character" w:customStyle="1" w:styleId="222">
    <w:name w:val="powerlab_title_model1"/>
    <w:qFormat/>
    <w:uiPriority w:val="99"/>
    <w:rPr>
      <w:b/>
      <w:sz w:val="21"/>
    </w:rPr>
  </w:style>
  <w:style w:type="character" w:customStyle="1" w:styleId="223">
    <w:name w:val="font71"/>
    <w:qFormat/>
    <w:uiPriority w:val="99"/>
    <w:rPr>
      <w:rFonts w:ascii="宋体" w:hAnsi="宋体" w:eastAsia="宋体"/>
      <w:color w:val="000000"/>
      <w:sz w:val="20"/>
      <w:u w:val="none"/>
    </w:rPr>
  </w:style>
  <w:style w:type="character" w:customStyle="1" w:styleId="224">
    <w:name w:val="xdrichtextbox2"/>
    <w:qFormat/>
    <w:uiPriority w:val="99"/>
    <w:rPr>
      <w:color w:val="0000FF"/>
      <w:sz w:val="18"/>
      <w:u w:val="none"/>
      <w:bdr w:val="single" w:color="DCDCDC" w:sz="8" w:space="0"/>
      <w:shd w:val="clear" w:color="auto" w:fill="9FFDDC"/>
    </w:rPr>
  </w:style>
  <w:style w:type="paragraph" w:customStyle="1" w:styleId="225">
    <w:name w:val="样式2"/>
    <w:basedOn w:val="1"/>
    <w:qFormat/>
    <w:uiPriority w:val="99"/>
    <w:pPr>
      <w:spacing w:line="300" w:lineRule="auto"/>
      <w:jc w:val="center"/>
      <w:outlineLvl w:val="0"/>
    </w:pPr>
    <w:rPr>
      <w:rFonts w:ascii="宋体" w:hAnsi="宋体" w:cs="宋体"/>
      <w:b/>
      <w:bCs/>
      <w:sz w:val="24"/>
      <w:szCs w:val="24"/>
    </w:rPr>
  </w:style>
  <w:style w:type="character" w:customStyle="1" w:styleId="226">
    <w:name w:val="Table Text Char"/>
    <w:link w:val="227"/>
    <w:qFormat/>
    <w:locked/>
    <w:uiPriority w:val="99"/>
    <w:rPr>
      <w:rFonts w:ascii="Arial" w:hAnsi="Arial" w:eastAsia="宋体"/>
      <w:sz w:val="18"/>
      <w:lang w:val="en-US" w:eastAsia="zh-CN"/>
    </w:rPr>
  </w:style>
  <w:style w:type="paragraph" w:customStyle="1" w:styleId="227">
    <w:name w:val="Table Text"/>
    <w:link w:val="226"/>
    <w:qFormat/>
    <w:uiPriority w:val="99"/>
    <w:pPr>
      <w:snapToGrid w:val="0"/>
      <w:spacing w:before="80" w:after="80"/>
    </w:pPr>
    <w:rPr>
      <w:rFonts w:ascii="Arial" w:hAnsi="Arial" w:eastAsia="宋体" w:cs="Arial"/>
      <w:sz w:val="18"/>
      <w:szCs w:val="18"/>
      <w:lang w:val="en-US" w:eastAsia="zh-CN" w:bidi="ar-SA"/>
    </w:rPr>
  </w:style>
  <w:style w:type="character" w:customStyle="1" w:styleId="228">
    <w:name w:val="Table Heading Char"/>
    <w:link w:val="229"/>
    <w:qFormat/>
    <w:locked/>
    <w:uiPriority w:val="99"/>
    <w:rPr>
      <w:rFonts w:ascii="Arial" w:hAnsi="Arial" w:eastAsia="黑体"/>
      <w:sz w:val="18"/>
      <w:lang w:val="en-US" w:eastAsia="zh-CN"/>
    </w:rPr>
  </w:style>
  <w:style w:type="paragraph" w:customStyle="1" w:styleId="229">
    <w:name w:val="Table Heading"/>
    <w:link w:val="228"/>
    <w:qFormat/>
    <w:uiPriority w:val="99"/>
    <w:pPr>
      <w:keepNext/>
      <w:snapToGrid w:val="0"/>
      <w:spacing w:before="80" w:after="80"/>
      <w:jc w:val="center"/>
    </w:pPr>
    <w:rPr>
      <w:rFonts w:ascii="Arial" w:hAnsi="Arial" w:eastAsia="黑体" w:cs="Times New Roman"/>
      <w:sz w:val="18"/>
      <w:szCs w:val="18"/>
      <w:lang w:val="en-US" w:eastAsia="zh-CN" w:bidi="ar-SA"/>
    </w:rPr>
  </w:style>
  <w:style w:type="character" w:customStyle="1" w:styleId="230">
    <w:name w:val="Item List Char"/>
    <w:link w:val="231"/>
    <w:qFormat/>
    <w:locked/>
    <w:uiPriority w:val="99"/>
    <w:rPr>
      <w:rFonts w:ascii="Arial" w:hAnsi="Arial" w:cs="Times New Roman"/>
      <w:kern w:val="0"/>
      <w:sz w:val="20"/>
      <w:szCs w:val="21"/>
    </w:rPr>
  </w:style>
  <w:style w:type="paragraph" w:customStyle="1" w:styleId="231">
    <w:name w:val="Item List"/>
    <w:link w:val="230"/>
    <w:qFormat/>
    <w:uiPriority w:val="99"/>
    <w:pPr>
      <w:numPr>
        <w:ilvl w:val="0"/>
        <w:numId w:val="4"/>
      </w:numPr>
      <w:tabs>
        <w:tab w:val="left" w:pos="992"/>
      </w:tabs>
      <w:spacing w:line="300" w:lineRule="auto"/>
      <w:jc w:val="both"/>
    </w:pPr>
    <w:rPr>
      <w:rFonts w:ascii="Arial" w:hAnsi="Arial" w:eastAsia="宋体" w:cs="Times New Roman"/>
      <w:szCs w:val="21"/>
      <w:lang w:val="en-US" w:eastAsia="zh-CN" w:bidi="ar-SA"/>
    </w:rPr>
  </w:style>
  <w:style w:type="character" w:customStyle="1" w:styleId="232">
    <w:name w:val="表格文本 Char"/>
    <w:link w:val="233"/>
    <w:qFormat/>
    <w:locked/>
    <w:uiPriority w:val="99"/>
    <w:rPr>
      <w:rFonts w:ascii="Arial" w:hAnsi="Arial" w:eastAsia="宋体"/>
      <w:sz w:val="21"/>
      <w:lang w:val="en-US" w:eastAsia="zh-CN"/>
    </w:rPr>
  </w:style>
  <w:style w:type="paragraph" w:customStyle="1" w:styleId="233">
    <w:name w:val="表格文本"/>
    <w:link w:val="232"/>
    <w:qFormat/>
    <w:uiPriority w:val="99"/>
    <w:pPr>
      <w:tabs>
        <w:tab w:val="decimal" w:pos="0"/>
      </w:tabs>
    </w:pPr>
    <w:rPr>
      <w:rFonts w:ascii="Arial" w:hAnsi="Arial" w:eastAsia="宋体" w:cs="Times New Roman"/>
      <w:szCs w:val="21"/>
      <w:lang w:val="en-US" w:eastAsia="zh-CN" w:bidi="ar-SA"/>
    </w:rPr>
  </w:style>
  <w:style w:type="character" w:customStyle="1" w:styleId="234">
    <w:name w:val="Sub Item List Char"/>
    <w:link w:val="235"/>
    <w:qFormat/>
    <w:locked/>
    <w:uiPriority w:val="99"/>
    <w:rPr>
      <w:rFonts w:ascii="Arial" w:hAnsi="Arial" w:cs="Times New Roman"/>
      <w:kern w:val="0"/>
      <w:sz w:val="20"/>
      <w:szCs w:val="21"/>
    </w:rPr>
  </w:style>
  <w:style w:type="paragraph" w:customStyle="1" w:styleId="235">
    <w:name w:val="Sub Item List"/>
    <w:basedOn w:val="1"/>
    <w:link w:val="234"/>
    <w:qFormat/>
    <w:uiPriority w:val="99"/>
    <w:pPr>
      <w:widowControl/>
      <w:numPr>
        <w:ilvl w:val="0"/>
        <w:numId w:val="5"/>
      </w:numPr>
      <w:topLinePunct/>
      <w:adjustRightInd w:val="0"/>
      <w:snapToGrid w:val="0"/>
      <w:spacing w:before="80" w:after="80" w:line="240" w:lineRule="atLeast"/>
      <w:jc w:val="left"/>
    </w:pPr>
    <w:rPr>
      <w:rFonts w:ascii="Arial" w:hAnsi="Arial"/>
      <w:kern w:val="0"/>
      <w:sz w:val="20"/>
      <w:szCs w:val="21"/>
    </w:rPr>
  </w:style>
  <w:style w:type="paragraph" w:customStyle="1" w:styleId="236">
    <w:name w:val="Item List in Table"/>
    <w:basedOn w:val="1"/>
    <w:qFormat/>
    <w:uiPriority w:val="99"/>
    <w:pPr>
      <w:widowControl/>
      <w:tabs>
        <w:tab w:val="left" w:pos="1500"/>
      </w:tabs>
      <w:topLinePunct/>
      <w:adjustRightInd w:val="0"/>
      <w:snapToGrid w:val="0"/>
      <w:spacing w:before="80" w:after="80" w:line="240" w:lineRule="atLeast"/>
      <w:ind w:left="1500" w:hanging="420"/>
      <w:jc w:val="left"/>
    </w:pPr>
    <w:rPr>
      <w:rFonts w:cs="Arial"/>
      <w:kern w:val="0"/>
      <w:szCs w:val="21"/>
    </w:rPr>
  </w:style>
  <w:style w:type="paragraph" w:customStyle="1" w:styleId="237">
    <w:name w:val="二级条标题"/>
    <w:basedOn w:val="1"/>
    <w:next w:val="1"/>
    <w:qFormat/>
    <w:uiPriority w:val="99"/>
    <w:pPr>
      <w:widowControl/>
      <w:numPr>
        <w:ilvl w:val="3"/>
        <w:numId w:val="6"/>
      </w:numPr>
      <w:tabs>
        <w:tab w:val="left" w:pos="2100"/>
      </w:tabs>
      <w:outlineLvl w:val="3"/>
    </w:pPr>
    <w:rPr>
      <w:rFonts w:ascii="黑体" w:eastAsia="黑体"/>
      <w:kern w:val="0"/>
    </w:rPr>
  </w:style>
  <w:style w:type="paragraph" w:customStyle="1" w:styleId="238">
    <w:name w:val="样式3"/>
    <w:basedOn w:val="1"/>
    <w:qFormat/>
    <w:uiPriority w:val="99"/>
    <w:pPr>
      <w:widowControl/>
      <w:spacing w:line="520" w:lineRule="exact"/>
      <w:ind w:firstLine="567"/>
      <w:jc w:val="left"/>
    </w:pPr>
    <w:rPr>
      <w:rFonts w:ascii="Calibri" w:hAnsi="Calibri" w:eastAsia="仿宋_GB2312"/>
      <w:kern w:val="0"/>
      <w:sz w:val="28"/>
      <w:szCs w:val="24"/>
      <w:lang w:eastAsia="en-US"/>
    </w:rPr>
  </w:style>
  <w:style w:type="paragraph" w:customStyle="1" w:styleId="239">
    <w:name w:val="表头文本"/>
    <w:qFormat/>
    <w:uiPriority w:val="99"/>
    <w:pPr>
      <w:jc w:val="center"/>
    </w:pPr>
    <w:rPr>
      <w:rFonts w:ascii="Arial" w:hAnsi="Arial" w:eastAsia="宋体" w:cs="Times New Roman"/>
      <w:b/>
      <w:sz w:val="21"/>
      <w:szCs w:val="21"/>
      <w:lang w:val="en-US" w:eastAsia="zh-CN" w:bidi="ar-SA"/>
    </w:rPr>
  </w:style>
  <w:style w:type="character" w:customStyle="1" w:styleId="240">
    <w:name w:val="正文缩进 Char1"/>
    <w:qFormat/>
    <w:uiPriority w:val="99"/>
    <w:rPr>
      <w:rFonts w:eastAsia="宋体"/>
      <w:kern w:val="2"/>
      <w:sz w:val="21"/>
      <w:lang w:val="en-US" w:eastAsia="zh-CN"/>
    </w:rPr>
  </w:style>
  <w:style w:type="paragraph" w:customStyle="1" w:styleId="241">
    <w:name w:val="TOC 标题1"/>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242">
    <w:name w:val="4"/>
    <w:basedOn w:val="1"/>
    <w:next w:val="1"/>
    <w:qFormat/>
    <w:uiPriority w:val="99"/>
    <w:pPr>
      <w:ind w:left="420" w:leftChars="200"/>
    </w:pPr>
    <w:rPr>
      <w:rFonts w:ascii="Calibri" w:hAnsi="Calibri"/>
      <w:szCs w:val="22"/>
    </w:rPr>
  </w:style>
  <w:style w:type="character" w:customStyle="1" w:styleId="243">
    <w:name w:val="页眉 字符"/>
    <w:qFormat/>
    <w:uiPriority w:val="99"/>
  </w:style>
  <w:style w:type="character" w:customStyle="1" w:styleId="244">
    <w:name w:val="页脚 字符"/>
    <w:qFormat/>
    <w:uiPriority w:val="99"/>
  </w:style>
  <w:style w:type="paragraph" w:customStyle="1" w:styleId="245">
    <w:name w:val="倪芳"/>
    <w:basedOn w:val="1"/>
    <w:qFormat/>
    <w:uiPriority w:val="99"/>
    <w:pPr>
      <w:spacing w:beforeLines="25" w:line="400" w:lineRule="exact"/>
    </w:pPr>
    <w:rPr>
      <w:rFonts w:ascii="宋体" w:hAnsi="Courier New" w:cs="Courier New"/>
      <w:szCs w:val="21"/>
    </w:rPr>
  </w:style>
  <w:style w:type="character" w:customStyle="1" w:styleId="246">
    <w:name w:val="正文文本缩进 2 Char1"/>
    <w:basedOn w:val="50"/>
    <w:semiHidden/>
    <w:qFormat/>
    <w:uiPriority w:val="99"/>
    <w:rPr>
      <w:rFonts w:ascii="Calibri" w:hAnsi="Calibri" w:eastAsia="宋体" w:cs="Times New Roman"/>
      <w:sz w:val="24"/>
    </w:rPr>
  </w:style>
  <w:style w:type="paragraph" w:customStyle="1" w:styleId="247">
    <w:name w:val="TOC 标题2"/>
    <w:basedOn w:val="3"/>
    <w:next w:val="1"/>
    <w:qFormat/>
    <w:uiPriority w:val="99"/>
    <w:pPr>
      <w:widowControl/>
      <w:spacing w:before="240" w:after="0" w:line="259" w:lineRule="auto"/>
      <w:jc w:val="left"/>
      <w:outlineLvl w:val="9"/>
    </w:pPr>
    <w:rPr>
      <w:rFonts w:ascii="Cambria" w:hAnsi="Cambria" w:cs="Times New Roman"/>
      <w:b w:val="0"/>
      <w:bCs w:val="0"/>
      <w:color w:val="365F91"/>
      <w:kern w:val="0"/>
      <w:sz w:val="32"/>
      <w:szCs w:val="32"/>
    </w:rPr>
  </w:style>
  <w:style w:type="character" w:customStyle="1" w:styleId="248">
    <w:name w:val="redfilefwwh"/>
    <w:basedOn w:val="50"/>
    <w:qFormat/>
    <w:uiPriority w:val="99"/>
    <w:rPr>
      <w:rFonts w:cs="Times New Roman"/>
      <w:color w:val="BA2636"/>
      <w:sz w:val="18"/>
      <w:szCs w:val="18"/>
    </w:rPr>
  </w:style>
  <w:style w:type="character" w:customStyle="1" w:styleId="249">
    <w:name w:val="gjfg"/>
    <w:basedOn w:val="50"/>
    <w:qFormat/>
    <w:uiPriority w:val="99"/>
    <w:rPr>
      <w:rFonts w:cs="Times New Roman"/>
    </w:rPr>
  </w:style>
  <w:style w:type="character" w:customStyle="1" w:styleId="250">
    <w:name w:val="displayarti"/>
    <w:basedOn w:val="50"/>
    <w:qFormat/>
    <w:uiPriority w:val="99"/>
    <w:rPr>
      <w:rFonts w:cs="Times New Roman"/>
      <w:color w:val="FFFFFF"/>
      <w:shd w:val="clear" w:color="auto" w:fill="A00000"/>
    </w:rPr>
  </w:style>
  <w:style w:type="character" w:customStyle="1" w:styleId="251">
    <w:name w:val="qxdate"/>
    <w:basedOn w:val="50"/>
    <w:qFormat/>
    <w:uiPriority w:val="99"/>
    <w:rPr>
      <w:rFonts w:cs="Times New Roman"/>
      <w:color w:val="333333"/>
      <w:sz w:val="18"/>
      <w:szCs w:val="18"/>
    </w:rPr>
  </w:style>
  <w:style w:type="character" w:customStyle="1" w:styleId="252">
    <w:name w:val="cfdate"/>
    <w:basedOn w:val="50"/>
    <w:qFormat/>
    <w:uiPriority w:val="99"/>
    <w:rPr>
      <w:rFonts w:cs="Times New Roman"/>
      <w:color w:val="333333"/>
      <w:sz w:val="18"/>
      <w:szCs w:val="18"/>
    </w:rPr>
  </w:style>
  <w:style w:type="character" w:customStyle="1" w:styleId="253">
    <w:name w:val="redfilenumber"/>
    <w:basedOn w:val="50"/>
    <w:qFormat/>
    <w:uiPriority w:val="99"/>
    <w:rPr>
      <w:rFonts w:cs="Times New Roman"/>
      <w:color w:val="BA2636"/>
      <w:sz w:val="18"/>
      <w:szCs w:val="18"/>
    </w:rPr>
  </w:style>
  <w:style w:type="paragraph" w:customStyle="1" w:styleId="254">
    <w:name w:val="TOC 标题3"/>
    <w:basedOn w:val="3"/>
    <w:next w:val="1"/>
    <w:qFormat/>
    <w:uiPriority w:val="99"/>
    <w:pPr>
      <w:widowControl/>
      <w:spacing w:before="480" w:after="0" w:line="276" w:lineRule="auto"/>
      <w:jc w:val="left"/>
      <w:outlineLvl w:val="9"/>
    </w:pPr>
    <w:rPr>
      <w:rFonts w:ascii="Cambria" w:hAnsi="Cambria" w:cs="Times New Roman"/>
      <w:color w:val="365F91"/>
      <w:kern w:val="0"/>
      <w:sz w:val="28"/>
      <w:szCs w:val="28"/>
    </w:rPr>
  </w:style>
  <w:style w:type="paragraph" w:customStyle="1" w:styleId="255">
    <w:name w:val="1"/>
    <w:basedOn w:val="1"/>
    <w:next w:val="256"/>
    <w:qFormat/>
    <w:uiPriority w:val="0"/>
    <w:pPr>
      <w:tabs>
        <w:tab w:val="left" w:pos="0"/>
      </w:tabs>
      <w:spacing w:line="360" w:lineRule="auto"/>
    </w:pPr>
    <w:rPr>
      <w:rFonts w:ascii="宋体" w:hAnsi="宋体"/>
      <w:bCs/>
      <w:sz w:val="24"/>
    </w:rPr>
  </w:style>
  <w:style w:type="paragraph" w:customStyle="1" w:styleId="256">
    <w:name w:val="1.1"/>
    <w:basedOn w:val="1"/>
    <w:qFormat/>
    <w:uiPriority w:val="0"/>
    <w:pPr>
      <w:spacing w:line="360" w:lineRule="auto"/>
      <w:ind w:left="1" w:hanging="1"/>
    </w:pPr>
    <w:rPr>
      <w:rFonts w:ascii="宋体" w:hAnsi="宋体"/>
      <w:b/>
      <w:bCs/>
      <w:color w:val="000000"/>
      <w:sz w:val="24"/>
      <w:szCs w:val="24"/>
      <w:u w:color="FF0000"/>
    </w:rPr>
  </w:style>
  <w:style w:type="table" w:customStyle="1" w:styleId="257">
    <w:name w:val="网格型1"/>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
    <w:name w:val="方案正文"/>
    <w:basedOn w:val="1"/>
    <w:qFormat/>
    <w:uiPriority w:val="0"/>
    <w:pPr>
      <w:adjustRightInd w:val="0"/>
      <w:spacing w:before="120" w:line="360" w:lineRule="auto"/>
      <w:ind w:firstLine="425" w:firstLineChars="177"/>
      <w:textAlignment w:val="baseline"/>
    </w:pPr>
    <w:rPr>
      <w:rFonts w:ascii="华文细黑" w:hAnsi="华文细黑" w:eastAsia="华文细黑"/>
      <w:kern w:val="0"/>
      <w:sz w:val="24"/>
    </w:rPr>
  </w:style>
  <w:style w:type="paragraph" w:customStyle="1" w:styleId="259">
    <w:name w:val="Paragraph2"/>
    <w:basedOn w:val="1"/>
    <w:qFormat/>
    <w:uiPriority w:val="0"/>
    <w:pPr>
      <w:overflowPunct w:val="0"/>
      <w:autoSpaceDE w:val="0"/>
      <w:autoSpaceDN w:val="0"/>
      <w:spacing w:before="20" w:after="120"/>
    </w:pPr>
    <w:rPr>
      <w:rFonts w:ascii="Arial" w:hAnsi="Arial" w:eastAsia="楷体_GB2312"/>
      <w:kern w:val="0"/>
    </w:rPr>
  </w:style>
  <w:style w:type="character" w:customStyle="1" w:styleId="260">
    <w:name w:val="font41"/>
    <w:qFormat/>
    <w:uiPriority w:val="0"/>
    <w:rPr>
      <w:rFonts w:hint="eastAsia" w:ascii="宋体" w:hAnsi="宋体" w:eastAsia="宋体" w:cs="宋体"/>
      <w:b/>
      <w:bCs/>
      <w:color w:val="000000"/>
      <w:sz w:val="21"/>
      <w:szCs w:val="21"/>
      <w:u w:val="none"/>
    </w:rPr>
  </w:style>
  <w:style w:type="paragraph" w:customStyle="1" w:styleId="261">
    <w:name w:val="首行缩进"/>
    <w:basedOn w:val="1"/>
    <w:qFormat/>
    <w:uiPriority w:val="0"/>
    <w:pPr>
      <w:spacing w:after="156" w:afterLines="50" w:line="360" w:lineRule="auto"/>
      <w:ind w:firstLine="200" w:firstLineChars="200"/>
    </w:pPr>
    <w:rPr>
      <w:rFonts w:ascii="宋体" w:hAnsi="宋体"/>
      <w:sz w:val="24"/>
      <w:szCs w:val="24"/>
    </w:rPr>
  </w:style>
  <w:style w:type="paragraph" w:customStyle="1" w:styleId="262">
    <w:name w:val="Table Paragraph"/>
    <w:basedOn w:val="1"/>
    <w:qFormat/>
    <w:uiPriority w:val="1"/>
    <w:pPr>
      <w:jc w:val="left"/>
    </w:pPr>
    <w:rPr>
      <w:rFonts w:ascii="宋体" w:hAnsi="宋体" w:cs="宋体"/>
      <w:kern w:val="0"/>
      <w:sz w:val="22"/>
      <w:szCs w:val="22"/>
      <w:lang w:eastAsia="en-US"/>
    </w:rPr>
  </w:style>
  <w:style w:type="character" w:customStyle="1" w:styleId="263">
    <w:name w:val="bookmark-item"/>
    <w:basedOn w:val="50"/>
    <w:qFormat/>
    <w:uiPriority w:val="0"/>
  </w:style>
  <w:style w:type="paragraph" w:customStyle="1" w:styleId="264">
    <w:name w:val="su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5">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CC57-68C1-4B42-9284-2B68E611431D}">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86</Pages>
  <Words>36125</Words>
  <Characters>38156</Characters>
  <Lines>324</Lines>
  <Paragraphs>91</Paragraphs>
  <TotalTime>39</TotalTime>
  <ScaleCrop>false</ScaleCrop>
  <LinksUpToDate>false</LinksUpToDate>
  <CharactersWithSpaces>39912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2022-07-27T04:06:00Z</dcterms:created>
  <dc:creator>dufangyu</dc:creator>
  <cp:lastModifiedBy>无心</cp:lastModifiedBy>
  <cp:lastPrinted>2023-06-19T01:54:00Z</cp:lastPrinted>
  <dcterms:modified xsi:type="dcterms:W3CDTF">2023-07-11T02:44:49Z</dcterms:modified>
  <dc:title>招标文件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9BBC6D4E3C4247C699B278572179B58B_13</vt:lpwstr>
  </property>
</Properties>
</file>