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auto"/>
          <w:sz w:val="48"/>
          <w:szCs w:val="48"/>
          <w:lang w:eastAsia="zh-CN"/>
        </w:rPr>
      </w:pPr>
    </w:p>
    <w:p>
      <w:pPr>
        <w:pStyle w:val="56"/>
        <w:jc w:val="center"/>
        <w:rPr>
          <w:rFonts w:hint="eastAsia" w:ascii="宋体" w:hAnsi="宋体" w:cs="宋体"/>
          <w:color w:val="auto"/>
          <w:kern w:val="2"/>
          <w:sz w:val="40"/>
          <w:szCs w:val="48"/>
          <w:lang w:val="en-US" w:eastAsia="zh-CN" w:bidi="ar-SA"/>
        </w:rPr>
      </w:pPr>
      <w:r>
        <w:rPr>
          <w:rFonts w:hint="eastAsia" w:ascii="宋体" w:hAnsi="宋体" w:cs="宋体"/>
          <w:color w:val="auto"/>
          <w:kern w:val="2"/>
          <w:sz w:val="40"/>
          <w:szCs w:val="48"/>
          <w:lang w:val="en-US" w:eastAsia="zh-CN" w:bidi="ar-SA"/>
        </w:rPr>
        <w:t>新源县2023-2024年乡镇、村庄国土空间总体规划编制项目（五标段）</w:t>
      </w:r>
    </w:p>
    <w:p>
      <w:pPr>
        <w:pStyle w:val="56"/>
        <w:jc w:val="center"/>
        <w:rPr>
          <w:rFonts w:hint="eastAsia" w:ascii="宋体" w:hAnsi="宋体" w:cs="宋体"/>
          <w:color w:val="auto"/>
          <w:kern w:val="2"/>
          <w:sz w:val="40"/>
          <w:szCs w:val="48"/>
          <w:lang w:val="en-US" w:eastAsia="zh-CN" w:bidi="ar-SA"/>
        </w:rPr>
      </w:pPr>
    </w:p>
    <w:p>
      <w:pPr>
        <w:pStyle w:val="56"/>
        <w:jc w:val="center"/>
        <w:rPr>
          <w:rFonts w:hint="eastAsia" w:ascii="宋体" w:hAnsi="宋体" w:eastAsia="宋体" w:cs="宋体"/>
          <w:color w:val="0000FF"/>
          <w:sz w:val="32"/>
          <w:highlight w:val="none"/>
          <w:lang w:val="en-US" w:eastAsia="zh-CN"/>
        </w:rPr>
      </w:pPr>
      <w:r>
        <w:rPr>
          <w:rFonts w:hint="eastAsia" w:ascii="宋体" w:hAnsi="宋体" w:cs="宋体"/>
          <w:color w:val="0000FF"/>
          <w:sz w:val="28"/>
          <w:szCs w:val="28"/>
          <w:highlight w:val="none"/>
        </w:rPr>
        <w:t>项目编号：XJJZZB-202307250</w:t>
      </w:r>
      <w:r>
        <w:rPr>
          <w:rFonts w:hint="eastAsia" w:ascii="宋体" w:hAnsi="宋体" w:cs="宋体"/>
          <w:color w:val="0000FF"/>
          <w:sz w:val="28"/>
          <w:szCs w:val="28"/>
          <w:highlight w:val="none"/>
          <w:lang w:val="en-US" w:eastAsia="zh-CN"/>
        </w:rPr>
        <w:t>5</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eastAsia="zh-CN"/>
        </w:rPr>
        <w:t>新疆久质工程项目咨询管理有限公司</w:t>
      </w:r>
      <w:r>
        <w:rPr>
          <w:rFonts w:hint="eastAsia" w:ascii="宋体" w:hAnsi="宋体" w:cs="宋体"/>
          <w:color w:val="auto"/>
          <w:sz w:val="32"/>
          <w:highlight w:val="none"/>
        </w:rPr>
        <w:t>（盖章）</w:t>
      </w:r>
    </w:p>
    <w:p>
      <w:pPr>
        <w:ind w:firstLine="1280" w:firstLineChars="400"/>
        <w:rPr>
          <w:rFonts w:ascii="宋体" w:hAnsi="宋体" w:cs="宋体"/>
          <w:sz w:val="30"/>
          <w:highlight w:val="none"/>
        </w:rPr>
      </w:pPr>
      <w:r>
        <w:rPr>
          <w:rFonts w:hint="eastAsia" w:ascii="宋体" w:hAnsi="宋体" w:cs="宋体"/>
          <w:sz w:val="32"/>
          <w:szCs w:val="32"/>
          <w:highlight w:val="none"/>
        </w:rPr>
        <w:t xml:space="preserve"> </w:t>
      </w:r>
    </w:p>
    <w:p>
      <w:pPr>
        <w:pStyle w:val="56"/>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二零二三年七月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both"/>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color w:val="auto"/>
          <w:sz w:val="32"/>
          <w:szCs w:val="32"/>
          <w:lang w:val="en-US" w:eastAsia="zh-CN"/>
        </w:rPr>
        <w:t>新疆久质工程项目咨询管理有限公司关于新源县2023-2024年乡镇、村庄国土空间总体规划编制项目（五标段）的公开</w:t>
      </w:r>
      <w:r>
        <w:rPr>
          <w:rFonts w:hint="eastAsia" w:ascii="宋体" w:hAnsi="宋体" w:eastAsia="宋体" w:cs="宋体"/>
          <w:sz w:val="32"/>
          <w:szCs w:val="32"/>
          <w:lang w:val="en-US" w:eastAsia="zh-CN"/>
        </w:rPr>
        <w:t>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rPr>
      </w:pPr>
      <w:r>
        <w:rPr>
          <w:rFonts w:hint="eastAsia" w:cs="宋体"/>
          <w:i w:val="0"/>
          <w:iCs w:val="0"/>
          <w:caps w:val="0"/>
          <w:color w:val="auto"/>
          <w:spacing w:val="0"/>
          <w:sz w:val="24"/>
          <w:szCs w:val="24"/>
          <w:lang w:eastAsia="zh-CN"/>
        </w:rPr>
        <w:t>新源县2023-2024年乡镇、村庄国土空间总体规划编制项目（五标段）</w:t>
      </w:r>
      <w:r>
        <w:rPr>
          <w:rFonts w:hint="eastAsia" w:ascii="宋体" w:hAnsi="宋体" w:eastAsia="宋体" w:cs="宋体"/>
          <w:i w:val="0"/>
          <w:iCs w:val="0"/>
          <w:caps w:val="0"/>
          <w:color w:val="auto"/>
          <w:spacing w:val="0"/>
          <w:sz w:val="24"/>
          <w:szCs w:val="24"/>
        </w:rPr>
        <w:t>采购</w:t>
      </w:r>
      <w:r>
        <w:rPr>
          <w:rFonts w:hint="eastAsia" w:ascii="宋体" w:hAnsi="宋体" w:eastAsia="宋体" w:cs="宋体"/>
          <w:i w:val="0"/>
          <w:iCs w:val="0"/>
          <w:caps w:val="0"/>
          <w:color w:val="000000"/>
          <w:spacing w:val="0"/>
          <w:sz w:val="24"/>
          <w:szCs w:val="24"/>
        </w:rPr>
        <w:t>项目的潜在供应商应在政采云平台线上获取获取采购文件，并</w:t>
      </w:r>
      <w:r>
        <w:rPr>
          <w:rFonts w:hint="eastAsia" w:ascii="宋体" w:hAnsi="宋体" w:eastAsia="宋体" w:cs="宋体"/>
          <w:i w:val="0"/>
          <w:iCs w:val="0"/>
          <w:caps w:val="0"/>
          <w:color w:val="000000"/>
          <w:spacing w:val="0"/>
          <w:sz w:val="24"/>
          <w:szCs w:val="24"/>
          <w:highlight w:val="none"/>
        </w:rPr>
        <w:t>于</w:t>
      </w:r>
      <w:r>
        <w:rPr>
          <w:rFonts w:hint="eastAsia" w:ascii="宋体" w:hAnsi="宋体" w:eastAsia="宋体" w:cs="宋体"/>
          <w:color w:val="0000FF"/>
          <w:sz w:val="24"/>
          <w:szCs w:val="32"/>
          <w:highlight w:val="none"/>
        </w:rPr>
        <w:t xml:space="preserve">2023 年 08 月 </w:t>
      </w:r>
      <w:r>
        <w:rPr>
          <w:rFonts w:hint="eastAsia"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rPr>
        <w:t>（北京时间）前提交响应文件。</w:t>
      </w:r>
      <w:r>
        <w:rPr>
          <w:rFonts w:hint="eastAsia" w:ascii="宋体" w:hAnsi="宋体" w:eastAsia="宋体" w:cs="宋体"/>
          <w:sz w:val="24"/>
          <w:szCs w:val="24"/>
        </w:rPr>
        <w:t xml:space="preserve">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eastAsia="宋体" w:cs="宋体"/>
          <w:color w:val="0000FF"/>
          <w:kern w:val="0"/>
          <w:sz w:val="24"/>
          <w:szCs w:val="32"/>
          <w:highlight w:val="none"/>
          <w:lang w:val="en-US" w:eastAsia="zh-CN" w:bidi="ar-SA"/>
        </w:rPr>
        <w:t>XJJZZB-202307250</w:t>
      </w:r>
      <w:r>
        <w:rPr>
          <w:rFonts w:hint="eastAsia" w:ascii="宋体" w:hAnsi="宋体" w:cs="宋体"/>
          <w:color w:val="0000FF"/>
          <w:kern w:val="0"/>
          <w:sz w:val="24"/>
          <w:szCs w:val="32"/>
          <w:highlight w:val="none"/>
          <w:lang w:val="en-US" w:eastAsia="zh-CN" w:bidi="ar-SA"/>
        </w:rPr>
        <w:t>5</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sz w:val="24"/>
          <w:szCs w:val="32"/>
          <w:highlight w:val="none"/>
        </w:rPr>
        <w:t>项目</w:t>
      </w:r>
      <w:r>
        <w:rPr>
          <w:rFonts w:hint="eastAsia" w:ascii="宋体" w:hAnsi="宋体" w:eastAsia="宋体" w:cs="宋体"/>
          <w:color w:val="auto"/>
          <w:sz w:val="24"/>
          <w:szCs w:val="32"/>
          <w:highlight w:val="none"/>
        </w:rPr>
        <w:t>名称：</w:t>
      </w:r>
      <w:r>
        <w:rPr>
          <w:rFonts w:hint="eastAsia" w:ascii="宋体" w:hAnsi="宋体" w:cs="宋体"/>
          <w:i w:val="0"/>
          <w:iCs w:val="0"/>
          <w:caps w:val="0"/>
          <w:color w:val="auto"/>
          <w:spacing w:val="0"/>
          <w:sz w:val="24"/>
          <w:szCs w:val="24"/>
          <w:lang w:eastAsia="zh-CN"/>
        </w:rPr>
        <w:t>新源县2023-2024年乡镇、村庄国土空间总体规划编制项目（五标段）</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采购方式：</w:t>
      </w:r>
      <w:r>
        <w:rPr>
          <w:rFonts w:hint="eastAsia" w:ascii="宋体" w:hAnsi="宋体" w:eastAsia="宋体" w:cs="宋体"/>
          <w:color w:val="auto"/>
          <w:sz w:val="24"/>
          <w:szCs w:val="32"/>
          <w:lang w:val="en-US" w:eastAsia="zh-CN"/>
        </w:rPr>
        <w:t>公开招标</w:t>
      </w:r>
    </w:p>
    <w:p>
      <w:pPr>
        <w:bidi w:val="0"/>
        <w:spacing w:line="360" w:lineRule="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rPr>
        <w:t>最高限价（元）：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采购需求：</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rPr>
        <w:t>标项名称：</w:t>
      </w:r>
      <w:r>
        <w:rPr>
          <w:rFonts w:hint="eastAsia" w:ascii="宋体" w:hAnsi="宋体" w:cs="宋体"/>
          <w:i w:val="0"/>
          <w:iCs w:val="0"/>
          <w:caps w:val="0"/>
          <w:color w:val="auto"/>
          <w:spacing w:val="0"/>
          <w:sz w:val="24"/>
          <w:szCs w:val="24"/>
          <w:lang w:eastAsia="zh-CN"/>
        </w:rPr>
        <w:t>新源县2023-2024年乡镇、村庄国土空间总体规划编制项目（五标段）</w:t>
      </w:r>
    </w:p>
    <w:p>
      <w:pPr>
        <w:bidi w:val="0"/>
        <w:spacing w:line="360" w:lineRule="auto"/>
        <w:rPr>
          <w:rFonts w:hint="default" w:ascii="宋体" w:hAnsi="宋体" w:eastAsia="宋体" w:cs="宋体"/>
          <w:color w:val="auto"/>
          <w:sz w:val="24"/>
          <w:szCs w:val="32"/>
          <w:lang w:val="en-US"/>
        </w:rPr>
      </w:pPr>
      <w:r>
        <w:rPr>
          <w:rFonts w:hint="eastAsia" w:ascii="宋体" w:hAnsi="宋体" w:eastAsia="宋体" w:cs="宋体"/>
          <w:color w:val="auto"/>
          <w:sz w:val="24"/>
          <w:szCs w:val="32"/>
        </w:rPr>
        <w:t>数量：</w:t>
      </w:r>
      <w:r>
        <w:rPr>
          <w:rFonts w:hint="eastAsia" w:ascii="宋体" w:hAnsi="宋体" w:eastAsia="宋体" w:cs="宋体"/>
          <w:color w:val="auto"/>
          <w:sz w:val="24"/>
          <w:szCs w:val="32"/>
          <w:lang w:val="en-US" w:eastAsia="zh-CN"/>
        </w:rPr>
        <w:t>不限</w:t>
      </w:r>
      <w:r>
        <w:rPr>
          <w:rFonts w:hint="eastAsia" w:ascii="宋体" w:hAnsi="宋体" w:eastAsia="宋体" w:cs="宋体"/>
          <w:color w:val="auto"/>
          <w:sz w:val="24"/>
          <w:szCs w:val="32"/>
        </w:rPr>
        <w:br w:type="textWrapping"/>
      </w: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bCs/>
          <w:sz w:val="24"/>
          <w:szCs w:val="32"/>
          <w:highlight w:val="none"/>
        </w:rPr>
        <w:t>简要规格描述：</w:t>
      </w:r>
      <w:r>
        <w:rPr>
          <w:rFonts w:hint="eastAsia" w:ascii="宋体" w:hAnsi="宋体" w:eastAsia="宋体" w:cs="宋体"/>
          <w:b/>
          <w:bCs/>
          <w:color w:val="C00000"/>
          <w:kern w:val="2"/>
          <w:sz w:val="24"/>
          <w:szCs w:val="32"/>
          <w:highlight w:val="none"/>
          <w:lang w:val="en-US" w:eastAsia="zh-CN" w:bidi="ar-SA"/>
        </w:rPr>
        <w:t>对</w:t>
      </w:r>
      <w:r>
        <w:rPr>
          <w:rFonts w:hint="eastAsia" w:ascii="宋体" w:hAnsi="宋体" w:eastAsia="宋体" w:cs="宋体"/>
          <w:b/>
          <w:bCs/>
          <w:color w:val="C00000"/>
          <w:sz w:val="24"/>
          <w:szCs w:val="32"/>
          <w:highlight w:val="none"/>
          <w:lang w:eastAsia="zh-CN"/>
        </w:rPr>
        <w:t>塔勒德镇喀尔哈勒村、塔勒德萨尔喀木斯村、塔勒德镇加尔吾特克勒村、塔勒德镇木斯村、塔勒德镇玉什托别村</w:t>
      </w:r>
      <w:r>
        <w:rPr>
          <w:rFonts w:hint="eastAsia" w:ascii="宋体" w:hAnsi="宋体" w:eastAsia="宋体" w:cs="宋体"/>
          <w:b/>
          <w:bCs/>
          <w:color w:val="C00000"/>
          <w:sz w:val="24"/>
          <w:szCs w:val="32"/>
          <w:highlight w:val="none"/>
          <w:lang w:val="en-US" w:eastAsia="zh-CN"/>
        </w:rPr>
        <w:t>编</w:t>
      </w:r>
      <w:r>
        <w:rPr>
          <w:rFonts w:hint="eastAsia" w:ascii="宋体" w:hAnsi="宋体" w:eastAsia="宋体" w:cs="宋体"/>
          <w:b/>
          <w:bCs/>
          <w:color w:val="C00000"/>
          <w:kern w:val="2"/>
          <w:sz w:val="24"/>
          <w:szCs w:val="32"/>
          <w:highlight w:val="none"/>
          <w:lang w:val="en-US" w:eastAsia="zh-CN" w:bidi="ar-SA"/>
        </w:rPr>
        <w:t>制村庄规划并形成规划数据库，数据库格式符合自治区平台接入标准（具体内容详见采购文件）。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备注：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合同履约期限：</w:t>
      </w:r>
      <w:r>
        <w:rPr>
          <w:rFonts w:hint="eastAsia" w:ascii="宋体" w:hAnsi="宋体" w:eastAsia="宋体" w:cs="宋体"/>
          <w:b/>
          <w:bCs/>
          <w:i w:val="0"/>
          <w:iCs w:val="0"/>
          <w:caps w:val="0"/>
          <w:color w:val="C00000"/>
          <w:spacing w:val="0"/>
          <w:sz w:val="24"/>
          <w:szCs w:val="24"/>
          <w:highlight w:val="none"/>
        </w:rPr>
        <w:t>202</w:t>
      </w:r>
      <w:r>
        <w:rPr>
          <w:rFonts w:hint="eastAsia" w:ascii="宋体" w:hAnsi="宋体" w:eastAsia="宋体" w:cs="宋体"/>
          <w:b/>
          <w:bCs/>
          <w:i w:val="0"/>
          <w:iCs w:val="0"/>
          <w:caps w:val="0"/>
          <w:color w:val="C00000"/>
          <w:spacing w:val="0"/>
          <w:sz w:val="24"/>
          <w:szCs w:val="24"/>
          <w:highlight w:val="none"/>
          <w:lang w:val="en-US" w:eastAsia="zh-CN"/>
        </w:rPr>
        <w:t>4</w:t>
      </w:r>
      <w:r>
        <w:rPr>
          <w:rFonts w:hint="eastAsia" w:ascii="宋体" w:hAnsi="宋体" w:eastAsia="宋体" w:cs="宋体"/>
          <w:b/>
          <w:bCs/>
          <w:i w:val="0"/>
          <w:iCs w:val="0"/>
          <w:caps w:val="0"/>
          <w:color w:val="C00000"/>
          <w:spacing w:val="0"/>
          <w:sz w:val="24"/>
          <w:szCs w:val="24"/>
          <w:highlight w:val="none"/>
        </w:rPr>
        <w:t>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b/>
          <w:bCs/>
          <w:i w:val="0"/>
          <w:iCs w:val="0"/>
          <w:caps w:val="0"/>
          <w:color w:val="C00000"/>
          <w:spacing w:val="0"/>
          <w:sz w:val="24"/>
          <w:szCs w:val="24"/>
          <w:highlight w:val="none"/>
          <w:lang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本标段供应商为小微企业，</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落实《政府采购促进中小企业发展管理办法》（财库〔2020〕46号）、《关于进一步加大</w:t>
      </w:r>
      <w:r>
        <w:rPr>
          <w:rFonts w:hint="eastAsia" w:ascii="宋体" w:hAnsi="宋体" w:eastAsia="宋体" w:cs="宋体"/>
          <w:color w:val="0000FF"/>
          <w:kern w:val="2"/>
          <w:sz w:val="24"/>
          <w:szCs w:val="32"/>
          <w:lang w:val="en-US" w:eastAsia="zh-CN" w:bidi="ar-SA"/>
        </w:rPr>
        <w:t>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3.本项目的特定资格要求：</w:t>
      </w:r>
      <w:bookmarkStart w:id="241" w:name="_GoBack"/>
      <w:bookmarkEnd w:id="241"/>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rPr>
        <w:t>三、获</w:t>
      </w:r>
      <w:r>
        <w:rPr>
          <w:rFonts w:hint="eastAsia" w:ascii="宋体" w:hAnsi="宋体" w:eastAsia="宋体" w:cs="宋体"/>
          <w:b/>
          <w:bCs/>
          <w:sz w:val="24"/>
          <w:szCs w:val="32"/>
          <w:highlight w:val="none"/>
        </w:rPr>
        <w:t>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售价（元）：0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截止时间： 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开启时间：2023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color w:val="0000FF"/>
          <w:sz w:val="24"/>
          <w:szCs w:val="32"/>
        </w:rPr>
      </w:pPr>
      <w:r>
        <w:rPr>
          <w:rFonts w:hint="eastAsia" w:ascii="宋体" w:hAnsi="宋体" w:eastAsia="宋体" w:cs="宋体"/>
          <w:sz w:val="24"/>
          <w:szCs w:val="32"/>
        </w:rPr>
        <w:t>地点：政采云电子开标大厅</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w:t>
      </w:r>
      <w:r>
        <w:rPr>
          <w:rFonts w:hint="eastAsia" w:ascii="宋体" w:hAnsi="宋体" w:eastAsia="宋体" w:cs="宋体"/>
          <w:sz w:val="24"/>
          <w:szCs w:val="32"/>
          <w:lang w:val="en-US" w:eastAsia="zh-CN"/>
        </w:rPr>
        <w:t>5</w:t>
      </w:r>
      <w:r>
        <w:rPr>
          <w:rFonts w:hint="eastAsia" w:ascii="宋体" w:hAnsi="宋体" w:eastAsia="宋体" w:cs="宋体"/>
          <w:sz w:val="24"/>
          <w:szCs w:val="32"/>
        </w:rPr>
        <w:t>个工作日。</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1、本公告在新疆政府采购网及伊犁州公共资源交易平台发布。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8"/>
        <w:rPr>
          <w:rFonts w:hint="eastAsia" w:ascii="宋体" w:hAnsi="宋体" w:cs="宋体"/>
          <w:highlight w:val="none"/>
        </w:rPr>
      </w:pPr>
    </w:p>
    <w:p>
      <w:pPr>
        <w:pStyle w:val="9"/>
        <w:rPr>
          <w:rFonts w:hint="eastAsia" w:ascii="宋体" w:hAnsi="宋体" w:cs="宋体"/>
          <w:highlight w:val="none"/>
        </w:rPr>
      </w:pPr>
    </w:p>
    <w:p>
      <w:pPr>
        <w:rPr>
          <w:rFonts w:hint="eastAsia"/>
        </w:rPr>
      </w:pPr>
    </w:p>
    <w:p>
      <w:pPr>
        <w:rPr>
          <w:rFonts w:hint="eastAsia"/>
        </w:rPr>
      </w:pPr>
    </w:p>
    <w:p>
      <w:pPr>
        <w:pStyle w:val="6"/>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cs="宋体"/>
                <w:i w:val="0"/>
                <w:iCs w:val="0"/>
                <w:caps w:val="0"/>
                <w:color w:val="0000FF"/>
                <w:spacing w:val="0"/>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cs="宋体"/>
                <w:i w:val="0"/>
                <w:iCs w:val="0"/>
                <w:caps w:val="0"/>
                <w:color w:val="0000FF"/>
                <w:spacing w:val="0"/>
                <w:sz w:val="24"/>
                <w:szCs w:val="24"/>
                <w:highlight w:val="none"/>
                <w:lang w:eastAsia="zh-CN"/>
              </w:rPr>
              <w:t>新源县2023-2024年乡镇、村庄国土空间总体规划编制项目（五标段）</w:t>
            </w:r>
          </w:p>
          <w:p>
            <w:pPr>
              <w:spacing w:line="360" w:lineRule="auto"/>
              <w:rPr>
                <w:rFonts w:hint="default"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w:t>
            </w:r>
            <w:r>
              <w:rPr>
                <w:rFonts w:hint="eastAsia" w:ascii="宋体" w:hAnsi="宋体" w:eastAsia="宋体" w:cs="宋体"/>
                <w:color w:val="0000FF"/>
                <w:kern w:val="0"/>
                <w:sz w:val="24"/>
                <w:szCs w:val="32"/>
                <w:highlight w:val="none"/>
                <w:lang w:val="en-US" w:eastAsia="zh-CN" w:bidi="ar-SA"/>
              </w:rPr>
              <w:t>XJJZZB-202307250</w:t>
            </w:r>
            <w:r>
              <w:rPr>
                <w:rFonts w:hint="eastAsia" w:ascii="宋体" w:hAnsi="宋体" w:cs="宋体"/>
                <w:color w:val="0000FF"/>
                <w:kern w:val="0"/>
                <w:sz w:val="24"/>
                <w:szCs w:val="32"/>
                <w:highlight w:val="none"/>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eastAsia="宋体" w:cs="宋体"/>
                <w:b/>
                <w:bCs/>
                <w:color w:val="C00000"/>
                <w:kern w:val="2"/>
                <w:sz w:val="24"/>
                <w:szCs w:val="32"/>
                <w:highlight w:val="none"/>
                <w:lang w:val="en-US" w:eastAsia="zh-CN" w:bidi="ar-SA"/>
              </w:rPr>
              <w:t>对</w:t>
            </w:r>
            <w:r>
              <w:rPr>
                <w:rFonts w:hint="eastAsia" w:ascii="宋体" w:hAnsi="宋体" w:eastAsia="宋体" w:cs="宋体"/>
                <w:b/>
                <w:bCs/>
                <w:color w:val="C00000"/>
                <w:sz w:val="24"/>
                <w:szCs w:val="32"/>
                <w:highlight w:val="none"/>
                <w:lang w:eastAsia="zh-CN"/>
              </w:rPr>
              <w:t>塔勒德镇喀尔哈勒村、塔勒德萨尔喀木斯村、塔勒德镇加尔吾特克勒村、塔勒德镇木斯村、塔勒德镇玉什托别村</w:t>
            </w:r>
            <w:r>
              <w:rPr>
                <w:rFonts w:hint="eastAsia" w:ascii="宋体" w:hAnsi="宋体" w:eastAsia="宋体" w:cs="宋体"/>
                <w:b/>
                <w:bCs/>
                <w:color w:val="C00000"/>
                <w:sz w:val="24"/>
                <w:szCs w:val="32"/>
                <w:highlight w:val="none"/>
                <w:lang w:val="en-US" w:eastAsia="zh-CN"/>
              </w:rPr>
              <w:t>编</w:t>
            </w:r>
            <w:r>
              <w:rPr>
                <w:rFonts w:hint="eastAsia" w:ascii="宋体" w:hAnsi="宋体" w:eastAsia="宋体" w:cs="宋体"/>
                <w:b/>
                <w:bCs/>
                <w:color w:val="C00000"/>
                <w:kern w:val="2"/>
                <w:sz w:val="24"/>
                <w:szCs w:val="32"/>
                <w:highlight w:val="none"/>
                <w:lang w:val="en-US" w:eastAsia="zh-CN" w:bidi="ar-SA"/>
              </w:rPr>
              <w:t>制村庄规划并形成规划数据库，数据库格式符合自治区平台接入标准</w:t>
            </w:r>
            <w:r>
              <w:rPr>
                <w:rFonts w:hint="eastAsia" w:ascii="宋体" w:hAnsi="宋体" w:eastAsia="宋体" w:cs="宋体"/>
                <w:b/>
                <w:bCs/>
                <w:color w:val="C00000"/>
                <w:sz w:val="24"/>
                <w:szCs w:val="32"/>
                <w:highlight w:val="none"/>
                <w:lang w:val="en-US" w:eastAsia="zh-CN"/>
              </w:rPr>
              <w:t>（具体采购要求详见采购文件第六章：项目基本情况及采购内容）。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eastAsia="zh-CN"/>
              </w:rPr>
              <w:t>合同履约</w:t>
            </w:r>
            <w:r>
              <w:rPr>
                <w:rFonts w:hint="eastAsia" w:ascii="宋体" w:hAnsi="宋体" w:cs="宋体"/>
                <w:color w:val="000000"/>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C00000"/>
                <w:sz w:val="24"/>
                <w:szCs w:val="32"/>
                <w:highlight w:val="none"/>
                <w:lang w:eastAsia="zh-CN"/>
              </w:rPr>
              <w:t>202</w:t>
            </w:r>
            <w:r>
              <w:rPr>
                <w:rFonts w:hint="eastAsia" w:ascii="宋体" w:hAnsi="宋体" w:eastAsia="宋体" w:cs="宋体"/>
                <w:b/>
                <w:bCs/>
                <w:color w:val="C00000"/>
                <w:sz w:val="24"/>
                <w:szCs w:val="32"/>
                <w:highlight w:val="none"/>
                <w:lang w:val="en-US" w:eastAsia="zh-CN"/>
              </w:rPr>
              <w:t>4</w:t>
            </w:r>
            <w:r>
              <w:rPr>
                <w:rFonts w:hint="eastAsia" w:ascii="宋体" w:hAnsi="宋体" w:eastAsia="宋体" w:cs="宋体"/>
                <w:b/>
                <w:bCs/>
                <w:color w:val="C00000"/>
                <w:sz w:val="24"/>
                <w:szCs w:val="32"/>
                <w:highlight w:val="none"/>
                <w:lang w:eastAsia="zh-CN"/>
              </w:rPr>
              <w:t>年1</w:t>
            </w:r>
            <w:r>
              <w:rPr>
                <w:rFonts w:hint="eastAsia" w:ascii="宋体" w:hAnsi="宋体" w:eastAsia="宋体" w:cs="宋体"/>
                <w:b/>
                <w:bCs/>
                <w:color w:val="C00000"/>
                <w:sz w:val="24"/>
                <w:szCs w:val="32"/>
                <w:highlight w:val="none"/>
                <w:lang w:val="en-US" w:eastAsia="zh-CN"/>
              </w:rPr>
              <w:t>2</w:t>
            </w:r>
            <w:r>
              <w:rPr>
                <w:rFonts w:hint="eastAsia" w:ascii="宋体" w:hAnsi="宋体" w:eastAsia="宋体" w:cs="宋体"/>
                <w:b/>
                <w:bCs/>
                <w:color w:val="C00000"/>
                <w:sz w:val="24"/>
                <w:szCs w:val="32"/>
                <w:highlight w:val="none"/>
                <w:lang w:eastAsia="zh-CN"/>
              </w:rPr>
              <w:t>月</w:t>
            </w:r>
            <w:r>
              <w:rPr>
                <w:rFonts w:hint="eastAsia" w:ascii="宋体" w:hAnsi="宋体" w:eastAsia="宋体" w:cs="宋体"/>
                <w:b/>
                <w:bCs/>
                <w:color w:val="C00000"/>
                <w:sz w:val="24"/>
                <w:szCs w:val="32"/>
                <w:highlight w:val="none"/>
                <w:lang w:val="en-US" w:eastAsia="zh-CN"/>
              </w:rPr>
              <w:t>31</w:t>
            </w:r>
            <w:r>
              <w:rPr>
                <w:rFonts w:hint="eastAsia" w:ascii="宋体" w:hAnsi="宋体" w:eastAsia="宋体" w:cs="宋体"/>
                <w:b/>
                <w:bCs/>
                <w:color w:val="C00000"/>
                <w:sz w:val="24"/>
                <w:szCs w:val="32"/>
                <w:highlight w:val="none"/>
                <w:lang w:eastAsia="zh-CN"/>
              </w:rPr>
              <w:t>日前完成并提交成果报告。</w:t>
            </w:r>
            <w:r>
              <w:rPr>
                <w:rFonts w:hint="eastAsia" w:ascii="宋体" w:hAnsi="宋体" w:eastAsia="宋体" w:cs="宋体"/>
                <w:b/>
                <w:bCs/>
                <w:color w:val="C00000"/>
                <w:sz w:val="24"/>
                <w:szCs w:val="32"/>
                <w:highlight w:val="none"/>
                <w:lang w:val="en-US" w:eastAsia="zh-CN"/>
              </w:rPr>
              <w:t>（具体以双方签订的合同为准）。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本标段供应商为小微企业，</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w:t>
            </w:r>
            <w:r>
              <w:rPr>
                <w:rFonts w:hint="eastAsia" w:ascii="宋体" w:hAnsi="宋体" w:cs="宋体"/>
                <w:b/>
                <w:bCs/>
                <w:color w:val="0000FF"/>
                <w:kern w:val="2"/>
                <w:sz w:val="24"/>
                <w:szCs w:val="24"/>
                <w:highlight w:val="none"/>
                <w:u w:val="single"/>
                <w:lang w:val="en-US" w:eastAsia="zh-CN" w:bidi="ar-SA"/>
              </w:rPr>
              <w:t>2</w:t>
            </w:r>
            <w:r>
              <w:rPr>
                <w:rFonts w:hint="eastAsia" w:ascii="宋体" w:hAnsi="宋体" w:eastAsia="宋体" w:cs="宋体"/>
                <w:b/>
                <w:bCs/>
                <w:color w:val="0000FF"/>
                <w:kern w:val="2"/>
                <w:sz w:val="24"/>
                <w:szCs w:val="24"/>
                <w:highlight w:val="none"/>
                <w:u w:val="single"/>
                <w:lang w:val="en-US" w:eastAsia="zh-CN" w:bidi="ar-SA"/>
              </w:rPr>
              <w:t>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壹佰贰拾伍万元整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最高限价</w:t>
            </w:r>
          </w:p>
        </w:tc>
        <w:tc>
          <w:tcPr>
            <w:tcW w:w="6542" w:type="dxa"/>
            <w:tcBorders>
              <w:tl2br w:val="nil"/>
              <w:tr2bl w:val="nil"/>
            </w:tcBorders>
            <w:vAlign w:val="center"/>
          </w:tcPr>
          <w:p>
            <w:pPr>
              <w:spacing w:line="360" w:lineRule="auto"/>
              <w:rPr>
                <w:b/>
                <w:bCs w:val="0"/>
                <w:color w:val="C00000"/>
                <w:highlight w:val="none"/>
              </w:rPr>
            </w:pPr>
            <w:r>
              <w:rPr>
                <w:rFonts w:hint="eastAsia" w:ascii="新宋体" w:hAnsi="新宋体" w:eastAsia="新宋体" w:cs="新宋体"/>
                <w:b/>
                <w:bCs w:val="0"/>
                <w:color w:val="C00000"/>
                <w:sz w:val="24"/>
                <w:szCs w:val="24"/>
                <w:highlight w:val="none"/>
                <w:lang w:val="en-US" w:eastAsia="zh-CN"/>
              </w:rPr>
              <w:t>最高限价：</w:t>
            </w:r>
            <w:r>
              <w:rPr>
                <w:rFonts w:hint="eastAsia" w:ascii="宋体" w:hAnsi="宋体" w:eastAsia="宋体" w:cs="宋体"/>
                <w:b/>
                <w:bCs w:val="0"/>
                <w:color w:val="C00000"/>
                <w:kern w:val="2"/>
                <w:sz w:val="24"/>
                <w:szCs w:val="24"/>
                <w:highlight w:val="none"/>
                <w:u w:val="single"/>
                <w:lang w:val="en-US" w:eastAsia="zh-CN" w:bidi="ar-SA"/>
              </w:rPr>
              <w:t>¥1</w:t>
            </w:r>
            <w:r>
              <w:rPr>
                <w:rFonts w:hint="eastAsia" w:ascii="宋体" w:hAnsi="宋体" w:cs="宋体"/>
                <w:b/>
                <w:bCs w:val="0"/>
                <w:color w:val="C00000"/>
                <w:kern w:val="2"/>
                <w:sz w:val="24"/>
                <w:szCs w:val="24"/>
                <w:highlight w:val="none"/>
                <w:u w:val="single"/>
                <w:lang w:val="en-US" w:eastAsia="zh-CN" w:bidi="ar-SA"/>
              </w:rPr>
              <w:t>2</w:t>
            </w:r>
            <w:r>
              <w:rPr>
                <w:rFonts w:hint="eastAsia" w:ascii="宋体" w:hAnsi="宋体" w:eastAsia="宋体" w:cs="宋体"/>
                <w:b/>
                <w:bCs w:val="0"/>
                <w:color w:val="C00000"/>
                <w:kern w:val="2"/>
                <w:sz w:val="24"/>
                <w:szCs w:val="24"/>
                <w:highlight w:val="none"/>
                <w:u w:val="single"/>
                <w:lang w:val="en-US" w:eastAsia="zh-CN" w:bidi="ar-SA"/>
              </w:rPr>
              <w:t>50000</w:t>
            </w:r>
            <w:r>
              <w:rPr>
                <w:rFonts w:hint="eastAsia" w:ascii="宋体" w:hAnsi="宋体" w:cs="宋体"/>
                <w:b/>
                <w:bCs w:val="0"/>
                <w:color w:val="C00000"/>
                <w:kern w:val="2"/>
                <w:sz w:val="24"/>
                <w:szCs w:val="24"/>
                <w:highlight w:val="none"/>
                <w:u w:val="single"/>
                <w:lang w:val="en-US" w:eastAsia="zh-CN" w:bidi="ar-SA"/>
              </w:rPr>
              <w:t>.00</w:t>
            </w:r>
            <w:r>
              <w:rPr>
                <w:rFonts w:hint="eastAsia" w:ascii="宋体" w:hAnsi="宋体" w:eastAsia="宋体" w:cs="宋体"/>
                <w:b/>
                <w:bCs w:val="0"/>
                <w:color w:val="C00000"/>
                <w:kern w:val="2"/>
                <w:sz w:val="24"/>
                <w:szCs w:val="24"/>
                <w:highlight w:val="none"/>
                <w:u w:val="single"/>
                <w:lang w:val="en-US" w:eastAsia="zh-CN" w:bidi="ar-SA"/>
              </w:rPr>
              <w:t>元（大写：</w:t>
            </w:r>
            <w:r>
              <w:rPr>
                <w:rFonts w:hint="eastAsia" w:ascii="宋体" w:hAnsi="宋体" w:cs="宋体"/>
                <w:b/>
                <w:bCs w:val="0"/>
                <w:color w:val="C00000"/>
                <w:kern w:val="2"/>
                <w:sz w:val="24"/>
                <w:szCs w:val="24"/>
                <w:highlight w:val="none"/>
                <w:u w:val="single"/>
                <w:lang w:val="en-US" w:eastAsia="zh-CN" w:bidi="ar-SA"/>
              </w:rPr>
              <w:t>壹佰贰拾伍万元整</w:t>
            </w:r>
            <w:r>
              <w:rPr>
                <w:rFonts w:hint="eastAsia" w:ascii="宋体" w:hAnsi="宋体" w:eastAsia="宋体" w:cs="宋体"/>
                <w:b/>
                <w:bCs w:val="0"/>
                <w:color w:val="C00000"/>
                <w:kern w:val="2"/>
                <w:sz w:val="24"/>
                <w:szCs w:val="24"/>
                <w:highlight w:val="none"/>
                <w:u w:val="single"/>
                <w:lang w:val="en-US" w:eastAsia="zh-CN" w:bidi="ar-SA"/>
              </w:rPr>
              <w:t>）</w:t>
            </w:r>
            <w:r>
              <w:rPr>
                <w:rFonts w:hint="eastAsia" w:ascii="宋体" w:hAnsi="宋体" w:eastAsia="宋体" w:cs="宋体"/>
                <w:b/>
                <w:bCs w:val="0"/>
                <w:color w:val="C00000"/>
                <w:kern w:val="2"/>
                <w:sz w:val="24"/>
                <w:szCs w:val="24"/>
                <w:highlight w:val="none"/>
                <w:lang w:val="en-US" w:eastAsia="zh-CN" w:bidi="ar-SA"/>
              </w:rPr>
              <w:t>；</w:t>
            </w:r>
          </w:p>
          <w:p>
            <w:pPr>
              <w:spacing w:line="360" w:lineRule="auto"/>
              <w:jc w:val="left"/>
              <w:rPr>
                <w:rFonts w:hint="eastAsia" w:ascii="宋体" w:hAnsi="宋体" w:eastAsia="宋体" w:cs="宋体"/>
                <w:color w:val="FF0000"/>
                <w:sz w:val="24"/>
                <w:szCs w:val="24"/>
                <w:highlight w:val="none"/>
                <w:lang w:val="en-US" w:eastAsia="zh-CN"/>
              </w:rPr>
            </w:pPr>
            <w:r>
              <w:rPr>
                <w:rFonts w:hint="eastAsia" w:ascii="新宋体" w:hAnsi="新宋体" w:eastAsia="新宋体" w:cs="新宋体"/>
                <w:b/>
                <w:bCs w:val="0"/>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cs="宋体"/>
                <w:b/>
                <w:bCs/>
                <w:color w:val="0000FF"/>
                <w:kern w:val="2"/>
                <w:sz w:val="24"/>
                <w:szCs w:val="24"/>
                <w:highlight w:val="none"/>
                <w:u w:val="single"/>
                <w:lang w:val="en-US" w:eastAsia="zh-CN" w:bidi="ar-SA"/>
              </w:rPr>
              <w:t>贰</w:t>
            </w:r>
            <w:r>
              <w:rPr>
                <w:rFonts w:hint="eastAsia" w:ascii="宋体" w:hAnsi="宋体" w:eastAsia="宋体" w:cs="宋体"/>
                <w:b/>
                <w:bCs/>
                <w:color w:val="0000FF"/>
                <w:kern w:val="2"/>
                <w:sz w:val="24"/>
                <w:szCs w:val="24"/>
                <w:highlight w:val="none"/>
                <w:u w:val="single"/>
                <w:lang w:val="en-US" w:eastAsia="zh-CN" w:bidi="ar-SA"/>
              </w:rPr>
              <w:t>万元整（人民币</w:t>
            </w:r>
            <w:r>
              <w:rPr>
                <w:rFonts w:hint="eastAsia" w:ascii="宋体" w:hAnsi="宋体" w:cs="宋体"/>
                <w:b/>
                <w:bCs/>
                <w:color w:val="0000FF"/>
                <w:kern w:val="2"/>
                <w:sz w:val="24"/>
                <w:szCs w:val="24"/>
                <w:highlight w:val="none"/>
                <w:u w:val="single"/>
                <w:lang w:val="en-US" w:eastAsia="zh-CN" w:bidi="ar-SA"/>
              </w:rPr>
              <w:t>2</w:t>
            </w:r>
            <w:r>
              <w:rPr>
                <w:rFonts w:hint="eastAsia" w:ascii="宋体" w:hAnsi="宋体" w:eastAsia="宋体" w:cs="宋体"/>
                <w:b/>
                <w:bCs/>
                <w:color w:val="0000FF"/>
                <w:kern w:val="2"/>
                <w:sz w:val="24"/>
                <w:szCs w:val="24"/>
                <w:highlight w:val="none"/>
                <w:u w:val="single"/>
                <w:lang w:val="en-US" w:eastAsia="zh-CN" w:bidi="ar-SA"/>
              </w:rPr>
              <w:t>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spacing w:line="360" w:lineRule="auto"/>
              <w:rPr>
                <w:rFonts w:hint="eastAsia" w:ascii="宋体" w:hAnsi="宋体" w:eastAsia="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w:t>
            </w:r>
            <w:r>
              <w:rPr>
                <w:rFonts w:hint="eastAsia" w:ascii="宋体" w:hAnsi="宋体" w:eastAsia="宋体" w:cs="宋体"/>
                <w:b/>
                <w:bCs/>
                <w:color w:val="0000FF"/>
                <w:sz w:val="24"/>
                <w:szCs w:val="24"/>
                <w:highlight w:val="none"/>
                <w:lang w:val="zh-CN" w:eastAsia="zh-CN"/>
              </w:rPr>
              <w:t>告发布</w:t>
            </w:r>
            <w:r>
              <w:rPr>
                <w:rFonts w:hint="eastAsia" w:ascii="宋体" w:hAnsi="宋体" w:eastAsia="宋体" w:cs="宋体"/>
                <w:b/>
                <w:bCs/>
                <w:color w:val="0000FF"/>
                <w:sz w:val="24"/>
                <w:szCs w:val="24"/>
                <w:highlight w:val="none"/>
                <w:lang w:val="en-US" w:eastAsia="zh-CN"/>
              </w:rPr>
              <w:t>之日起至投标截止时间内</w:t>
            </w:r>
            <w:r>
              <w:rPr>
                <w:rFonts w:hint="eastAsia" w:ascii="宋体" w:hAnsi="宋体" w:eastAsia="宋体" w:cs="宋体"/>
                <w:b/>
                <w:bCs/>
                <w:color w:val="0000FF"/>
                <w:sz w:val="24"/>
                <w:szCs w:val="24"/>
                <w:highlight w:val="none"/>
                <w:lang w:val="zh-CN" w:eastAsia="zh-CN"/>
              </w:rPr>
              <w:t>从上述网站中打印并加盖企业公章）（</w:t>
            </w:r>
            <w:r>
              <w:rPr>
                <w:rFonts w:hint="eastAsia" w:ascii="宋体" w:hAnsi="宋体" w:eastAsia="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zh-CN" w:eastAsia="zh-CN"/>
              </w:rPr>
              <w:t>）</w:t>
            </w:r>
            <w:r>
              <w:rPr>
                <w:rFonts w:hint="eastAsia" w:ascii="宋体" w:hAnsi="宋体" w:eastAsia="宋体" w:cs="宋体"/>
                <w:b/>
                <w:bCs/>
                <w:color w:val="0000FF"/>
                <w:sz w:val="24"/>
                <w:szCs w:val="24"/>
                <w:highlight w:val="none"/>
                <w:lang w:val="en-US" w:eastAsia="zh-CN"/>
              </w:rPr>
              <w:t>投标文件中按要求提供中小企业声明函或监狱企业证明文件或残疾人福利性单位声明函。</w:t>
            </w:r>
          </w:p>
          <w:p>
            <w:pPr>
              <w:spacing w:line="360" w:lineRule="auto"/>
              <w:rPr>
                <w:rFonts w:ascii="宋体" w:hAnsi="宋体" w:cs="宋体"/>
                <w:color w:val="000000"/>
                <w:kern w:val="0"/>
                <w:sz w:val="24"/>
                <w:szCs w:val="24"/>
                <w:highlight w:val="none"/>
              </w:rPr>
            </w:pPr>
            <w:r>
              <w:rPr>
                <w:rFonts w:hint="eastAsia" w:ascii="宋体" w:hAnsi="宋体" w:eastAsia="宋体" w:cs="宋体"/>
                <w:b/>
                <w:bCs/>
                <w:color w:val="0000FF"/>
                <w:sz w:val="24"/>
                <w:szCs w:val="24"/>
                <w:highlight w:val="none"/>
                <w:lang w:val="en-US" w:eastAsia="zh-CN"/>
              </w:rPr>
              <w:t>说明：1、上述资料为开标时资格审查的必备条件，如果缺</w:t>
            </w:r>
            <w:r>
              <w:rPr>
                <w:rFonts w:hint="eastAsia" w:ascii="宋体" w:hAnsi="宋体" w:cs="宋体"/>
                <w:b/>
                <w:bCs/>
                <w:color w:val="0000FF"/>
                <w:sz w:val="24"/>
                <w:szCs w:val="24"/>
                <w:highlight w:val="none"/>
                <w:lang w:val="en-US" w:eastAsia="zh-CN"/>
              </w:rPr>
              <w:t>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0"/>
                <w:sz w:val="24"/>
                <w:szCs w:val="28"/>
                <w:highlight w:val="none"/>
                <w:lang w:val="en-US" w:eastAsia="en-US"/>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b w:val="0"/>
                <w:bCs w:val="0"/>
                <w:color w:val="auto"/>
                <w:sz w:val="24"/>
                <w:szCs w:val="28"/>
                <w:highlight w:val="none"/>
              </w:rPr>
            </w:pPr>
            <w:r>
              <w:rPr>
                <w:rFonts w:hint="eastAsia" w:ascii="宋体" w:hAnsi="宋体" w:cs="宋体"/>
                <w:b w:val="0"/>
                <w:bCs w:val="0"/>
                <w:color w:val="auto"/>
                <w:sz w:val="24"/>
                <w:szCs w:val="24"/>
                <w:highlight w:val="none"/>
              </w:rPr>
              <w:t>合同签订</w:t>
            </w:r>
          </w:p>
        </w:tc>
        <w:tc>
          <w:tcPr>
            <w:tcW w:w="6542" w:type="dxa"/>
            <w:tcBorders>
              <w:tl2br w:val="nil"/>
              <w:tr2bl w:val="nil"/>
            </w:tcBorders>
            <w:vAlign w:val="center"/>
          </w:tcPr>
          <w:p>
            <w:pPr>
              <w:spacing w:line="360" w:lineRule="auto"/>
              <w:rPr>
                <w:rFonts w:ascii="宋体" w:hAnsi="宋体"/>
                <w:b w:val="0"/>
                <w:bCs w:val="0"/>
                <w:color w:val="auto"/>
                <w:sz w:val="24"/>
                <w:szCs w:val="28"/>
                <w:highlight w:val="none"/>
              </w:rPr>
            </w:pPr>
            <w:r>
              <w:rPr>
                <w:rFonts w:hint="eastAsia" w:ascii="宋体" w:hAnsi="宋体" w:eastAsia="宋体" w:cs="宋体"/>
                <w:b w:val="0"/>
                <w:bCs w:val="0"/>
                <w:color w:val="auto"/>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auto"/>
                <w:sz w:val="24"/>
                <w:szCs w:val="24"/>
                <w:highlight w:val="none"/>
              </w:rPr>
              <w:t>具体</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kern w:val="0"/>
                <w:sz w:val="24"/>
                <w:szCs w:val="28"/>
                <w:highlight w:val="none"/>
                <w:lang w:val="en-US" w:eastAsia="zh-CN" w:bidi="ar-SA"/>
              </w:rPr>
              <w:t>以双方实际</w:t>
            </w:r>
            <w:r>
              <w:rPr>
                <w:rFonts w:hint="eastAsia" w:ascii="宋体" w:hAnsi="宋体" w:cs="宋体"/>
                <w:b w:val="0"/>
                <w:bCs w:val="0"/>
                <w:color w:val="auto"/>
                <w:sz w:val="24"/>
                <w:szCs w:val="24"/>
                <w:highlight w:val="none"/>
              </w:rPr>
              <w:t>签订服务合同</w:t>
            </w:r>
            <w:r>
              <w:rPr>
                <w:rFonts w:hint="eastAsia" w:ascii="宋体" w:hAnsi="宋体" w:cs="宋体"/>
                <w:b w:val="0"/>
                <w:bCs w:val="0"/>
                <w:color w:val="auto"/>
                <w:sz w:val="24"/>
                <w:szCs w:val="24"/>
                <w:highlight w:val="none"/>
                <w:lang w:eastAsia="zh-CN"/>
              </w:rPr>
              <w:t>为准</w:t>
            </w:r>
            <w:r>
              <w:rPr>
                <w:rFonts w:hint="eastAsia" w:ascii="宋体" w:hAnsi="宋体" w:eastAsia="宋体" w:cs="宋体"/>
                <w:b w:val="0"/>
                <w:bCs w:val="0"/>
                <w:color w:val="auto"/>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支付形式：</w:t>
            </w:r>
            <w:r>
              <w:rPr>
                <w:rFonts w:hint="eastAsia" w:ascii="宋体" w:hAnsi="宋体" w:eastAsia="宋体" w:cs="宋体"/>
                <w:sz w:val="24"/>
                <w:szCs w:val="24"/>
                <w:highlight w:val="none"/>
                <w:u w:val="single"/>
              </w:rPr>
              <w:t xml:space="preserve">现金或电汇 </w:t>
            </w:r>
          </w:p>
          <w:p>
            <w:pPr>
              <w:spacing w:line="360" w:lineRule="auto"/>
              <w:rPr>
                <w:rFonts w:hint="eastAsia" w:ascii="宋体" w:hAnsi="宋体"/>
                <w:sz w:val="24"/>
                <w:szCs w:val="28"/>
                <w:highlight w:val="none"/>
                <w:lang w:val="en-US" w:eastAsia="zh-CN"/>
              </w:rPr>
            </w:pPr>
            <w:r>
              <w:rPr>
                <w:rFonts w:hint="eastAsia" w:ascii="宋体" w:hAnsi="宋体" w:eastAsia="宋体" w:cs="宋体"/>
                <w:sz w:val="24"/>
                <w:szCs w:val="24"/>
                <w:highlight w:val="none"/>
              </w:rPr>
              <w:t>支付时间：</w:t>
            </w:r>
            <w:r>
              <w:rPr>
                <w:rFonts w:hint="eastAsia" w:ascii="宋体" w:hAnsi="宋体" w:eastAsia="宋体" w:cs="宋体"/>
                <w:sz w:val="24"/>
                <w:szCs w:val="24"/>
                <w:highlight w:val="none"/>
                <w:u w:val="single"/>
              </w:rPr>
              <w:t>由</w:t>
            </w:r>
            <w:r>
              <w:rPr>
                <w:rFonts w:hint="eastAsia" w:ascii="宋体" w:hAnsi="宋体" w:cs="宋体"/>
                <w:sz w:val="24"/>
                <w:szCs w:val="24"/>
                <w:highlight w:val="none"/>
                <w:u w:val="single"/>
                <w:lang w:val="en-US" w:eastAsia="zh-CN"/>
              </w:rPr>
              <w:t>成交供应商在领取成交通知书时一</w:t>
            </w:r>
            <w:r>
              <w:rPr>
                <w:rFonts w:hint="eastAsia" w:ascii="宋体" w:hAnsi="宋体" w:eastAsia="宋体" w:cs="宋体"/>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新疆久质工程项目咨询管理有限公司</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eastAsia="zh-CN"/>
              </w:rPr>
              <w:t>赵</w:t>
            </w:r>
            <w:r>
              <w:rPr>
                <w:rFonts w:hint="eastAsia" w:ascii="宋体" w:hAnsi="宋体" w:eastAsia="宋体" w:cs="宋体"/>
                <w:kern w:val="0"/>
                <w:sz w:val="24"/>
                <w:szCs w:val="28"/>
                <w:highlight w:val="none"/>
                <w:u w:val="single"/>
                <w:lang w:val="en-US" w:eastAsia="zh-CN"/>
              </w:rPr>
              <w:t>媛媛</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eastAsia="zh-CN"/>
              </w:rPr>
              <w:t>0999-8993</w:t>
            </w:r>
            <w:r>
              <w:rPr>
                <w:rFonts w:hint="eastAsia" w:ascii="宋体" w:hAnsi="宋体" w:cs="宋体"/>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伊宁经济合作区金茂.新天地A座8楼814室 </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sz w:val="24"/>
                <w:szCs w:val="28"/>
                <w:highlight w:val="none"/>
                <w:lang w:val="en-US" w:eastAsia="zh-CN"/>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9</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9-企业近三年类似业绩</w:t>
      </w:r>
      <w:r>
        <w:rPr>
          <w:rFonts w:hint="eastAsia" w:ascii="宋体" w:hAnsi="宋体" w:cs="宋体"/>
          <w:b/>
          <w:bCs/>
          <w:color w:val="auto"/>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-服务承诺</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22507_WPSOffice_Level2"/>
      <w:bookmarkStart w:id="9" w:name="_Toc31973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w:t>
      </w:r>
      <w:r>
        <w:rPr>
          <w:rFonts w:hint="eastAsia" w:hAnsi="宋体" w:cs="宋体"/>
          <w:sz w:val="24"/>
          <w:szCs w:val="20"/>
          <w:highlight w:val="none"/>
          <w:lang w:eastAsia="zh-CN"/>
        </w:rPr>
        <w:t>第三章 评标方法</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w:t>
      </w:r>
      <w:r>
        <w:rPr>
          <w:rFonts w:hint="eastAsia" w:hAnsi="宋体" w:eastAsia="宋体" w:cs="宋体"/>
          <w:color w:val="auto"/>
          <w:sz w:val="24"/>
          <w:szCs w:val="20"/>
          <w:highlight w:val="none"/>
          <w:lang w:eastAsia="zh-CN"/>
        </w:rPr>
        <w:t>为其价格分</w:t>
      </w:r>
      <w:r>
        <w:rPr>
          <w:rFonts w:hint="eastAsia" w:ascii="宋体" w:hAnsi="宋体" w:eastAsia="宋体" w:cs="宋体"/>
          <w:color w:val="auto"/>
          <w:sz w:val="24"/>
          <w:szCs w:val="20"/>
          <w:highlight w:val="none"/>
        </w:rPr>
        <w:t>。具体详见</w:t>
      </w:r>
      <w:r>
        <w:rPr>
          <w:rFonts w:hint="eastAsia" w:hAnsi="宋体" w:cs="宋体"/>
          <w:color w:val="auto"/>
          <w:sz w:val="24"/>
          <w:szCs w:val="20"/>
          <w:highlight w:val="none"/>
          <w:lang w:eastAsia="zh-CN"/>
        </w:rPr>
        <w:t>第三章 评标方法</w:t>
      </w:r>
      <w:r>
        <w:rPr>
          <w:rFonts w:hint="eastAsia" w:ascii="宋体" w:hAnsi="宋体" w:eastAsia="宋体" w:cs="宋体"/>
          <w:color w:val="auto"/>
          <w:sz w:val="24"/>
          <w:szCs w:val="20"/>
          <w:highlight w:val="none"/>
        </w:rPr>
        <w:t>。</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430715133"/>
      <w:bookmarkStart w:id="13" w:name="_Toc22711"/>
      <w:bookmarkStart w:id="14" w:name="_Toc477194748"/>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rPr>
          <w:rFonts w:ascii="宋体" w:hAnsi="宋体" w:cs="宋体"/>
          <w:b/>
          <w:bCs/>
          <w:sz w:val="28"/>
          <w:szCs w:val="28"/>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8</w:t>
            </w:r>
          </w:p>
        </w:tc>
        <w:tc>
          <w:tcPr>
            <w:tcW w:w="4870" w:type="dxa"/>
            <w:vAlign w:val="center"/>
          </w:tcPr>
          <w:p>
            <w:pPr>
              <w:pStyle w:val="11"/>
              <w:adjustRightInd w:val="0"/>
              <w:snapToGrid w:val="0"/>
              <w:spacing w:line="360" w:lineRule="auto"/>
              <w:rPr>
                <w:rFonts w:ascii="宋体" w:hAnsi="宋体" w:cs="宋体"/>
                <w:sz w:val="22"/>
                <w:szCs w:val="21"/>
                <w:highlight w:val="none"/>
              </w:rPr>
            </w:pPr>
            <w:r>
              <w:rPr>
                <w:rFonts w:hint="eastAsia" w:ascii="宋体" w:hAnsi="宋体" w:cs="宋体"/>
                <w:b w:val="0"/>
                <w:bCs w:val="0"/>
                <w:sz w:val="24"/>
                <w:szCs w:val="20"/>
                <w:highlight w:val="none"/>
                <w:lang w:val="en-US" w:eastAsia="zh-CN"/>
              </w:rPr>
              <w:t>投标文件中按要求提供中小企业声明函或监狱企业证明文件或残疾人福利性单位声明函；</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rPr>
              <w:t>9</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lang w:val="en-US" w:eastAsia="zh-CN"/>
              </w:rPr>
              <w:t>11</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hint="eastAsia" w:ascii="宋体" w:hAnsi="宋体" w:cs="宋体"/>
          <w:highlight w:val="none"/>
          <w:lang w:eastAsia="zh-CN"/>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numPr>
          <w:ilvl w:val="0"/>
          <w:numId w:val="0"/>
        </w:numPr>
        <w:jc w:val="both"/>
        <w:rPr>
          <w:rFonts w:hint="eastAsia" w:ascii="宋体" w:hAnsi="宋体" w:cs="宋体"/>
          <w:b/>
          <w:bCs/>
          <w:color w:val="auto"/>
          <w:sz w:val="28"/>
          <w:szCs w:val="28"/>
          <w:highlight w:val="none"/>
        </w:rPr>
      </w:pPr>
    </w:p>
    <w:p>
      <w:pPr>
        <w:numPr>
          <w:ilvl w:val="0"/>
          <w:numId w:val="0"/>
        </w:numPr>
        <w:jc w:val="both"/>
        <w:rPr>
          <w:rFonts w:hint="eastAsia" w:ascii="宋体" w:hAnsi="宋体" w:cs="宋体"/>
          <w:b/>
          <w:bCs/>
          <w:color w:val="auto"/>
          <w:sz w:val="28"/>
          <w:szCs w:val="28"/>
          <w:highlight w:val="none"/>
        </w:rPr>
      </w:pPr>
    </w:p>
    <w:p>
      <w:pPr>
        <w:numPr>
          <w:ilvl w:val="0"/>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评分细则</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投标报价得分 =（Cmin / C）×</w:t>
            </w:r>
            <w:r>
              <w:rPr>
                <w:rFonts w:hint="eastAsia"/>
                <w:color w:val="auto"/>
                <w:highlight w:val="none"/>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highlight w:val="none"/>
              </w:rPr>
            </w:pPr>
            <w:r>
              <w:rPr>
                <w:rFonts w:hint="eastAsia"/>
                <w:color w:val="auto"/>
                <w:highlight w:val="none"/>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color w:val="auto"/>
                <w:highlight w:val="none"/>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default" w:ascii="Times New Roman" w:hAnsi="Times New Roman" w:cs="Times New Roman"/>
                <w:lang w:val="en-US" w:eastAsia="zh-CN"/>
              </w:rPr>
              <w:t>供应商为</w:t>
            </w:r>
            <w:r>
              <w:rPr>
                <w:rFonts w:hint="eastAsia" w:ascii="Times New Roman" w:hAnsi="Times New Roman" w:cs="Times New Roman"/>
                <w:lang w:val="en-US" w:eastAsia="zh-CN"/>
              </w:rPr>
              <w:t>小微</w:t>
            </w:r>
            <w:r>
              <w:rPr>
                <w:rFonts w:hint="default" w:ascii="Times New Roman" w:hAnsi="Times New Roman" w:cs="Times New Roman"/>
                <w:lang w:val="en-US" w:eastAsia="zh-CN"/>
              </w:rPr>
              <w:t>企业</w:t>
            </w:r>
            <w:r>
              <w:rPr>
                <w:rFonts w:hint="eastAsia" w:ascii="Times New Roman" w:hAnsi="Times New Roman" w:cs="Times New Roman"/>
                <w:lang w:val="en-US" w:eastAsia="zh-CN"/>
              </w:rPr>
              <w:t>，</w:t>
            </w:r>
            <w:r>
              <w:rPr>
                <w:rFonts w:hint="default" w:ascii="Times New Roman" w:hAnsi="Times New Roman" w:cs="Times New Roman"/>
                <w:lang w:val="en-US" w:eastAsia="zh-CN"/>
              </w:rPr>
              <w:t>本</w:t>
            </w:r>
            <w:r>
              <w:rPr>
                <w:rFonts w:hint="eastAsia" w:ascii="Times New Roman" w:hAnsi="Times New Roman" w:cs="Times New Roman"/>
                <w:lang w:val="en-US" w:eastAsia="zh-CN"/>
              </w:rPr>
              <w:t>标段</w:t>
            </w:r>
            <w:r>
              <w:rPr>
                <w:rFonts w:hint="default" w:ascii="Times New Roman" w:hAnsi="Times New Roman" w:cs="Times New Roman"/>
                <w:lang w:val="en-US" w:eastAsia="zh-CN"/>
              </w:rPr>
              <w:t>为专门面向</w:t>
            </w:r>
            <w:r>
              <w:rPr>
                <w:rFonts w:hint="eastAsia" w:ascii="Times New Roman" w:hAnsi="Times New Roman" w:cs="Times New Roman"/>
                <w:lang w:val="en-US" w:eastAsia="zh-CN"/>
              </w:rPr>
              <w:t>小微</w:t>
            </w:r>
            <w:r>
              <w:rPr>
                <w:rFonts w:hint="default" w:ascii="Times New Roman" w:hAnsi="Times New Roman" w:cs="Times New Roman"/>
                <w:lang w:val="en-US" w:eastAsia="zh-CN"/>
              </w:rPr>
              <w:t>企业预留份额的项目，所有投标供应商均不享有价格扣除评审优惠。</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b w:val="0"/>
                <w:bCs w:val="0"/>
                <w:color w:val="auto"/>
                <w:szCs w:val="21"/>
                <w:highlight w:val="none"/>
                <w:lang w:val="en-US" w:eastAsia="zh-CN"/>
              </w:rPr>
              <w:t>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村庄规划编制工作背</w:t>
            </w:r>
            <w:r>
              <w:rPr>
                <w:rFonts w:hint="eastAsia" w:ascii="宋体" w:hAnsi="宋体" w:eastAsia="宋体" w:cs="Times New Roman"/>
                <w:color w:val="auto"/>
                <w:szCs w:val="21"/>
                <w:highlight w:val="none"/>
                <w:lang w:val="en-US" w:eastAsia="zh-CN"/>
              </w:rPr>
              <w:t>景、必要性、可行性及目标的理解，对招标文件提供的业务需求书进行分析。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技术</w:t>
            </w:r>
            <w:r>
              <w:rPr>
                <w:rFonts w:hint="eastAsia" w:ascii="宋体" w:hAnsi="宋体" w:eastAsia="宋体" w:cs="宋体"/>
                <w:b w:val="0"/>
                <w:bCs w:val="0"/>
                <w:color w:val="auto"/>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除项目负责人以外，拟投入本项目的其他技术人员中每增加一名相关专业</w:t>
            </w:r>
            <w:r>
              <w:rPr>
                <w:rFonts w:hint="eastAsia" w:ascii="宋体" w:hAnsi="宋体" w:cs="Times New Roman"/>
                <w:b w:val="0"/>
                <w:bCs w:val="0"/>
                <w:color w:val="auto"/>
                <w:szCs w:val="21"/>
                <w:highlight w:val="none"/>
                <w:lang w:eastAsia="zh-CN"/>
              </w:rPr>
              <w:t>初</w:t>
            </w:r>
            <w:r>
              <w:rPr>
                <w:rFonts w:hint="eastAsia" w:ascii="宋体" w:hAnsi="宋体" w:eastAsia="宋体" w:cs="Times New Roman"/>
                <w:b w:val="0"/>
                <w:bCs w:val="0"/>
                <w:color w:val="auto"/>
                <w:szCs w:val="21"/>
                <w:highlight w:val="none"/>
              </w:rPr>
              <w:t>级</w:t>
            </w:r>
            <w:r>
              <w:rPr>
                <w:rFonts w:hint="eastAsia" w:ascii="宋体" w:hAnsi="宋体" w:cs="Times New Roman"/>
                <w:b w:val="0"/>
                <w:bCs w:val="0"/>
                <w:color w:val="auto"/>
                <w:szCs w:val="21"/>
                <w:highlight w:val="none"/>
                <w:lang w:eastAsia="zh-CN"/>
              </w:rPr>
              <w:t>（含）以上</w:t>
            </w:r>
            <w:r>
              <w:rPr>
                <w:rFonts w:hint="eastAsia" w:ascii="宋体" w:hAnsi="宋体" w:eastAsia="宋体" w:cs="Times New Roman"/>
                <w:b w:val="0"/>
                <w:bCs w:val="0"/>
                <w:color w:val="auto"/>
                <w:szCs w:val="21"/>
                <w:highlight w:val="none"/>
              </w:rPr>
              <w:t>职称</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相关专业注册类职业资格证书的，每增加一人得1分，最多得</w:t>
            </w:r>
            <w:r>
              <w:rPr>
                <w:rFonts w:hint="eastAsia" w:ascii="宋体" w:hAnsi="宋体" w:cs="Times New Roman"/>
                <w:b w:val="0"/>
                <w:bCs w:val="0"/>
                <w:color w:val="auto"/>
                <w:szCs w:val="21"/>
                <w:highlight w:val="none"/>
                <w:lang w:val="en-US" w:eastAsia="zh-CN"/>
              </w:rPr>
              <w:t>8</w:t>
            </w:r>
            <w:r>
              <w:rPr>
                <w:rFonts w:hint="eastAsia" w:ascii="宋体" w:hAnsi="宋体" w:eastAsia="宋体" w:cs="Times New Roman"/>
                <w:b w:val="0"/>
                <w:bCs w:val="0"/>
                <w:color w:val="auto"/>
                <w:szCs w:val="21"/>
                <w:highlight w:val="none"/>
              </w:rPr>
              <w:t>分；</w:t>
            </w:r>
          </w:p>
          <w:p>
            <w:pPr>
              <w:pStyle w:val="59"/>
              <w:spacing w:line="360"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分。</w:t>
            </w:r>
          </w:p>
          <w:p>
            <w:pPr>
              <w:pStyle w:val="59"/>
              <w:spacing w:line="360" w:lineRule="auto"/>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rPr>
              <w:t>健全、完善、最优的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较优</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eastAsia="zh-CN"/>
              </w:rPr>
              <w:t>较</w:t>
            </w:r>
            <w:r>
              <w:rPr>
                <w:rFonts w:hint="eastAsia" w:ascii="宋体" w:hAnsi="宋体" w:eastAsia="宋体" w:cs="宋体"/>
                <w:color w:val="auto"/>
                <w:szCs w:val="21"/>
                <w:highlight w:val="none"/>
                <w:lang w:val="en-US" w:eastAsia="zh-CN"/>
              </w:rPr>
              <w:t>差或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编制内容完整、齐全、叙述严谨；标书无涂改、错页、漏页现象的得 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21"/>
        <w:rPr>
          <w:color w:val="auto"/>
        </w:rPr>
      </w:pPr>
    </w:p>
    <w:p>
      <w:pPr>
        <w:spacing w:line="2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color w:val="auto"/>
          <w:highlight w:val="none"/>
          <w:lang w:val="en-US" w:eastAsia="zh-CN"/>
        </w:rPr>
      </w:pPr>
    </w:p>
    <w:p>
      <w:pPr>
        <w:pStyle w:val="19"/>
        <w:rPr>
          <w:rFonts w:ascii="宋体" w:hAnsi="宋体" w:cs="宋体"/>
          <w:highlight w:val="none"/>
        </w:rPr>
      </w:pPr>
      <w:bookmarkStart w:id="16" w:name="_Toc477194749"/>
      <w:bookmarkStart w:id="17" w:name="_Toc20620"/>
    </w:p>
    <w:p>
      <w:pPr>
        <w:rPr>
          <w:rFonts w:ascii="宋体" w:hAnsi="宋体" w:cs="宋体"/>
          <w:highlight w:val="none"/>
        </w:rPr>
      </w:pPr>
    </w:p>
    <w:p>
      <w:pPr>
        <w:pStyle w:val="6"/>
        <w:rPr>
          <w:rFonts w:ascii="宋体" w:hAnsi="宋体" w:cs="宋体"/>
          <w:highlight w:val="none"/>
        </w:rPr>
      </w:pPr>
    </w:p>
    <w:p>
      <w:pPr>
        <w:rPr>
          <w:rFonts w:ascii="宋体" w:hAnsi="宋体" w:cs="宋体"/>
          <w:highlight w:val="none"/>
        </w:rPr>
      </w:pPr>
    </w:p>
    <w:p>
      <w:pPr>
        <w:pStyle w:val="6"/>
      </w:pPr>
    </w:p>
    <w:p>
      <w:pPr>
        <w:pStyle w:val="1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9"/>
        <w:rPr>
          <w:rFonts w:ascii="宋体" w:hAnsi="宋体" w:cs="宋体"/>
          <w:highlight w:val="none"/>
        </w:rPr>
      </w:pPr>
    </w:p>
    <w:p/>
    <w:p>
      <w:pPr>
        <w:pStyle w:val="8"/>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477194751"/>
      <w:bookmarkStart w:id="19" w:name="_Toc29854"/>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6969317"/>
      <w:bookmarkStart w:id="21" w:name="_Toc227057923"/>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19273"/>
      <w:bookmarkStart w:id="23" w:name="_Toc20421"/>
      <w:bookmarkStart w:id="24" w:name="_Toc28855"/>
      <w:bookmarkStart w:id="25" w:name="_Toc15367"/>
      <w:bookmarkStart w:id="26" w:name="_Toc22967"/>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18585"/>
      <w:bookmarkStart w:id="28" w:name="_Toc22185"/>
      <w:bookmarkStart w:id="29" w:name="_Toc6773"/>
      <w:bookmarkStart w:id="30" w:name="_Toc2918"/>
      <w:bookmarkStart w:id="31" w:name="_Toc6311"/>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13918"/>
      <w:bookmarkStart w:id="33" w:name="_Toc21124"/>
      <w:bookmarkStart w:id="34" w:name="_Toc1386"/>
      <w:bookmarkStart w:id="35" w:name="_Toc4929"/>
      <w:bookmarkStart w:id="36" w:name="_Toc5635"/>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26916"/>
      <w:bookmarkStart w:id="38" w:name="_Toc30506"/>
      <w:bookmarkStart w:id="39" w:name="_Toc3654"/>
      <w:bookmarkStart w:id="40" w:name="_Toc14993"/>
      <w:bookmarkStart w:id="41" w:name="_Toc30158"/>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11108"/>
      <w:bookmarkStart w:id="43" w:name="_Toc3625"/>
      <w:bookmarkStart w:id="44" w:name="_Toc31421"/>
      <w:bookmarkStart w:id="45" w:name="_Toc8772"/>
      <w:bookmarkStart w:id="46" w:name="_Toc4760"/>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5698"/>
      <w:bookmarkStart w:id="48" w:name="_Toc8586"/>
      <w:bookmarkStart w:id="49" w:name="_Toc3079"/>
      <w:bookmarkStart w:id="50" w:name="_Toc24662"/>
      <w:bookmarkStart w:id="51" w:name="_Toc2375"/>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9497"/>
      <w:bookmarkStart w:id="53" w:name="_Toc18683"/>
      <w:bookmarkStart w:id="54" w:name="_Toc32454"/>
      <w:bookmarkStart w:id="55" w:name="_Toc26807"/>
      <w:bookmarkStart w:id="56" w:name="_Toc30329"/>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12273"/>
      <w:bookmarkStart w:id="58" w:name="_Toc15827"/>
      <w:bookmarkStart w:id="59" w:name="_Toc23784"/>
      <w:bookmarkStart w:id="60" w:name="_Toc26227"/>
      <w:bookmarkStart w:id="61" w:name="_Toc1641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Toc14021"/>
      <w:bookmarkStart w:id="64" w:name="_Toc31297"/>
      <w:bookmarkStart w:id="65" w:name="_Ref467378463"/>
      <w:bookmarkStart w:id="66" w:name="_Ref467378499"/>
      <w:bookmarkStart w:id="67" w:name="_Ref467379101"/>
      <w:bookmarkStart w:id="68" w:name="_Toc279701240"/>
      <w:bookmarkStart w:id="69" w:name="_Ref467379094"/>
      <w:bookmarkStart w:id="70" w:name="_Toc25079"/>
      <w:bookmarkStart w:id="71" w:name="_Ref467379109"/>
      <w:bookmarkStart w:id="72" w:name="_Ref467379225"/>
      <w:bookmarkStart w:id="73" w:name="_Ref467379214"/>
      <w:bookmarkStart w:id="74" w:name="_Ref467379205"/>
      <w:bookmarkStart w:id="75" w:name="_Toc5228"/>
      <w:bookmarkStart w:id="76" w:name="_Ref467378404"/>
      <w:bookmarkStart w:id="77" w:name="_Ref467379195"/>
      <w:bookmarkStart w:id="78" w:name="_Toc259093669"/>
      <w:bookmarkStart w:id="79" w:name="_Toc487900349"/>
      <w:bookmarkStart w:id="80" w:name="_Toc19680"/>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259093670"/>
      <w:bookmarkStart w:id="85" w:name="_Toc487900350"/>
      <w:bookmarkStart w:id="86" w:name="_Toc23289"/>
      <w:bookmarkStart w:id="87" w:name="_Toc3769"/>
      <w:bookmarkStart w:id="88" w:name="_Toc16752"/>
      <w:bookmarkStart w:id="89" w:name="_Toc31402"/>
      <w:bookmarkStart w:id="90" w:name="_Toc279701241"/>
      <w:bookmarkStart w:id="91" w:name="_Toc19539"/>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12412"/>
      <w:bookmarkStart w:id="93" w:name="_Toc259093671"/>
      <w:bookmarkStart w:id="94" w:name="_Toc487900351"/>
      <w:bookmarkStart w:id="95" w:name="_Toc13673"/>
      <w:bookmarkStart w:id="96" w:name="_Toc9161"/>
      <w:bookmarkStart w:id="97" w:name="_Toc27945"/>
      <w:bookmarkStart w:id="98" w:name="_Toc279701242"/>
      <w:bookmarkStart w:id="99" w:name="_Toc4133"/>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Toc487900357"/>
      <w:bookmarkStart w:id="103" w:name="_Toc279701247"/>
      <w:bookmarkStart w:id="104" w:name="_Ref467379793"/>
      <w:bookmarkStart w:id="105" w:name="_Ref467379807"/>
      <w:bookmarkStart w:id="106" w:name="_Toc259093676"/>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26555"/>
      <w:bookmarkStart w:id="109" w:name="_Toc32670"/>
      <w:bookmarkStart w:id="110" w:name="_Toc31233"/>
      <w:bookmarkStart w:id="111" w:name="_Toc15447"/>
      <w:bookmarkStart w:id="112" w:name="_Toc22011"/>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Toc279701248"/>
      <w:bookmarkStart w:id="114" w:name="_Toc259093677"/>
      <w:bookmarkStart w:id="115" w:name="_Ref467379863"/>
      <w:bookmarkStart w:id="116" w:name="_Toc487900358"/>
      <w:bookmarkStart w:id="117" w:name="_Ref467379852"/>
      <w:bookmarkStart w:id="118" w:name="_Ref467379923"/>
      <w:bookmarkStart w:id="119" w:name="_Toc13467"/>
      <w:bookmarkStart w:id="120" w:name="_Toc30507"/>
      <w:bookmarkStart w:id="121" w:name="_Toc13154"/>
      <w:bookmarkStart w:id="122" w:name="_Toc16163"/>
      <w:bookmarkStart w:id="123" w:name="_Toc18990"/>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279701252"/>
      <w:bookmarkStart w:id="126" w:name="_Toc487900362"/>
      <w:bookmarkStart w:id="127" w:name="_Toc259093681"/>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Toc487900364"/>
      <w:bookmarkStart w:id="131" w:name="_Ref467378121"/>
      <w:bookmarkStart w:id="132" w:name="_Toc259093683"/>
      <w:bookmarkStart w:id="133" w:name="_Toc279701254"/>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487900369"/>
      <w:bookmarkStart w:id="136" w:name="_Toc259093688"/>
    </w:p>
    <w:p>
      <w:pPr>
        <w:spacing w:line="560" w:lineRule="exact"/>
        <w:ind w:firstLine="482" w:firstLineChars="200"/>
        <w:outlineLvl w:val="0"/>
        <w:rPr>
          <w:rFonts w:ascii="宋体" w:hAnsi="宋体" w:cs="宋体"/>
          <w:b/>
          <w:sz w:val="24"/>
          <w:highlight w:val="none"/>
        </w:rPr>
      </w:pPr>
      <w:bookmarkStart w:id="137" w:name="_Toc23368"/>
      <w:bookmarkStart w:id="138" w:name="_Toc21830"/>
      <w:bookmarkStart w:id="139" w:name="_Toc10663"/>
      <w:bookmarkStart w:id="140" w:name="_Toc42"/>
      <w:bookmarkStart w:id="141" w:name="_Toc26689"/>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25571"/>
      <w:bookmarkStart w:id="143" w:name="_Toc14371"/>
      <w:bookmarkStart w:id="144" w:name="_Toc4720"/>
      <w:bookmarkStart w:id="145" w:name="_Toc26633"/>
      <w:bookmarkStart w:id="146" w:name="_Toc32494"/>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14115"/>
      <w:bookmarkStart w:id="148" w:name="_Toc279701255"/>
      <w:bookmarkStart w:id="149" w:name="_Toc24465"/>
      <w:bookmarkStart w:id="150" w:name="_Toc25783"/>
      <w:bookmarkStart w:id="151" w:name="_Toc259093684"/>
      <w:bookmarkStart w:id="152" w:name="_Toc23854"/>
      <w:bookmarkStart w:id="153" w:name="_Toc3638"/>
      <w:bookmarkStart w:id="154" w:name="_Toc487900365"/>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5525"/>
      <w:bookmarkStart w:id="156" w:name="_Toc259093687"/>
      <w:bookmarkStart w:id="157" w:name="_Toc487900368"/>
      <w:bookmarkStart w:id="158" w:name="_Toc30105"/>
      <w:bookmarkStart w:id="159" w:name="_Toc279701258"/>
      <w:bookmarkStart w:id="160" w:name="_Toc14814"/>
      <w:bookmarkStart w:id="161" w:name="_Toc7315"/>
      <w:bookmarkStart w:id="162" w:name="_Toc26883"/>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2016"/>
      <w:bookmarkStart w:id="164" w:name="_Toc23323"/>
      <w:bookmarkStart w:id="165" w:name="_Toc1123"/>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969"/>
      <w:bookmarkStart w:id="167" w:name="_Toc14525"/>
      <w:bookmarkStart w:id="168" w:name="_Toc17363"/>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259093690"/>
      <w:bookmarkStart w:id="170" w:name="_Toc279701261"/>
      <w:bookmarkStart w:id="171" w:name="_Toc487900371"/>
      <w:bookmarkStart w:id="172" w:name="_Toc12666"/>
      <w:bookmarkStart w:id="173" w:name="_Toc2308"/>
      <w:bookmarkStart w:id="174" w:name="_Toc25198"/>
      <w:bookmarkStart w:id="175" w:name="_Toc9808"/>
      <w:bookmarkStart w:id="176" w:name="_Toc31892"/>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7073"/>
      <w:bookmarkStart w:id="178" w:name="_Toc29220"/>
      <w:bookmarkStart w:id="179" w:name="_Toc259093691"/>
      <w:bookmarkStart w:id="180" w:name="_Toc487900372"/>
      <w:bookmarkStart w:id="181"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27674"/>
      <w:bookmarkStart w:id="183" w:name="_Toc18401"/>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20808"/>
      <w:bookmarkStart w:id="185" w:name="_Toc28906"/>
      <w:bookmarkStart w:id="186" w:name="_Toc27644"/>
      <w:bookmarkStart w:id="187" w:name="_Toc279701263"/>
      <w:bookmarkStart w:id="188" w:name="_Toc487900373"/>
      <w:bookmarkStart w:id="189" w:name="_Toc5063"/>
      <w:bookmarkStart w:id="190" w:name="_Toc12254"/>
      <w:bookmarkStart w:id="191" w:name="_Toc259093692"/>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2266"/>
      <w:bookmarkStart w:id="193" w:name="_Toc27127"/>
      <w:bookmarkStart w:id="194" w:name="_Toc279701264"/>
      <w:bookmarkStart w:id="195" w:name="_Toc27403"/>
      <w:bookmarkStart w:id="196" w:name="_Toc30096"/>
      <w:bookmarkStart w:id="197" w:name="_Toc1492"/>
      <w:bookmarkStart w:id="198" w:name="_Toc259093693"/>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6</w:t>
      </w:r>
      <w:r>
        <w:rPr>
          <w:rFonts w:hint="eastAsia"/>
          <w:b/>
          <w:sz w:val="24"/>
          <w:highlight w:val="none"/>
          <w:lang w:val="zh-CN"/>
        </w:rPr>
        <w:t>-供应商承诺函</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7</w:t>
      </w:r>
      <w:r>
        <w:rPr>
          <w:rFonts w:hint="eastAsia"/>
          <w:b/>
          <w:sz w:val="24"/>
          <w:highlight w:val="none"/>
          <w:lang w:val="zh-CN"/>
        </w:rPr>
        <w:t>-本项目拟派出项目负责人履历表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8</w:t>
      </w:r>
      <w:r>
        <w:rPr>
          <w:rFonts w:hint="eastAsia"/>
          <w:b/>
          <w:sz w:val="24"/>
          <w:highlight w:val="none"/>
          <w:lang w:val="zh-CN"/>
        </w:rPr>
        <w:t>-本项目拟投入专业技术人员基本情况表（本项目专业技术人员）</w:t>
      </w:r>
    </w:p>
    <w:p>
      <w:pPr>
        <w:spacing w:line="360" w:lineRule="auto"/>
        <w:ind w:firstLine="482" w:firstLineChars="200"/>
        <w:rPr>
          <w:rFonts w:hint="eastAsia" w:eastAsia="宋体"/>
          <w:b/>
          <w:color w:val="auto"/>
          <w:sz w:val="24"/>
          <w:highlight w:val="none"/>
          <w:lang w:eastAsia="zh-CN"/>
        </w:rPr>
      </w:pPr>
      <w:r>
        <w:rPr>
          <w:rFonts w:hint="eastAsia"/>
          <w:b/>
          <w:sz w:val="24"/>
          <w:highlight w:val="none"/>
          <w:lang w:val="zh-CN"/>
        </w:rPr>
        <w:t>附件</w:t>
      </w:r>
      <w:r>
        <w:rPr>
          <w:rFonts w:hint="eastAsia"/>
          <w:b/>
          <w:sz w:val="24"/>
          <w:highlight w:val="none"/>
        </w:rPr>
        <w:t>9-企业近三</w:t>
      </w:r>
      <w:r>
        <w:rPr>
          <w:rFonts w:hint="eastAsia"/>
          <w:b/>
          <w:color w:val="auto"/>
          <w:sz w:val="24"/>
          <w:highlight w:val="none"/>
        </w:rPr>
        <w:t>年类似业绩</w:t>
      </w:r>
      <w:r>
        <w:rPr>
          <w:rFonts w:hint="eastAsia"/>
          <w:b/>
          <w:color w:val="auto"/>
          <w:sz w:val="24"/>
          <w:highlight w:val="none"/>
          <w:lang w:eastAsia="zh-CN"/>
        </w:rPr>
        <w:t>（</w:t>
      </w:r>
      <w:r>
        <w:rPr>
          <w:rFonts w:hint="eastAsia"/>
          <w:b/>
          <w:color w:val="auto"/>
          <w:sz w:val="24"/>
          <w:highlight w:val="none"/>
          <w:lang w:val="en-US" w:eastAsia="zh-CN"/>
        </w:rPr>
        <w:t>2020年6月起至今</w:t>
      </w:r>
      <w:r>
        <w:rPr>
          <w:rFonts w:hint="eastAsia"/>
          <w:b/>
          <w:color w:val="auto"/>
          <w:sz w:val="24"/>
          <w:highlight w:val="none"/>
          <w:lang w:eastAsia="zh-CN"/>
        </w:rPr>
        <w:t>）</w:t>
      </w:r>
    </w:p>
    <w:p>
      <w:pPr>
        <w:spacing w:line="360" w:lineRule="auto"/>
        <w:ind w:firstLine="482" w:firstLineChars="200"/>
        <w:rPr>
          <w:b/>
          <w:color w:val="auto"/>
          <w:sz w:val="24"/>
          <w:highlight w:val="none"/>
        </w:rPr>
      </w:pPr>
      <w:r>
        <w:rPr>
          <w:rFonts w:hint="eastAsia"/>
          <w:b/>
          <w:color w:val="auto"/>
          <w:sz w:val="24"/>
          <w:highlight w:val="none"/>
          <w:lang w:val="zh-CN"/>
        </w:rPr>
        <w:t>附件</w:t>
      </w:r>
      <w:r>
        <w:rPr>
          <w:rFonts w:hint="eastAsia"/>
          <w:b/>
          <w:color w:val="auto"/>
          <w:sz w:val="24"/>
          <w:highlight w:val="none"/>
        </w:rPr>
        <w:t>1</w:t>
      </w:r>
      <w:r>
        <w:rPr>
          <w:rFonts w:hint="eastAsia"/>
          <w:b/>
          <w:color w:val="auto"/>
          <w:sz w:val="24"/>
          <w:highlight w:val="none"/>
          <w:lang w:val="en-US" w:eastAsia="zh-CN"/>
        </w:rPr>
        <w:t>0-</w:t>
      </w:r>
      <w:r>
        <w:rPr>
          <w:rFonts w:hint="eastAsia"/>
          <w:b/>
          <w:color w:val="auto"/>
          <w:sz w:val="24"/>
          <w:highlight w:val="none"/>
        </w:rPr>
        <w:t>项目组织方案</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zh-CN"/>
        </w:rPr>
        <w:t>附件1</w:t>
      </w:r>
      <w:r>
        <w:rPr>
          <w:rFonts w:hint="eastAsia" w:cs="Times New Roman"/>
          <w:b/>
          <w:color w:val="auto"/>
          <w:sz w:val="24"/>
          <w:highlight w:val="none"/>
          <w:lang w:val="en-US" w:eastAsia="zh-CN"/>
        </w:rPr>
        <w:t>1</w:t>
      </w:r>
      <w:r>
        <w:rPr>
          <w:rFonts w:hint="eastAsia" w:ascii="Times New Roman" w:hAnsi="Times New Roman" w:eastAsia="宋体" w:cs="Times New Roman"/>
          <w:b/>
          <w:color w:val="auto"/>
          <w:sz w:val="24"/>
          <w:highlight w:val="none"/>
          <w:lang w:val="zh-CN"/>
        </w:rPr>
        <w:t>-供应商认为有必要提供的其它材料（</w:t>
      </w:r>
      <w:r>
        <w:rPr>
          <w:rFonts w:hint="eastAsia" w:ascii="Times New Roman" w:hAnsi="Times New Roman" w:eastAsia="宋体" w:cs="Times New Roman"/>
          <w:b/>
          <w:color w:val="auto"/>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附件1</w:t>
      </w:r>
      <w:r>
        <w:rPr>
          <w:rFonts w:hint="eastAsia" w:cs="Times New Roman"/>
          <w:b/>
          <w:color w:val="auto"/>
          <w:sz w:val="24"/>
          <w:highlight w:val="none"/>
          <w:lang w:val="en-US" w:eastAsia="zh-CN"/>
        </w:rPr>
        <w:t>2</w:t>
      </w:r>
      <w:r>
        <w:rPr>
          <w:rFonts w:hint="eastAsia" w:ascii="Times New Roman" w:hAnsi="Times New Roman" w:eastAsia="宋体" w:cs="Times New Roman"/>
          <w:b/>
          <w:color w:val="auto"/>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4"/>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numPr>
          <w:ilvl w:val="0"/>
          <w:numId w:val="4"/>
        </w:numPr>
        <w:wordWrap w:val="0"/>
        <w:spacing w:line="480" w:lineRule="auto"/>
        <w:rPr>
          <w:rFonts w:hAnsi="Arial"/>
          <w:b/>
          <w:bCs/>
          <w:highlight w:val="none"/>
        </w:rPr>
      </w:pPr>
      <w:r>
        <w:rPr>
          <w:rFonts w:hint="eastAsia" w:ascii="宋体" w:hAnsi="Arial" w:eastAsia="宋体" w:cs="宋体"/>
          <w:highlight w:val="none"/>
          <w:lang w:val="zh-CN" w:eastAsia="zh-CN"/>
        </w:rPr>
        <w:t>中小企业声明函或监狱企业证明文件或残疾人福利性单位声明函。</w:t>
      </w:r>
    </w:p>
    <w:p>
      <w:pPr>
        <w:pStyle w:val="18"/>
        <w:numPr>
          <w:ilvl w:val="0"/>
          <w:numId w:val="0"/>
        </w:numPr>
        <w:wordWrap w:val="0"/>
        <w:spacing w:line="480" w:lineRule="auto"/>
        <w:rPr>
          <w:rFonts w:hAnsi="Arial"/>
          <w:b/>
          <w:bCs/>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jc w:val="center"/>
        <w:rPr>
          <w:b/>
          <w:bCs/>
          <w:sz w:val="24"/>
          <w:highlight w:val="none"/>
          <w:lang w:val="zh-CN"/>
        </w:rPr>
      </w:pPr>
    </w:p>
    <w:p>
      <w:pPr>
        <w:pStyle w:val="11"/>
        <w:spacing w:line="360" w:lineRule="auto"/>
        <w:jc w:val="left"/>
        <w:rPr>
          <w:rFonts w:hint="eastAsia" w:ascii="Times New Roman" w:hAnsi="Times New Roman" w:eastAsia="宋体" w:cs="Times New Roman"/>
          <w:bCs/>
          <w:sz w:val="24"/>
          <w:highlight w:val="none"/>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720"/>
      <w:bookmarkStart w:id="203" w:name="_Toc22430"/>
      <w:bookmarkStart w:id="204" w:name="_Toc7119"/>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8575"/>
      <w:bookmarkStart w:id="206" w:name="_Toc1527"/>
      <w:bookmarkStart w:id="207" w:name="_Toc10209"/>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3381"/>
      <w:bookmarkStart w:id="209" w:name="_Toc23652"/>
      <w:bookmarkStart w:id="210" w:name="_Toc979"/>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7985"/>
      <w:bookmarkStart w:id="212" w:name="_Toc22240"/>
      <w:bookmarkStart w:id="213" w:name="_Toc3184"/>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16198"/>
      <w:bookmarkStart w:id="215" w:name="_Toc7435"/>
      <w:bookmarkStart w:id="216" w:name="_Toc30930"/>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32438"/>
      <w:bookmarkStart w:id="218" w:name="_Toc15208"/>
      <w:bookmarkStart w:id="219" w:name="_Toc11396"/>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22801"/>
      <w:bookmarkStart w:id="221" w:name="_Toc13743"/>
      <w:bookmarkStart w:id="222" w:name="_Toc2572"/>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5206"/>
      <w:bookmarkStart w:id="225" w:name="_Toc16665"/>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005"/>
      <w:bookmarkStart w:id="227" w:name="_Toc21948"/>
      <w:bookmarkStart w:id="228" w:name="_Toc25142"/>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7871"/>
      <w:bookmarkStart w:id="230" w:name="_Toc10356"/>
      <w:bookmarkStart w:id="231" w:name="_Toc11089"/>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29952"/>
      <w:bookmarkStart w:id="233" w:name="_Toc1862"/>
      <w:bookmarkStart w:id="234" w:name="_Toc21187"/>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5"/>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bCs/>
          <w:color w:val="C00000"/>
          <w:kern w:val="2"/>
          <w:sz w:val="24"/>
          <w:szCs w:val="32"/>
          <w:highlight w:val="none"/>
          <w:lang w:val="en-US" w:eastAsia="zh-CN" w:bidi="ar-SA"/>
        </w:rPr>
        <w:t>本标段供应商为小微企业</w:t>
      </w:r>
      <w:r>
        <w:rPr>
          <w:rFonts w:hint="eastAsia" w:ascii="宋体" w:hAnsi="宋体" w:eastAsia="宋体" w:cs="宋体"/>
          <w:b w:val="0"/>
          <w:bCs w:val="0"/>
          <w:i w:val="0"/>
          <w:iCs w:val="0"/>
          <w:color w:val="0000FF"/>
          <w:sz w:val="24"/>
          <w:szCs w:val="24"/>
          <w:highlight w:val="none"/>
          <w:u w:val="none"/>
        </w:rPr>
        <w:t>,</w:t>
      </w:r>
      <w:r>
        <w:rPr>
          <w:rFonts w:hint="default" w:ascii="宋体" w:hAnsi="宋体" w:eastAsia="宋体" w:cs="宋体"/>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4541_WPSOffice_Level2"/>
      <w:bookmarkStart w:id="236" w:name="_Toc19164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8"/>
        <w:rPr>
          <w:rFonts w:hint="eastAsia"/>
          <w:lang w:eastAsia="zh-CN"/>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bookmarkStart w:id="237" w:name="_Toc21675_WPSOffice_Level2"/>
      <w:bookmarkStart w:id="238" w:name="_Toc25502_WPSOffice_Level2"/>
      <w:bookmarkStart w:id="239" w:name="_Toc29880_WPSOffice_Level2"/>
      <w:bookmarkStart w:id="240" w:name="_Toc13566_WPSOffice_Level2"/>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p>
      <w:pPr>
        <w:pStyle w:val="8"/>
        <w:spacing w:line="360" w:lineRule="auto"/>
        <w:jc w:val="center"/>
        <w:rPr>
          <w:color w:val="auto"/>
          <w:sz w:val="24"/>
          <w:szCs w:val="22"/>
          <w:highlight w:val="none"/>
        </w:rPr>
      </w:pPr>
      <w:r>
        <w:rPr>
          <w:rFonts w:hint="eastAsia" w:ascii="宋体" w:hAnsi="宋体" w:cs="宋体"/>
          <w:b/>
          <w:color w:val="auto"/>
          <w:sz w:val="32"/>
          <w:highlight w:val="none"/>
        </w:rPr>
        <w:t>第六章   项目基本情况及采购内容</w:t>
      </w:r>
    </w:p>
    <w:bookmarkEnd w:id="15"/>
    <w:p>
      <w:pPr>
        <w:adjustRightInd/>
        <w:snapToGrid/>
        <w:spacing w:before="165" w:beforeLines="50" w:after="165" w:afterLines="50" w:line="5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一、项目背景</w:t>
      </w:r>
    </w:p>
    <w:p>
      <w:pPr>
        <w:keepNext/>
        <w:tabs>
          <w:tab w:val="left" w:pos="360"/>
        </w:tabs>
        <w:adjustRightInd/>
        <w:snapToGrid/>
        <w:spacing w:line="52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启动村庄规划编制工作；</w:t>
      </w:r>
    </w:p>
    <w:p>
      <w:pPr>
        <w:numPr>
          <w:ilvl w:val="0"/>
          <w:numId w:val="7"/>
        </w:numPr>
        <w:adjustRightInd/>
        <w:snapToGrid/>
        <w:spacing w:line="52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规划范围</w:t>
      </w:r>
    </w:p>
    <w:p>
      <w:pPr>
        <w:adjustRightInd/>
        <w:snapToGrid/>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本次规划范围为：对塔勒德镇喀尔哈勒村、塔勒德萨尔喀木斯村、塔勒德镇加尔吾特克勒村、塔勒德镇木斯村、塔勒德镇玉什托别村编制村庄规划并形成规划数据库，数据库格式符合自治区平台接入标准；</w:t>
      </w:r>
    </w:p>
    <w:p>
      <w:pPr>
        <w:adjustRightInd/>
        <w:snapToGrid/>
        <w:spacing w:line="52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规划年限为：</w:t>
      </w:r>
      <w:r>
        <w:rPr>
          <w:rFonts w:hint="eastAsia" w:ascii="宋体" w:hAnsi="宋体" w:cs="宋体"/>
          <w:color w:val="auto"/>
          <w:sz w:val="21"/>
          <w:szCs w:val="21"/>
          <w:highlight w:val="none"/>
          <w:lang w:val="en-US" w:eastAsia="zh-CN"/>
        </w:rPr>
        <w:t>2024年</w:t>
      </w:r>
    </w:p>
    <w:p>
      <w:pPr>
        <w:numPr>
          <w:ilvl w:val="0"/>
          <w:numId w:val="7"/>
        </w:numPr>
        <w:adjustRightInd/>
        <w:snapToGrid/>
        <w:spacing w:before="165" w:beforeLines="50" w:after="165" w:afterLines="50" w:line="54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规划成果</w:t>
      </w:r>
    </w:p>
    <w:p>
      <w:pPr>
        <w:adjustRightInd/>
        <w:snapToGrid/>
        <w:spacing w:before="165" w:beforeLines="50" w:after="165" w:afterLines="50"/>
        <w:rPr>
          <w:rFonts w:ascii="宋体" w:hAnsi="宋体" w:cs="宋体"/>
          <w:color w:val="auto"/>
          <w:sz w:val="21"/>
          <w:szCs w:val="21"/>
          <w:highlight w:val="none"/>
        </w:rPr>
      </w:pPr>
      <w:r>
        <w:rPr>
          <w:rFonts w:hint="eastAsia" w:ascii="宋体" w:hAnsi="宋体" w:cs="宋体"/>
          <w:color w:val="auto"/>
          <w:sz w:val="21"/>
          <w:szCs w:val="21"/>
          <w:highlight w:val="none"/>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（1）村庄规划成果精装本4套（文本、说明书、公示材料）</w:t>
      </w:r>
      <w:r>
        <w:rPr>
          <w:rFonts w:hint="eastAsia" w:ascii="宋体" w:hAnsi="宋体" w:cs="宋体"/>
          <w:color w:val="auto"/>
          <w:sz w:val="21"/>
          <w:szCs w:val="21"/>
          <w:highlight w:val="none"/>
          <w:lang w:eastAsia="zh-CN"/>
        </w:rPr>
        <w:t>；</w:t>
      </w:r>
    </w:p>
    <w:p>
      <w:pPr>
        <w:adjustRightInd/>
        <w:snapToGrid/>
        <w:spacing w:before="165" w:beforeLines="50" w:after="165" w:afterLines="50"/>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）以上成果电子版文件1套 </w:t>
      </w:r>
      <w:r>
        <w:rPr>
          <w:rFonts w:hint="eastAsia" w:ascii="宋体" w:hAnsi="宋体" w:cs="宋体"/>
          <w:color w:val="auto"/>
          <w:sz w:val="21"/>
          <w:szCs w:val="21"/>
          <w:highlight w:val="none"/>
          <w:lang w:eastAsia="zh-CN"/>
        </w:rPr>
        <w:t>。</w:t>
      </w:r>
    </w:p>
    <w:p>
      <w:pPr>
        <w:keepNext/>
        <w:keepLines/>
        <w:adjustRightInd/>
        <w:snapToGrid/>
        <w:spacing w:before="260" w:after="260" w:line="540" w:lineRule="exact"/>
        <w:outlineLvl w:val="1"/>
        <w:rPr>
          <w:rFonts w:ascii="宋体" w:hAnsi="宋体" w:cs="宋体"/>
          <w:b/>
          <w:color w:val="auto"/>
          <w:sz w:val="21"/>
          <w:szCs w:val="21"/>
          <w:highlight w:val="none"/>
        </w:rPr>
      </w:pPr>
      <w:r>
        <w:rPr>
          <w:rFonts w:hint="eastAsia" w:ascii="宋体" w:hAnsi="宋体" w:cs="宋体"/>
          <w:b/>
          <w:color w:val="auto"/>
          <w:sz w:val="21"/>
          <w:szCs w:val="21"/>
          <w:highlight w:val="none"/>
        </w:rPr>
        <w:t>四、成果交付时间</w:t>
      </w:r>
    </w:p>
    <w:p>
      <w:pPr>
        <w:adjustRightInd/>
        <w:snapToGrid/>
        <w:spacing w:before="165" w:beforeLines="50" w:after="165" w:afterLines="50"/>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2024年12月31日前完成并提交成果报告。（具体以双方签订的合同为准）。</w:t>
      </w:r>
    </w:p>
    <w:p>
      <w:pPr>
        <w:pStyle w:val="8"/>
        <w:rPr>
          <w:rFonts w:hint="eastAsia" w:ascii="宋体" w:hAnsi="宋体" w:eastAsia="宋体" w:cs="宋体"/>
          <w:bCs/>
          <w:color w:val="auto"/>
          <w:kern w:val="2"/>
          <w:sz w:val="21"/>
          <w:szCs w:val="21"/>
          <w:highlight w:val="none"/>
          <w:lang w:val="en-US" w:eastAsia="zh-CN" w:bidi="ar-SA"/>
        </w:rPr>
      </w:pPr>
    </w:p>
    <w:p>
      <w:pPr>
        <w:pStyle w:val="2"/>
        <w:spacing w:line="540" w:lineRule="exact"/>
        <w:ind w:firstLine="390" w:firstLineChars="185"/>
        <w:rPr>
          <w:rFonts w:hint="eastAsia" w:ascii="宋体" w:hAnsi="宋体" w:eastAsia="宋体" w:cs="宋体"/>
          <w:b/>
          <w:bCs w:val="0"/>
          <w:color w:val="auto"/>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b w:val="0"/>
        <w:bCs w:val="0"/>
        <w:sz w:val="20"/>
        <w:szCs w:val="21"/>
        <w:lang w:val="en-US" w:eastAsia="zh-CN"/>
      </w:rPr>
      <w:t>新源县2023-2024年乡镇、村庄国土空间总体规划编制项目（五标段）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新源县2023-2024年乡镇、村庄国土空间总体规划编制项目（五标段）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新源县2023-2024年乡镇、村庄国土空间总体规划编制项目（五标段）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7314C4CC"/>
    <w:multiLevelType w:val="singleLevel"/>
    <w:tmpl w:val="7314C4CC"/>
    <w:lvl w:ilvl="0" w:tentative="0">
      <w:start w:val="1"/>
      <w:numFmt w:val="decimal"/>
      <w:lvlText w:val="%1."/>
      <w:lvlJc w:val="left"/>
      <w:pPr>
        <w:tabs>
          <w:tab w:val="left" w:pos="312"/>
        </w:tabs>
      </w:pPr>
    </w:lvl>
  </w:abstractNum>
  <w:abstractNum w:abstractNumId="6">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C14B91"/>
    <w:rsid w:val="00D35B01"/>
    <w:rsid w:val="01B54127"/>
    <w:rsid w:val="02EF2EF2"/>
    <w:rsid w:val="035C4247"/>
    <w:rsid w:val="03FA3804"/>
    <w:rsid w:val="0425335F"/>
    <w:rsid w:val="044B1D9A"/>
    <w:rsid w:val="04E47C0F"/>
    <w:rsid w:val="04F91C43"/>
    <w:rsid w:val="052B7E38"/>
    <w:rsid w:val="06DA622C"/>
    <w:rsid w:val="06ED3844"/>
    <w:rsid w:val="070846EC"/>
    <w:rsid w:val="0A501C7F"/>
    <w:rsid w:val="0B56375B"/>
    <w:rsid w:val="0FCD3553"/>
    <w:rsid w:val="0FE10DAC"/>
    <w:rsid w:val="0FF5484B"/>
    <w:rsid w:val="11E3395D"/>
    <w:rsid w:val="13C21A51"/>
    <w:rsid w:val="13D01D8E"/>
    <w:rsid w:val="14DE7FCA"/>
    <w:rsid w:val="1738794B"/>
    <w:rsid w:val="17FD51E2"/>
    <w:rsid w:val="192B12EA"/>
    <w:rsid w:val="19F61BB1"/>
    <w:rsid w:val="1A381625"/>
    <w:rsid w:val="1A61275B"/>
    <w:rsid w:val="1A7C2BF8"/>
    <w:rsid w:val="1AD12B27"/>
    <w:rsid w:val="1B7F0679"/>
    <w:rsid w:val="1CAE64BA"/>
    <w:rsid w:val="1D143B7D"/>
    <w:rsid w:val="1DAF4B38"/>
    <w:rsid w:val="1F055D59"/>
    <w:rsid w:val="1FBF2C92"/>
    <w:rsid w:val="1FCA26FF"/>
    <w:rsid w:val="20410EC1"/>
    <w:rsid w:val="209A3FDF"/>
    <w:rsid w:val="21E66970"/>
    <w:rsid w:val="220A23E4"/>
    <w:rsid w:val="22453762"/>
    <w:rsid w:val="2364787B"/>
    <w:rsid w:val="23657F82"/>
    <w:rsid w:val="241F7E6C"/>
    <w:rsid w:val="24A864B3"/>
    <w:rsid w:val="24D64800"/>
    <w:rsid w:val="24FE78B3"/>
    <w:rsid w:val="25F85F14"/>
    <w:rsid w:val="266E2305"/>
    <w:rsid w:val="268E0B08"/>
    <w:rsid w:val="271958B2"/>
    <w:rsid w:val="27892683"/>
    <w:rsid w:val="27C46B92"/>
    <w:rsid w:val="29314071"/>
    <w:rsid w:val="2A8C0497"/>
    <w:rsid w:val="2B21546A"/>
    <w:rsid w:val="2BD64F2B"/>
    <w:rsid w:val="2C4955AF"/>
    <w:rsid w:val="2C931228"/>
    <w:rsid w:val="2DF67CC1"/>
    <w:rsid w:val="2F6D7B0F"/>
    <w:rsid w:val="2F9616B6"/>
    <w:rsid w:val="33012F73"/>
    <w:rsid w:val="337754E1"/>
    <w:rsid w:val="33D60378"/>
    <w:rsid w:val="36A436E9"/>
    <w:rsid w:val="39B23BA1"/>
    <w:rsid w:val="3A035A45"/>
    <w:rsid w:val="3A483CAC"/>
    <w:rsid w:val="3A777A93"/>
    <w:rsid w:val="3A847005"/>
    <w:rsid w:val="3B6E14C4"/>
    <w:rsid w:val="3EA71EAB"/>
    <w:rsid w:val="3EC075D9"/>
    <w:rsid w:val="3F285E40"/>
    <w:rsid w:val="3F325223"/>
    <w:rsid w:val="3F51325E"/>
    <w:rsid w:val="3FE51248"/>
    <w:rsid w:val="40C06434"/>
    <w:rsid w:val="40FF4D48"/>
    <w:rsid w:val="419C6A5A"/>
    <w:rsid w:val="41BD4926"/>
    <w:rsid w:val="42B307CB"/>
    <w:rsid w:val="434D7ACF"/>
    <w:rsid w:val="472B75FD"/>
    <w:rsid w:val="47F80A19"/>
    <w:rsid w:val="48DF1625"/>
    <w:rsid w:val="49064E04"/>
    <w:rsid w:val="4AFF2F20"/>
    <w:rsid w:val="4B920BD1"/>
    <w:rsid w:val="4C5B653B"/>
    <w:rsid w:val="4C730FE4"/>
    <w:rsid w:val="4D737C3B"/>
    <w:rsid w:val="4EF1693A"/>
    <w:rsid w:val="5073187E"/>
    <w:rsid w:val="51A10F1F"/>
    <w:rsid w:val="51B34885"/>
    <w:rsid w:val="51D07D5D"/>
    <w:rsid w:val="536F1D83"/>
    <w:rsid w:val="544F2CA2"/>
    <w:rsid w:val="546649A9"/>
    <w:rsid w:val="54666AC9"/>
    <w:rsid w:val="559F245C"/>
    <w:rsid w:val="55E262B1"/>
    <w:rsid w:val="561D17B7"/>
    <w:rsid w:val="56523212"/>
    <w:rsid w:val="57653062"/>
    <w:rsid w:val="57F33A51"/>
    <w:rsid w:val="58BB721B"/>
    <w:rsid w:val="5954150C"/>
    <w:rsid w:val="5B1645F9"/>
    <w:rsid w:val="5B96673F"/>
    <w:rsid w:val="5CB70CC6"/>
    <w:rsid w:val="5D003EEC"/>
    <w:rsid w:val="5E0D73E2"/>
    <w:rsid w:val="5F013C4C"/>
    <w:rsid w:val="5F31409D"/>
    <w:rsid w:val="605F08C6"/>
    <w:rsid w:val="60A54B88"/>
    <w:rsid w:val="60C211B9"/>
    <w:rsid w:val="60E530F9"/>
    <w:rsid w:val="61151C31"/>
    <w:rsid w:val="61EB473F"/>
    <w:rsid w:val="63952BB5"/>
    <w:rsid w:val="63A10089"/>
    <w:rsid w:val="63DA5F77"/>
    <w:rsid w:val="649A7C40"/>
    <w:rsid w:val="65A05841"/>
    <w:rsid w:val="6623086C"/>
    <w:rsid w:val="6707201B"/>
    <w:rsid w:val="67F60895"/>
    <w:rsid w:val="685E12AD"/>
    <w:rsid w:val="68E421D7"/>
    <w:rsid w:val="6B323D69"/>
    <w:rsid w:val="6B544F7E"/>
    <w:rsid w:val="6B6A3BD9"/>
    <w:rsid w:val="6BBA617F"/>
    <w:rsid w:val="6C501D6F"/>
    <w:rsid w:val="6C57760D"/>
    <w:rsid w:val="6CAC766A"/>
    <w:rsid w:val="6CAE2F39"/>
    <w:rsid w:val="6DFC39FA"/>
    <w:rsid w:val="6E3A0DF8"/>
    <w:rsid w:val="6E3C6236"/>
    <w:rsid w:val="6FB97C2B"/>
    <w:rsid w:val="706310C2"/>
    <w:rsid w:val="70A6178A"/>
    <w:rsid w:val="715D401E"/>
    <w:rsid w:val="71C80575"/>
    <w:rsid w:val="71EB7824"/>
    <w:rsid w:val="724F0D0B"/>
    <w:rsid w:val="727F1BA7"/>
    <w:rsid w:val="734A5EAA"/>
    <w:rsid w:val="74FE7754"/>
    <w:rsid w:val="76236746"/>
    <w:rsid w:val="77097B1F"/>
    <w:rsid w:val="773F40BA"/>
    <w:rsid w:val="779C5DA0"/>
    <w:rsid w:val="78DA7EC5"/>
    <w:rsid w:val="79297BCF"/>
    <w:rsid w:val="79A75FA3"/>
    <w:rsid w:val="79D73ACF"/>
    <w:rsid w:val="7A097A01"/>
    <w:rsid w:val="7A392094"/>
    <w:rsid w:val="7B353C3B"/>
    <w:rsid w:val="7C4556FA"/>
    <w:rsid w:val="7C8F102F"/>
    <w:rsid w:val="7D6B2EAC"/>
    <w:rsid w:val="7E2F6A52"/>
    <w:rsid w:val="7EF1312B"/>
    <w:rsid w:val="7F323B34"/>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34780</Words>
  <Characters>36824</Characters>
  <Paragraphs>1831</Paragraphs>
  <TotalTime>6</TotalTime>
  <ScaleCrop>false</ScaleCrop>
  <LinksUpToDate>false</LinksUpToDate>
  <CharactersWithSpaces>40166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2023-07-24T05:57:04Z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