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宋体" w:hAnsi="宋体" w:cs="宋体"/>
          <w:b/>
          <w:color w:val="auto"/>
          <w:sz w:val="48"/>
          <w:szCs w:val="48"/>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乌苏市国有空置房产改建保障性租赁住房项目（水利局家属院西门商铺、正和商城四、五楼）竞 争 性 谈 判 文 件</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color w:val="auto"/>
          <w:sz w:val="32"/>
          <w:szCs w:val="32"/>
          <w:highlight w:val="none"/>
          <w:lang w:val="en-US" w:eastAsia="zh-CN"/>
        </w:rPr>
        <w:t>(二次）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黑体" w:hAnsi="黑体" w:eastAsia="黑体" w:cs="黑体"/>
          <w:b/>
          <w:bCs/>
          <w:color w:val="auto"/>
          <w:sz w:val="32"/>
          <w:szCs w:val="32"/>
          <w:highlight w:val="none"/>
          <w:lang w:val="en-US" w:eastAsia="zh-CN"/>
        </w:rPr>
      </w:pPr>
      <w:bookmarkStart w:id="302" w:name="_GoBack"/>
      <w:bookmarkEnd w:id="302"/>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lang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highlight w:val="none"/>
          <w:lang w:eastAsia="zh-CN"/>
        </w:rPr>
      </w:pPr>
    </w:p>
    <w:p>
      <w:pPr>
        <w:shd w:val="clea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采购项目编号：WSZFCG(TG)2023-027（2）</w:t>
      </w:r>
    </w:p>
    <w:p>
      <w:pPr>
        <w:pStyle w:val="7"/>
        <w:shd w:val="clear"/>
        <w:ind w:left="0" w:leftChars="0" w:firstLine="0" w:firstLineChars="0"/>
        <w:rPr>
          <w:rFonts w:hint="eastAsia" w:ascii="宋体" w:hAnsi="宋体" w:eastAsia="宋体" w:cs="宋体"/>
          <w:color w:val="auto"/>
          <w:highlight w:val="none"/>
        </w:rPr>
      </w:pPr>
    </w:p>
    <w:p>
      <w:pPr>
        <w:pStyle w:val="7"/>
        <w:shd w:val="clear"/>
        <w:rPr>
          <w:rFonts w:hint="eastAsia" w:ascii="宋体" w:hAnsi="宋体" w:eastAsia="宋体" w:cs="宋体"/>
          <w:color w:val="auto"/>
          <w:highlight w:val="none"/>
        </w:rPr>
      </w:pPr>
    </w:p>
    <w:p>
      <w:pPr>
        <w:pStyle w:val="7"/>
        <w:shd w:val="clear"/>
        <w:rPr>
          <w:rFonts w:hint="eastAsia" w:ascii="宋体" w:hAnsi="宋体" w:eastAsia="宋体" w:cs="宋体"/>
          <w:color w:val="auto"/>
          <w:highlight w:val="none"/>
        </w:rPr>
      </w:pPr>
    </w:p>
    <w:p>
      <w:pPr>
        <w:shd w:val="clear"/>
        <w:autoSpaceDE w:val="0"/>
        <w:autoSpaceDN w:val="0"/>
        <w:adjustRightInd w:val="0"/>
        <w:spacing w:line="460" w:lineRule="exact"/>
        <w:jc w:val="both"/>
        <w:rPr>
          <w:rFonts w:hint="default" w:ascii="宋体" w:hAnsi="宋体" w:eastAsia="宋体" w:cs="宋体"/>
          <w:b/>
          <w:bCs w:val="0"/>
          <w:color w:val="auto"/>
          <w:sz w:val="36"/>
          <w:szCs w:val="36"/>
          <w:highlight w:val="none"/>
          <w:lang w:val="en-US" w:eastAsia="zh-CN"/>
        </w:rPr>
      </w:pPr>
    </w:p>
    <w:p>
      <w:pPr>
        <w:shd w:val="clear"/>
        <w:spacing w:line="460" w:lineRule="exact"/>
        <w:ind w:left="0" w:leftChars="0" w:firstLine="719" w:firstLineChars="257"/>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 xml:space="preserve">  </w:t>
      </w:r>
    </w:p>
    <w:p>
      <w:pPr>
        <w:shd w:val="clear"/>
        <w:rPr>
          <w:rFonts w:hint="eastAsia"/>
          <w:color w:val="auto"/>
          <w:highlight w:val="none"/>
          <w:lang w:val="zh-CN"/>
        </w:rPr>
      </w:pPr>
    </w:p>
    <w:p>
      <w:pPr>
        <w:shd w:val="clear"/>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采购人（盖章）：</w:t>
      </w:r>
      <w:r>
        <w:rPr>
          <w:rFonts w:hint="eastAsia" w:ascii="仿宋_GB2312" w:hAnsi="仿宋_GB2312" w:eastAsia="仿宋_GB2312" w:cs="仿宋_GB2312"/>
          <w:sz w:val="24"/>
          <w:szCs w:val="24"/>
          <w:lang w:val="en-US" w:eastAsia="zh-CN"/>
        </w:rPr>
        <w:t>乌苏市保障性住房投资建设管理有限公司</w:t>
      </w:r>
    </w:p>
    <w:p>
      <w:pPr>
        <w:shd w:val="clear"/>
        <w:snapToGrid w:val="0"/>
        <w:spacing w:line="360" w:lineRule="auto"/>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val="en-US" w:eastAsia="zh-CN"/>
        </w:rPr>
        <w:t xml:space="preserve">田雪荷 </w:t>
      </w:r>
    </w:p>
    <w:p>
      <w:pPr>
        <w:shd w:val="clear"/>
        <w:snapToGrid w:val="0"/>
        <w:spacing w:line="360" w:lineRule="auto"/>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联系电话：</w:t>
      </w:r>
      <w:r>
        <w:rPr>
          <w:rFonts w:hint="eastAsia" w:ascii="仿宋_GB2312" w:hAnsi="仿宋_GB2312" w:eastAsia="仿宋_GB2312" w:cs="仿宋_GB2312"/>
          <w:sz w:val="24"/>
          <w:szCs w:val="24"/>
          <w:highlight w:val="none"/>
          <w:lang w:val="en-US" w:eastAsia="zh-CN"/>
        </w:rPr>
        <w:t>13779094693</w:t>
      </w:r>
    </w:p>
    <w:p>
      <w:pPr>
        <w:shd w:val="clear"/>
        <w:snapToGrid w:val="0"/>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代理机构（盖章）：</w:t>
      </w:r>
      <w:r>
        <w:rPr>
          <w:rFonts w:hint="eastAsia" w:ascii="仿宋_GB2312" w:hAnsi="仿宋_GB2312" w:eastAsia="仿宋_GB2312" w:cs="仿宋_GB2312"/>
          <w:sz w:val="24"/>
          <w:szCs w:val="24"/>
          <w:lang w:val="en-US" w:eastAsia="zh-CN"/>
        </w:rPr>
        <w:t>乌苏市政务服务中心</w:t>
      </w:r>
    </w:p>
    <w:p>
      <w:pPr>
        <w:shd w:val="clear"/>
        <w:snapToGrid w:val="0"/>
        <w:spacing w:line="360" w:lineRule="auto"/>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val="en-US" w:eastAsia="zh-CN"/>
        </w:rPr>
        <w:t>米格娜依</w:t>
      </w:r>
    </w:p>
    <w:p>
      <w:pPr>
        <w:shd w:val="clear"/>
        <w:snapToGrid w:val="0"/>
        <w:spacing w:line="360" w:lineRule="auto"/>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联系电话：</w:t>
      </w:r>
      <w:r>
        <w:rPr>
          <w:rFonts w:hint="eastAsia" w:ascii="仿宋_GB2312" w:hAnsi="仿宋_GB2312" w:eastAsia="仿宋_GB2312" w:cs="仿宋_GB2312"/>
          <w:sz w:val="24"/>
          <w:szCs w:val="24"/>
          <w:highlight w:val="none"/>
          <w:lang w:val="en-US" w:eastAsia="zh-CN"/>
        </w:rPr>
        <w:t>0992-8507872</w:t>
      </w:r>
    </w:p>
    <w:p>
      <w:pPr>
        <w:pStyle w:val="13"/>
        <w:shd w:val="clear"/>
        <w:snapToGrid w:val="0"/>
        <w:spacing w:line="360" w:lineRule="auto"/>
        <w:jc w:val="center"/>
        <w:rPr>
          <w:rFonts w:hAnsi="宋体"/>
          <w:sz w:val="30"/>
          <w:szCs w:val="30"/>
        </w:rPr>
      </w:pPr>
    </w:p>
    <w:p>
      <w:pPr>
        <w:pStyle w:val="13"/>
        <w:shd w:val="clear"/>
        <w:snapToGrid w:val="0"/>
        <w:spacing w:line="360" w:lineRule="auto"/>
        <w:jc w:val="center"/>
        <w:rPr>
          <w:rFonts w:hAnsi="宋体"/>
          <w:sz w:val="30"/>
          <w:szCs w:val="30"/>
        </w:rPr>
      </w:pPr>
    </w:p>
    <w:p>
      <w:pPr>
        <w:shd w:val="clear"/>
        <w:snapToGrid w:val="0"/>
        <w:spacing w:line="360"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二零二三年八月</w:t>
      </w:r>
    </w:p>
    <w:sdt>
      <w:sdtPr>
        <w:rPr>
          <w:rFonts w:ascii="宋体" w:hAnsi="宋体" w:eastAsia="宋体" w:cs="Times New Roman"/>
          <w:kern w:val="2"/>
          <w:sz w:val="21"/>
          <w:szCs w:val="24"/>
          <w:lang w:val="en-US" w:eastAsia="zh-CN" w:bidi="ar-SA"/>
        </w:rPr>
        <w:id w:val="147461152"/>
        <w15:color w:val="DBDBDB"/>
        <w:docPartObj>
          <w:docPartGallery w:val="Table of Contents"/>
          <w:docPartUnique/>
        </w:docPartObj>
      </w:sdtPr>
      <w:sdtEndPr>
        <w:rPr>
          <w:rFonts w:ascii="Times New Roman" w:hAnsi="Times New Roman" w:eastAsia="宋体" w:cs="Times New Roman"/>
          <w:color w:val="auto"/>
          <w:kern w:val="2"/>
          <w:sz w:val="24"/>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hd w:val="clea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hd w:val="clea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hd w:val="clea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
            <w:rPr>
              <w:lang w:val="en-US" w:eastAsia="zh-CN"/>
            </w:rPr>
          </w:pPr>
        </w:p>
        <w:p>
          <w:pPr>
            <w:pStyle w:val="2"/>
            <w:rPr>
              <w:lang w:val="en-US" w:eastAsia="zh-CN"/>
            </w:rPr>
          </w:pPr>
        </w:p>
        <w:p>
          <w:pPr>
            <w:pStyle w:val="2"/>
            <w:rPr>
              <w:lang w:val="en-US" w:eastAsia="zh-CN"/>
            </w:rPr>
          </w:pPr>
        </w:p>
        <w:p>
          <w:pPr>
            <w:shd w:val="clea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录</w:t>
          </w:r>
        </w:p>
        <w:p>
          <w:pPr>
            <w:pStyle w:val="17"/>
            <w:shd w:val="clear"/>
            <w:tabs>
              <w:tab w:val="right" w:leader="dot" w:pos="9373"/>
            </w:tabs>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TOC \o "1-3" \h \u </w:instrText>
          </w:r>
          <w:r>
            <w:rPr>
              <w:rFonts w:hint="eastAsia" w:ascii="仿宋_GB2312" w:hAnsi="仿宋_GB2312" w:eastAsia="仿宋_GB2312" w:cs="仿宋_GB2312"/>
              <w:color w:val="auto"/>
              <w:sz w:val="24"/>
              <w:szCs w:val="24"/>
              <w:highlight w:val="none"/>
            </w:rPr>
            <w:fldChar w:fldCharType="separate"/>
          </w:r>
        </w:p>
        <w:p>
          <w:pPr>
            <w:pStyle w:val="17"/>
            <w:shd w:val="clear"/>
            <w:tabs>
              <w:tab w:val="right" w:leader="dot" w:pos="9373"/>
            </w:tabs>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_Toc11231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val="0"/>
              <w:sz w:val="24"/>
              <w:szCs w:val="24"/>
              <w:highlight w:val="none"/>
            </w:rPr>
            <w:t>竞争性</w:t>
          </w:r>
          <w:r>
            <w:rPr>
              <w:rFonts w:hint="eastAsia" w:ascii="仿宋_GB2312" w:hAnsi="仿宋_GB2312" w:eastAsia="仿宋_GB2312" w:cs="仿宋_GB2312"/>
              <w:bCs w:val="0"/>
              <w:sz w:val="24"/>
              <w:szCs w:val="24"/>
              <w:highlight w:val="none"/>
              <w:lang w:val="en-US" w:eastAsia="zh-CN"/>
            </w:rPr>
            <w:t>谈判</w:t>
          </w:r>
          <w:r>
            <w:rPr>
              <w:rFonts w:hint="eastAsia" w:ascii="仿宋_GB2312" w:hAnsi="仿宋_GB2312" w:eastAsia="仿宋_GB2312" w:cs="仿宋_GB2312"/>
              <w:bCs w:val="0"/>
              <w:sz w:val="24"/>
              <w:szCs w:val="24"/>
              <w:highlight w:val="none"/>
            </w:rPr>
            <w:t>公</w:t>
          </w:r>
          <w:r>
            <w:rPr>
              <w:rFonts w:hint="eastAsia" w:ascii="仿宋_GB2312" w:hAnsi="仿宋_GB2312" w:eastAsia="仿宋_GB2312" w:cs="仿宋_GB2312"/>
              <w:bCs w:val="0"/>
              <w:sz w:val="24"/>
              <w:szCs w:val="24"/>
            </w:rPr>
            <w:t>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_Toc11231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7"/>
            <w:shd w:val="clear"/>
            <w:tabs>
              <w:tab w:val="right" w:leader="dot" w:pos="9373"/>
            </w:tabs>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_Toc15010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第一章</w:t>
          </w:r>
          <w:r>
            <w:rPr>
              <w:rFonts w:hint="eastAsia" w:ascii="仿宋_GB2312" w:hAnsi="仿宋_GB2312" w:eastAsia="仿宋_GB2312" w:cs="仿宋_GB2312"/>
              <w:sz w:val="24"/>
              <w:szCs w:val="24"/>
              <w:highlight w:val="none"/>
              <w:lang w:val="en-US" w:eastAsia="zh-CN"/>
            </w:rPr>
            <w:t xml:space="preserve">  项目谈判有关说明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sz w:val="24"/>
              <w:szCs w:val="24"/>
              <w:highlight w:val="none"/>
            </w:rPr>
            <w:fldChar w:fldCharType="end"/>
          </w:r>
        </w:p>
        <w:p>
          <w:pPr>
            <w:pStyle w:val="17"/>
            <w:shd w:val="clear"/>
            <w:tabs>
              <w:tab w:val="right" w:leader="dot" w:pos="9373"/>
            </w:tabs>
            <w:spacing w:line="48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_Toc28852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 xml:space="preserve">第二章  </w:t>
          </w:r>
          <w:r>
            <w:rPr>
              <w:rFonts w:hint="eastAsia" w:ascii="仿宋_GB2312" w:hAnsi="仿宋_GB2312" w:eastAsia="仿宋_GB2312" w:cs="仿宋_GB2312"/>
              <w:sz w:val="24"/>
              <w:szCs w:val="24"/>
              <w:highlight w:val="none"/>
              <w:lang w:val="en-US" w:eastAsia="zh-CN"/>
            </w:rPr>
            <w:t>报价人</w:t>
          </w:r>
          <w:r>
            <w:rPr>
              <w:rFonts w:hint="eastAsia" w:ascii="仿宋_GB2312" w:hAnsi="仿宋_GB2312" w:eastAsia="仿宋_GB2312" w:cs="仿宋_GB2312"/>
              <w:sz w:val="24"/>
              <w:szCs w:val="24"/>
              <w:highlight w:val="none"/>
            </w:rPr>
            <w:t>须知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lang w:val="en-US" w:eastAsia="zh-CN"/>
            </w:rPr>
            <w:t>1</w:t>
          </w:r>
        </w:p>
        <w:p>
          <w:pPr>
            <w:pStyle w:val="20"/>
            <w:shd w:val="clear"/>
            <w:tabs>
              <w:tab w:val="right" w:leader="dot" w:pos="9373"/>
            </w:tabs>
            <w:spacing w:line="480" w:lineRule="auto"/>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_Toc28466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bCs/>
              <w:sz w:val="24"/>
              <w:szCs w:val="24"/>
              <w:highlight w:val="none"/>
            </w:rPr>
            <w:t>第三章</w:t>
          </w:r>
          <w:r>
            <w:rPr>
              <w:rFonts w:hint="eastAsia" w:ascii="仿宋_GB2312" w:hAnsi="仿宋_GB2312" w:eastAsia="仿宋_GB2312" w:cs="仿宋_GB2312"/>
              <w:bCs/>
              <w:sz w:val="24"/>
              <w:szCs w:val="24"/>
              <w:highlight w:val="none"/>
              <w:lang w:val="en-US" w:eastAsia="zh-CN"/>
            </w:rPr>
            <w:t xml:space="preserve">  </w:t>
          </w:r>
          <w:r>
            <w:rPr>
              <w:rFonts w:hint="eastAsia" w:ascii="仿宋_GB2312" w:hAnsi="仿宋_GB2312" w:eastAsia="仿宋_GB2312" w:cs="仿宋_GB2312"/>
              <w:bCs/>
              <w:sz w:val="24"/>
              <w:szCs w:val="24"/>
              <w:highlight w:val="none"/>
            </w:rPr>
            <w:t>采购需求、技术参数、规格</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lang w:val="en-US" w:eastAsia="zh-CN"/>
            </w:rPr>
            <w:t>3</w:t>
          </w:r>
        </w:p>
        <w:p>
          <w:pPr>
            <w:pStyle w:val="17"/>
            <w:shd w:val="clear"/>
            <w:tabs>
              <w:tab w:val="right" w:leader="dot" w:pos="9373"/>
            </w:tabs>
            <w:spacing w:line="48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_Toc10077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第</w:t>
          </w:r>
          <w:r>
            <w:rPr>
              <w:rFonts w:hint="eastAsia" w:ascii="仿宋_GB2312" w:hAnsi="仿宋_GB2312" w:eastAsia="仿宋_GB2312" w:cs="仿宋_GB2312"/>
              <w:sz w:val="24"/>
              <w:szCs w:val="24"/>
              <w:highlight w:val="none"/>
              <w:lang w:val="en-US" w:eastAsia="zh-CN"/>
            </w:rPr>
            <w:t>四</w:t>
          </w:r>
          <w:r>
            <w:rPr>
              <w:rFonts w:hint="eastAsia" w:ascii="仿宋_GB2312" w:hAnsi="仿宋_GB2312" w:eastAsia="仿宋_GB2312" w:cs="仿宋_GB2312"/>
              <w:sz w:val="24"/>
              <w:szCs w:val="24"/>
              <w:highlight w:val="none"/>
              <w:lang w:eastAsia="zh-CN"/>
            </w:rPr>
            <w:t>章</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bCs/>
              <w:sz w:val="24"/>
              <w:szCs w:val="24"/>
              <w:highlight w:val="none"/>
            </w:rPr>
            <w:t>合同</w:t>
          </w:r>
          <w:r>
            <w:rPr>
              <w:rFonts w:hint="eastAsia" w:ascii="仿宋_GB2312" w:hAnsi="仿宋_GB2312" w:eastAsia="仿宋_GB2312" w:cs="仿宋_GB2312"/>
              <w:bCs/>
              <w:sz w:val="24"/>
              <w:szCs w:val="24"/>
              <w:highlight w:val="none"/>
              <w:lang w:eastAsia="zh-CN"/>
            </w:rPr>
            <w:t>范本（仅参考）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lang w:val="en-US" w:eastAsia="zh-CN"/>
            </w:rPr>
            <w:t>4</w:t>
          </w:r>
        </w:p>
        <w:p>
          <w:pPr>
            <w:pStyle w:val="17"/>
            <w:shd w:val="clear"/>
            <w:tabs>
              <w:tab w:val="right" w:leader="dot" w:pos="9373"/>
            </w:tabs>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_Toc27517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rPr>
            <w:t>第</w:t>
          </w:r>
          <w:r>
            <w:rPr>
              <w:rFonts w:hint="eastAsia" w:ascii="仿宋_GB2312" w:hAnsi="仿宋_GB2312" w:eastAsia="仿宋_GB2312" w:cs="仿宋_GB2312"/>
              <w:sz w:val="24"/>
              <w:szCs w:val="24"/>
              <w:highlight w:val="none"/>
              <w:lang w:val="en-US" w:eastAsia="zh-CN"/>
            </w:rPr>
            <w:t>五</w:t>
          </w:r>
          <w:r>
            <w:rPr>
              <w:rFonts w:hint="eastAsia" w:ascii="仿宋_GB2312" w:hAnsi="仿宋_GB2312" w:eastAsia="仿宋_GB2312" w:cs="仿宋_GB2312"/>
              <w:sz w:val="24"/>
              <w:szCs w:val="24"/>
              <w:highlight w:val="none"/>
            </w:rPr>
            <w:t xml:space="preserve">章  </w:t>
          </w:r>
          <w:r>
            <w:rPr>
              <w:rFonts w:hint="eastAsia" w:ascii="仿宋_GB2312" w:hAnsi="仿宋_GB2312" w:eastAsia="仿宋_GB2312" w:cs="仿宋_GB2312"/>
              <w:sz w:val="24"/>
              <w:szCs w:val="24"/>
              <w:highlight w:val="none"/>
              <w:lang w:eastAsia="zh-CN"/>
            </w:rPr>
            <w:t>谈判响应文件</w:t>
          </w:r>
          <w:r>
            <w:rPr>
              <w:rFonts w:hint="eastAsia" w:ascii="仿宋_GB2312" w:hAnsi="仿宋_GB2312" w:eastAsia="仿宋_GB2312" w:cs="仿宋_GB2312"/>
              <w:sz w:val="24"/>
              <w:szCs w:val="24"/>
              <w:highlight w:val="none"/>
            </w:rPr>
            <w:t>格式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_Toc27517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pStyle w:val="17"/>
            <w:shd w:val="clear"/>
            <w:tabs>
              <w:tab w:val="right" w:leader="dot" w:pos="9373"/>
            </w:tabs>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sz w:val="24"/>
              <w:szCs w:val="24"/>
              <w:highlight w:val="none"/>
            </w:rPr>
            <w:instrText xml:space="preserve"> HYPERLINK \l _Toc24292 </w:instrText>
          </w:r>
          <w:r>
            <w:rPr>
              <w:rFonts w:hint="eastAsia" w:ascii="仿宋_GB2312" w:hAnsi="仿宋_GB2312" w:eastAsia="仿宋_GB2312" w:cs="仿宋_GB2312"/>
              <w:sz w:val="24"/>
              <w:szCs w:val="24"/>
              <w:highlight w:val="none"/>
            </w:rPr>
            <w:fldChar w:fldCharType="separate"/>
          </w:r>
          <w:r>
            <w:rPr>
              <w:rFonts w:hint="eastAsia" w:ascii="仿宋_GB2312" w:hAnsi="仿宋_GB2312" w:eastAsia="仿宋_GB2312" w:cs="仿宋_GB2312"/>
              <w:sz w:val="24"/>
              <w:szCs w:val="24"/>
              <w:highlight w:val="none"/>
              <w:lang w:val="en-US" w:eastAsia="zh-CN"/>
            </w:rPr>
            <w:t>评审标准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_Toc24292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color w:val="auto"/>
              <w:sz w:val="24"/>
              <w:szCs w:val="24"/>
              <w:highlight w:val="none"/>
            </w:rPr>
            <w:fldChar w:fldCharType="end"/>
          </w:r>
        </w:p>
        <w:p>
          <w:pPr>
            <w:shd w:val="clear"/>
            <w:rPr>
              <w:color w:val="auto"/>
              <w:highlight w:val="none"/>
            </w:rPr>
          </w:pPr>
          <w:r>
            <w:rPr>
              <w:rFonts w:hint="eastAsia" w:ascii="仿宋_GB2312" w:hAnsi="仿宋_GB2312" w:eastAsia="仿宋_GB2312" w:cs="仿宋_GB2312"/>
              <w:color w:val="auto"/>
              <w:sz w:val="24"/>
              <w:szCs w:val="24"/>
              <w:highlight w:val="none"/>
            </w:rPr>
            <w:fldChar w:fldCharType="end"/>
          </w:r>
        </w:p>
      </w:sdtContent>
    </w:sdt>
    <w:p>
      <w:pPr>
        <w:pStyle w:val="3"/>
        <w:keepNext/>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default" w:ascii="宋体" w:hAnsi="宋体"/>
          <w:bCs w:val="0"/>
          <w:sz w:val="32"/>
          <w:szCs w:val="32"/>
          <w:lang w:val="en-US" w:eastAsia="zh-CN"/>
        </w:rPr>
        <w:sectPr>
          <w:footerReference r:id="rId3" w:type="default"/>
          <w:pgSz w:w="11907" w:h="16840"/>
          <w:pgMar w:top="1021" w:right="1287" w:bottom="1021"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0" w:name="_Toc17082"/>
      <w:bookmarkStart w:id="1" w:name="_Toc24134"/>
      <w:bookmarkStart w:id="2" w:name="_Toc8422"/>
      <w:bookmarkStart w:id="3" w:name="_Toc10298"/>
    </w:p>
    <w:bookmarkEnd w:id="0"/>
    <w:bookmarkEnd w:id="1"/>
    <w:p>
      <w:pPr>
        <w:pStyle w:val="3"/>
        <w:keepNext/>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黑体" w:hAnsi="黑体" w:eastAsia="黑体" w:cs="黑体"/>
          <w:bCs w:val="0"/>
          <w:sz w:val="32"/>
          <w:szCs w:val="32"/>
        </w:rPr>
      </w:pPr>
      <w:bookmarkStart w:id="4" w:name="_Toc11231"/>
      <w:r>
        <w:rPr>
          <w:rFonts w:hint="eastAsia" w:ascii="黑体" w:hAnsi="黑体" w:eastAsia="黑体" w:cs="黑体"/>
          <w:bCs w:val="0"/>
          <w:sz w:val="32"/>
          <w:szCs w:val="32"/>
          <w:highlight w:val="none"/>
          <w:lang w:val="en-US" w:eastAsia="zh-CN"/>
        </w:rPr>
        <w:t>乌苏市国有空置房产改建保障性租赁住房项目（水利局家属院西门商铺、正和商城四、五楼）</w:t>
      </w:r>
      <w:r>
        <w:rPr>
          <w:rFonts w:hint="eastAsia" w:ascii="黑体" w:hAnsi="黑体" w:eastAsia="黑体" w:cs="黑体"/>
          <w:bCs w:val="0"/>
          <w:sz w:val="32"/>
          <w:szCs w:val="32"/>
          <w:highlight w:val="none"/>
        </w:rPr>
        <w:t>竞争性</w:t>
      </w:r>
      <w:r>
        <w:rPr>
          <w:rFonts w:hint="eastAsia" w:ascii="黑体" w:hAnsi="黑体" w:eastAsia="黑体" w:cs="黑体"/>
          <w:bCs w:val="0"/>
          <w:sz w:val="32"/>
          <w:szCs w:val="32"/>
          <w:highlight w:val="none"/>
          <w:lang w:val="en-US" w:eastAsia="zh-CN"/>
        </w:rPr>
        <w:t>谈判</w:t>
      </w:r>
      <w:r>
        <w:rPr>
          <w:rFonts w:hint="eastAsia" w:ascii="黑体" w:hAnsi="黑体" w:eastAsia="黑体" w:cs="黑体"/>
          <w:bCs w:val="0"/>
          <w:sz w:val="32"/>
          <w:szCs w:val="32"/>
          <w:highlight w:val="none"/>
        </w:rPr>
        <w:t>公</w:t>
      </w:r>
      <w:r>
        <w:rPr>
          <w:rFonts w:hint="eastAsia" w:ascii="黑体" w:hAnsi="黑体" w:eastAsia="黑体" w:cs="黑体"/>
          <w:bCs w:val="0"/>
          <w:sz w:val="32"/>
          <w:szCs w:val="32"/>
        </w:rPr>
        <w:t>告</w:t>
      </w:r>
      <w:bookmarkEnd w:id="4"/>
    </w:p>
    <w:p>
      <w:pPr>
        <w:widowControl/>
        <w:shd w:val="clear"/>
        <w:spacing w:line="360" w:lineRule="auto"/>
        <w:ind w:right="72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kern w:val="0"/>
          <w:sz w:val="24"/>
          <w:szCs w:val="24"/>
        </w:rPr>
        <w:t>项目概况</w:t>
      </w:r>
    </w:p>
    <w:p>
      <w:pPr>
        <w:widowControl/>
        <w:shd w:val="clear"/>
        <w:spacing w:line="360" w:lineRule="auto"/>
        <w:ind w:right="720"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乌苏市国有空置房产改建保障性租赁住房项目（水利局家属院西门商铺、正和商城四、五楼）</w:t>
      </w:r>
      <w:r>
        <w:rPr>
          <w:rFonts w:hint="eastAsia" w:ascii="仿宋_GB2312" w:hAnsi="仿宋_GB2312" w:eastAsia="仿宋_GB2312" w:cs="仿宋_GB2312"/>
          <w:kern w:val="0"/>
          <w:sz w:val="24"/>
          <w:szCs w:val="24"/>
        </w:rPr>
        <w:t>的潜在供应商应在政采云平台获取</w:t>
      </w:r>
      <w:r>
        <w:rPr>
          <w:rFonts w:hint="eastAsia" w:ascii="仿宋_GB2312" w:hAnsi="仿宋_GB2312" w:eastAsia="仿宋_GB2312" w:cs="仿宋_GB2312"/>
          <w:kern w:val="0"/>
          <w:sz w:val="24"/>
          <w:szCs w:val="24"/>
          <w:lang w:eastAsia="zh-CN"/>
        </w:rPr>
        <w:t>谈判文件</w:t>
      </w:r>
      <w:r>
        <w:rPr>
          <w:rFonts w:hint="eastAsia" w:ascii="仿宋_GB2312" w:hAnsi="仿宋_GB2312" w:eastAsia="仿宋_GB2312" w:cs="仿宋_GB2312"/>
          <w:kern w:val="0"/>
          <w:sz w:val="24"/>
          <w:szCs w:val="24"/>
        </w:rPr>
        <w:t>，并</w:t>
      </w:r>
      <w:r>
        <w:rPr>
          <w:rFonts w:hint="eastAsia" w:ascii="仿宋_GB2312" w:hAnsi="仿宋_GB2312" w:eastAsia="仿宋_GB2312" w:cs="仿宋_GB2312"/>
          <w:kern w:val="0"/>
          <w:sz w:val="24"/>
          <w:szCs w:val="24"/>
          <w:highlight w:val="none"/>
        </w:rPr>
        <w:t>于</w:t>
      </w:r>
      <w:r>
        <w:rPr>
          <w:rFonts w:hint="eastAsia" w:ascii="仿宋_GB2312" w:hAnsi="仿宋_GB2312" w:eastAsia="仿宋_GB2312" w:cs="仿宋_GB2312"/>
          <w:kern w:val="0"/>
          <w:sz w:val="24"/>
          <w:szCs w:val="24"/>
          <w:lang w:val="en-US" w:eastAsia="zh-CN"/>
        </w:rPr>
        <w:t>2023年08月14日16点30分（北京时间）前提交响应文件。</w:t>
      </w:r>
    </w:p>
    <w:p>
      <w:pPr>
        <w:widowControl/>
        <w:shd w:val="clear"/>
        <w:spacing w:line="360" w:lineRule="auto"/>
        <w:jc w:val="left"/>
        <w:outlineLvl w:val="1"/>
        <w:rPr>
          <w:rFonts w:hint="eastAsia" w:ascii="仿宋_GB2312" w:hAnsi="仿宋_GB2312" w:eastAsia="仿宋_GB2312" w:cs="仿宋_GB2312"/>
          <w:kern w:val="0"/>
          <w:sz w:val="24"/>
          <w:szCs w:val="24"/>
        </w:rPr>
      </w:pPr>
      <w:bookmarkStart w:id="5" w:name="_Toc2968"/>
      <w:bookmarkStart w:id="6" w:name="_Toc26986"/>
      <w:r>
        <w:rPr>
          <w:rFonts w:hint="eastAsia" w:ascii="仿宋_GB2312" w:hAnsi="仿宋_GB2312" w:eastAsia="仿宋_GB2312" w:cs="仿宋_GB2312"/>
          <w:b/>
          <w:kern w:val="0"/>
          <w:sz w:val="24"/>
          <w:szCs w:val="24"/>
        </w:rPr>
        <w:t>一、项目基本情况</w:t>
      </w:r>
      <w:bookmarkEnd w:id="5"/>
      <w:bookmarkEnd w:id="6"/>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项目编号：</w:t>
      </w:r>
      <w:r>
        <w:rPr>
          <w:rFonts w:hint="eastAsia" w:ascii="仿宋_GB2312" w:hAnsi="仿宋_GB2312" w:eastAsia="仿宋_GB2312" w:cs="仿宋_GB2312"/>
          <w:kern w:val="0"/>
          <w:sz w:val="24"/>
          <w:szCs w:val="24"/>
          <w:lang w:val="en-US" w:eastAsia="zh-CN"/>
        </w:rPr>
        <w:t>WSZFCG(TG)2023-027</w:t>
      </w:r>
    </w:p>
    <w:p>
      <w:pPr>
        <w:widowControl/>
        <w:shd w:val="clear"/>
        <w:spacing w:line="360" w:lineRule="auto"/>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rPr>
        <w:t>项目名称：</w:t>
      </w:r>
      <w:r>
        <w:rPr>
          <w:rFonts w:hint="eastAsia" w:ascii="仿宋_GB2312" w:hAnsi="仿宋_GB2312" w:eastAsia="仿宋_GB2312" w:cs="仿宋_GB2312"/>
          <w:kern w:val="0"/>
          <w:sz w:val="24"/>
          <w:szCs w:val="24"/>
          <w:lang w:val="en-US" w:eastAsia="zh-CN"/>
        </w:rPr>
        <w:t>乌苏市国有空置房产改建保障性租赁住房项目（水利局家属院西门商铺、正和商城四、五楼）</w:t>
      </w:r>
    </w:p>
    <w:p>
      <w:pPr>
        <w:widowControl/>
        <w:shd w:val="clear"/>
        <w:spacing w:line="360" w:lineRule="auto"/>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rPr>
        <w:t>最高限价（元）：</w:t>
      </w:r>
      <w:r>
        <w:rPr>
          <w:rFonts w:hint="eastAsia" w:ascii="仿宋_GB2312" w:hAnsi="仿宋_GB2312" w:eastAsia="仿宋_GB2312" w:cs="仿宋_GB2312"/>
          <w:kern w:val="0"/>
          <w:sz w:val="24"/>
          <w:szCs w:val="24"/>
          <w:lang w:val="en-US" w:eastAsia="zh-CN"/>
        </w:rPr>
        <w:t>308.08万元</w:t>
      </w:r>
    </w:p>
    <w:p>
      <w:pPr>
        <w:widowControl/>
        <w:shd w:val="clear"/>
        <w:spacing w:line="360" w:lineRule="auto"/>
        <w:jc w:val="left"/>
        <w:outlineLvl w:val="0"/>
        <w:rPr>
          <w:rFonts w:hint="eastAsia" w:ascii="仿宋_GB2312" w:hAnsi="仿宋_GB2312" w:eastAsia="仿宋_GB2312" w:cs="仿宋_GB2312"/>
          <w:kern w:val="0"/>
          <w:sz w:val="24"/>
          <w:szCs w:val="24"/>
          <w:lang w:eastAsia="zh-CN"/>
        </w:rPr>
      </w:pPr>
      <w:bookmarkStart w:id="7" w:name="_Toc27308"/>
      <w:bookmarkStart w:id="8" w:name="_Toc5088"/>
      <w:r>
        <w:rPr>
          <w:rFonts w:hint="eastAsia" w:ascii="仿宋_GB2312" w:hAnsi="仿宋_GB2312" w:eastAsia="仿宋_GB2312" w:cs="仿宋_GB2312"/>
          <w:b/>
          <w:bCs/>
          <w:kern w:val="0"/>
          <w:sz w:val="24"/>
          <w:szCs w:val="24"/>
        </w:rPr>
        <w:t>采购需求：</w:t>
      </w:r>
      <w:bookmarkEnd w:id="7"/>
      <w:bookmarkEnd w:id="8"/>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正和商城四、五楼:拆除原有墙体，新建轻钢龙骨石膏板隔墙，新做墙面、地面天棚装修，破除室外地面及恢复等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水利局西门商铺:新建轻钢龙骨石膏板隔墙，新做墙面、地面、天棚装修，破除室外地面及恢复等</w:t>
      </w:r>
      <w:r>
        <w:rPr>
          <w:rFonts w:hint="eastAsia" w:ascii="仿宋_GB2312" w:hAnsi="仿宋_GB2312" w:eastAsia="仿宋_GB2312" w:cs="仿宋_GB2312"/>
          <w:kern w:val="0"/>
          <w:sz w:val="24"/>
          <w:szCs w:val="24"/>
          <w:lang w:eastAsia="zh-CN"/>
        </w:rPr>
        <w:t>。</w:t>
      </w:r>
    </w:p>
    <w:p>
      <w:pPr>
        <w:widowControl/>
        <w:shd w:val="clear"/>
        <w:spacing w:line="360" w:lineRule="auto"/>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合同履行期限：</w:t>
      </w:r>
      <w:r>
        <w:rPr>
          <w:rFonts w:hint="eastAsia" w:ascii="仿宋_GB2312" w:hAnsi="仿宋_GB2312" w:eastAsia="仿宋_GB2312" w:cs="仿宋_GB2312"/>
          <w:kern w:val="0"/>
          <w:sz w:val="24"/>
          <w:szCs w:val="24"/>
          <w:lang w:eastAsia="zh-CN"/>
        </w:rPr>
        <w:t>详见谈判文件</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本项目(不接受)联合体投标。</w:t>
      </w:r>
    </w:p>
    <w:p>
      <w:pPr>
        <w:widowControl/>
        <w:shd w:val="clear"/>
        <w:spacing w:line="360" w:lineRule="auto"/>
        <w:jc w:val="left"/>
        <w:outlineLvl w:val="1"/>
        <w:rPr>
          <w:rFonts w:hint="eastAsia" w:ascii="仿宋_GB2312" w:hAnsi="仿宋_GB2312" w:eastAsia="仿宋_GB2312" w:cs="仿宋_GB2312"/>
          <w:kern w:val="0"/>
          <w:sz w:val="24"/>
          <w:szCs w:val="24"/>
        </w:rPr>
      </w:pPr>
      <w:bookmarkStart w:id="9" w:name="_Toc29317"/>
      <w:bookmarkStart w:id="10" w:name="_Toc23006"/>
      <w:r>
        <w:rPr>
          <w:rFonts w:hint="eastAsia" w:ascii="仿宋_GB2312" w:hAnsi="仿宋_GB2312" w:eastAsia="仿宋_GB2312" w:cs="仿宋_GB2312"/>
          <w:b/>
          <w:kern w:val="0"/>
          <w:sz w:val="24"/>
          <w:szCs w:val="24"/>
        </w:rPr>
        <w:t>二、申请人的资格要求：</w:t>
      </w:r>
      <w:bookmarkEnd w:id="9"/>
      <w:bookmarkEnd w:id="10"/>
    </w:p>
    <w:p>
      <w:pPr>
        <w:shd w:val="clear"/>
        <w:spacing w:line="360" w:lineRule="auto"/>
        <w:outlineLvl w:val="2"/>
        <w:rPr>
          <w:rFonts w:hint="eastAsia" w:ascii="仿宋_GB2312" w:hAnsi="仿宋_GB2312" w:eastAsia="仿宋_GB2312" w:cs="仿宋_GB2312"/>
          <w:sz w:val="24"/>
          <w:szCs w:val="24"/>
        </w:rPr>
      </w:pPr>
      <w:bookmarkStart w:id="11" w:name="_Toc11219"/>
      <w:bookmarkStart w:id="12" w:name="_Toc328"/>
      <w:r>
        <w:rPr>
          <w:rFonts w:hint="eastAsia" w:ascii="仿宋_GB2312" w:hAnsi="仿宋_GB2312" w:eastAsia="仿宋_GB2312" w:cs="仿宋_GB2312"/>
          <w:sz w:val="24"/>
          <w:szCs w:val="24"/>
        </w:rPr>
        <w:t>1.满足《中华人民共和国政府采购法》第二十二条规定；</w:t>
      </w:r>
      <w:bookmarkEnd w:id="11"/>
      <w:bookmarkEnd w:id="12"/>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2.落实政府采购政策需满足的资格要求：</w:t>
      </w:r>
      <w:r>
        <w:rPr>
          <w:rFonts w:hint="eastAsia" w:ascii="仿宋_GB2312" w:hAnsi="仿宋_GB2312" w:eastAsia="仿宋_GB2312" w:cs="仿宋_GB2312"/>
          <w:sz w:val="24"/>
          <w:szCs w:val="24"/>
          <w:lang w:val="en-US" w:eastAsia="zh-CN"/>
        </w:rPr>
        <w:t>本项目专门面向中小企业。</w:t>
      </w:r>
    </w:p>
    <w:p>
      <w:pPr>
        <w:numPr>
          <w:ilvl w:val="0"/>
          <w:numId w:val="2"/>
        </w:numPr>
        <w:shd w:val="clea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本项目的特定资格要求：</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（1）供应商须是中华人民共和国境内注册，具有有效的营业执照</w:t>
      </w:r>
      <w:r>
        <w:rPr>
          <w:rFonts w:hint="eastAsia" w:ascii="仿宋_GB2312" w:hAnsi="仿宋_GB2312" w:eastAsia="仿宋_GB2312" w:cs="仿宋_GB2312"/>
          <w:color w:val="auto"/>
          <w:sz w:val="24"/>
          <w:szCs w:val="24"/>
          <w:lang w:val="en-US" w:eastAsia="zh-CN"/>
        </w:rPr>
        <w:t>；</w:t>
      </w:r>
    </w:p>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（2）供应商须具备建设行政主管部门颁发的建筑工程施工总承包叁级及以上资质；</w:t>
      </w:r>
    </w:p>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（3）供应商提供的项目负责人须具备二级及以上注册建造师执业资格且具有有效的安全生产考核合格证书，本单位注册不接受临时建造师,</w:t>
      </w:r>
      <w:r>
        <w:rPr>
          <w:rFonts w:hint="eastAsia" w:ascii="仿宋_GB2312" w:hAnsi="仿宋_GB2312" w:eastAsia="仿宋_GB2312" w:cs="仿宋_GB2312"/>
          <w:color w:val="auto"/>
          <w:kern w:val="2"/>
          <w:sz w:val="24"/>
          <w:szCs w:val="24"/>
          <w:lang w:val="en-US" w:eastAsia="zh-CN" w:bidi="ar-SA"/>
        </w:rPr>
        <w:t xml:space="preserve">且未担任其他在建项目的项目负责人 </w:t>
      </w:r>
      <w:r>
        <w:rPr>
          <w:rFonts w:hint="eastAsia" w:ascii="仿宋_GB2312" w:hAnsi="仿宋_GB2312" w:eastAsia="仿宋_GB2312" w:cs="仿宋_GB2312"/>
          <w:sz w:val="24"/>
          <w:szCs w:val="24"/>
          <w:highlight w:val="none"/>
          <w:lang w:val="en-US" w:eastAsia="zh-CN"/>
        </w:rPr>
        <w:t>；</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（4）供应商须提供有效的安全生产许可证；</w:t>
      </w:r>
    </w:p>
    <w:p>
      <w:pPr>
        <w:shd w:val="clear"/>
        <w:spacing w:line="360" w:lineRule="auto"/>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tl w:val="0"/>
          <w:lang w:val="en-US" w:eastAsia="zh-CN"/>
        </w:rPr>
        <w:t>具有独立承担民事责任的能力及具有良好的商业信誉和健全的财务会计制度；</w:t>
      </w:r>
    </w:p>
    <w:p>
      <w:pPr>
        <w:shd w:val="clear"/>
        <w:spacing w:line="360" w:lineRule="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tl w:val="0"/>
          <w:lang w:val="en-US" w:eastAsia="zh-CN"/>
        </w:rPr>
        <w:t>具有履行合同所必须的设备和专业技术能力及具有依法缴纳税收和社会保障资金的良好记录；</w:t>
      </w:r>
    </w:p>
    <w:p>
      <w:pPr>
        <w:shd w:val="clear"/>
        <w:spacing w:line="360" w:lineRule="auto"/>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shd w:val="clear"/>
        <w:spacing w:line="360" w:lineRule="auto"/>
        <w:rPr>
          <w:rFonts w:hint="eastAsia" w:ascii="仿宋_GB2312" w:hAnsi="仿宋_GB2312" w:eastAsia="仿宋_GB2312" w:cs="仿宋_GB2312"/>
          <w:sz w:val="24"/>
          <w:szCs w:val="24"/>
          <w:lang w:val="en-US" w:eastAsia="zh-CN"/>
        </w:rPr>
      </w:pPr>
    </w:p>
    <w:p>
      <w:pPr>
        <w:shd w:val="clea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pPr>
        <w:widowControl/>
        <w:shd w:val="clear"/>
        <w:spacing w:line="360" w:lineRule="auto"/>
        <w:jc w:val="left"/>
        <w:outlineLvl w:val="1"/>
        <w:rPr>
          <w:rFonts w:hint="eastAsia" w:ascii="仿宋_GB2312" w:hAnsi="仿宋_GB2312" w:eastAsia="仿宋_GB2312" w:cs="仿宋_GB2312"/>
          <w:kern w:val="0"/>
          <w:sz w:val="24"/>
          <w:szCs w:val="24"/>
          <w:lang w:eastAsia="zh-CN"/>
        </w:rPr>
      </w:pPr>
      <w:bookmarkStart w:id="13" w:name="_Toc18053"/>
      <w:bookmarkStart w:id="14" w:name="_Toc18646"/>
      <w:r>
        <w:rPr>
          <w:rFonts w:hint="eastAsia" w:ascii="仿宋_GB2312" w:hAnsi="仿宋_GB2312" w:eastAsia="仿宋_GB2312" w:cs="仿宋_GB2312"/>
          <w:b/>
          <w:kern w:val="0"/>
          <w:sz w:val="24"/>
          <w:szCs w:val="24"/>
        </w:rPr>
        <w:t>三、获取</w:t>
      </w:r>
      <w:r>
        <w:rPr>
          <w:rFonts w:hint="eastAsia" w:ascii="仿宋_GB2312" w:hAnsi="仿宋_GB2312" w:eastAsia="仿宋_GB2312" w:cs="仿宋_GB2312"/>
          <w:b/>
          <w:kern w:val="0"/>
          <w:sz w:val="24"/>
          <w:szCs w:val="24"/>
          <w:lang w:eastAsia="zh-CN"/>
        </w:rPr>
        <w:t>谈判文件</w:t>
      </w:r>
      <w:bookmarkEnd w:id="13"/>
      <w:bookmarkEnd w:id="14"/>
    </w:p>
    <w:p>
      <w:pPr>
        <w:widowControl/>
        <w:shd w:val="clear"/>
        <w:spacing w:line="360" w:lineRule="auto"/>
        <w:ind w:firstLine="480" w:firstLineChars="200"/>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时间：2023年</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07</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日至2023年</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日，每天上午</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0:00至1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:00，下午1</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:00至</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。（北京时间，法定节假日除外）</w:t>
      </w:r>
    </w:p>
    <w:p>
      <w:pPr>
        <w:widowControl/>
        <w:shd w:val="clea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地点：政采云平台（https://www.zcygov.cn/）</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方式：供应商登录政采云平台https://www.zcygov.cn/在线申请获取采购文件（进入“项目采购”应用，在获取采购文件菜单中选择项目，申请获取采购文件）。</w:t>
      </w:r>
    </w:p>
    <w:p>
      <w:pPr>
        <w:widowControl/>
        <w:shd w:val="clea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售价：0</w:t>
      </w:r>
    </w:p>
    <w:p>
      <w:pPr>
        <w:widowControl/>
        <w:shd w:val="clear"/>
        <w:spacing w:line="360" w:lineRule="auto"/>
        <w:jc w:val="left"/>
        <w:outlineLvl w:val="1"/>
        <w:rPr>
          <w:rFonts w:hint="eastAsia" w:ascii="仿宋_GB2312" w:hAnsi="仿宋_GB2312" w:eastAsia="仿宋_GB2312" w:cs="仿宋_GB2312"/>
          <w:kern w:val="0"/>
          <w:sz w:val="24"/>
          <w:szCs w:val="24"/>
        </w:rPr>
      </w:pPr>
      <w:bookmarkStart w:id="15" w:name="_Toc13553"/>
      <w:bookmarkStart w:id="16" w:name="_Toc32028"/>
      <w:r>
        <w:rPr>
          <w:rFonts w:hint="eastAsia" w:ascii="仿宋_GB2312" w:hAnsi="仿宋_GB2312" w:eastAsia="仿宋_GB2312" w:cs="仿宋_GB2312"/>
          <w:b/>
          <w:kern w:val="0"/>
          <w:sz w:val="24"/>
          <w:szCs w:val="24"/>
        </w:rPr>
        <w:t>四、提交投标文件截止时间、开标时间和地点</w:t>
      </w:r>
      <w:bookmarkEnd w:id="15"/>
      <w:bookmarkEnd w:id="16"/>
    </w:p>
    <w:p>
      <w:pPr>
        <w:widowControl/>
        <w:shd w:val="clear"/>
        <w:spacing w:line="360" w:lineRule="auto"/>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kern w:val="0"/>
          <w:sz w:val="24"/>
          <w:szCs w:val="24"/>
          <w:highlight w:val="none"/>
        </w:rPr>
        <w:t>提交投标文件截止时间：</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点</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分</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（北京时间）</w:t>
      </w:r>
    </w:p>
    <w:p>
      <w:pPr>
        <w:widowControl/>
        <w:shd w:val="clear"/>
        <w:spacing w:line="360" w:lineRule="auto"/>
        <w:jc w:val="left"/>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开标时间：</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08</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月</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日</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点</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分</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（北京时间）</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地点：政采云平台（https://www.zcygov.cn/）</w:t>
      </w:r>
    </w:p>
    <w:p>
      <w:pPr>
        <w:widowControl/>
        <w:shd w:val="clear"/>
        <w:spacing w:line="360" w:lineRule="auto"/>
        <w:jc w:val="left"/>
        <w:outlineLvl w:val="1"/>
        <w:rPr>
          <w:rFonts w:hint="eastAsia" w:ascii="仿宋_GB2312" w:hAnsi="仿宋_GB2312" w:eastAsia="仿宋_GB2312" w:cs="仿宋_GB2312"/>
          <w:kern w:val="0"/>
          <w:sz w:val="24"/>
          <w:szCs w:val="24"/>
        </w:rPr>
      </w:pPr>
      <w:bookmarkStart w:id="17" w:name="_Toc14136"/>
      <w:bookmarkStart w:id="18" w:name="_Toc12940"/>
      <w:r>
        <w:rPr>
          <w:rFonts w:hint="eastAsia" w:ascii="仿宋_GB2312" w:hAnsi="仿宋_GB2312" w:eastAsia="仿宋_GB2312" w:cs="仿宋_GB2312"/>
          <w:b/>
          <w:kern w:val="0"/>
          <w:sz w:val="24"/>
          <w:szCs w:val="24"/>
        </w:rPr>
        <w:t>五、公告期限</w:t>
      </w:r>
      <w:bookmarkEnd w:id="17"/>
      <w:bookmarkEnd w:id="18"/>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自本公告发布之日起</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个工作日。</w:t>
      </w:r>
    </w:p>
    <w:p>
      <w:pPr>
        <w:widowControl/>
        <w:shd w:val="clear"/>
        <w:spacing w:line="360" w:lineRule="auto"/>
        <w:jc w:val="left"/>
        <w:outlineLvl w:val="1"/>
        <w:rPr>
          <w:rFonts w:hint="eastAsia" w:ascii="仿宋_GB2312" w:hAnsi="仿宋_GB2312" w:eastAsia="仿宋_GB2312" w:cs="仿宋_GB2312"/>
          <w:kern w:val="0"/>
          <w:sz w:val="24"/>
          <w:szCs w:val="24"/>
        </w:rPr>
      </w:pPr>
      <w:bookmarkStart w:id="19" w:name="_Toc32486"/>
      <w:bookmarkStart w:id="20" w:name="_Toc28655"/>
      <w:r>
        <w:rPr>
          <w:rFonts w:hint="eastAsia" w:ascii="仿宋_GB2312" w:hAnsi="仿宋_GB2312" w:eastAsia="仿宋_GB2312" w:cs="仿宋_GB2312"/>
          <w:b/>
          <w:kern w:val="0"/>
          <w:sz w:val="24"/>
          <w:szCs w:val="24"/>
        </w:rPr>
        <w:t>六、其他补充事宜</w:t>
      </w:r>
      <w:bookmarkEnd w:id="19"/>
      <w:bookmarkEnd w:id="20"/>
    </w:p>
    <w:p>
      <w:pPr>
        <w:widowControl/>
        <w:shd w:val="clear"/>
        <w:spacing w:line="360" w:lineRule="auto"/>
        <w:jc w:val="left"/>
        <w:outlineLvl w:val="2"/>
        <w:rPr>
          <w:rFonts w:hint="eastAsia" w:ascii="仿宋_GB2312" w:hAnsi="仿宋_GB2312" w:eastAsia="仿宋_GB2312" w:cs="仿宋_GB2312"/>
          <w:kern w:val="0"/>
          <w:sz w:val="24"/>
          <w:szCs w:val="24"/>
        </w:rPr>
      </w:pPr>
      <w:bookmarkStart w:id="21" w:name="_Toc20121"/>
      <w:bookmarkStart w:id="22" w:name="_Toc27019"/>
      <w:r>
        <w:rPr>
          <w:rFonts w:hint="eastAsia" w:ascii="仿宋_GB2312" w:hAnsi="仿宋_GB2312" w:eastAsia="仿宋_GB2312" w:cs="仿宋_GB2312"/>
          <w:kern w:val="0"/>
          <w:sz w:val="24"/>
          <w:szCs w:val="24"/>
        </w:rPr>
        <w:t>1、请投标单位随时关注本项目的澄清、答疑、变更事项。</w:t>
      </w:r>
      <w:bookmarkEnd w:id="21"/>
      <w:bookmarkEnd w:id="22"/>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2、本项目实行电子招投标，供应商须登录政采云平台申请获取</w:t>
      </w:r>
      <w:r>
        <w:rPr>
          <w:rFonts w:hint="eastAsia" w:ascii="仿宋_GB2312" w:hAnsi="仿宋_GB2312" w:eastAsia="仿宋_GB2312" w:cs="仿宋_GB2312"/>
          <w:kern w:val="0"/>
          <w:sz w:val="24"/>
          <w:szCs w:val="24"/>
          <w:lang w:eastAsia="zh-CN"/>
        </w:rPr>
        <w:t>谈判文件</w:t>
      </w:r>
      <w:r>
        <w:rPr>
          <w:rFonts w:hint="eastAsia" w:ascii="仿宋_GB2312" w:hAnsi="仿宋_GB2312" w:eastAsia="仿宋_GB2312" w:cs="仿宋_GB2312"/>
          <w:kern w:val="0"/>
          <w:sz w:val="24"/>
          <w:szCs w:val="24"/>
        </w:rPr>
        <w:t>，并通过政采云电子投标客户端制作投标文件，同时自行承担与投标有关的一切费用。</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3、各供应商应在开标前应确保成为政采云平台供应商，并完成 CA 数字证书(符合国密标准) 申领。因未注册入库、未办理CA数字证书等原因造成无法投标或投标失败等后果由供应商自行承担。</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widowControl/>
        <w:shd w:val="clear"/>
        <w:spacing w:line="360" w:lineRule="auto"/>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widowControl/>
        <w:shd w:val="clear"/>
        <w:jc w:val="left"/>
        <w:outlineLvl w:val="1"/>
        <w:rPr>
          <w:rFonts w:hint="eastAsia" w:ascii="仿宋_GB2312" w:hAnsi="仿宋_GB2312" w:eastAsia="仿宋_GB2312" w:cs="仿宋_GB2312"/>
          <w:kern w:val="0"/>
          <w:sz w:val="24"/>
          <w:szCs w:val="24"/>
        </w:rPr>
      </w:pPr>
      <w:bookmarkStart w:id="23" w:name="_Toc477"/>
      <w:bookmarkStart w:id="24" w:name="_Toc14707"/>
      <w:r>
        <w:rPr>
          <w:rFonts w:hint="eastAsia" w:ascii="仿宋_GB2312" w:hAnsi="仿宋_GB2312" w:eastAsia="仿宋_GB2312" w:cs="仿宋_GB2312"/>
          <w:b/>
          <w:kern w:val="0"/>
          <w:sz w:val="24"/>
          <w:szCs w:val="24"/>
        </w:rPr>
        <w:t>七、凡对本次采购提出询问，请按以下方式联系。</w:t>
      </w:r>
      <w:bookmarkEnd w:id="23"/>
      <w:bookmarkEnd w:id="24"/>
    </w:p>
    <w:p>
      <w:pPr>
        <w:shd w:val="clear"/>
        <w:spacing w:line="360" w:lineRule="auto"/>
        <w:ind w:firstLine="240" w:firstLineChars="100"/>
        <w:outlineLvl w:val="2"/>
        <w:rPr>
          <w:rFonts w:hint="eastAsia" w:ascii="仿宋_GB2312" w:hAnsi="仿宋_GB2312" w:eastAsia="仿宋_GB2312" w:cs="仿宋_GB2312"/>
          <w:sz w:val="24"/>
          <w:szCs w:val="24"/>
        </w:rPr>
      </w:pPr>
      <w:bookmarkStart w:id="25" w:name="_Toc23910"/>
      <w:bookmarkStart w:id="26" w:name="_Toc32053"/>
      <w:r>
        <w:rPr>
          <w:rFonts w:hint="eastAsia" w:ascii="仿宋_GB2312" w:hAnsi="仿宋_GB2312" w:eastAsia="仿宋_GB2312" w:cs="仿宋_GB2312"/>
          <w:sz w:val="24"/>
          <w:szCs w:val="24"/>
        </w:rPr>
        <w:t>1.采购人信息</w:t>
      </w:r>
      <w:bookmarkEnd w:id="25"/>
      <w:bookmarkEnd w:id="26"/>
    </w:p>
    <w:p>
      <w:pPr>
        <w:shd w:val="clear"/>
        <w:spacing w:line="360" w:lineRule="auto"/>
        <w:ind w:firstLine="240" w:firstLineChars="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名 称：</w:t>
      </w:r>
      <w:r>
        <w:rPr>
          <w:rFonts w:hint="eastAsia" w:ascii="仿宋_GB2312" w:hAnsi="仿宋_GB2312" w:eastAsia="仿宋_GB2312" w:cs="仿宋_GB2312"/>
          <w:sz w:val="24"/>
          <w:szCs w:val="24"/>
          <w:lang w:val="en-US" w:eastAsia="zh-CN"/>
        </w:rPr>
        <w:t>乌苏市保障性住房投资建设管理有限公司</w:t>
      </w:r>
    </w:p>
    <w:p>
      <w:pPr>
        <w:shd w:val="clear"/>
        <w:spacing w:line="360" w:lineRule="auto"/>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 xml:space="preserve">田雪荷 </w:t>
      </w:r>
    </w:p>
    <w:p>
      <w:pPr>
        <w:shd w:val="clear"/>
        <w:spacing w:line="360" w:lineRule="auto"/>
        <w:ind w:firstLine="240" w:firstLineChars="100"/>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13779094693</w:t>
      </w:r>
    </w:p>
    <w:p>
      <w:pPr>
        <w:shd w:val="clear"/>
        <w:spacing w:line="360" w:lineRule="auto"/>
        <w:ind w:firstLine="240" w:firstLineChars="100"/>
        <w:outlineLvl w:val="2"/>
        <w:rPr>
          <w:rFonts w:hint="eastAsia" w:ascii="仿宋_GB2312" w:hAnsi="仿宋_GB2312" w:eastAsia="仿宋_GB2312" w:cs="仿宋_GB2312"/>
          <w:sz w:val="24"/>
          <w:szCs w:val="24"/>
        </w:rPr>
      </w:pPr>
      <w:bookmarkStart w:id="27" w:name="_Toc753"/>
      <w:bookmarkStart w:id="28" w:name="_Toc11515"/>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采购代理机构</w:t>
      </w:r>
      <w:r>
        <w:rPr>
          <w:rFonts w:hint="eastAsia" w:ascii="仿宋_GB2312" w:hAnsi="仿宋_GB2312" w:eastAsia="仿宋_GB2312" w:cs="仿宋_GB2312"/>
          <w:sz w:val="24"/>
          <w:szCs w:val="24"/>
        </w:rPr>
        <w:t>信息</w:t>
      </w:r>
      <w:bookmarkEnd w:id="27"/>
      <w:bookmarkEnd w:id="28"/>
    </w:p>
    <w:p>
      <w:pPr>
        <w:shd w:val="clear"/>
        <w:spacing w:line="360" w:lineRule="auto"/>
        <w:ind w:firstLine="240" w:firstLineChars="100"/>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名 称：</w:t>
      </w:r>
      <w:r>
        <w:rPr>
          <w:rFonts w:hint="eastAsia" w:ascii="仿宋_GB2312" w:hAnsi="仿宋_GB2312" w:eastAsia="仿宋_GB2312" w:cs="仿宋_GB2312"/>
          <w:sz w:val="24"/>
          <w:szCs w:val="24"/>
          <w:lang w:val="en-US" w:eastAsia="zh-CN"/>
        </w:rPr>
        <w:t>乌苏市政务服务中心</w:t>
      </w:r>
    </w:p>
    <w:p>
      <w:pPr>
        <w:shd w:val="clear"/>
        <w:spacing w:line="360" w:lineRule="auto"/>
        <w:ind w:firstLine="240" w:firstLineChars="100"/>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米格娜依</w:t>
      </w:r>
    </w:p>
    <w:p>
      <w:pPr>
        <w:shd w:val="clear"/>
        <w:spacing w:line="360" w:lineRule="auto"/>
        <w:ind w:firstLine="240" w:firstLineChars="100"/>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0992-8507872</w:t>
      </w:r>
    </w:p>
    <w:p>
      <w:pPr>
        <w:shd w:val="clear"/>
        <w:spacing w:line="360" w:lineRule="auto"/>
        <w:ind w:firstLine="240" w:firstLineChars="100"/>
        <w:outlineLvl w:val="2"/>
        <w:rPr>
          <w:rFonts w:hint="eastAsia" w:ascii="宋体" w:hAnsi="宋体" w:cs="宋体"/>
          <w:sz w:val="24"/>
          <w:szCs w:val="24"/>
          <w:lang w:eastAsia="zh-CN"/>
        </w:rPr>
      </w:pPr>
    </w:p>
    <w:p>
      <w:pPr>
        <w:pStyle w:val="48"/>
        <w:shd w:val="clear"/>
        <w:spacing w:line="276" w:lineRule="auto"/>
        <w:ind w:left="1314" w:leftChars="456" w:hanging="220" w:hangingChars="100"/>
        <w:rPr>
          <w:rFonts w:hint="default" w:ascii="宋体" w:hAnsi="宋体" w:eastAsia="宋体" w:cs="宋体"/>
          <w:highlight w:val="yellow"/>
          <w:lang w:val="en-US" w:eastAsia="zh-CN"/>
        </w:rPr>
      </w:pPr>
    </w:p>
    <w:p>
      <w:pPr>
        <w:keepNext w:val="0"/>
        <w:keepLines w:val="0"/>
        <w:pageBreakBefore w:val="0"/>
        <w:shd w:val="clear"/>
        <w:kinsoku/>
        <w:wordWrap/>
        <w:overflowPunct/>
        <w:topLinePunct w:val="0"/>
        <w:autoSpaceDE/>
        <w:autoSpaceDN/>
        <w:bidi w:val="0"/>
        <w:spacing w:line="340" w:lineRule="exact"/>
        <w:ind w:firstLine="1200" w:firstLineChars="500"/>
        <w:textAlignment w:val="auto"/>
        <w:rPr>
          <w:rFonts w:hint="eastAsia" w:asciiTheme="minorEastAsia" w:hAnsiTheme="minorEastAsia" w:eastAsiaTheme="minorEastAsia" w:cstheme="minorEastAsia"/>
          <w:b w:val="0"/>
          <w:bCs/>
          <w:color w:val="auto"/>
          <w:kern w:val="44"/>
          <w:sz w:val="24"/>
          <w:szCs w:val="24"/>
          <w:highlight w:val="none"/>
        </w:rPr>
      </w:pPr>
    </w:p>
    <w:p>
      <w:pPr>
        <w:shd w:val="clear"/>
        <w:spacing w:line="360" w:lineRule="auto"/>
        <w:ind w:firstLine="1200" w:firstLineChars="500"/>
        <w:rPr>
          <w:rFonts w:hint="eastAsia" w:asciiTheme="minorEastAsia" w:hAnsiTheme="minorEastAsia" w:eastAsiaTheme="minorEastAsia" w:cstheme="minorEastAsia"/>
          <w:b w:val="0"/>
          <w:bCs/>
          <w:color w:val="auto"/>
          <w:kern w:val="44"/>
          <w:sz w:val="24"/>
          <w:szCs w:val="24"/>
          <w:highlight w:val="none"/>
        </w:rPr>
      </w:pPr>
    </w:p>
    <w:p>
      <w:pPr>
        <w:pStyle w:val="7"/>
        <w:shd w:val="clear"/>
        <w:ind w:left="0" w:leftChars="0" w:firstLine="0" w:firstLineChars="0"/>
        <w:rPr>
          <w:rFonts w:hint="eastAsia" w:asciiTheme="minorEastAsia" w:hAnsiTheme="minorEastAsia" w:eastAsiaTheme="minorEastAsia" w:cstheme="minorEastAsia"/>
          <w:b w:val="0"/>
          <w:bCs/>
          <w:color w:val="auto"/>
          <w:sz w:val="24"/>
          <w:szCs w:val="24"/>
          <w:highlight w:val="none"/>
          <w:lang w:val="en-US" w:eastAsia="zh-CN"/>
        </w:rPr>
      </w:pPr>
    </w:p>
    <w:bookmarkEnd w:id="2"/>
    <w:bookmarkEnd w:id="3"/>
    <w:p>
      <w:pPr>
        <w:shd w:val="clea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pPr>
        <w:pStyle w:val="2"/>
        <w:shd w:val="clear"/>
        <w:jc w:val="center"/>
        <w:outlineLvl w:val="0"/>
        <w:rPr>
          <w:rFonts w:hint="eastAsia" w:ascii="仿宋_GB2312" w:hAnsi="仿宋_GB2312" w:eastAsia="仿宋_GB2312" w:cs="仿宋_GB2312"/>
          <w:color w:val="auto"/>
          <w:sz w:val="24"/>
          <w:szCs w:val="24"/>
          <w:highlight w:val="none"/>
          <w:lang w:val="en-US" w:eastAsia="zh-CN"/>
        </w:rPr>
      </w:pPr>
      <w:bookmarkStart w:id="29" w:name="_Toc24707"/>
      <w:r>
        <w:rPr>
          <w:rFonts w:hint="eastAsia" w:ascii="仿宋_GB2312" w:hAnsi="仿宋_GB2312" w:eastAsia="仿宋_GB2312" w:cs="仿宋_GB2312"/>
          <w:color w:val="auto"/>
          <w:sz w:val="24"/>
          <w:szCs w:val="24"/>
          <w:highlight w:val="none"/>
          <w:lang w:val="en-US" w:eastAsia="zh-CN"/>
        </w:rPr>
        <w:t>供应商须知前附表</w:t>
      </w:r>
      <w:bookmarkEnd w:id="29"/>
    </w:p>
    <w:tbl>
      <w:tblPr>
        <w:tblStyle w:val="25"/>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45"/>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pacing w:val="40"/>
                <w:kern w:val="24"/>
                <w:sz w:val="24"/>
                <w:szCs w:val="24"/>
                <w:highlight w:val="none"/>
              </w:rPr>
            </w:pPr>
            <w:r>
              <w:rPr>
                <w:rFonts w:hint="eastAsia" w:ascii="仿宋_GB2312" w:hAnsi="仿宋_GB2312" w:eastAsia="仿宋_GB2312" w:cs="仿宋_GB2312"/>
                <w:color w:val="auto"/>
                <w:spacing w:val="40"/>
                <w:kern w:val="24"/>
                <w:sz w:val="24"/>
                <w:szCs w:val="24"/>
                <w:highlight w:val="none"/>
              </w:rPr>
              <w:t>序号</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pacing w:val="40"/>
                <w:kern w:val="24"/>
                <w:sz w:val="24"/>
                <w:szCs w:val="24"/>
                <w:highlight w:val="none"/>
                <w:lang w:eastAsia="zh-CN"/>
              </w:rPr>
            </w:pPr>
            <w:r>
              <w:rPr>
                <w:rFonts w:hint="eastAsia" w:ascii="仿宋_GB2312" w:hAnsi="仿宋_GB2312" w:eastAsia="仿宋_GB2312" w:cs="仿宋_GB2312"/>
                <w:color w:val="auto"/>
                <w:spacing w:val="40"/>
                <w:kern w:val="24"/>
                <w:sz w:val="24"/>
                <w:szCs w:val="24"/>
                <w:highlight w:val="none"/>
                <w:lang w:eastAsia="zh-CN"/>
              </w:rPr>
              <w:t>名称</w:t>
            </w:r>
          </w:p>
        </w:tc>
        <w:tc>
          <w:tcPr>
            <w:tcW w:w="6947" w:type="dxa"/>
            <w:vAlign w:val="center"/>
          </w:tcPr>
          <w:p>
            <w:pPr>
              <w:pageBreakBefore w:val="0"/>
              <w:shd w:val="clear"/>
              <w:kinsoku/>
              <w:wordWrap/>
              <w:overflowPunct/>
              <w:topLinePunct w:val="0"/>
              <w:bidi w:val="0"/>
              <w:spacing w:line="360" w:lineRule="auto"/>
              <w:ind w:right="56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9" w:rightChars="0"/>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项</w:t>
            </w:r>
            <w:r>
              <w:rPr>
                <w:rFonts w:hint="eastAsia" w:ascii="仿宋_GB2312" w:hAnsi="仿宋_GB2312" w:eastAsia="仿宋_GB2312" w:cs="仿宋_GB2312"/>
                <w:b w:val="0"/>
                <w:bCs w:val="0"/>
                <w:color w:val="auto"/>
                <w:sz w:val="24"/>
                <w:szCs w:val="24"/>
                <w:highlight w:val="none"/>
                <w:lang w:val="en-US" w:eastAsia="zh-CN"/>
              </w:rPr>
              <w:t>目名称</w:t>
            </w:r>
          </w:p>
        </w:tc>
        <w:tc>
          <w:tcPr>
            <w:tcW w:w="6947" w:type="dxa"/>
            <w:shd w:val="clear" w:color="auto" w:fill="auto"/>
            <w:vAlign w:val="center"/>
          </w:tcPr>
          <w:p>
            <w:pPr>
              <w:widowControl/>
              <w:shd w:val="clear"/>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kern w:val="0"/>
                <w:sz w:val="24"/>
                <w:szCs w:val="24"/>
                <w:lang w:val="en-US" w:eastAsia="zh-CN"/>
              </w:rPr>
              <w:t>乌苏市国有空置房产改建保障性租赁住房项目（水利局家属院西门商铺、正和商城四、五楼）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项目编号</w:t>
            </w:r>
          </w:p>
        </w:tc>
        <w:tc>
          <w:tcPr>
            <w:tcW w:w="6947" w:type="dxa"/>
            <w:shd w:val="clear" w:color="auto" w:fill="auto"/>
            <w:vAlign w:val="center"/>
          </w:tcPr>
          <w:p>
            <w:pPr>
              <w:widowControl/>
              <w:shd w:val="clear"/>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lang w:val="en-US" w:eastAsia="zh-CN"/>
              </w:rPr>
              <w:t>WSZFCG(TG)2023-027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采购服务内</w:t>
            </w:r>
            <w:r>
              <w:rPr>
                <w:rFonts w:hint="eastAsia" w:ascii="仿宋_GB2312" w:hAnsi="仿宋_GB2312" w:eastAsia="仿宋_GB2312" w:cs="仿宋_GB2312"/>
                <w:b w:val="0"/>
                <w:bCs w:val="0"/>
                <w:color w:val="auto"/>
                <w:sz w:val="24"/>
                <w:szCs w:val="24"/>
                <w:highlight w:val="none"/>
              </w:rPr>
              <w:t>容</w:t>
            </w:r>
          </w:p>
        </w:tc>
        <w:tc>
          <w:tcPr>
            <w:tcW w:w="6947" w:type="dxa"/>
            <w:shd w:val="clear" w:color="auto" w:fill="auto"/>
            <w:vAlign w:val="center"/>
          </w:tcPr>
          <w:p>
            <w:pPr>
              <w:widowControl/>
              <w:shd w:val="clear"/>
              <w:spacing w:line="360" w:lineRule="auto"/>
              <w:jc w:val="left"/>
              <w:outlineLvl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正和商城四、五楼:拆除原有墙体，新建轻钢龙骨石膏板隔墙，新做墙面、地面天棚装修，破除室外地面及恢复等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水利局西门商铺:新建轻钢龙骨石膏板隔墙，新做墙面、地面、天棚装修，破除室外地面及恢复等</w:t>
            </w:r>
            <w:r>
              <w:rPr>
                <w:rFonts w:hint="eastAsia" w:ascii="仿宋_GB2312" w:hAnsi="仿宋_GB2312" w:eastAsia="仿宋_GB2312" w:cs="仿宋_GB2312"/>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采购单位名称</w:t>
            </w:r>
          </w:p>
        </w:tc>
        <w:tc>
          <w:tcPr>
            <w:tcW w:w="6947" w:type="dxa"/>
            <w:vAlign w:val="center"/>
          </w:tcPr>
          <w:p>
            <w:pPr>
              <w:shd w:val="clea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乌苏市保障性住房投资建设管理有限公司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eastAsia="zh-CN"/>
              </w:rPr>
              <w:t>采购最高限价</w:t>
            </w:r>
          </w:p>
        </w:tc>
        <w:tc>
          <w:tcPr>
            <w:tcW w:w="6947" w:type="dxa"/>
            <w:vAlign w:val="center"/>
          </w:tcPr>
          <w:p>
            <w:pPr>
              <w:pStyle w:val="22"/>
              <w:keepNext w:val="0"/>
              <w:keepLines w:val="0"/>
              <w:widowControl/>
              <w:suppressLineNumbers w:val="0"/>
              <w:shd w:val="clear"/>
              <w:spacing w:before="75" w:beforeAutospacing="0" w:after="75" w:afterAutospacing="0" w:line="240" w:lineRule="auto"/>
              <w:ind w:right="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308.08万元（大写：叁佰零捌万零捌佰元整）</w:t>
            </w:r>
          </w:p>
          <w:p>
            <w:pPr>
              <w:pStyle w:val="22"/>
              <w:keepNext w:val="0"/>
              <w:keepLines w:val="0"/>
              <w:widowControl/>
              <w:suppressLineNumbers w:val="0"/>
              <w:shd w:val="clear"/>
              <w:spacing w:before="75" w:beforeAutospacing="0" w:after="75" w:afterAutospacing="0" w:line="240" w:lineRule="auto"/>
              <w:ind w:right="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（此金额为最高限价，如超过限价的报价为无效报价）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采购</w:t>
            </w:r>
            <w:r>
              <w:rPr>
                <w:rFonts w:hint="eastAsia" w:ascii="仿宋_GB2312" w:hAnsi="仿宋_GB2312" w:eastAsia="仿宋_GB2312" w:cs="仿宋_GB2312"/>
                <w:b w:val="0"/>
                <w:bCs w:val="0"/>
                <w:color w:val="auto"/>
                <w:sz w:val="24"/>
                <w:szCs w:val="24"/>
                <w:highlight w:val="none"/>
              </w:rPr>
              <w:t>方式</w:t>
            </w:r>
          </w:p>
        </w:tc>
        <w:tc>
          <w:tcPr>
            <w:tcW w:w="6947" w:type="dxa"/>
            <w:vAlign w:val="center"/>
          </w:tcPr>
          <w:p>
            <w:pPr>
              <w:pageBreakBefore w:val="0"/>
              <w:shd w:val="clear"/>
              <w:kinsoku/>
              <w:wordWrap/>
              <w:overflowPunct/>
              <w:topLinePunct w:val="0"/>
              <w:bidi w:val="0"/>
              <w:spacing w:line="360" w:lineRule="auto"/>
              <w:ind w:right="56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FF0000"/>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建设工期</w:t>
            </w:r>
          </w:p>
        </w:tc>
        <w:tc>
          <w:tcPr>
            <w:tcW w:w="6947" w:type="dxa"/>
            <w:vAlign w:val="center"/>
          </w:tcPr>
          <w:p>
            <w:pPr>
              <w:pageBreakBefore w:val="0"/>
              <w:shd w:val="clear"/>
              <w:kinsoku/>
              <w:wordWrap/>
              <w:overflowPunct/>
              <w:topLinePunct w:val="0"/>
              <w:bidi w:val="0"/>
              <w:spacing w:line="360" w:lineRule="auto"/>
              <w:ind w:right="560"/>
              <w:rPr>
                <w:rFonts w:hint="eastAsia" w:ascii="仿宋_GB2312" w:hAnsi="仿宋_GB2312" w:eastAsia="仿宋_GB2312" w:cs="仿宋_GB2312"/>
                <w:color w:val="FF0000"/>
                <w:sz w:val="24"/>
                <w:szCs w:val="24"/>
                <w:highlight w:val="none"/>
                <w:lang w:val="en-US"/>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合同签订后50天（2023年8月17日至2023年10月5日）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质量</w:t>
            </w:r>
          </w:p>
        </w:tc>
        <w:tc>
          <w:tcPr>
            <w:tcW w:w="6947" w:type="dxa"/>
            <w:vAlign w:val="center"/>
          </w:tcPr>
          <w:p>
            <w:pPr>
              <w:pageBreakBefore w:val="0"/>
              <w:shd w:val="clear"/>
              <w:kinsoku/>
              <w:wordWrap/>
              <w:overflowPunct/>
              <w:topLinePunct w:val="0"/>
              <w:bidi w:val="0"/>
              <w:spacing w:line="360" w:lineRule="auto"/>
              <w:ind w:right="56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报价</w:t>
            </w:r>
          </w:p>
        </w:tc>
        <w:tc>
          <w:tcPr>
            <w:tcW w:w="6947" w:type="dxa"/>
            <w:vAlign w:val="center"/>
          </w:tcPr>
          <w:p>
            <w:pPr>
              <w:pageBreakBefore w:val="0"/>
              <w:shd w:val="clear"/>
              <w:tabs>
                <w:tab w:val="left" w:pos="5760"/>
              </w:tabs>
              <w:kinsoku/>
              <w:wordWrap/>
              <w:overflowPunct/>
              <w:topLinePunct w:val="0"/>
              <w:bidi w:val="0"/>
              <w:spacing w:line="240" w:lineRule="auto"/>
              <w:ind w:right="-40" w:righ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u w:val="none"/>
                <w:lang w:val="en-US" w:eastAsia="zh-CN"/>
              </w:rPr>
              <w:t>有二次报价，须以清单方式提交,报价时长为30分钟，如未在规定时间内按规定方式提交，视同弃标。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报价货币</w:t>
            </w:r>
          </w:p>
        </w:tc>
        <w:tc>
          <w:tcPr>
            <w:tcW w:w="6947" w:type="dxa"/>
            <w:vAlign w:val="center"/>
          </w:tcPr>
          <w:p>
            <w:pPr>
              <w:pageBreakBefore w:val="0"/>
              <w:shd w:val="clear"/>
              <w:kinsoku/>
              <w:wordWrap/>
              <w:overflowPunct/>
              <w:topLinePunct w:val="0"/>
              <w:bidi w:val="0"/>
              <w:spacing w:line="360" w:lineRule="auto"/>
              <w:ind w:right="5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1</w:t>
            </w:r>
          </w:p>
        </w:tc>
        <w:tc>
          <w:tcPr>
            <w:tcW w:w="2045" w:type="dxa"/>
            <w:tcMar>
              <w:top w:w="0" w:type="dxa"/>
              <w:left w:w="108" w:type="dxa"/>
              <w:bottom w:w="0" w:type="dxa"/>
              <w:right w:w="108" w:type="dxa"/>
            </w:tcMar>
            <w:vAlign w:val="center"/>
          </w:tcPr>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shd w:val="clear" w:color="auto" w:fill="FFFFFF"/>
                <w:lang w:eastAsia="zh-CN"/>
              </w:rPr>
              <w:t>谈判保证金</w:t>
            </w:r>
          </w:p>
        </w:tc>
        <w:tc>
          <w:tcPr>
            <w:tcW w:w="6947"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leftChars="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此项目不收取保证金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17" w:type="dxa"/>
            <w:vAlign w:val="center"/>
          </w:tcPr>
          <w:p>
            <w:pPr>
              <w:pageBreakBefore w:val="0"/>
              <w:shd w:val="clear"/>
              <w:kinsoku/>
              <w:wordWrap/>
              <w:overflowPunct/>
              <w:topLinePunct w:val="0"/>
              <w:bidi w:val="0"/>
              <w:spacing w:line="360" w:lineRule="auto"/>
              <w:ind w:right="-108" w:rightChars="-4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2045" w:type="dxa"/>
            <w:tcMar>
              <w:top w:w="0" w:type="dxa"/>
              <w:left w:w="108" w:type="dxa"/>
              <w:bottom w:w="0" w:type="dxa"/>
              <w:right w:w="108" w:type="dxa"/>
            </w:tcMar>
            <w:vAlign w:val="center"/>
          </w:tcPr>
          <w:p>
            <w:pPr>
              <w:keepNext w:val="0"/>
              <w:keepLines w:val="0"/>
              <w:pageBreakBefore w:val="0"/>
              <w:widowControl w:val="0"/>
              <w:shd w:val="clear"/>
              <w:kinsoku/>
              <w:wordWrap/>
              <w:overflowPunct/>
              <w:topLinePunct w:val="0"/>
              <w:autoSpaceDE/>
              <w:autoSpaceDN/>
              <w:bidi w:val="0"/>
              <w:adjustRightInd/>
              <w:snapToGrid/>
              <w:spacing w:line="400" w:lineRule="exact"/>
              <w:ind w:right="-48" w:rightChars="-20"/>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谈判供应商资格要求</w:t>
            </w:r>
          </w:p>
          <w:p>
            <w:pPr>
              <w:pageBreakBefore w:val="0"/>
              <w:shd w:val="clear"/>
              <w:kinsoku/>
              <w:wordWrap/>
              <w:overflowPunct/>
              <w:topLinePunct w:val="0"/>
              <w:bidi w:val="0"/>
              <w:spacing w:line="360" w:lineRule="auto"/>
              <w:ind w:right="-48" w:rightChars="-20"/>
              <w:jc w:val="center"/>
              <w:rPr>
                <w:rFonts w:hint="eastAsia" w:ascii="仿宋_GB2312" w:hAnsi="仿宋_GB2312" w:eastAsia="仿宋_GB2312" w:cs="仿宋_GB2312"/>
                <w:b w:val="0"/>
                <w:bCs w:val="0"/>
                <w:color w:val="auto"/>
                <w:sz w:val="24"/>
                <w:szCs w:val="24"/>
                <w:highlight w:val="none"/>
              </w:rPr>
            </w:pPr>
          </w:p>
        </w:tc>
        <w:tc>
          <w:tcPr>
            <w:tcW w:w="6947" w:type="dxa"/>
            <w:vAlign w:val="center"/>
          </w:tcPr>
          <w:p>
            <w:pPr>
              <w:keepNext w:val="0"/>
              <w:keepLines w:val="0"/>
              <w:pageBreakBefore w:val="0"/>
              <w:shd w:val="clear"/>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资格要求：</w:t>
            </w:r>
          </w:p>
          <w:p>
            <w:pPr>
              <w:pStyle w:val="48"/>
              <w:keepNext w:val="0"/>
              <w:keepLines w:val="0"/>
              <w:pageBreakBefore w:val="0"/>
              <w:shd w:val="clear"/>
              <w:kinsoku/>
              <w:wordWrap/>
              <w:overflowPunct/>
              <w:topLinePunct w:val="0"/>
              <w:autoSpaceDE/>
              <w:autoSpaceDN/>
              <w:bidi w:val="0"/>
              <w:spacing w:line="340" w:lineRule="exact"/>
              <w:textAlignment w:val="auto"/>
              <w:rPr>
                <w:rFonts w:hint="eastAsia" w:ascii="仿宋_GB2312" w:hAnsi="仿宋_GB2312" w:eastAsia="仿宋_GB2312" w:cs="仿宋_GB2312"/>
                <w:color w:val="auto"/>
                <w:kern w:val="2"/>
                <w:sz w:val="24"/>
                <w:szCs w:val="24"/>
                <w:highlight w:val="none"/>
                <w:shd w:val="clear" w:color="auto" w:fill="FFFFFF"/>
                <w:lang w:eastAsia="zh-CN"/>
              </w:rPr>
            </w:pPr>
            <w:r>
              <w:rPr>
                <w:rFonts w:hint="eastAsia" w:ascii="仿宋_GB2312" w:hAnsi="仿宋_GB2312" w:eastAsia="仿宋_GB2312" w:cs="仿宋_GB2312"/>
                <w:color w:val="auto"/>
                <w:kern w:val="2"/>
                <w:sz w:val="24"/>
                <w:szCs w:val="24"/>
                <w:highlight w:val="none"/>
                <w:shd w:val="clear" w:color="auto" w:fill="FFFFFF"/>
                <w:lang w:eastAsia="zh-CN"/>
              </w:rPr>
              <w:t>1.满足《中华人民共和国政府采购法》第二十二条规定；</w:t>
            </w:r>
          </w:p>
          <w:p>
            <w:pPr>
              <w:pStyle w:val="48"/>
              <w:keepNext w:val="0"/>
              <w:keepLines w:val="0"/>
              <w:pageBreakBefore w:val="0"/>
              <w:shd w:val="clear"/>
              <w:kinsoku/>
              <w:wordWrap/>
              <w:overflowPunct/>
              <w:topLinePunct w:val="0"/>
              <w:autoSpaceDE/>
              <w:autoSpaceDN/>
              <w:bidi w:val="0"/>
              <w:spacing w:line="340" w:lineRule="exact"/>
              <w:textAlignment w:val="auto"/>
              <w:rPr>
                <w:rFonts w:hint="eastAsia" w:ascii="仿宋_GB2312" w:hAnsi="仿宋_GB2312" w:eastAsia="仿宋_GB2312" w:cs="仿宋_GB2312"/>
                <w:color w:val="auto"/>
                <w:kern w:val="2"/>
                <w:sz w:val="24"/>
                <w:szCs w:val="24"/>
                <w:highlight w:val="none"/>
                <w:shd w:val="clear" w:color="auto" w:fill="FFFFFF"/>
                <w:lang w:eastAsia="zh-CN"/>
              </w:rPr>
            </w:pPr>
            <w:r>
              <w:rPr>
                <w:rFonts w:hint="eastAsia" w:ascii="仿宋_GB2312" w:hAnsi="仿宋_GB2312" w:eastAsia="仿宋_GB2312" w:cs="仿宋_GB2312"/>
                <w:color w:val="auto"/>
                <w:kern w:val="2"/>
                <w:sz w:val="24"/>
                <w:szCs w:val="24"/>
                <w:highlight w:val="none"/>
                <w:shd w:val="clear" w:color="auto" w:fill="FFFFFF"/>
                <w:lang w:eastAsia="zh-CN"/>
              </w:rPr>
              <w:t>2.落实政府采购政策需满足的资格要求：本项目专门面向中小企业。</w:t>
            </w:r>
          </w:p>
          <w:p>
            <w:pPr>
              <w:pStyle w:val="48"/>
              <w:keepNext w:val="0"/>
              <w:keepLines w:val="0"/>
              <w:pageBreakBefore w:val="0"/>
              <w:shd w:val="clear"/>
              <w:kinsoku/>
              <w:wordWrap/>
              <w:overflowPunct/>
              <w:topLinePunct w:val="0"/>
              <w:autoSpaceDE/>
              <w:autoSpaceDN/>
              <w:bidi w:val="0"/>
              <w:spacing w:line="340" w:lineRule="exact"/>
              <w:textAlignment w:val="auto"/>
              <w:rPr>
                <w:rFonts w:hint="eastAsia" w:ascii="仿宋_GB2312" w:hAnsi="仿宋_GB2312" w:eastAsia="仿宋_GB2312" w:cs="仿宋_GB2312"/>
                <w:color w:val="auto"/>
                <w:kern w:val="2"/>
                <w:sz w:val="24"/>
                <w:szCs w:val="24"/>
                <w:highlight w:val="none"/>
                <w:shd w:val="clear" w:color="auto" w:fill="FFFFFF"/>
                <w:lang w:eastAsia="zh-CN"/>
              </w:rPr>
            </w:pPr>
            <w:r>
              <w:rPr>
                <w:rFonts w:hint="eastAsia" w:ascii="仿宋_GB2312" w:hAnsi="仿宋_GB2312" w:eastAsia="仿宋_GB2312" w:cs="仿宋_GB2312"/>
                <w:color w:val="auto"/>
                <w:kern w:val="2"/>
                <w:sz w:val="24"/>
                <w:szCs w:val="24"/>
                <w:highlight w:val="none"/>
                <w:shd w:val="clear" w:color="auto" w:fill="FFFFFF"/>
                <w:lang w:eastAsia="zh-CN"/>
              </w:rPr>
              <w:t>3.本项目的特定资格要求：</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（1）供应商须是中华人民共和国境内注册，具有有效的营业执照</w:t>
            </w:r>
            <w:r>
              <w:rPr>
                <w:rFonts w:hint="eastAsia" w:ascii="仿宋_GB2312" w:hAnsi="仿宋_GB2312" w:eastAsia="仿宋_GB2312" w:cs="仿宋_GB2312"/>
                <w:color w:val="auto"/>
                <w:sz w:val="24"/>
                <w:szCs w:val="24"/>
                <w:lang w:val="en-US" w:eastAsia="zh-CN"/>
              </w:rPr>
              <w:t>；</w:t>
            </w:r>
          </w:p>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（2）供应商须具备建设行政主管部门颁发的建筑工程施工总承包叁级及以上资质；</w:t>
            </w:r>
          </w:p>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（3）供应商提供的项目负责人须具备二级及以上注册建造师执业资格且具有有效的安全生产考核合格证书，本单位注册不接受临时建造师,</w:t>
            </w:r>
            <w:r>
              <w:rPr>
                <w:rFonts w:hint="eastAsia" w:ascii="仿宋_GB2312" w:hAnsi="仿宋_GB2312" w:eastAsia="仿宋_GB2312" w:cs="仿宋_GB2312"/>
                <w:color w:val="auto"/>
                <w:kern w:val="2"/>
                <w:sz w:val="24"/>
                <w:szCs w:val="24"/>
                <w:lang w:val="en-US" w:eastAsia="zh-CN" w:bidi="ar-SA"/>
              </w:rPr>
              <w:t xml:space="preserve">且未担任其他在建项目的项目负责人 </w:t>
            </w:r>
            <w:r>
              <w:rPr>
                <w:rFonts w:hint="eastAsia" w:ascii="仿宋_GB2312" w:hAnsi="仿宋_GB2312" w:eastAsia="仿宋_GB2312" w:cs="仿宋_GB2312"/>
                <w:sz w:val="24"/>
                <w:szCs w:val="24"/>
                <w:highlight w:val="none"/>
                <w:lang w:val="en-US" w:eastAsia="zh-CN"/>
              </w:rPr>
              <w:t>；</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（4）供应商须提供有效的安全生产许可证；</w:t>
            </w:r>
          </w:p>
          <w:p>
            <w:pPr>
              <w:shd w:val="clear"/>
              <w:spacing w:line="360" w:lineRule="auto"/>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tl w:val="0"/>
                <w:lang w:val="en-US" w:eastAsia="zh-CN"/>
              </w:rPr>
              <w:t>具有独立承担民事责任的能力及具有良好的商业信誉和健全的财务会计制度；</w:t>
            </w:r>
          </w:p>
          <w:p>
            <w:pPr>
              <w:shd w:val="clear"/>
              <w:spacing w:line="360" w:lineRule="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tl w:val="0"/>
                <w:lang w:val="en-US" w:eastAsia="zh-CN"/>
              </w:rPr>
              <w:t>具有履行合同所必须的设备和专业技术能力及具有依法缴纳税收和社会保障资金的良好记录；</w:t>
            </w:r>
          </w:p>
          <w:p>
            <w:pPr>
              <w:shd w:val="clear"/>
              <w:spacing w:line="360" w:lineRule="auto"/>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shd w:val="clea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8）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谈判响应文件</w:t>
            </w:r>
          </w:p>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有效期</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2045" w:type="dxa"/>
            <w:tcMar>
              <w:top w:w="0" w:type="dxa"/>
              <w:left w:w="57" w:type="dxa"/>
              <w:bottom w:w="0" w:type="dxa"/>
              <w:right w:w="57"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谈判文件澄清或修改的时间</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提交首次响应文件截止之日3个工作日前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谈判响应文件的数目</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（1）正本一份并标明“正本”字样。</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（2）副本二份并标明“副本”字样。</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注：中标单位需在7天内提供以上文件，邮寄至新疆乌苏市温州路248号乌苏市政务服务中心米格娜依0992-8507872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2045" w:type="dxa"/>
            <w:tcMar>
              <w:top w:w="0" w:type="dxa"/>
              <w:left w:w="51" w:type="dxa"/>
              <w:bottom w:w="0" w:type="dxa"/>
              <w:right w:w="51"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谈判响应文件递交时间及递交地点</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谈判响应文件递交时间:2023年8月14日11点00分（北京时间）</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谈判响应文件递交地点:政采云平台（https://www.zcygov.cn/）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谈判时间、地点</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谈判时间：2023年8月14日11点00分（北京时间）</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谈判地点：政采云平台（https://www.zcygov.cn/）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评审小组的组成</w:t>
            </w:r>
          </w:p>
        </w:tc>
        <w:tc>
          <w:tcPr>
            <w:tcW w:w="6947" w:type="dxa"/>
            <w:vAlign w:val="center"/>
          </w:tcPr>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highlight w:val="none"/>
                <w:u w:val="none"/>
                <w:lang w:val="en-US" w:eastAsia="zh-CN"/>
              </w:rPr>
              <w:t>招标单位依法组建谈判小组共3人组成。专家评委从专家库内随机抽取。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评审地点</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乌苏市温州路248号政务服务中心二楼开标室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谈判顺序</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按递交谈判响应文件的顺序谈判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谈判内容</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谈判小组针对谈判响应文件的商务、技术、经济标以及工期等内容进行谈判。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评标办法</w:t>
            </w:r>
          </w:p>
        </w:tc>
        <w:tc>
          <w:tcPr>
            <w:tcW w:w="6947" w:type="dxa"/>
            <w:vAlign w:val="center"/>
          </w:tcPr>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竞争性谈判采用最低评标价法：第一轮根据投标文件能够详细列明全部技术、工程质量且技术、商务均能全部满足采购文件实质性响应要求者且可进行下一轮，投标人的报价明显低于其他通过符合性检查投标人的报价，有可能影响履约的，投标人能在规定时间内提出证明其报价合理性，否则视为不能履约做否决投标处理。最终轮报价报总价，谈判结束后，谈判小组应当从全部技术、工程质量等均能全部满足采购文件实质性响应要求的供应商中，按照最后报价最低报价的报价人作为成交供应商，并编写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签订合同</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成交通知书发出后7日内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付款方式</w:t>
            </w:r>
          </w:p>
        </w:tc>
        <w:tc>
          <w:tcPr>
            <w:tcW w:w="694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1、施工人员、设备进场后15天内付工程总款 25%；2、经有关单位验收合格后15天内付工程总款65%；3、工程总款10%的质保金一年后工程无任何问题支付。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备注1</w:t>
            </w:r>
          </w:p>
        </w:tc>
        <w:tc>
          <w:tcPr>
            <w:tcW w:w="6947" w:type="dxa"/>
            <w:vAlign w:val="center"/>
          </w:tcPr>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本项目实行网上投标，采用电子投标文件。若供应商参与投标，自行承担投标一切费用。</w:t>
            </w:r>
          </w:p>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各供应商应在开标前确保成为新疆维吾尔自治区政府采购网正式注册入库供应商，并完成CA数字证书申领。因未注册入库、未办理CA数字证书等原因造成无法投标或投标失败等后果由供应商自行承担。</w:t>
            </w:r>
          </w:p>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投标供应商应当在投标截止时间前，将生成的“电子加密投标文件”上传递交至“政府采购云平台”。投标截止时间以后上传递交的投标文件将被“政府采购云平台”拒收。</w:t>
            </w:r>
          </w:p>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文件解密时间为30分钟，供应商可以登录“政采云”平台，用“项目采购-开标评标”功能进行解密投标文件。若供应商在招标规定的时间内未按时解密的，视为投标文件撤回。因网上招标系统故障导致所有供应商均解密失败，由采购人或采购代理机构现场请示项目主管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备注2</w:t>
            </w:r>
          </w:p>
        </w:tc>
        <w:tc>
          <w:tcPr>
            <w:tcW w:w="6947" w:type="dxa"/>
            <w:vAlign w:val="center"/>
          </w:tcPr>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供应商所报服务等同或不得低于谈判文件要求的服务要求。任何对谈判文件的忽略或误解不能作为响应文件存在缺陷或瑕疵的理由，其风险由供应商承担。</w:t>
            </w:r>
          </w:p>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供应商应保证，在中华人民共和国境内使用投标成果、服务或其任何一部分时，不会产生因第三方提出侵犯其专利权或其它知识产权而引起的法律和经济纠纷。</w:t>
            </w:r>
          </w:p>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外埠企业中标后须在中标结果公示期内在新疆建设云进行信息报送，投标单位项目班子成员（建造师、技术负责人、质检员、施工员、安全员等）需在进疆备案册中登记备案；企业及人员信息已在新疆建设云上报送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2045" w:type="dxa"/>
            <w:tcMar>
              <w:top w:w="0" w:type="dxa"/>
              <w:left w:w="108" w:type="dxa"/>
              <w:bottom w:w="0" w:type="dxa"/>
              <w:right w:w="108" w:type="dxa"/>
            </w:tcMar>
            <w:vAlign w:val="center"/>
          </w:tcPr>
          <w:p>
            <w:pPr>
              <w:shd w:val="clear"/>
              <w:spacing w:line="360" w:lineRule="auto"/>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解释权</w:t>
            </w:r>
          </w:p>
        </w:tc>
        <w:tc>
          <w:tcPr>
            <w:tcW w:w="6947" w:type="dxa"/>
            <w:vAlign w:val="center"/>
          </w:tcPr>
          <w:p>
            <w:pPr>
              <w:shd w:val="clea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构成本谈判文件的各个组成文件应互为解释，互为说明；如有不明确或不一致，构成合同文件组成内容，以合同文件约定内容为准，且以专用合同条款约定的合同文件优先顺序解释；除谈判文件中有特别规定外，仅适用于招标投标阶段的规定，按谈判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成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hd w:val="clea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2045" w:type="dxa"/>
            <w:tcMar>
              <w:top w:w="0" w:type="dxa"/>
              <w:left w:w="108" w:type="dxa"/>
              <w:bottom w:w="0" w:type="dxa"/>
              <w:right w:w="108" w:type="dxa"/>
            </w:tcMar>
            <w:vAlign w:val="center"/>
          </w:tcPr>
          <w:p>
            <w:pPr>
              <w:spacing w:line="44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政府采购</w:t>
            </w:r>
          </w:p>
          <w:p>
            <w:pPr>
              <w:spacing w:line="440" w:lineRule="exact"/>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sz w:val="24"/>
                <w:szCs w:val="24"/>
              </w:rPr>
              <w:t>政策功能</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sz w:val="24"/>
                <w:szCs w:val="24"/>
                <w:u w:val="none"/>
                <w:lang w:val="en-US" w:eastAsia="zh-CN"/>
              </w:rPr>
            </w:pPr>
            <w:r>
              <w:rPr>
                <w:rFonts w:hint="eastAsia" w:ascii="仿宋_GB2312" w:hAnsi="仿宋_GB2312" w:eastAsia="仿宋_GB2312" w:cs="仿宋_GB2312"/>
                <w:color w:val="000000"/>
                <w:sz w:val="24"/>
                <w:szCs w:val="24"/>
                <w:u w:val="none"/>
                <w:lang w:val="en-US" w:eastAsia="zh-CN"/>
              </w:rPr>
              <w:t>促进中小企业发展政策：根据《政府采购促进中小企业发展管理办法》规定，本项目施工单位全部为符合政策要求的中小企业，将评审报价给予5</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000000"/>
                <w:sz w:val="24"/>
                <w:szCs w:val="24"/>
                <w:u w:val="none"/>
                <w:lang w:val="en-US" w:eastAsia="zh-CN"/>
              </w:rPr>
              <w:t>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color w:val="000000"/>
                <w:kern w:val="2"/>
                <w:sz w:val="24"/>
                <w:szCs w:val="24"/>
                <w:u w:val="none"/>
                <w:lang w:val="en-US" w:eastAsia="zh-CN" w:bidi="ar-SA"/>
              </w:rPr>
            </w:pPr>
            <w:r>
              <w:rPr>
                <w:rFonts w:hint="eastAsia" w:ascii="仿宋_GB2312" w:hAnsi="仿宋_GB2312" w:eastAsia="仿宋_GB2312" w:cs="仿宋_GB2312"/>
                <w:color w:val="000000"/>
                <w:sz w:val="24"/>
                <w:szCs w:val="24"/>
                <w:u w:val="none"/>
                <w:lang w:val="en-US" w:eastAsia="zh-CN"/>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7" w:type="dxa"/>
            <w:vAlign w:val="center"/>
          </w:tcPr>
          <w:p>
            <w:pPr>
              <w:shd w:val="clea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2045" w:type="dxa"/>
            <w:tcMar>
              <w:top w:w="0" w:type="dxa"/>
              <w:left w:w="108" w:type="dxa"/>
              <w:bottom w:w="0" w:type="dxa"/>
              <w:right w:w="108" w:type="dxa"/>
            </w:tcMar>
            <w:vAlign w:val="center"/>
          </w:tcPr>
          <w:p>
            <w:pPr>
              <w:adjustRightInd w:val="0"/>
              <w:snapToGrid w:val="0"/>
              <w:spacing w:before="156" w:beforeLines="50" w:line="360" w:lineRule="auto"/>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特别提示</w:t>
            </w:r>
          </w:p>
        </w:tc>
        <w:tc>
          <w:tcPr>
            <w:tcW w:w="6947"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仿宋_GB2312" w:hAnsi="仿宋_GB2312" w:eastAsia="仿宋_GB2312" w:cs="仿宋_GB2312"/>
                <w:b/>
                <w:bCs/>
                <w:color w:val="000000"/>
                <w:kern w:val="2"/>
                <w:sz w:val="24"/>
                <w:szCs w:val="24"/>
                <w:u w:val="single"/>
                <w:lang w:val="en-US" w:eastAsia="zh-CN" w:bidi="ar-SA"/>
              </w:rPr>
            </w:pPr>
            <w:r>
              <w:rPr>
                <w:rFonts w:hint="eastAsia" w:ascii="仿宋_GB2312" w:hAnsi="仿宋_GB2312" w:eastAsia="仿宋_GB2312" w:cs="仿宋_GB2312"/>
                <w:color w:val="000000"/>
                <w:sz w:val="24"/>
                <w:szCs w:val="24"/>
                <w:u w:val="none"/>
                <w:lang w:val="en-US" w:eastAsia="zh-CN"/>
              </w:rPr>
              <w:t>本项目为专门面向中小企业，故只接受全部服务由中小企业提供，按要求填写中小企业声明函，否则不予以通过资格性审查。</w:t>
            </w:r>
          </w:p>
        </w:tc>
      </w:tr>
    </w:tbl>
    <w:p>
      <w:pPr>
        <w:shd w:val="clear"/>
        <w:spacing w:line="360" w:lineRule="auto"/>
        <w:rPr>
          <w:rFonts w:hint="eastAsia" w:ascii="宋体" w:hAnsi="宋体" w:eastAsia="宋体" w:cs="宋体"/>
          <w:color w:val="auto"/>
          <w:sz w:val="24"/>
          <w:highlight w:val="none"/>
        </w:rPr>
      </w:pPr>
      <w:r>
        <w:rPr>
          <w:rFonts w:hint="eastAsia" w:ascii="楷体_GB2312" w:hAnsi="楷体_GB2312" w:eastAsia="楷体_GB2312" w:cs="楷体_GB2312"/>
          <w:sz w:val="24"/>
          <w:szCs w:val="24"/>
          <w:lang w:val="en-US" w:eastAsia="zh-CN"/>
        </w:rPr>
        <w:br w:type="page"/>
      </w:r>
    </w:p>
    <w:p>
      <w:pPr>
        <w:pStyle w:val="3"/>
        <w:pageBreakBefore w:val="0"/>
        <w:widowControl w:val="0"/>
        <w:shd w:val="clear"/>
        <w:kinsoku/>
        <w:wordWrap/>
        <w:overflowPunct/>
        <w:topLinePunct w:val="0"/>
        <w:autoSpaceDE/>
        <w:autoSpaceDN/>
        <w:bidi w:val="0"/>
        <w:adjustRightInd/>
        <w:snapToGrid/>
        <w:spacing w:line="360" w:lineRule="auto"/>
        <w:ind w:left="0" w:leftChars="0" w:right="0" w:rightChars="0"/>
        <w:textAlignment w:val="auto"/>
        <w:outlineLvl w:val="9"/>
        <w:rPr>
          <w:rFonts w:hint="eastAsia"/>
          <w:color w:val="auto"/>
          <w:highlight w:val="none"/>
        </w:rPr>
      </w:pPr>
      <w:bookmarkStart w:id="30" w:name="_Toc19400"/>
      <w:bookmarkStart w:id="31" w:name="_Toc14477"/>
    </w:p>
    <w:p>
      <w:pPr>
        <w:pStyle w:val="3"/>
        <w:pageBreakBefore w:val="0"/>
        <w:widowControl w:val="0"/>
        <w:shd w:val="clear"/>
        <w:kinsoku/>
        <w:wordWrap/>
        <w:overflowPunct/>
        <w:topLinePunct w:val="0"/>
        <w:autoSpaceDE/>
        <w:autoSpaceDN/>
        <w:bidi w:val="0"/>
        <w:adjustRightInd/>
        <w:snapToGrid/>
        <w:spacing w:line="360" w:lineRule="auto"/>
        <w:ind w:left="0" w:leftChars="0" w:right="0" w:rightChars="0"/>
        <w:textAlignment w:val="auto"/>
        <w:rPr>
          <w:rFonts w:hint="eastAsia" w:ascii="仿宋_GB2312" w:hAnsi="仿宋_GB2312" w:eastAsia="仿宋_GB2312" w:cs="仿宋_GB2312"/>
          <w:color w:val="auto"/>
          <w:sz w:val="24"/>
          <w:szCs w:val="24"/>
          <w:highlight w:val="none"/>
          <w:lang w:val="en-US"/>
        </w:rPr>
      </w:pPr>
      <w:bookmarkStart w:id="32" w:name="_Toc15010"/>
      <w:r>
        <w:rPr>
          <w:rFonts w:hint="eastAsia" w:ascii="仿宋_GB2312" w:hAnsi="仿宋_GB2312" w:eastAsia="仿宋_GB2312" w:cs="仿宋_GB2312"/>
          <w:color w:val="auto"/>
          <w:sz w:val="24"/>
          <w:szCs w:val="24"/>
          <w:highlight w:val="none"/>
        </w:rPr>
        <w:t>第一章</w:t>
      </w:r>
      <w:r>
        <w:rPr>
          <w:rFonts w:hint="eastAsia" w:ascii="仿宋_GB2312" w:hAnsi="仿宋_GB2312" w:eastAsia="仿宋_GB2312" w:cs="仿宋_GB2312"/>
          <w:color w:val="auto"/>
          <w:sz w:val="24"/>
          <w:szCs w:val="24"/>
          <w:highlight w:val="none"/>
          <w:lang w:val="en-US" w:eastAsia="zh-CN"/>
        </w:rPr>
        <w:t xml:space="preserve">  项目谈判有关说明</w:t>
      </w:r>
      <w:bookmarkEnd w:id="30"/>
      <w:bookmarkEnd w:id="31"/>
      <w:bookmarkEnd w:id="32"/>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乌苏市政务服务中心</w:t>
      </w:r>
      <w:r>
        <w:rPr>
          <w:rFonts w:hint="eastAsia" w:ascii="仿宋_GB2312" w:hAnsi="仿宋_GB2312" w:eastAsia="仿宋_GB2312" w:cs="仿宋_GB2312"/>
          <w:color w:val="auto"/>
          <w:sz w:val="24"/>
          <w:szCs w:val="24"/>
          <w:highlight w:val="none"/>
        </w:rPr>
        <w:t>受</w:t>
      </w:r>
      <w:r>
        <w:rPr>
          <w:rFonts w:hint="eastAsia" w:ascii="仿宋_GB2312" w:hAnsi="仿宋_GB2312" w:eastAsia="仿宋_GB2312" w:cs="仿宋_GB2312"/>
          <w:color w:val="auto"/>
          <w:sz w:val="24"/>
          <w:szCs w:val="24"/>
          <w:highlight w:val="none"/>
          <w:u w:val="single"/>
          <w:lang w:val="en-US" w:eastAsia="zh-CN"/>
        </w:rPr>
        <w:t>乌苏市保障性住房投资建设管理有限公司</w:t>
      </w:r>
      <w:r>
        <w:rPr>
          <w:rFonts w:hint="eastAsia" w:ascii="仿宋_GB2312" w:hAnsi="仿宋_GB2312" w:eastAsia="仿宋_GB2312" w:cs="仿宋_GB2312"/>
          <w:color w:val="auto"/>
          <w:sz w:val="24"/>
          <w:szCs w:val="24"/>
          <w:highlight w:val="none"/>
        </w:rPr>
        <w:t>委托，</w:t>
      </w:r>
      <w:r>
        <w:rPr>
          <w:rFonts w:hint="eastAsia" w:ascii="仿宋_GB2312" w:hAnsi="仿宋_GB2312" w:eastAsia="仿宋_GB2312" w:cs="仿宋_GB2312"/>
          <w:color w:val="auto"/>
          <w:sz w:val="24"/>
          <w:szCs w:val="24"/>
          <w:highlight w:val="none"/>
          <w:lang w:eastAsia="zh-CN"/>
        </w:rPr>
        <w:t>对</w:t>
      </w:r>
      <w:r>
        <w:rPr>
          <w:rFonts w:hint="eastAsia" w:ascii="仿宋_GB2312" w:hAnsi="仿宋_GB2312" w:eastAsia="仿宋_GB2312" w:cs="仿宋_GB2312"/>
          <w:color w:val="auto"/>
          <w:sz w:val="24"/>
          <w:szCs w:val="24"/>
          <w:highlight w:val="none"/>
        </w:rPr>
        <w:t>本项目进行</w:t>
      </w:r>
      <w:r>
        <w:rPr>
          <w:rFonts w:hint="eastAsia" w:ascii="仿宋_GB2312" w:hAnsi="仿宋_GB2312" w:eastAsia="仿宋_GB2312" w:cs="仿宋_GB2312"/>
          <w:color w:val="auto"/>
          <w:sz w:val="24"/>
          <w:szCs w:val="24"/>
          <w:highlight w:val="none"/>
          <w:u w:val="single"/>
          <w:lang w:val="en-US" w:eastAsia="zh-CN"/>
        </w:rPr>
        <w:t>竞争性谈判</w:t>
      </w:r>
      <w:r>
        <w:rPr>
          <w:rFonts w:hint="eastAsia" w:ascii="仿宋_GB2312" w:hAnsi="仿宋_GB2312" w:eastAsia="仿宋_GB2312" w:cs="仿宋_GB2312"/>
          <w:color w:val="auto"/>
          <w:sz w:val="24"/>
          <w:szCs w:val="24"/>
          <w:highlight w:val="none"/>
        </w:rPr>
        <w:t>采购</w:t>
      </w:r>
      <w:r>
        <w:rPr>
          <w:rFonts w:hint="eastAsia" w:ascii="仿宋_GB2312" w:hAnsi="仿宋_GB2312" w:eastAsia="仿宋_GB2312" w:cs="仿宋_GB2312"/>
          <w:color w:val="auto"/>
          <w:sz w:val="24"/>
          <w:szCs w:val="24"/>
          <w:highlight w:val="none"/>
          <w:lang w:eastAsia="zh-CN"/>
        </w:rPr>
        <w:t>招标</w:t>
      </w:r>
      <w:r>
        <w:rPr>
          <w:rFonts w:hint="eastAsia" w:ascii="仿宋_GB2312" w:hAnsi="仿宋_GB2312" w:eastAsia="仿宋_GB2312" w:cs="仿宋_GB2312"/>
          <w:color w:val="auto"/>
          <w:sz w:val="24"/>
          <w:szCs w:val="24"/>
          <w:highlight w:val="none"/>
        </w:rPr>
        <w:t>。</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right="0" w:rightChars="0"/>
        <w:textAlignment w:val="auto"/>
        <w:rPr>
          <w:rFonts w:hint="eastAsia" w:ascii="仿宋_GB2312" w:hAnsi="仿宋_GB2312" w:eastAsia="仿宋_GB2312" w:cs="仿宋_GB2312"/>
          <w:b w:val="0"/>
          <w:bCs/>
          <w:color w:val="auto"/>
          <w:sz w:val="24"/>
          <w:szCs w:val="24"/>
          <w:highlight w:val="none"/>
          <w:u w:val="single"/>
          <w:lang w:val="en-US" w:eastAsia="zh-CN"/>
        </w:rPr>
      </w:pPr>
      <w:r>
        <w:rPr>
          <w:rFonts w:hint="eastAsia" w:ascii="仿宋_GB2312" w:hAnsi="仿宋_GB2312" w:eastAsia="仿宋_GB2312" w:cs="仿宋_GB2312"/>
          <w:b w:val="0"/>
          <w:bCs/>
          <w:color w:val="auto"/>
          <w:sz w:val="24"/>
          <w:szCs w:val="24"/>
          <w:highlight w:val="none"/>
          <w:lang w:val="en-US" w:eastAsia="zh-CN"/>
        </w:rPr>
        <w:t>竞争性谈判项目</w:t>
      </w:r>
      <w:r>
        <w:rPr>
          <w:rFonts w:hint="eastAsia" w:ascii="仿宋_GB2312" w:hAnsi="仿宋_GB2312" w:eastAsia="仿宋_GB2312" w:cs="仿宋_GB2312"/>
          <w:b w:val="0"/>
          <w:bCs/>
          <w:color w:val="auto"/>
          <w:sz w:val="24"/>
          <w:szCs w:val="24"/>
          <w:highlight w:val="none"/>
        </w:rPr>
        <w:t>编号：</w:t>
      </w:r>
      <w:r>
        <w:rPr>
          <w:rFonts w:hint="eastAsia" w:ascii="仿宋_GB2312" w:hAnsi="仿宋_GB2312" w:eastAsia="仿宋_GB2312" w:cs="仿宋_GB2312"/>
          <w:b w:val="0"/>
          <w:bCs/>
          <w:color w:val="auto"/>
          <w:sz w:val="24"/>
          <w:szCs w:val="24"/>
          <w:highlight w:val="none"/>
          <w:u w:val="single"/>
          <w:lang w:val="en-US" w:eastAsia="zh-CN"/>
        </w:rPr>
        <w:t>WSZFCG(TG)2023-027</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竞争性谈判</w:t>
      </w:r>
      <w:r>
        <w:rPr>
          <w:rFonts w:hint="eastAsia" w:ascii="仿宋_GB2312" w:hAnsi="仿宋_GB2312" w:eastAsia="仿宋_GB2312" w:cs="仿宋_GB2312"/>
          <w:b w:val="0"/>
          <w:bCs/>
          <w:color w:val="auto"/>
          <w:sz w:val="24"/>
          <w:szCs w:val="24"/>
          <w:highlight w:val="none"/>
        </w:rPr>
        <w:t>项目名称：</w:t>
      </w:r>
      <w:r>
        <w:rPr>
          <w:rFonts w:hint="eastAsia" w:ascii="仿宋_GB2312" w:hAnsi="仿宋_GB2312" w:eastAsia="仿宋_GB2312" w:cs="仿宋_GB2312"/>
          <w:b w:val="0"/>
          <w:bCs/>
          <w:color w:val="auto"/>
          <w:sz w:val="24"/>
          <w:szCs w:val="24"/>
          <w:highlight w:val="none"/>
          <w:u w:val="single"/>
          <w:lang w:val="en-US" w:eastAsia="zh-CN"/>
        </w:rPr>
        <w:t>乌苏市国有空置房产改建保障性租赁住房项目（水利局家属院西门商铺、正和商城四、五楼）</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right="0" w:rightChars="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三</w:t>
      </w:r>
      <w:r>
        <w:rPr>
          <w:rFonts w:hint="eastAsia" w:ascii="仿宋_GB2312" w:hAnsi="仿宋_GB2312" w:eastAsia="仿宋_GB2312" w:cs="仿宋_GB2312"/>
          <w:b w:val="0"/>
          <w:bCs/>
          <w:color w:val="auto"/>
          <w:sz w:val="24"/>
          <w:szCs w:val="24"/>
          <w:highlight w:val="none"/>
          <w:lang w:eastAsia="zh-CN"/>
        </w:rPr>
        <w:t>、重要</w:t>
      </w:r>
      <w:r>
        <w:rPr>
          <w:rFonts w:hint="eastAsia" w:ascii="仿宋_GB2312" w:hAnsi="仿宋_GB2312" w:eastAsia="仿宋_GB2312" w:cs="仿宋_GB2312"/>
          <w:b w:val="0"/>
          <w:bCs/>
          <w:color w:val="auto"/>
          <w:sz w:val="24"/>
          <w:szCs w:val="24"/>
          <w:highlight w:val="none"/>
        </w:rPr>
        <w:t>说明：</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color w:val="auto"/>
          <w:sz w:val="24"/>
          <w:szCs w:val="24"/>
          <w:highlight w:val="none"/>
          <w:lang w:val="en-US" w:eastAsia="zh-CN"/>
        </w:rPr>
      </w:pPr>
      <w:bookmarkStart w:id="33" w:name="_Toc11351"/>
      <w:bookmarkStart w:id="34" w:name="_Toc24646"/>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建设</w:t>
      </w:r>
      <w:r>
        <w:rPr>
          <w:rFonts w:hint="eastAsia" w:ascii="仿宋_GB2312" w:hAnsi="仿宋_GB2312" w:eastAsia="仿宋_GB2312" w:cs="仿宋_GB2312"/>
          <w:color w:val="auto"/>
          <w:sz w:val="24"/>
          <w:szCs w:val="24"/>
          <w:highlight w:val="none"/>
        </w:rPr>
        <w:t>地点：</w:t>
      </w:r>
      <w:bookmarkEnd w:id="33"/>
      <w:bookmarkEnd w:id="34"/>
      <w:r>
        <w:rPr>
          <w:rFonts w:hint="eastAsia" w:ascii="仿宋_GB2312" w:hAnsi="仿宋_GB2312" w:eastAsia="仿宋_GB2312" w:cs="仿宋_GB2312"/>
          <w:b w:val="0"/>
          <w:bCs/>
          <w:color w:val="auto"/>
          <w:sz w:val="24"/>
          <w:szCs w:val="24"/>
          <w:highlight w:val="none"/>
          <w:u w:val="single"/>
          <w:lang w:val="en-US" w:eastAsia="zh-CN"/>
        </w:rPr>
        <w:t>水利局家属院西门商铺、正和商城四、五楼</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2、采购服务范围：</w:t>
      </w:r>
      <w:r>
        <w:rPr>
          <w:rFonts w:hint="eastAsia" w:ascii="仿宋_GB2312" w:hAnsi="仿宋_GB2312" w:eastAsia="仿宋_GB2312" w:cs="仿宋_GB2312"/>
          <w:kern w:val="0"/>
          <w:sz w:val="24"/>
          <w:szCs w:val="24"/>
          <w:u w:val="single"/>
          <w:lang w:eastAsia="zh-CN"/>
        </w:rPr>
        <w:t>（</w:t>
      </w:r>
      <w:r>
        <w:rPr>
          <w:rFonts w:hint="eastAsia" w:ascii="仿宋_GB2312" w:hAnsi="仿宋_GB2312" w:eastAsia="仿宋_GB2312" w:cs="仿宋_GB2312"/>
          <w:kern w:val="0"/>
          <w:sz w:val="24"/>
          <w:szCs w:val="24"/>
          <w:u w:val="single"/>
          <w:lang w:val="en-US" w:eastAsia="zh-CN"/>
        </w:rPr>
        <w:t>1</w:t>
      </w:r>
      <w:r>
        <w:rPr>
          <w:rFonts w:hint="eastAsia" w:ascii="仿宋_GB2312" w:hAnsi="仿宋_GB2312" w:eastAsia="仿宋_GB2312" w:cs="仿宋_GB2312"/>
          <w:kern w:val="0"/>
          <w:sz w:val="24"/>
          <w:szCs w:val="24"/>
          <w:u w:val="single"/>
          <w:lang w:eastAsia="zh-CN"/>
        </w:rPr>
        <w:t>）</w:t>
      </w:r>
      <w:r>
        <w:rPr>
          <w:rFonts w:hint="eastAsia" w:ascii="仿宋_GB2312" w:hAnsi="仿宋_GB2312" w:eastAsia="仿宋_GB2312" w:cs="仿宋_GB2312"/>
          <w:kern w:val="0"/>
          <w:sz w:val="24"/>
          <w:szCs w:val="24"/>
          <w:u w:val="single"/>
        </w:rPr>
        <w:t>正和商城四、五楼:拆除原有墙体，新建轻钢龙骨石膏板隔墙，新做墙面、地面天棚装修，破除室外地面及恢复等</w:t>
      </w:r>
      <w:r>
        <w:rPr>
          <w:rFonts w:hint="eastAsia" w:ascii="仿宋_GB2312" w:hAnsi="仿宋_GB2312" w:eastAsia="仿宋_GB2312" w:cs="仿宋_GB2312"/>
          <w:kern w:val="0"/>
          <w:sz w:val="24"/>
          <w:szCs w:val="24"/>
          <w:u w:val="single"/>
          <w:lang w:eastAsia="zh-CN"/>
        </w:rPr>
        <w:t>；</w:t>
      </w:r>
      <w:r>
        <w:rPr>
          <w:rFonts w:hint="eastAsia" w:ascii="仿宋_GB2312" w:hAnsi="仿宋_GB2312" w:eastAsia="仿宋_GB2312" w:cs="仿宋_GB2312"/>
          <w:kern w:val="0"/>
          <w:sz w:val="24"/>
          <w:szCs w:val="24"/>
          <w:u w:val="single"/>
          <w:lang w:val="en-US" w:eastAsia="zh-CN"/>
        </w:rPr>
        <w:t xml:space="preserve">         </w:t>
      </w:r>
      <w:r>
        <w:rPr>
          <w:rFonts w:hint="eastAsia" w:ascii="仿宋_GB2312" w:hAnsi="仿宋_GB2312" w:eastAsia="仿宋_GB2312" w:cs="仿宋_GB2312"/>
          <w:kern w:val="0"/>
          <w:sz w:val="24"/>
          <w:szCs w:val="24"/>
          <w:u w:val="single"/>
          <w:lang w:eastAsia="zh-CN"/>
        </w:rPr>
        <w:t>（</w:t>
      </w:r>
      <w:r>
        <w:rPr>
          <w:rFonts w:hint="eastAsia" w:ascii="仿宋_GB2312" w:hAnsi="仿宋_GB2312" w:eastAsia="仿宋_GB2312" w:cs="仿宋_GB2312"/>
          <w:kern w:val="0"/>
          <w:sz w:val="24"/>
          <w:szCs w:val="24"/>
          <w:u w:val="single"/>
          <w:lang w:val="en-US" w:eastAsia="zh-CN"/>
        </w:rPr>
        <w:t>2</w:t>
      </w:r>
      <w:r>
        <w:rPr>
          <w:rFonts w:hint="eastAsia" w:ascii="仿宋_GB2312" w:hAnsi="仿宋_GB2312" w:eastAsia="仿宋_GB2312" w:cs="仿宋_GB2312"/>
          <w:kern w:val="0"/>
          <w:sz w:val="24"/>
          <w:szCs w:val="24"/>
          <w:u w:val="single"/>
          <w:lang w:eastAsia="zh-CN"/>
        </w:rPr>
        <w:t>）</w:t>
      </w:r>
      <w:r>
        <w:rPr>
          <w:rFonts w:hint="eastAsia" w:ascii="仿宋_GB2312" w:hAnsi="仿宋_GB2312" w:eastAsia="仿宋_GB2312" w:cs="仿宋_GB2312"/>
          <w:kern w:val="0"/>
          <w:sz w:val="24"/>
          <w:szCs w:val="24"/>
          <w:u w:val="single"/>
        </w:rPr>
        <w:t>水利局西门商铺:新建轻钢龙骨石膏板隔墙，新做墙面、地面、天棚装修，破除室外地面及恢复等</w:t>
      </w:r>
      <w:r>
        <w:rPr>
          <w:rFonts w:hint="eastAsia" w:ascii="仿宋_GB2312" w:hAnsi="仿宋_GB2312" w:eastAsia="仿宋_GB2312" w:cs="仿宋_GB2312"/>
          <w:kern w:val="0"/>
          <w:sz w:val="24"/>
          <w:szCs w:val="24"/>
          <w:u w:val="single"/>
          <w:lang w:eastAsia="zh-CN"/>
        </w:rPr>
        <w:t>。</w:t>
      </w:r>
    </w:p>
    <w:p>
      <w:pPr>
        <w:shd w:val="clear"/>
        <w:spacing w:line="400" w:lineRule="exact"/>
        <w:ind w:firstLine="480" w:firstLineChars="200"/>
        <w:jc w:val="left"/>
        <w:rPr>
          <w:rFonts w:hint="eastAsia" w:ascii="仿宋_GB2312" w:hAnsi="仿宋_GB2312" w:eastAsia="仿宋_GB2312" w:cs="仿宋_GB2312"/>
          <w:b w:val="0"/>
          <w:bCs/>
          <w:color w:val="FF0000"/>
          <w:sz w:val="24"/>
          <w:szCs w:val="24"/>
          <w:highlight w:val="none"/>
          <w:lang w:val="en-US" w:eastAsia="zh-CN"/>
        </w:rPr>
      </w:pPr>
      <w:bookmarkStart w:id="35" w:name="_Toc9989"/>
      <w:bookmarkStart w:id="36" w:name="_Toc18969"/>
      <w:r>
        <w:rPr>
          <w:rFonts w:hint="eastAsia" w:ascii="仿宋_GB2312" w:hAnsi="仿宋_GB2312" w:eastAsia="仿宋_GB2312" w:cs="仿宋_GB2312"/>
          <w:color w:val="auto"/>
          <w:kern w:val="2"/>
          <w:sz w:val="24"/>
          <w:szCs w:val="24"/>
          <w:highlight w:val="none"/>
          <w:lang w:val="en-US" w:eastAsia="zh-CN" w:bidi="ar-SA"/>
        </w:rPr>
        <w:t>3、建设工期</w:t>
      </w:r>
      <w:bookmarkEnd w:id="35"/>
      <w:bookmarkEnd w:id="36"/>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合同签订后50天（2023年8月17日至2023年10月5日）</w:t>
      </w:r>
    </w:p>
    <w:p>
      <w:pPr>
        <w:keepNext w:val="0"/>
        <w:keepLines w:val="0"/>
        <w:pageBreakBefore w:val="0"/>
        <w:shd w:val="clear"/>
        <w:kinsoku/>
        <w:wordWrap/>
        <w:overflowPunct/>
        <w:topLinePunct w:val="0"/>
        <w:autoSpaceDE/>
        <w:autoSpaceDN/>
        <w:bidi w:val="0"/>
        <w:spacing w:line="360" w:lineRule="auto"/>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四、</w:t>
      </w:r>
      <w:r>
        <w:rPr>
          <w:rFonts w:hint="eastAsia" w:ascii="仿宋_GB2312" w:hAnsi="仿宋_GB2312" w:eastAsia="仿宋_GB2312" w:cs="仿宋_GB2312"/>
          <w:b w:val="0"/>
          <w:bCs/>
          <w:color w:val="auto"/>
          <w:sz w:val="24"/>
          <w:szCs w:val="24"/>
          <w:highlight w:val="none"/>
          <w:lang w:val="en-US" w:eastAsia="zh-CN"/>
        </w:rPr>
        <w:t>采购</w:t>
      </w:r>
      <w:r>
        <w:rPr>
          <w:rFonts w:hint="eastAsia" w:ascii="仿宋_GB2312" w:hAnsi="仿宋_GB2312" w:eastAsia="仿宋_GB2312" w:cs="仿宋_GB2312"/>
          <w:b w:val="0"/>
          <w:bCs/>
          <w:color w:val="auto"/>
          <w:sz w:val="24"/>
          <w:szCs w:val="24"/>
          <w:highlight w:val="none"/>
        </w:rPr>
        <w:t>内</w:t>
      </w:r>
      <w:r>
        <w:rPr>
          <w:rFonts w:hint="eastAsia" w:ascii="仿宋_GB2312" w:hAnsi="仿宋_GB2312" w:eastAsia="仿宋_GB2312" w:cs="仿宋_GB2312"/>
          <w:b w:val="0"/>
          <w:bCs/>
          <w:color w:val="auto"/>
          <w:sz w:val="24"/>
          <w:szCs w:val="24"/>
          <w:highlight w:val="none"/>
          <w:lang w:eastAsia="zh-CN"/>
        </w:rPr>
        <w:t>容：</w:t>
      </w:r>
      <w:r>
        <w:rPr>
          <w:rFonts w:hint="eastAsia" w:ascii="仿宋_GB2312" w:hAnsi="仿宋_GB2312" w:eastAsia="仿宋_GB2312" w:cs="仿宋_GB2312"/>
          <w:b w:val="0"/>
          <w:bCs/>
          <w:color w:val="auto"/>
          <w:sz w:val="24"/>
          <w:szCs w:val="24"/>
          <w:highlight w:val="none"/>
        </w:rPr>
        <w:t>详见第三章</w:t>
      </w:r>
      <w:r>
        <w:rPr>
          <w:rFonts w:hint="eastAsia" w:ascii="仿宋_GB2312" w:hAnsi="仿宋_GB2312" w:eastAsia="仿宋_GB2312" w:cs="仿宋_GB2312"/>
          <w:b w:val="0"/>
          <w:bCs/>
          <w:color w:val="auto"/>
          <w:sz w:val="24"/>
          <w:szCs w:val="24"/>
          <w:highlight w:val="none"/>
          <w:lang w:eastAsia="zh-CN"/>
        </w:rPr>
        <w:t>“采购需求、技术参数、规格”</w:t>
      </w:r>
    </w:p>
    <w:p>
      <w:pPr>
        <w:pStyle w:val="2"/>
        <w:rPr>
          <w:rFonts w:hint="eastAsia" w:ascii="仿宋_GB2312" w:hAnsi="仿宋_GB2312" w:eastAsia="仿宋_GB2312" w:cs="仿宋_GB2312"/>
          <w:b w:val="0"/>
          <w:bCs/>
          <w:color w:val="auto"/>
          <w:sz w:val="24"/>
          <w:szCs w:val="24"/>
          <w:highlight w:val="none"/>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372" w:lineRule="auto"/>
        <w:ind w:right="0" w:rightChars="0" w:firstLine="2891" w:firstLineChars="900"/>
        <w:jc w:val="both"/>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控制价编制说明</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outlineLvl w:val="9"/>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一、工程概况</w:t>
      </w:r>
    </w:p>
    <w:p>
      <w:pPr>
        <w:pStyle w:val="22"/>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1、建设单位：</w:t>
      </w:r>
      <w:r>
        <w:rPr>
          <w:rFonts w:hint="eastAsia" w:ascii="仿宋_GB2312" w:hAnsi="仿宋_GB2312" w:eastAsia="仿宋_GB2312" w:cs="仿宋_GB2312"/>
          <w:sz w:val="24"/>
          <w:szCs w:val="24"/>
        </w:rPr>
        <w:t>乌苏市保障性住房投资建设管理有限公司</w:t>
      </w:r>
    </w:p>
    <w:p>
      <w:pPr>
        <w:keepNext w:val="0"/>
        <w:keepLines w:val="0"/>
        <w:pageBreakBefore w:val="0"/>
        <w:widowControl w:val="0"/>
        <w:kinsoku/>
        <w:wordWrap/>
        <w:overflowPunct/>
        <w:topLinePunct w:val="0"/>
        <w:autoSpaceDE/>
        <w:autoSpaceDN/>
        <w:bidi w:val="0"/>
        <w:adjustRightInd/>
        <w:snapToGrid/>
        <w:spacing w:line="372" w:lineRule="auto"/>
        <w:ind w:firstLine="240" w:firstLineChars="100"/>
        <w:jc w:val="both"/>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2、工程名称：</w:t>
      </w:r>
      <w:r>
        <w:rPr>
          <w:rFonts w:hint="eastAsia" w:ascii="仿宋_GB2312" w:hAnsi="仿宋_GB2312" w:eastAsia="仿宋_GB2312" w:cs="仿宋_GB2312"/>
          <w:b w:val="0"/>
          <w:bCs/>
          <w:sz w:val="24"/>
          <w:szCs w:val="24"/>
          <w:lang w:val="en-US" w:eastAsia="zh-CN"/>
        </w:rPr>
        <w:t>乌苏市国有空置房产改建保障性租赁住房项目--水利局家属院西门商铺、正和商城四、五楼</w:t>
      </w:r>
    </w:p>
    <w:p>
      <w:pPr>
        <w:keepNext w:val="0"/>
        <w:keepLines w:val="0"/>
        <w:pageBreakBefore w:val="0"/>
        <w:kinsoku/>
        <w:wordWrap/>
        <w:overflowPunct/>
        <w:topLinePunct w:val="0"/>
        <w:autoSpaceDE/>
        <w:autoSpaceDN/>
        <w:bidi w:val="0"/>
        <w:adjustRightInd/>
        <w:snapToGrid/>
        <w:spacing w:line="372" w:lineRule="auto"/>
        <w:ind w:left="0" w:leftChars="0" w:right="0" w:rightChars="0"/>
        <w:jc w:val="both"/>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3、工程概况：</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720" w:firstLineChars="300"/>
        <w:jc w:val="both"/>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1）正和商城四、五楼：拆除原有墙体，新建轻钢龙骨石膏板隔墙，新做墙面、地面、天棚装修，破除室外地面及恢复等建筑工程、装饰装修工程及安装工程均按四类工程取费。</w:t>
      </w:r>
    </w:p>
    <w:p>
      <w:pPr>
        <w:keepNext w:val="0"/>
        <w:keepLines w:val="0"/>
        <w:pageBreakBefore w:val="0"/>
        <w:kinsoku/>
        <w:wordWrap/>
        <w:overflowPunct/>
        <w:topLinePunct w:val="0"/>
        <w:autoSpaceDE/>
        <w:autoSpaceDN/>
        <w:bidi w:val="0"/>
        <w:adjustRightInd/>
        <w:snapToGrid/>
        <w:spacing w:line="372" w:lineRule="auto"/>
        <w:ind w:left="0" w:leftChars="0" w:right="0" w:rightChars="0" w:firstLine="720" w:firstLineChars="300"/>
        <w:jc w:val="lef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sz w:val="24"/>
          <w:szCs w:val="24"/>
          <w:lang w:val="en-US" w:eastAsia="zh-CN"/>
        </w:rPr>
        <w:t>2）水利局西门商铺：新建轻钢龙骨石膏板隔墙，新做墙面、地面、天棚装修，破除室外地面及恢复等；建筑工程，装饰装修工程及安装工程均按四类工程取费。</w:t>
      </w:r>
      <w:r>
        <w:rPr>
          <w:rFonts w:hint="eastAsia" w:ascii="仿宋_GB2312" w:hAnsi="仿宋_GB2312" w:eastAsia="仿宋_GB2312" w:cs="仿宋_GB2312"/>
          <w:b w:val="0"/>
          <w:bCs/>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72" w:lineRule="auto"/>
        <w:ind w:left="0" w:leftChars="0" w:right="0" w:rightChars="0" w:firstLine="240" w:firstLineChars="100"/>
        <w:jc w:val="lef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4、建设</w:t>
      </w:r>
      <w:r>
        <w:rPr>
          <w:rFonts w:hint="eastAsia" w:ascii="仿宋_GB2312" w:hAnsi="仿宋_GB2312" w:eastAsia="仿宋_GB2312" w:cs="仿宋_GB2312"/>
          <w:b w:val="0"/>
          <w:bCs/>
          <w:color w:val="auto"/>
          <w:kern w:val="0"/>
          <w:sz w:val="24"/>
          <w:szCs w:val="24"/>
          <w:lang w:val="en-US" w:eastAsia="zh-CN" w:bidi="ar-SA"/>
        </w:rPr>
        <w:t>地点</w:t>
      </w:r>
      <w:r>
        <w:rPr>
          <w:rFonts w:hint="eastAsia" w:ascii="仿宋_GB2312" w:hAnsi="仿宋_GB2312" w:eastAsia="仿宋_GB2312" w:cs="仿宋_GB2312"/>
          <w:b w:val="0"/>
          <w:bCs/>
          <w:color w:val="auto"/>
          <w:sz w:val="24"/>
          <w:szCs w:val="24"/>
          <w:lang w:val="en-US" w:eastAsia="zh-CN"/>
        </w:rPr>
        <w:t>:</w:t>
      </w:r>
      <w:r>
        <w:rPr>
          <w:rFonts w:hint="eastAsia" w:ascii="仿宋_GB2312" w:hAnsi="仿宋_GB2312" w:eastAsia="仿宋_GB2312" w:cs="仿宋_GB2312"/>
          <w:b w:val="0"/>
          <w:bCs/>
          <w:color w:val="auto"/>
          <w:kern w:val="2"/>
          <w:sz w:val="24"/>
          <w:szCs w:val="24"/>
          <w:lang w:val="zh-CN" w:eastAsia="zh-CN" w:bidi="ar-SA"/>
        </w:rPr>
        <w:t>乌苏市</w:t>
      </w:r>
    </w:p>
    <w:p>
      <w:pPr>
        <w:keepNext w:val="0"/>
        <w:keepLines w:val="0"/>
        <w:pageBreakBefore w:val="0"/>
        <w:widowControl w:val="0"/>
        <w:kinsoku/>
        <w:wordWrap/>
        <w:overflowPunct/>
        <w:topLinePunct w:val="0"/>
        <w:autoSpaceDE/>
        <w:autoSpaceDN/>
        <w:bidi w:val="0"/>
        <w:adjustRightInd/>
        <w:snapToGrid/>
        <w:spacing w:line="372" w:lineRule="auto"/>
        <w:ind w:left="0" w:leftChars="0" w:right="0" w:rightChars="0" w:firstLine="0" w:firstLineChars="0"/>
        <w:textAlignment w:val="auto"/>
        <w:outlineLvl w:val="9"/>
        <w:rPr>
          <w:rFonts w:hint="eastAsia" w:ascii="仿宋_GB2312" w:hAnsi="仿宋_GB2312" w:eastAsia="仿宋_GB2312" w:cs="仿宋_GB2312"/>
          <w:b/>
          <w:bCs w:val="0"/>
          <w:color w:val="auto"/>
          <w:kern w:val="2"/>
          <w:sz w:val="24"/>
          <w:szCs w:val="24"/>
          <w:lang w:val="en-US" w:eastAsia="zh-CN" w:bidi="ar-SA"/>
        </w:rPr>
      </w:pPr>
      <w:r>
        <w:rPr>
          <w:rFonts w:hint="eastAsia" w:ascii="仿宋_GB2312" w:hAnsi="仿宋_GB2312" w:eastAsia="仿宋_GB2312" w:cs="仿宋_GB2312"/>
          <w:b/>
          <w:bCs w:val="0"/>
          <w:color w:val="auto"/>
          <w:sz w:val="24"/>
          <w:szCs w:val="24"/>
        </w:rPr>
        <w:t>二、编制依据及说明</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2" w:lineRule="auto"/>
        <w:ind w:left="0" w:right="0" w:firstLine="0"/>
        <w:textAlignment w:val="auto"/>
        <w:rPr>
          <w:rFonts w:hint="eastAsia" w:ascii="仿宋_GB2312" w:hAnsi="仿宋_GB2312" w:eastAsia="仿宋_GB2312" w:cs="仿宋_GB2312"/>
          <w:b w:val="0"/>
          <w:bCs/>
          <w:color w:val="auto"/>
          <w:kern w:val="2"/>
          <w:sz w:val="24"/>
          <w:szCs w:val="24"/>
          <w:lang w:val="en-US" w:eastAsia="zh-CN" w:bidi="ar-SA"/>
        </w:rPr>
      </w:pPr>
      <w:r>
        <w:rPr>
          <w:rFonts w:hint="eastAsia" w:ascii="仿宋_GB2312" w:hAnsi="仿宋_GB2312" w:eastAsia="仿宋_GB2312" w:cs="仿宋_GB2312"/>
          <w:b w:val="0"/>
          <w:bCs/>
          <w:color w:val="auto"/>
          <w:kern w:val="2"/>
          <w:sz w:val="24"/>
          <w:szCs w:val="24"/>
          <w:lang w:val="en-US" w:eastAsia="zh-CN" w:bidi="ar-SA"/>
        </w:rPr>
        <w:t xml:space="preserve">    1、本工程由</w:t>
      </w:r>
      <w:r>
        <w:rPr>
          <w:rFonts w:hint="eastAsia" w:ascii="仿宋_GB2312" w:hAnsi="仿宋_GB2312" w:eastAsia="仿宋_GB2312" w:cs="仿宋_GB2312"/>
          <w:sz w:val="24"/>
          <w:szCs w:val="24"/>
          <w:lang w:val="en-US" w:eastAsia="zh-CN"/>
        </w:rPr>
        <w:t>奎屯第七师勘测设计研究院有限公司</w:t>
      </w:r>
      <w:r>
        <w:rPr>
          <w:rFonts w:hint="eastAsia" w:ascii="仿宋_GB2312" w:hAnsi="仿宋_GB2312" w:eastAsia="仿宋_GB2312" w:cs="仿宋_GB2312"/>
          <w:b w:val="0"/>
          <w:bCs/>
          <w:color w:val="auto"/>
          <w:kern w:val="2"/>
          <w:sz w:val="24"/>
          <w:szCs w:val="24"/>
          <w:lang w:val="en-US" w:eastAsia="zh-CN" w:bidi="ar-SA"/>
        </w:rPr>
        <w:t>设计的图纸及相关标准图集、规范、作法。</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2、</w:t>
      </w:r>
      <w:r>
        <w:rPr>
          <w:rFonts w:hint="eastAsia" w:ascii="仿宋_GB2312" w:hAnsi="仿宋_GB2312" w:eastAsia="仿宋_GB2312" w:cs="仿宋_GB2312"/>
          <w:b w:val="0"/>
          <w:bCs/>
          <w:color w:val="auto"/>
          <w:sz w:val="24"/>
          <w:szCs w:val="24"/>
        </w:rPr>
        <w:t>本工程计价方式为</w:t>
      </w:r>
      <w:r>
        <w:rPr>
          <w:rFonts w:hint="eastAsia" w:ascii="仿宋_GB2312" w:hAnsi="仿宋_GB2312" w:eastAsia="仿宋_GB2312" w:cs="仿宋_GB2312"/>
          <w:b w:val="0"/>
          <w:bCs/>
          <w:color w:val="auto"/>
          <w:sz w:val="24"/>
          <w:szCs w:val="24"/>
          <w:lang w:eastAsia="zh-CN"/>
        </w:rPr>
        <w:t>清单</w:t>
      </w:r>
      <w:r>
        <w:rPr>
          <w:rFonts w:hint="eastAsia" w:ascii="仿宋_GB2312" w:hAnsi="仿宋_GB2312" w:eastAsia="仿宋_GB2312" w:cs="仿宋_GB2312"/>
          <w:b w:val="0"/>
          <w:bCs/>
          <w:color w:val="auto"/>
          <w:sz w:val="24"/>
          <w:szCs w:val="24"/>
        </w:rPr>
        <w:t>计价，执行《建设工程工程量清单计价规范》</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（GB50500-2013），中华人民共和国国家标准《建筑工程建筑面积计算规范》GB/T</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50353-20</w:t>
      </w:r>
      <w:r>
        <w:rPr>
          <w:rFonts w:hint="eastAsia" w:ascii="仿宋_GB2312" w:hAnsi="仿宋_GB2312" w:eastAsia="仿宋_GB2312" w:cs="仿宋_GB2312"/>
          <w:b w:val="0"/>
          <w:bCs/>
          <w:color w:val="auto"/>
          <w:sz w:val="24"/>
          <w:szCs w:val="24"/>
          <w:lang w:val="en-US" w:eastAsia="zh-CN"/>
        </w:rPr>
        <w:t>13，</w:t>
      </w:r>
      <w:r>
        <w:rPr>
          <w:rFonts w:hint="eastAsia" w:ascii="仿宋_GB2312" w:hAnsi="仿宋_GB2312" w:eastAsia="仿宋_GB2312" w:cs="仿宋_GB2312"/>
          <w:b w:val="0"/>
          <w:bCs/>
          <w:color w:val="auto"/>
          <w:sz w:val="24"/>
          <w:szCs w:val="24"/>
        </w:rPr>
        <w:t>《房屋建筑与装饰工程工程量计算规范》（GB50854-2013）</w:t>
      </w:r>
      <w:r>
        <w:rPr>
          <w:rFonts w:hint="eastAsia" w:ascii="仿宋_GB2312" w:hAnsi="仿宋_GB2312" w:eastAsia="仿宋_GB2312" w:cs="仿宋_GB2312"/>
          <w:b w:val="0"/>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3</w:t>
      </w:r>
      <w:r>
        <w:rPr>
          <w:rFonts w:hint="eastAsia" w:ascii="仿宋_GB2312" w:hAnsi="仿宋_GB2312" w:eastAsia="仿宋_GB2312" w:cs="仿宋_GB2312"/>
          <w:b w:val="0"/>
          <w:bCs/>
          <w:color w:val="auto"/>
          <w:sz w:val="24"/>
          <w:szCs w:val="24"/>
        </w:rPr>
        <w:t>、本工程执行《新疆维吾尔自治区建筑安装工程费用定额》（2010年）、《新疆维吾尔自治区建筑工程消耗量定额》、《新疆维吾尔自治区建安工程补充消耗量定额》、《全国统一安装工程预算定额》、《全国统一建筑装饰装修工程消耗量定额》，补充消耗量定额依据塔地住建函(2016)6号要求，使用《 新疆维吾尔自治区建筑安装工程补充消耗量定额2014年乌鲁木齐地区单位</w:t>
      </w:r>
      <w:r>
        <w:rPr>
          <w:rFonts w:hint="eastAsia" w:ascii="仿宋_GB2312" w:hAnsi="仿宋_GB2312" w:eastAsia="仿宋_GB2312" w:cs="仿宋_GB2312"/>
          <w:b w:val="0"/>
          <w:bCs/>
          <w:color w:val="auto"/>
          <w:sz w:val="24"/>
          <w:szCs w:val="24"/>
          <w:lang w:val="en-US" w:eastAsia="zh-CN"/>
        </w:rPr>
        <w:t>估</w:t>
      </w:r>
      <w:r>
        <w:rPr>
          <w:rFonts w:hint="eastAsia" w:ascii="仿宋_GB2312" w:hAnsi="仿宋_GB2312" w:eastAsia="仿宋_GB2312" w:cs="仿宋_GB2312"/>
          <w:b w:val="0"/>
          <w:bCs/>
          <w:color w:val="auto"/>
          <w:sz w:val="24"/>
          <w:szCs w:val="24"/>
        </w:rPr>
        <w:t>价表》</w:t>
      </w:r>
      <w:r>
        <w:rPr>
          <w:rFonts w:hint="eastAsia" w:ascii="仿宋_GB2312" w:hAnsi="仿宋_GB2312" w:eastAsia="仿宋_GB2312" w:cs="仿宋_GB2312"/>
          <w:b w:val="0"/>
          <w:bCs/>
          <w:color w:val="auto"/>
          <w:sz w:val="24"/>
          <w:szCs w:val="24"/>
          <w:lang w:val="en-US" w:eastAsia="zh-CN"/>
        </w:rPr>
        <w:t>。</w:t>
      </w:r>
      <w:r>
        <w:rPr>
          <w:rFonts w:hint="eastAsia" w:ascii="仿宋_GB2312" w:hAnsi="仿宋_GB2312" w:eastAsia="仿宋_GB2312" w:cs="仿宋_GB2312"/>
          <w:b w:val="0"/>
          <w:bCs/>
          <w:color w:val="auto"/>
          <w:sz w:val="24"/>
          <w:szCs w:val="24"/>
          <w:lang w:eastAsia="zh-CN"/>
        </w:rPr>
        <w:t>本工程执行调整后的塔城地区乌苏市现行估价表及乌鲁木齐现行估价表（除税后的估价表），</w:t>
      </w:r>
      <w:r>
        <w:rPr>
          <w:rFonts w:hint="eastAsia" w:ascii="仿宋_GB2312" w:hAnsi="仿宋_GB2312" w:eastAsia="仿宋_GB2312" w:cs="仿宋_GB2312"/>
          <w:b w:val="0"/>
          <w:bCs/>
          <w:color w:val="auto"/>
          <w:sz w:val="24"/>
          <w:szCs w:val="24"/>
        </w:rPr>
        <w:t>涉及营改增的费率调整</w:t>
      </w:r>
      <w:r>
        <w:rPr>
          <w:rFonts w:hint="eastAsia" w:ascii="仿宋_GB2312" w:hAnsi="仿宋_GB2312" w:eastAsia="仿宋_GB2312" w:cs="仿宋_GB2312"/>
          <w:b w:val="0"/>
          <w:bCs/>
          <w:color w:val="auto"/>
          <w:sz w:val="24"/>
          <w:szCs w:val="24"/>
          <w:lang w:eastAsia="zh-CN"/>
        </w:rPr>
        <w:t>执行</w:t>
      </w:r>
      <w:r>
        <w:rPr>
          <w:rFonts w:hint="eastAsia" w:ascii="仿宋_GB2312" w:hAnsi="仿宋_GB2312" w:eastAsia="仿宋_GB2312" w:cs="仿宋_GB2312"/>
          <w:b w:val="0"/>
          <w:bCs/>
          <w:color w:val="auto"/>
          <w:sz w:val="24"/>
          <w:szCs w:val="24"/>
        </w:rPr>
        <w:t>《关于建筑业营业税改增值税调整</w:t>
      </w:r>
      <w:r>
        <w:rPr>
          <w:rFonts w:hint="eastAsia" w:ascii="仿宋_GB2312" w:hAnsi="仿宋_GB2312" w:eastAsia="仿宋_GB2312" w:cs="仿宋_GB2312"/>
          <w:b w:val="0"/>
          <w:bCs/>
          <w:color w:val="auto"/>
          <w:sz w:val="24"/>
          <w:szCs w:val="24"/>
          <w:lang w:eastAsia="zh-CN"/>
        </w:rPr>
        <w:t>塔城地区</w:t>
      </w:r>
      <w:r>
        <w:rPr>
          <w:rFonts w:hint="eastAsia" w:ascii="仿宋_GB2312" w:hAnsi="仿宋_GB2312" w:eastAsia="仿宋_GB2312" w:cs="仿宋_GB2312"/>
          <w:b w:val="0"/>
          <w:bCs/>
          <w:color w:val="auto"/>
          <w:sz w:val="24"/>
          <w:szCs w:val="24"/>
        </w:rPr>
        <w:t>建设工程计价依据的实施意见》（塔地住建发〔2016〕57号）</w:t>
      </w:r>
      <w:r>
        <w:rPr>
          <w:rFonts w:hint="eastAsia" w:ascii="仿宋_GB2312" w:hAnsi="仿宋_GB2312" w:eastAsia="仿宋_GB2312" w:cs="仿宋_GB2312"/>
          <w:b w:val="0"/>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372" w:lineRule="auto"/>
        <w:ind w:left="0" w:leftChars="0" w:right="0" w:rightChars="0" w:firstLine="480" w:firstLineChars="20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4、定额内人工费单价调整执</w:t>
      </w:r>
      <w:r>
        <w:rPr>
          <w:rFonts w:hint="eastAsia" w:ascii="仿宋_GB2312" w:hAnsi="仿宋_GB2312" w:eastAsia="仿宋_GB2312" w:cs="仿宋_GB2312"/>
          <w:b w:val="0"/>
          <w:bCs/>
          <w:color w:val="auto"/>
          <w:sz w:val="24"/>
          <w:szCs w:val="24"/>
          <w:lang w:val="zh-CN" w:eastAsia="zh-CN"/>
        </w:rPr>
        <w:t>行《关于调整塔城地区建设工程定额人工费单价的通知》塔地住建发〔20</w:t>
      </w:r>
      <w:r>
        <w:rPr>
          <w:rFonts w:hint="eastAsia" w:ascii="仿宋_GB2312" w:hAnsi="仿宋_GB2312" w:eastAsia="仿宋_GB2312" w:cs="仿宋_GB2312"/>
          <w:b w:val="0"/>
          <w:bCs/>
          <w:color w:val="auto"/>
          <w:sz w:val="24"/>
          <w:szCs w:val="24"/>
          <w:lang w:val="en-US" w:eastAsia="zh-CN"/>
        </w:rPr>
        <w:t>20</w:t>
      </w:r>
      <w:r>
        <w:rPr>
          <w:rFonts w:hint="eastAsia" w:ascii="仿宋_GB2312" w:hAnsi="仿宋_GB2312" w:eastAsia="仿宋_GB2312" w:cs="仿宋_GB2312"/>
          <w:b w:val="0"/>
          <w:bCs/>
          <w:color w:val="auto"/>
          <w:sz w:val="24"/>
          <w:szCs w:val="24"/>
          <w:lang w:val="zh-CN" w:eastAsia="zh-CN"/>
        </w:rPr>
        <w:t>〕</w:t>
      </w:r>
      <w:r>
        <w:rPr>
          <w:rFonts w:hint="eastAsia" w:ascii="仿宋_GB2312" w:hAnsi="仿宋_GB2312" w:eastAsia="仿宋_GB2312" w:cs="仿宋_GB2312"/>
          <w:b w:val="0"/>
          <w:bCs/>
          <w:color w:val="auto"/>
          <w:sz w:val="24"/>
          <w:szCs w:val="24"/>
          <w:lang w:val="en-US" w:eastAsia="zh-CN"/>
        </w:rPr>
        <w:t>95</w:t>
      </w:r>
      <w:r>
        <w:rPr>
          <w:rFonts w:hint="eastAsia" w:ascii="仿宋_GB2312" w:hAnsi="仿宋_GB2312" w:eastAsia="仿宋_GB2312" w:cs="仿宋_GB2312"/>
          <w:b w:val="0"/>
          <w:bCs/>
          <w:color w:val="auto"/>
          <w:sz w:val="24"/>
          <w:szCs w:val="24"/>
          <w:lang w:val="zh-CN" w:eastAsia="zh-CN"/>
        </w:rPr>
        <w:t>号</w:t>
      </w:r>
      <w:r>
        <w:rPr>
          <w:rFonts w:hint="eastAsia" w:ascii="仿宋_GB2312" w:hAnsi="仿宋_GB2312" w:eastAsia="仿宋_GB2312" w:cs="仿宋_GB2312"/>
          <w:b w:val="0"/>
          <w:bCs/>
          <w:color w:val="auto"/>
          <w:sz w:val="24"/>
          <w:szCs w:val="24"/>
          <w:lang w:val="en-US" w:eastAsia="zh-CN"/>
        </w:rPr>
        <w:t>，建筑、安装、装饰装修调整为建筑工程98.94元/工日、安装工程100.96元/工日、装饰装修工程108.83元/工日，</w:t>
      </w:r>
      <w:r>
        <w:rPr>
          <w:rFonts w:hint="eastAsia" w:ascii="仿宋_GB2312" w:hAnsi="仿宋_GB2312" w:eastAsia="仿宋_GB2312" w:cs="仿宋_GB2312"/>
          <w:b w:val="0"/>
          <w:bCs/>
          <w:color w:val="auto"/>
          <w:sz w:val="24"/>
          <w:szCs w:val="24"/>
        </w:rPr>
        <w:t>调增部分单独列项，只计取税金，不计取其他费用。</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zh-CN"/>
        </w:rPr>
      </w:pPr>
      <w:r>
        <w:rPr>
          <w:rFonts w:hint="eastAsia" w:ascii="仿宋_GB2312" w:hAnsi="仿宋_GB2312" w:eastAsia="仿宋_GB2312" w:cs="仿宋_GB2312"/>
          <w:b w:val="0"/>
          <w:bCs/>
          <w:color w:val="auto"/>
          <w:sz w:val="24"/>
          <w:szCs w:val="24"/>
          <w:lang w:val="en-US" w:eastAsia="zh-CN"/>
        </w:rPr>
        <w:drawing>
          <wp:anchor distT="0" distB="0" distL="114300" distR="114300" simplePos="0" relativeHeight="251670528" behindDoc="0" locked="0" layoutInCell="1" allowOverlap="1">
            <wp:simplePos x="0" y="0"/>
            <wp:positionH relativeFrom="column">
              <wp:posOffset>8496300</wp:posOffset>
            </wp:positionH>
            <wp:positionV relativeFrom="paragraph">
              <wp:posOffset>551180</wp:posOffset>
            </wp:positionV>
            <wp:extent cx="1905000" cy="1905000"/>
            <wp:effectExtent l="0" t="0" r="0" b="0"/>
            <wp:wrapNone/>
            <wp:docPr id="10" name="图片 10" descr="惠文单位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惠文单位公章"/>
                    <pic:cNvPicPr>
                      <a:picLocks noChangeAspect="1"/>
                    </pic:cNvPicPr>
                  </pic:nvPicPr>
                  <pic:blipFill>
                    <a:blip r:embed="rId8"/>
                    <a:stretch>
                      <a:fillRect/>
                    </a:stretch>
                  </pic:blipFill>
                  <pic:spPr>
                    <a:xfrm>
                      <a:off x="0" y="0"/>
                      <a:ext cx="1905000" cy="1905000"/>
                    </a:xfrm>
                    <a:prstGeom prst="rect">
                      <a:avLst/>
                    </a:prstGeom>
                  </pic:spPr>
                </pic:pic>
              </a:graphicData>
            </a:graphic>
          </wp:anchor>
        </w:drawing>
      </w:r>
      <w:r>
        <w:rPr>
          <w:rFonts w:hint="eastAsia" w:ascii="仿宋_GB2312" w:hAnsi="仿宋_GB2312" w:eastAsia="仿宋_GB2312" w:cs="仿宋_GB2312"/>
          <w:b w:val="0"/>
          <w:bCs/>
          <w:color w:val="auto"/>
          <w:sz w:val="24"/>
          <w:szCs w:val="24"/>
          <w:lang w:val="en-US" w:eastAsia="zh-CN"/>
        </w:rPr>
        <w:t xml:space="preserve">    5</w:t>
      </w:r>
      <w:r>
        <w:rPr>
          <w:rFonts w:hint="eastAsia" w:ascii="仿宋_GB2312" w:hAnsi="仿宋_GB2312" w:eastAsia="仿宋_GB2312" w:cs="仿宋_GB2312"/>
          <w:b w:val="0"/>
          <w:bCs/>
          <w:color w:val="auto"/>
          <w:sz w:val="24"/>
          <w:szCs w:val="24"/>
        </w:rPr>
        <w:t>、材料价差调整依据《关于发布乌苏市20</w:t>
      </w:r>
      <w:r>
        <w:rPr>
          <w:rFonts w:hint="eastAsia" w:ascii="仿宋_GB2312" w:hAnsi="仿宋_GB2312" w:eastAsia="仿宋_GB2312" w:cs="仿宋_GB2312"/>
          <w:b w:val="0"/>
          <w:bCs/>
          <w:color w:val="auto"/>
          <w:sz w:val="24"/>
          <w:szCs w:val="24"/>
          <w:lang w:val="en-US" w:eastAsia="zh-CN"/>
        </w:rPr>
        <w:t>23</w:t>
      </w:r>
      <w:r>
        <w:rPr>
          <w:rFonts w:hint="eastAsia" w:ascii="仿宋_GB2312" w:hAnsi="仿宋_GB2312" w:eastAsia="仿宋_GB2312" w:cs="仿宋_GB2312"/>
          <w:b w:val="0"/>
          <w:bCs/>
          <w:color w:val="auto"/>
          <w:sz w:val="24"/>
          <w:szCs w:val="24"/>
        </w:rPr>
        <w:t>年</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月份建设工程</w:t>
      </w:r>
      <w:r>
        <w:rPr>
          <w:rFonts w:hint="eastAsia" w:ascii="仿宋_GB2312" w:hAnsi="仿宋_GB2312" w:eastAsia="仿宋_GB2312" w:cs="仿宋_GB2312"/>
          <w:b w:val="0"/>
          <w:bCs/>
          <w:color w:val="auto"/>
          <w:sz w:val="24"/>
          <w:szCs w:val="24"/>
          <w:lang w:eastAsia="zh-CN"/>
        </w:rPr>
        <w:t>除税综合</w:t>
      </w:r>
      <w:r>
        <w:rPr>
          <w:rFonts w:hint="eastAsia" w:ascii="仿宋_GB2312" w:hAnsi="仿宋_GB2312" w:eastAsia="仿宋_GB2312" w:cs="仿宋_GB2312"/>
          <w:b w:val="0"/>
          <w:bCs/>
          <w:color w:val="auto"/>
          <w:sz w:val="24"/>
          <w:szCs w:val="24"/>
        </w:rPr>
        <w:t>价格信息的</w:t>
      </w:r>
      <w:r>
        <w:rPr>
          <w:rFonts w:hint="eastAsia" w:ascii="仿宋_GB2312" w:hAnsi="仿宋_GB2312" w:eastAsia="仿宋_GB2312" w:cs="仿宋_GB2312"/>
          <w:b w:val="0"/>
          <w:bCs/>
          <w:color w:val="auto"/>
          <w:sz w:val="24"/>
          <w:szCs w:val="24"/>
          <w:lang w:val="zh-CN"/>
        </w:rPr>
        <w:t>通知》，调整部分不参与取费，只计税金</w:t>
      </w:r>
      <w:r>
        <w:rPr>
          <w:rFonts w:hint="eastAsia" w:ascii="仿宋_GB2312" w:hAnsi="仿宋_GB2312" w:eastAsia="仿宋_GB2312" w:cs="仿宋_GB2312"/>
          <w:b w:val="0"/>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372" w:lineRule="auto"/>
        <w:ind w:left="0" w:leftChars="0" w:right="0" w:rightChars="0" w:firstLine="480" w:firstLineChars="200"/>
        <w:jc w:val="left"/>
        <w:textAlignment w:val="auto"/>
        <w:rPr>
          <w:rFonts w:hint="eastAsia" w:ascii="仿宋_GB2312" w:hAnsi="仿宋_GB2312" w:eastAsia="仿宋_GB2312" w:cs="仿宋_GB2312"/>
          <w:b w:val="0"/>
          <w:bCs/>
          <w:color w:val="auto"/>
          <w:sz w:val="24"/>
          <w:szCs w:val="24"/>
          <w:lang w:val="zh-CN" w:eastAsia="zh-CN"/>
        </w:rPr>
      </w:pPr>
      <w:r>
        <w:rPr>
          <w:rFonts w:hint="eastAsia" w:ascii="仿宋_GB2312" w:hAnsi="仿宋_GB2312" w:eastAsia="仿宋_GB2312" w:cs="仿宋_GB2312"/>
          <w:b w:val="0"/>
          <w:bCs/>
          <w:color w:val="auto"/>
          <w:sz w:val="24"/>
          <w:szCs w:val="24"/>
          <w:lang w:val="en-US" w:eastAsia="zh-CN"/>
        </w:rPr>
        <w:t>6</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val="en-US" w:eastAsia="zh-CN"/>
        </w:rPr>
        <w:t xml:space="preserve">税金调整执行《关于实施建筑业增值税新税率调整建设工程计价依据的通知》（塔地住建发〔2019〕71号），建筑业增值税税率为9%。 </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其他需要说明的有关问题</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本工程暂列金额为104000元；</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专业暂估为96800元。专业工程暂估详见明细表共计4项。</w:t>
      </w:r>
    </w:p>
    <w:tbl>
      <w:tblPr>
        <w:tblStyle w:val="25"/>
        <w:tblW w:w="10068" w:type="dxa"/>
        <w:tblInd w:w="-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4"/>
        <w:gridCol w:w="1956"/>
        <w:gridCol w:w="5328"/>
        <w:gridCol w:w="10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68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序号</w:t>
            </w:r>
          </w:p>
        </w:tc>
        <w:tc>
          <w:tcPr>
            <w:tcW w:w="195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工程名称</w:t>
            </w:r>
          </w:p>
        </w:tc>
        <w:tc>
          <w:tcPr>
            <w:tcW w:w="532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工程内容</w:t>
            </w: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计量单位</w:t>
            </w:r>
          </w:p>
        </w:tc>
        <w:tc>
          <w:tcPr>
            <w:tcW w:w="108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除税总价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68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1</w:t>
            </w:r>
          </w:p>
        </w:tc>
        <w:tc>
          <w:tcPr>
            <w:tcW w:w="195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橱柜、吊柜</w:t>
            </w:r>
          </w:p>
        </w:tc>
        <w:tc>
          <w:tcPr>
            <w:tcW w:w="532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具体材质由建设单位确认，规格详见图纸</w:t>
            </w: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元</w:t>
            </w:r>
          </w:p>
        </w:tc>
        <w:tc>
          <w:tcPr>
            <w:tcW w:w="108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58800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trPr>
        <w:tc>
          <w:tcPr>
            <w:tcW w:w="68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w:t>
            </w:r>
          </w:p>
        </w:tc>
        <w:tc>
          <w:tcPr>
            <w:tcW w:w="195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室外台阶</w:t>
            </w:r>
          </w:p>
        </w:tc>
        <w:tc>
          <w:tcPr>
            <w:tcW w:w="532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1、室外扶手需进行除锈工作,除锈完成后再涂扶手漆(内含防锈漆),扶手漆颜色由甲方自定。2、因图纸上未提供具体栏杆大样图，故结算时按实际计算；</w:t>
            </w: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元</w:t>
            </w:r>
          </w:p>
        </w:tc>
        <w:tc>
          <w:tcPr>
            <w:tcW w:w="108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68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3</w:t>
            </w:r>
          </w:p>
        </w:tc>
        <w:tc>
          <w:tcPr>
            <w:tcW w:w="195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屋面破损修复</w:t>
            </w:r>
          </w:p>
        </w:tc>
        <w:tc>
          <w:tcPr>
            <w:tcW w:w="532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安装烟道破坏屋面并修复，根据实际现场发生计入</w:t>
            </w: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元</w:t>
            </w:r>
          </w:p>
        </w:tc>
        <w:tc>
          <w:tcPr>
            <w:tcW w:w="108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68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w:t>
            </w:r>
          </w:p>
        </w:tc>
        <w:tc>
          <w:tcPr>
            <w:tcW w:w="195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拆除工程</w:t>
            </w:r>
          </w:p>
        </w:tc>
        <w:tc>
          <w:tcPr>
            <w:tcW w:w="532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原有电气、给排水、采暖</w:t>
            </w:r>
            <w:r>
              <w:rPr>
                <w:rFonts w:hint="eastAsia" w:ascii="仿宋_GB2312" w:hAnsi="仿宋_GB2312" w:eastAsia="仿宋_GB2312" w:cs="仿宋_GB2312"/>
                <w:b w:val="0"/>
                <w:bCs/>
                <w:color w:val="auto"/>
                <w:sz w:val="24"/>
                <w:szCs w:val="24"/>
                <w:lang w:val="en-US" w:eastAsia="zh-CN"/>
              </w:rPr>
              <w:t>管线</w:t>
            </w:r>
            <w:r>
              <w:rPr>
                <w:rFonts w:hint="eastAsia" w:ascii="仿宋_GB2312" w:hAnsi="仿宋_GB2312" w:eastAsia="仿宋_GB2312" w:cs="仿宋_GB2312"/>
                <w:b w:val="0"/>
                <w:bCs/>
                <w:color w:val="auto"/>
                <w:sz w:val="24"/>
                <w:szCs w:val="24"/>
              </w:rPr>
              <w:t>拆除，运输</w:t>
            </w: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元</w:t>
            </w:r>
          </w:p>
        </w:tc>
        <w:tc>
          <w:tcPr>
            <w:tcW w:w="108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28000</w:t>
            </w:r>
          </w:p>
        </w:tc>
      </w:tr>
    </w:tbl>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扬尘污染费调整执行《关于新疆建设工程扬尘污染防治增加费计取方法的公告》2020年第120号。</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rPr>
        <w:t>规费、税金为不可竞争费。</w:t>
      </w:r>
    </w:p>
    <w:p>
      <w:pPr>
        <w:keepNext w:val="0"/>
        <w:keepLines w:val="0"/>
        <w:pageBreakBefore w:val="0"/>
        <w:kinsoku/>
        <w:wordWrap/>
        <w:overflowPunct/>
        <w:topLinePunct w:val="0"/>
        <w:autoSpaceDE/>
        <w:autoSpaceDN/>
        <w:bidi w:val="0"/>
        <w:adjustRightInd/>
        <w:snapToGrid/>
        <w:spacing w:line="372" w:lineRule="auto"/>
        <w:ind w:left="0" w:leftChars="0" w:right="0" w:rightChars="0" w:firstLine="240" w:firstLineChars="10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材料单价由建设单位确认，详见附表。</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lang w:val="en-US" w:eastAsia="zh-CN"/>
        </w:rPr>
        <w:t xml:space="preserve"> </w:t>
      </w:r>
      <w:r>
        <w:rPr>
          <w:rFonts w:hint="eastAsia" w:ascii="仿宋_GB2312" w:hAnsi="仿宋_GB2312" w:eastAsia="仿宋_GB2312" w:cs="仿宋_GB2312"/>
          <w:b/>
          <w:bCs w:val="0"/>
          <w:color w:val="auto"/>
          <w:sz w:val="24"/>
          <w:szCs w:val="24"/>
        </w:rPr>
        <w:t>四、编制结果</w:t>
      </w:r>
    </w:p>
    <w:p>
      <w:pPr>
        <w:keepNext w:val="0"/>
        <w:keepLines w:val="0"/>
        <w:pageBreakBefore w:val="0"/>
        <w:kinsoku/>
        <w:wordWrap/>
        <w:overflowPunct/>
        <w:topLinePunct w:val="0"/>
        <w:autoSpaceDE/>
        <w:autoSpaceDN/>
        <w:bidi w:val="0"/>
        <w:adjustRightInd/>
        <w:snapToGrid/>
        <w:spacing w:line="372" w:lineRule="auto"/>
        <w:ind w:left="0" w:leftChars="0" w:right="0" w:rightChars="0" w:firstLine="480" w:firstLineChars="20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乌苏市国有空置房产改建保障性租赁住房项目--水利局家属院西门商铺、正和商城四、五楼控制价</w:t>
      </w:r>
      <w:r>
        <w:rPr>
          <w:rFonts w:hint="eastAsia" w:ascii="仿宋_GB2312" w:hAnsi="仿宋_GB2312" w:eastAsia="仿宋_GB2312" w:cs="仿宋_GB2312"/>
          <w:b w:val="0"/>
          <w:bCs/>
          <w:color w:val="auto"/>
          <w:sz w:val="24"/>
          <w:szCs w:val="24"/>
          <w:lang w:eastAsia="zh-CN"/>
        </w:rPr>
        <w:t>为</w:t>
      </w:r>
      <w:r>
        <w:rPr>
          <w:rFonts w:hint="eastAsia" w:ascii="仿宋_GB2312" w:hAnsi="仿宋_GB2312" w:eastAsia="仿宋_GB2312" w:cs="仿宋_GB2312"/>
          <w:b w:val="0"/>
          <w:bCs/>
          <w:color w:val="auto"/>
          <w:sz w:val="24"/>
          <w:szCs w:val="24"/>
          <w:lang w:val="en-US" w:eastAsia="zh-CN"/>
        </w:rPr>
        <w:t>3080816.91</w:t>
      </w:r>
      <w:r>
        <w:rPr>
          <w:rFonts w:hint="eastAsia" w:ascii="仿宋_GB2312" w:hAnsi="仿宋_GB2312" w:eastAsia="仿宋_GB2312" w:cs="仿宋_GB2312"/>
          <w:b w:val="0"/>
          <w:bCs/>
          <w:color w:val="auto"/>
          <w:sz w:val="24"/>
          <w:szCs w:val="24"/>
          <w:lang w:eastAsia="zh-CN"/>
        </w:rPr>
        <w:t>元。</w:t>
      </w:r>
      <w:r>
        <w:rPr>
          <w:rFonts w:hint="eastAsia" w:ascii="仿宋_GB2312" w:hAnsi="仿宋_GB2312" w:eastAsia="仿宋_GB2312" w:cs="仿宋_GB2312"/>
          <w:b w:val="0"/>
          <w:bCs/>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72" w:lineRule="auto"/>
        <w:ind w:left="0" w:leftChars="0" w:right="0" w:rightChars="0"/>
        <w:jc w:val="lef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72" w:lineRule="auto"/>
        <w:ind w:right="0" w:rightChars="0"/>
        <w:jc w:val="both"/>
        <w:textAlignment w:val="auto"/>
        <w:outlineLvl w:val="9"/>
        <w:rPr>
          <w:rFonts w:hint="eastAsia" w:ascii="宋体" w:hAnsi="宋体" w:cs="宋体"/>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72" w:lineRule="auto"/>
        <w:ind w:right="0" w:rightChars="0"/>
        <w:jc w:val="both"/>
        <w:textAlignment w:val="auto"/>
        <w:outlineLvl w:val="9"/>
        <w:rPr>
          <w:rFonts w:hint="eastAsia" w:ascii="宋体" w:hAnsi="宋体" w:cs="宋体"/>
          <w:b w:val="0"/>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72" w:lineRule="auto"/>
        <w:ind w:right="0" w:rightChars="0"/>
        <w:jc w:val="both"/>
        <w:textAlignment w:val="auto"/>
        <w:outlineLvl w:val="9"/>
        <w:rPr>
          <w:rFonts w:hint="eastAsia" w:ascii="宋体" w:hAnsi="宋体" w:cs="宋体"/>
          <w:b w:val="0"/>
          <w:bCs/>
          <w:sz w:val="24"/>
          <w:szCs w:val="24"/>
          <w:lang w:val="en-US" w:eastAsia="zh-CN"/>
        </w:rPr>
      </w:pPr>
    </w:p>
    <w:p>
      <w:pPr>
        <w:pageBreakBefore w:val="0"/>
        <w:shd w:val="clear"/>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cs="宋体"/>
          <w:b w:val="0"/>
          <w:bCs/>
          <w:sz w:val="24"/>
          <w:szCs w:val="24"/>
          <w:lang w:val="en-US" w:eastAsia="zh-CN"/>
        </w:rPr>
        <w:t xml:space="preserve">                </w:t>
      </w:r>
    </w:p>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highlight w:val="none"/>
        </w:rPr>
        <w:br w:type="page"/>
      </w:r>
      <w:bookmarkStart w:id="37" w:name="_Toc28852"/>
      <w:bookmarkStart w:id="38" w:name="_Toc12353"/>
      <w:bookmarkStart w:id="39" w:name="_Toc11200"/>
      <w:r>
        <w:rPr>
          <w:rFonts w:hint="eastAsia" w:ascii="宋体" w:hAnsi="宋体" w:eastAsia="宋体" w:cs="宋体"/>
          <w:color w:val="auto"/>
          <w:sz w:val="32"/>
          <w:highlight w:val="none"/>
        </w:rPr>
        <w:t xml:space="preserve">第二章  </w:t>
      </w:r>
      <w:r>
        <w:rPr>
          <w:rFonts w:hint="eastAsia" w:ascii="宋体" w:hAnsi="宋体" w:cs="宋体"/>
          <w:color w:val="auto"/>
          <w:sz w:val="32"/>
          <w:highlight w:val="none"/>
          <w:lang w:val="en-US" w:eastAsia="zh-CN"/>
        </w:rPr>
        <w:t>报价人</w:t>
      </w:r>
      <w:r>
        <w:rPr>
          <w:rFonts w:hint="eastAsia" w:ascii="宋体" w:hAnsi="宋体" w:eastAsia="宋体" w:cs="宋体"/>
          <w:color w:val="auto"/>
          <w:sz w:val="32"/>
          <w:highlight w:val="none"/>
        </w:rPr>
        <w:t>须知</w:t>
      </w:r>
      <w:bookmarkEnd w:id="37"/>
      <w:bookmarkEnd w:id="38"/>
      <w:bookmarkEnd w:id="39"/>
    </w:p>
    <w:p>
      <w:pPr>
        <w:pStyle w:val="4"/>
        <w:pageBreakBefore w:val="0"/>
        <w:shd w:val="clear"/>
        <w:kinsoku/>
        <w:wordWrap/>
        <w:overflowPunct/>
        <w:topLinePunct w:val="0"/>
        <w:bidi w:val="0"/>
        <w:spacing w:line="360" w:lineRule="auto"/>
        <w:jc w:val="center"/>
        <w:rPr>
          <w:rFonts w:hint="eastAsia" w:ascii="宋体" w:hAnsi="宋体" w:eastAsia="宋体" w:cs="宋体"/>
          <w:color w:val="auto"/>
          <w:sz w:val="28"/>
          <w:szCs w:val="28"/>
          <w:highlight w:val="none"/>
        </w:rPr>
      </w:pPr>
      <w:bookmarkStart w:id="40" w:name="_Toc24673"/>
      <w:bookmarkStart w:id="41" w:name="_Toc11031"/>
      <w:bookmarkStart w:id="42" w:name="_Toc17623"/>
      <w:r>
        <w:rPr>
          <w:rFonts w:hint="eastAsia" w:ascii="宋体" w:hAnsi="宋体" w:eastAsia="宋体" w:cs="宋体"/>
          <w:color w:val="auto"/>
          <w:sz w:val="28"/>
          <w:szCs w:val="28"/>
          <w:highlight w:val="none"/>
        </w:rPr>
        <w:t>一、总  则</w:t>
      </w:r>
      <w:bookmarkEnd w:id="40"/>
      <w:bookmarkEnd w:id="41"/>
      <w:bookmarkEnd w:id="42"/>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43" w:name="_Toc24765"/>
      <w:bookmarkStart w:id="44" w:name="_Toc8716"/>
      <w:r>
        <w:rPr>
          <w:rFonts w:hint="eastAsia" w:ascii="仿宋_GB2312" w:hAnsi="仿宋_GB2312" w:eastAsia="仿宋_GB2312" w:cs="仿宋_GB2312"/>
          <w:b/>
          <w:color w:val="auto"/>
          <w:sz w:val="24"/>
          <w:szCs w:val="24"/>
          <w:highlight w:val="none"/>
        </w:rPr>
        <w:t>1、适用范围</w:t>
      </w:r>
      <w:bookmarkEnd w:id="43"/>
      <w:bookmarkEnd w:id="44"/>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1.1</w:t>
      </w:r>
      <w:r>
        <w:rPr>
          <w:rFonts w:hint="eastAsia" w:ascii="仿宋_GB2312" w:hAnsi="仿宋_GB2312" w:eastAsia="仿宋_GB2312" w:cs="仿宋_GB2312"/>
          <w:color w:val="auto"/>
          <w:sz w:val="24"/>
          <w:szCs w:val="24"/>
          <w:highlight w:val="none"/>
        </w:rPr>
        <w:t xml:space="preserve"> 本</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文件仅适用于本次</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项目。</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45" w:name="_Toc22587"/>
      <w:bookmarkStart w:id="46" w:name="_Toc17792"/>
      <w:r>
        <w:rPr>
          <w:rFonts w:hint="eastAsia" w:ascii="仿宋_GB2312" w:hAnsi="仿宋_GB2312" w:eastAsia="仿宋_GB2312" w:cs="仿宋_GB2312"/>
          <w:b/>
          <w:color w:val="auto"/>
          <w:sz w:val="24"/>
          <w:szCs w:val="24"/>
          <w:highlight w:val="none"/>
        </w:rPr>
        <w:t>2、合格的</w:t>
      </w:r>
      <w:r>
        <w:rPr>
          <w:rFonts w:hint="eastAsia" w:ascii="仿宋_GB2312" w:hAnsi="仿宋_GB2312" w:eastAsia="仿宋_GB2312" w:cs="仿宋_GB2312"/>
          <w:b/>
          <w:color w:val="auto"/>
          <w:sz w:val="24"/>
          <w:szCs w:val="24"/>
          <w:highlight w:val="none"/>
          <w:lang w:val="en-US" w:eastAsia="zh-CN"/>
        </w:rPr>
        <w:t>报价</w:t>
      </w:r>
      <w:r>
        <w:rPr>
          <w:rFonts w:hint="eastAsia" w:ascii="仿宋_GB2312" w:hAnsi="仿宋_GB2312" w:eastAsia="仿宋_GB2312" w:cs="仿宋_GB2312"/>
          <w:b/>
          <w:color w:val="auto"/>
          <w:sz w:val="24"/>
          <w:szCs w:val="24"/>
          <w:highlight w:val="none"/>
        </w:rPr>
        <w:t>人</w:t>
      </w:r>
      <w:bookmarkEnd w:id="45"/>
      <w:bookmarkEnd w:id="46"/>
    </w:p>
    <w:p>
      <w:pPr>
        <w:pageBreakBefore w:val="0"/>
        <w:shd w:val="clear"/>
        <w:kinsoku/>
        <w:wordWrap/>
        <w:overflowPunct/>
        <w:topLinePunct w:val="0"/>
        <w:bidi w:val="0"/>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2.1</w:t>
      </w:r>
      <w:r>
        <w:rPr>
          <w:rFonts w:hint="eastAsia" w:ascii="仿宋_GB2312" w:hAnsi="仿宋_GB2312" w:eastAsia="仿宋_GB2312" w:cs="仿宋_GB2312"/>
          <w:b w:val="0"/>
          <w:bCs/>
          <w:color w:val="auto"/>
          <w:sz w:val="24"/>
          <w:szCs w:val="24"/>
          <w:highlight w:val="none"/>
          <w:lang w:val="en-US" w:eastAsia="zh-CN"/>
        </w:rPr>
        <w:t>报价</w:t>
      </w:r>
      <w:r>
        <w:rPr>
          <w:rFonts w:hint="eastAsia" w:ascii="仿宋_GB2312" w:hAnsi="仿宋_GB2312" w:eastAsia="仿宋_GB2312" w:cs="仿宋_GB2312"/>
          <w:b w:val="0"/>
          <w:bCs/>
          <w:color w:val="auto"/>
          <w:sz w:val="24"/>
          <w:szCs w:val="24"/>
          <w:highlight w:val="none"/>
        </w:rPr>
        <w:t>人</w:t>
      </w:r>
      <w:r>
        <w:rPr>
          <w:rFonts w:hint="eastAsia" w:ascii="仿宋_GB2312" w:hAnsi="仿宋_GB2312" w:eastAsia="仿宋_GB2312" w:cs="仿宋_GB2312"/>
          <w:color w:val="auto"/>
          <w:sz w:val="24"/>
          <w:szCs w:val="24"/>
          <w:highlight w:val="none"/>
        </w:rPr>
        <w:t>资格要求：</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2.1.1满足《中华人民共和国政府采购法》第二十二条规定；</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2.1.2落实政府采购政策需满足的资格要求：本项目专门面向中小企业。</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本项目的特定资格要求：</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2.1.3供应商须是中华人民共和国境内注册，具有有效的营业执照； </w:t>
      </w:r>
    </w:p>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2.1.4</w:t>
      </w:r>
      <w:r>
        <w:rPr>
          <w:rFonts w:hint="eastAsia" w:ascii="仿宋_GB2312" w:hAnsi="仿宋_GB2312" w:eastAsia="仿宋_GB2312" w:cs="仿宋_GB2312"/>
          <w:sz w:val="24"/>
          <w:szCs w:val="24"/>
          <w:highlight w:val="none"/>
          <w:lang w:val="en-US" w:eastAsia="zh-CN"/>
        </w:rPr>
        <w:t>供应商须具备建设行政主管部门颁发的建筑工程施工总承包叁级及以上资质；</w:t>
      </w:r>
    </w:p>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2.1.5</w:t>
      </w:r>
      <w:r>
        <w:rPr>
          <w:rFonts w:hint="eastAsia" w:ascii="仿宋_GB2312" w:hAnsi="仿宋_GB2312" w:eastAsia="仿宋_GB2312" w:cs="仿宋_GB2312"/>
          <w:sz w:val="24"/>
          <w:szCs w:val="24"/>
          <w:highlight w:val="none"/>
          <w:lang w:val="en-US" w:eastAsia="zh-CN"/>
        </w:rPr>
        <w:t>供应商提供的项目负责人须具备二级及以上注册建造师执业资格且具有有效的安全生产考核合格证书，本单位注册不接受临时建造师,</w:t>
      </w:r>
      <w:r>
        <w:rPr>
          <w:rFonts w:hint="eastAsia" w:ascii="仿宋_GB2312" w:hAnsi="仿宋_GB2312" w:eastAsia="仿宋_GB2312" w:cs="仿宋_GB2312"/>
          <w:color w:val="auto"/>
          <w:kern w:val="2"/>
          <w:sz w:val="24"/>
          <w:szCs w:val="24"/>
          <w:lang w:val="en-US" w:eastAsia="zh-CN" w:bidi="ar-SA"/>
        </w:rPr>
        <w:t xml:space="preserve">且未担任其他在建项目的项目负责人 </w:t>
      </w:r>
      <w:r>
        <w:rPr>
          <w:rFonts w:hint="eastAsia" w:ascii="仿宋_GB2312" w:hAnsi="仿宋_GB2312" w:eastAsia="仿宋_GB2312" w:cs="仿宋_GB2312"/>
          <w:sz w:val="24"/>
          <w:szCs w:val="24"/>
          <w:highlight w:val="none"/>
          <w:lang w:val="en-US" w:eastAsia="zh-CN"/>
        </w:rPr>
        <w:t>；</w:t>
      </w:r>
    </w:p>
    <w:p>
      <w:pPr>
        <w:shd w:val="clea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color w:val="auto"/>
          <w:sz w:val="24"/>
          <w:szCs w:val="24"/>
          <w:highlight w:val="none"/>
          <w:lang w:val="en-US" w:eastAsia="zh-CN"/>
        </w:rPr>
        <w:t>2.1.6供应商须提供有效的安全生产许可证；</w:t>
      </w:r>
    </w:p>
    <w:p>
      <w:pPr>
        <w:shd w:val="clear"/>
        <w:spacing w:line="360" w:lineRule="auto"/>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rtl w:val="0"/>
          <w:lang w:val="en-US" w:eastAsia="zh-CN"/>
        </w:rPr>
        <w:t>2.1.7具有独立承担民事责任的能力及具有良好的商业信誉和健全的财务会计制度；</w:t>
      </w:r>
    </w:p>
    <w:p>
      <w:pPr>
        <w:shd w:val="clear"/>
        <w:spacing w:line="360" w:lineRule="auto"/>
        <w:rPr>
          <w:rFonts w:hint="eastAsia"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2.1.8</w:t>
      </w:r>
      <w:r>
        <w:rPr>
          <w:rFonts w:hint="eastAsia" w:ascii="仿宋_GB2312" w:hAnsi="仿宋_GB2312" w:eastAsia="仿宋_GB2312" w:cs="仿宋_GB2312"/>
          <w:sz w:val="24"/>
          <w:szCs w:val="24"/>
          <w:rtl w:val="0"/>
          <w:lang w:val="en-US" w:eastAsia="zh-CN"/>
        </w:rPr>
        <w:t>具有履行合同所必须的设备和专业技术能力及具有依法缴纳税收和社会保障资金的良好记录；</w:t>
      </w:r>
    </w:p>
    <w:p>
      <w:pPr>
        <w:shd w:val="clear"/>
        <w:spacing w:line="360" w:lineRule="auto"/>
        <w:rPr>
          <w:rFonts w:hint="default" w:ascii="仿宋_GB2312" w:hAnsi="仿宋_GB2312" w:eastAsia="仿宋_GB2312" w:cs="仿宋_GB2312"/>
          <w:sz w:val="24"/>
          <w:szCs w:val="24"/>
          <w:rtl w:val="0"/>
          <w:lang w:val="en-US" w:eastAsia="zh-CN"/>
        </w:rPr>
      </w:pPr>
      <w:r>
        <w:rPr>
          <w:rFonts w:hint="eastAsia" w:ascii="仿宋_GB2312" w:hAnsi="仿宋_GB2312" w:eastAsia="仿宋_GB2312" w:cs="仿宋_GB2312"/>
          <w:sz w:val="24"/>
          <w:szCs w:val="24"/>
          <w:lang w:val="en-US" w:eastAsia="zh-CN"/>
        </w:rPr>
        <w:t>2.1.9</w:t>
      </w:r>
      <w:r>
        <w:rPr>
          <w:rFonts w:hint="eastAsia" w:ascii="仿宋_GB2312" w:hAnsi="仿宋_GB2312" w:eastAsia="仿宋_GB2312" w:cs="仿宋_GB2312"/>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2.2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仿宋_GB2312" w:hAnsi="仿宋_GB2312" w:eastAsia="仿宋_GB2312" w:cs="仿宋_GB2312"/>
          <w:b/>
          <w:bCs w:val="0"/>
          <w:color w:val="auto"/>
          <w:sz w:val="24"/>
          <w:szCs w:val="24"/>
          <w:highlight w:val="none"/>
          <w:lang w:val="en-US" w:eastAsia="zh-CN"/>
        </w:rPr>
        <w:t>2.2.3</w:t>
      </w:r>
      <w:r>
        <w:rPr>
          <w:rFonts w:hint="eastAsia" w:ascii="仿宋_GB2312" w:hAnsi="仿宋_GB2312" w:eastAsia="仿宋_GB2312" w:cs="仿宋_GB2312"/>
          <w:b w:val="0"/>
          <w:bCs/>
          <w:color w:val="auto"/>
          <w:sz w:val="24"/>
          <w:szCs w:val="24"/>
          <w:highlight w:val="none"/>
          <w:lang w:val="en-US" w:eastAsia="zh-CN"/>
        </w:rPr>
        <w:t>报价人在本次竞争性谈判中，必须遵守《中华人民共和国政府采购法》的规定。</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47" w:name="_Toc4635"/>
      <w:bookmarkStart w:id="48" w:name="_Toc19605"/>
      <w:r>
        <w:rPr>
          <w:rFonts w:hint="eastAsia" w:ascii="仿宋_GB2312" w:hAnsi="仿宋_GB2312" w:eastAsia="仿宋_GB2312" w:cs="仿宋_GB2312"/>
          <w:b/>
          <w:color w:val="auto"/>
          <w:sz w:val="24"/>
          <w:szCs w:val="24"/>
          <w:highlight w:val="none"/>
        </w:rPr>
        <w:t>3、定义</w:t>
      </w:r>
      <w:bookmarkEnd w:id="47"/>
      <w:bookmarkEnd w:id="48"/>
    </w:p>
    <w:p>
      <w:pPr>
        <w:shd w:val="clear"/>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3.1 “</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”为</w:t>
      </w:r>
      <w:r>
        <w:rPr>
          <w:rFonts w:hint="eastAsia" w:ascii="仿宋_GB2312" w:hAnsi="仿宋_GB2312" w:eastAsia="仿宋_GB2312" w:cs="仿宋_GB2312"/>
          <w:b/>
          <w:bCs/>
          <w:color w:val="auto"/>
          <w:sz w:val="24"/>
          <w:szCs w:val="24"/>
          <w:highlight w:val="none"/>
          <w:u w:val="none"/>
          <w:lang w:val="en-US" w:eastAsia="zh-CN"/>
        </w:rPr>
        <w:t>乌苏市保障性住房投资建设管理有限公司</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3.2</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合格报价</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成功获取谈判文件的供应商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系指</w:t>
      </w:r>
      <w:r>
        <w:rPr>
          <w:rFonts w:hint="eastAsia" w:ascii="仿宋_GB2312" w:hAnsi="仿宋_GB2312" w:eastAsia="仿宋_GB2312" w:cs="仿宋_GB2312"/>
          <w:color w:val="auto"/>
          <w:sz w:val="24"/>
          <w:szCs w:val="24"/>
          <w:highlight w:val="none"/>
          <w:lang w:val="en-US" w:eastAsia="zh-CN"/>
        </w:rPr>
        <w:t>在新疆政府采购网下载了谈判文件、提交了谈判响应文件的报价</w:t>
      </w:r>
      <w:r>
        <w:rPr>
          <w:rFonts w:hint="eastAsia" w:ascii="仿宋_GB2312" w:hAnsi="仿宋_GB2312" w:eastAsia="仿宋_GB2312" w:cs="仿宋_GB2312"/>
          <w:color w:val="auto"/>
          <w:sz w:val="24"/>
          <w:szCs w:val="24"/>
          <w:highlight w:val="none"/>
        </w:rPr>
        <w:t>人，中标后即为中标人，签订合同后即为卖方。</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3.3</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机构”为</w:t>
      </w:r>
      <w:r>
        <w:rPr>
          <w:rFonts w:hint="eastAsia" w:ascii="仿宋_GB2312" w:hAnsi="仿宋_GB2312" w:eastAsia="仿宋_GB2312" w:cs="仿宋_GB2312"/>
          <w:b/>
          <w:bCs/>
          <w:color w:val="auto"/>
          <w:sz w:val="24"/>
          <w:szCs w:val="24"/>
          <w:highlight w:val="none"/>
          <w:lang w:val="en-US" w:eastAsia="zh-CN"/>
        </w:rPr>
        <w:t>乌苏市政务服务中心</w:t>
      </w:r>
      <w:r>
        <w:rPr>
          <w:rFonts w:hint="eastAsia" w:ascii="仿宋_GB2312" w:hAnsi="仿宋_GB2312" w:eastAsia="仿宋_GB2312" w:cs="仿宋_GB2312"/>
          <w:color w:val="auto"/>
          <w:sz w:val="24"/>
          <w:szCs w:val="24"/>
          <w:highlight w:val="none"/>
          <w:lang w:val="en-US" w:eastAsia="zh-CN"/>
        </w:rPr>
        <w:t>。</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49" w:name="_Toc29432"/>
      <w:bookmarkStart w:id="50" w:name="_Toc22423"/>
      <w:r>
        <w:rPr>
          <w:rFonts w:hint="eastAsia" w:ascii="仿宋_GB2312" w:hAnsi="仿宋_GB2312" w:eastAsia="仿宋_GB2312" w:cs="仿宋_GB2312"/>
          <w:b/>
          <w:color w:val="auto"/>
          <w:sz w:val="24"/>
          <w:szCs w:val="24"/>
          <w:highlight w:val="none"/>
        </w:rPr>
        <w:t>4、</w:t>
      </w:r>
      <w:r>
        <w:rPr>
          <w:rFonts w:hint="eastAsia" w:ascii="仿宋_GB2312" w:hAnsi="仿宋_GB2312" w:eastAsia="仿宋_GB2312" w:cs="仿宋_GB2312"/>
          <w:b/>
          <w:color w:val="auto"/>
          <w:sz w:val="24"/>
          <w:szCs w:val="24"/>
          <w:highlight w:val="none"/>
          <w:lang w:val="en-US" w:eastAsia="zh-CN"/>
        </w:rPr>
        <w:t>谈判</w:t>
      </w:r>
      <w:r>
        <w:rPr>
          <w:rFonts w:hint="eastAsia" w:ascii="仿宋_GB2312" w:hAnsi="仿宋_GB2312" w:eastAsia="仿宋_GB2312" w:cs="仿宋_GB2312"/>
          <w:b/>
          <w:color w:val="auto"/>
          <w:sz w:val="24"/>
          <w:szCs w:val="24"/>
          <w:highlight w:val="none"/>
        </w:rPr>
        <w:t>费用</w:t>
      </w:r>
      <w:bookmarkEnd w:id="49"/>
      <w:bookmarkEnd w:id="50"/>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4.1</w:t>
      </w:r>
      <w:r>
        <w:rPr>
          <w:rFonts w:hint="eastAsia" w:ascii="仿宋_GB2312" w:hAnsi="仿宋_GB2312" w:eastAsia="仿宋_GB2312" w:cs="仿宋_GB2312"/>
          <w:color w:val="auto"/>
          <w:sz w:val="24"/>
          <w:szCs w:val="24"/>
          <w:highlight w:val="none"/>
        </w:rPr>
        <w:t xml:space="preserve"> 无论本次结果如何，</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人须自行承担所有与参加</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有关的全部费用。</w:t>
      </w:r>
    </w:p>
    <w:p>
      <w:pPr>
        <w:shd w:val="clear"/>
        <w:rPr>
          <w:rFonts w:hint="eastAsia" w:ascii="仿宋_GB2312" w:hAnsi="仿宋_GB2312" w:eastAsia="仿宋_GB2312" w:cs="仿宋_GB2312"/>
          <w:color w:val="auto"/>
          <w:sz w:val="24"/>
          <w:szCs w:val="24"/>
          <w:highlight w:val="none"/>
        </w:rPr>
      </w:pPr>
      <w:bookmarkStart w:id="51" w:name="_Toc21674"/>
      <w:bookmarkStart w:id="52" w:name="_Toc11505"/>
      <w:bookmarkStart w:id="53" w:name="_Toc26514"/>
      <w:r>
        <w:rPr>
          <w:rFonts w:hint="eastAsia" w:ascii="仿宋_GB2312" w:hAnsi="仿宋_GB2312" w:eastAsia="仿宋_GB2312" w:cs="仿宋_GB2312"/>
          <w:color w:val="auto"/>
          <w:sz w:val="24"/>
          <w:szCs w:val="24"/>
          <w:highlight w:val="none"/>
        </w:rPr>
        <w:br w:type="page"/>
      </w:r>
    </w:p>
    <w:p>
      <w:pPr>
        <w:pStyle w:val="4"/>
        <w:pageBreakBefore w:val="0"/>
        <w:shd w:val="clear"/>
        <w:kinsoku/>
        <w:wordWrap/>
        <w:overflowPunct/>
        <w:topLinePunct w:val="0"/>
        <w:bidi w:val="0"/>
        <w:spacing w:line="360" w:lineRule="auto"/>
        <w:ind w:firstLine="3108" w:firstLineChars="129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val="en-US" w:eastAsia="zh-CN"/>
        </w:rPr>
        <w:t>竞争性谈判</w:t>
      </w:r>
      <w:r>
        <w:rPr>
          <w:rFonts w:hint="eastAsia" w:ascii="仿宋_GB2312" w:hAnsi="仿宋_GB2312" w:eastAsia="仿宋_GB2312" w:cs="仿宋_GB2312"/>
          <w:color w:val="auto"/>
          <w:sz w:val="24"/>
          <w:szCs w:val="24"/>
          <w:highlight w:val="none"/>
        </w:rPr>
        <w:t>文件</w:t>
      </w:r>
      <w:bookmarkEnd w:id="51"/>
      <w:bookmarkEnd w:id="52"/>
      <w:bookmarkEnd w:id="53"/>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54" w:name="_Toc18055"/>
      <w:bookmarkStart w:id="55" w:name="_Toc11147"/>
      <w:r>
        <w:rPr>
          <w:rFonts w:hint="eastAsia" w:ascii="仿宋_GB2312" w:hAnsi="仿宋_GB2312" w:eastAsia="仿宋_GB2312" w:cs="仿宋_GB2312"/>
          <w:b/>
          <w:color w:val="auto"/>
          <w:sz w:val="24"/>
          <w:szCs w:val="24"/>
          <w:highlight w:val="none"/>
        </w:rPr>
        <w:t>5、</w:t>
      </w:r>
      <w:r>
        <w:rPr>
          <w:rFonts w:hint="eastAsia" w:ascii="仿宋_GB2312" w:hAnsi="仿宋_GB2312" w:eastAsia="仿宋_GB2312" w:cs="仿宋_GB2312"/>
          <w:b/>
          <w:color w:val="auto"/>
          <w:sz w:val="24"/>
          <w:szCs w:val="24"/>
          <w:highlight w:val="none"/>
          <w:lang w:val="en-US" w:eastAsia="zh-CN"/>
        </w:rPr>
        <w:t>竞争性谈判</w:t>
      </w:r>
      <w:r>
        <w:rPr>
          <w:rFonts w:hint="eastAsia" w:ascii="仿宋_GB2312" w:hAnsi="仿宋_GB2312" w:eastAsia="仿宋_GB2312" w:cs="仿宋_GB2312"/>
          <w:b/>
          <w:color w:val="auto"/>
          <w:sz w:val="24"/>
          <w:szCs w:val="24"/>
          <w:highlight w:val="none"/>
        </w:rPr>
        <w:t>文件</w:t>
      </w:r>
      <w:bookmarkEnd w:id="54"/>
      <w:bookmarkEnd w:id="55"/>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 xml:space="preserve">5.1 </w:t>
      </w:r>
      <w:r>
        <w:rPr>
          <w:rFonts w:hint="eastAsia" w:ascii="仿宋_GB2312" w:hAnsi="仿宋_GB2312" w:eastAsia="仿宋_GB2312" w:cs="仿宋_GB2312"/>
          <w:color w:val="auto"/>
          <w:sz w:val="24"/>
          <w:szCs w:val="24"/>
          <w:highlight w:val="none"/>
          <w:lang w:val="en-US" w:eastAsia="zh-CN"/>
        </w:rPr>
        <w:t>竞争性谈判</w:t>
      </w:r>
      <w:r>
        <w:rPr>
          <w:rFonts w:hint="eastAsia" w:ascii="仿宋_GB2312" w:hAnsi="仿宋_GB2312" w:eastAsia="仿宋_GB2312" w:cs="仿宋_GB2312"/>
          <w:color w:val="auto"/>
          <w:sz w:val="24"/>
          <w:szCs w:val="24"/>
          <w:highlight w:val="none"/>
        </w:rPr>
        <w:t>文件用以阐明所的内容，</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程序及合同条款，包括：</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5.1.1</w:t>
      </w:r>
      <w:r>
        <w:rPr>
          <w:rFonts w:hint="eastAsia" w:ascii="仿宋_GB2312" w:hAnsi="仿宋_GB2312" w:eastAsia="仿宋_GB2312" w:cs="仿宋_GB2312"/>
          <w:color w:val="auto"/>
          <w:sz w:val="24"/>
          <w:szCs w:val="24"/>
          <w:highlight w:val="none"/>
          <w:lang w:val="en-US" w:eastAsia="zh-CN"/>
        </w:rPr>
        <w:t>谈判说明</w:t>
      </w:r>
      <w:r>
        <w:rPr>
          <w:rFonts w:hint="eastAsia" w:ascii="仿宋_GB2312" w:hAnsi="仿宋_GB2312" w:eastAsia="仿宋_GB2312" w:cs="仿宋_GB2312"/>
          <w:color w:val="auto"/>
          <w:sz w:val="24"/>
          <w:szCs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5.1.2 </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人须知；</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5.1.3 技术规格要求；</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5.1.4 合同条款；</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5.1.5 特殊条款；</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5.2</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人应仔细阅读</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文件中所有内容。</w:t>
      </w: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机构将拒绝未按照</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文件的要求提供全部资料或提交的</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未对</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文件做出实质性响应的</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bCs w:val="0"/>
          <w:color w:val="auto"/>
          <w:sz w:val="24"/>
          <w:szCs w:val="24"/>
          <w:highlight w:val="none"/>
          <w:u w:val="none"/>
          <w:lang w:eastAsia="zh-CN"/>
        </w:rPr>
      </w:pPr>
      <w:bookmarkStart w:id="56" w:name="_Toc27074"/>
      <w:bookmarkStart w:id="57" w:name="_Toc158"/>
      <w:r>
        <w:rPr>
          <w:rFonts w:hint="eastAsia" w:ascii="仿宋_GB2312" w:hAnsi="仿宋_GB2312" w:eastAsia="仿宋_GB2312" w:cs="仿宋_GB2312"/>
          <w:b/>
          <w:bCs w:val="0"/>
          <w:color w:val="auto"/>
          <w:sz w:val="24"/>
          <w:szCs w:val="24"/>
          <w:highlight w:val="none"/>
          <w:u w:val="none"/>
          <w:lang w:eastAsia="zh-CN"/>
        </w:rPr>
        <w:t>6、</w:t>
      </w:r>
      <w:r>
        <w:rPr>
          <w:rFonts w:hint="eastAsia" w:ascii="仿宋_GB2312" w:hAnsi="仿宋_GB2312" w:eastAsia="仿宋_GB2312" w:cs="仿宋_GB2312"/>
          <w:b/>
          <w:bCs w:val="0"/>
          <w:color w:val="auto"/>
          <w:sz w:val="24"/>
          <w:szCs w:val="24"/>
          <w:highlight w:val="none"/>
          <w:u w:val="none"/>
          <w:lang w:val="en-US" w:eastAsia="zh-CN"/>
        </w:rPr>
        <w:t>谈判</w:t>
      </w:r>
      <w:r>
        <w:rPr>
          <w:rFonts w:hint="eastAsia" w:ascii="仿宋_GB2312" w:hAnsi="仿宋_GB2312" w:eastAsia="仿宋_GB2312" w:cs="仿宋_GB2312"/>
          <w:b/>
          <w:bCs w:val="0"/>
          <w:color w:val="auto"/>
          <w:sz w:val="24"/>
          <w:szCs w:val="24"/>
          <w:highlight w:val="none"/>
          <w:u w:val="none"/>
          <w:lang w:eastAsia="zh-CN"/>
        </w:rPr>
        <w:t>文件的澄清</w:t>
      </w:r>
      <w:bookmarkEnd w:id="56"/>
      <w:bookmarkEnd w:id="57"/>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6.1</w:t>
      </w:r>
      <w:r>
        <w:rPr>
          <w:rFonts w:hint="eastAsia" w:ascii="仿宋_GB2312" w:hAnsi="仿宋_GB2312" w:eastAsia="仿宋_GB2312" w:cs="仿宋_GB2312"/>
          <w:color w:val="auto"/>
          <w:sz w:val="24"/>
          <w:szCs w:val="24"/>
          <w:highlight w:val="none"/>
        </w:rPr>
        <w:t xml:space="preserve"> 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曰。</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58" w:name="_Toc601"/>
      <w:bookmarkStart w:id="59" w:name="_Toc640"/>
      <w:r>
        <w:rPr>
          <w:rFonts w:hint="eastAsia" w:ascii="仿宋_GB2312" w:hAnsi="仿宋_GB2312" w:eastAsia="仿宋_GB2312" w:cs="仿宋_GB2312"/>
          <w:b/>
          <w:color w:val="auto"/>
          <w:sz w:val="24"/>
          <w:szCs w:val="24"/>
          <w:highlight w:val="none"/>
        </w:rPr>
        <w:t>7、</w:t>
      </w:r>
      <w:r>
        <w:rPr>
          <w:rFonts w:hint="eastAsia" w:ascii="仿宋_GB2312" w:hAnsi="仿宋_GB2312" w:eastAsia="仿宋_GB2312" w:cs="仿宋_GB2312"/>
          <w:b/>
          <w:color w:val="auto"/>
          <w:sz w:val="24"/>
          <w:szCs w:val="24"/>
          <w:highlight w:val="none"/>
          <w:lang w:val="en-US" w:eastAsia="zh-CN"/>
        </w:rPr>
        <w:t>谈判</w:t>
      </w:r>
      <w:r>
        <w:rPr>
          <w:rFonts w:hint="eastAsia" w:ascii="仿宋_GB2312" w:hAnsi="仿宋_GB2312" w:eastAsia="仿宋_GB2312" w:cs="仿宋_GB2312"/>
          <w:b/>
          <w:color w:val="auto"/>
          <w:sz w:val="24"/>
          <w:szCs w:val="24"/>
          <w:highlight w:val="none"/>
        </w:rPr>
        <w:t>文件的修改</w:t>
      </w:r>
      <w:bookmarkEnd w:id="58"/>
      <w:bookmarkEnd w:id="59"/>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7.1</w:t>
      </w:r>
      <w:r>
        <w:rPr>
          <w:rFonts w:hint="eastAsia" w:ascii="仿宋_GB2312" w:hAnsi="仿宋_GB2312" w:eastAsia="仿宋_GB2312" w:cs="仿宋_GB2312"/>
          <w:color w:val="auto"/>
          <w:sz w:val="24"/>
          <w:szCs w:val="24"/>
          <w:highlight w:val="none"/>
        </w:rPr>
        <w:t xml:space="preserve"> 在</w:t>
      </w:r>
      <w:r>
        <w:rPr>
          <w:rFonts w:hint="eastAsia" w:ascii="仿宋_GB2312" w:hAnsi="仿宋_GB2312" w:eastAsia="仿宋_GB2312" w:cs="仿宋_GB2312"/>
          <w:color w:val="auto"/>
          <w:sz w:val="24"/>
          <w:szCs w:val="24"/>
          <w:highlight w:val="none"/>
          <w:lang w:val="en-US" w:eastAsia="zh-CN"/>
        </w:rPr>
        <w:t>开标</w:t>
      </w: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u w:val="single"/>
        </w:rPr>
        <w:t>24</w:t>
      </w:r>
      <w:r>
        <w:rPr>
          <w:rFonts w:hint="eastAsia" w:ascii="仿宋_GB2312" w:hAnsi="仿宋_GB2312" w:eastAsia="仿宋_GB2312" w:cs="仿宋_GB2312"/>
          <w:color w:val="auto"/>
          <w:sz w:val="24"/>
          <w:szCs w:val="24"/>
          <w:highlight w:val="none"/>
        </w:rPr>
        <w:t>小时以前，</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人都可能以《文件补充》的方式修改</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eastAsia="zh-CN"/>
        </w:rPr>
        <w:t>，代理公司将于开标前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天在本次谈判公告刊登的媒体（新疆政府采购网（http://www.ccgp-xinjiang.gov.cn/）上</w:t>
      </w:r>
      <w:r>
        <w:rPr>
          <w:rFonts w:hint="eastAsia" w:ascii="仿宋_GB2312" w:hAnsi="仿宋_GB2312" w:eastAsia="仿宋_GB2312" w:cs="仿宋_GB2312"/>
          <w:color w:val="auto"/>
          <w:sz w:val="24"/>
          <w:szCs w:val="24"/>
          <w:highlight w:val="none"/>
          <w:lang w:val="en-US" w:eastAsia="zh-CN"/>
        </w:rPr>
        <w:t>予</w:t>
      </w:r>
      <w:r>
        <w:rPr>
          <w:rFonts w:hint="eastAsia" w:ascii="仿宋_GB2312" w:hAnsi="仿宋_GB2312" w:eastAsia="仿宋_GB2312" w:cs="仿宋_GB2312"/>
          <w:color w:val="auto"/>
          <w:sz w:val="24"/>
          <w:szCs w:val="24"/>
          <w:highlight w:val="none"/>
          <w:lang w:eastAsia="zh-CN"/>
        </w:rPr>
        <w:t>以公</w:t>
      </w:r>
      <w:r>
        <w:rPr>
          <w:rFonts w:hint="eastAsia" w:ascii="仿宋_GB2312" w:hAnsi="仿宋_GB2312" w:eastAsia="仿宋_GB2312" w:cs="仿宋_GB2312"/>
          <w:color w:val="auto"/>
          <w:sz w:val="24"/>
          <w:szCs w:val="24"/>
          <w:highlight w:val="none"/>
          <w:lang w:val="en-US" w:eastAsia="zh-CN"/>
        </w:rPr>
        <w:t>布</w:t>
      </w:r>
      <w:r>
        <w:rPr>
          <w:rFonts w:hint="eastAsia" w:ascii="仿宋_GB2312" w:hAnsi="仿宋_GB2312" w:eastAsia="仿宋_GB2312" w:cs="仿宋_GB2312"/>
          <w:color w:val="auto"/>
          <w:sz w:val="24"/>
          <w:szCs w:val="24"/>
          <w:highlight w:val="none"/>
          <w:lang w:eastAsia="zh-CN"/>
        </w:rPr>
        <w:t>，该补充或修改的内容为</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color w:val="auto"/>
          <w:sz w:val="24"/>
          <w:szCs w:val="24"/>
          <w:highlight w:val="none"/>
          <w:lang w:eastAsia="zh-CN"/>
        </w:rPr>
        <w:t>文件的组成部分；补充或修改不足</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天的，应顺延投标截至时间</w:t>
      </w:r>
      <w:r>
        <w:rPr>
          <w:rFonts w:hint="eastAsia" w:ascii="仿宋_GB2312" w:hAnsi="仿宋_GB2312" w:eastAsia="仿宋_GB2312" w:cs="仿宋_GB2312"/>
          <w:color w:val="auto"/>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b/>
          <w:color w:val="auto"/>
          <w:sz w:val="24"/>
          <w:szCs w:val="24"/>
          <w:highlight w:val="none"/>
        </w:rPr>
        <w:t>7.2</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color w:val="auto"/>
          <w:sz w:val="24"/>
          <w:szCs w:val="24"/>
          <w:highlight w:val="none"/>
        </w:rPr>
        <w:t>补充》作为</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color w:val="auto"/>
          <w:sz w:val="24"/>
          <w:szCs w:val="24"/>
          <w:highlight w:val="none"/>
        </w:rPr>
        <w:t>的组成部分，对</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人具有同等约束力。如果</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color w:val="auto"/>
          <w:sz w:val="24"/>
          <w:szCs w:val="24"/>
          <w:highlight w:val="none"/>
        </w:rPr>
        <w:t>补充内容与此</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color w:val="auto"/>
          <w:sz w:val="24"/>
          <w:szCs w:val="24"/>
          <w:highlight w:val="none"/>
        </w:rPr>
        <w:t>补充发出之前的</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snapToGrid w:val="0"/>
          <w:color w:val="auto"/>
          <w:kern w:val="0"/>
          <w:sz w:val="24"/>
          <w:szCs w:val="24"/>
          <w:highlight w:val="none"/>
        </w:rPr>
        <w:t>等书面材料中相关内容相冲突，请</w:t>
      </w:r>
      <w:r>
        <w:rPr>
          <w:rFonts w:hint="eastAsia" w:ascii="仿宋_GB2312" w:hAnsi="仿宋_GB2312" w:eastAsia="仿宋_GB2312" w:cs="仿宋_GB2312"/>
          <w:snapToGrid w:val="0"/>
          <w:color w:val="auto"/>
          <w:kern w:val="0"/>
          <w:sz w:val="24"/>
          <w:szCs w:val="24"/>
          <w:highlight w:val="none"/>
          <w:lang w:val="en-US" w:eastAsia="zh-CN"/>
        </w:rPr>
        <w:t>投标</w:t>
      </w:r>
      <w:r>
        <w:rPr>
          <w:rFonts w:hint="eastAsia" w:ascii="仿宋_GB2312" w:hAnsi="仿宋_GB2312" w:eastAsia="仿宋_GB2312" w:cs="仿宋_GB2312"/>
          <w:snapToGrid w:val="0"/>
          <w:color w:val="auto"/>
          <w:kern w:val="0"/>
          <w:sz w:val="24"/>
          <w:szCs w:val="24"/>
          <w:highlight w:val="none"/>
        </w:rPr>
        <w:t>人执行</w:t>
      </w:r>
      <w:r>
        <w:rPr>
          <w:rFonts w:hint="eastAsia" w:ascii="仿宋_GB2312" w:hAnsi="仿宋_GB2312" w:eastAsia="仿宋_GB2312" w:cs="仿宋_GB2312"/>
          <w:color w:val="auto"/>
          <w:kern w:val="2"/>
          <w:sz w:val="24"/>
          <w:szCs w:val="24"/>
          <w:highlight w:val="none"/>
          <w:lang w:val="en-US" w:eastAsia="zh-CN" w:bidi="ar-SA"/>
        </w:rPr>
        <w:t>竞争性谈判文件</w:t>
      </w:r>
      <w:r>
        <w:rPr>
          <w:rFonts w:hint="eastAsia" w:ascii="仿宋_GB2312" w:hAnsi="仿宋_GB2312" w:eastAsia="仿宋_GB2312" w:cs="仿宋_GB2312"/>
          <w:snapToGrid w:val="0"/>
          <w:color w:val="auto"/>
          <w:kern w:val="0"/>
          <w:sz w:val="24"/>
          <w:szCs w:val="24"/>
          <w:highlight w:val="none"/>
        </w:rPr>
        <w:t>补充的相关内容，先前发出的文件等书面材料中相关内容自动废止。</w:t>
      </w:r>
    </w:p>
    <w:p>
      <w:pPr>
        <w:pageBreakBefore w:val="0"/>
        <w:shd w:val="clear"/>
        <w:kinsoku/>
        <w:wordWrap/>
        <w:overflowPunct/>
        <w:topLinePunct w:val="0"/>
        <w:bidi w:val="0"/>
        <w:spacing w:line="360" w:lineRule="auto"/>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b/>
          <w:snapToGrid w:val="0"/>
          <w:color w:val="auto"/>
          <w:kern w:val="0"/>
          <w:sz w:val="24"/>
          <w:szCs w:val="24"/>
          <w:highlight w:val="none"/>
        </w:rPr>
        <w:t>7.3</w:t>
      </w:r>
      <w:r>
        <w:rPr>
          <w:rFonts w:hint="eastAsia" w:ascii="仿宋_GB2312" w:hAnsi="仿宋_GB2312" w:eastAsia="仿宋_GB2312" w:cs="仿宋_GB2312"/>
          <w:snapToGrid w:val="0"/>
          <w:color w:val="auto"/>
          <w:kern w:val="0"/>
          <w:sz w:val="24"/>
          <w:szCs w:val="24"/>
          <w:highlight w:val="none"/>
        </w:rPr>
        <w:t xml:space="preserve"> 为使</w:t>
      </w:r>
      <w:r>
        <w:rPr>
          <w:rFonts w:hint="eastAsia" w:ascii="仿宋_GB2312" w:hAnsi="仿宋_GB2312" w:eastAsia="仿宋_GB2312" w:cs="仿宋_GB2312"/>
          <w:snapToGrid w:val="0"/>
          <w:color w:val="auto"/>
          <w:kern w:val="0"/>
          <w:sz w:val="24"/>
          <w:szCs w:val="24"/>
          <w:highlight w:val="none"/>
          <w:lang w:eastAsia="zh-CN"/>
        </w:rPr>
        <w:t>投标人</w:t>
      </w:r>
      <w:r>
        <w:rPr>
          <w:rFonts w:hint="eastAsia" w:ascii="仿宋_GB2312" w:hAnsi="仿宋_GB2312" w:eastAsia="仿宋_GB2312" w:cs="仿宋_GB2312"/>
          <w:snapToGrid w:val="0"/>
          <w:color w:val="auto"/>
          <w:kern w:val="0"/>
          <w:sz w:val="24"/>
          <w:szCs w:val="24"/>
          <w:highlight w:val="none"/>
        </w:rPr>
        <w:t>在编制</w:t>
      </w:r>
      <w:r>
        <w:rPr>
          <w:rFonts w:hint="eastAsia" w:ascii="仿宋_GB2312" w:hAnsi="仿宋_GB2312" w:eastAsia="仿宋_GB2312" w:cs="仿宋_GB2312"/>
          <w:snapToGrid w:val="0"/>
          <w:color w:val="auto"/>
          <w:kern w:val="0"/>
          <w:sz w:val="24"/>
          <w:szCs w:val="24"/>
          <w:highlight w:val="none"/>
          <w:lang w:eastAsia="zh-CN"/>
        </w:rPr>
        <w:t>谈判响应文件</w:t>
      </w:r>
      <w:r>
        <w:rPr>
          <w:rFonts w:hint="eastAsia" w:ascii="仿宋_GB2312" w:hAnsi="仿宋_GB2312" w:eastAsia="仿宋_GB2312" w:cs="仿宋_GB2312"/>
          <w:snapToGrid w:val="0"/>
          <w:color w:val="auto"/>
          <w:kern w:val="0"/>
          <w:sz w:val="24"/>
          <w:szCs w:val="24"/>
          <w:highlight w:val="none"/>
        </w:rPr>
        <w:t>时把《文件补充》内容考虑进去，</w:t>
      </w:r>
      <w:r>
        <w:rPr>
          <w:rFonts w:hint="eastAsia" w:ascii="仿宋_GB2312" w:hAnsi="仿宋_GB2312" w:eastAsia="仿宋_GB2312" w:cs="仿宋_GB2312"/>
          <w:snapToGrid w:val="0"/>
          <w:color w:val="auto"/>
          <w:kern w:val="0"/>
          <w:sz w:val="24"/>
          <w:szCs w:val="24"/>
          <w:highlight w:val="none"/>
          <w:lang w:val="en-US" w:eastAsia="zh-CN"/>
        </w:rPr>
        <w:t>采购</w:t>
      </w:r>
      <w:r>
        <w:rPr>
          <w:rFonts w:hint="eastAsia" w:ascii="仿宋_GB2312" w:hAnsi="仿宋_GB2312" w:eastAsia="仿宋_GB2312" w:cs="仿宋_GB2312"/>
          <w:snapToGrid w:val="0"/>
          <w:color w:val="auto"/>
          <w:kern w:val="0"/>
          <w:sz w:val="24"/>
          <w:szCs w:val="24"/>
          <w:highlight w:val="none"/>
        </w:rPr>
        <w:t>人可以相应延长</w:t>
      </w:r>
      <w:r>
        <w:rPr>
          <w:rFonts w:hint="eastAsia" w:ascii="仿宋_GB2312" w:hAnsi="仿宋_GB2312" w:eastAsia="仿宋_GB2312" w:cs="仿宋_GB2312"/>
          <w:snapToGrid w:val="0"/>
          <w:color w:val="auto"/>
          <w:kern w:val="0"/>
          <w:sz w:val="24"/>
          <w:szCs w:val="24"/>
          <w:highlight w:val="none"/>
          <w:lang w:val="en-US" w:eastAsia="zh-CN"/>
        </w:rPr>
        <w:t>谈判截止</w:t>
      </w:r>
      <w:r>
        <w:rPr>
          <w:rFonts w:hint="eastAsia" w:ascii="仿宋_GB2312" w:hAnsi="仿宋_GB2312" w:eastAsia="仿宋_GB2312" w:cs="仿宋_GB2312"/>
          <w:snapToGrid w:val="0"/>
          <w:color w:val="auto"/>
          <w:kern w:val="0"/>
          <w:sz w:val="24"/>
          <w:szCs w:val="24"/>
          <w:highlight w:val="none"/>
        </w:rPr>
        <w:t>日期，具体时间将在《文件补充》中写明。</w:t>
      </w:r>
    </w:p>
    <w:p>
      <w:pPr>
        <w:pStyle w:val="7"/>
        <w:shd w:val="clear"/>
        <w:spacing w:line="360" w:lineRule="auto"/>
        <w:ind w:left="0" w:leftChars="0" w:firstLine="0" w:firstLineChars="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snapToGrid w:val="0"/>
          <w:color w:val="auto"/>
          <w:kern w:val="0"/>
          <w:sz w:val="24"/>
          <w:szCs w:val="24"/>
          <w:highlight w:val="none"/>
          <w:lang w:val="en-US" w:eastAsia="zh-CN" w:bidi="ar-SA"/>
        </w:rPr>
        <w:t xml:space="preserve">7.4 </w:t>
      </w:r>
      <w:r>
        <w:rPr>
          <w:rFonts w:hint="eastAsia" w:ascii="仿宋_GB2312" w:hAnsi="仿宋_GB2312" w:eastAsia="仿宋_GB2312" w:cs="仿宋_GB2312"/>
          <w:color w:val="auto"/>
          <w:kern w:val="2"/>
          <w:sz w:val="24"/>
          <w:szCs w:val="24"/>
          <w:highlight w:val="none"/>
          <w:lang w:val="en-US" w:eastAsia="zh-CN" w:bidi="ar-SA"/>
        </w:rPr>
        <w:t>对于投标人澄清要求有必要时，或者竞争性谈判文件的修改补充文件，采购机构均将在本次竞争性谈判公告刊登的媒体（新疆政府采购（http://www.ccgp-xinjiang.gov.cn/）上予以公布。请各投标人注意！</w:t>
      </w:r>
    </w:p>
    <w:p>
      <w:pPr>
        <w:pStyle w:val="4"/>
        <w:pageBreakBefore w:val="0"/>
        <w:shd w:val="clear"/>
        <w:kinsoku/>
        <w:wordWrap/>
        <w:overflowPunct/>
        <w:topLinePunct w:val="0"/>
        <w:bidi w:val="0"/>
        <w:spacing w:line="360" w:lineRule="auto"/>
        <w:ind w:firstLine="3204" w:firstLineChars="1140"/>
        <w:rPr>
          <w:rFonts w:hint="eastAsia" w:ascii="宋体" w:hAnsi="宋体" w:eastAsia="宋体" w:cs="宋体"/>
          <w:snapToGrid w:val="0"/>
          <w:color w:val="auto"/>
          <w:kern w:val="0"/>
          <w:sz w:val="28"/>
          <w:highlight w:val="none"/>
        </w:rPr>
      </w:pPr>
      <w:bookmarkStart w:id="60" w:name="_Toc30784"/>
      <w:bookmarkStart w:id="61" w:name="_Toc3801"/>
      <w:bookmarkStart w:id="62" w:name="_Toc15024"/>
      <w:r>
        <w:rPr>
          <w:rFonts w:hint="eastAsia" w:ascii="宋体" w:hAnsi="宋体" w:eastAsia="宋体" w:cs="宋体"/>
          <w:snapToGrid w:val="0"/>
          <w:color w:val="auto"/>
          <w:kern w:val="0"/>
          <w:sz w:val="28"/>
          <w:highlight w:val="none"/>
        </w:rPr>
        <w:t>三、</w:t>
      </w:r>
      <w:r>
        <w:rPr>
          <w:rFonts w:hint="eastAsia" w:ascii="宋体" w:hAnsi="宋体" w:cs="宋体"/>
          <w:snapToGrid w:val="0"/>
          <w:color w:val="auto"/>
          <w:kern w:val="0"/>
          <w:sz w:val="28"/>
          <w:highlight w:val="none"/>
          <w:lang w:eastAsia="zh-CN"/>
        </w:rPr>
        <w:t>谈判响应文件</w:t>
      </w:r>
      <w:r>
        <w:rPr>
          <w:rFonts w:hint="eastAsia" w:ascii="宋体" w:hAnsi="宋体" w:eastAsia="宋体" w:cs="宋体"/>
          <w:snapToGrid w:val="0"/>
          <w:color w:val="auto"/>
          <w:kern w:val="0"/>
          <w:sz w:val="28"/>
          <w:highlight w:val="none"/>
        </w:rPr>
        <w:t>的编制</w:t>
      </w:r>
      <w:bookmarkEnd w:id="60"/>
      <w:bookmarkEnd w:id="61"/>
      <w:bookmarkEnd w:id="62"/>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szCs w:val="24"/>
          <w:highlight w:val="none"/>
        </w:rPr>
      </w:pPr>
      <w:bookmarkStart w:id="63" w:name="_Toc3202"/>
      <w:bookmarkStart w:id="64" w:name="_Toc7386"/>
      <w:r>
        <w:rPr>
          <w:rFonts w:hint="eastAsia" w:ascii="仿宋_GB2312" w:hAnsi="仿宋_GB2312" w:eastAsia="仿宋_GB2312" w:cs="仿宋_GB2312"/>
          <w:b/>
          <w:color w:val="auto"/>
          <w:sz w:val="24"/>
          <w:szCs w:val="24"/>
          <w:highlight w:val="none"/>
        </w:rPr>
        <w:t>8、</w:t>
      </w:r>
      <w:r>
        <w:rPr>
          <w:rFonts w:hint="eastAsia" w:ascii="仿宋_GB2312" w:hAnsi="仿宋_GB2312" w:eastAsia="仿宋_GB2312" w:cs="仿宋_GB2312"/>
          <w:b/>
          <w:color w:val="auto"/>
          <w:sz w:val="24"/>
          <w:szCs w:val="24"/>
          <w:highlight w:val="none"/>
          <w:lang w:eastAsia="zh-CN"/>
        </w:rPr>
        <w:t>谈判响应文件</w:t>
      </w:r>
      <w:r>
        <w:rPr>
          <w:rFonts w:hint="eastAsia" w:ascii="仿宋_GB2312" w:hAnsi="仿宋_GB2312" w:eastAsia="仿宋_GB2312" w:cs="仿宋_GB2312"/>
          <w:b/>
          <w:color w:val="auto"/>
          <w:sz w:val="24"/>
          <w:szCs w:val="24"/>
          <w:highlight w:val="none"/>
        </w:rPr>
        <w:t>的编写</w:t>
      </w:r>
      <w:bookmarkEnd w:id="63"/>
      <w:bookmarkEnd w:id="64"/>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8.1</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应仔细阅读</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文件，了解文件的要求。在充分理解</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文件提出的技术要求、服务和商务条件后，编制</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_GB2312" w:hAnsi="仿宋_GB2312" w:eastAsia="仿宋_GB2312" w:cs="仿宋_GB2312"/>
          <w:b/>
          <w:color w:val="auto"/>
          <w:sz w:val="24"/>
          <w:szCs w:val="24"/>
          <w:highlight w:val="none"/>
        </w:rPr>
      </w:pPr>
      <w:bookmarkStart w:id="65" w:name="_Toc24921"/>
      <w:bookmarkStart w:id="66" w:name="_Toc15192"/>
      <w:r>
        <w:rPr>
          <w:rFonts w:hint="eastAsia" w:ascii="仿宋_GB2312" w:hAnsi="仿宋_GB2312" w:eastAsia="仿宋_GB2312" w:cs="仿宋_GB2312"/>
          <w:b/>
          <w:color w:val="auto"/>
          <w:sz w:val="24"/>
          <w:szCs w:val="24"/>
          <w:highlight w:val="none"/>
        </w:rPr>
        <w:t>9、</w:t>
      </w:r>
      <w:r>
        <w:rPr>
          <w:rFonts w:hint="eastAsia" w:ascii="仿宋_GB2312" w:hAnsi="仿宋_GB2312" w:eastAsia="仿宋_GB2312" w:cs="仿宋_GB2312"/>
          <w:b/>
          <w:color w:val="auto"/>
          <w:sz w:val="24"/>
          <w:szCs w:val="24"/>
          <w:highlight w:val="none"/>
          <w:lang w:eastAsia="zh-CN"/>
        </w:rPr>
        <w:t>谈判及报价</w:t>
      </w:r>
      <w:r>
        <w:rPr>
          <w:rFonts w:hint="eastAsia" w:ascii="仿宋_GB2312" w:hAnsi="仿宋_GB2312" w:eastAsia="仿宋_GB2312" w:cs="仿宋_GB2312"/>
          <w:b/>
          <w:color w:val="auto"/>
          <w:sz w:val="24"/>
          <w:szCs w:val="24"/>
          <w:highlight w:val="none"/>
        </w:rPr>
        <w:t>语言</w:t>
      </w:r>
      <w:bookmarkEnd w:id="65"/>
      <w:bookmarkEnd w:id="66"/>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 xml:space="preserve">9.1 </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以及</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与</w:t>
      </w:r>
      <w:r>
        <w:rPr>
          <w:rFonts w:hint="eastAsia" w:ascii="仿宋_GB2312" w:hAnsi="仿宋_GB2312" w:eastAsia="仿宋_GB2312" w:cs="仿宋_GB2312"/>
          <w:color w:val="auto"/>
          <w:sz w:val="24"/>
          <w:szCs w:val="24"/>
          <w:highlight w:val="none"/>
          <w:lang w:val="en-US" w:eastAsia="zh-CN"/>
        </w:rPr>
        <w:t>代理</w:t>
      </w:r>
      <w:r>
        <w:rPr>
          <w:rFonts w:hint="eastAsia" w:ascii="仿宋_GB2312" w:hAnsi="仿宋_GB2312" w:eastAsia="仿宋_GB2312" w:cs="仿宋_GB2312"/>
          <w:color w:val="auto"/>
          <w:sz w:val="24"/>
          <w:szCs w:val="24"/>
          <w:highlight w:val="none"/>
        </w:rPr>
        <w:t>机构就有关</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活动的所有来往函电均应使用中文。如果</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或与</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有关的其他文件、信件及来往函电以其他语言书写，</w:t>
      </w: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应将其译成中文。</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9.2</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中使用的计量单位除</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文件中有特殊规定外，一律使用法定计量单位。</w:t>
      </w:r>
    </w:p>
    <w:p>
      <w:pPr>
        <w:pageBreakBefore w:val="0"/>
        <w:shd w:val="clear"/>
        <w:kinsoku/>
        <w:wordWrap/>
        <w:overflowPunct/>
        <w:topLinePunct w:val="0"/>
        <w:bidi w:val="0"/>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10、</w:t>
      </w:r>
      <w:r>
        <w:rPr>
          <w:rFonts w:hint="eastAsia" w:ascii="仿宋_GB2312" w:hAnsi="仿宋_GB2312" w:eastAsia="仿宋_GB2312" w:cs="仿宋_GB2312"/>
          <w:b/>
          <w:color w:val="auto"/>
          <w:sz w:val="24"/>
          <w:szCs w:val="24"/>
          <w:highlight w:val="none"/>
          <w:lang w:eastAsia="zh-CN"/>
        </w:rPr>
        <w:t>谈判响应文件</w:t>
      </w:r>
      <w:r>
        <w:rPr>
          <w:rFonts w:hint="eastAsia" w:ascii="仿宋_GB2312" w:hAnsi="仿宋_GB2312" w:eastAsia="仿宋_GB2312" w:cs="仿宋_GB2312"/>
          <w:b/>
          <w:color w:val="auto"/>
          <w:sz w:val="24"/>
          <w:szCs w:val="24"/>
          <w:highlight w:val="none"/>
        </w:rPr>
        <w:t>构成：</w:t>
      </w:r>
      <w:r>
        <w:rPr>
          <w:rFonts w:hint="eastAsia" w:ascii="仿宋_GB2312" w:hAnsi="仿宋_GB2312" w:eastAsia="仿宋_GB2312" w:cs="仿宋_GB2312"/>
          <w:b/>
          <w:color w:val="auto"/>
          <w:sz w:val="24"/>
          <w:szCs w:val="24"/>
          <w:highlight w:val="none"/>
          <w:lang w:eastAsia="zh-CN"/>
        </w:rPr>
        <w:t>响应文件</w:t>
      </w:r>
      <w:r>
        <w:rPr>
          <w:rFonts w:hint="eastAsia" w:ascii="仿宋_GB2312" w:hAnsi="仿宋_GB2312" w:eastAsia="仿宋_GB2312" w:cs="仿宋_GB2312"/>
          <w:b/>
          <w:color w:val="auto"/>
          <w:sz w:val="24"/>
          <w:szCs w:val="24"/>
          <w:highlight w:val="none"/>
        </w:rPr>
        <w:t>的组成和顺序:</w:t>
      </w:r>
      <w:r>
        <w:rPr>
          <w:rFonts w:hint="eastAsia" w:ascii="仿宋_GB2312" w:hAnsi="仿宋_GB2312" w:eastAsia="仿宋_GB2312" w:cs="仿宋_GB2312"/>
          <w:b/>
          <w:color w:val="auto"/>
          <w:sz w:val="24"/>
          <w:szCs w:val="24"/>
          <w:highlight w:val="none"/>
          <w:lang w:eastAsia="zh-CN"/>
        </w:rPr>
        <w:t>响应文件</w:t>
      </w:r>
      <w:r>
        <w:rPr>
          <w:rFonts w:hint="eastAsia" w:ascii="仿宋_GB2312" w:hAnsi="仿宋_GB2312" w:eastAsia="仿宋_GB2312" w:cs="仿宋_GB2312"/>
          <w:b/>
          <w:color w:val="auto"/>
          <w:sz w:val="24"/>
          <w:szCs w:val="24"/>
          <w:highlight w:val="none"/>
        </w:rPr>
        <w:t>由经济报价部分、商务部分、技术部分三部分组成。详细如下：</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10.1</w:t>
      </w:r>
      <w:r>
        <w:rPr>
          <w:rFonts w:hint="eastAsia" w:ascii="仿宋_GB2312" w:hAnsi="仿宋_GB2312" w:eastAsia="仿宋_GB2312" w:cs="仿宋_GB2312"/>
          <w:b w:val="0"/>
          <w:bCs/>
          <w:color w:val="auto"/>
          <w:sz w:val="24"/>
          <w:szCs w:val="24"/>
          <w:highlight w:val="none"/>
          <w:lang w:val="en-US" w:eastAsia="zh-CN"/>
        </w:rPr>
        <w:t>.1报价</w:t>
      </w:r>
      <w:r>
        <w:rPr>
          <w:rFonts w:hint="eastAsia" w:ascii="仿宋_GB2312" w:hAnsi="仿宋_GB2312" w:eastAsia="仿宋_GB2312" w:cs="仿宋_GB2312"/>
          <w:b w:val="0"/>
          <w:bCs/>
          <w:color w:val="auto"/>
          <w:sz w:val="24"/>
          <w:szCs w:val="24"/>
          <w:highlight w:val="none"/>
        </w:rPr>
        <w:t>函；</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10.</w:t>
      </w:r>
      <w:r>
        <w:rPr>
          <w:rFonts w:hint="eastAsia" w:ascii="仿宋_GB2312" w:hAnsi="仿宋_GB2312" w:eastAsia="仿宋_GB2312" w:cs="仿宋_GB2312"/>
          <w:b w:val="0"/>
          <w:bCs/>
          <w:color w:val="auto"/>
          <w:sz w:val="24"/>
          <w:szCs w:val="24"/>
          <w:highlight w:val="none"/>
          <w:lang w:val="en-US" w:eastAsia="zh-CN"/>
        </w:rPr>
        <w:t>1.2报价一览表；</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10.</w:t>
      </w: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rPr>
        <w:t>3</w:t>
      </w:r>
      <w:r>
        <w:rPr>
          <w:rFonts w:hint="eastAsia" w:ascii="仿宋_GB2312" w:hAnsi="仿宋_GB2312" w:eastAsia="仿宋_GB2312" w:cs="仿宋_GB2312"/>
          <w:b w:val="0"/>
          <w:bCs/>
          <w:color w:val="auto"/>
          <w:sz w:val="24"/>
          <w:szCs w:val="24"/>
          <w:highlight w:val="none"/>
          <w:lang w:val="en-US" w:eastAsia="zh-CN"/>
        </w:rPr>
        <w:t>经济标报价明细▲；</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10.</w:t>
      </w:r>
      <w:r>
        <w:rPr>
          <w:rFonts w:hint="eastAsia" w:ascii="仿宋_GB2312" w:hAnsi="仿宋_GB2312" w:eastAsia="仿宋_GB2312" w:cs="仿宋_GB2312"/>
          <w:b w:val="0"/>
          <w:bCs/>
          <w:color w:val="auto"/>
          <w:sz w:val="24"/>
          <w:szCs w:val="24"/>
          <w:highlight w:val="none"/>
          <w:lang w:val="en-US" w:eastAsia="zh-CN"/>
        </w:rPr>
        <w:t>1.4商务条款偏离表；</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10.</w:t>
      </w:r>
      <w:r>
        <w:rPr>
          <w:rFonts w:hint="eastAsia" w:ascii="仿宋_GB2312" w:hAnsi="仿宋_GB2312" w:eastAsia="仿宋_GB2312" w:cs="仿宋_GB2312"/>
          <w:b w:val="0"/>
          <w:bCs/>
          <w:color w:val="auto"/>
          <w:sz w:val="24"/>
          <w:szCs w:val="24"/>
          <w:highlight w:val="none"/>
          <w:lang w:val="en-US" w:eastAsia="zh-CN"/>
        </w:rPr>
        <w:t>1.5投标人的资格声明；</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10.1.6法人营业执照函；</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10.1.7法定代表人证明书；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10.1.8法定代表人授权委托书；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10.1.9报价人证明谈判资格合格的相关证件证明的复印件▲；</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10.1.10谈判保证金缴款凭证复印件；</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10.1.11项目管理机构组成表；</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10.1.12项目负责人简历表；</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10.1.13项目管理人员简历表；</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10.1.14近三年完成的类似项目情况表；</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10.1.15报价单位（供应商）反商业贿赂承诺书；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10.1.16无不良信用行为信息承诺书；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10.1.17不拖欠农民工工资承诺书；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10.1.18投标建造师无在建项目承诺书；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10.1.19关于对本投标文件中提供资料真实性的承诺；</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val="0"/>
          <w:bCs/>
          <w:color w:val="auto"/>
          <w:sz w:val="24"/>
          <w:highlight w:val="none"/>
          <w:lang w:val="en-US" w:eastAsia="zh-CN"/>
        </w:rPr>
        <w:t>10.1.20关于《中华人民共和国政府采购法》第二十二条的承诺书；</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val="0"/>
          <w:bCs/>
          <w:color w:val="auto"/>
          <w:sz w:val="24"/>
          <w:highlight w:val="none"/>
          <w:lang w:val="en-US" w:eastAsia="zh-CN"/>
        </w:rPr>
        <w:t>10.1.21其他投标人认为有必要提供的资料；</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val="0"/>
          <w:bCs/>
          <w:color w:val="auto"/>
          <w:sz w:val="24"/>
          <w:highlight w:val="none"/>
          <w:lang w:val="en-US" w:eastAsia="zh-CN"/>
        </w:rPr>
        <w:t>10.1.22技术部分</w:t>
      </w:r>
    </w:p>
    <w:p>
      <w:pPr>
        <w:pageBreakBefore w:val="0"/>
        <w:shd w:val="clear"/>
        <w:kinsoku/>
        <w:wordWrap/>
        <w:overflowPunct/>
        <w:topLinePunct w:val="0"/>
        <w:bidi w:val="0"/>
        <w:spacing w:line="360" w:lineRule="auto"/>
        <w:rPr>
          <w:rFonts w:hint="eastAsia" w:ascii="仿宋_GB2312" w:hAnsi="仿宋_GB2312" w:eastAsia="仿宋_GB2312" w:cs="仿宋_GB2312"/>
          <w:b/>
          <w:bCs w:val="0"/>
          <w:color w:val="auto"/>
          <w:sz w:val="24"/>
          <w:highlight w:val="none"/>
        </w:rPr>
      </w:pPr>
      <w:r>
        <w:rPr>
          <w:rFonts w:hint="eastAsia" w:ascii="仿宋_GB2312" w:hAnsi="仿宋_GB2312" w:eastAsia="仿宋_GB2312" w:cs="仿宋_GB2312"/>
          <w:b/>
          <w:bCs w:val="0"/>
          <w:color w:val="auto"/>
          <w:sz w:val="24"/>
          <w:highlight w:val="none"/>
          <w:lang w:val="en-US" w:eastAsia="zh-CN"/>
        </w:rPr>
        <w:t>备注：10.1.1至10.1.22属于评审内容，请认真编写！</w:t>
      </w:r>
    </w:p>
    <w:p>
      <w:pPr>
        <w:shd w:val="clear"/>
        <w:outlineLvl w:val="2"/>
        <w:rPr>
          <w:rFonts w:hint="eastAsia" w:ascii="仿宋_GB2312" w:hAnsi="仿宋_GB2312" w:eastAsia="仿宋_GB2312" w:cs="仿宋_GB2312"/>
          <w:b/>
          <w:color w:val="auto"/>
          <w:sz w:val="24"/>
          <w:highlight w:val="none"/>
        </w:rPr>
      </w:pPr>
      <w:bookmarkStart w:id="67" w:name="_Toc6030"/>
      <w:bookmarkStart w:id="68" w:name="_Toc7501"/>
      <w:r>
        <w:rPr>
          <w:rFonts w:hint="eastAsia" w:ascii="仿宋_GB2312" w:hAnsi="仿宋_GB2312" w:eastAsia="仿宋_GB2312" w:cs="仿宋_GB2312"/>
          <w:b/>
          <w:color w:val="auto"/>
          <w:sz w:val="24"/>
          <w:highlight w:val="none"/>
        </w:rPr>
        <w:t>11、报价：</w:t>
      </w:r>
      <w:bookmarkEnd w:id="67"/>
      <w:bookmarkEnd w:id="68"/>
    </w:p>
    <w:p>
      <w:pPr>
        <w:shd w:val="clear"/>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 xml:space="preserve">11.1 </w:t>
      </w:r>
      <w:r>
        <w:rPr>
          <w:rFonts w:hint="eastAsia" w:ascii="仿宋_GB2312" w:hAnsi="仿宋_GB2312" w:eastAsia="仿宋_GB2312" w:cs="仿宋_GB2312"/>
          <w:b/>
          <w:bCs/>
          <w:color w:val="auto"/>
          <w:sz w:val="24"/>
          <w:szCs w:val="24"/>
          <w:highlight w:val="none"/>
        </w:rPr>
        <w:t>投标</w:t>
      </w:r>
      <w:r>
        <w:rPr>
          <w:rFonts w:hint="eastAsia" w:ascii="仿宋_GB2312" w:hAnsi="仿宋_GB2312" w:eastAsia="仿宋_GB2312" w:cs="仿宋_GB2312"/>
          <w:b/>
          <w:bCs/>
          <w:color w:val="auto"/>
          <w:sz w:val="24"/>
          <w:szCs w:val="24"/>
          <w:highlight w:val="none"/>
          <w:lang w:eastAsia="zh-CN"/>
        </w:rPr>
        <w:t>总</w:t>
      </w:r>
      <w:r>
        <w:rPr>
          <w:rFonts w:hint="eastAsia" w:ascii="仿宋_GB2312" w:hAnsi="仿宋_GB2312" w:eastAsia="仿宋_GB2312" w:cs="仿宋_GB2312"/>
          <w:b/>
          <w:bCs/>
          <w:color w:val="auto"/>
          <w:sz w:val="24"/>
          <w:szCs w:val="24"/>
          <w:highlight w:val="none"/>
        </w:rPr>
        <w:t>报价超</w:t>
      </w:r>
      <w:r>
        <w:rPr>
          <w:rFonts w:hint="eastAsia" w:ascii="仿宋_GB2312" w:hAnsi="仿宋_GB2312" w:eastAsia="仿宋_GB2312" w:cs="仿宋_GB2312"/>
          <w:b/>
          <w:bCs/>
          <w:color w:val="auto"/>
          <w:sz w:val="24"/>
          <w:szCs w:val="24"/>
          <w:highlight w:val="none"/>
          <w:lang w:eastAsia="zh-CN"/>
        </w:rPr>
        <w:t>最高限价</w:t>
      </w:r>
      <w:r>
        <w:rPr>
          <w:rFonts w:hint="eastAsia" w:ascii="仿宋_GB2312" w:hAnsi="仿宋_GB2312" w:eastAsia="仿宋_GB2312" w:cs="仿宋_GB2312"/>
          <w:b/>
          <w:bCs/>
          <w:color w:val="auto"/>
          <w:sz w:val="24"/>
          <w:szCs w:val="24"/>
          <w:highlight w:val="none"/>
        </w:rPr>
        <w:t>金额的，其报价无效，不进入评标阶段。</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11.2</w:t>
      </w:r>
      <w:r>
        <w:rPr>
          <w:rFonts w:hint="eastAsia" w:ascii="仿宋_GB2312" w:hAnsi="仿宋_GB2312" w:eastAsia="仿宋_GB2312" w:cs="仿宋_GB2312"/>
          <w:color w:val="auto"/>
          <w:sz w:val="24"/>
          <w:highlight w:val="none"/>
        </w:rPr>
        <w:t>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w:t>
      </w:r>
      <w:r>
        <w:rPr>
          <w:rFonts w:hint="eastAsia" w:ascii="仿宋_GB2312" w:hAnsi="仿宋_GB2312" w:eastAsia="仿宋_GB2312" w:cs="仿宋_GB2312"/>
          <w:color w:val="auto"/>
          <w:sz w:val="24"/>
          <w:highlight w:val="none"/>
          <w:lang w:eastAsia="zh-CN"/>
        </w:rPr>
        <w:t>采购</w:t>
      </w:r>
      <w:r>
        <w:rPr>
          <w:rFonts w:hint="eastAsia" w:ascii="仿宋_GB2312" w:hAnsi="仿宋_GB2312" w:eastAsia="仿宋_GB2312" w:cs="仿宋_GB2312"/>
          <w:color w:val="auto"/>
          <w:sz w:val="24"/>
          <w:highlight w:val="none"/>
        </w:rPr>
        <w:t>方不接受任何有选择性的报价。</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人如果免费提供某项产品、部件或服务，除在价格栏中填写“0”外，还必须在备注栏中声明免费或赠送。</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.4投标报价时应注意包括下列几项费用：</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谈判文件</w:t>
      </w:r>
      <w:r>
        <w:rPr>
          <w:rFonts w:hint="eastAsia" w:ascii="仿宋_GB2312" w:hAnsi="仿宋_GB2312" w:eastAsia="仿宋_GB2312" w:cs="仿宋_GB2312"/>
          <w:color w:val="auto"/>
          <w:sz w:val="24"/>
          <w:highlight w:val="none"/>
        </w:rPr>
        <w:t>中特别要求的备品备件、易损件和专用工具的费用；</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谈判文件</w:t>
      </w:r>
      <w:r>
        <w:rPr>
          <w:rFonts w:hint="eastAsia" w:ascii="仿宋_GB2312" w:hAnsi="仿宋_GB2312" w:eastAsia="仿宋_GB2312" w:cs="仿宋_GB2312"/>
          <w:color w:val="auto"/>
          <w:sz w:val="24"/>
          <w:highlight w:val="none"/>
        </w:rPr>
        <w:t>中特别要求的</w:t>
      </w:r>
      <w:r>
        <w:rPr>
          <w:rFonts w:hint="eastAsia" w:ascii="仿宋_GB2312" w:hAnsi="仿宋_GB2312" w:eastAsia="仿宋_GB2312" w:cs="仿宋_GB2312"/>
          <w:color w:val="auto"/>
          <w:sz w:val="24"/>
          <w:szCs w:val="24"/>
          <w:highlight w:val="none"/>
          <w:vertAlign w:val="baseline"/>
          <w:lang w:val="en-US" w:eastAsia="zh-CN"/>
        </w:rPr>
        <w:t>货物的供应、运输、装卸、安装、调试、税费等</w:t>
      </w:r>
      <w:r>
        <w:rPr>
          <w:rFonts w:hint="eastAsia" w:ascii="仿宋_GB2312" w:hAnsi="仿宋_GB2312" w:eastAsia="仿宋_GB2312" w:cs="仿宋_GB2312"/>
          <w:color w:val="auto"/>
          <w:sz w:val="24"/>
          <w:highlight w:val="none"/>
        </w:rPr>
        <w:t>全部费用；</w:t>
      </w:r>
    </w:p>
    <w:p>
      <w:pPr>
        <w:shd w:val="clear"/>
        <w:spacing w:line="440" w:lineRule="exac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人提供的在中华人民共和国制造的货物，其货物的投标价即交货价中，包括制造、组装该货物所使用的零部件及原材料已付的全部关税、销售税和其他税</w:t>
      </w:r>
      <w:r>
        <w:rPr>
          <w:rFonts w:hint="eastAsia" w:ascii="仿宋_GB2312" w:hAnsi="仿宋_GB2312" w:eastAsia="仿宋_GB2312" w:cs="仿宋_GB2312"/>
          <w:color w:val="auto"/>
          <w:sz w:val="24"/>
          <w:highlight w:val="none"/>
          <w:lang w:eastAsia="zh-CN"/>
        </w:rPr>
        <w:t>；</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（4）综合单价必须包括</w:t>
      </w:r>
      <w:r>
        <w:rPr>
          <w:rFonts w:hint="eastAsia" w:ascii="仿宋_GB2312" w:hAnsi="仿宋_GB2312" w:eastAsia="仿宋_GB2312" w:cs="仿宋_GB2312"/>
          <w:color w:val="auto"/>
          <w:sz w:val="24"/>
          <w:szCs w:val="24"/>
          <w:highlight w:val="none"/>
          <w:vertAlign w:val="baseline"/>
          <w:lang w:val="en-US" w:eastAsia="zh-CN"/>
        </w:rPr>
        <w:t>供应、运输、装卸、安装、调试、税费等</w:t>
      </w:r>
      <w:r>
        <w:rPr>
          <w:rFonts w:hint="eastAsia" w:ascii="仿宋_GB2312" w:hAnsi="仿宋_GB2312" w:eastAsia="仿宋_GB2312" w:cs="仿宋_GB2312"/>
          <w:color w:val="auto"/>
          <w:sz w:val="24"/>
          <w:highlight w:val="none"/>
        </w:rPr>
        <w:t>全部报价。</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.5</w:t>
      </w:r>
      <w:r>
        <w:rPr>
          <w:rFonts w:hint="eastAsia" w:ascii="仿宋_GB2312" w:hAnsi="仿宋_GB2312" w:eastAsia="仿宋_GB2312" w:cs="仿宋_GB2312"/>
          <w:b w:val="0"/>
          <w:bCs/>
          <w:color w:val="auto"/>
          <w:sz w:val="24"/>
          <w:highlight w:val="none"/>
          <w:lang w:val="en-US" w:eastAsia="zh-CN"/>
        </w:rPr>
        <w:t>报价</w:t>
      </w:r>
      <w:r>
        <w:rPr>
          <w:rFonts w:hint="eastAsia" w:ascii="仿宋_GB2312" w:hAnsi="仿宋_GB2312" w:eastAsia="仿宋_GB2312" w:cs="仿宋_GB2312"/>
          <w:color w:val="auto"/>
          <w:sz w:val="24"/>
          <w:highlight w:val="none"/>
        </w:rPr>
        <w:t>人应对投标货物提供完整的详细的书面说明。</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.6投标报价单位为人民币。各项价格必须清楚、准确、详细。</w:t>
      </w:r>
    </w:p>
    <w:p>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11.7</w:t>
      </w:r>
      <w:r>
        <w:rPr>
          <w:rFonts w:hint="eastAsia" w:ascii="仿宋_GB2312" w:hAnsi="仿宋_GB2312" w:eastAsia="仿宋_GB2312" w:cs="仿宋_GB2312"/>
          <w:color w:val="auto"/>
          <w:sz w:val="24"/>
          <w:highlight w:val="none"/>
        </w:rPr>
        <w:t>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69" w:name="_Toc15408"/>
      <w:bookmarkStart w:id="70" w:name="_Toc4435"/>
      <w:r>
        <w:rPr>
          <w:rFonts w:hint="eastAsia" w:ascii="仿宋_GB2312" w:hAnsi="仿宋_GB2312" w:eastAsia="仿宋_GB2312" w:cs="仿宋_GB2312"/>
          <w:b/>
          <w:color w:val="auto"/>
          <w:sz w:val="24"/>
          <w:highlight w:val="none"/>
        </w:rPr>
        <w:t>12、</w:t>
      </w:r>
      <w:r>
        <w:rPr>
          <w:rFonts w:hint="eastAsia" w:ascii="仿宋_GB2312" w:hAnsi="仿宋_GB2312" w:eastAsia="仿宋_GB2312" w:cs="仿宋_GB2312"/>
          <w:b/>
          <w:color w:val="auto"/>
          <w:sz w:val="24"/>
          <w:highlight w:val="none"/>
          <w:lang w:val="en-US" w:eastAsia="zh-CN"/>
        </w:rPr>
        <w:t>报价</w:t>
      </w:r>
      <w:r>
        <w:rPr>
          <w:rFonts w:hint="eastAsia" w:ascii="仿宋_GB2312" w:hAnsi="仿宋_GB2312" w:eastAsia="仿宋_GB2312" w:cs="仿宋_GB2312"/>
          <w:b/>
          <w:color w:val="auto"/>
          <w:sz w:val="24"/>
          <w:highlight w:val="none"/>
        </w:rPr>
        <w:t>货币</w:t>
      </w:r>
      <w:bookmarkEnd w:id="69"/>
      <w:bookmarkEnd w:id="70"/>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12.1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应以人民币报价。</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71" w:name="_Toc12550"/>
      <w:bookmarkStart w:id="72" w:name="_Toc2105"/>
      <w:r>
        <w:rPr>
          <w:rFonts w:hint="eastAsia" w:ascii="仿宋_GB2312" w:hAnsi="仿宋_GB2312" w:eastAsia="仿宋_GB2312" w:cs="仿宋_GB2312"/>
          <w:b/>
          <w:color w:val="auto"/>
          <w:sz w:val="24"/>
          <w:highlight w:val="none"/>
        </w:rPr>
        <w:t>13、证明</w:t>
      </w:r>
      <w:r>
        <w:rPr>
          <w:rFonts w:hint="eastAsia" w:ascii="仿宋_GB2312" w:hAnsi="仿宋_GB2312" w:eastAsia="仿宋_GB2312" w:cs="仿宋_GB2312"/>
          <w:b/>
          <w:color w:val="auto"/>
          <w:sz w:val="24"/>
          <w:highlight w:val="none"/>
          <w:lang w:eastAsia="zh-CN"/>
        </w:rPr>
        <w:t>报价人</w:t>
      </w:r>
      <w:r>
        <w:rPr>
          <w:rFonts w:hint="eastAsia" w:ascii="仿宋_GB2312" w:hAnsi="仿宋_GB2312" w:eastAsia="仿宋_GB2312" w:cs="仿宋_GB2312"/>
          <w:b/>
          <w:color w:val="auto"/>
          <w:sz w:val="24"/>
          <w:highlight w:val="none"/>
        </w:rPr>
        <w:t>资格的文件</w:t>
      </w:r>
      <w:bookmarkEnd w:id="71"/>
      <w:bookmarkEnd w:id="72"/>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13.1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应提交证明其有资格参加</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和一旦</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则有能力履行合同的文件，并作为其</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的一部分。详细如下：</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13.1.1 </w:t>
      </w:r>
      <w:r>
        <w:rPr>
          <w:rFonts w:hint="eastAsia" w:ascii="仿宋_GB2312" w:hAnsi="仿宋_GB2312" w:eastAsia="仿宋_GB2312" w:cs="仿宋_GB2312"/>
          <w:color w:val="auto"/>
          <w:sz w:val="24"/>
          <w:highlight w:val="none"/>
          <w:lang w:val="en-US" w:eastAsia="zh-CN"/>
        </w:rPr>
        <w:t>报价人</w:t>
      </w:r>
      <w:r>
        <w:rPr>
          <w:rFonts w:hint="eastAsia" w:ascii="仿宋_GB2312" w:hAnsi="仿宋_GB2312" w:eastAsia="仿宋_GB2312" w:cs="仿宋_GB2312"/>
          <w:color w:val="auto"/>
          <w:sz w:val="24"/>
          <w:highlight w:val="none"/>
        </w:rPr>
        <w:t>有效“营业执照”副本内页</w:t>
      </w:r>
      <w:r>
        <w:rPr>
          <w:rFonts w:hint="eastAsia" w:ascii="仿宋_GB2312" w:hAnsi="仿宋_GB2312" w:eastAsia="仿宋_GB2312" w:cs="仿宋_GB2312"/>
          <w:color w:val="auto"/>
          <w:sz w:val="24"/>
          <w:highlight w:val="none"/>
          <w:lang w:eastAsia="zh-CN"/>
        </w:rPr>
        <w:t>、资质证件、安全生产许可证、</w:t>
      </w:r>
      <w:r>
        <w:rPr>
          <w:rFonts w:hint="eastAsia" w:ascii="仿宋_GB2312" w:hAnsi="仿宋_GB2312" w:eastAsia="仿宋_GB2312" w:cs="仿宋_GB2312"/>
          <w:color w:val="auto"/>
          <w:kern w:val="2"/>
          <w:sz w:val="24"/>
          <w:szCs w:val="24"/>
          <w:highlight w:val="none"/>
          <w:shd w:val="clear" w:color="auto" w:fill="FFFFFF"/>
          <w:lang w:val="en-US" w:eastAsia="zh-CN"/>
        </w:rPr>
        <w:t>基本账户开户许可证或基本存款帐户信息</w:t>
      </w:r>
      <w:r>
        <w:rPr>
          <w:rFonts w:hint="eastAsia" w:ascii="仿宋_GB2312" w:hAnsi="仿宋_GB2312" w:eastAsia="仿宋_GB2312" w:cs="仿宋_GB2312"/>
          <w:color w:val="auto"/>
          <w:sz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13.1.2 法人代表资格证明书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法人代表身份证</w:t>
      </w:r>
      <w:r>
        <w:rPr>
          <w:rFonts w:hint="eastAsia" w:ascii="仿宋_GB2312" w:hAnsi="仿宋_GB2312" w:eastAsia="仿宋_GB2312" w:cs="仿宋_GB2312"/>
          <w:color w:val="auto"/>
          <w:sz w:val="24"/>
          <w:highlight w:val="none"/>
          <w:lang w:eastAsia="zh-CN"/>
        </w:rPr>
        <w:t>复印件及</w:t>
      </w:r>
      <w:r>
        <w:rPr>
          <w:rFonts w:hint="eastAsia" w:ascii="仿宋_GB2312" w:hAnsi="仿宋_GB2312" w:eastAsia="仿宋_GB2312" w:cs="仿宋_GB2312"/>
          <w:color w:val="auto"/>
          <w:sz w:val="24"/>
          <w:highlight w:val="none"/>
          <w:lang w:val="en-US" w:eastAsia="zh-CN"/>
        </w:rPr>
        <w:t>法人近3个月由本单位社保缴费凭证及个人明细</w:t>
      </w:r>
      <w:r>
        <w:rPr>
          <w:rFonts w:hint="eastAsia" w:ascii="仿宋_GB2312" w:hAnsi="仿宋_GB2312" w:eastAsia="仿宋_GB2312" w:cs="仿宋_GB2312"/>
          <w:color w:val="auto"/>
          <w:sz w:val="24"/>
          <w:highlight w:val="none"/>
        </w:rPr>
        <w:t>或法人代表授权书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委托代理人身份证复印件及委托代理人近3个月由本单位社保缴费凭证及个人明细</w:t>
      </w:r>
      <w:r>
        <w:rPr>
          <w:rFonts w:hint="eastAsia" w:ascii="仿宋_GB2312" w:hAnsi="仿宋_GB2312" w:eastAsia="仿宋_GB2312" w:cs="仿宋_GB2312"/>
          <w:color w:val="auto"/>
          <w:sz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2022年度经审计的《财务审计报告书》（2022年7月后成立的新公司可不提供）；</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13.1.4最近3个月的缴纳税收的完税证明或税务部门出具的纳税证明（银行缴纳凭证无效）；如依法免税的，提供相应文件证明；</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13.1.5最近3个月的缴纳社保证明材料（提供银行划款凭证）加盖公章。如依法不需要缴纳社会保障资金的，提供相应文件证明；</w:t>
      </w:r>
    </w:p>
    <w:p>
      <w:pPr>
        <w:pageBreakBefore w:val="0"/>
        <w:shd w:val="clear"/>
        <w:kinsoku/>
        <w:wordWrap/>
        <w:overflowPunct/>
        <w:topLinePunct w:val="0"/>
        <w:bidi w:val="0"/>
        <w:spacing w:line="360" w:lineRule="auto"/>
        <w:rPr>
          <w:rFonts w:hint="eastAsia" w:ascii="仿宋_GB2312" w:hAnsi="仿宋_GB2312" w:eastAsia="仿宋_GB2312" w:cs="仿宋_GB2312"/>
          <w:color w:val="auto"/>
          <w:kern w:val="2"/>
          <w:sz w:val="24"/>
          <w:szCs w:val="24"/>
          <w:highlight w:val="none"/>
          <w:shd w:val="clear" w:color="auto" w:fill="FFFFFF"/>
          <w:lang w:val="en-US" w:eastAsia="zh-CN"/>
        </w:rPr>
      </w:pPr>
      <w:r>
        <w:rPr>
          <w:rFonts w:hint="eastAsia" w:ascii="仿宋_GB2312" w:hAnsi="仿宋_GB2312" w:eastAsia="仿宋_GB2312" w:cs="仿宋_GB2312"/>
          <w:color w:val="auto"/>
          <w:sz w:val="24"/>
          <w:highlight w:val="none"/>
          <w:lang w:val="en-US" w:eastAsia="zh-CN"/>
        </w:rPr>
        <w:t>13.1.6参加政府采购活动前3年内在经营活动中没有重大违法记录的书面声明（提供《投标人资格声明函》）</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13.1.7不存在“</w:t>
      </w:r>
      <w:r>
        <w:rPr>
          <w:rFonts w:hint="eastAsia" w:ascii="仿宋_GB2312" w:hAnsi="仿宋_GB2312" w:eastAsia="仿宋_GB2312" w:cs="仿宋_GB2312"/>
          <w:color w:val="auto"/>
          <w:kern w:val="2"/>
          <w:sz w:val="24"/>
          <w:szCs w:val="24"/>
          <w:highlight w:val="none"/>
          <w:shd w:val="clear" w:color="auto" w:fill="FFFFFF"/>
          <w:lang w:val="en-US" w:eastAsia="zh-CN"/>
        </w:rPr>
        <w:t>单位负责人为同一人或者存在直接控股、管理关系的不同供应商，不得参加同一合同项下的政府采购活动”的书面声明（提供《投标人资格声明函》）；</w:t>
      </w:r>
    </w:p>
    <w:p>
      <w:pPr>
        <w:pageBreakBefore w:val="0"/>
        <w:shd w:val="clear"/>
        <w:kinsoku/>
        <w:wordWrap/>
        <w:overflowPunct/>
        <w:topLinePunct w:val="0"/>
        <w:bidi w:val="0"/>
        <w:spacing w:line="360" w:lineRule="auto"/>
        <w:rPr>
          <w:rFonts w:hint="eastAsia" w:ascii="仿宋_GB2312" w:hAnsi="仿宋_GB2312" w:eastAsia="仿宋_GB2312" w:cs="仿宋_GB2312"/>
          <w:kern w:val="2"/>
          <w:sz w:val="24"/>
          <w:szCs w:val="24"/>
          <w:highlight w:val="none"/>
          <w:shd w:val="clear" w:color="auto" w:fill="FFFFFF"/>
          <w:lang w:val="en-US" w:eastAsia="zh-CN"/>
        </w:rPr>
      </w:pPr>
      <w:r>
        <w:rPr>
          <w:rFonts w:hint="eastAsia" w:ascii="仿宋_GB2312" w:hAnsi="仿宋_GB2312" w:eastAsia="仿宋_GB2312" w:cs="仿宋_GB2312"/>
          <w:color w:val="auto"/>
          <w:sz w:val="24"/>
          <w:highlight w:val="none"/>
          <w:lang w:val="en-US" w:eastAsia="zh-CN"/>
        </w:rPr>
        <w:t>13.1.8</w:t>
      </w:r>
      <w:r>
        <w:rPr>
          <w:rFonts w:hint="eastAsia" w:ascii="仿宋_GB2312" w:hAnsi="仿宋_GB2312" w:eastAsia="仿宋_GB2312" w:cs="仿宋_GB2312"/>
          <w:kern w:val="2"/>
          <w:sz w:val="24"/>
          <w:szCs w:val="24"/>
          <w:highlight w:val="none"/>
          <w:shd w:val="clear" w:color="auto" w:fill="FFFFFF"/>
          <w:lang w:val="en-US" w:eastAsia="zh-CN"/>
        </w:rPr>
        <w:t>有效的中小微企业声明函；</w:t>
      </w:r>
    </w:p>
    <w:p>
      <w:pPr>
        <w:pageBreakBefore w:val="0"/>
        <w:shd w:val="clear"/>
        <w:kinsoku/>
        <w:wordWrap/>
        <w:overflowPunct/>
        <w:topLinePunct w:val="0"/>
        <w:bidi w:val="0"/>
        <w:spacing w:line="360"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highlight w:val="none"/>
          <w:lang w:val="en-US" w:eastAsia="zh-CN"/>
        </w:rPr>
        <w:t>13.1.9</w:t>
      </w:r>
      <w:r>
        <w:rPr>
          <w:rFonts w:hint="eastAsia" w:ascii="仿宋_GB2312" w:hAnsi="仿宋_GB2312" w:eastAsia="仿宋_GB2312" w:cs="仿宋_GB2312"/>
          <w:b w:val="0"/>
          <w:bCs w:val="0"/>
          <w:color w:val="auto"/>
          <w:sz w:val="24"/>
          <w:szCs w:val="24"/>
          <w:highlight w:val="none"/>
          <w:lang w:val="en-US" w:eastAsia="zh-CN"/>
        </w:rPr>
        <w:t>“信用中国”网站、中国政府采购网查询截图；</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yellow"/>
          <w:lang w:val="en-US" w:eastAsia="zh-CN"/>
        </w:rPr>
      </w:pPr>
      <w:r>
        <w:rPr>
          <w:rFonts w:hint="eastAsia" w:ascii="仿宋_GB2312" w:hAnsi="仿宋_GB2312" w:eastAsia="仿宋_GB2312" w:cs="仿宋_GB2312"/>
          <w:b w:val="0"/>
          <w:bCs w:val="0"/>
          <w:color w:val="auto"/>
          <w:sz w:val="24"/>
          <w:szCs w:val="24"/>
          <w:highlight w:val="none"/>
          <w:lang w:val="en-US" w:eastAsia="zh-CN"/>
        </w:rPr>
        <w:t>13.1.10</w:t>
      </w:r>
      <w:r>
        <w:rPr>
          <w:rFonts w:hint="eastAsia" w:ascii="仿宋_GB2312" w:hAnsi="仿宋_GB2312" w:eastAsia="仿宋_GB2312" w:cs="仿宋_GB2312"/>
          <w:color w:val="auto"/>
          <w:sz w:val="24"/>
          <w:highlight w:val="none"/>
          <w:lang w:val="en-US" w:eastAsia="zh-CN"/>
        </w:rPr>
        <w:t>其他谈判文件中要求列出的资格证明文件；</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13.1.11</w:t>
      </w:r>
      <w:r>
        <w:rPr>
          <w:rFonts w:hint="eastAsia" w:ascii="仿宋_GB2312" w:hAnsi="仿宋_GB2312" w:eastAsia="仿宋_GB2312" w:cs="仿宋_GB2312"/>
          <w:color w:val="auto"/>
          <w:sz w:val="24"/>
          <w:highlight w:val="none"/>
        </w:rPr>
        <w:t>投标单位认为有必要提供的声明及文件资料。</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14、</w:t>
      </w:r>
      <w:r>
        <w:rPr>
          <w:rFonts w:hint="eastAsia" w:ascii="仿宋_GB2312" w:hAnsi="仿宋_GB2312" w:eastAsia="仿宋_GB2312" w:cs="仿宋_GB2312"/>
          <w:b/>
          <w:color w:val="auto"/>
          <w:sz w:val="24"/>
          <w:highlight w:val="none"/>
          <w:lang w:eastAsia="zh-CN"/>
        </w:rPr>
        <w:t>报价人</w:t>
      </w:r>
      <w:r>
        <w:rPr>
          <w:rFonts w:hint="eastAsia" w:ascii="仿宋_GB2312" w:hAnsi="仿宋_GB2312" w:eastAsia="仿宋_GB2312" w:cs="仿宋_GB2312"/>
          <w:b/>
          <w:color w:val="auto"/>
          <w:sz w:val="24"/>
          <w:highlight w:val="none"/>
        </w:rPr>
        <w:t>应逐条详细阅读</w:t>
      </w:r>
      <w:r>
        <w:rPr>
          <w:rFonts w:hint="eastAsia" w:ascii="仿宋_GB2312" w:hAnsi="仿宋_GB2312" w:eastAsia="仿宋_GB2312" w:cs="仿宋_GB2312"/>
          <w:b/>
          <w:color w:val="auto"/>
          <w:sz w:val="24"/>
          <w:highlight w:val="none"/>
          <w:lang w:eastAsia="zh-CN"/>
        </w:rPr>
        <w:t>谈判</w:t>
      </w:r>
      <w:r>
        <w:rPr>
          <w:rFonts w:hint="eastAsia" w:ascii="仿宋_GB2312" w:hAnsi="仿宋_GB2312" w:eastAsia="仿宋_GB2312" w:cs="仿宋_GB2312"/>
          <w:b/>
          <w:color w:val="auto"/>
          <w:sz w:val="24"/>
          <w:highlight w:val="none"/>
        </w:rPr>
        <w:t>文件有关要求，表明所提供的服务是否对文件做出实质性响应。</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仿宋_GB2312" w:hAnsi="仿宋_GB2312" w:eastAsia="仿宋_GB2312" w:cs="仿宋_GB2312"/>
          <w:b/>
          <w:color w:val="auto"/>
          <w:sz w:val="24"/>
          <w:highlight w:val="none"/>
        </w:rPr>
      </w:pPr>
      <w:bookmarkStart w:id="73" w:name="_Toc16973"/>
      <w:bookmarkStart w:id="74" w:name="_Toc1857"/>
      <w:r>
        <w:rPr>
          <w:rFonts w:hint="eastAsia" w:ascii="仿宋_GB2312" w:hAnsi="仿宋_GB2312" w:eastAsia="仿宋_GB2312" w:cs="仿宋_GB2312"/>
          <w:b/>
          <w:color w:val="auto"/>
          <w:sz w:val="24"/>
          <w:highlight w:val="none"/>
        </w:rPr>
        <w:t>15、</w:t>
      </w:r>
      <w:r>
        <w:rPr>
          <w:rFonts w:hint="eastAsia" w:ascii="仿宋_GB2312" w:hAnsi="仿宋_GB2312" w:eastAsia="仿宋_GB2312" w:cs="仿宋_GB2312"/>
          <w:b/>
          <w:color w:val="auto"/>
          <w:sz w:val="24"/>
          <w:highlight w:val="none"/>
          <w:lang w:eastAsia="zh-CN"/>
        </w:rPr>
        <w:t>谈判响应文件</w:t>
      </w:r>
      <w:r>
        <w:rPr>
          <w:rFonts w:hint="eastAsia" w:ascii="仿宋_GB2312" w:hAnsi="仿宋_GB2312" w:eastAsia="仿宋_GB2312" w:cs="仿宋_GB2312"/>
          <w:b/>
          <w:color w:val="auto"/>
          <w:sz w:val="24"/>
          <w:highlight w:val="none"/>
        </w:rPr>
        <w:t>的有效期</w:t>
      </w:r>
      <w:bookmarkEnd w:id="73"/>
      <w:bookmarkEnd w:id="74"/>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15.1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从实质</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天内有效。</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15.2</w:t>
      </w:r>
      <w:r>
        <w:rPr>
          <w:rFonts w:hint="eastAsia" w:ascii="仿宋_GB2312" w:hAnsi="仿宋_GB2312" w:eastAsia="仿宋_GB2312" w:cs="仿宋_GB2312"/>
          <w:color w:val="auto"/>
          <w:sz w:val="24"/>
          <w:highlight w:val="none"/>
        </w:rPr>
        <w:t xml:space="preserve"> 如遇特殊情况，在原</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有效期届满之前，</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人可与</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协商延长</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的有效期，并经</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确认。</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仿宋_GB2312" w:hAnsi="仿宋_GB2312" w:eastAsia="仿宋_GB2312" w:cs="仿宋_GB2312"/>
          <w:color w:val="auto"/>
          <w:highlight w:val="none"/>
        </w:rPr>
      </w:pPr>
      <w:bookmarkStart w:id="75" w:name="_Toc21063"/>
      <w:bookmarkStart w:id="76" w:name="_Toc28147"/>
      <w:r>
        <w:rPr>
          <w:rFonts w:hint="eastAsia" w:ascii="仿宋_GB2312" w:hAnsi="仿宋_GB2312" w:eastAsia="仿宋_GB2312" w:cs="仿宋_GB2312"/>
          <w:b/>
          <w:color w:val="auto"/>
          <w:sz w:val="24"/>
          <w:highlight w:val="none"/>
        </w:rPr>
        <w:t>16、</w:t>
      </w:r>
      <w:r>
        <w:rPr>
          <w:rFonts w:hint="eastAsia" w:ascii="仿宋_GB2312" w:hAnsi="仿宋_GB2312" w:eastAsia="仿宋_GB2312" w:cs="仿宋_GB2312"/>
          <w:b/>
          <w:color w:val="auto"/>
          <w:sz w:val="24"/>
          <w:highlight w:val="none"/>
          <w:lang w:eastAsia="zh-CN"/>
        </w:rPr>
        <w:t>谈判响应文件</w:t>
      </w:r>
      <w:r>
        <w:rPr>
          <w:rFonts w:hint="eastAsia" w:ascii="仿宋_GB2312" w:hAnsi="仿宋_GB2312" w:eastAsia="仿宋_GB2312" w:cs="仿宋_GB2312"/>
          <w:b/>
          <w:color w:val="auto"/>
          <w:sz w:val="24"/>
          <w:highlight w:val="none"/>
        </w:rPr>
        <w:t>的签署</w:t>
      </w:r>
      <w:bookmarkEnd w:id="75"/>
      <w:bookmarkEnd w:id="76"/>
    </w:p>
    <w:p>
      <w:pPr>
        <w:shd w:val="clear"/>
        <w:snapToGrid w:val="0"/>
        <w:spacing w:line="5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highlight w:val="none"/>
        </w:rPr>
        <w:t>16.1</w:t>
      </w:r>
      <w:r>
        <w:rPr>
          <w:rFonts w:hint="eastAsia" w:ascii="仿宋_GB2312" w:hAnsi="仿宋_GB2312" w:eastAsia="仿宋_GB2312" w:cs="仿宋_GB2312"/>
          <w:color w:val="auto"/>
          <w:sz w:val="24"/>
          <w:szCs w:val="24"/>
          <w:highlight w:val="none"/>
        </w:rPr>
        <w:t>响应文件的组成</w:t>
      </w:r>
      <w:r>
        <w:rPr>
          <w:rFonts w:hint="eastAsia" w:ascii="仿宋_GB2312" w:hAnsi="仿宋_GB2312" w:eastAsia="仿宋_GB2312" w:cs="仿宋_GB2312"/>
          <w:color w:val="000000" w:themeColor="text1"/>
          <w:sz w:val="24"/>
          <w:szCs w:val="24"/>
          <w:highlight w:val="none"/>
          <w14:textFill>
            <w14:solidFill>
              <w14:schemeClr w14:val="tx1"/>
            </w14:solidFill>
          </w14:textFill>
        </w:rPr>
        <w:t>（投标现场无需递交投标文件，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中标单位开标结束</w:t>
      </w:r>
      <w:r>
        <w:rPr>
          <w:rFonts w:hint="eastAsia" w:ascii="仿宋_GB2312" w:hAnsi="仿宋_GB2312" w:eastAsia="仿宋_GB2312" w:cs="仿宋_GB2312"/>
          <w:color w:val="000000" w:themeColor="text1"/>
          <w:sz w:val="24"/>
          <w:szCs w:val="24"/>
          <w:highlight w:val="none"/>
          <w14:textFill>
            <w14:solidFill>
              <w14:schemeClr w14:val="tx1"/>
            </w14:solidFill>
          </w14:textFill>
        </w:rPr>
        <w:t>之后需提供）:纸质版投标文件：</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24"/>
          <w:szCs w:val="24"/>
          <w:highlight w:val="none"/>
          <w14:textFill>
            <w14:solidFill>
              <w14:schemeClr w14:val="tx1"/>
            </w14:solidFill>
          </w14:textFill>
        </w:rPr>
        <w:t>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4"/>
          <w:szCs w:val="24"/>
          <w:highlight w:val="none"/>
          <w14:textFill>
            <w14:solidFill>
              <w14:schemeClr w14:val="tx1"/>
            </w14:solidFill>
          </w14:textFill>
        </w:rPr>
        <w:t>份，其中正本</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highlight w:val="none"/>
          <w14:textFill>
            <w14:solidFill>
              <w14:schemeClr w14:val="tx1"/>
            </w14:solidFill>
          </w14:textFill>
        </w:rPr>
        <w:t>份，副本</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highlight w:val="none"/>
          <w14:textFill>
            <w14:solidFill>
              <w14:schemeClr w14:val="tx1"/>
            </w14:solidFill>
          </w14:textFill>
        </w:rPr>
        <w:t>份，需编制目录及页码，在每一份响应</w:t>
      </w:r>
      <w:r>
        <w:rPr>
          <w:rFonts w:hint="eastAsia" w:ascii="仿宋_GB2312" w:hAnsi="仿宋_GB2312" w:eastAsia="仿宋_GB2312" w:cs="仿宋_GB2312"/>
          <w:color w:val="auto"/>
          <w:sz w:val="24"/>
          <w:szCs w:val="24"/>
          <w:highlight w:val="none"/>
        </w:rPr>
        <w:t>文件上要明确注明“正本”或“副本”字样，如正、副本之间有差异，以正本为准。</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sz w:val="24"/>
          <w:szCs w:val="24"/>
        </w:rPr>
        <w:t>说明：</w:t>
      </w:r>
      <w:r>
        <w:rPr>
          <w:rFonts w:hint="eastAsia" w:ascii="仿宋_GB2312" w:hAnsi="仿宋_GB2312" w:eastAsia="仿宋_GB2312" w:cs="仿宋_GB2312"/>
          <w:b/>
          <w:sz w:val="24"/>
          <w:szCs w:val="24"/>
          <w:lang w:val="en-US" w:eastAsia="zh-CN"/>
        </w:rPr>
        <w:t>上传</w:t>
      </w:r>
      <w:r>
        <w:rPr>
          <w:rFonts w:hint="eastAsia" w:ascii="仿宋_GB2312" w:hAnsi="仿宋_GB2312" w:eastAsia="仿宋_GB2312" w:cs="仿宋_GB2312"/>
          <w:b/>
          <w:sz w:val="24"/>
          <w:szCs w:val="24"/>
        </w:rPr>
        <w:t>证件、证书等资料</w:t>
      </w:r>
      <w:r>
        <w:rPr>
          <w:rFonts w:hint="eastAsia" w:ascii="仿宋_GB2312" w:hAnsi="仿宋_GB2312" w:eastAsia="仿宋_GB2312" w:cs="仿宋_GB2312"/>
          <w:b/>
          <w:sz w:val="24"/>
          <w:szCs w:val="24"/>
          <w:lang w:val="en-US" w:eastAsia="zh-CN"/>
        </w:rPr>
        <w:t>须是</w:t>
      </w:r>
      <w:r>
        <w:rPr>
          <w:rFonts w:hint="eastAsia" w:ascii="仿宋_GB2312" w:hAnsi="仿宋_GB2312" w:eastAsia="仿宋_GB2312" w:cs="仿宋_GB2312"/>
          <w:b/>
          <w:sz w:val="24"/>
          <w:szCs w:val="24"/>
        </w:rPr>
        <w:t>原件的扫描件，供应商应如实提供资料，并保证真实可靠，不得弄虚作假。如供应商隐瞒事实真相、弄虚作假，一经查实，取消该供应商的</w:t>
      </w:r>
      <w:r>
        <w:rPr>
          <w:rFonts w:hint="eastAsia" w:ascii="仿宋_GB2312" w:hAnsi="仿宋_GB2312" w:eastAsia="仿宋_GB2312" w:cs="仿宋_GB2312"/>
          <w:b/>
          <w:sz w:val="24"/>
          <w:szCs w:val="24"/>
          <w:lang w:eastAsia="zh-CN"/>
        </w:rPr>
        <w:t>投标</w:t>
      </w:r>
      <w:r>
        <w:rPr>
          <w:rFonts w:hint="eastAsia" w:ascii="仿宋_GB2312" w:hAnsi="仿宋_GB2312" w:eastAsia="仿宋_GB2312" w:cs="仿宋_GB2312"/>
          <w:b/>
          <w:sz w:val="24"/>
          <w:szCs w:val="24"/>
        </w:rPr>
        <w:t>资格，若成交的，取消其成交资格</w:t>
      </w:r>
      <w:r>
        <w:rPr>
          <w:rFonts w:hint="eastAsia" w:ascii="仿宋_GB2312" w:hAnsi="仿宋_GB2312" w:eastAsia="仿宋_GB2312" w:cs="仿宋_GB2312"/>
          <w:b/>
          <w:bCs/>
          <w:color w:val="auto"/>
          <w:sz w:val="24"/>
          <w:szCs w:val="24"/>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仿宋_GB2312" w:hAnsi="仿宋_GB2312" w:eastAsia="仿宋_GB2312" w:cs="仿宋_GB2312"/>
          <w:b/>
          <w:color w:val="FF0000"/>
          <w:sz w:val="24"/>
          <w:highlight w:val="none"/>
          <w:lang w:eastAsia="zh-CN"/>
        </w:rPr>
      </w:pPr>
      <w:bookmarkStart w:id="77" w:name="_Toc9963"/>
      <w:bookmarkStart w:id="78" w:name="_Toc22556"/>
      <w:r>
        <w:rPr>
          <w:rFonts w:hint="eastAsia" w:ascii="仿宋_GB2312" w:hAnsi="仿宋_GB2312" w:eastAsia="仿宋_GB2312" w:cs="仿宋_GB2312"/>
          <w:b/>
          <w:color w:val="auto"/>
          <w:sz w:val="24"/>
          <w:highlight w:val="none"/>
        </w:rPr>
        <w:t>17、</w:t>
      </w:r>
      <w:r>
        <w:rPr>
          <w:rFonts w:hint="eastAsia" w:ascii="仿宋_GB2312" w:hAnsi="仿宋_GB2312" w:eastAsia="仿宋_GB2312" w:cs="仿宋_GB2312"/>
          <w:b/>
          <w:color w:val="auto"/>
          <w:sz w:val="24"/>
          <w:highlight w:val="none"/>
          <w:lang w:val="en-US" w:eastAsia="zh-CN"/>
        </w:rPr>
        <w:t>谈判</w:t>
      </w:r>
      <w:r>
        <w:rPr>
          <w:rFonts w:hint="eastAsia" w:ascii="仿宋_GB2312" w:hAnsi="仿宋_GB2312" w:eastAsia="仿宋_GB2312" w:cs="仿宋_GB2312"/>
          <w:b/>
          <w:color w:val="auto"/>
          <w:sz w:val="24"/>
          <w:highlight w:val="none"/>
        </w:rPr>
        <w:t>保证金</w:t>
      </w:r>
      <w:bookmarkEnd w:id="77"/>
      <w:bookmarkEnd w:id="78"/>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此项目不收取保证金</w:t>
      </w: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17.1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w:t>
      </w:r>
      <w:r>
        <w:rPr>
          <w:rFonts w:hint="eastAsia" w:ascii="仿宋_GB2312" w:hAnsi="仿宋_GB2312" w:eastAsia="仿宋_GB2312" w:cs="仿宋_GB2312"/>
          <w:color w:val="auto"/>
          <w:sz w:val="24"/>
          <w:highlight w:val="none"/>
          <w:lang w:val="en-US" w:eastAsia="zh-CN"/>
        </w:rPr>
        <w:t>要求</w:t>
      </w:r>
      <w:r>
        <w:rPr>
          <w:rFonts w:hint="eastAsia" w:ascii="仿宋_GB2312" w:hAnsi="仿宋_GB2312" w:eastAsia="仿宋_GB2312" w:cs="仿宋_GB2312"/>
          <w:color w:val="auto"/>
          <w:sz w:val="24"/>
          <w:highlight w:val="none"/>
        </w:rPr>
        <w:t>详见投标须知前附表第1</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条。</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17.2</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保证金用于应对本次因</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违规、违约而产生的风险。</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b/>
          <w:color w:val="auto"/>
          <w:sz w:val="24"/>
          <w:highlight w:val="none"/>
        </w:rPr>
        <w:t>17.3</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保证金须以单位名义缴纳，未</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单位的</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保证金，退还给原缴纳单位。</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保证金应于</w:t>
      </w:r>
      <w:r>
        <w:rPr>
          <w:rFonts w:hint="eastAsia" w:ascii="仿宋_GB2312" w:hAnsi="仿宋_GB2312" w:eastAsia="仿宋_GB2312" w:cs="仿宋_GB2312"/>
          <w:color w:val="auto"/>
          <w:sz w:val="24"/>
          <w:highlight w:val="none"/>
          <w:lang w:eastAsia="zh-CN"/>
        </w:rPr>
        <w:t>谈判时间前</w:t>
      </w:r>
      <w:r>
        <w:rPr>
          <w:rFonts w:hint="eastAsia" w:ascii="仿宋_GB2312" w:hAnsi="仿宋_GB2312" w:eastAsia="仿宋_GB2312" w:cs="仿宋_GB2312"/>
          <w:color w:val="auto"/>
          <w:sz w:val="24"/>
          <w:highlight w:val="none"/>
        </w:rPr>
        <w:t>存入指定账户（开户信息：见【须知前附表】）。对未按要求提交</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保证金的</w:t>
      </w:r>
      <w:r>
        <w:rPr>
          <w:rFonts w:hint="eastAsia" w:ascii="仿宋_GB2312" w:hAnsi="仿宋_GB2312" w:eastAsia="仿宋_GB2312" w:cs="仿宋_GB2312"/>
          <w:color w:val="auto"/>
          <w:sz w:val="24"/>
          <w:highlight w:val="none"/>
          <w:lang w:val="en-US" w:eastAsia="zh-CN"/>
        </w:rPr>
        <w:t>谈判响应文件</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谈判小组</w:t>
      </w:r>
      <w:r>
        <w:rPr>
          <w:rFonts w:hint="eastAsia" w:ascii="仿宋_GB2312" w:hAnsi="仿宋_GB2312" w:eastAsia="仿宋_GB2312" w:cs="仿宋_GB2312"/>
          <w:color w:val="auto"/>
          <w:sz w:val="24"/>
          <w:highlight w:val="none"/>
        </w:rPr>
        <w:t>将视为不响应</w:t>
      </w:r>
      <w:r>
        <w:rPr>
          <w:rFonts w:hint="eastAsia" w:ascii="仿宋_GB2312" w:hAnsi="仿宋_GB2312" w:eastAsia="仿宋_GB2312" w:cs="仿宋_GB2312"/>
          <w:color w:val="auto"/>
          <w:sz w:val="24"/>
          <w:highlight w:val="none"/>
          <w:lang w:val="en-US" w:eastAsia="zh-CN"/>
        </w:rPr>
        <w:t>谈判文件</w:t>
      </w:r>
      <w:r>
        <w:rPr>
          <w:rFonts w:hint="eastAsia" w:ascii="仿宋_GB2312" w:hAnsi="仿宋_GB2312" w:eastAsia="仿宋_GB2312" w:cs="仿宋_GB2312"/>
          <w:color w:val="auto"/>
          <w:sz w:val="24"/>
          <w:highlight w:val="none"/>
        </w:rPr>
        <w:t>予以拒绝。</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17.4</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w:t>
      </w:r>
      <w:r>
        <w:rPr>
          <w:rFonts w:hint="eastAsia" w:ascii="仿宋_GB2312" w:hAnsi="仿宋_GB2312" w:eastAsia="仿宋_GB2312" w:cs="仿宋_GB2312"/>
          <w:color w:val="auto"/>
          <w:sz w:val="24"/>
          <w:highlight w:val="none"/>
          <w:lang w:eastAsia="zh-CN"/>
        </w:rPr>
        <w:t>可</w:t>
      </w:r>
      <w:r>
        <w:rPr>
          <w:rFonts w:hint="eastAsia" w:ascii="仿宋_GB2312" w:hAnsi="仿宋_GB2312" w:eastAsia="仿宋_GB2312" w:cs="仿宋_GB2312"/>
          <w:color w:val="auto"/>
          <w:sz w:val="24"/>
          <w:highlight w:val="none"/>
        </w:rPr>
        <w:t>以</w:t>
      </w:r>
      <w:r>
        <w:rPr>
          <w:rFonts w:hint="eastAsia" w:ascii="仿宋_GB2312" w:hAnsi="仿宋_GB2312" w:eastAsia="仿宋_GB2312" w:cs="仿宋_GB2312"/>
          <w:color w:val="auto"/>
          <w:sz w:val="24"/>
          <w:highlight w:val="none"/>
          <w:lang w:eastAsia="zh-CN"/>
        </w:rPr>
        <w:t>用</w:t>
      </w:r>
      <w:r>
        <w:rPr>
          <w:rFonts w:hint="eastAsia" w:ascii="仿宋_GB2312" w:hAnsi="仿宋_GB2312" w:eastAsia="仿宋_GB2312" w:cs="仿宋_GB2312"/>
          <w:b w:val="0"/>
          <w:bCs/>
          <w:color w:val="auto"/>
          <w:sz w:val="24"/>
          <w:szCs w:val="24"/>
          <w:highlight w:val="none"/>
        </w:rPr>
        <w:t>支票、银行电汇、网银</w:t>
      </w:r>
      <w:r>
        <w:rPr>
          <w:rFonts w:hint="eastAsia" w:ascii="仿宋_GB2312" w:hAnsi="仿宋_GB2312" w:eastAsia="仿宋_GB2312" w:cs="仿宋_GB2312"/>
          <w:color w:val="auto"/>
          <w:sz w:val="24"/>
          <w:highlight w:val="none"/>
        </w:rPr>
        <w:t>形式的方式提交</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不接受</w:t>
      </w:r>
      <w:r>
        <w:rPr>
          <w:rFonts w:hint="eastAsia" w:ascii="仿宋_GB2312" w:hAnsi="仿宋_GB2312" w:eastAsia="仿宋_GB2312" w:cs="仿宋_GB2312"/>
          <w:color w:val="auto"/>
          <w:sz w:val="24"/>
          <w:highlight w:val="none"/>
          <w:lang w:eastAsia="zh-CN"/>
        </w:rPr>
        <w:t>现金形式</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17.5</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通知书》发出</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日内，</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方向</w:t>
      </w:r>
      <w:r>
        <w:rPr>
          <w:rFonts w:hint="eastAsia" w:ascii="仿宋_GB2312" w:hAnsi="仿宋_GB2312" w:eastAsia="仿宋_GB2312" w:cs="仿宋_GB2312"/>
          <w:color w:val="auto"/>
          <w:sz w:val="24"/>
          <w:highlight w:val="none"/>
          <w:lang w:eastAsia="zh-CN"/>
        </w:rPr>
        <w:t>未成交</w:t>
      </w:r>
      <w:r>
        <w:rPr>
          <w:rFonts w:hint="eastAsia" w:ascii="仿宋_GB2312" w:hAnsi="仿宋_GB2312" w:eastAsia="仿宋_GB2312" w:cs="仿宋_GB2312"/>
          <w:color w:val="auto"/>
          <w:sz w:val="24"/>
          <w:highlight w:val="none"/>
        </w:rPr>
        <w:t>方发出《</w:t>
      </w:r>
      <w:r>
        <w:rPr>
          <w:rFonts w:hint="eastAsia" w:ascii="仿宋_GB2312" w:hAnsi="仿宋_GB2312" w:eastAsia="仿宋_GB2312" w:cs="仿宋_GB2312"/>
          <w:color w:val="auto"/>
          <w:sz w:val="24"/>
          <w:highlight w:val="none"/>
          <w:lang w:eastAsia="zh-CN"/>
        </w:rPr>
        <w:t>未成交</w:t>
      </w:r>
      <w:r>
        <w:rPr>
          <w:rFonts w:hint="eastAsia" w:ascii="仿宋_GB2312" w:hAnsi="仿宋_GB2312" w:eastAsia="仿宋_GB2312" w:cs="仿宋_GB2312"/>
          <w:color w:val="auto"/>
          <w:sz w:val="24"/>
          <w:highlight w:val="none"/>
        </w:rPr>
        <w:t>通知书》并退还</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17.6</w:t>
      </w:r>
      <w:r>
        <w:rPr>
          <w:rFonts w:hint="eastAsia" w:ascii="仿宋_GB2312" w:hAnsi="仿宋_GB2312" w:eastAsia="仿宋_GB2312" w:cs="仿宋_GB2312"/>
          <w:color w:val="auto"/>
          <w:sz w:val="24"/>
          <w:highlight w:val="none"/>
        </w:rPr>
        <w:t xml:space="preserve"> 在</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方规定的</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有效期满之前，</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方将以书面形式发出《</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通知书》，《</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通知书》一经发出即发生法律效力。</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17.7</w:t>
      </w:r>
      <w:r>
        <w:rPr>
          <w:rFonts w:hint="eastAsia" w:ascii="仿宋_GB2312" w:hAnsi="仿宋_GB2312" w:eastAsia="仿宋_GB2312" w:cs="仿宋_GB2312"/>
          <w:color w:val="auto"/>
          <w:sz w:val="24"/>
          <w:highlight w:val="none"/>
        </w:rPr>
        <w:t>发生以下情况，</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保证金可能被没收：</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17.7.1 投标人在投标有效期内撤回投标文件的；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17.7.</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投标人在投标过程中弄虚作假，提供虚假材料的；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17.7.</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中标人无正当理由不与</w:t>
      </w:r>
      <w:r>
        <w:rPr>
          <w:rFonts w:hint="eastAsia" w:ascii="仿宋_GB2312" w:hAnsi="仿宋_GB2312" w:eastAsia="仿宋_GB2312" w:cs="仿宋_GB2312"/>
          <w:color w:val="auto"/>
          <w:sz w:val="24"/>
          <w:highlight w:val="none"/>
          <w:lang w:eastAsia="zh-CN"/>
        </w:rPr>
        <w:t>采购人</w:t>
      </w:r>
      <w:r>
        <w:rPr>
          <w:rFonts w:hint="eastAsia" w:ascii="仿宋_GB2312" w:hAnsi="仿宋_GB2312" w:eastAsia="仿宋_GB2312" w:cs="仿宋_GB2312"/>
          <w:color w:val="auto"/>
          <w:sz w:val="24"/>
          <w:highlight w:val="none"/>
        </w:rPr>
        <w:t>签订合同的；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17.7.</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其他严重扰乱招投标程序的；</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17.7.</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人未能做到：</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17.7.5.1</w:t>
      </w:r>
      <w:r>
        <w:rPr>
          <w:rFonts w:hint="eastAsia" w:ascii="仿宋_GB2312" w:hAnsi="仿宋_GB2312" w:eastAsia="仿宋_GB2312" w:cs="仿宋_GB2312"/>
          <w:color w:val="auto"/>
          <w:sz w:val="24"/>
          <w:highlight w:val="none"/>
        </w:rPr>
        <w:t>按本章第</w:t>
      </w:r>
      <w:r>
        <w:rPr>
          <w:rFonts w:hint="eastAsia" w:ascii="仿宋_GB2312" w:hAnsi="仿宋_GB2312" w:eastAsia="仿宋_GB2312" w:cs="仿宋_GB2312"/>
          <w:color w:val="auto"/>
          <w:sz w:val="24"/>
          <w:highlight w:val="none"/>
          <w:lang w:val="en-US" w:eastAsia="zh-CN"/>
        </w:rPr>
        <w:t>28</w:t>
      </w:r>
      <w:r>
        <w:rPr>
          <w:rFonts w:hint="eastAsia" w:ascii="仿宋_GB2312" w:hAnsi="仿宋_GB2312" w:eastAsia="仿宋_GB2312" w:cs="仿宋_GB2312"/>
          <w:color w:val="auto"/>
          <w:sz w:val="24"/>
          <w:highlight w:val="none"/>
        </w:rPr>
        <w:t>条规定签订合同；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17.7.5.2</w:t>
      </w:r>
      <w:r>
        <w:rPr>
          <w:rFonts w:hint="eastAsia" w:ascii="仿宋_GB2312" w:hAnsi="仿宋_GB2312" w:eastAsia="仿宋_GB2312" w:cs="仿宋_GB2312"/>
          <w:color w:val="auto"/>
          <w:sz w:val="24"/>
          <w:highlight w:val="none"/>
        </w:rPr>
        <w:t>按本章第3</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条交付</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服务费。</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17.7.6</w:t>
      </w:r>
      <w:r>
        <w:rPr>
          <w:rFonts w:hint="eastAsia" w:ascii="仿宋_GB2312" w:hAnsi="仿宋_GB2312" w:eastAsia="仿宋_GB2312" w:cs="仿宋_GB2312"/>
          <w:color w:val="auto"/>
          <w:sz w:val="24"/>
          <w:highlight w:val="none"/>
        </w:rPr>
        <w:t xml:space="preserve"> 投标人在投标过程中有</w:t>
      </w:r>
      <w:r>
        <w:rPr>
          <w:rFonts w:hint="eastAsia" w:ascii="仿宋_GB2312" w:hAnsi="仿宋_GB2312" w:eastAsia="仿宋_GB2312" w:cs="仿宋_GB2312"/>
          <w:color w:val="auto"/>
          <w:sz w:val="24"/>
          <w:highlight w:val="none"/>
          <w:lang w:val="en-US" w:eastAsia="zh-CN"/>
        </w:rPr>
        <w:t>其他</w:t>
      </w:r>
      <w:r>
        <w:rPr>
          <w:rFonts w:hint="eastAsia" w:ascii="仿宋_GB2312" w:hAnsi="仿宋_GB2312" w:eastAsia="仿宋_GB2312" w:cs="仿宋_GB2312"/>
          <w:color w:val="auto"/>
          <w:sz w:val="24"/>
          <w:highlight w:val="none"/>
        </w:rPr>
        <w:t>违反有关法律法规行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2"/>
        <w:rPr>
          <w:rFonts w:hint="eastAsia" w:ascii="仿宋_GB2312" w:hAnsi="仿宋_GB2312" w:eastAsia="仿宋_GB2312" w:cs="仿宋_GB2312"/>
          <w:b/>
          <w:bCs w:val="0"/>
          <w:color w:val="auto"/>
          <w:sz w:val="24"/>
          <w:highlight w:val="none"/>
        </w:rPr>
      </w:pPr>
      <w:bookmarkStart w:id="79" w:name="_Toc25025"/>
      <w:bookmarkStart w:id="80" w:name="_Toc27399"/>
      <w:r>
        <w:rPr>
          <w:rFonts w:hint="eastAsia" w:ascii="仿宋_GB2312" w:hAnsi="仿宋_GB2312" w:eastAsia="仿宋_GB2312" w:cs="仿宋_GB2312"/>
          <w:b/>
          <w:bCs w:val="0"/>
          <w:color w:val="auto"/>
          <w:sz w:val="24"/>
          <w:highlight w:val="none"/>
        </w:rPr>
        <w:t>18、</w:t>
      </w:r>
      <w:r>
        <w:rPr>
          <w:rFonts w:hint="eastAsia" w:ascii="仿宋_GB2312" w:hAnsi="仿宋_GB2312" w:eastAsia="仿宋_GB2312" w:cs="仿宋_GB2312"/>
          <w:b/>
          <w:bCs w:val="0"/>
          <w:color w:val="auto"/>
          <w:sz w:val="24"/>
          <w:highlight w:val="none"/>
          <w:lang w:eastAsia="zh-CN"/>
        </w:rPr>
        <w:t>谈判响应文件</w:t>
      </w:r>
      <w:r>
        <w:rPr>
          <w:rFonts w:hint="eastAsia" w:ascii="仿宋_GB2312" w:hAnsi="仿宋_GB2312" w:eastAsia="仿宋_GB2312" w:cs="仿宋_GB2312"/>
          <w:b/>
          <w:bCs w:val="0"/>
          <w:color w:val="auto"/>
          <w:sz w:val="24"/>
          <w:highlight w:val="none"/>
        </w:rPr>
        <w:t>的密封与标记</w:t>
      </w:r>
      <w:bookmarkEnd w:id="79"/>
      <w:bookmarkEnd w:id="80"/>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val="0"/>
          <w:bCs/>
          <w:color w:val="auto"/>
          <w:sz w:val="24"/>
          <w:highlight w:val="none"/>
        </w:rPr>
        <w:t xml:space="preserve">18.1 </w:t>
      </w:r>
      <w:r>
        <w:rPr>
          <w:rFonts w:hint="eastAsia" w:ascii="仿宋_GB2312" w:hAnsi="仿宋_GB2312" w:eastAsia="仿宋_GB2312" w:cs="仿宋_GB2312"/>
          <w:b w:val="0"/>
          <w:bCs/>
          <w:color w:val="auto"/>
          <w:sz w:val="24"/>
          <w:highlight w:val="none"/>
          <w:lang w:val="en-US" w:eastAsia="zh-CN"/>
        </w:rPr>
        <w:t>报价人</w:t>
      </w:r>
      <w:r>
        <w:rPr>
          <w:rFonts w:hint="eastAsia" w:ascii="仿宋_GB2312" w:hAnsi="仿宋_GB2312" w:eastAsia="仿宋_GB2312" w:cs="仿宋_GB2312"/>
          <w:b w:val="0"/>
          <w:bCs/>
          <w:color w:val="auto"/>
          <w:sz w:val="24"/>
          <w:highlight w:val="none"/>
        </w:rPr>
        <w:t>应</w:t>
      </w:r>
      <w:r>
        <w:rPr>
          <w:rFonts w:hint="eastAsia" w:ascii="仿宋_GB2312" w:hAnsi="仿宋_GB2312" w:eastAsia="仿宋_GB2312" w:cs="仿宋_GB2312"/>
          <w:b w:val="0"/>
          <w:bCs/>
          <w:color w:val="auto"/>
          <w:sz w:val="24"/>
          <w:highlight w:val="none"/>
          <w:lang w:val="en-US" w:eastAsia="zh-CN"/>
        </w:rPr>
        <w:t>在密封袋上注明项目名称、项目编号、单位名称、地址、联系人、联系电话及正本、副本等字样，密封袋须加盖法人公章或投标专用章以及法定代表人或委托代理人印章，并应确保密封完好。（投标现场无需递交投标文件，中标单位开标结束之后需提供）；</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81" w:name="_Toc28842"/>
      <w:bookmarkStart w:id="82" w:name="_Toc32281"/>
      <w:r>
        <w:rPr>
          <w:rFonts w:hint="eastAsia" w:ascii="仿宋_GB2312" w:hAnsi="仿宋_GB2312" w:eastAsia="仿宋_GB2312" w:cs="仿宋_GB2312"/>
          <w:b/>
          <w:color w:val="auto"/>
          <w:sz w:val="24"/>
          <w:highlight w:val="none"/>
        </w:rPr>
        <w:t>19、</w:t>
      </w:r>
      <w:r>
        <w:rPr>
          <w:rFonts w:hint="eastAsia" w:ascii="仿宋_GB2312" w:hAnsi="仿宋_GB2312" w:eastAsia="仿宋_GB2312" w:cs="仿宋_GB2312"/>
          <w:b/>
          <w:color w:val="auto"/>
          <w:sz w:val="24"/>
          <w:highlight w:val="none"/>
          <w:lang w:eastAsia="zh-CN"/>
        </w:rPr>
        <w:t>谈判响应文件</w:t>
      </w:r>
      <w:r>
        <w:rPr>
          <w:rFonts w:hint="eastAsia" w:ascii="仿宋_GB2312" w:hAnsi="仿宋_GB2312" w:eastAsia="仿宋_GB2312" w:cs="仿宋_GB2312"/>
          <w:b/>
          <w:color w:val="auto"/>
          <w:sz w:val="24"/>
          <w:highlight w:val="none"/>
        </w:rPr>
        <w:t>递交的截止日期</w:t>
      </w:r>
      <w:bookmarkEnd w:id="81"/>
      <w:bookmarkEnd w:id="82"/>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highlight w:val="none"/>
        </w:rPr>
        <w:t>19.1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必须</w:t>
      </w:r>
      <w:r>
        <w:rPr>
          <w:rFonts w:hint="eastAsia" w:ascii="仿宋_GB2312" w:hAnsi="仿宋_GB2312" w:eastAsia="仿宋_GB2312" w:cs="仿宋_GB2312"/>
          <w:color w:val="auto"/>
          <w:sz w:val="24"/>
          <w:highlight w:val="none"/>
          <w:lang w:val="en-US" w:eastAsia="zh-CN"/>
        </w:rPr>
        <w:t>在</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供应商须知前附表</w:t>
      </w:r>
      <w:r>
        <w:rPr>
          <w:rFonts w:hint="eastAsia" w:ascii="仿宋_GB2312" w:hAnsi="仿宋_GB2312" w:eastAsia="仿宋_GB2312" w:cs="仿宋_GB2312"/>
          <w:color w:val="auto"/>
          <w:sz w:val="24"/>
          <w:highlight w:val="none"/>
        </w:rPr>
        <w:t>”中规定的</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val="en-US" w:eastAsia="zh-CN"/>
        </w:rPr>
        <w:t>前</w:t>
      </w:r>
      <w:r>
        <w:rPr>
          <w:rFonts w:hint="eastAsia" w:ascii="仿宋_GB2312" w:hAnsi="仿宋_GB2312" w:eastAsia="仿宋_GB2312" w:cs="仿宋_GB2312"/>
          <w:color w:val="auto"/>
          <w:sz w:val="24"/>
          <w:highlight w:val="none"/>
        </w:rPr>
        <w:t>将</w:t>
      </w:r>
      <w:r>
        <w:rPr>
          <w:rFonts w:hint="eastAsia" w:ascii="仿宋_GB2312" w:hAnsi="仿宋_GB2312" w:eastAsia="仿宋_GB2312" w:cs="仿宋_GB2312"/>
          <w:color w:val="auto"/>
          <w:sz w:val="24"/>
          <w:highlight w:val="none"/>
          <w:lang w:eastAsia="zh-CN"/>
        </w:rPr>
        <w:t>谈判响应文件上传</w:t>
      </w:r>
      <w:r>
        <w:rPr>
          <w:rFonts w:hint="eastAsia" w:ascii="仿宋_GB2312" w:hAnsi="仿宋_GB2312" w:eastAsia="仿宋_GB2312" w:cs="仿宋_GB2312"/>
          <w:color w:val="auto"/>
          <w:sz w:val="24"/>
          <w:szCs w:val="24"/>
          <w:highlight w:val="none"/>
          <w:lang w:val="en-US" w:eastAsia="zh-CN"/>
        </w:rPr>
        <w:t>政采云平台。</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19.2</w:t>
      </w:r>
      <w:r>
        <w:rPr>
          <w:rFonts w:hint="eastAsia" w:ascii="仿宋_GB2312" w:hAnsi="仿宋_GB2312" w:eastAsia="仿宋_GB2312" w:cs="仿宋_GB2312"/>
          <w:color w:val="auto"/>
          <w:sz w:val="24"/>
          <w:highlight w:val="none"/>
        </w:rPr>
        <w:t xml:space="preserve"> 超过</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文件</w:t>
      </w:r>
      <w:r>
        <w:rPr>
          <w:rFonts w:hint="eastAsia" w:ascii="仿宋_GB2312" w:hAnsi="仿宋_GB2312" w:eastAsia="仿宋_GB2312" w:cs="仿宋_GB2312"/>
          <w:color w:val="auto"/>
          <w:sz w:val="24"/>
          <w:highlight w:val="none"/>
          <w:lang w:val="en-US" w:eastAsia="zh-CN"/>
        </w:rPr>
        <w:t>要求的谈判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eastAsia="zh-CN"/>
        </w:rPr>
        <w:t>递交</w:t>
      </w:r>
      <w:r>
        <w:rPr>
          <w:rFonts w:hint="eastAsia" w:ascii="仿宋_GB2312" w:hAnsi="仿宋_GB2312" w:eastAsia="仿宋_GB2312" w:cs="仿宋_GB2312"/>
          <w:color w:val="auto"/>
          <w:sz w:val="24"/>
          <w:highlight w:val="none"/>
        </w:rPr>
        <w:t>将不予接受。其相关投标将被认定为</w:t>
      </w:r>
      <w:r>
        <w:rPr>
          <w:rFonts w:hint="eastAsia" w:ascii="仿宋_GB2312" w:hAnsi="仿宋_GB2312" w:eastAsia="仿宋_GB2312" w:cs="仿宋_GB2312"/>
          <w:b/>
          <w:bCs/>
          <w:color w:val="auto"/>
          <w:sz w:val="24"/>
          <w:highlight w:val="none"/>
        </w:rPr>
        <w:t>投标无效</w:t>
      </w:r>
      <w:r>
        <w:rPr>
          <w:rFonts w:hint="eastAsia" w:ascii="仿宋_GB2312" w:hAnsi="仿宋_GB2312" w:eastAsia="仿宋_GB2312" w:cs="仿宋_GB2312"/>
          <w:color w:val="auto"/>
          <w:sz w:val="24"/>
          <w:highlight w:val="none"/>
        </w:rPr>
        <w:t>。</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83" w:name="_Toc20202"/>
      <w:bookmarkStart w:id="84" w:name="_Toc7465"/>
      <w:r>
        <w:rPr>
          <w:rFonts w:hint="eastAsia" w:ascii="仿宋_GB2312" w:hAnsi="仿宋_GB2312" w:eastAsia="仿宋_GB2312" w:cs="仿宋_GB2312"/>
          <w:b/>
          <w:color w:val="auto"/>
          <w:sz w:val="24"/>
          <w:highlight w:val="none"/>
        </w:rPr>
        <w:t>20、</w:t>
      </w:r>
      <w:r>
        <w:rPr>
          <w:rFonts w:hint="eastAsia" w:ascii="仿宋_GB2312" w:hAnsi="仿宋_GB2312" w:eastAsia="仿宋_GB2312" w:cs="仿宋_GB2312"/>
          <w:b/>
          <w:color w:val="auto"/>
          <w:sz w:val="24"/>
          <w:highlight w:val="none"/>
          <w:lang w:eastAsia="zh-CN"/>
        </w:rPr>
        <w:t>谈判响应文件</w:t>
      </w:r>
      <w:r>
        <w:rPr>
          <w:rFonts w:hint="eastAsia" w:ascii="仿宋_GB2312" w:hAnsi="仿宋_GB2312" w:eastAsia="仿宋_GB2312" w:cs="仿宋_GB2312"/>
          <w:b/>
          <w:color w:val="auto"/>
          <w:sz w:val="24"/>
          <w:highlight w:val="none"/>
        </w:rPr>
        <w:t>的修改和撤销</w:t>
      </w:r>
      <w:bookmarkEnd w:id="83"/>
      <w:bookmarkEnd w:id="84"/>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20.1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可以在递交</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后，在</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时间前，以书面形式向</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人递交通知修改或撤回其</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20.2</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对</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的修改或撤销应按本章第18和19条规定进行。</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20.3</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谈判开始</w:t>
      </w:r>
      <w:r>
        <w:rPr>
          <w:rFonts w:hint="eastAsia" w:ascii="仿宋_GB2312" w:hAnsi="仿宋_GB2312" w:eastAsia="仿宋_GB2312" w:cs="仿宋_GB2312"/>
          <w:color w:val="auto"/>
          <w:sz w:val="24"/>
          <w:highlight w:val="none"/>
        </w:rPr>
        <w:t>后不得</w:t>
      </w:r>
      <w:r>
        <w:rPr>
          <w:rFonts w:hint="eastAsia" w:ascii="仿宋_GB2312" w:hAnsi="仿宋_GB2312" w:eastAsia="仿宋_GB2312" w:cs="仿宋_GB2312"/>
          <w:color w:val="auto"/>
          <w:sz w:val="24"/>
          <w:highlight w:val="none"/>
          <w:lang w:val="en-US" w:eastAsia="zh-CN"/>
        </w:rPr>
        <w:t>随意</w:t>
      </w:r>
      <w:r>
        <w:rPr>
          <w:rFonts w:hint="eastAsia" w:ascii="仿宋_GB2312" w:hAnsi="仿宋_GB2312" w:eastAsia="仿宋_GB2312" w:cs="仿宋_GB2312"/>
          <w:color w:val="auto"/>
          <w:sz w:val="24"/>
          <w:highlight w:val="none"/>
        </w:rPr>
        <w:t>修改</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20.4</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不得在</w:t>
      </w:r>
      <w:r>
        <w:rPr>
          <w:rFonts w:hint="eastAsia" w:ascii="仿宋_GB2312" w:hAnsi="仿宋_GB2312" w:eastAsia="仿宋_GB2312" w:cs="仿宋_GB2312"/>
          <w:color w:val="auto"/>
          <w:sz w:val="24"/>
          <w:highlight w:val="none"/>
          <w:lang w:val="en-US" w:eastAsia="zh-CN"/>
        </w:rPr>
        <w:t>谈判开始</w:t>
      </w:r>
      <w:r>
        <w:rPr>
          <w:rFonts w:hint="eastAsia" w:ascii="仿宋_GB2312" w:hAnsi="仿宋_GB2312" w:eastAsia="仿宋_GB2312" w:cs="仿宋_GB2312"/>
          <w:color w:val="auto"/>
          <w:sz w:val="24"/>
          <w:highlight w:val="none"/>
        </w:rPr>
        <w:t>起至</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有效期满前撤销</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，否则</w:t>
      </w:r>
      <w:r>
        <w:rPr>
          <w:rFonts w:hint="eastAsia" w:ascii="仿宋_GB2312" w:hAnsi="仿宋_GB2312" w:eastAsia="仿宋_GB2312" w:cs="仿宋_GB2312"/>
          <w:color w:val="auto"/>
          <w:sz w:val="24"/>
          <w:highlight w:val="none"/>
          <w:lang w:val="en-US" w:eastAsia="zh-CN"/>
        </w:rPr>
        <w:t>代理</w:t>
      </w:r>
      <w:r>
        <w:rPr>
          <w:rFonts w:hint="eastAsia" w:ascii="仿宋_GB2312" w:hAnsi="仿宋_GB2312" w:eastAsia="仿宋_GB2312" w:cs="仿宋_GB2312"/>
          <w:color w:val="auto"/>
          <w:sz w:val="24"/>
          <w:highlight w:val="none"/>
        </w:rPr>
        <w:t>机构将没收</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保证金，作为对代理机构和</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人的违约赔偿金。</w:t>
      </w:r>
    </w:p>
    <w:p>
      <w:pPr>
        <w:pageBreakBefore w:val="0"/>
        <w:shd w:val="clear"/>
        <w:kinsoku/>
        <w:wordWrap/>
        <w:overflowPunct/>
        <w:topLinePunct w:val="0"/>
        <w:bidi w:val="0"/>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20.5</w:t>
      </w:r>
      <w:r>
        <w:rPr>
          <w:rFonts w:hint="eastAsia" w:ascii="仿宋_GB2312" w:hAnsi="仿宋_GB2312" w:eastAsia="仿宋_GB2312" w:cs="仿宋_GB2312"/>
          <w:b/>
          <w:color w:val="auto"/>
          <w:sz w:val="24"/>
          <w:highlight w:val="none"/>
          <w:lang w:eastAsia="zh-CN"/>
        </w:rPr>
        <w:t>谈判响应文件</w:t>
      </w:r>
      <w:r>
        <w:rPr>
          <w:rFonts w:hint="eastAsia" w:ascii="仿宋_GB2312" w:hAnsi="仿宋_GB2312" w:eastAsia="仿宋_GB2312" w:cs="仿宋_GB2312"/>
          <w:b/>
          <w:color w:val="auto"/>
          <w:sz w:val="24"/>
          <w:highlight w:val="none"/>
        </w:rPr>
        <w:t>的澄清</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谈判小组</w:t>
      </w: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过程中有权随时请</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就</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中含混之处加以澄清或答疑。</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对要求澄清的问题应以书面形式明确答复，并应有法人授权代表的签署。</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3</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的澄清文件是</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的组成部分，并取代</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中被澄清的部分。</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4</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的澄清不得改变</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的实质内容。</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 xml:space="preserve">5 </w:t>
      </w:r>
      <w:r>
        <w:rPr>
          <w:rFonts w:hint="eastAsia" w:ascii="仿宋_GB2312" w:hAnsi="仿宋_GB2312" w:eastAsia="仿宋_GB2312" w:cs="仿宋_GB2312"/>
          <w:color w:val="auto"/>
          <w:sz w:val="24"/>
          <w:highlight w:val="none"/>
        </w:rPr>
        <w:t>如果</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中未对文件中的条款或参数要求提出偏离意见或澄清将视同</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文件的全部或部分要求。</w:t>
      </w:r>
    </w:p>
    <w:p>
      <w:pPr>
        <w:pStyle w:val="4"/>
        <w:pageBreakBefore w:val="0"/>
        <w:shd w:val="clear"/>
        <w:kinsoku/>
        <w:wordWrap/>
        <w:overflowPunct/>
        <w:topLinePunct w:val="0"/>
        <w:bidi w:val="0"/>
        <w:spacing w:line="360" w:lineRule="auto"/>
        <w:ind w:firstLine="3626" w:firstLineChars="1290"/>
        <w:rPr>
          <w:rFonts w:hint="eastAsia" w:ascii="宋体" w:hAnsi="宋体" w:eastAsia="宋体" w:cs="宋体"/>
          <w:color w:val="auto"/>
          <w:sz w:val="28"/>
          <w:highlight w:val="none"/>
          <w:lang w:val="en-US"/>
        </w:rPr>
      </w:pPr>
      <w:bookmarkStart w:id="85" w:name="_Toc20020"/>
      <w:bookmarkStart w:id="86" w:name="_Toc29794"/>
      <w:bookmarkStart w:id="87" w:name="_Toc11985"/>
      <w:r>
        <w:rPr>
          <w:rFonts w:hint="eastAsia" w:ascii="宋体" w:hAnsi="宋体" w:eastAsia="宋体" w:cs="宋体"/>
          <w:color w:val="auto"/>
          <w:sz w:val="28"/>
          <w:highlight w:val="none"/>
        </w:rPr>
        <w:t>五、</w:t>
      </w:r>
      <w:r>
        <w:rPr>
          <w:rFonts w:hint="eastAsia" w:ascii="宋体" w:hAnsi="宋体" w:cs="宋体"/>
          <w:color w:val="auto"/>
          <w:sz w:val="28"/>
          <w:highlight w:val="none"/>
          <w:lang w:val="en-US" w:eastAsia="zh-CN"/>
        </w:rPr>
        <w:t>谈判</w:t>
      </w:r>
      <w:bookmarkEnd w:id="85"/>
      <w:bookmarkEnd w:id="86"/>
      <w:bookmarkEnd w:id="87"/>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88" w:name="_Toc25491"/>
      <w:bookmarkStart w:id="89" w:name="_Toc23104"/>
      <w:r>
        <w:rPr>
          <w:rFonts w:hint="eastAsia" w:ascii="仿宋_GB2312" w:hAnsi="仿宋_GB2312" w:eastAsia="仿宋_GB2312" w:cs="仿宋_GB2312"/>
          <w:b/>
          <w:color w:val="auto"/>
          <w:sz w:val="24"/>
          <w:highlight w:val="none"/>
        </w:rPr>
        <w:t>21、</w:t>
      </w:r>
      <w:r>
        <w:rPr>
          <w:rFonts w:hint="eastAsia" w:ascii="仿宋_GB2312" w:hAnsi="仿宋_GB2312" w:eastAsia="仿宋_GB2312" w:cs="仿宋_GB2312"/>
          <w:b/>
          <w:color w:val="auto"/>
          <w:sz w:val="24"/>
          <w:highlight w:val="none"/>
          <w:lang w:val="en-US" w:eastAsia="zh-CN"/>
        </w:rPr>
        <w:t>谈判</w:t>
      </w:r>
      <w:bookmarkEnd w:id="88"/>
      <w:bookmarkEnd w:id="89"/>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 xml:space="preserve">21.1 </w:t>
      </w:r>
      <w:r>
        <w:rPr>
          <w:rFonts w:hint="eastAsia" w:ascii="仿宋_GB2312" w:hAnsi="仿宋_GB2312" w:eastAsia="仿宋_GB2312" w:cs="仿宋_GB2312"/>
          <w:color w:val="auto"/>
          <w:sz w:val="24"/>
          <w:highlight w:val="none"/>
        </w:rPr>
        <w:t>代理机构在“</w:t>
      </w:r>
      <w:r>
        <w:rPr>
          <w:rFonts w:hint="eastAsia" w:ascii="仿宋_GB2312" w:hAnsi="仿宋_GB2312" w:eastAsia="仿宋_GB2312" w:cs="仿宋_GB2312"/>
          <w:color w:val="auto"/>
          <w:sz w:val="24"/>
          <w:highlight w:val="none"/>
          <w:lang w:eastAsia="zh-CN"/>
        </w:rPr>
        <w:t>供应商须知前附表</w:t>
      </w:r>
      <w:r>
        <w:rPr>
          <w:rFonts w:hint="eastAsia" w:ascii="仿宋_GB2312" w:hAnsi="仿宋_GB2312" w:eastAsia="仿宋_GB2312" w:cs="仿宋_GB2312"/>
          <w:color w:val="auto"/>
          <w:sz w:val="24"/>
          <w:highlight w:val="none"/>
        </w:rPr>
        <w:t>”中规定的日期、时间和地点组织</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szCs w:val="24"/>
          <w:highlight w:val="none"/>
        </w:rPr>
        <w:t>采购单位代表及有关工作人员参加，政府采购监管部门视情况参与</w:t>
      </w:r>
      <w:r>
        <w:rPr>
          <w:rFonts w:hint="eastAsia" w:ascii="仿宋_GB2312" w:hAnsi="仿宋_GB2312" w:eastAsia="仿宋_GB2312" w:cs="仿宋_GB2312"/>
          <w:color w:val="auto"/>
          <w:sz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24"/>
          <w:highlight w:val="none"/>
        </w:rPr>
        <w:t>21.2</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szCs w:val="24"/>
          <w:highlight w:val="none"/>
        </w:rPr>
        <w:t>会将于供应商须知前附表规定的时间和地点召开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邀请供应商参加</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color w:val="auto"/>
          <w:sz w:val="24"/>
          <w:szCs w:val="24"/>
          <w:highlight w:val="none"/>
        </w:rPr>
        <w:t>在开</w:t>
      </w:r>
      <w:r>
        <w:rPr>
          <w:rFonts w:hint="eastAsia" w:ascii="仿宋_GB2312" w:hAnsi="仿宋_GB2312" w:eastAsia="仿宋_GB2312" w:cs="仿宋_GB2312"/>
          <w:b/>
          <w:color w:val="auto"/>
          <w:sz w:val="24"/>
          <w:szCs w:val="24"/>
          <w:highlight w:val="none"/>
          <w:lang w:eastAsia="zh-CN"/>
        </w:rPr>
        <w:t>启</w:t>
      </w:r>
      <w:r>
        <w:rPr>
          <w:rFonts w:hint="eastAsia" w:ascii="仿宋_GB2312" w:hAnsi="仿宋_GB2312" w:eastAsia="仿宋_GB2312" w:cs="仿宋_GB2312"/>
          <w:b/>
          <w:color w:val="auto"/>
          <w:sz w:val="24"/>
          <w:szCs w:val="24"/>
          <w:highlight w:val="none"/>
          <w:lang w:val="en-US" w:eastAsia="zh-CN"/>
        </w:rPr>
        <w:t>截止时间</w:t>
      </w:r>
      <w:r>
        <w:rPr>
          <w:rFonts w:hint="eastAsia" w:ascii="仿宋_GB2312" w:hAnsi="仿宋_GB2312" w:eastAsia="仿宋_GB2312" w:cs="仿宋_GB2312"/>
          <w:b/>
          <w:color w:val="auto"/>
          <w:sz w:val="24"/>
          <w:szCs w:val="24"/>
          <w:highlight w:val="none"/>
        </w:rPr>
        <w:t>前不得</w:t>
      </w:r>
      <w:r>
        <w:rPr>
          <w:rFonts w:hint="eastAsia" w:ascii="仿宋_GB2312" w:hAnsi="仿宋_GB2312" w:eastAsia="仿宋_GB2312" w:cs="仿宋_GB2312"/>
          <w:b/>
          <w:color w:val="auto"/>
          <w:sz w:val="24"/>
          <w:szCs w:val="24"/>
          <w:highlight w:val="none"/>
          <w:lang w:val="en-US" w:eastAsia="zh-CN"/>
        </w:rPr>
        <w:t>解密</w:t>
      </w:r>
      <w:r>
        <w:rPr>
          <w:rFonts w:hint="eastAsia" w:ascii="仿宋_GB2312" w:hAnsi="仿宋_GB2312" w:eastAsia="仿宋_GB2312" w:cs="仿宋_GB2312"/>
          <w:b/>
          <w:color w:val="auto"/>
          <w:sz w:val="24"/>
          <w:szCs w:val="24"/>
          <w:highlight w:val="none"/>
          <w:lang w:eastAsia="zh-CN"/>
        </w:rPr>
        <w:t>投标</w:t>
      </w:r>
      <w:r>
        <w:rPr>
          <w:rFonts w:hint="eastAsia" w:ascii="仿宋_GB2312" w:hAnsi="仿宋_GB2312" w:eastAsia="仿宋_GB2312" w:cs="仿宋_GB2312"/>
          <w:b/>
          <w:color w:val="auto"/>
          <w:sz w:val="24"/>
          <w:szCs w:val="24"/>
          <w:highlight w:val="none"/>
        </w:rPr>
        <w:t>文件</w:t>
      </w:r>
      <w:r>
        <w:rPr>
          <w:rFonts w:hint="eastAsia" w:ascii="仿宋_GB2312" w:hAnsi="仿宋_GB2312" w:eastAsia="仿宋_GB2312" w:cs="仿宋_GB2312"/>
          <w:color w:val="auto"/>
          <w:sz w:val="24"/>
          <w:highlight w:val="none"/>
        </w:rPr>
        <w:t>。</w:t>
      </w:r>
    </w:p>
    <w:p>
      <w:pPr>
        <w:pageBreakBefore w:val="0"/>
        <w:numPr>
          <w:ilvl w:val="0"/>
          <w:numId w:val="4"/>
        </w:numPr>
        <w:shd w:val="clear"/>
        <w:kinsoku/>
        <w:wordWrap/>
        <w:overflowPunct/>
        <w:topLinePunct w:val="0"/>
        <w:bidi w:val="0"/>
        <w:spacing w:line="360" w:lineRule="auto"/>
        <w:outlineLvl w:val="2"/>
        <w:rPr>
          <w:rFonts w:hint="eastAsia" w:ascii="仿宋_GB2312" w:hAnsi="仿宋_GB2312" w:eastAsia="仿宋_GB2312" w:cs="仿宋_GB2312"/>
          <w:b/>
          <w:bCs/>
          <w:color w:val="auto"/>
          <w:highlight w:val="none"/>
          <w:lang w:val="en-US" w:eastAsia="zh-CN"/>
        </w:rPr>
      </w:pPr>
      <w:bookmarkStart w:id="90" w:name="_Toc10931"/>
      <w:bookmarkStart w:id="91" w:name="_Toc8456"/>
      <w:r>
        <w:rPr>
          <w:rFonts w:hint="eastAsia" w:ascii="仿宋_GB2312" w:hAnsi="仿宋_GB2312" w:eastAsia="仿宋_GB2312" w:cs="仿宋_GB2312"/>
          <w:b/>
          <w:bCs/>
          <w:color w:val="auto"/>
          <w:highlight w:val="none"/>
          <w:lang w:val="en-US" w:eastAsia="zh-CN"/>
        </w:rPr>
        <w:t>谈判小组</w:t>
      </w:r>
      <w:bookmarkEnd w:id="90"/>
      <w:bookmarkEnd w:id="91"/>
    </w:p>
    <w:p>
      <w:pPr>
        <w:pageBreakBefore w:val="0"/>
        <w:numPr>
          <w:ilvl w:val="0"/>
          <w:numId w:val="0"/>
        </w:numPr>
        <w:shd w:val="clear"/>
        <w:kinsoku/>
        <w:wordWrap/>
        <w:overflowPunct/>
        <w:topLinePunct w:val="0"/>
        <w:bidi w:val="0"/>
        <w:spacing w:line="360" w:lineRule="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bCs/>
          <w:color w:val="auto"/>
          <w:highlight w:val="none"/>
          <w:lang w:val="en-US" w:eastAsia="zh-CN"/>
        </w:rPr>
        <w:t>22.1</w:t>
      </w:r>
      <w:r>
        <w:rPr>
          <w:rFonts w:hint="eastAsia" w:ascii="仿宋_GB2312" w:hAnsi="仿宋_GB2312" w:eastAsia="仿宋_GB2312" w:cs="仿宋_GB2312"/>
          <w:b w:val="0"/>
          <w:bCs w:val="0"/>
          <w:color w:val="auto"/>
          <w:highlight w:val="none"/>
          <w:lang w:val="en-US" w:eastAsia="zh-CN"/>
        </w:rPr>
        <w:t>项目谈判小组按照政府采购法相关规定组成。</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22.2</w:t>
      </w:r>
      <w:r>
        <w:rPr>
          <w:rFonts w:hint="eastAsia" w:ascii="仿宋_GB2312" w:hAnsi="仿宋_GB2312" w:eastAsia="仿宋_GB2312" w:cs="仿宋_GB2312"/>
          <w:color w:val="auto"/>
          <w:sz w:val="24"/>
          <w:highlight w:val="none"/>
          <w:lang w:val="en-US" w:eastAsia="zh-CN"/>
        </w:rPr>
        <w:t>谈判开始时</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谈判小组</w:t>
      </w:r>
      <w:r>
        <w:rPr>
          <w:rFonts w:hint="eastAsia" w:ascii="仿宋_GB2312" w:hAnsi="仿宋_GB2312" w:eastAsia="仿宋_GB2312" w:cs="仿宋_GB2312"/>
          <w:color w:val="auto"/>
          <w:sz w:val="24"/>
          <w:highlight w:val="none"/>
        </w:rPr>
        <w:t>对各</w:t>
      </w:r>
      <w:r>
        <w:rPr>
          <w:rFonts w:hint="eastAsia" w:ascii="仿宋_GB2312" w:hAnsi="仿宋_GB2312" w:eastAsia="仿宋_GB2312" w:cs="仿宋_GB2312"/>
          <w:color w:val="auto"/>
          <w:sz w:val="24"/>
          <w:highlight w:val="none"/>
          <w:lang w:val="en-US" w:eastAsia="zh-CN"/>
        </w:rPr>
        <w:t>谈判响应文件</w:t>
      </w:r>
      <w:r>
        <w:rPr>
          <w:rFonts w:hint="eastAsia" w:ascii="仿宋_GB2312" w:hAnsi="仿宋_GB2312" w:eastAsia="仿宋_GB2312" w:cs="仿宋_GB2312"/>
          <w:color w:val="auto"/>
          <w:sz w:val="24"/>
          <w:highlight w:val="none"/>
        </w:rPr>
        <w:t>的内容进行全面审查，并确认</w:t>
      </w:r>
      <w:r>
        <w:rPr>
          <w:rFonts w:hint="eastAsia" w:ascii="仿宋_GB2312" w:hAnsi="仿宋_GB2312" w:eastAsia="仿宋_GB2312" w:cs="仿宋_GB2312"/>
          <w:color w:val="auto"/>
          <w:sz w:val="24"/>
          <w:highlight w:val="none"/>
          <w:lang w:val="en-US" w:eastAsia="zh-CN"/>
        </w:rPr>
        <w:t>谈判响应文件</w:t>
      </w:r>
      <w:r>
        <w:rPr>
          <w:rFonts w:hint="eastAsia" w:ascii="仿宋_GB2312" w:hAnsi="仿宋_GB2312" w:eastAsia="仿宋_GB2312" w:cs="仿宋_GB2312"/>
          <w:color w:val="auto"/>
          <w:sz w:val="24"/>
          <w:highlight w:val="none"/>
        </w:rPr>
        <w:t>是否符合或实质上响应了</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文件的有关要求，只有实质上响应了</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文件的</w:t>
      </w:r>
      <w:r>
        <w:rPr>
          <w:rFonts w:hint="eastAsia" w:ascii="仿宋_GB2312" w:hAnsi="仿宋_GB2312" w:eastAsia="仿宋_GB2312" w:cs="仿宋_GB2312"/>
          <w:color w:val="auto"/>
          <w:sz w:val="24"/>
          <w:highlight w:val="none"/>
          <w:lang w:val="en-US" w:eastAsia="zh-CN"/>
        </w:rPr>
        <w:t>谈判响应文件</w:t>
      </w:r>
      <w:r>
        <w:rPr>
          <w:rFonts w:hint="eastAsia" w:ascii="仿宋_GB2312" w:hAnsi="仿宋_GB2312" w:eastAsia="仿宋_GB2312" w:cs="仿宋_GB2312"/>
          <w:color w:val="auto"/>
          <w:sz w:val="24"/>
          <w:highlight w:val="none"/>
        </w:rPr>
        <w:t>才能被</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人接受。</w:t>
      </w:r>
    </w:p>
    <w:p>
      <w:pPr>
        <w:pageBreakBefore w:val="0"/>
        <w:shd w:val="clear"/>
        <w:kinsoku/>
        <w:wordWrap/>
        <w:overflowPunct/>
        <w:topLinePunct w:val="0"/>
        <w:bidi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实质上不响应文件的要求，</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人将予以否决，并且不允许通过修正或撤销其不符合要求的差异或意见保留，使之成为具有响应性的投标。无效</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的确定按国家计委等七部委发布的《评标委员会和评标方法暂行规定》和本</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文件的规定执行。</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22.</w:t>
      </w:r>
      <w:r>
        <w:rPr>
          <w:rFonts w:hint="eastAsia" w:ascii="仿宋_GB2312" w:hAnsi="仿宋_GB2312" w:eastAsia="仿宋_GB2312" w:cs="仿宋_GB2312"/>
          <w:b/>
          <w:color w:val="auto"/>
          <w:sz w:val="24"/>
          <w:highlight w:val="none"/>
          <w:lang w:val="en-US" w:eastAsia="zh-CN"/>
        </w:rPr>
        <w:t>3</w:t>
      </w:r>
      <w:r>
        <w:rPr>
          <w:rFonts w:hint="eastAsia" w:ascii="仿宋_GB2312" w:hAnsi="仿宋_GB2312" w:eastAsia="仿宋_GB2312" w:cs="仿宋_GB2312"/>
          <w:b w:val="0"/>
          <w:bCs/>
          <w:color w:val="auto"/>
          <w:sz w:val="24"/>
          <w:highlight w:val="none"/>
          <w:lang w:val="en-US" w:eastAsia="zh-CN"/>
        </w:rPr>
        <w:t>谈判小组将与进入谈判的报价人依照递交谈判响应文件顺序分别进行一对一谈判。</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color w:val="auto"/>
          <w:sz w:val="24"/>
          <w:highlight w:val="none"/>
        </w:rPr>
        <w:t>22.</w:t>
      </w:r>
      <w:r>
        <w:rPr>
          <w:rFonts w:hint="eastAsia" w:ascii="仿宋_GB2312" w:hAnsi="仿宋_GB2312" w:eastAsia="仿宋_GB2312" w:cs="仿宋_GB2312"/>
          <w:b/>
          <w:color w:val="auto"/>
          <w:sz w:val="24"/>
          <w:highlight w:val="none"/>
          <w:lang w:val="en-US" w:eastAsia="zh-CN"/>
        </w:rPr>
        <w:t>4</w:t>
      </w:r>
      <w:r>
        <w:rPr>
          <w:rFonts w:hint="eastAsia" w:ascii="仿宋_GB2312" w:hAnsi="仿宋_GB2312" w:eastAsia="仿宋_GB2312" w:cs="仿宋_GB2312"/>
          <w:b w:val="0"/>
          <w:bCs/>
          <w:color w:val="auto"/>
          <w:sz w:val="24"/>
          <w:highlight w:val="none"/>
          <w:lang w:val="en-US" w:eastAsia="zh-CN"/>
        </w:rPr>
        <w:t>谈判小组可要求报价人就谈判中的具体问题作出书面回答或承诺，报价人提交的书面回答或承诺应由报价人盖章，并将作为其谈判响应文件的一部分。谈判次数及每个报价人的谈判时间将由谈判小组根据具体谈判情况确定。在谈判中，谈判小组可以对谈判文件进行调整，但将告知每个参与谈判的报价人。</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val="0"/>
          <w:bCs/>
          <w:color w:val="auto"/>
          <w:sz w:val="24"/>
          <w:highlight w:val="none"/>
          <w:lang w:val="en-US" w:eastAsia="zh-CN"/>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bCs w:val="0"/>
          <w:color w:val="auto"/>
          <w:sz w:val="24"/>
          <w:highlight w:val="none"/>
          <w:lang w:val="en-US" w:eastAsia="zh-CN"/>
        </w:rPr>
      </w:pPr>
      <w:bookmarkStart w:id="92" w:name="_Toc12797"/>
      <w:bookmarkStart w:id="93" w:name="_Toc32102"/>
      <w:r>
        <w:rPr>
          <w:rFonts w:hint="eastAsia" w:ascii="仿宋_GB2312" w:hAnsi="仿宋_GB2312" w:eastAsia="仿宋_GB2312" w:cs="仿宋_GB2312"/>
          <w:b/>
          <w:bCs w:val="0"/>
          <w:color w:val="auto"/>
          <w:sz w:val="24"/>
          <w:highlight w:val="none"/>
          <w:lang w:val="en-US" w:eastAsia="zh-CN"/>
        </w:rPr>
        <w:t>23.谈判原则</w:t>
      </w:r>
      <w:bookmarkEnd w:id="92"/>
      <w:bookmarkEnd w:id="93"/>
    </w:p>
    <w:p>
      <w:pPr>
        <w:pageBreakBefore w:val="0"/>
        <w:shd w:val="clear"/>
        <w:kinsoku/>
        <w:wordWrap/>
        <w:overflowPunct/>
        <w:topLinePunct w:val="0"/>
        <w:bidi w:val="0"/>
        <w:spacing w:line="360" w:lineRule="auto"/>
        <w:ind w:firstLine="480" w:firstLineChars="200"/>
        <w:rPr>
          <w:rFonts w:hint="eastAsia" w:ascii="仿宋_GB2312" w:hAnsi="仿宋_GB2312" w:eastAsia="仿宋_GB2312" w:cs="仿宋_GB2312"/>
          <w:b/>
          <w:bCs w:val="0"/>
          <w:color w:val="auto"/>
          <w:sz w:val="24"/>
          <w:highlight w:val="none"/>
          <w:lang w:val="en-US" w:eastAsia="zh-CN"/>
        </w:rPr>
      </w:pPr>
      <w:r>
        <w:rPr>
          <w:rFonts w:hint="eastAsia" w:ascii="仿宋_GB2312" w:hAnsi="仿宋_GB2312" w:eastAsia="仿宋_GB2312" w:cs="仿宋_GB2312"/>
          <w:b w:val="0"/>
          <w:bCs/>
          <w:color w:val="auto"/>
          <w:sz w:val="24"/>
          <w:highlight w:val="none"/>
          <w:lang w:val="en-US" w:eastAsia="zh-CN"/>
        </w:rPr>
        <w:t>由谈判小组结合谈判响应文件及最终承诺，</w:t>
      </w:r>
      <w:r>
        <w:rPr>
          <w:rFonts w:hint="eastAsia" w:ascii="仿宋_GB2312" w:hAnsi="仿宋_GB2312" w:eastAsia="仿宋_GB2312" w:cs="仿宋_GB2312"/>
          <w:b/>
          <w:bCs w:val="0"/>
          <w:color w:val="auto"/>
          <w:sz w:val="24"/>
          <w:highlight w:val="none"/>
          <w:lang w:val="en-US" w:eastAsia="zh-CN"/>
        </w:rPr>
        <w:t>在符合采购需求、质量和服务相等的前提下，推荐提出最低报价的供应商作为成交供应商。</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23.1</w:t>
      </w:r>
      <w:r>
        <w:rPr>
          <w:rFonts w:hint="eastAsia" w:ascii="仿宋_GB2312" w:hAnsi="仿宋_GB2312" w:eastAsia="仿宋_GB2312" w:cs="仿宋_GB2312"/>
          <w:b w:val="0"/>
          <w:bCs/>
          <w:color w:val="auto"/>
          <w:sz w:val="24"/>
          <w:highlight w:val="none"/>
          <w:lang w:val="en-US" w:eastAsia="zh-CN"/>
        </w:rPr>
        <w:t>报价人在谈判响应文件及最终承诺中应对产品技术参数及产品要求作出完全性、真实性的响应。</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23.2</w:t>
      </w:r>
      <w:r>
        <w:rPr>
          <w:rFonts w:hint="eastAsia" w:ascii="仿宋_GB2312" w:hAnsi="仿宋_GB2312" w:eastAsia="仿宋_GB2312" w:cs="仿宋_GB2312"/>
          <w:b w:val="0"/>
          <w:bCs/>
          <w:color w:val="auto"/>
          <w:sz w:val="24"/>
          <w:highlight w:val="none"/>
          <w:lang w:val="en-US" w:eastAsia="zh-CN"/>
        </w:rPr>
        <w:t>报价人应有能力保证项目的实施。</w:t>
      </w:r>
    </w:p>
    <w:p>
      <w:pPr>
        <w:pageBreakBefore w:val="0"/>
        <w:shd w:val="clear"/>
        <w:kinsoku/>
        <w:wordWrap/>
        <w:overflowPunct/>
        <w:topLinePunct w:val="0"/>
        <w:bidi w:val="0"/>
        <w:spacing w:line="360" w:lineRule="auto"/>
        <w:rPr>
          <w:rFonts w:hint="eastAsia" w:ascii="仿宋_GB2312" w:hAnsi="仿宋_GB2312" w:eastAsia="仿宋_GB2312" w:cs="仿宋_GB2312"/>
          <w:b/>
          <w:bCs w:val="0"/>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23.3最终报价</w:t>
      </w:r>
    </w:p>
    <w:p>
      <w:pPr>
        <w:pageBreakBefore w:val="0"/>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23.4</w:t>
      </w:r>
      <w:r>
        <w:rPr>
          <w:rFonts w:hint="eastAsia" w:ascii="仿宋_GB2312" w:hAnsi="仿宋_GB2312" w:eastAsia="仿宋_GB2312" w:cs="仿宋_GB2312"/>
          <w:b w:val="0"/>
          <w:bCs/>
          <w:color w:val="auto"/>
          <w:sz w:val="24"/>
          <w:highlight w:val="none"/>
          <w:lang w:val="en-US" w:eastAsia="zh-CN"/>
        </w:rPr>
        <w:t>在谈判小组谈判结束后，根据报价人报价及谈判情况要求所有参加谈判的报价人在规定时间内同时提交最终报价。</w:t>
      </w:r>
    </w:p>
    <w:p>
      <w:pPr>
        <w:pStyle w:val="4"/>
        <w:shd w:val="clear"/>
        <w:jc w:val="center"/>
        <w:rPr>
          <w:rFonts w:hint="eastAsia"/>
          <w:color w:val="auto"/>
          <w:highlight w:val="none"/>
          <w:lang w:val="en-US" w:eastAsia="zh-CN"/>
        </w:rPr>
      </w:pPr>
      <w:bookmarkStart w:id="94" w:name="_Toc28760"/>
      <w:bookmarkStart w:id="95" w:name="_Toc9190"/>
      <w:bookmarkStart w:id="96" w:name="_Toc17523"/>
      <w:r>
        <w:rPr>
          <w:rFonts w:hint="eastAsia"/>
          <w:color w:val="auto"/>
          <w:highlight w:val="none"/>
          <w:lang w:val="en-US" w:eastAsia="zh-CN"/>
        </w:rPr>
        <w:t>六、成交</w:t>
      </w:r>
      <w:bookmarkEnd w:id="94"/>
      <w:bookmarkEnd w:id="95"/>
      <w:bookmarkEnd w:id="96"/>
    </w:p>
    <w:p>
      <w:pPr>
        <w:pageBreakBefore w:val="0"/>
        <w:numPr>
          <w:ilvl w:val="0"/>
          <w:numId w:val="0"/>
        </w:numPr>
        <w:shd w:val="clear"/>
        <w:kinsoku/>
        <w:wordWrap/>
        <w:overflowPunct/>
        <w:topLinePunct w:val="0"/>
        <w:bidi w:val="0"/>
        <w:spacing w:line="360" w:lineRule="auto"/>
        <w:outlineLvl w:val="2"/>
        <w:rPr>
          <w:rFonts w:hint="eastAsia" w:ascii="仿宋_GB2312" w:hAnsi="仿宋_GB2312" w:eastAsia="仿宋_GB2312" w:cs="仿宋_GB2312"/>
          <w:b/>
          <w:bCs w:val="0"/>
          <w:color w:val="auto"/>
          <w:sz w:val="24"/>
          <w:highlight w:val="none"/>
          <w:lang w:val="en-US" w:eastAsia="zh-CN"/>
        </w:rPr>
      </w:pPr>
      <w:bookmarkStart w:id="97" w:name="_Toc3362"/>
      <w:bookmarkStart w:id="98" w:name="_Toc8642"/>
      <w:r>
        <w:rPr>
          <w:rFonts w:hint="eastAsia" w:ascii="仿宋_GB2312" w:hAnsi="仿宋_GB2312" w:eastAsia="仿宋_GB2312" w:cs="仿宋_GB2312"/>
          <w:b/>
          <w:bCs w:val="0"/>
          <w:color w:val="auto"/>
          <w:sz w:val="24"/>
          <w:highlight w:val="none"/>
          <w:lang w:val="en-US" w:eastAsia="zh-CN"/>
        </w:rPr>
        <w:t>24.成交通知书</w:t>
      </w:r>
      <w:bookmarkEnd w:id="97"/>
      <w:bookmarkEnd w:id="98"/>
    </w:p>
    <w:p>
      <w:pPr>
        <w:pageBreakBefore w:val="0"/>
        <w:numPr>
          <w:ilvl w:val="0"/>
          <w:numId w:val="0"/>
        </w:numPr>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24.1</w:t>
      </w:r>
      <w:r>
        <w:rPr>
          <w:rFonts w:hint="eastAsia" w:ascii="仿宋_GB2312" w:hAnsi="仿宋_GB2312" w:eastAsia="仿宋_GB2312" w:cs="仿宋_GB2312"/>
          <w:b w:val="0"/>
          <w:bCs/>
          <w:color w:val="auto"/>
          <w:sz w:val="24"/>
          <w:highlight w:val="none"/>
          <w:lang w:val="en-US" w:eastAsia="zh-CN"/>
        </w:rPr>
        <w:t>成交人确定后，采购代理机构将向成交人发出成交通知书。</w:t>
      </w:r>
    </w:p>
    <w:p>
      <w:pPr>
        <w:pageBreakBefore w:val="0"/>
        <w:numPr>
          <w:ilvl w:val="0"/>
          <w:numId w:val="0"/>
        </w:numPr>
        <w:shd w:val="clear"/>
        <w:kinsoku/>
        <w:wordWrap/>
        <w:overflowPunct/>
        <w:topLinePunct w:val="0"/>
        <w:bidi w:val="0"/>
        <w:spacing w:line="360" w:lineRule="auto"/>
        <w:rPr>
          <w:rFonts w:hint="eastAsia" w:ascii="仿宋_GB2312" w:hAnsi="仿宋_GB2312" w:eastAsia="仿宋_GB2312" w:cs="仿宋_GB2312"/>
          <w:b w:val="0"/>
          <w:bCs/>
          <w:color w:val="auto"/>
          <w:sz w:val="24"/>
          <w:highlight w:val="none"/>
          <w:lang w:val="en-US" w:eastAsia="zh-CN"/>
        </w:rPr>
      </w:pPr>
      <w:r>
        <w:rPr>
          <w:rFonts w:hint="eastAsia" w:ascii="仿宋_GB2312" w:hAnsi="仿宋_GB2312" w:eastAsia="仿宋_GB2312" w:cs="仿宋_GB2312"/>
          <w:b/>
          <w:bCs w:val="0"/>
          <w:color w:val="auto"/>
          <w:sz w:val="24"/>
          <w:highlight w:val="none"/>
          <w:lang w:val="en-US" w:eastAsia="zh-CN"/>
        </w:rPr>
        <w:t>24.2</w:t>
      </w:r>
      <w:r>
        <w:rPr>
          <w:rFonts w:hint="eastAsia" w:ascii="仿宋_GB2312" w:hAnsi="仿宋_GB2312" w:eastAsia="仿宋_GB2312" w:cs="仿宋_GB2312"/>
          <w:b w:val="0"/>
          <w:bCs/>
          <w:color w:val="auto"/>
          <w:sz w:val="24"/>
          <w:highlight w:val="none"/>
          <w:lang w:val="en-US" w:eastAsia="zh-CN"/>
        </w:rPr>
        <w:t>成交通知书是合同的一个组成部分。</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99" w:name="_Toc6845"/>
      <w:bookmarkStart w:id="100" w:name="_Toc10132"/>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lang w:eastAsia="zh-CN"/>
        </w:rPr>
        <w:t>成交</w:t>
      </w:r>
      <w:r>
        <w:rPr>
          <w:rFonts w:hint="eastAsia" w:ascii="仿宋_GB2312" w:hAnsi="仿宋_GB2312" w:eastAsia="仿宋_GB2312" w:cs="仿宋_GB2312"/>
          <w:b/>
          <w:color w:val="auto"/>
          <w:sz w:val="24"/>
          <w:highlight w:val="none"/>
        </w:rPr>
        <w:t>通知</w:t>
      </w:r>
      <w:bookmarkEnd w:id="99"/>
      <w:bookmarkEnd w:id="100"/>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5.1</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公示期：</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结果公示</w:t>
      </w:r>
      <w:r>
        <w:rPr>
          <w:rFonts w:hint="eastAsia" w:ascii="仿宋_GB2312" w:hAnsi="仿宋_GB2312" w:eastAsia="仿宋_GB2312" w:cs="仿宋_GB2312"/>
          <w:color w:val="auto"/>
          <w:sz w:val="24"/>
          <w:highlight w:val="none"/>
          <w:lang w:eastAsia="zh-CN"/>
        </w:rPr>
        <w:t>一</w:t>
      </w:r>
      <w:r>
        <w:rPr>
          <w:rFonts w:hint="eastAsia" w:ascii="仿宋_GB2312" w:hAnsi="仿宋_GB2312" w:eastAsia="仿宋_GB2312" w:cs="仿宋_GB2312"/>
          <w:color w:val="auto"/>
          <w:sz w:val="24"/>
          <w:highlight w:val="none"/>
        </w:rPr>
        <w:t>个工作日。</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5.2</w:t>
      </w:r>
      <w:r>
        <w:rPr>
          <w:rFonts w:hint="eastAsia" w:ascii="仿宋_GB2312" w:hAnsi="仿宋_GB2312" w:eastAsia="仿宋_GB2312" w:cs="仿宋_GB2312"/>
          <w:color w:val="auto"/>
          <w:sz w:val="24"/>
          <w:highlight w:val="none"/>
        </w:rPr>
        <w:t>代理机构根据</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结果，在</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有效期届满前，以书面形式向</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单位发出</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通知书。</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5.3</w:t>
      </w:r>
      <w:r>
        <w:rPr>
          <w:rFonts w:hint="eastAsia" w:ascii="仿宋_GB2312" w:hAnsi="仿宋_GB2312" w:eastAsia="仿宋_GB2312" w:cs="仿宋_GB2312"/>
          <w:color w:val="auto"/>
          <w:sz w:val="24"/>
          <w:highlight w:val="none"/>
        </w:rPr>
        <w:t>代理机构将</w:t>
      </w:r>
      <w:r>
        <w:rPr>
          <w:rFonts w:hint="eastAsia" w:ascii="仿宋_GB2312" w:hAnsi="仿宋_GB2312" w:eastAsia="仿宋_GB2312" w:cs="仿宋_GB2312"/>
          <w:color w:val="auto"/>
          <w:sz w:val="24"/>
          <w:highlight w:val="none"/>
          <w:lang w:val="en-US" w:eastAsia="zh-CN"/>
        </w:rPr>
        <w:t>谈判</w:t>
      </w:r>
      <w:r>
        <w:rPr>
          <w:rFonts w:hint="eastAsia" w:ascii="仿宋_GB2312" w:hAnsi="仿宋_GB2312" w:eastAsia="仿宋_GB2312" w:cs="仿宋_GB2312"/>
          <w:color w:val="auto"/>
          <w:sz w:val="24"/>
          <w:highlight w:val="none"/>
        </w:rPr>
        <w:t>结果及时通知未</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无需解释</w:t>
      </w:r>
      <w:r>
        <w:rPr>
          <w:rFonts w:hint="eastAsia" w:ascii="仿宋_GB2312" w:hAnsi="仿宋_GB2312" w:eastAsia="仿宋_GB2312" w:cs="仿宋_GB2312"/>
          <w:color w:val="auto"/>
          <w:sz w:val="24"/>
          <w:highlight w:val="none"/>
          <w:lang w:eastAsia="zh-CN"/>
        </w:rPr>
        <w:t>未</w:t>
      </w:r>
      <w:r>
        <w:rPr>
          <w:rFonts w:hint="eastAsia" w:ascii="仿宋_GB2312" w:hAnsi="仿宋_GB2312" w:eastAsia="仿宋_GB2312" w:cs="仿宋_GB2312"/>
          <w:color w:val="auto"/>
          <w:sz w:val="24"/>
          <w:highlight w:val="none"/>
          <w:lang w:val="en-US" w:eastAsia="zh-CN"/>
        </w:rPr>
        <w:t>成交</w:t>
      </w:r>
      <w:r>
        <w:rPr>
          <w:rFonts w:hint="eastAsia" w:ascii="仿宋_GB2312" w:hAnsi="仿宋_GB2312" w:eastAsia="仿宋_GB2312" w:cs="仿宋_GB2312"/>
          <w:color w:val="auto"/>
          <w:sz w:val="24"/>
          <w:highlight w:val="none"/>
        </w:rPr>
        <w:t>原因。</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101" w:name="_Toc14179"/>
      <w:bookmarkStart w:id="102" w:name="_Toc26974"/>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拒绝某些或所有投标的权利</w:t>
      </w:r>
      <w:bookmarkEnd w:id="101"/>
      <w:bookmarkEnd w:id="102"/>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val="0"/>
          <w:bCs/>
          <w:color w:val="auto"/>
          <w:sz w:val="24"/>
          <w:highlight w:val="none"/>
          <w:lang w:val="en-US" w:eastAsia="zh-CN"/>
        </w:rPr>
        <w:t>采购</w:t>
      </w:r>
      <w:r>
        <w:rPr>
          <w:rFonts w:hint="eastAsia" w:ascii="仿宋_GB2312" w:hAnsi="仿宋_GB2312" w:eastAsia="仿宋_GB2312" w:cs="仿宋_GB2312"/>
          <w:b w:val="0"/>
          <w:bCs/>
          <w:color w:val="auto"/>
          <w:sz w:val="24"/>
          <w:highlight w:val="none"/>
        </w:rPr>
        <w:t>人有</w:t>
      </w:r>
      <w:r>
        <w:rPr>
          <w:rFonts w:hint="eastAsia" w:ascii="仿宋_GB2312" w:hAnsi="仿宋_GB2312" w:eastAsia="仿宋_GB2312" w:cs="仿宋_GB2312"/>
          <w:color w:val="auto"/>
          <w:sz w:val="24"/>
          <w:highlight w:val="none"/>
        </w:rPr>
        <w:t>权在</w:t>
      </w:r>
      <w:r>
        <w:rPr>
          <w:rFonts w:hint="eastAsia" w:ascii="仿宋_GB2312" w:hAnsi="仿宋_GB2312" w:eastAsia="仿宋_GB2312" w:cs="仿宋_GB2312"/>
          <w:color w:val="auto"/>
          <w:sz w:val="24"/>
          <w:highlight w:val="none"/>
          <w:lang w:val="en-US" w:eastAsia="zh-CN"/>
        </w:rPr>
        <w:t>确定中标报价人</w:t>
      </w:r>
      <w:r>
        <w:rPr>
          <w:rFonts w:hint="eastAsia" w:ascii="仿宋_GB2312" w:hAnsi="仿宋_GB2312" w:eastAsia="仿宋_GB2312" w:cs="仿宋_GB2312"/>
          <w:color w:val="auto"/>
          <w:sz w:val="24"/>
          <w:highlight w:val="none"/>
        </w:rPr>
        <w:t>之前拒绝任何有不正当行为或扰乱正常工作的</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，由此对</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造成的损失不负任何责任，同时对此无需做出任何解释。</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27.</w:t>
      </w:r>
      <w:r>
        <w:rPr>
          <w:rFonts w:hint="eastAsia" w:ascii="仿宋_GB2312" w:hAnsi="仿宋_GB2312" w:eastAsia="仿宋_GB2312" w:cs="仿宋_GB2312"/>
          <w:b/>
          <w:color w:val="auto"/>
          <w:sz w:val="24"/>
          <w:highlight w:val="none"/>
        </w:rPr>
        <w:t>付款方式：</w:t>
      </w:r>
      <w:r>
        <w:rPr>
          <w:rFonts w:hint="eastAsia" w:ascii="仿宋_GB2312" w:hAnsi="仿宋_GB2312" w:eastAsia="仿宋_GB2312" w:cs="仿宋_GB2312"/>
          <w:color w:val="auto"/>
          <w:sz w:val="24"/>
          <w:highlight w:val="none"/>
          <w:lang w:val="en-US" w:eastAsia="zh-CN"/>
        </w:rPr>
        <w:t>按成交人与采购人签订合同的付款方式执行</w:t>
      </w:r>
      <w:r>
        <w:rPr>
          <w:rFonts w:hint="eastAsia" w:ascii="仿宋_GB2312" w:hAnsi="仿宋_GB2312" w:eastAsia="仿宋_GB2312" w:cs="仿宋_GB2312"/>
          <w:color w:val="auto"/>
          <w:sz w:val="24"/>
          <w:highlight w:val="none"/>
        </w:rPr>
        <w:t>。每次付款时均由</w:t>
      </w:r>
      <w:r>
        <w:rPr>
          <w:rFonts w:hint="eastAsia" w:ascii="仿宋_GB2312" w:hAnsi="仿宋_GB2312" w:eastAsia="仿宋_GB2312" w:cs="仿宋_GB2312"/>
          <w:color w:val="auto"/>
          <w:sz w:val="24"/>
          <w:highlight w:val="none"/>
          <w:lang w:eastAsia="zh-CN"/>
        </w:rPr>
        <w:t>供货</w:t>
      </w:r>
      <w:r>
        <w:rPr>
          <w:rFonts w:hint="eastAsia" w:ascii="仿宋_GB2312" w:hAnsi="仿宋_GB2312" w:eastAsia="仿宋_GB2312" w:cs="仿宋_GB2312"/>
          <w:color w:val="auto"/>
          <w:sz w:val="24"/>
          <w:highlight w:val="none"/>
        </w:rPr>
        <w:t>方提供国家正规发票。</w:t>
      </w:r>
    </w:p>
    <w:p>
      <w:pPr>
        <w:pStyle w:val="4"/>
        <w:pageBreakBefore w:val="0"/>
        <w:shd w:val="clear"/>
        <w:kinsoku/>
        <w:wordWrap/>
        <w:overflowPunct/>
        <w:topLinePunct w:val="0"/>
        <w:bidi w:val="0"/>
        <w:spacing w:line="360" w:lineRule="auto"/>
        <w:jc w:val="center"/>
        <w:rPr>
          <w:rFonts w:hint="eastAsia" w:ascii="宋体" w:hAnsi="宋体" w:eastAsia="宋体" w:cs="宋体"/>
          <w:color w:val="auto"/>
          <w:highlight w:val="none"/>
        </w:rPr>
      </w:pPr>
      <w:bookmarkStart w:id="103" w:name="_Toc8527"/>
      <w:bookmarkStart w:id="104" w:name="_Toc30193"/>
      <w:bookmarkStart w:id="105" w:name="_Toc19776"/>
      <w:r>
        <w:rPr>
          <w:rFonts w:hint="eastAsia" w:ascii="宋体" w:hAnsi="宋体" w:eastAsia="宋体" w:cs="宋体"/>
          <w:color w:val="auto"/>
          <w:highlight w:val="none"/>
        </w:rPr>
        <w:t>七、合同签订</w:t>
      </w:r>
      <w:bookmarkEnd w:id="103"/>
      <w:bookmarkEnd w:id="104"/>
      <w:bookmarkEnd w:id="105"/>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106" w:name="_Toc14161"/>
      <w:bookmarkStart w:id="107" w:name="_Toc17330"/>
      <w:r>
        <w:rPr>
          <w:rFonts w:hint="eastAsia" w:ascii="仿宋_GB2312" w:hAnsi="仿宋_GB2312" w:eastAsia="仿宋_GB2312" w:cs="仿宋_GB2312"/>
          <w:b/>
          <w:color w:val="auto"/>
          <w:sz w:val="24"/>
          <w:highlight w:val="none"/>
          <w:lang w:val="en-US" w:eastAsia="zh-CN"/>
        </w:rPr>
        <w:t>28</w:t>
      </w:r>
      <w:r>
        <w:rPr>
          <w:rFonts w:hint="eastAsia" w:ascii="仿宋_GB2312" w:hAnsi="仿宋_GB2312" w:eastAsia="仿宋_GB2312" w:cs="仿宋_GB2312"/>
          <w:b/>
          <w:color w:val="auto"/>
          <w:sz w:val="24"/>
          <w:highlight w:val="none"/>
        </w:rPr>
        <w:t>、签订合同</w:t>
      </w:r>
      <w:bookmarkEnd w:id="106"/>
      <w:bookmarkEnd w:id="107"/>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28</w:t>
      </w: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人和</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人在自</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通知书发出之日起</w:t>
      </w: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日内，依据《中华人民共和国合同法》</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highlight w:val="none"/>
        </w:rPr>
        <w:t>有关法</w:t>
      </w:r>
      <w:r>
        <w:rPr>
          <w:rFonts w:hint="eastAsia" w:ascii="仿宋_GB2312" w:hAnsi="仿宋_GB2312" w:eastAsia="仿宋_GB2312" w:cs="仿宋_GB2312"/>
          <w:color w:val="auto"/>
          <w:sz w:val="24"/>
          <w:highlight w:val="none"/>
          <w:lang w:eastAsia="zh-CN"/>
        </w:rPr>
        <w:t>律法</w:t>
      </w:r>
      <w:r>
        <w:rPr>
          <w:rFonts w:hint="eastAsia" w:ascii="仿宋_GB2312" w:hAnsi="仿宋_GB2312" w:eastAsia="仿宋_GB2312" w:cs="仿宋_GB2312"/>
          <w:color w:val="auto"/>
          <w:sz w:val="24"/>
          <w:highlight w:val="none"/>
        </w:rPr>
        <w:t>规及</w:t>
      </w:r>
      <w:r>
        <w:rPr>
          <w:rFonts w:hint="eastAsia" w:ascii="仿宋_GB2312" w:hAnsi="仿宋_GB2312" w:eastAsia="仿宋_GB2312" w:cs="仿宋_GB2312"/>
          <w:color w:val="auto"/>
          <w:sz w:val="24"/>
          <w:highlight w:val="none"/>
          <w:lang w:eastAsia="zh-CN"/>
        </w:rPr>
        <w:t>谈判响应文件内容</w:t>
      </w:r>
      <w:r>
        <w:rPr>
          <w:rFonts w:hint="eastAsia" w:ascii="仿宋_GB2312" w:hAnsi="仿宋_GB2312" w:eastAsia="仿宋_GB2312" w:cs="仿宋_GB2312"/>
          <w:color w:val="auto"/>
          <w:sz w:val="24"/>
          <w:highlight w:val="none"/>
        </w:rPr>
        <w:t>签订合同。</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28</w:t>
      </w: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合同不得转让，合同分包需在</w:t>
      </w:r>
      <w:r>
        <w:rPr>
          <w:rFonts w:hint="eastAsia" w:ascii="仿宋_GB2312" w:hAnsi="仿宋_GB2312" w:eastAsia="仿宋_GB2312" w:cs="仿宋_GB2312"/>
          <w:color w:val="auto"/>
          <w:sz w:val="24"/>
          <w:highlight w:val="none"/>
          <w:lang w:eastAsia="zh-CN"/>
        </w:rPr>
        <w:t>谈判响应文件</w:t>
      </w:r>
      <w:r>
        <w:rPr>
          <w:rFonts w:hint="eastAsia" w:ascii="仿宋_GB2312" w:hAnsi="仿宋_GB2312" w:eastAsia="仿宋_GB2312" w:cs="仿宋_GB2312"/>
          <w:color w:val="auto"/>
          <w:sz w:val="24"/>
          <w:highlight w:val="none"/>
        </w:rPr>
        <w:t>中予以说明，并须经人同意。否则，</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人有权取消</w:t>
      </w:r>
      <w:r>
        <w:rPr>
          <w:rFonts w:hint="eastAsia" w:ascii="仿宋_GB2312" w:hAnsi="仿宋_GB2312" w:eastAsia="仿宋_GB2312" w:cs="仿宋_GB2312"/>
          <w:color w:val="auto"/>
          <w:sz w:val="24"/>
          <w:highlight w:val="none"/>
          <w:lang w:val="en-US" w:eastAsia="zh-CN"/>
        </w:rPr>
        <w:t>报价</w:t>
      </w:r>
      <w:r>
        <w:rPr>
          <w:rFonts w:hint="eastAsia" w:ascii="仿宋_GB2312" w:hAnsi="仿宋_GB2312" w:eastAsia="仿宋_GB2312" w:cs="仿宋_GB2312"/>
          <w:color w:val="auto"/>
          <w:sz w:val="24"/>
          <w:highlight w:val="none"/>
        </w:rPr>
        <w:t>人的</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资格。</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28</w:t>
      </w:r>
      <w:r>
        <w:rPr>
          <w:rFonts w:hint="eastAsia" w:ascii="仿宋_GB2312" w:hAnsi="仿宋_GB2312" w:eastAsia="仿宋_GB2312" w:cs="仿宋_GB2312"/>
          <w:b/>
          <w:color w:val="auto"/>
          <w:sz w:val="24"/>
          <w:highlight w:val="none"/>
        </w:rPr>
        <w:t>.3</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人如遇</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人违约，可从候选</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人中重新选定</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人，并签订经济合同。</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28</w:t>
      </w:r>
      <w:r>
        <w:rPr>
          <w:rFonts w:hint="eastAsia" w:ascii="仿宋_GB2312" w:hAnsi="仿宋_GB2312" w:eastAsia="仿宋_GB2312" w:cs="仿宋_GB2312"/>
          <w:b/>
          <w:color w:val="auto"/>
          <w:sz w:val="24"/>
          <w:highlight w:val="none"/>
        </w:rPr>
        <w:t>.4</w:t>
      </w:r>
      <w:r>
        <w:rPr>
          <w:rFonts w:hint="eastAsia" w:ascii="仿宋_GB2312" w:hAnsi="仿宋_GB2312" w:eastAsia="仿宋_GB2312" w:cs="仿宋_GB2312"/>
          <w:color w:val="auto"/>
          <w:sz w:val="24"/>
          <w:highlight w:val="none"/>
        </w:rPr>
        <w:t xml:space="preserve"> 合同的定制由</w:t>
      </w:r>
      <w:r>
        <w:rPr>
          <w:rFonts w:hint="eastAsia" w:ascii="仿宋_GB2312" w:hAnsi="仿宋_GB2312" w:eastAsia="仿宋_GB2312" w:cs="仿宋_GB2312"/>
          <w:color w:val="auto"/>
          <w:sz w:val="24"/>
          <w:highlight w:val="none"/>
          <w:lang w:val="en-US" w:eastAsia="zh-CN"/>
        </w:rPr>
        <w:t>采购</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人、代理机构三方参加，为确保合同双方的利益</w:t>
      </w:r>
      <w:r>
        <w:rPr>
          <w:rFonts w:hint="eastAsia" w:ascii="仿宋_GB2312" w:hAnsi="仿宋_GB2312" w:eastAsia="仿宋_GB2312" w:cs="仿宋_GB2312"/>
          <w:color w:val="auto"/>
          <w:sz w:val="24"/>
          <w:highlight w:val="none"/>
          <w:lang w:eastAsia="zh-CN"/>
        </w:rPr>
        <w:t>公平</w:t>
      </w:r>
      <w:r>
        <w:rPr>
          <w:rFonts w:hint="eastAsia" w:ascii="仿宋_GB2312" w:hAnsi="仿宋_GB2312" w:eastAsia="仿宋_GB2312" w:cs="仿宋_GB2312"/>
          <w:color w:val="auto"/>
          <w:sz w:val="24"/>
          <w:highlight w:val="none"/>
        </w:rPr>
        <w:t>均等，由代理机构在合同制订过程中进行协调。</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28</w:t>
      </w:r>
      <w:r>
        <w:rPr>
          <w:rFonts w:hint="eastAsia" w:ascii="仿宋_GB2312" w:hAnsi="仿宋_GB2312" w:eastAsia="仿宋_GB2312" w:cs="仿宋_GB2312"/>
          <w:b/>
          <w:color w:val="auto"/>
          <w:sz w:val="24"/>
          <w:highlight w:val="none"/>
        </w:rPr>
        <w:t xml:space="preserve">.5 </w:t>
      </w:r>
      <w:r>
        <w:rPr>
          <w:rFonts w:hint="eastAsia" w:ascii="仿宋_GB2312" w:hAnsi="仿宋_GB2312" w:eastAsia="仿宋_GB2312" w:cs="仿宋_GB2312"/>
          <w:color w:val="auto"/>
          <w:sz w:val="24"/>
          <w:highlight w:val="none"/>
        </w:rPr>
        <w:t>合同经</w:t>
      </w:r>
      <w:r>
        <w:rPr>
          <w:rFonts w:hint="eastAsia" w:ascii="仿宋_GB2312" w:hAnsi="仿宋_GB2312" w:eastAsia="仿宋_GB2312" w:cs="仿宋_GB2312"/>
          <w:color w:val="auto"/>
          <w:sz w:val="24"/>
          <w:highlight w:val="none"/>
          <w:lang w:val="en-US" w:eastAsia="zh-CN"/>
        </w:rPr>
        <w:t>采购人成交人</w:t>
      </w:r>
      <w:r>
        <w:rPr>
          <w:rFonts w:hint="eastAsia" w:ascii="仿宋_GB2312" w:hAnsi="仿宋_GB2312" w:eastAsia="仿宋_GB2312" w:cs="仿宋_GB2312"/>
          <w:color w:val="auto"/>
          <w:sz w:val="24"/>
          <w:highlight w:val="none"/>
        </w:rPr>
        <w:t>双方签字盖章后即生效。</w:t>
      </w:r>
      <w:r>
        <w:rPr>
          <w:rFonts w:hint="eastAsia" w:ascii="仿宋_GB2312" w:hAnsi="仿宋_GB2312" w:eastAsia="仿宋_GB2312" w:cs="仿宋_GB2312"/>
          <w:color w:val="auto"/>
          <w:sz w:val="24"/>
          <w:highlight w:val="none"/>
          <w:lang w:val="en-US" w:eastAsia="zh-CN"/>
        </w:rPr>
        <w:t>采购人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成交人</w:t>
      </w:r>
      <w:r>
        <w:rPr>
          <w:rFonts w:hint="eastAsia" w:ascii="仿宋_GB2312" w:hAnsi="仿宋_GB2312" w:eastAsia="仿宋_GB2312" w:cs="仿宋_GB2312"/>
          <w:color w:val="auto"/>
          <w:sz w:val="24"/>
          <w:highlight w:val="none"/>
        </w:rPr>
        <w:t>双方亦可自愿申请公证。</w:t>
      </w:r>
    </w:p>
    <w:p>
      <w:pPr>
        <w:pageBreakBefore w:val="0"/>
        <w:shd w:val="clear"/>
        <w:kinsoku/>
        <w:wordWrap/>
        <w:overflowPunct/>
        <w:topLinePunct w:val="0"/>
        <w:bidi w:val="0"/>
        <w:spacing w:line="360" w:lineRule="auto"/>
        <w:outlineLvl w:val="2"/>
        <w:rPr>
          <w:rFonts w:hint="eastAsia" w:ascii="仿宋_GB2312" w:hAnsi="仿宋_GB2312" w:eastAsia="仿宋_GB2312" w:cs="仿宋_GB2312"/>
          <w:b/>
          <w:color w:val="auto"/>
          <w:sz w:val="24"/>
          <w:highlight w:val="none"/>
        </w:rPr>
      </w:pPr>
      <w:bookmarkStart w:id="108" w:name="_Toc507"/>
      <w:bookmarkStart w:id="109" w:name="_Toc26392"/>
      <w:r>
        <w:rPr>
          <w:rFonts w:hint="eastAsia" w:ascii="仿宋_GB2312" w:hAnsi="仿宋_GB2312" w:eastAsia="仿宋_GB2312" w:cs="仿宋_GB2312"/>
          <w:b/>
          <w:color w:val="auto"/>
          <w:sz w:val="24"/>
          <w:highlight w:val="none"/>
          <w:lang w:val="en-US" w:eastAsia="zh-CN"/>
        </w:rPr>
        <w:t>29</w:t>
      </w:r>
      <w:r>
        <w:rPr>
          <w:rFonts w:hint="eastAsia" w:ascii="仿宋_GB2312" w:hAnsi="仿宋_GB2312" w:eastAsia="仿宋_GB2312" w:cs="仿宋_GB2312"/>
          <w:b/>
          <w:color w:val="auto"/>
          <w:sz w:val="24"/>
          <w:highlight w:val="none"/>
        </w:rPr>
        <w:t>、合同组成</w:t>
      </w:r>
      <w:bookmarkEnd w:id="108"/>
      <w:bookmarkEnd w:id="109"/>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29</w:t>
      </w:r>
      <w:r>
        <w:rPr>
          <w:rFonts w:hint="eastAsia" w:ascii="仿宋_GB2312" w:hAnsi="仿宋_GB2312" w:eastAsia="仿宋_GB2312" w:cs="仿宋_GB2312"/>
          <w:b/>
          <w:color w:val="auto"/>
          <w:sz w:val="24"/>
          <w:highlight w:val="none"/>
        </w:rPr>
        <w:t>.1</w:t>
      </w:r>
      <w:r>
        <w:rPr>
          <w:rFonts w:hint="eastAsia" w:ascii="仿宋_GB2312" w:hAnsi="仿宋_GB2312" w:eastAsia="仿宋_GB2312" w:cs="仿宋_GB2312"/>
          <w:color w:val="auto"/>
          <w:sz w:val="24"/>
          <w:highlight w:val="none"/>
        </w:rPr>
        <w:t xml:space="preserve"> 以下文件均为合同不可分割的部分：</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rPr>
        <w:t>.1.1 专用合同</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rPr>
        <w:t>.1.2 合同条款</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rPr>
        <w:t xml:space="preserve">.1.3 </w:t>
      </w:r>
      <w:r>
        <w:rPr>
          <w:rFonts w:hint="eastAsia" w:ascii="仿宋_GB2312" w:hAnsi="仿宋_GB2312" w:eastAsia="仿宋_GB2312" w:cs="仿宋_GB2312"/>
          <w:color w:val="auto"/>
          <w:sz w:val="24"/>
          <w:highlight w:val="none"/>
          <w:lang w:eastAsia="zh-CN"/>
        </w:rPr>
        <w:t>成交</w:t>
      </w:r>
      <w:r>
        <w:rPr>
          <w:rFonts w:hint="eastAsia" w:ascii="仿宋_GB2312" w:hAnsi="仿宋_GB2312" w:eastAsia="仿宋_GB2312" w:cs="仿宋_GB2312"/>
          <w:color w:val="auto"/>
          <w:sz w:val="24"/>
          <w:highlight w:val="none"/>
        </w:rPr>
        <w:t>通知书</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rPr>
        <w:t xml:space="preserve">.1.4 </w:t>
      </w:r>
      <w:r>
        <w:rPr>
          <w:rFonts w:hint="eastAsia" w:ascii="仿宋_GB2312" w:hAnsi="仿宋_GB2312" w:eastAsia="仿宋_GB2312" w:cs="仿宋_GB2312"/>
          <w:color w:val="auto"/>
          <w:sz w:val="24"/>
          <w:highlight w:val="none"/>
          <w:lang w:eastAsia="zh-CN"/>
        </w:rPr>
        <w:t>报价人谈判响应文件</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29</w:t>
      </w:r>
      <w:r>
        <w:rPr>
          <w:rFonts w:hint="eastAsia" w:ascii="仿宋_GB2312" w:hAnsi="仿宋_GB2312" w:eastAsia="仿宋_GB2312" w:cs="仿宋_GB2312"/>
          <w:color w:val="auto"/>
          <w:sz w:val="24"/>
          <w:highlight w:val="none"/>
          <w:lang w:eastAsia="zh-CN"/>
        </w:rPr>
        <w:t>.1.5 其它文件</w:t>
      </w:r>
    </w:p>
    <w:p>
      <w:pPr>
        <w:pStyle w:val="4"/>
        <w:pageBreakBefore w:val="0"/>
        <w:shd w:val="clear"/>
        <w:kinsoku/>
        <w:wordWrap/>
        <w:overflowPunct/>
        <w:topLinePunct w:val="0"/>
        <w:bidi w:val="0"/>
        <w:spacing w:line="360" w:lineRule="auto"/>
        <w:ind w:firstLine="3108" w:firstLineChars="1290"/>
        <w:rPr>
          <w:rFonts w:hint="eastAsia" w:ascii="仿宋_GB2312" w:hAnsi="仿宋_GB2312" w:eastAsia="仿宋_GB2312" w:cs="仿宋_GB2312"/>
          <w:b/>
          <w:bCs/>
          <w:color w:val="auto"/>
          <w:kern w:val="2"/>
          <w:sz w:val="24"/>
          <w:szCs w:val="24"/>
          <w:highlight w:val="none"/>
          <w:lang w:val="en-US" w:eastAsia="zh-CN" w:bidi="ar-SA"/>
        </w:rPr>
      </w:pPr>
      <w:bookmarkStart w:id="110" w:name="_Toc12603"/>
      <w:bookmarkStart w:id="111" w:name="_Toc14192"/>
      <w:bookmarkStart w:id="112" w:name="_Toc27843"/>
      <w:bookmarkStart w:id="113" w:name="_Toc20146"/>
      <w:bookmarkStart w:id="114" w:name="_Toc21896"/>
      <w:r>
        <w:rPr>
          <w:rFonts w:hint="eastAsia" w:ascii="仿宋_GB2312" w:hAnsi="仿宋_GB2312" w:eastAsia="仿宋_GB2312" w:cs="仿宋_GB2312"/>
          <w:b/>
          <w:bCs/>
          <w:color w:val="auto"/>
          <w:kern w:val="2"/>
          <w:sz w:val="24"/>
          <w:szCs w:val="24"/>
          <w:highlight w:val="none"/>
          <w:lang w:val="en-US" w:eastAsia="zh-CN" w:bidi="ar-SA"/>
        </w:rPr>
        <w:t>八、特别提示</w:t>
      </w:r>
      <w:bookmarkEnd w:id="110"/>
      <w:bookmarkEnd w:id="111"/>
      <w:bookmarkEnd w:id="112"/>
    </w:p>
    <w:p>
      <w:pPr>
        <w:pageBreakBefore w:val="0"/>
        <w:shd w:val="clear"/>
        <w:kinsoku/>
        <w:wordWrap/>
        <w:overflowPunct/>
        <w:topLinePunct w:val="0"/>
        <w:bidi w:val="0"/>
        <w:spacing w:line="360" w:lineRule="auto"/>
        <w:rPr>
          <w:rFonts w:hint="eastAsia"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30、报价人应认真研读谈判文件，充分考虑文件中的所有要求和合同条款后，编制谈判响应文件。</w:t>
      </w:r>
    </w:p>
    <w:p>
      <w:pPr>
        <w:pageBreakBefore w:val="0"/>
        <w:shd w:val="clear"/>
        <w:kinsoku/>
        <w:wordWrap/>
        <w:overflowPunct/>
        <w:topLinePunct w:val="0"/>
        <w:bidi w:val="0"/>
        <w:spacing w:line="360" w:lineRule="auto"/>
        <w:rPr>
          <w:rFonts w:hint="eastAsia"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31、如谈判文件中提供的各类表格样式不适用，报价人可另行设计表格样式，但力求内容完整，表达清晰、准确。</w:t>
      </w:r>
    </w:p>
    <w:p>
      <w:pPr>
        <w:pageBreakBefore w:val="0"/>
        <w:shd w:val="clear"/>
        <w:kinsoku/>
        <w:wordWrap/>
        <w:overflowPunct/>
        <w:topLinePunct w:val="0"/>
        <w:bidi w:val="0"/>
        <w:spacing w:line="360" w:lineRule="auto"/>
        <w:rPr>
          <w:rFonts w:hint="default" w:ascii="仿宋_GB2312" w:hAnsi="仿宋_GB2312" w:eastAsia="仿宋_GB2312" w:cs="仿宋_GB2312"/>
          <w:b w:val="0"/>
          <w:color w:val="auto"/>
          <w:kern w:val="2"/>
          <w:sz w:val="24"/>
          <w:szCs w:val="24"/>
          <w:highlight w:val="none"/>
          <w:lang w:val="en-US" w:eastAsia="zh-CN" w:bidi="ar-SA"/>
        </w:rPr>
      </w:pPr>
      <w:r>
        <w:rPr>
          <w:rFonts w:hint="eastAsia" w:ascii="仿宋_GB2312" w:hAnsi="仿宋_GB2312" w:eastAsia="仿宋_GB2312" w:cs="仿宋_GB2312"/>
          <w:b w:val="0"/>
          <w:color w:val="auto"/>
          <w:kern w:val="2"/>
          <w:sz w:val="24"/>
          <w:szCs w:val="24"/>
          <w:highlight w:val="none"/>
          <w:lang w:val="en-US" w:eastAsia="zh-CN" w:bidi="ar-SA"/>
        </w:rPr>
        <w:t>32、本文件依据《中华人民共和国政府采购法》等有关政府采购方面的法律法规文件编制，解释权属乌苏市政务服务中心。</w:t>
      </w:r>
    </w:p>
    <w:p>
      <w:pPr>
        <w:pStyle w:val="7"/>
        <w:rPr>
          <w:rFonts w:hint="eastAsia"/>
        </w:rPr>
      </w:pPr>
    </w:p>
    <w:bookmarkEnd w:id="113"/>
    <w:bookmarkEnd w:id="114"/>
    <w:p>
      <w:pPr>
        <w:shd w:val="clear"/>
        <w:snapToGrid w:val="0"/>
        <w:spacing w:line="500" w:lineRule="exact"/>
        <w:ind w:firstLine="200"/>
        <w:jc w:val="center"/>
        <w:outlineLvl w:val="1"/>
        <w:rPr>
          <w:rFonts w:hint="eastAsia" w:ascii="宋体" w:hAnsi="宋体"/>
          <w:b/>
          <w:color w:val="auto"/>
          <w:sz w:val="28"/>
          <w:szCs w:val="28"/>
          <w:highlight w:val="none"/>
        </w:rPr>
      </w:pPr>
      <w:bookmarkStart w:id="115" w:name="_Toc10502"/>
      <w:bookmarkStart w:id="116" w:name="_Toc17033"/>
      <w:r>
        <w:rPr>
          <w:rFonts w:hint="eastAsia" w:ascii="宋体" w:hAnsi="宋体"/>
          <w:b/>
          <w:color w:val="auto"/>
          <w:sz w:val="28"/>
          <w:szCs w:val="28"/>
          <w:highlight w:val="none"/>
        </w:rPr>
        <w:t>十、质疑与投诉</w:t>
      </w:r>
      <w:bookmarkEnd w:id="115"/>
      <w:bookmarkEnd w:id="116"/>
    </w:p>
    <w:p>
      <w:pPr>
        <w:shd w:val="clear"/>
        <w:snapToGrid w:val="0"/>
        <w:spacing w:line="500" w:lineRule="exact"/>
        <w:ind w:firstLine="472" w:firstLineChars="196"/>
        <w:outlineLvl w:val="2"/>
        <w:rPr>
          <w:rFonts w:hint="eastAsia" w:ascii="仿宋_GB2312" w:hAnsi="仿宋_GB2312" w:eastAsia="仿宋_GB2312" w:cs="仿宋_GB2312"/>
          <w:b/>
          <w:bCs/>
          <w:color w:val="auto"/>
          <w:sz w:val="24"/>
          <w:szCs w:val="24"/>
          <w:highlight w:val="none"/>
        </w:rPr>
      </w:pPr>
      <w:bookmarkStart w:id="117" w:name="_Toc25987"/>
      <w:bookmarkStart w:id="118" w:name="_Toc19410"/>
      <w:bookmarkStart w:id="119" w:name="_Toc8717"/>
      <w:bookmarkStart w:id="120" w:name="_Toc1272"/>
      <w:r>
        <w:rPr>
          <w:rFonts w:hint="eastAsia" w:ascii="仿宋_GB2312" w:hAnsi="仿宋_GB2312" w:eastAsia="仿宋_GB2312" w:cs="仿宋_GB2312"/>
          <w:b/>
          <w:bCs/>
          <w:color w:val="auto"/>
          <w:sz w:val="24"/>
          <w:szCs w:val="24"/>
          <w:highlight w:val="none"/>
          <w:lang w:val="en-US" w:eastAsia="zh-CN"/>
        </w:rPr>
        <w:t>33、</w:t>
      </w:r>
      <w:r>
        <w:rPr>
          <w:rFonts w:hint="eastAsia" w:ascii="仿宋_GB2312" w:hAnsi="仿宋_GB2312" w:eastAsia="仿宋_GB2312" w:cs="仿宋_GB2312"/>
          <w:b/>
          <w:bCs/>
          <w:color w:val="auto"/>
          <w:sz w:val="24"/>
          <w:szCs w:val="24"/>
          <w:highlight w:val="none"/>
        </w:rPr>
        <w:t>质疑与投诉</w:t>
      </w:r>
      <w:bookmarkEnd w:id="117"/>
      <w:bookmarkEnd w:id="118"/>
      <w:bookmarkEnd w:id="119"/>
      <w:bookmarkEnd w:id="120"/>
    </w:p>
    <w:p>
      <w:pPr>
        <w:shd w:val="clear"/>
        <w:snapToGrid w:val="0"/>
        <w:spacing w:line="500" w:lineRule="exact"/>
        <w:ind w:firstLine="482" w:firstLineChars="200"/>
        <w:outlineLvl w:val="0"/>
        <w:rPr>
          <w:rFonts w:hint="eastAsia" w:ascii="仿宋_GB2312" w:hAnsi="仿宋_GB2312" w:eastAsia="仿宋_GB2312" w:cs="仿宋_GB2312"/>
          <w:color w:val="auto"/>
          <w:sz w:val="24"/>
          <w:szCs w:val="24"/>
          <w:highlight w:val="none"/>
        </w:rPr>
      </w:pPr>
      <w:bookmarkStart w:id="121" w:name="_Toc17875"/>
      <w:bookmarkStart w:id="122" w:name="_Toc25914"/>
      <w:bookmarkStart w:id="123" w:name="_Toc17600"/>
      <w:bookmarkStart w:id="124" w:name="_Toc30957"/>
      <w:r>
        <w:rPr>
          <w:rFonts w:hint="eastAsia" w:ascii="仿宋_GB2312" w:hAnsi="仿宋_GB2312" w:eastAsia="仿宋_GB2312" w:cs="仿宋_GB2312"/>
          <w:b/>
          <w:bCs/>
          <w:color w:val="auto"/>
          <w:sz w:val="24"/>
          <w:szCs w:val="24"/>
          <w:highlight w:val="none"/>
        </w:rPr>
        <w:t>3</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.1 质疑的提出</w:t>
      </w:r>
      <w:bookmarkEnd w:id="121"/>
      <w:bookmarkEnd w:id="122"/>
      <w:bookmarkEnd w:id="123"/>
      <w:bookmarkEnd w:id="124"/>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1）供应商认为</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过程和中标、成交结果使自己的权益受到损害的，可以在知道或者应知其权益受到损害之日起七个工作日内，以书面形式向采购人提出质疑。</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2）质疑函的必备内容</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①供应商提交的质疑函必须注明单位名称、详细地址、可供查询的单位和法定代表人的电话号码；</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②所参加项目的具体质疑事项及事实依据；</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③提起质疑的日期；</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④质疑函须加盖单位公章和法定代表人签章。</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⑤委托代理人递交质疑函的，还须提交委托质疑事项的委托授权书（附法定代表人和被授权人身份证正反面），加盖单位公章和法定代表人签章和被授权人签字，并出示被授权人身份证。</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3）质疑应符合下列条件：</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①质疑人是参与所质疑项目的</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活动供应商；</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②质疑函内容符合相关的规定；</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③在规定的有效期限内提起质疑；</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④招投标监管部门规定的其他条件。</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4）采购人在收到供应商的书面质疑后七个工作日内作出答复，并以书面形式通知质疑供应商和其他有关供应商，但答复的内容不涉及商业秘密。</w:t>
      </w:r>
    </w:p>
    <w:p>
      <w:pPr>
        <w:shd w:val="clear"/>
        <w:snapToGrid w:val="0"/>
        <w:spacing w:line="5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5）提出质疑的供应商对答复不满意的，可以在答复期满后十五个工作日内向同级政府</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监督管理部门投诉。政府</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监督管理部门应当在收到投诉三十个工作日内，对投诉事项作出处理决定，并以书面形式通知投诉人和与投诉事项相关的当事人。</w:t>
      </w:r>
    </w:p>
    <w:p>
      <w:pPr>
        <w:shd w:val="clear"/>
        <w:rPr>
          <w:rFonts w:hint="eastAsia" w:ascii="仿宋_GB2312" w:hAnsi="仿宋_GB2312" w:eastAsia="仿宋_GB2312" w:cs="仿宋_GB2312"/>
          <w:lang w:val="en-US"/>
        </w:rPr>
        <w:sectPr>
          <w:footerReference r:id="rId4" w:type="default"/>
          <w:pgSz w:w="11907" w:h="16840"/>
          <w:pgMar w:top="1021" w:right="1287" w:bottom="1021"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shd w:val="clear"/>
        <w:snapToGrid w:val="0"/>
        <w:spacing w:line="500" w:lineRule="exact"/>
        <w:jc w:val="left"/>
        <w:rPr>
          <w:rFonts w:hint="eastAsia" w:ascii="仿宋_GB2312" w:hAnsi="仿宋_GB2312" w:eastAsia="仿宋_GB2312" w:cs="仿宋_GB2312"/>
          <w:b/>
          <w:color w:val="auto"/>
          <w:sz w:val="24"/>
          <w:szCs w:val="24"/>
          <w:highlight w:val="none"/>
        </w:rPr>
        <w:sectPr>
          <w:headerReference r:id="rId5" w:type="default"/>
          <w:footerReference r:id="rId6"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bookmarkStart w:id="125" w:name="_Toc11658"/>
      <w:bookmarkStart w:id="126" w:name="_Toc23028"/>
      <w:bookmarkStart w:id="127" w:name="_Toc1354"/>
    </w:p>
    <w:p>
      <w:pPr>
        <w:shd w:val="clear"/>
        <w:snapToGrid w:val="0"/>
        <w:spacing w:line="500" w:lineRule="exact"/>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附表一</w:t>
      </w:r>
    </w:p>
    <w:p>
      <w:pPr>
        <w:shd w:val="clear"/>
        <w:snapToGrid w:val="0"/>
        <w:spacing w:line="44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质 疑 书</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(政府采购代理机构名称)：</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依据《中华人民共和国政府采购法》第五十二条规定，认为</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项目的采购活动中有几个内容损害了我公司的权益，现以书面原件形式提出质疑。并根据《中华人民共和国政府采购法实施条例》第五十五条规定，提出以下请求和提供必要的证明材料。质疑的事实和理由：</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u w:val="single"/>
        </w:rPr>
        <w:t xml:space="preserve">  (事宜经过)            </w:t>
      </w: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u w:val="single"/>
        </w:rPr>
        <w:t xml:space="preserve">  (事宜经过)            </w:t>
      </w:r>
      <w:r>
        <w:rPr>
          <w:rFonts w:hint="eastAsia" w:ascii="仿宋_GB2312" w:hAnsi="仿宋_GB2312" w:eastAsia="仿宋_GB2312" w:cs="仿宋_GB2312"/>
          <w:bCs/>
          <w:color w:val="auto"/>
          <w:sz w:val="24"/>
          <w:szCs w:val="24"/>
          <w:highlight w:val="none"/>
        </w:rPr>
        <w:t>；……</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我们认为，以上几项，违背了政府采购法规的有关规定，其中第1项</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违背《</w:t>
      </w:r>
      <w:r>
        <w:rPr>
          <w:rFonts w:hint="eastAsia" w:ascii="仿宋_GB2312" w:hAnsi="仿宋_GB2312" w:eastAsia="仿宋_GB2312" w:cs="仿宋_GB2312"/>
          <w:bCs/>
          <w:color w:val="auto"/>
          <w:sz w:val="24"/>
          <w:szCs w:val="24"/>
          <w:highlight w:val="none"/>
          <w:u w:val="single"/>
        </w:rPr>
        <w:t xml:space="preserve">           法</w:t>
      </w:r>
      <w:r>
        <w:rPr>
          <w:rFonts w:hint="eastAsia" w:ascii="仿宋_GB2312" w:hAnsi="仿宋_GB2312" w:eastAsia="仿宋_GB2312" w:cs="仿宋_GB2312"/>
          <w:bCs/>
          <w:color w:val="auto"/>
          <w:sz w:val="24"/>
          <w:szCs w:val="24"/>
          <w:highlight w:val="none"/>
        </w:rPr>
        <w:t>》第</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条的“</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”规定，第2项</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违背《</w:t>
      </w:r>
      <w:r>
        <w:rPr>
          <w:rFonts w:hint="eastAsia" w:ascii="仿宋_GB2312" w:hAnsi="仿宋_GB2312" w:eastAsia="仿宋_GB2312" w:cs="仿宋_GB2312"/>
          <w:bCs/>
          <w:color w:val="auto"/>
          <w:sz w:val="24"/>
          <w:szCs w:val="24"/>
          <w:highlight w:val="none"/>
          <w:u w:val="single"/>
        </w:rPr>
        <w:t xml:space="preserve">              法</w:t>
      </w:r>
      <w:r>
        <w:rPr>
          <w:rFonts w:hint="eastAsia" w:ascii="仿宋_GB2312" w:hAnsi="仿宋_GB2312" w:eastAsia="仿宋_GB2312" w:cs="仿宋_GB2312"/>
          <w:bCs/>
          <w:color w:val="auto"/>
          <w:sz w:val="24"/>
          <w:szCs w:val="24"/>
          <w:highlight w:val="none"/>
        </w:rPr>
        <w:t>》第</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条的规定，请予审查纠正为盼。</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质疑人(全称并加</w:t>
      </w:r>
      <w:r>
        <w:rPr>
          <w:rFonts w:hint="eastAsia" w:ascii="仿宋_GB2312" w:hAnsi="仿宋_GB2312" w:eastAsia="仿宋_GB2312" w:cs="仿宋_GB2312"/>
          <w:bCs/>
          <w:color w:val="auto"/>
          <w:sz w:val="24"/>
          <w:szCs w:val="24"/>
          <w:highlight w:val="none"/>
          <w:u w:val="single"/>
        </w:rPr>
        <w:t>盖</w:t>
      </w:r>
      <w:r>
        <w:rPr>
          <w:rFonts w:hint="eastAsia" w:ascii="仿宋_GB2312" w:hAnsi="仿宋_GB2312" w:eastAsia="仿宋_GB2312" w:cs="仿宋_GB2312"/>
          <w:bCs/>
          <w:color w:val="auto"/>
          <w:sz w:val="24"/>
          <w:szCs w:val="24"/>
          <w:highlight w:val="none"/>
        </w:rPr>
        <w:t>公章)：</w:t>
      </w:r>
      <w:r>
        <w:rPr>
          <w:rFonts w:hint="eastAsia" w:ascii="仿宋_GB2312" w:hAnsi="仿宋_GB2312" w:eastAsia="仿宋_GB2312" w:cs="仿宋_GB2312"/>
          <w:bCs/>
          <w:color w:val="auto"/>
          <w:sz w:val="24"/>
          <w:szCs w:val="24"/>
          <w:highlight w:val="none"/>
          <w:u w:val="single"/>
        </w:rPr>
        <w:t xml:space="preserve">          </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法定代表人签字：</w:t>
      </w:r>
      <w:r>
        <w:rPr>
          <w:rFonts w:hint="eastAsia" w:ascii="仿宋_GB2312" w:hAnsi="仿宋_GB2312" w:eastAsia="仿宋_GB2312" w:cs="仿宋_GB2312"/>
          <w:bCs/>
          <w:color w:val="auto"/>
          <w:sz w:val="24"/>
          <w:szCs w:val="24"/>
          <w:highlight w:val="none"/>
          <w:u w:val="single"/>
        </w:rPr>
        <w:t xml:space="preserve">          </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委托人签字：</w:t>
      </w:r>
      <w:r>
        <w:rPr>
          <w:rFonts w:hint="eastAsia" w:ascii="仿宋_GB2312" w:hAnsi="仿宋_GB2312" w:eastAsia="仿宋_GB2312" w:cs="仿宋_GB2312"/>
          <w:bCs/>
          <w:color w:val="auto"/>
          <w:sz w:val="24"/>
          <w:szCs w:val="24"/>
          <w:highlight w:val="none"/>
          <w:u w:val="single"/>
        </w:rPr>
        <w:t xml:space="preserve">          </w:t>
      </w:r>
    </w:p>
    <w:p>
      <w:pPr>
        <w:shd w:val="clear"/>
        <w:snapToGrid w:val="0"/>
        <w:spacing w:line="44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 xml:space="preserve">                             地址：</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联系电话：</w:t>
      </w:r>
      <w:r>
        <w:rPr>
          <w:rFonts w:hint="eastAsia" w:ascii="仿宋_GB2312" w:hAnsi="仿宋_GB2312" w:eastAsia="仿宋_GB2312" w:cs="仿宋_GB2312"/>
          <w:bCs/>
          <w:color w:val="auto"/>
          <w:sz w:val="24"/>
          <w:szCs w:val="24"/>
          <w:highlight w:val="none"/>
          <w:u w:val="single"/>
        </w:rPr>
        <w:t xml:space="preserve">     </w:t>
      </w:r>
    </w:p>
    <w:p>
      <w:pPr>
        <w:shd w:val="clear"/>
        <w:snapToGrid w:val="0"/>
        <w:spacing w:line="44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 xml:space="preserve">                             邮编：</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传真：</w:t>
      </w:r>
      <w:r>
        <w:rPr>
          <w:rFonts w:hint="eastAsia" w:ascii="仿宋_GB2312" w:hAnsi="仿宋_GB2312" w:eastAsia="仿宋_GB2312" w:cs="仿宋_GB2312"/>
          <w:bCs/>
          <w:color w:val="auto"/>
          <w:sz w:val="24"/>
          <w:szCs w:val="24"/>
          <w:highlight w:val="none"/>
          <w:u w:val="single"/>
        </w:rPr>
        <w:t xml:space="preserve">         </w:t>
      </w:r>
    </w:p>
    <w:p>
      <w:pPr>
        <w:shd w:val="clear"/>
        <w:snapToGrid w:val="0"/>
        <w:spacing w:line="44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 xml:space="preserve">                             日期：</w:t>
      </w:r>
      <w:r>
        <w:rPr>
          <w:rFonts w:hint="eastAsia" w:ascii="仿宋_GB2312" w:hAnsi="仿宋_GB2312" w:eastAsia="仿宋_GB2312" w:cs="仿宋_GB2312"/>
          <w:bCs/>
          <w:color w:val="auto"/>
          <w:sz w:val="24"/>
          <w:szCs w:val="24"/>
          <w:highlight w:val="none"/>
          <w:u w:val="single"/>
        </w:rPr>
        <w:t xml:space="preserve">                     </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注：质疑人提供的资料应包括但不限于以下内容：</w:t>
      </w:r>
    </w:p>
    <w:p>
      <w:pPr>
        <w:shd w:val="clear"/>
        <w:snapToGrid w:val="0"/>
        <w:spacing w:line="44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1、加盖供应商单位公章法定代表人授权书；</w:t>
      </w:r>
    </w:p>
    <w:p>
      <w:pPr>
        <w:shd w:val="clear"/>
        <w:snapToGrid w:val="0"/>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2、明确的请求和供应商单位加盖公章证明材料。</w:t>
      </w:r>
    </w:p>
    <w:p>
      <w:pPr>
        <w:shd w:val="clear"/>
        <w:snapToGrid w:val="0"/>
        <w:spacing w:line="440" w:lineRule="exact"/>
        <w:rPr>
          <w:rFonts w:hint="eastAsia" w:ascii="仿宋_GB2312" w:hAnsi="仿宋_GB2312" w:eastAsia="仿宋_GB2312" w:cs="仿宋_GB2312"/>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p>
    <w:p>
      <w:pPr>
        <w:shd w:val="clear"/>
        <w:snapToGrid w:val="0"/>
        <w:spacing w:line="440" w:lineRule="exact"/>
        <w:rPr>
          <w:rFonts w:hint="eastAsia" w:ascii="宋体" w:hAnsi="宋体" w:cs="宋体"/>
          <w:b/>
          <w:color w:val="auto"/>
          <w:sz w:val="24"/>
          <w:szCs w:val="24"/>
          <w:highlight w:val="none"/>
        </w:rPr>
      </w:pPr>
    </w:p>
    <w:p>
      <w:pPr>
        <w:shd w:val="clear"/>
        <w:snapToGrid w:val="0"/>
        <w:spacing w:line="440" w:lineRule="exact"/>
        <w:rPr>
          <w:rFonts w:hint="eastAsia" w:ascii="仿宋_GB2312" w:hAnsi="仿宋_GB2312" w:eastAsia="仿宋_GB2312" w:cs="仿宋_GB2312"/>
          <w:b/>
          <w:color w:val="auto"/>
          <w:sz w:val="24"/>
          <w:szCs w:val="24"/>
          <w:highlight w:val="none"/>
        </w:rPr>
      </w:pPr>
      <w:r>
        <w:rPr>
          <w:rFonts w:ascii="宋体" w:hAnsi="宋体" w:cs="宋体"/>
          <w:b/>
          <w:color w:val="auto"/>
          <w:sz w:val="24"/>
          <w:szCs w:val="24"/>
          <w:highlight w:val="none"/>
        </w:rPr>
        <w:br w:type="page"/>
      </w:r>
      <w:r>
        <w:rPr>
          <w:rFonts w:hint="eastAsia" w:ascii="仿宋_GB2312" w:hAnsi="仿宋_GB2312" w:eastAsia="仿宋_GB2312" w:cs="仿宋_GB2312"/>
          <w:b/>
          <w:color w:val="auto"/>
          <w:sz w:val="24"/>
          <w:szCs w:val="24"/>
          <w:highlight w:val="none"/>
        </w:rPr>
        <w:t>附表二</w:t>
      </w:r>
    </w:p>
    <w:p>
      <w:pPr>
        <w:shd w:val="clear"/>
        <w:snapToGrid w:val="0"/>
        <w:spacing w:line="440" w:lineRule="exact"/>
        <w:ind w:firstLine="482" w:firstLineChars="200"/>
        <w:jc w:val="center"/>
        <w:outlineLvl w:val="2"/>
        <w:rPr>
          <w:rFonts w:hint="eastAsia" w:ascii="仿宋_GB2312" w:hAnsi="仿宋_GB2312" w:eastAsia="仿宋_GB2312" w:cs="仿宋_GB2312"/>
          <w:color w:val="auto"/>
          <w:sz w:val="24"/>
          <w:szCs w:val="24"/>
          <w:highlight w:val="none"/>
        </w:rPr>
      </w:pPr>
      <w:bookmarkStart w:id="128" w:name="_Toc5031"/>
      <w:bookmarkStart w:id="129" w:name="_Toc16258"/>
      <w:bookmarkStart w:id="130" w:name="_Toc6991"/>
      <w:bookmarkStart w:id="131" w:name="_Toc8643"/>
      <w:r>
        <w:rPr>
          <w:rFonts w:hint="eastAsia" w:ascii="仿宋_GB2312" w:hAnsi="仿宋_GB2312" w:eastAsia="仿宋_GB2312" w:cs="仿宋_GB2312"/>
          <w:b/>
          <w:bCs/>
          <w:color w:val="auto"/>
          <w:sz w:val="24"/>
          <w:szCs w:val="24"/>
          <w:highlight w:val="none"/>
        </w:rPr>
        <w:t>质疑内容</w:t>
      </w:r>
      <w:bookmarkEnd w:id="128"/>
      <w:bookmarkEnd w:id="129"/>
      <w:bookmarkEnd w:id="130"/>
      <w:bookmarkEnd w:id="131"/>
    </w:p>
    <w:tbl>
      <w:tblPr>
        <w:tblStyle w:val="25"/>
        <w:tblW w:w="8647" w:type="dxa"/>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hint="eastAsia" w:ascii="仿宋_GB2312" w:hAnsi="仿宋_GB2312" w:eastAsia="仿宋_GB2312" w:cs="仿宋_GB2312"/>
                <w:color w:val="auto"/>
                <w:sz w:val="24"/>
                <w:szCs w:val="24"/>
                <w:highlight w:val="none"/>
              </w:rPr>
            </w:pPr>
            <w:bookmarkStart w:id="132" w:name="_Toc12310"/>
            <w:bookmarkStart w:id="133" w:name="_Toc21078"/>
            <w:bookmarkStart w:id="134" w:name="_Toc7812"/>
            <w:bookmarkStart w:id="135" w:name="_Toc2338"/>
            <w:r>
              <w:rPr>
                <w:rFonts w:hint="eastAsia" w:ascii="仿宋_GB2312" w:hAnsi="仿宋_GB2312" w:eastAsia="仿宋_GB2312" w:cs="仿宋_GB2312"/>
                <w:color w:val="auto"/>
                <w:sz w:val="24"/>
                <w:szCs w:val="24"/>
                <w:highlight w:val="none"/>
              </w:rPr>
              <w:t>项目名称</w:t>
            </w:r>
            <w:bookmarkEnd w:id="132"/>
            <w:bookmarkEnd w:id="133"/>
            <w:bookmarkEnd w:id="134"/>
            <w:bookmarkEnd w:id="135"/>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hint="eastAsia" w:ascii="仿宋_GB2312" w:hAnsi="仿宋_GB2312" w:eastAsia="仿宋_GB2312" w:cs="仿宋_GB2312"/>
                <w:color w:val="auto"/>
                <w:sz w:val="24"/>
                <w:szCs w:val="24"/>
                <w:highlight w:val="none"/>
              </w:rPr>
            </w:pPr>
            <w:bookmarkStart w:id="136" w:name="_Toc26039"/>
            <w:bookmarkStart w:id="137" w:name="_Toc5211"/>
            <w:bookmarkStart w:id="138" w:name="_Toc19856"/>
            <w:bookmarkStart w:id="139" w:name="_Toc5401"/>
            <w:r>
              <w:rPr>
                <w:rFonts w:hint="eastAsia" w:ascii="仿宋_GB2312" w:hAnsi="仿宋_GB2312" w:eastAsia="仿宋_GB2312" w:cs="仿宋_GB2312"/>
                <w:color w:val="auto"/>
                <w:sz w:val="24"/>
                <w:szCs w:val="24"/>
                <w:highlight w:val="none"/>
              </w:rPr>
              <w:t>采购项目编号</w:t>
            </w:r>
            <w:bookmarkEnd w:id="136"/>
            <w:bookmarkEnd w:id="137"/>
            <w:bookmarkEnd w:id="138"/>
            <w:bookmarkEnd w:id="139"/>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hd w:val="clear"/>
              <w:snapToGrid w:val="0"/>
              <w:spacing w:line="440" w:lineRule="exact"/>
              <w:ind w:firstLine="480" w:firstLineChars="200"/>
              <w:outlineLvl w:val="0"/>
              <w:rPr>
                <w:rFonts w:hint="eastAsia" w:ascii="仿宋_GB2312" w:hAnsi="仿宋_GB2312" w:eastAsia="仿宋_GB2312" w:cs="仿宋_GB2312"/>
                <w:color w:val="auto"/>
                <w:sz w:val="24"/>
                <w:szCs w:val="24"/>
                <w:highlight w:val="none"/>
              </w:rPr>
            </w:pPr>
            <w:bookmarkStart w:id="140" w:name="_Toc20269"/>
            <w:bookmarkStart w:id="141" w:name="_Toc9705"/>
            <w:bookmarkStart w:id="142" w:name="_Toc28918"/>
            <w:bookmarkStart w:id="143" w:name="_Toc19055"/>
            <w:r>
              <w:rPr>
                <w:rFonts w:hint="eastAsia" w:ascii="仿宋_GB2312" w:hAnsi="仿宋_GB2312" w:eastAsia="仿宋_GB2312" w:cs="仿宋_GB2312"/>
                <w:color w:val="auto"/>
                <w:sz w:val="24"/>
                <w:szCs w:val="24"/>
                <w:highlight w:val="none"/>
              </w:rPr>
              <w:t>具体的质疑事项及事实依据</w:t>
            </w:r>
            <w:bookmarkEnd w:id="140"/>
            <w:bookmarkEnd w:id="141"/>
            <w:bookmarkEnd w:id="142"/>
            <w:bookmarkEnd w:id="143"/>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vAlign w:val="top"/>
          </w:tcPr>
          <w:p>
            <w:pPr>
              <w:shd w:val="clear"/>
              <w:snapToGrid w:val="0"/>
              <w:spacing w:line="276" w:lineRule="auto"/>
              <w:ind w:firstLine="482" w:firstLineChars="200"/>
              <w:outlineLvl w:val="0"/>
              <w:rPr>
                <w:rFonts w:hint="eastAsia" w:ascii="仿宋_GB2312" w:hAnsi="仿宋_GB2312" w:eastAsia="仿宋_GB2312" w:cs="仿宋_GB2312"/>
                <w:color w:val="auto"/>
                <w:sz w:val="24"/>
                <w:szCs w:val="24"/>
                <w:highlight w:val="none"/>
              </w:rPr>
            </w:pPr>
            <w:bookmarkStart w:id="144" w:name="_Toc11039"/>
            <w:bookmarkStart w:id="145" w:name="_Toc11309"/>
            <w:bookmarkStart w:id="146" w:name="_Toc22737"/>
            <w:bookmarkStart w:id="147" w:name="_Toc13573"/>
            <w:r>
              <w:rPr>
                <w:rFonts w:hint="eastAsia" w:ascii="仿宋_GB2312" w:hAnsi="仿宋_GB2312" w:eastAsia="仿宋_GB2312" w:cs="仿宋_GB2312"/>
                <w:b/>
                <w:bCs/>
                <w:color w:val="auto"/>
                <w:sz w:val="24"/>
                <w:szCs w:val="24"/>
                <w:highlight w:val="none"/>
              </w:rPr>
              <w:t>一、质疑事项1：</w:t>
            </w:r>
            <w:bookmarkEnd w:id="144"/>
            <w:bookmarkEnd w:id="145"/>
            <w:bookmarkEnd w:id="146"/>
            <w:bookmarkEnd w:id="147"/>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48" w:name="_Toc23129"/>
            <w:bookmarkStart w:id="149" w:name="_Toc1384"/>
            <w:bookmarkStart w:id="150" w:name="_Toc25614"/>
            <w:bookmarkStart w:id="151" w:name="_Toc24875"/>
            <w:r>
              <w:rPr>
                <w:rFonts w:hint="eastAsia" w:ascii="仿宋_GB2312" w:hAnsi="仿宋_GB2312" w:eastAsia="仿宋_GB2312" w:cs="仿宋_GB2312"/>
                <w:color w:val="auto"/>
                <w:sz w:val="24"/>
                <w:szCs w:val="24"/>
                <w:highlight w:val="none"/>
              </w:rPr>
              <w:t>主要内容：</w:t>
            </w:r>
            <w:bookmarkEnd w:id="148"/>
            <w:bookmarkEnd w:id="149"/>
            <w:bookmarkEnd w:id="150"/>
            <w:bookmarkEnd w:id="151"/>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52" w:name="_Toc25068"/>
            <w:bookmarkStart w:id="153" w:name="_Toc4921"/>
            <w:bookmarkStart w:id="154" w:name="_Toc2762"/>
            <w:bookmarkStart w:id="155" w:name="_Toc13104"/>
            <w:r>
              <w:rPr>
                <w:rFonts w:hint="eastAsia" w:ascii="仿宋_GB2312" w:hAnsi="仿宋_GB2312" w:eastAsia="仿宋_GB2312" w:cs="仿宋_GB2312"/>
                <w:color w:val="auto"/>
                <w:sz w:val="24"/>
                <w:szCs w:val="24"/>
                <w:highlight w:val="none"/>
              </w:rPr>
              <w:t>事实依据：</w:t>
            </w:r>
            <w:bookmarkEnd w:id="152"/>
            <w:bookmarkEnd w:id="153"/>
            <w:bookmarkEnd w:id="154"/>
            <w:bookmarkEnd w:id="155"/>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56" w:name="_Toc9636"/>
            <w:bookmarkStart w:id="157" w:name="_Toc24639"/>
            <w:bookmarkStart w:id="158" w:name="_Toc7901"/>
            <w:bookmarkStart w:id="159" w:name="_Toc22379"/>
            <w:r>
              <w:rPr>
                <w:rFonts w:hint="eastAsia" w:ascii="仿宋_GB2312" w:hAnsi="仿宋_GB2312" w:eastAsia="仿宋_GB2312" w:cs="仿宋_GB2312"/>
                <w:color w:val="auto"/>
                <w:sz w:val="24"/>
                <w:szCs w:val="24"/>
                <w:highlight w:val="none"/>
              </w:rPr>
              <w:t>适应法规条款：</w:t>
            </w:r>
            <w:bookmarkEnd w:id="156"/>
            <w:bookmarkEnd w:id="157"/>
            <w:bookmarkEnd w:id="158"/>
            <w:bookmarkEnd w:id="159"/>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60" w:name="_Toc27"/>
            <w:bookmarkStart w:id="161" w:name="_Toc4949"/>
            <w:bookmarkStart w:id="162" w:name="_Toc17715"/>
            <w:bookmarkStart w:id="163" w:name="_Toc22651"/>
            <w:r>
              <w:rPr>
                <w:rFonts w:hint="eastAsia" w:ascii="仿宋_GB2312" w:hAnsi="仿宋_GB2312" w:eastAsia="仿宋_GB2312" w:cs="仿宋_GB2312"/>
                <w:color w:val="auto"/>
                <w:sz w:val="24"/>
                <w:szCs w:val="24"/>
                <w:highlight w:val="none"/>
              </w:rPr>
              <w:t>佐证材料：</w:t>
            </w:r>
            <w:bookmarkEnd w:id="160"/>
            <w:bookmarkEnd w:id="161"/>
            <w:bookmarkEnd w:id="162"/>
            <w:bookmarkEnd w:id="163"/>
          </w:p>
          <w:p>
            <w:pPr>
              <w:shd w:val="clear"/>
              <w:snapToGrid w:val="0"/>
              <w:spacing w:line="276" w:lineRule="auto"/>
              <w:ind w:firstLine="482" w:firstLineChars="200"/>
              <w:outlineLvl w:val="0"/>
              <w:rPr>
                <w:rFonts w:hint="eastAsia" w:ascii="仿宋_GB2312" w:hAnsi="仿宋_GB2312" w:eastAsia="仿宋_GB2312" w:cs="仿宋_GB2312"/>
                <w:color w:val="auto"/>
                <w:sz w:val="24"/>
                <w:szCs w:val="24"/>
                <w:highlight w:val="none"/>
              </w:rPr>
            </w:pPr>
            <w:bookmarkStart w:id="164" w:name="_Toc30791"/>
            <w:bookmarkStart w:id="165" w:name="_Toc25247"/>
            <w:bookmarkStart w:id="166" w:name="_Toc22839"/>
            <w:bookmarkStart w:id="167" w:name="_Toc28263"/>
            <w:r>
              <w:rPr>
                <w:rFonts w:hint="eastAsia" w:ascii="仿宋_GB2312" w:hAnsi="仿宋_GB2312" w:eastAsia="仿宋_GB2312" w:cs="仿宋_GB2312"/>
                <w:b/>
                <w:bCs/>
                <w:color w:val="auto"/>
                <w:sz w:val="24"/>
                <w:szCs w:val="24"/>
                <w:highlight w:val="none"/>
              </w:rPr>
              <w:t>二、质疑事项2：</w:t>
            </w:r>
            <w:bookmarkEnd w:id="164"/>
            <w:bookmarkEnd w:id="165"/>
            <w:bookmarkEnd w:id="166"/>
            <w:bookmarkEnd w:id="167"/>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68" w:name="_Toc18510"/>
            <w:bookmarkStart w:id="169" w:name="_Toc10041"/>
            <w:bookmarkStart w:id="170" w:name="_Toc5157"/>
            <w:bookmarkStart w:id="171" w:name="_Toc22638"/>
            <w:r>
              <w:rPr>
                <w:rFonts w:hint="eastAsia" w:ascii="仿宋_GB2312" w:hAnsi="仿宋_GB2312" w:eastAsia="仿宋_GB2312" w:cs="仿宋_GB2312"/>
                <w:color w:val="auto"/>
                <w:sz w:val="24"/>
                <w:szCs w:val="24"/>
                <w:highlight w:val="none"/>
              </w:rPr>
              <w:t>主要内容：</w:t>
            </w:r>
            <w:bookmarkEnd w:id="168"/>
            <w:bookmarkEnd w:id="169"/>
            <w:bookmarkEnd w:id="170"/>
            <w:bookmarkEnd w:id="171"/>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72" w:name="_Toc20161"/>
            <w:bookmarkStart w:id="173" w:name="_Toc2440"/>
            <w:bookmarkStart w:id="174" w:name="_Toc28663"/>
            <w:bookmarkStart w:id="175" w:name="_Toc576"/>
            <w:r>
              <w:rPr>
                <w:rFonts w:hint="eastAsia" w:ascii="仿宋_GB2312" w:hAnsi="仿宋_GB2312" w:eastAsia="仿宋_GB2312" w:cs="仿宋_GB2312"/>
                <w:color w:val="auto"/>
                <w:sz w:val="24"/>
                <w:szCs w:val="24"/>
                <w:highlight w:val="none"/>
              </w:rPr>
              <w:t>事实依据：</w:t>
            </w:r>
            <w:bookmarkEnd w:id="172"/>
            <w:bookmarkEnd w:id="173"/>
            <w:bookmarkEnd w:id="174"/>
            <w:bookmarkEnd w:id="175"/>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76" w:name="_Toc32283"/>
            <w:bookmarkStart w:id="177" w:name="_Toc11680"/>
            <w:bookmarkStart w:id="178" w:name="_Toc19804"/>
            <w:bookmarkStart w:id="179" w:name="_Toc26421"/>
            <w:r>
              <w:rPr>
                <w:rFonts w:hint="eastAsia" w:ascii="仿宋_GB2312" w:hAnsi="仿宋_GB2312" w:eastAsia="仿宋_GB2312" w:cs="仿宋_GB2312"/>
                <w:color w:val="auto"/>
                <w:sz w:val="24"/>
                <w:szCs w:val="24"/>
                <w:highlight w:val="none"/>
              </w:rPr>
              <w:t>适应法规条款：</w:t>
            </w:r>
            <w:bookmarkEnd w:id="176"/>
            <w:bookmarkEnd w:id="177"/>
            <w:bookmarkEnd w:id="178"/>
            <w:bookmarkEnd w:id="179"/>
          </w:p>
          <w:p>
            <w:pPr>
              <w:shd w:val="clear"/>
              <w:snapToGrid w:val="0"/>
              <w:spacing w:line="276" w:lineRule="auto"/>
              <w:ind w:firstLine="480" w:firstLineChars="200"/>
              <w:outlineLvl w:val="0"/>
              <w:rPr>
                <w:rFonts w:hint="eastAsia" w:ascii="仿宋_GB2312" w:hAnsi="仿宋_GB2312" w:eastAsia="仿宋_GB2312" w:cs="仿宋_GB2312"/>
                <w:color w:val="auto"/>
                <w:sz w:val="24"/>
                <w:szCs w:val="24"/>
                <w:highlight w:val="none"/>
              </w:rPr>
            </w:pPr>
            <w:bookmarkStart w:id="180" w:name="_Toc23653"/>
            <w:bookmarkStart w:id="181" w:name="_Toc20847"/>
            <w:bookmarkStart w:id="182" w:name="_Toc25474"/>
            <w:bookmarkStart w:id="183" w:name="_Toc21267"/>
            <w:r>
              <w:rPr>
                <w:rFonts w:hint="eastAsia" w:ascii="仿宋_GB2312" w:hAnsi="仿宋_GB2312" w:eastAsia="仿宋_GB2312" w:cs="仿宋_GB2312"/>
                <w:color w:val="auto"/>
                <w:sz w:val="24"/>
                <w:szCs w:val="24"/>
                <w:highlight w:val="none"/>
              </w:rPr>
              <w:t>佐证材料： </w:t>
            </w:r>
            <w:bookmarkEnd w:id="180"/>
            <w:bookmarkEnd w:id="181"/>
            <w:bookmarkEnd w:id="182"/>
            <w:bookmarkEnd w:id="183"/>
          </w:p>
          <w:p>
            <w:pPr>
              <w:shd w:val="clear"/>
              <w:snapToGrid w:val="0"/>
              <w:spacing w:line="276" w:lineRule="auto"/>
              <w:ind w:firstLine="482" w:firstLineChars="200"/>
              <w:outlineLvl w:val="0"/>
              <w:rPr>
                <w:rFonts w:hint="eastAsia" w:ascii="仿宋_GB2312" w:hAnsi="仿宋_GB2312" w:eastAsia="仿宋_GB2312" w:cs="仿宋_GB2312"/>
                <w:color w:val="auto"/>
                <w:sz w:val="24"/>
                <w:szCs w:val="24"/>
                <w:highlight w:val="none"/>
              </w:rPr>
            </w:pPr>
            <w:bookmarkStart w:id="184" w:name="_Toc27781"/>
            <w:bookmarkStart w:id="185" w:name="_Toc25584"/>
            <w:bookmarkStart w:id="186" w:name="_Toc18376"/>
            <w:bookmarkStart w:id="187" w:name="_Toc13778"/>
            <w:r>
              <w:rPr>
                <w:rFonts w:hint="eastAsia" w:ascii="仿宋_GB2312" w:hAnsi="仿宋_GB2312" w:eastAsia="仿宋_GB2312" w:cs="仿宋_GB2312"/>
                <w:b/>
                <w:bCs/>
                <w:color w:val="auto"/>
                <w:sz w:val="24"/>
                <w:szCs w:val="24"/>
                <w:highlight w:val="none"/>
              </w:rPr>
              <w:t>三、同上</w:t>
            </w:r>
            <w:bookmarkEnd w:id="184"/>
            <w:bookmarkEnd w:id="185"/>
            <w:bookmarkEnd w:id="186"/>
            <w:bookmarkEnd w:id="187"/>
          </w:p>
        </w:tc>
      </w:tr>
    </w:tbl>
    <w:p>
      <w:pPr>
        <w:shd w:val="clear"/>
        <w:snapToGrid w:val="0"/>
        <w:spacing w:line="440" w:lineRule="exact"/>
        <w:ind w:firstLine="482" w:firstLineChars="200"/>
        <w:outlineLvl w:val="0"/>
        <w:rPr>
          <w:rFonts w:hint="eastAsia" w:ascii="仿宋_GB2312" w:hAnsi="仿宋_GB2312" w:eastAsia="仿宋_GB2312" w:cs="仿宋_GB2312"/>
          <w:b/>
          <w:bCs/>
          <w:color w:val="auto"/>
          <w:sz w:val="24"/>
          <w:szCs w:val="24"/>
          <w:highlight w:val="none"/>
        </w:rPr>
      </w:pPr>
      <w:bookmarkStart w:id="188" w:name="_Toc1484"/>
      <w:bookmarkStart w:id="189" w:name="_Toc9069"/>
      <w:bookmarkStart w:id="190" w:name="_Toc24747"/>
      <w:bookmarkStart w:id="191" w:name="_Toc20918"/>
      <w:r>
        <w:rPr>
          <w:rFonts w:hint="eastAsia" w:ascii="仿宋_GB2312" w:hAnsi="仿宋_GB2312" w:eastAsia="仿宋_GB2312" w:cs="仿宋_GB2312"/>
          <w:b/>
          <w:bCs/>
          <w:color w:val="auto"/>
          <w:sz w:val="24"/>
          <w:szCs w:val="24"/>
          <w:highlight w:val="none"/>
        </w:rPr>
        <w:t>质疑人（盖公章）：</w:t>
      </w:r>
      <w:bookmarkEnd w:id="188"/>
      <w:bookmarkEnd w:id="189"/>
      <w:bookmarkEnd w:id="190"/>
      <w:bookmarkEnd w:id="191"/>
    </w:p>
    <w:p>
      <w:pPr>
        <w:shd w:val="clear"/>
        <w:snapToGrid w:val="0"/>
        <w:spacing w:line="440" w:lineRule="exact"/>
        <w:ind w:firstLine="482" w:firstLineChars="200"/>
        <w:outlineLvl w:val="0"/>
        <w:rPr>
          <w:rFonts w:hint="eastAsia" w:ascii="仿宋_GB2312" w:hAnsi="仿宋_GB2312" w:eastAsia="仿宋_GB2312" w:cs="仿宋_GB2312"/>
          <w:b/>
          <w:bCs/>
          <w:color w:val="auto"/>
          <w:sz w:val="24"/>
          <w:szCs w:val="24"/>
          <w:highlight w:val="none"/>
        </w:rPr>
      </w:pPr>
      <w:bookmarkStart w:id="192" w:name="_Toc15635"/>
      <w:bookmarkStart w:id="193" w:name="_Toc21617"/>
      <w:bookmarkStart w:id="194" w:name="_Toc18025"/>
      <w:bookmarkStart w:id="195" w:name="_Toc30232"/>
      <w:r>
        <w:rPr>
          <w:rFonts w:hint="eastAsia" w:ascii="仿宋_GB2312" w:hAnsi="仿宋_GB2312" w:eastAsia="仿宋_GB2312" w:cs="仿宋_GB2312"/>
          <w:b/>
          <w:bCs/>
          <w:color w:val="auto"/>
          <w:sz w:val="24"/>
          <w:szCs w:val="24"/>
          <w:highlight w:val="none"/>
        </w:rPr>
        <w:t>法定发表人（签字、盖章）：</w:t>
      </w:r>
      <w:bookmarkEnd w:id="192"/>
      <w:bookmarkEnd w:id="193"/>
      <w:bookmarkEnd w:id="194"/>
      <w:bookmarkEnd w:id="195"/>
    </w:p>
    <w:p>
      <w:pPr>
        <w:shd w:val="clear"/>
        <w:snapToGrid w:val="0"/>
        <w:spacing w:line="440" w:lineRule="exact"/>
        <w:ind w:firstLine="482" w:firstLineChars="200"/>
        <w:outlineLvl w:val="0"/>
        <w:rPr>
          <w:rFonts w:hint="eastAsia" w:ascii="仿宋_GB2312" w:hAnsi="仿宋_GB2312" w:eastAsia="仿宋_GB2312" w:cs="仿宋_GB2312"/>
          <w:b/>
          <w:bCs/>
          <w:color w:val="auto"/>
          <w:sz w:val="24"/>
          <w:szCs w:val="24"/>
          <w:highlight w:val="none"/>
        </w:rPr>
      </w:pPr>
      <w:bookmarkStart w:id="196" w:name="_Toc20254"/>
      <w:bookmarkStart w:id="197" w:name="_Toc9674"/>
      <w:bookmarkStart w:id="198" w:name="_Toc3872"/>
      <w:bookmarkStart w:id="199" w:name="_Toc12827"/>
      <w:r>
        <w:rPr>
          <w:rFonts w:hint="eastAsia" w:ascii="仿宋_GB2312" w:hAnsi="仿宋_GB2312" w:eastAsia="仿宋_GB2312" w:cs="仿宋_GB2312"/>
          <w:b/>
          <w:bCs/>
          <w:color w:val="auto"/>
          <w:sz w:val="24"/>
          <w:szCs w:val="24"/>
          <w:highlight w:val="none"/>
        </w:rPr>
        <w:t>授权代理人（签字）：</w:t>
      </w:r>
      <w:bookmarkEnd w:id="196"/>
      <w:bookmarkEnd w:id="197"/>
      <w:bookmarkEnd w:id="198"/>
      <w:bookmarkEnd w:id="199"/>
    </w:p>
    <w:p>
      <w:pPr>
        <w:shd w:val="clear"/>
        <w:snapToGrid w:val="0"/>
        <w:spacing w:line="440" w:lineRule="exact"/>
        <w:ind w:firstLine="482" w:firstLineChars="200"/>
        <w:outlineLvl w:val="0"/>
        <w:rPr>
          <w:rFonts w:hint="eastAsia" w:ascii="仿宋_GB2312" w:hAnsi="仿宋_GB2312" w:eastAsia="仿宋_GB2312" w:cs="仿宋_GB2312"/>
          <w:b/>
          <w:bCs/>
          <w:color w:val="auto"/>
          <w:sz w:val="24"/>
          <w:szCs w:val="24"/>
          <w:highlight w:val="none"/>
        </w:rPr>
      </w:pPr>
      <w:bookmarkStart w:id="200" w:name="_Toc21978"/>
      <w:bookmarkStart w:id="201" w:name="_Toc10390"/>
      <w:bookmarkStart w:id="202" w:name="_Toc2926"/>
      <w:bookmarkStart w:id="203" w:name="_Toc1096"/>
      <w:r>
        <w:rPr>
          <w:rFonts w:hint="eastAsia" w:ascii="仿宋_GB2312" w:hAnsi="仿宋_GB2312" w:eastAsia="仿宋_GB2312" w:cs="仿宋_GB2312"/>
          <w:b/>
          <w:bCs/>
          <w:color w:val="auto"/>
          <w:sz w:val="24"/>
          <w:szCs w:val="24"/>
          <w:highlight w:val="none"/>
        </w:rPr>
        <w:t>日期：年  月 日</w:t>
      </w:r>
      <w:bookmarkEnd w:id="200"/>
      <w:bookmarkEnd w:id="201"/>
      <w:bookmarkEnd w:id="202"/>
      <w:bookmarkEnd w:id="203"/>
    </w:p>
    <w:p>
      <w:pPr>
        <w:shd w:val="clear"/>
        <w:snapToGrid w:val="0"/>
        <w:spacing w:line="440" w:lineRule="exact"/>
        <w:ind w:firstLine="482" w:firstLineChars="200"/>
        <w:outlineLvl w:val="0"/>
        <w:rPr>
          <w:rFonts w:hint="eastAsia" w:ascii="仿宋_GB2312" w:hAnsi="仿宋_GB2312" w:eastAsia="仿宋_GB2312" w:cs="仿宋_GB2312"/>
          <w:color w:val="auto"/>
          <w:sz w:val="24"/>
          <w:szCs w:val="24"/>
          <w:highlight w:val="none"/>
        </w:rPr>
      </w:pPr>
      <w:bookmarkStart w:id="204" w:name="_Toc16297"/>
      <w:bookmarkStart w:id="205" w:name="_Toc3990"/>
      <w:bookmarkStart w:id="206" w:name="_Toc10187"/>
      <w:bookmarkStart w:id="207" w:name="_Toc29311"/>
      <w:r>
        <w:rPr>
          <w:rFonts w:hint="eastAsia" w:ascii="仿宋_GB2312" w:hAnsi="仿宋_GB2312" w:eastAsia="仿宋_GB2312" w:cs="仿宋_GB2312"/>
          <w:b/>
          <w:bCs/>
          <w:color w:val="auto"/>
          <w:sz w:val="24"/>
          <w:szCs w:val="24"/>
          <w:highlight w:val="none"/>
        </w:rPr>
        <w:t>备注：</w:t>
      </w:r>
      <w:bookmarkEnd w:id="204"/>
      <w:bookmarkEnd w:id="205"/>
      <w:bookmarkEnd w:id="206"/>
      <w:bookmarkEnd w:id="207"/>
    </w:p>
    <w:p>
      <w:pPr>
        <w:shd w:val="clear"/>
        <w:snapToGrid w:val="0"/>
        <w:spacing w:line="440" w:lineRule="exact"/>
        <w:ind w:firstLine="480" w:firstLineChars="200"/>
        <w:outlineLvl w:val="0"/>
        <w:rPr>
          <w:rFonts w:hint="eastAsia" w:ascii="仿宋_GB2312" w:hAnsi="仿宋_GB2312" w:eastAsia="仿宋_GB2312" w:cs="仿宋_GB2312"/>
          <w:color w:val="auto"/>
          <w:sz w:val="24"/>
          <w:szCs w:val="24"/>
          <w:highlight w:val="none"/>
        </w:rPr>
      </w:pPr>
      <w:bookmarkStart w:id="208" w:name="_Toc21194"/>
      <w:bookmarkStart w:id="209" w:name="_Toc21980"/>
      <w:bookmarkStart w:id="210" w:name="_Toc26970"/>
      <w:bookmarkStart w:id="211" w:name="_Toc23957"/>
      <w:r>
        <w:rPr>
          <w:rFonts w:hint="eastAsia" w:ascii="仿宋_GB2312" w:hAnsi="仿宋_GB2312" w:eastAsia="仿宋_GB2312" w:cs="仿宋_GB2312"/>
          <w:color w:val="auto"/>
          <w:sz w:val="24"/>
          <w:szCs w:val="24"/>
          <w:highlight w:val="none"/>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208"/>
      <w:bookmarkEnd w:id="209"/>
      <w:bookmarkEnd w:id="210"/>
      <w:bookmarkEnd w:id="211"/>
    </w:p>
    <w:p>
      <w:pPr>
        <w:shd w:val="clear"/>
        <w:snapToGrid w:val="0"/>
        <w:spacing w:line="440" w:lineRule="exact"/>
        <w:ind w:firstLine="480" w:firstLineChars="200"/>
        <w:outlineLvl w:val="0"/>
        <w:rPr>
          <w:rFonts w:hint="eastAsia" w:ascii="仿宋_GB2312" w:hAnsi="仿宋_GB2312" w:eastAsia="仿宋_GB2312" w:cs="仿宋_GB2312"/>
          <w:color w:val="auto"/>
          <w:sz w:val="24"/>
          <w:szCs w:val="24"/>
          <w:highlight w:val="none"/>
        </w:rPr>
      </w:pPr>
      <w:bookmarkStart w:id="212" w:name="_Toc29931"/>
      <w:bookmarkStart w:id="213" w:name="_Toc29109"/>
      <w:bookmarkStart w:id="214" w:name="_Toc12693"/>
      <w:bookmarkStart w:id="215" w:name="_Toc13604"/>
      <w:r>
        <w:rPr>
          <w:rFonts w:hint="eastAsia" w:ascii="仿宋_GB2312" w:hAnsi="仿宋_GB2312" w:eastAsia="仿宋_GB2312" w:cs="仿宋_GB2312"/>
          <w:color w:val="auto"/>
          <w:sz w:val="24"/>
          <w:szCs w:val="24"/>
          <w:highlight w:val="none"/>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212"/>
      <w:bookmarkEnd w:id="213"/>
      <w:bookmarkEnd w:id="214"/>
      <w:bookmarkEnd w:id="215"/>
    </w:p>
    <w:p>
      <w:pPr>
        <w:shd w:val="clear"/>
        <w:snapToGrid w:val="0"/>
        <w:spacing w:line="440" w:lineRule="exact"/>
        <w:ind w:firstLine="480" w:firstLineChars="200"/>
        <w:outlineLvl w:val="0"/>
        <w:rPr>
          <w:rFonts w:hint="eastAsia" w:ascii="仿宋_GB2312" w:hAnsi="仿宋_GB2312" w:eastAsia="仿宋_GB2312" w:cs="仿宋_GB2312"/>
          <w:color w:val="auto"/>
          <w:sz w:val="24"/>
          <w:szCs w:val="24"/>
          <w:highlight w:val="none"/>
        </w:rPr>
      </w:pPr>
      <w:bookmarkStart w:id="216" w:name="_Toc31068"/>
      <w:bookmarkStart w:id="217" w:name="_Toc4731"/>
      <w:bookmarkStart w:id="218" w:name="_Toc22283"/>
      <w:bookmarkStart w:id="219" w:name="_Toc22526"/>
      <w:r>
        <w:rPr>
          <w:rFonts w:hint="eastAsia" w:ascii="仿宋_GB2312" w:hAnsi="仿宋_GB2312" w:eastAsia="仿宋_GB2312" w:cs="仿宋_GB2312"/>
          <w:color w:val="auto"/>
          <w:sz w:val="24"/>
          <w:szCs w:val="24"/>
          <w:highlight w:val="none"/>
        </w:rPr>
        <w:t>3、“具体的质疑事项及事实依据”一栏填写不下时，质疑人可另附页（A4），但附纸要求加盖质疑人公章。</w:t>
      </w:r>
      <w:bookmarkEnd w:id="216"/>
      <w:bookmarkEnd w:id="217"/>
      <w:bookmarkEnd w:id="218"/>
      <w:bookmarkEnd w:id="219"/>
    </w:p>
    <w:p>
      <w:pPr>
        <w:shd w:val="clear"/>
        <w:snapToGrid w:val="0"/>
        <w:spacing w:line="440" w:lineRule="exact"/>
        <w:ind w:firstLine="480" w:firstLineChars="200"/>
        <w:outlineLvl w:val="2"/>
        <w:rPr>
          <w:rFonts w:hint="eastAsia" w:ascii="仿宋_GB2312" w:hAnsi="仿宋_GB2312" w:eastAsia="仿宋_GB2312" w:cs="仿宋_GB2312"/>
          <w:color w:val="auto"/>
          <w:sz w:val="24"/>
          <w:szCs w:val="24"/>
          <w:highlight w:val="none"/>
        </w:rPr>
      </w:pPr>
      <w:bookmarkStart w:id="220" w:name="_Toc13249"/>
      <w:bookmarkStart w:id="221" w:name="_Toc26250"/>
      <w:bookmarkStart w:id="222" w:name="_Toc19472"/>
      <w:bookmarkStart w:id="223" w:name="_Toc29680"/>
      <w:r>
        <w:rPr>
          <w:rFonts w:hint="eastAsia" w:ascii="仿宋_GB2312" w:hAnsi="仿宋_GB2312" w:eastAsia="仿宋_GB2312" w:cs="仿宋_GB2312"/>
          <w:color w:val="auto"/>
          <w:sz w:val="24"/>
          <w:szCs w:val="24"/>
          <w:highlight w:val="none"/>
        </w:rPr>
        <w:t>4、与质疑事项有关的材料应与质疑函合并装订。</w:t>
      </w:r>
      <w:bookmarkEnd w:id="220"/>
      <w:bookmarkEnd w:id="221"/>
      <w:bookmarkEnd w:id="222"/>
      <w:bookmarkEnd w:id="223"/>
    </w:p>
    <w:p>
      <w:pPr>
        <w:shd w:val="clear"/>
        <w:snapToGrid w:val="0"/>
        <w:spacing w:line="440" w:lineRule="exact"/>
        <w:ind w:firstLine="480" w:firstLineChars="200"/>
        <w:outlineLvl w:val="2"/>
        <w:rPr>
          <w:rFonts w:hint="eastAsia" w:ascii="仿宋_GB2312" w:hAnsi="仿宋_GB2312" w:eastAsia="仿宋_GB2312" w:cs="仿宋_GB2312"/>
          <w:b/>
          <w:bCs/>
          <w:color w:val="auto"/>
          <w:sz w:val="24"/>
          <w:szCs w:val="24"/>
          <w:highlight w:val="none"/>
        </w:rPr>
      </w:pPr>
      <w:bookmarkStart w:id="224" w:name="_Toc7624"/>
      <w:bookmarkStart w:id="225" w:name="_Toc4686"/>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b/>
          <w:bCs/>
          <w:color w:val="auto"/>
          <w:sz w:val="24"/>
          <w:szCs w:val="24"/>
          <w:highlight w:val="none"/>
        </w:rPr>
        <w:t>质疑函一式三份。</w:t>
      </w:r>
      <w:bookmarkEnd w:id="224"/>
      <w:bookmarkEnd w:id="225"/>
    </w:p>
    <w:p>
      <w:pPr>
        <w:pStyle w:val="4"/>
        <w:shd w:val="clear"/>
        <w:tabs>
          <w:tab w:val="left" w:pos="2372"/>
        </w:tabs>
        <w:ind w:firstLine="1205" w:firstLineChars="300"/>
        <w:jc w:val="both"/>
        <w:outlineLvl w:val="0"/>
        <w:rPr>
          <w:rFonts w:asciiTheme="minorEastAsia" w:hAnsiTheme="minorEastAsia" w:eastAsiaTheme="minorEastAsia" w:cstheme="minorEastAsia"/>
          <w:b/>
          <w:bCs/>
          <w:color w:val="auto"/>
          <w:sz w:val="44"/>
          <w:szCs w:val="44"/>
          <w:highlight w:val="none"/>
        </w:rPr>
      </w:pPr>
      <w:bookmarkStart w:id="226" w:name="_Toc28466"/>
      <w:r>
        <w:rPr>
          <w:rFonts w:hint="eastAsia" w:ascii="宋体" w:hAnsi="宋体" w:cs="宋体"/>
          <w:b/>
          <w:bCs/>
          <w:color w:val="auto"/>
          <w:sz w:val="40"/>
          <w:szCs w:val="52"/>
          <w:highlight w:val="none"/>
        </w:rPr>
        <w:t>第三章</w:t>
      </w:r>
      <w:r>
        <w:rPr>
          <w:rFonts w:hint="eastAsia" w:ascii="宋体" w:hAnsi="宋体" w:cs="宋体"/>
          <w:b/>
          <w:bCs/>
          <w:color w:val="auto"/>
          <w:sz w:val="40"/>
          <w:szCs w:val="52"/>
          <w:highlight w:val="none"/>
          <w:lang w:val="en-US" w:eastAsia="zh-CN"/>
        </w:rPr>
        <w:t xml:space="preserve"> </w:t>
      </w:r>
      <w:r>
        <w:rPr>
          <w:rFonts w:hint="eastAsia" w:ascii="宋体" w:hAnsi="宋体" w:cs="宋体"/>
          <w:b/>
          <w:bCs/>
          <w:color w:val="auto"/>
          <w:sz w:val="40"/>
          <w:szCs w:val="52"/>
          <w:highlight w:val="none"/>
        </w:rPr>
        <w:t>采购需求、技术参数、规格</w:t>
      </w:r>
      <w:bookmarkEnd w:id="125"/>
      <w:bookmarkEnd w:id="126"/>
      <w:bookmarkEnd w:id="127"/>
      <w:bookmarkEnd w:id="226"/>
    </w:p>
    <w:p>
      <w:pPr>
        <w:pStyle w:val="2"/>
        <w:shd w:val="clear"/>
        <w:tabs>
          <w:tab w:val="left" w:pos="540"/>
        </w:tabs>
        <w:spacing w:line="360" w:lineRule="auto"/>
        <w:ind w:firstLine="562" w:firstLineChars="200"/>
        <w:jc w:val="center"/>
        <w:outlineLvl w:val="1"/>
        <w:rPr>
          <w:rFonts w:hint="eastAsia"/>
          <w:sz w:val="28"/>
          <w:szCs w:val="36"/>
          <w:highlight w:val="none"/>
          <w:lang w:eastAsia="zh-CN"/>
        </w:rPr>
      </w:pPr>
      <w:bookmarkStart w:id="227" w:name="_Toc18841"/>
      <w:bookmarkStart w:id="228" w:name="_Toc25835"/>
      <w:bookmarkStart w:id="229" w:name="_Toc31168"/>
      <w:bookmarkStart w:id="230" w:name="_Toc18595"/>
      <w:bookmarkStart w:id="231" w:name="_Toc24429"/>
      <w:bookmarkStart w:id="232" w:name="_Toc22992"/>
      <w:bookmarkStart w:id="233" w:name="_Toc501379478"/>
      <w:bookmarkStart w:id="234" w:name="_Toc381970843"/>
      <w:r>
        <w:rPr>
          <w:rFonts w:hint="eastAsia" w:ascii="宋体" w:hAnsi="宋体" w:cs="宋体"/>
          <w:bCs/>
          <w:color w:val="auto"/>
          <w:sz w:val="28"/>
          <w:szCs w:val="28"/>
          <w:highlight w:val="none"/>
          <w:lang w:val="zh-CN" w:eastAsia="zh-CN"/>
        </w:rPr>
        <w:t>详见工程量清单（另附，</w:t>
      </w:r>
      <w:r>
        <w:rPr>
          <w:rFonts w:hint="eastAsia" w:ascii="宋体" w:hAnsi="宋体" w:cs="宋体"/>
          <w:bCs/>
          <w:color w:val="auto"/>
          <w:sz w:val="28"/>
          <w:szCs w:val="28"/>
          <w:highlight w:val="none"/>
          <w:lang w:val="en-US" w:eastAsia="zh-CN"/>
        </w:rPr>
        <w:t>详见附件资料</w:t>
      </w:r>
      <w:r>
        <w:rPr>
          <w:rFonts w:hint="eastAsia" w:ascii="宋体" w:hAnsi="宋体" w:cs="宋体"/>
          <w:bCs/>
          <w:color w:val="auto"/>
          <w:sz w:val="28"/>
          <w:szCs w:val="28"/>
          <w:highlight w:val="none"/>
          <w:lang w:val="zh-CN" w:eastAsia="zh-CN"/>
        </w:rPr>
        <w:t>）</w:t>
      </w:r>
      <w:bookmarkEnd w:id="227"/>
      <w:bookmarkEnd w:id="228"/>
    </w:p>
    <w:p>
      <w:pPr>
        <w:pStyle w:val="3"/>
        <w:shd w:val="clear"/>
        <w:spacing w:before="0" w:after="0" w:line="240" w:lineRule="auto"/>
        <w:jc w:val="both"/>
        <w:outlineLvl w:val="9"/>
        <w:rPr>
          <w:rFonts w:hint="eastAsia"/>
          <w:color w:val="auto"/>
          <w:highlight w:val="none"/>
        </w:rPr>
      </w:pPr>
    </w:p>
    <w:p>
      <w:pPr>
        <w:shd w:val="clear"/>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pStyle w:val="18"/>
        <w:widowControl w:val="0"/>
        <w:numPr>
          <w:ilvl w:val="0"/>
          <w:numId w:val="0"/>
        </w:numPr>
        <w:shd w:val="clear"/>
        <w:spacing w:line="360" w:lineRule="auto"/>
        <w:jc w:val="both"/>
        <w:rPr>
          <w:rFonts w:hint="eastAsia"/>
          <w:color w:val="auto"/>
          <w:highlight w:val="none"/>
        </w:rPr>
      </w:pPr>
    </w:p>
    <w:p>
      <w:pPr>
        <w:shd w:val="clear"/>
        <w:rPr>
          <w:rFonts w:hint="eastAsia"/>
          <w:color w:val="auto"/>
          <w:highlight w:val="none"/>
        </w:rPr>
      </w:pPr>
      <w:r>
        <w:rPr>
          <w:rFonts w:hint="eastAsia"/>
          <w:color w:val="auto"/>
          <w:highlight w:val="none"/>
        </w:rPr>
        <w:br w:type="page"/>
      </w:r>
    </w:p>
    <w:p>
      <w:pPr>
        <w:pStyle w:val="3"/>
        <w:shd w:val="clear"/>
        <w:spacing w:before="0" w:after="0" w:line="240" w:lineRule="auto"/>
        <w:jc w:val="center"/>
        <w:rPr>
          <w:rFonts w:hint="eastAsia" w:ascii="仿宋_GB2312" w:hAnsi="仿宋_GB2312" w:eastAsia="仿宋_GB2312" w:cs="仿宋_GB2312"/>
          <w:b/>
          <w:bCs/>
          <w:color w:val="auto"/>
          <w:sz w:val="24"/>
          <w:szCs w:val="24"/>
          <w:highlight w:val="none"/>
          <w:lang w:eastAsia="zh-CN"/>
        </w:rPr>
      </w:pPr>
      <w:bookmarkStart w:id="235" w:name="_Toc10077"/>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章</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bCs/>
          <w:color w:val="auto"/>
          <w:sz w:val="24"/>
          <w:szCs w:val="24"/>
          <w:highlight w:val="none"/>
        </w:rPr>
        <w:t>合同</w:t>
      </w:r>
      <w:r>
        <w:rPr>
          <w:rFonts w:hint="eastAsia" w:ascii="仿宋_GB2312" w:hAnsi="仿宋_GB2312" w:eastAsia="仿宋_GB2312" w:cs="仿宋_GB2312"/>
          <w:b/>
          <w:bCs/>
          <w:color w:val="auto"/>
          <w:sz w:val="24"/>
          <w:szCs w:val="24"/>
          <w:highlight w:val="none"/>
          <w:lang w:eastAsia="zh-CN"/>
        </w:rPr>
        <w:t>范本（仅参考）</w:t>
      </w:r>
      <w:bookmarkEnd w:id="235"/>
    </w:p>
    <w:p>
      <w:pPr>
        <w:shd w:val="clear"/>
        <w:jc w:val="center"/>
        <w:rPr>
          <w:rFonts w:hint="eastAsia" w:ascii="仿宋_GB2312" w:hAnsi="仿宋_GB2312" w:eastAsia="仿宋_GB2312" w:cs="仿宋_GB2312"/>
          <w:b/>
          <w:bCs/>
          <w:color w:val="auto"/>
          <w:sz w:val="24"/>
          <w:szCs w:val="24"/>
          <w:highlight w:val="none"/>
        </w:rPr>
      </w:pPr>
    </w:p>
    <w:p>
      <w:pPr>
        <w:shd w:val="clear"/>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w:t>
      </w:r>
    </w:p>
    <w:p>
      <w:pPr>
        <w:pStyle w:val="2"/>
        <w:shd w:val="clear"/>
        <w:spacing w:line="480" w:lineRule="exact"/>
        <w:ind w:firstLine="1928" w:firstLineChars="800"/>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color w:val="auto"/>
          <w:sz w:val="24"/>
          <w:szCs w:val="24"/>
          <w:highlight w:val="none"/>
        </w:rPr>
        <w:t>第一部分 合同协议书</w:t>
      </w:r>
    </w:p>
    <w:p>
      <w:pPr>
        <w:shd w:val="clear"/>
        <w:spacing w:line="500" w:lineRule="exact"/>
        <w:ind w:firstLine="480" w:firstLineChars="200"/>
        <w:jc w:val="left"/>
        <w:rPr>
          <w:rFonts w:hint="eastAsia" w:ascii="仿宋_GB2312" w:hAnsi="仿宋_GB2312" w:eastAsia="仿宋_GB2312" w:cs="仿宋_GB2312"/>
          <w:b w:val="0"/>
          <w:bCs/>
          <w:color w:val="auto"/>
          <w:sz w:val="24"/>
          <w:szCs w:val="24"/>
          <w:highlight w:val="none"/>
          <w:u w:val="single"/>
          <w:lang w:val="en-US"/>
        </w:rPr>
      </w:pPr>
      <w:r>
        <w:rPr>
          <w:rFonts w:hint="eastAsia" w:ascii="仿宋_GB2312" w:hAnsi="仿宋_GB2312" w:eastAsia="仿宋_GB2312" w:cs="仿宋_GB2312"/>
          <w:color w:val="auto"/>
          <w:sz w:val="24"/>
          <w:szCs w:val="24"/>
          <w:highlight w:val="none"/>
        </w:rPr>
        <w:t>发包人（全称）</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single"/>
          <w:lang w:val="en-US" w:eastAsia="zh-CN"/>
        </w:rPr>
        <w:t xml:space="preserve">                                </w:t>
      </w:r>
    </w:p>
    <w:p>
      <w:pPr>
        <w:shd w:val="clear"/>
        <w:spacing w:line="500" w:lineRule="exact"/>
        <w:ind w:firstLine="480" w:firstLineChars="200"/>
        <w:jc w:val="left"/>
        <w:rPr>
          <w:rFonts w:hint="eastAsia" w:ascii="仿宋_GB2312" w:hAnsi="仿宋_GB2312" w:eastAsia="仿宋_GB2312" w:cs="仿宋_GB2312"/>
          <w:b w:val="0"/>
          <w:bCs/>
          <w:color w:val="auto"/>
          <w:sz w:val="24"/>
          <w:szCs w:val="24"/>
          <w:highlight w:val="none"/>
          <w:u w:val="single"/>
          <w:lang w:val="en-US" w:eastAsia="zh-CN"/>
        </w:rPr>
      </w:pPr>
      <w:r>
        <w:rPr>
          <w:rFonts w:hint="eastAsia" w:ascii="仿宋_GB2312" w:hAnsi="仿宋_GB2312" w:eastAsia="仿宋_GB2312" w:cs="仿宋_GB2312"/>
          <w:b w:val="0"/>
          <w:bCs/>
          <w:color w:val="auto"/>
          <w:sz w:val="24"/>
          <w:szCs w:val="24"/>
          <w:highlight w:val="none"/>
        </w:rPr>
        <w:t>承包人（全称）：</w:t>
      </w:r>
      <w:r>
        <w:rPr>
          <w:rFonts w:hint="eastAsia" w:ascii="仿宋_GB2312" w:hAnsi="仿宋_GB2312" w:eastAsia="仿宋_GB2312" w:cs="仿宋_GB2312"/>
          <w:b w:val="0"/>
          <w:bCs/>
          <w:color w:val="auto"/>
          <w:sz w:val="24"/>
          <w:szCs w:val="24"/>
          <w:highlight w:val="none"/>
          <w:u w:val="single"/>
        </w:rPr>
        <w:t xml:space="preserve"> </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b w:val="0"/>
          <w:bCs/>
          <w:color w:val="auto"/>
          <w:sz w:val="24"/>
          <w:szCs w:val="24"/>
          <w:highlight w:val="none"/>
          <w:u w:val="single"/>
        </w:rPr>
        <w:t xml:space="preserve">  </w:t>
      </w:r>
      <w:r>
        <w:rPr>
          <w:rFonts w:hint="eastAsia" w:ascii="仿宋_GB2312" w:hAnsi="仿宋_GB2312" w:eastAsia="仿宋_GB2312" w:cs="仿宋_GB2312"/>
          <w:b w:val="0"/>
          <w:bCs/>
          <w:color w:val="auto"/>
          <w:sz w:val="24"/>
          <w:szCs w:val="24"/>
          <w:highlight w:val="none"/>
          <w:u w:val="single"/>
          <w:lang w:val="en-US" w:eastAsia="zh-CN"/>
        </w:rPr>
        <w:t xml:space="preserve"> </w:t>
      </w:r>
    </w:p>
    <w:p>
      <w:pPr>
        <w:shd w:val="clear"/>
        <w:spacing w:line="500" w:lineRule="exact"/>
        <w:ind w:firstLine="480" w:firstLineChars="200"/>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根据《中华人民共和国</w:t>
      </w:r>
      <w:r>
        <w:rPr>
          <w:rFonts w:hint="eastAsia" w:ascii="仿宋_GB2312" w:hAnsi="仿宋_GB2312" w:eastAsia="仿宋_GB2312" w:cs="仿宋_GB2312"/>
          <w:b w:val="0"/>
          <w:bCs/>
          <w:color w:val="auto"/>
          <w:sz w:val="24"/>
          <w:szCs w:val="24"/>
          <w:highlight w:val="none"/>
          <w:lang w:eastAsia="zh-CN"/>
        </w:rPr>
        <w:t>民法典</w:t>
      </w:r>
      <w:r>
        <w:rPr>
          <w:rFonts w:hint="eastAsia" w:ascii="仿宋_GB2312" w:hAnsi="仿宋_GB2312" w:eastAsia="仿宋_GB2312" w:cs="仿宋_GB2312"/>
          <w:b w:val="0"/>
          <w:bCs/>
          <w:color w:val="auto"/>
          <w:sz w:val="24"/>
          <w:szCs w:val="24"/>
          <w:highlight w:val="none"/>
        </w:rPr>
        <w:t>》、《中华人民共和国建筑法》及有关法律规定，遵循平等、自愿、公平和诚实信用的原则，双方</w:t>
      </w:r>
      <w:r>
        <w:rPr>
          <w:rFonts w:hint="eastAsia" w:ascii="仿宋_GB2312" w:hAnsi="仿宋_GB2312" w:eastAsia="仿宋_GB2312" w:cs="仿宋_GB2312"/>
          <w:b w:val="0"/>
          <w:bCs/>
          <w:color w:val="auto"/>
          <w:sz w:val="24"/>
          <w:szCs w:val="24"/>
          <w:highlight w:val="none"/>
          <w:lang w:eastAsia="zh-CN"/>
        </w:rPr>
        <w:t>就</w:t>
      </w:r>
      <w:r>
        <w:rPr>
          <w:rFonts w:hint="eastAsia" w:ascii="仿宋_GB2312" w:hAnsi="仿宋_GB2312" w:eastAsia="仿宋_GB2312" w:cs="仿宋_GB2312"/>
          <w:b w:val="0"/>
          <w:bCs/>
          <w:color w:val="auto"/>
          <w:kern w:val="2"/>
          <w:sz w:val="24"/>
          <w:szCs w:val="24"/>
          <w:highlight w:val="none"/>
          <w:u w:val="single"/>
          <w:lang w:val="en-US" w:eastAsia="zh-CN" w:bidi="ar-SA"/>
        </w:rPr>
        <w:t xml:space="preserve"> </w:t>
      </w:r>
      <w:r>
        <w:rPr>
          <w:rFonts w:hint="eastAsia" w:ascii="仿宋_GB2312" w:hAnsi="仿宋_GB2312" w:eastAsia="仿宋_GB2312" w:cs="仿宋_GB2312"/>
          <w:b w:val="0"/>
          <w:bCs/>
          <w:color w:val="auto"/>
          <w:sz w:val="24"/>
          <w:szCs w:val="24"/>
          <w:highlight w:val="none"/>
        </w:rPr>
        <w:t>施工及有关事项协商一致，共同达成如下协议：</w:t>
      </w:r>
    </w:p>
    <w:p>
      <w:pPr>
        <w:pStyle w:val="5"/>
        <w:shd w:val="clear"/>
        <w:spacing w:before="120" w:after="120" w:line="500" w:lineRule="exact"/>
        <w:jc w:val="lef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 xml:space="preserve">    一、工程概况</w:t>
      </w:r>
    </w:p>
    <w:p>
      <w:pPr>
        <w:pStyle w:val="5"/>
        <w:pageBreakBefore w:val="0"/>
        <w:widowControl w:val="0"/>
        <w:shd w:val="clear"/>
        <w:kinsoku/>
        <w:wordWrap/>
        <w:overflowPunct/>
        <w:topLinePunct w:val="0"/>
        <w:autoSpaceDE/>
        <w:autoSpaceDN/>
        <w:bidi w:val="0"/>
        <w:adjustRightInd/>
        <w:snapToGrid/>
        <w:spacing w:before="120" w:after="120" w:line="480" w:lineRule="auto"/>
        <w:ind w:firstLine="480" w:firstLineChars="200"/>
        <w:jc w:val="left"/>
        <w:textAlignment w:val="auto"/>
        <w:rPr>
          <w:rFonts w:hint="eastAsia" w:ascii="仿宋_GB2312" w:hAnsi="仿宋_GB2312" w:eastAsia="仿宋_GB2312" w:cs="仿宋_GB2312"/>
          <w:b w:val="0"/>
          <w:bCs/>
          <w:color w:val="auto"/>
          <w:sz w:val="24"/>
          <w:szCs w:val="24"/>
          <w:highlight w:val="none"/>
          <w:u w:val="single"/>
          <w:lang w:val="en-US" w:eastAsia="zh-CN"/>
        </w:rPr>
      </w:pPr>
      <w:r>
        <w:rPr>
          <w:rFonts w:hint="eastAsia" w:ascii="仿宋_GB2312" w:hAnsi="仿宋_GB2312" w:eastAsia="仿宋_GB2312" w:cs="仿宋_GB2312"/>
          <w:b w:val="0"/>
          <w:bCs/>
          <w:color w:val="auto"/>
          <w:sz w:val="24"/>
          <w:szCs w:val="24"/>
          <w:highlight w:val="none"/>
        </w:rPr>
        <w:t>1.工程名称：</w:t>
      </w:r>
      <w:r>
        <w:rPr>
          <w:rFonts w:hint="eastAsia" w:ascii="仿宋_GB2312" w:hAnsi="仿宋_GB2312" w:eastAsia="仿宋_GB2312" w:cs="仿宋_GB2312"/>
          <w:b w:val="0"/>
          <w:bCs/>
          <w:color w:val="auto"/>
          <w:kern w:val="2"/>
          <w:sz w:val="24"/>
          <w:szCs w:val="24"/>
          <w:highlight w:val="none"/>
          <w:u w:val="single"/>
          <w:lang w:val="en-US" w:eastAsia="zh-CN" w:bidi="ar-SA"/>
        </w:rPr>
        <w:t xml:space="preserve">                                    </w:t>
      </w:r>
    </w:p>
    <w:p>
      <w:pPr>
        <w:pageBreakBefore w:val="0"/>
        <w:widowControl w:val="0"/>
        <w:shd w:val="clear"/>
        <w:kinsoku/>
        <w:wordWrap/>
        <w:overflowPunct/>
        <w:topLinePunct w:val="0"/>
        <w:autoSpaceDE/>
        <w:autoSpaceDN/>
        <w:bidi w:val="0"/>
        <w:adjustRightInd/>
        <w:snapToGrid/>
        <w:spacing w:line="480" w:lineRule="auto"/>
        <w:ind w:left="2786" w:leftChars="261" w:hanging="2160" w:hangingChars="900"/>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2.工程地点</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u w:val="single"/>
        </w:rPr>
        <w:t xml:space="preserve">  </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b w:val="0"/>
          <w:bCs/>
          <w:color w:val="auto"/>
          <w:sz w:val="24"/>
          <w:szCs w:val="24"/>
          <w:highlight w:val="none"/>
          <w:u w:val="single"/>
        </w:rPr>
        <w:t xml:space="preserve"> </w:t>
      </w:r>
      <w:r>
        <w:rPr>
          <w:rFonts w:hint="eastAsia" w:ascii="仿宋_GB2312" w:hAnsi="仿宋_GB2312" w:eastAsia="仿宋_GB2312" w:cs="仿宋_GB2312"/>
          <w:b w:val="0"/>
          <w:bCs/>
          <w:color w:val="auto"/>
          <w:sz w:val="24"/>
          <w:szCs w:val="24"/>
          <w:highlight w:val="none"/>
        </w:rPr>
        <w:t xml:space="preserve">               </w:t>
      </w:r>
    </w:p>
    <w:p>
      <w:pPr>
        <w:pageBreakBefore w:val="0"/>
        <w:widowControl w:val="0"/>
        <w:shd w:val="clear"/>
        <w:kinsoku/>
        <w:wordWrap/>
        <w:overflowPunct/>
        <w:topLinePunct w:val="0"/>
        <w:autoSpaceDE/>
        <w:autoSpaceDN/>
        <w:bidi w:val="0"/>
        <w:adjustRightInd/>
        <w:snapToGrid/>
        <w:spacing w:line="480" w:lineRule="auto"/>
        <w:ind w:left="2786" w:leftChars="261" w:hanging="2160" w:hangingChars="900"/>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rPr>
        <w:t>3.工程立项批准文号：</w:t>
      </w:r>
      <w:r>
        <w:rPr>
          <w:rFonts w:hint="eastAsia" w:ascii="仿宋_GB2312" w:hAnsi="仿宋_GB2312" w:eastAsia="仿宋_GB2312" w:cs="仿宋_GB2312"/>
          <w:b w:val="0"/>
          <w:bCs/>
          <w:color w:val="auto"/>
          <w:sz w:val="24"/>
          <w:szCs w:val="24"/>
          <w:highlight w:val="none"/>
          <w:u w:val="single"/>
          <w:lang w:val="en-US" w:eastAsia="zh-CN"/>
        </w:rPr>
        <w:t xml:space="preserve">                          </w:t>
      </w:r>
    </w:p>
    <w:p>
      <w:pPr>
        <w:pageBreakBefore w:val="0"/>
        <w:widowControl w:val="0"/>
        <w:shd w:val="clear"/>
        <w:kinsoku/>
        <w:wordWrap/>
        <w:overflowPunct/>
        <w:topLinePunct w:val="0"/>
        <w:autoSpaceDE/>
        <w:autoSpaceDN/>
        <w:bidi w:val="0"/>
        <w:adjustRightInd/>
        <w:snapToGrid/>
        <w:spacing w:line="480" w:lineRule="auto"/>
        <w:ind w:left="2066" w:leftChars="261" w:hanging="1440" w:hangingChars="600"/>
        <w:jc w:val="left"/>
        <w:textAlignment w:val="auto"/>
        <w:rPr>
          <w:rFonts w:hint="eastAsia" w:ascii="仿宋_GB2312" w:hAnsi="仿宋_GB2312" w:eastAsia="仿宋_GB2312" w:cs="仿宋_GB2312"/>
          <w:b w:val="0"/>
          <w:bCs/>
          <w:color w:val="auto"/>
          <w:sz w:val="24"/>
          <w:szCs w:val="24"/>
          <w:highlight w:val="none"/>
          <w:u w:val="single"/>
          <w:lang w:val="en-US" w:eastAsia="zh-CN"/>
        </w:rPr>
      </w:pPr>
      <w:r>
        <w:rPr>
          <w:rFonts w:hint="eastAsia" w:ascii="仿宋_GB2312" w:hAnsi="仿宋_GB2312" w:eastAsia="仿宋_GB2312" w:cs="仿宋_GB2312"/>
          <w:b w:val="0"/>
          <w:bCs/>
          <w:color w:val="auto"/>
          <w:sz w:val="24"/>
          <w:szCs w:val="24"/>
          <w:highlight w:val="none"/>
        </w:rPr>
        <w:t>4.资金来源</w:t>
      </w:r>
      <w:r>
        <w:rPr>
          <w:rFonts w:hint="eastAsia" w:ascii="仿宋_GB2312" w:hAnsi="仿宋_GB2312" w:eastAsia="仿宋_GB2312" w:cs="仿宋_GB2312"/>
          <w:b w:val="0"/>
          <w:bCs/>
          <w:color w:val="auto"/>
          <w:kern w:val="0"/>
          <w:sz w:val="24"/>
          <w:szCs w:val="24"/>
          <w:highlight w:val="none"/>
          <w:u w:val="single"/>
        </w:rPr>
        <w:t xml:space="preserve"> </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pageBreakBefore w:val="0"/>
        <w:widowControl w:val="0"/>
        <w:shd w:val="clear"/>
        <w:kinsoku/>
        <w:wordWrap/>
        <w:overflowPunct/>
        <w:topLinePunct w:val="0"/>
        <w:autoSpaceDE/>
        <w:autoSpaceDN/>
        <w:bidi w:val="0"/>
        <w:adjustRightInd/>
        <w:snapToGrid/>
        <w:spacing w:line="480" w:lineRule="auto"/>
        <w:ind w:firstLine="480" w:firstLineChars="200"/>
        <w:jc w:val="left"/>
        <w:textAlignment w:val="auto"/>
        <w:rPr>
          <w:rFonts w:hint="eastAsia" w:ascii="仿宋_GB2312" w:hAnsi="仿宋_GB2312" w:eastAsia="仿宋_GB2312" w:cs="仿宋_GB2312"/>
          <w:b w:val="0"/>
          <w:bCs/>
          <w:color w:val="auto"/>
          <w:sz w:val="24"/>
          <w:szCs w:val="24"/>
          <w:highlight w:val="none"/>
          <w:u w:val="single"/>
          <w:lang w:val="en-US" w:eastAsia="zh-CN"/>
        </w:rPr>
      </w:pPr>
      <w:r>
        <w:rPr>
          <w:rFonts w:hint="eastAsia" w:ascii="仿宋_GB2312" w:hAnsi="仿宋_GB2312" w:eastAsia="仿宋_GB2312" w:cs="仿宋_GB2312"/>
          <w:b w:val="0"/>
          <w:bCs/>
          <w:color w:val="auto"/>
          <w:sz w:val="24"/>
          <w:szCs w:val="24"/>
          <w:highlight w:val="none"/>
        </w:rPr>
        <w:t>5.工程内容：</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color w:val="auto"/>
          <w:kern w:val="0"/>
          <w:sz w:val="24"/>
          <w:szCs w:val="24"/>
          <w:highlight w:val="none"/>
          <w:u w:val="single"/>
        </w:rPr>
        <w:t xml:space="preserve"> </w:t>
      </w:r>
    </w:p>
    <w:p>
      <w:pPr>
        <w:pageBreakBefore w:val="0"/>
        <w:widowControl w:val="0"/>
        <w:shd w:val="clear"/>
        <w:kinsoku/>
        <w:wordWrap/>
        <w:overflowPunct/>
        <w:topLinePunct w:val="0"/>
        <w:autoSpaceDE/>
        <w:autoSpaceDN/>
        <w:bidi w:val="0"/>
        <w:adjustRightInd/>
        <w:snapToGrid/>
        <w:spacing w:line="480" w:lineRule="auto"/>
        <w:ind w:firstLine="470" w:firstLineChars="196"/>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群体工程应附《承包人承揽工程项目一览表》（附件1）。</w:t>
      </w:r>
    </w:p>
    <w:p>
      <w:pPr>
        <w:pageBreakBefore w:val="0"/>
        <w:widowControl w:val="0"/>
        <w:numPr>
          <w:ilvl w:val="0"/>
          <w:numId w:val="5"/>
        </w:numPr>
        <w:shd w:val="clear"/>
        <w:kinsoku/>
        <w:wordWrap/>
        <w:overflowPunct/>
        <w:topLinePunct w:val="0"/>
        <w:autoSpaceDE/>
        <w:autoSpaceDN/>
        <w:bidi w:val="0"/>
        <w:adjustRightInd/>
        <w:snapToGrid/>
        <w:spacing w:line="480" w:lineRule="auto"/>
        <w:ind w:firstLine="470" w:firstLineChars="196"/>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工程承包范围</w:t>
      </w:r>
      <w:r>
        <w:rPr>
          <w:rFonts w:hint="eastAsia" w:ascii="仿宋_GB2312" w:hAnsi="仿宋_GB2312" w:eastAsia="仿宋_GB2312" w:cs="仿宋_GB2312"/>
          <w:b w:val="0"/>
          <w:bCs/>
          <w:color w:val="auto"/>
          <w:sz w:val="24"/>
          <w:szCs w:val="24"/>
          <w:highlight w:val="none"/>
          <w:u w:val="none"/>
        </w:rPr>
        <w:t>：</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b w:val="0"/>
          <w:bCs/>
          <w:color w:val="auto"/>
          <w:sz w:val="24"/>
          <w:szCs w:val="24"/>
          <w:highlight w:val="none"/>
        </w:rPr>
        <w:t xml:space="preserve">  </w:t>
      </w:r>
    </w:p>
    <w:p>
      <w:pPr>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 xml:space="preserve">     </w:t>
      </w:r>
      <w:r>
        <w:rPr>
          <w:rFonts w:hint="eastAsia" w:ascii="仿宋_GB2312" w:hAnsi="仿宋_GB2312" w:eastAsia="仿宋_GB2312" w:cs="仿宋_GB2312"/>
          <w:b w:val="0"/>
          <w:bCs/>
          <w:color w:val="auto"/>
          <w:kern w:val="2"/>
          <w:sz w:val="24"/>
          <w:szCs w:val="24"/>
          <w:highlight w:val="none"/>
          <w:lang w:val="en-US" w:eastAsia="zh-CN" w:bidi="ar-SA"/>
        </w:rPr>
        <w:t xml:space="preserve"> 二、合同工期</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Cs/>
          <w:color w:val="auto"/>
          <w:sz w:val="24"/>
          <w:szCs w:val="24"/>
          <w:highlight w:val="none"/>
        </w:rPr>
        <w:t>计划开工日期：</w:t>
      </w:r>
      <w:r>
        <w:rPr>
          <w:rFonts w:hint="eastAsia" w:ascii="仿宋_GB2312" w:hAnsi="仿宋_GB2312" w:eastAsia="仿宋_GB2312" w:cs="仿宋_GB2312"/>
          <w:color w:val="auto"/>
          <w:kern w:val="0"/>
          <w:sz w:val="24"/>
          <w:szCs w:val="24"/>
          <w:highlight w:val="none"/>
          <w:u w:val="singl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rPr>
      </w:pPr>
      <w:r>
        <w:rPr>
          <w:rFonts w:hint="eastAsia" w:ascii="仿宋_GB2312" w:hAnsi="仿宋_GB2312" w:eastAsia="仿宋_GB2312" w:cs="仿宋_GB2312"/>
          <w:bCs/>
          <w:color w:val="auto"/>
          <w:sz w:val="24"/>
          <w:szCs w:val="24"/>
          <w:highlight w:val="none"/>
        </w:rPr>
        <w:t>计划竣工日期：</w:t>
      </w:r>
      <w:r>
        <w:rPr>
          <w:rFonts w:hint="eastAsia" w:ascii="仿宋_GB2312" w:hAnsi="仿宋_GB2312" w:eastAsia="仿宋_GB2312" w:cs="仿宋_GB2312"/>
          <w:color w:val="auto"/>
          <w:kern w:val="0"/>
          <w:sz w:val="24"/>
          <w:szCs w:val="24"/>
          <w:highlight w:val="none"/>
          <w:u w:val="single"/>
          <w:lang w:val="en-US" w:eastAsia="zh-CN" w:bidi="ar-SA"/>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bidi="ar-SA"/>
        </w:rPr>
        <w:t xml:space="preserve">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工期总日历天数：</w:t>
      </w:r>
      <w:r>
        <w:rPr>
          <w:rFonts w:hint="eastAsia" w:ascii="仿宋_GB2312" w:hAnsi="仿宋_GB2312" w:eastAsia="仿宋_GB2312" w:cs="仿宋_GB2312"/>
          <w:color w:val="auto"/>
          <w:sz w:val="24"/>
          <w:szCs w:val="24"/>
          <w:highlight w:val="none"/>
          <w:lang w:val="en-US" w:eastAsia="zh-CN"/>
        </w:rPr>
        <w:t xml:space="preserve">合同签订后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日历日（计划开工日期：                  ），</w:t>
      </w:r>
      <w:r>
        <w:rPr>
          <w:rFonts w:hint="eastAsia" w:ascii="仿宋_GB2312" w:hAnsi="仿宋_GB2312" w:eastAsia="仿宋_GB2312" w:cs="仿宋_GB2312"/>
          <w:bCs/>
          <w:color w:val="auto"/>
          <w:sz w:val="24"/>
          <w:szCs w:val="24"/>
          <w:highlight w:val="none"/>
        </w:rPr>
        <w:t>工期总日历天数与根据前述计划开竣工日期计算的工期天数不一致的，以工期总日历天数为准。</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如遇冬季无法施工，工期顺延，总工期不变</w:t>
      </w:r>
      <w:r>
        <w:rPr>
          <w:rFonts w:hint="eastAsia" w:ascii="仿宋_GB2312" w:hAnsi="仿宋_GB2312" w:eastAsia="仿宋_GB2312" w:cs="仿宋_GB2312"/>
          <w:bCs/>
          <w:color w:val="auto"/>
          <w:sz w:val="24"/>
          <w:szCs w:val="24"/>
          <w:highlight w:val="none"/>
          <w:lang w:eastAsia="zh-CN"/>
        </w:rPr>
        <w:t>）</w:t>
      </w:r>
    </w:p>
    <w:p>
      <w:pPr>
        <w:pStyle w:val="5"/>
        <w:shd w:val="clear"/>
        <w:spacing w:before="120" w:after="120" w:line="500" w:lineRule="exact"/>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 w:val="0"/>
          <w:bCs w:val="0"/>
          <w:color w:val="auto"/>
          <w:sz w:val="24"/>
          <w:szCs w:val="24"/>
          <w:highlight w:val="none"/>
        </w:rPr>
        <w:t xml:space="preserve"> 三、质量标准</w:t>
      </w:r>
    </w:p>
    <w:p>
      <w:pPr>
        <w:shd w:val="clear"/>
        <w:spacing w:line="500" w:lineRule="exact"/>
        <w:ind w:firstLine="511" w:firstLineChars="213"/>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工程质量符合</w:t>
      </w:r>
      <w:r>
        <w:rPr>
          <w:rFonts w:hint="eastAsia" w:ascii="仿宋_GB2312" w:hAnsi="仿宋_GB2312" w:eastAsia="仿宋_GB2312" w:cs="仿宋_GB2312"/>
          <w:b w:val="0"/>
          <w:bCs w:val="0"/>
          <w:color w:val="auto"/>
          <w:sz w:val="24"/>
          <w:szCs w:val="24"/>
          <w:highlight w:val="none"/>
          <w:u w:val="single"/>
          <w:lang w:eastAsia="zh-CN"/>
        </w:rPr>
        <w:t>合格</w:t>
      </w:r>
      <w:r>
        <w:rPr>
          <w:rFonts w:hint="eastAsia" w:ascii="仿宋_GB2312" w:hAnsi="仿宋_GB2312" w:eastAsia="仿宋_GB2312" w:cs="仿宋_GB2312"/>
          <w:b w:val="0"/>
          <w:bCs w:val="0"/>
          <w:color w:val="auto"/>
          <w:sz w:val="24"/>
          <w:szCs w:val="24"/>
          <w:highlight w:val="none"/>
        </w:rPr>
        <w:t xml:space="preserve">标准。 </w:t>
      </w:r>
    </w:p>
    <w:p>
      <w:pPr>
        <w:shd w:val="clear"/>
        <w:spacing w:line="500" w:lineRule="exact"/>
        <w:ind w:firstLine="240" w:firstLineChars="10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 xml:space="preserve"> 四、签约合同价与合同价格形式</w:t>
      </w:r>
      <w:r>
        <w:rPr>
          <w:rFonts w:hint="eastAsia" w:ascii="仿宋_GB2312" w:hAnsi="仿宋_GB2312" w:eastAsia="仿宋_GB2312" w:cs="仿宋_GB2312"/>
          <w:b w:val="0"/>
          <w:bCs w:val="0"/>
          <w:color w:val="auto"/>
          <w:kern w:val="2"/>
          <w:sz w:val="24"/>
          <w:szCs w:val="24"/>
          <w:highlight w:val="none"/>
          <w:lang w:val="en-US" w:eastAsia="zh-CN" w:bidi="ar-SA"/>
        </w:rPr>
        <w:tab/>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1.签约合同价为人民币（大写）                 （小写）（¥                元)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其中：</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（1）安全文明施工费：</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人民币（大写）                         (¥         元)；</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（2）材料和工程设备暂估价金额：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人民币（大写）                        (¥             元)；</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（3）专业工程暂估价金额：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人民币（大写）    /      (¥   /  元)；</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（4）暂列金额：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人民币（大写）                             (¥        元)。</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2、合同价格形式： 单价合同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五、项目经理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承包人项目经理：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六、合同文件构成</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本协议书与下列文件一起构成合同文件：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（1）中标通知书（如果有）；</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（2）投标函及其附录（如果有）；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（3）专用合同条款及其附件；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（4）通用合同条款；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（5）技术标准和要求；</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（6）图纸；</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（7）已标价工程量清单或预算书；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（8）其他合同文件。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在合同订立及履行过程中形成的与合同有关的文件均构成合同文件组成部分。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pStyle w:val="5"/>
        <w:shd w:val="clear"/>
        <w:spacing w:before="120" w:after="120" w:line="480" w:lineRule="exact"/>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color w:val="auto"/>
          <w:sz w:val="24"/>
          <w:szCs w:val="24"/>
          <w:highlight w:val="none"/>
        </w:rPr>
        <w:t xml:space="preserve">  </w:t>
      </w:r>
      <w:r>
        <w:rPr>
          <w:rFonts w:hint="eastAsia" w:ascii="仿宋_GB2312" w:hAnsi="仿宋_GB2312" w:eastAsia="仿宋_GB2312" w:cs="仿宋_GB2312"/>
          <w:b w:val="0"/>
          <w:bCs/>
          <w:color w:val="auto"/>
          <w:kern w:val="2"/>
          <w:sz w:val="24"/>
          <w:szCs w:val="24"/>
          <w:highlight w:val="none"/>
          <w:lang w:val="en-US" w:eastAsia="zh-CN" w:bidi="ar-SA"/>
        </w:rPr>
        <w:t xml:space="preserve"> 七、承诺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1.发包人承诺按照法律规定履行项目审批手续、筹集工程建设资金并按照合同约定的期限和方式支付合同价款。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2.承包人承诺按照法律规定及合同约定组织完成工程施工，确保工程质量和安全，不进行转包及违法分包，并在缺陷责任期及保修期内承担相应的工程维修责任。</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3.发包人和承包人通过招投标形式签订合同的，双方理解并承诺不再就同一工程另</w:t>
      </w:r>
      <w:r>
        <w:rPr>
          <w:rFonts w:hint="eastAsia" w:asciiTheme="minorEastAsia" w:hAnsiTheme="minorEastAsia" w:eastAsiaTheme="minorEastAsia" w:cstheme="minorEastAsia"/>
          <w:bCs/>
          <w:color w:val="auto"/>
          <w:sz w:val="24"/>
          <w:szCs w:val="24"/>
          <w:highlight w:val="none"/>
        </w:rPr>
        <w:t>行</w:t>
      </w:r>
      <w:r>
        <w:rPr>
          <w:rFonts w:hint="eastAsia" w:ascii="仿宋_GB2312" w:hAnsi="仿宋_GB2312" w:eastAsia="仿宋_GB2312" w:cs="仿宋_GB2312"/>
          <w:bCs/>
          <w:color w:val="auto"/>
          <w:sz w:val="24"/>
          <w:szCs w:val="24"/>
          <w:highlight w:val="none"/>
          <w:lang w:val="en-US" w:eastAsia="zh-CN"/>
        </w:rPr>
        <w:t>签订与合同实质性内容相背离的协议。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八、词语含义</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本协议书中词语含义与第二部分通用合同条款中赋予的含义相同。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九、签订时间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本合同于      年   月   日签订。</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十、签订地点</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本合同在                        签订。</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十一、补充协议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合同未尽事宜，合同当事人另行签订补充协议，补充协议是合同的组成部分。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十二、合同生效</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本合同自合同加盖公章，并由法定代表人或法定代表人的授权代表签字后生效。</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十三、合同份数</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本合同一式    份，均具有同等法律效力，发包人执      份，承包人执      份。</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  (公章)                    承包人：  (公章)</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法定代表人或其委托代理人：          法定代表人或其委托代理人：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（签字）                           （签字）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组织机构代码：                     组织机构代码：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地  址：                           地址：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邮政编码：                       邮政编码：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法定代表人：                     法定代表人：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委托代理人：                     委托代理人：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电  话：                         电  话：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传  真:                          传  真：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电子信箱：                       电子信箱：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开户银行：                       开户银行: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账  号：                         账    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br w:type="page"/>
      </w:r>
      <w:bookmarkStart w:id="236" w:name="_Toc351203632"/>
      <w:r>
        <w:rPr>
          <w:rFonts w:hint="eastAsia" w:ascii="仿宋_GB2312" w:hAnsi="仿宋_GB2312" w:eastAsia="仿宋_GB2312" w:cs="仿宋_GB2312"/>
          <w:bCs/>
          <w:color w:val="auto"/>
          <w:sz w:val="24"/>
          <w:szCs w:val="24"/>
          <w:highlight w:val="none"/>
          <w:lang w:val="en-US" w:eastAsia="zh-CN"/>
        </w:rPr>
        <w:t>第二节  专用合同条款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一般约定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 词语定义</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 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1.1.1.10 其他合同文件包括： 履行合同过程中双方总经理以上管理者 (或双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方工地代表人) 书面确认的对合同内容有实质性影响的会议纪要、签证、设计变更等资料。</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1.1.2 合同当事人及其他相关方</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1.1.2.4 监理人：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名    称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资质类别和等级：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联系电话：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电子信箱：                                               ； 通信地址：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1.1.2.5 设计人：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名          称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资质类别和等级：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联  系  电  话：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电  子  信  箱：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通  信  地  址：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1.1.3 工程和设备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1.1.3.7 作为施工现场组成部分的其他场所包括： 符合通用条款规定的发包方提供的施工场地。</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1.1.3.9 永久占地包括：        依据设计图纸确定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1.1.3.10 临时占地包括：   双方在合同履行过程中确定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 法律</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适用于合同的其他规范性文件：     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 标准和规范</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1.4.1 适用于工程的标准规范包括：  执行通用条款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1.4.2 发包人提供国外标准、规范的名称：    /            ； 发包人提供国外标准、规范的份数：         /             ； 发包人提供国外标准、规范的名称：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1.4.3 发包人对工程的技术标准和功能要求的特殊要求：/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 合同文件的优先顺序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合同文件组成及优先顺序为：执行通用条款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 图纸和承包人文件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1.6.1 图纸的提供</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发包人向承包人提供图纸的期限：进场前提供基础施工图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发包人向承包人提供图纸的数量：三套(包括竣工图用)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发包人向承包人提供图纸的内容：  施工图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1.6.4 承包人文件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需要由承包人提供的文件，包括：   双方另行确定        ；   承包人提供的文件的期限为：      双方另行确定           ；  承包人提供的文件的数量为：    双方另行确定             ；  承包人提供的文件的形式为：      双方另行确定            ； 发包人审批承包人文件的期限：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1.6.5 现场图纸准备</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关于现场图纸准备的约定：    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1.7 联络</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1.7.1 发包人和承包人应当在  7    天内将与合同有关的通知、批准、证明、证</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书、指示、指令、要求、请求、同意、意见、确定和决定等书面函件送达对方当事 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1.7.2 发包人接收文件的地点：    项目所在地发包人项目部  ； 发包人指定的接收人为：                                    。 承包人接收文件的地点：    项目所在地承包人项目部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承包人指定的接收人为：      承包方项目经理            。  监理人接收文件的地点：  项目所在地监理人办公室       ； 监理人指定的接收人为：    监理工程师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1.10 交通运输</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1.10.1 出入现场的权利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关于出入现场的权利的约定：  由承包人按发包人要求负责取得出入施工现场 所需的批准手续和全部权利，以及取得因施工所需修建道路、桥梁以及其他基础设施的权利，并承担相关手续费用和建设费用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1.10.3 场内交通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关于场外交通和场内交通的边界的约定：  本项目施工现场大门为界     。 关于发包人向承包人免费提供满足工程施工需要的场内道路和交通设施的约定：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1.10.4 超大件和超重件的运输</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运输超大件或超重件所需的道路和桥梁临时加固改造费用和其他有关费用由 承包方 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 知识产权</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1.11.1 关于发包人提供给承包人的图纸、发包人为实施工程自行编制或委托编制的技术规范以及反映发包人关于合同要求或其他类似性质的文件的著作权的归属：  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关于发包人提供的上述文件的使用限制的要求：执行通用条款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1.11.2 关于承包人为实施工程所编制文件的著作权的归属：执行通用条款  。 关于承包人提供的上述文件的使用限制的要求：执行通用条款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1.11.4 承包人在施工过程中所采用的专利、专有技术、技术秘密的使用费的承担方式：  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1.13 工程量清单错误的修正</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出现工程量清单错误时，是否调整合同价格：     是        。 允许调整合同价格的工程量偏差范围：  ±3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发包人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2.2 发包人代表</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发包人代表：</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姓    名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身份证号：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职    务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联系电话：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电子信箱：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通信地址：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发包人对发包人代表的授权范围如下： 督促指导监理工程师行使职权，协调施工现场各方面的关系，协调工程质量，进度和安全文明施工中存在的问题，解决有 关 设 计 和 技 术 签 证 ， 办 理 、 签 认 现 场 经 济 技 术 签 证 ， 审 核 工 程 进 度 报表。</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2.4 施工现场、施工条件和基础资料的提供</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2.4.1 提供施工现场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关于发包人移交施工现场的期限要求： 部份施工场地于开工前完成，满足部分工程开工条件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2.4.2 提供施工条件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关于发包人应负责提供施工所需要的条件，包括：施工用水、施工用电由发包方将指定接点，并满足施工要求，接点至施工现场段管道/管线、计量设备由承包人自  行 解 决 ， 承 包 人 每 月底 向 发 包 人 缴 纳 水 电 费 ( 价 格 执 行 施工 当 地 价 格）。</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2.5 资金来源证明及支付担保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发包人提供资金来源证明的期限要求：       /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发包人是否提供支付担保：             /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发包人提供支付担保的形式：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 承包人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3.1 承包人的一般义务</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 承包人提交的竣工资料的内容：承包人向发包人提交完整竣工图纸及竣工图电子文档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承包人需要提交的竣工资料套数：         四套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承包人提交的竣工资料的费用承担：    由承包人承担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承包人提交的竣工资料移交时间：工程竣工验收合格后 2 个月内。 承包人提交的竣工资料形式要求：   书面及电子文档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 承包人应履行的其他义务：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3.2 项目经理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3.2.1 项目经理：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姓    名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身份证号：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建造师执业资格等级：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建造师注册证书号：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建造师执业印章号：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安全生产考核合格证书号：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联系电话：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电子信箱：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通信地址：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 包 人 对 项 目 经 理 的 授 权 范 围 如 下 ：负责合同履行，且按照法律规定具有相应资格的项目负责人。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关于项目经理每月在施工现场的时间要求：  同谈判响应性文件承诺时间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承包人未提交劳动合同，以及没有为项目经理缴纳社会保险证明的违约责任：处以3万元罚款，责令限期提交劳动合同并补缴社会保险。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项目经理未经批准，擅自离开施工现场的违约责任：处以 5 万元罚款，承包人 承担上述违约给发包人造成的一切损失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3.2.3 承包人擅自更换项目经理的违约责任：处以 10 万元罚款，承包人承担上述违约给发包人造成的一切损失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3.2.4 承包人无正当理由拒绝更换项目经理的违约责任：处以 10 万元罚款，承 包人承担上述违约给发包人造成的一切损失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3.3 承包人人员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3.3.1 承包人提交项目管理机构及施工现场管理人员安排报告的期限：    工程开工前 2 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3.3.3 承包人无正当理由拒绝撤换主要施工管理人员的违约责任：处以3万元罚款，承包人承担上述违约给发包人造成的一切损失。</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3.3.4 承包人主要施工管理人员离开施工现场的批准要求： 由总监理工程师</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261620</wp:posOffset>
                </wp:positionV>
                <wp:extent cx="30480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3048000" cy="7620"/>
                        </a:xfrm>
                        <a:custGeom>
                          <a:avLst/>
                          <a:gdLst/>
                          <a:ahLst/>
                          <a:cxnLst/>
                          <a:pathLst>
                            <a:path w="4800" h="12">
                              <a:moveTo>
                                <a:pt x="0" y="5"/>
                              </a:moveTo>
                              <a:lnTo>
                                <a:pt x="4799"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0.6pt;height:0.6pt;width:240pt;z-index:251666432;mso-width-relative:page;mso-height-relative:page;" filled="f" stroked="t" coordsize="4800,12" o:gfxdata="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ZnGHVAAAABgEAAA8AAAAAAAAAAQAgAAAAIgAAAGRycy9kb3du&#10;cmV2LnhtbFBLAQIUABQAAAAIAIdO4kC/+bNDOwIAAJYEAAAOAAAAAAAAAAEAIAAAACQBAABkcnMv&#10;ZTJvRG9jLnhtbFBLBQYAAAAABgAGAFkBAADRBQAAAAA=&#10;" path="m0,5l4799,5e">
                <v:fill on="f" focussize="0,0"/>
                <v:stroke weight="0.6pt" color="#000000" joinstyle="bevel"/>
                <v:imagedata o:title=""/>
                <o:lock v:ext="edit" aspectratio="f"/>
              </v:shape>
            </w:pict>
          </mc:Fallback>
        </mc:AlternateContent>
      </w:r>
      <w:r>
        <w:rPr>
          <w:rFonts w:hint="eastAsia" w:ascii="仿宋_GB2312" w:hAnsi="仿宋_GB2312" w:eastAsia="仿宋_GB2312" w:cs="仿宋_GB2312"/>
          <w:bCs/>
          <w:color w:val="auto"/>
          <w:sz w:val="24"/>
          <w:szCs w:val="24"/>
          <w:highlight w:val="none"/>
          <w:lang w:val="en-US" w:eastAsia="zh-CN"/>
        </w:rPr>
        <w:t>批准，发包人认可后方可离开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3.3.5 承包人擅自更换主要施工管理人员的违约责任：处以 3 万元罚款，承包人 承担上述违约给发包人造成的一切损失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承包人主要施工管理人员擅自离开施工现场的违约责任：处以 1 万元罚款，承 包人承担上述违约给发包人造成的一切损失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3.5 分包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3.5.1 分包的一般约定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禁止分包的工程包括：  本工程不得分包                  。 主体结构、关键性工作的范围：       /                  。 3.5.2 分包的确定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允许分包的专业工程包括：       /                      。 其他关于分包的约定：          /                       。 3.5.4 分包合同价款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关于分包合同价款支付的约定：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3.6 工程照管与成品、半成品保护</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承包人负责照管工程及工程相关的材料、工程设备的起始时间：设备、人员进 场至验收交付使用前由承包人负责保修，无其它特殊要求的，费用由承包人承担。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3.7 履约担保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承包人是否提供履约担保：甲乙双方签订合同时协商约定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承包人提供履约担保的形式、金额及期限的：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 监理人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4.1 监理人的一般规定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关于监理人的监理内容：   见监理合同                  。 关于监理人的监理权限：   见监理合同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关于监理人在施工现场的办公场所、生活场所的提供和费用承担的约定：  见 监理合同。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4.2 监理人员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总监理工程师：</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姓    名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职    务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监理工程师执业资格证书号：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联系电话：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电子信箱：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通信地址：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关于监理人的其他约定：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4.4 商定或确定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在发包人和承包人不能通过协商达成一致意见时，发包人授权监理人对以下事项进行确定：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 工程质量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5.1 质量要求</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5.1.1 特殊质量标准和要求：  质量合格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关于工程奖项的约定：   / </w:t>
      </w:r>
      <w:r>
        <w:rPr>
          <w:rFonts w:hint="eastAsia" w:ascii="仿宋_GB2312" w:hAnsi="仿宋_GB2312" w:eastAsia="仿宋_GB2312" w:cs="仿宋_GB2312"/>
          <w:bCs/>
          <w:color w:val="auto"/>
          <w:sz w:val="24"/>
          <w:szCs w:val="24"/>
          <w:highlight w:val="none"/>
          <w:lang w:val="en-US" w:eastAsia="zh-CN"/>
        </w:rPr>
        <w:tab/>
      </w:r>
      <w:r>
        <w:rPr>
          <w:rFonts w:hint="eastAsia" w:ascii="仿宋_GB2312" w:hAnsi="仿宋_GB2312" w:eastAsia="仿宋_GB2312" w:cs="仿宋_GB2312"/>
          <w:bCs/>
          <w:color w:val="auto"/>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5.3 隐蔽工程检查</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5.3.2 承包人提前通知监理人隐蔽工程检查的期限的约定：共同检查前48 小时书面通知监理人。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监理人不能按时进行检查时，应提前  24   小时提交书面延期要求。关于延期最长不得超过：   48   小时。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 安全文明施工与环境保护</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6.1 安全文明施工</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6.1.1 项目安全生产的达标目标及相应事项的约定：要求达到《建筑施工安全检查标准》(JGJ59-2011) 标准。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6.1.4 关于治安保卫的特别约定： 按通用条款执行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关于编制施工场地治安管理计划的约定：开工前提供施工场地治安管理计划。</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6.1.5 文明施工</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合同当事人对文明施工的要求：  达到《建筑施工现场环境与卫生标准》 (JGJ146-2004)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6.1.6 关于安全文明施工费支付比例和支付期限的约定：纳入合同价格支付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 工期和进度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7.1 施工组织设计</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7.1.1 合同当事人约定的施工组织设计应包括的其他内容：按谈判文件约定， 谈判文件无约定的按通用条款或双方另行约定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7.1.2 施工组织设计的提交和修改</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承包人提交详细施工组织设计的期限的约定：  开工前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发包人和监理人在收到详细的施工组织设计后确认或提出修改意见的期限：收到后 7 天内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7.2 施工进度计划</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7.2.2 施工进度计划的修订</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发包人和监理人在收到修订的施工进度计划后确认或提出修改意见的期限：收到后 5 天内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7.3 开工</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7.3.1 开工准备</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关于承包人提交工程开工报审表的期限： 合同签订后、开工前 。 关于发包人应完成的其他开工准备工作及期限：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关于承包人应完成的其他开工准备工作及期限：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7.3.2 开工通知</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因发包人原因造成监理人未能在计划开工日期之日起  60    天内发出开工通 知的，承包人有权提出价格调整要求，或者解除合同。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7.4 测量放线</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7.4.1 发包人通过监理人向承包人提供测量基准点、基准线和水准点及其书面资 料的期限：合同签订后、开工前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7.5 工期延误</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7.5.1 因发包人原因导致工期延误</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 因发包人原因导致工期延误的其他情形： ①发包人未按合同规定支付工程款并确实影响施工进度；②重大设计变更而影响施工进度；③政策处理问题影响 施工进度；④不可抗力，此延误工期须在发现后七天内办理签证，逾期不予认可。</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7.5.2 因承包人原因导致工期延误</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因承包人原因造成工期延误，逾期竣工违约金的计算方法为：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工期延迟按 2000 元/天处罚承包人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因承包人原因造成工期延误，逾期竣工违约金的上限：总额不超过合同价款的 3%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7.6 不利物质条件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不利物质条件的其他情形和有关约定：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7.7 异常恶劣的气候条件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发包人和承包人同意以下情形视为异常恶劣的气候条件：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7.9 提前竣工的奖励</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7.9.2 提前竣工的奖励：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 材料与设备</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8.4 材料与工程设备的保管与使用</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8.4.1 发包人供应的材料设备的保管费用的承担： 由承包人承担。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8.6 样品</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8.6.1 样品的报送与封存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需要承包人报送样品的材料或工程设备，样品的种类、名称、规格、数量要求： 按管理部门要求和发包人需求确定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8.8 施工设备和临时设施</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8.8.1 承包人提供的施工设备和临时设施</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关于修建临时设施费用承担的约定：  由承包人承担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9. 试验与检验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9.1 试验设备与试验人员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9.1.2 试验设备</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施工现场需要配置的试验场所：   按有关规定执行         。 施工现场需要配备的试验设备：   按有关规定执行         。 施工现场需要具备的其他试验条件：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9.4 现场工艺试验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现场工艺试验的有关约定：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 变更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10.1 变更的范围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关于变更的范围的约定：   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10.4 变更估价</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10.4.1 变更估价原则</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关于变更估价的约定:  ①合同中有相同或类似工程项目单价的，可以参照合同 中相同或类似项目的综合单价计算确定。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②合同中没有类似工程项目综合单价的， 由承包人根据合同中约定的组价原则 或参考“计价依据”提出适当的单价，经发包人或其委托的工程造价咨询单位审定后，作为结算的依据。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③由于清单项目中项目特征或工程内容发生部分变更的，应以原综合单价为基 础，仅就变更部分相应定额子目调整综合单价。</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⑶以上重新组价的综合单价不能高于按自治区和阿勒泰地区计价规则和计价依 据规定计算的价格，并按中标时审定预算价和中标价间的下浮幅度下浮。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10.5 承包人的合理化建议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监理人审查承包人合理化建议的期限：        /            。 发包人审批承包人合理化建议的期限：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承包人提出的合理化建议降低了合同价格或者提高了工程经济效益的奖励的方 法和金额为：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10.7 暂估价</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暂估价材料和工程设备的明细详见附件 11：《暂估价一览表》。</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10.7.1 依法必须招标的暂估价项目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对于依法必须招标的暂估价项目的确认和批准采取第 2   种方式确定。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10.7.2 不属于依法必须招标的暂估价项目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对于不属于依法必须招标的暂估价项目的确认和批准采取第  1 种方式确定。 第 3 种方式：承包人直接实施的暂估价项目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承包人直接实施的暂估价项目的约定：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10.8 暂列金额合同当事人关于暂列金额使用的约定： 暂列金是指发包人为可能发生工程变更而暂列的金额，包括因发包人提供的工程量清单漏项、清单有误引起的工程数量增加和施工过程中设计变更引起新的清单项目或工程数量增加等需要增加的金额， 招标人委托具有建设行政主管部门颁发资质的造价咨询机构审定后，按照审定造价 支付部分暂列金。暂列金是招标人自行确定设立的，承包商无权使用此笔费用。此费用按实际发生经招标人签证后确定全部使用、部分使用或不使用。暂列金不计入工程款付款的基数。</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 价格调整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11.1 市场价格波动引起的调整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市场价格波动是否调整合同价格的约定：       是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因市场价格波动调整合同价格，采用以下第 2 种方式对合同价格进行调整： 第 1 种方式：采用价格指数进行价格调整。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关于各可调因子、定值和变值权重，以及基本价格指数及其来源的约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第 2 种方式：采用造价信息进行价格调整。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关于基准价格的约定：本工程人工费、材料价差执行阿勒泰地区吉木乃县2023 年 6 月份建设工程综合价格信息。</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专用合同条款①承包人在已标价工程量清单或预算书中载明的材料单价低于基 准价格的：专用合同条款合同履行期间材料单价涨幅以基准价格为基础超过 3%时， 或材料单价跌幅以已标价工程量清单或预算书中载明材料单价为基础超过 3 %时，其 超过部分据实调整。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②承包人在已标价工程量清单或预算书中载明的材料单价高于基准价格的：专 用合同条款合同履行期间材料单价跌幅以基准价格为基础超过 3%时，材料单价涨幅 以已标价工程量清单或预算书中载明材料单价为基础超过 3%时，其超过部分据实调 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③承包人在已标价工程量清单或预算书中载明的材料单价等于基准单价的：专 用合同条款合同履行期间材料单价涨跌幅以基准单价为基础超过±3%时，其超过部分据实调整。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第3种方式：其他价格调整方式：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 合同价格、计量与支付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12.1 合同价格形式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1、单价合同。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综合单价包含的风险范围：各种因素引起的管理费、利润等变化及风险因素。</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风险费用的计算方法： 本工程采用单价合同方式确定。其包含风险范围为合同实施期间除经济签证，设计变更及政策性调整以外投标人可预计的其他风险。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风险范围以外合同价格的调整方法：由经济签证，设计变更及政策调整引起总价变化，可按实际发生进行调整。</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2、总价合同。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总价包含的风险范围：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风险费用的计算方法：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风险范围以外合同价格的调整方法：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3、其他价格方式：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12.2 预付款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12.2.1 预付款的支付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预付款支付比例或金额：签约合同价 (不含备用金) 的 30%。</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预付款支付期限：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预付款扣回的方式：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12.2.2 预付款担保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承包人提交预付款担保的期限：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预付款担保的形式为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12.3 计量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12.3.1 计量原则</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工程量计算规则：  建设工程工程量清单计价规范 (GB 50500-2013)   。 12.3.2 计量周期</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关于计量周期的约定：        按月计量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12.3.3 单价合同的计量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关于单价合同计量的约定：   按月计量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12.3.4 总价合同的计量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关于总价合同计量的约定：   按月计量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12.3.5 总价合同采用支付分解表计量支付的，是否适用第 12.3.4 项〔总价合 同的计量〕约定进行计量：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12.3.6 其他价格形式合同的计量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其他价格形式的计量方式和程序：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12.4 工程进度款支付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12.4.1 付款周期</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关于付款周期的约定：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12.4.2 进度付款申请单的编制关于进度付款申请单编制的约定：合同签订后甲方付款至合同价 (不含备用金)的 30%预付款，工程完成80%时支付至合同价(不含备用金)的60%进度款，完成工程目标并验收合格后付款至合同价款 (不含备用金) 的 80%。竣工结算完成并将全部竣工资料做好交与发包方后支付至结算审定价的97%，留结算审定价的3%质量保修金，待保修期满，无质量问题，退还质保金。</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工程结算审核最终定案金额要按照招标时竞争性谈判施工单位承诺的总价下浮率进行总价下浮，下浮后的金额才是本项目最终认定的价格。</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12.4.3 进度付款申请单的提交</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单价合同进度付款申请单提交的约定：   按月提交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总价合同进度付款申请单提交的约定：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 其他价格形式合同进度付款申请单提交的约定：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12.4.4 进度款审核和支付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监理人审查并报送发包人的期限：  收到申请 7 天内  。 发包人完成审批并签发进度款支付证书的期限：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(2) 发包人支付进度款的期限：             /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发包人逾期支付进度款的违约金的计算方式：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12.4.6 支付分解表的编制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2、总价合同支付分解表的编制与审批：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3、单价合同的总价项目支付分解表的编制与审批：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 验收和工程试车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13.1 分部分项工程验收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13.1.2 监理人不能按时进行验收时，应提前   24     小时提交书面延期要求。 关于延期最长不得超过：   48       小时。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13.2 竣工验收</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13.2.2 竣工验收程序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关于竣工验收程序的约定：按通用条款执行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发包人不按照本项约定组织竣工验收、颁发工程接收证书的违约金的计算方法：按通用条款执行。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13.2.5 移交、接收全部与部分工程</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承包人向发包人移交工程的期限： 颁发工程接收证书后 7 天内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发包人未按本合同约定接收全部或部分工程的，违约金的计算方法为：/。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承包人未按时移交工程的，违约金的计算方法为：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13.3 工程试车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13.3.1 试车程序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工程试车内容：        /</w:t>
      </w:r>
      <w:r>
        <w:rPr>
          <w:rFonts w:hint="eastAsia" w:ascii="仿宋_GB2312" w:hAnsi="仿宋_GB2312" w:eastAsia="仿宋_GB2312" w:cs="仿宋_GB2312"/>
          <w:bCs/>
          <w:color w:val="auto"/>
          <w:sz w:val="24"/>
          <w:szCs w:val="24"/>
          <w:highlight w:val="none"/>
          <w:lang w:val="en-US" w:eastAsia="zh-CN"/>
        </w:rPr>
        <w:tab/>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单机无负荷试车费用由       /               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无负荷联动试车费用由        /              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13.3.3 投料试车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关于投料试车相关事项的约定：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13.6 竣工退场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13.6.1 竣工退场</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承包人完成竣工退场的期限：颁发工程接收证书后 3 天内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 竣工结算</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14.1 竣工付款申请</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承包人提交竣工付款申请单的期限：工程竣工验收合格后28天内。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竣工付款申请单应包括的内容：  执行通用条款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14.2 竣工结算审核</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发包人审批竣工付款申请单的期限：收到竣工付款申请单 28 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发包人完成竣工付款的期限：  签发竣工付款申请单 28 天内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关于竣工付款证书异议部分复核的方式和程序： 执行通用条款。 14.4 最终结清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14.4.1 最终结清申请单</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承包人提交最终结清申请单的份数：   四份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承包人提交最终结算申请单期限：缺陷期满且工程竣工投产一年后。</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14.4.2 最终结清证书和支付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发包人完成最终结清申请单的审批并颁发最终结清证书的期限： 收到申</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请 28 天内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发包人完成支付的期限：  申请签发后 14 天内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 缺陷责任期与保修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15.2 缺陷责任期</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缺陷责任期的具体期限：    12 个月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15.3 质量保证金</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关于是否扣留质量保证金的约定：      扣留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15.3.1 承包人提供质量保证金的方式 质量保证金采用以下第 2   种方式：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质量保证金保函，保证金额为：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3   %的工程款；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 其他方式: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15.3.2 质量保证金的扣留</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质量保证金的扣留采取以下第   2 种方式：</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在支付工程进度款时逐次扣留，在此情形下，质量保证金的计算基数不包 括预付款的支付、扣回以及价格调整的金额；</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工程竣工结算时一次性扣留质量保证金；</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(3)其他扣留方式:         /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关于质量保证金的补充约定：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15.4 保修</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15.4.1 保修责任</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工程保修期为：  见工程质量保修书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15.4.3 修复通知</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承包人收到保修通知并到达工程现场的合理时间：24 小时内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 违约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16.1 发包人违约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16.1.1 发包人违约的情形</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发包人违约的其他情形：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ab/>
      </w:r>
      <w:r>
        <w:rPr>
          <w:rFonts w:hint="eastAsia" w:ascii="仿宋_GB2312" w:hAnsi="仿宋_GB2312" w:eastAsia="仿宋_GB2312" w:cs="仿宋_GB2312"/>
          <w:bCs/>
          <w:color w:val="auto"/>
          <w:sz w:val="24"/>
          <w:szCs w:val="24"/>
          <w:highlight w:val="none"/>
          <w:lang w:val="en-US" w:eastAsia="zh-CN"/>
        </w:rPr>
        <w:t>。</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16.1.2 发包人违约的责任</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发包人违约责任的承担方式和计算方法：</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因发包人原因未能在计划开工日期前 7 天内下达开工通知的违约责任：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因发包人原因未能按合同约定支付合同价款的违约责任：双方另行确定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 发包人违反第 10.1 款〔变更的范围〕第 (2) 项约定， 自行实施被取消的 工作或转由他人实施的违约责任：双方另行确定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 发包人提供的材料、工程设备的规格、数量或质量不符合合同约定，或因 发包人原因导致交货日期延误或交货地点变更等情况的违约责任： 双方另行确定。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 因发包人违反合同约定造成暂停施工的违约责任：</w:t>
      </w:r>
      <w:r>
        <w:rPr>
          <w:rFonts w:hint="eastAsia" w:ascii="仿宋_GB2312" w:hAnsi="仿宋_GB2312" w:eastAsia="仿宋_GB2312" w:cs="仿宋_GB2312"/>
          <w:bCs/>
          <w:color w:val="auto"/>
          <w:sz w:val="24"/>
          <w:szCs w:val="24"/>
          <w:highlight w:val="none"/>
          <w:lang w:val="en-US" w:eastAsia="zh-CN"/>
        </w:rPr>
        <mc:AlternateContent>
          <mc:Choice Requires="wps">
            <w:drawing>
              <wp:anchor distT="0" distB="0" distL="114300" distR="114300" simplePos="0" relativeHeight="251667456" behindDoc="0" locked="0" layoutInCell="1" allowOverlap="1">
                <wp:simplePos x="0" y="0"/>
                <wp:positionH relativeFrom="column">
                  <wp:posOffset>3894455</wp:posOffset>
                </wp:positionH>
                <wp:positionV relativeFrom="paragraph">
                  <wp:posOffset>203200</wp:posOffset>
                </wp:positionV>
                <wp:extent cx="132080" cy="10096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2080" cy="100965"/>
                        </a:xfrm>
                        <a:prstGeom prst="rect">
                          <a:avLst/>
                        </a:prstGeom>
                        <a:noFill/>
                        <a:ln>
                          <a:noFill/>
                        </a:ln>
                      </wps:spPr>
                      <wps:txbx>
                        <w:txbxContent>
                          <w:p>
                            <w:pPr>
                              <w:spacing w:before="20" w:line="118" w:lineRule="exact"/>
                              <w:ind w:left="20"/>
                              <w:rPr>
                                <w:rFonts w:ascii="宋体" w:hAnsi="宋体" w:eastAsia="宋体" w:cs="宋体"/>
                                <w:sz w:val="23"/>
                                <w:szCs w:val="23"/>
                              </w:rPr>
                            </w:pPr>
                            <w:r>
                              <w:rPr>
                                <w:rFonts w:ascii="宋体" w:hAnsi="宋体" w:eastAsia="宋体" w:cs="宋体"/>
                                <w:spacing w:val="-18"/>
                                <w:w w:val="80"/>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306.65pt;margin-top:16pt;height:7.95pt;width:10.4pt;z-index:251667456;mso-width-relative:page;mso-height-relative:page;" filled="f" stroked="f" coordsize="21600,21600" o:gfxdata="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7//DzZAAAACQEAAA8AAAAAAAAAAQAgAAAAIgAAAGRycy9kb3ducmV2LnhtbFBLAQIU&#10;ABQAAAAIAIdO4kAtzcp4uQEAAHMDAAAOAAAAAAAAAAEAIAAAACgBAABkcnMvZTJvRG9jLnhtbFBL&#10;BQYAAAAABgAGAFkBAABTBQAAAAA=&#10;">
                <v:fill on="f" focussize="0,0"/>
                <v:stroke on="f"/>
                <v:imagedata o:title=""/>
                <o:lock v:ext="edit" aspectratio="f"/>
                <v:textbox inset="0mm,0mm,0mm,0mm">
                  <w:txbxContent>
                    <w:p>
                      <w:pPr>
                        <w:spacing w:before="20" w:line="118" w:lineRule="exact"/>
                        <w:ind w:left="20"/>
                        <w:rPr>
                          <w:rFonts w:ascii="宋体" w:hAnsi="宋体" w:eastAsia="宋体" w:cs="宋体"/>
                          <w:sz w:val="23"/>
                          <w:szCs w:val="23"/>
                        </w:rPr>
                      </w:pPr>
                      <w:r>
                        <w:rPr>
                          <w:rFonts w:ascii="宋体" w:hAnsi="宋体" w:eastAsia="宋体" w:cs="宋体"/>
                          <w:spacing w:val="-18"/>
                          <w:w w:val="80"/>
                          <w:position w:val="1"/>
                          <w:sz w:val="23"/>
                          <w:szCs w:val="23"/>
                        </w:rPr>
                        <w:t>。</w:t>
                      </w:r>
                    </w:p>
                  </w:txbxContent>
                </v:textbox>
              </v:shape>
            </w:pict>
          </mc:Fallback>
        </mc:AlternateContent>
      </w:r>
      <w:r>
        <w:rPr>
          <w:rFonts w:hint="eastAsia" w:ascii="仿宋_GB2312" w:hAnsi="仿宋_GB2312" w:eastAsia="仿宋_GB2312" w:cs="仿宋_GB2312"/>
          <w:bCs/>
          <w:color w:val="auto"/>
          <w:sz w:val="24"/>
          <w:szCs w:val="24"/>
          <w:highlight w:val="none"/>
          <w:lang w:val="en-US" w:eastAsia="zh-CN"/>
        </w:rPr>
        <w:t>双方另行确定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 发包人无正当理由没有在约定期限内发出复工指示，导致承包人无法复工 的违约责任：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(7) 其他：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16.1.3 因发包人违约解除合同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承包人按16.1.1项〔发包人违约的情形〕约定暂停施工满  60   天后发包人仍 不纠正其违约行为并致使合同目的不能实现的，承包人有权解除合同。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16.2 承包人违约</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16.2.1 承包人违约的情形</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承包人违约的其他情形：  双方另行确定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16.2.2 承包人违约的责任</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承包人违约责任的承担方式和计算方法：  由承包人承担全部费用并承担相关法律责任。</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16.2.3 因承包人违约解除合同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关于承包人违约解除合同的特别约定：  按通用条款执行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发包人继续使用承包人在施工现场的材料、设备、临时工程、承包人文件和由 承 包 人 或 以 其 名 义 编 制 的 其 他 文 件 的 费 用 承 担 方 式 ：     双 方 另 行 确 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17. 不可抗力</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17.1 不可抗力的确认</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除通用合同条款约定的不可抗力事件之外，视为不可抗力的其他情形：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17.4 因不可抗力解除合同</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合同解除后，发包人应在商定或确定发包人应支付款项后  60   天内完成款项 的支付。</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18. 保险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18.1 工程保险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关于工程保险的特别约定：   按通用条款执行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18.3 其他保险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关于其他保险的约定：           /                       。 承包人是否应为其施工设备等办理财产保险：</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142875</wp:posOffset>
                </wp:positionV>
                <wp:extent cx="4038600" cy="762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4038600" cy="7620"/>
                        </a:xfrm>
                        <a:custGeom>
                          <a:avLst/>
                          <a:gdLst/>
                          <a:ahLst/>
                          <a:cxnLst/>
                          <a:pathLst>
                            <a:path w="6360" h="12">
                              <a:moveTo>
                                <a:pt x="0" y="5"/>
                              </a:moveTo>
                              <a:lnTo>
                                <a:pt x="636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1.25pt;height:0.6pt;width:318pt;z-index:251669504;mso-width-relative:page;mso-height-relative:page;" filled="f" stroked="t" coordsize="6360,12" o:gfxdata="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Y20L/YAAAABgEAAA8AAAAAAAAAAQAgAAAAIgAAAGRycy9kb3du&#10;cmV2LnhtbFBLAQIUABQAAAAIAIdO4kBow2r1OAIAAJgEAAAOAAAAAAAAAAEAIAAAACcBAABkcnMv&#10;ZTJvRG9jLnhtbFBLBQYAAAAABgAGAFkBAADRBQAAAAA=&#10;" path="m0,5l6360,5e">
                <v:fill on="f" focussize="0,0"/>
                <v:stroke weight="0.6pt" color="#000000" joinstyle="bevel"/>
                <v:imagedata o:title=""/>
                <o:lock v:ext="edit" aspectratio="f"/>
              </v:shape>
            </w:pict>
          </mc:Fallback>
        </mc:AlternateContent>
      </w:r>
      <w:r>
        <w:rPr>
          <w:rFonts w:hint="eastAsia" w:ascii="仿宋_GB2312" w:hAnsi="仿宋_GB2312" w:eastAsia="仿宋_GB2312" w:cs="仿宋_GB2312"/>
          <w:bCs/>
          <w:color w:val="auto"/>
          <w:sz w:val="24"/>
          <w:szCs w:val="24"/>
          <w:highlight w:val="none"/>
          <w:lang w:val="en-US" w:eastAsia="zh-CN"/>
        </w:rPr>
        <w:t>按通用条款执行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18.7 通知义务</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关于变更保险合同时的通知义务的约定：  按通用条款执行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20. 争议解决</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20.3 争议评审</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合同当事人是否同意将工程争议提交争议评审小组决定：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261620</wp:posOffset>
                </wp:positionV>
                <wp:extent cx="4419600" cy="762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4419600" cy="7620"/>
                        </a:xfrm>
                        <a:custGeom>
                          <a:avLst/>
                          <a:gdLst/>
                          <a:ahLst/>
                          <a:cxnLst/>
                          <a:pathLst>
                            <a:path w="6960" h="12">
                              <a:moveTo>
                                <a:pt x="0" y="5"/>
                              </a:moveTo>
                              <a:lnTo>
                                <a:pt x="696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0.6pt;height:0.6pt;width:348pt;z-index:251668480;mso-width-relative:page;mso-height-relative:page;" filled="f" stroked="t" coordsize="6960,12" o:gfxdata="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BdU+tMAAAAGAQAADwAAAAAAAAABACAAAAAiAAAAZHJzL2Rvd25yZXYu&#10;eG1sUEsBAhQAFAAAAAgAh07iQMmU9/45AgAAmAQAAA4AAAAAAAAAAQAgAAAAIgEAAGRycy9lMm9E&#10;b2MueG1sUEsFBgAAAAAGAAYAWQEAAM0FAAAAAA==&#10;" path="m0,5l6960,5e">
                <v:fill on="f" focussize="0,0"/>
                <v:stroke weight="0.6pt" color="#000000" joinstyle="bevel"/>
                <v:imagedata o:title=""/>
                <o:lock v:ext="edit" aspectratio="f"/>
              </v:shape>
            </w:pict>
          </mc:Fallback>
        </mc:AlternateContent>
      </w:r>
      <w:r>
        <w:rPr>
          <w:rFonts w:hint="eastAsia" w:ascii="仿宋_GB2312" w:hAnsi="仿宋_GB2312" w:eastAsia="仿宋_GB2312" w:cs="仿宋_GB2312"/>
          <w:bCs/>
          <w:color w:val="auto"/>
          <w:sz w:val="24"/>
          <w:szCs w:val="24"/>
          <w:highlight w:val="none"/>
          <w:lang w:val="en-US" w:eastAsia="zh-CN"/>
        </w:rPr>
        <w:t>/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20.3.1 争议谈判小组的确定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争议谈判小组成员的确定：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选定争议评谈判小组的期限：      /                          。 争议谈判小组成员的报酬承担方式：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其他事项的约定：           /                           。 20.3.2 争议谈判小组的决定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合同当事人关于本项的约定：     /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20.4 仲裁或诉讼</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因合同及合同有关事项发生的争议，按下列第  2 种方式解决：</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 向     /      仲裁委员会申请仲裁；</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 向  吉木乃县   人民法院起诉。</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20.5 补充条款</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1、发包人工程手续办理委托承包人进行，发包人安排专人配合，工程缴纳的手 续费由发包人承担，其它费用已包含在合同价中。</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2、竣工验收合格后施工单位必须在业主要求的时间内对验收中提出的问题进行整改，否则将按工期延误处罚。</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3、本项目施工现场关键岗位人员 (指工程项目负责人、工程项目技术负责人、 施工员、质量员、安全员) 每月出勤不得少于 22 天，并按相关规定规定实行考核管 理，  其中项目负责人和安全员到岗率在 50%-70%之间的，按 1000 元/天进行处罚， 到岗率在 50%以下的，按 2000 元/天进行处罚；项目班子其它成员到岗率在 50%-70% 之间的，按 500 元/天进行处罚，到岗率在 50%以下的，按 1000 元/天进行处罚。连 续 7 天不到位或累计 1 个月不到位的，发包人有权全部没收项目负责人及主要施工 管理人员到场承诺违约金。同时根据到岗率情况对企业或个人进行不良行为上报处 理。</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4、承包人应按文明施工、安全防护要求进行施工，施工现场的保护由承包人负 责， 由于保护措施不力造成的损失及相关费用由承包人自行承担。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5、承包人应严格按照已批准的《施工技术方案》予以施工，如需调整需提前 25 天向发包人提出申请，并经批准后方可实施。每个季度发包人将按照经批准实施的 </w:t>
      </w:r>
      <w:r>
        <w:rPr>
          <w:rFonts w:hint="eastAsia" w:ascii="仿宋_GB2312" w:hAnsi="仿宋_GB2312" w:eastAsia="仿宋_GB2312" w:cs="仿宋_GB2312"/>
          <w:bCs/>
          <w:color w:val="auto"/>
          <w:sz w:val="24"/>
          <w:szCs w:val="24"/>
          <w:highlight w:val="none"/>
          <w:lang w:val="en-US" w:eastAsia="zh-CN"/>
        </w:rPr>
        <w:tab/>
      </w:r>
      <w:r>
        <w:rPr>
          <w:rFonts w:hint="eastAsia" w:ascii="仿宋_GB2312" w:hAnsi="仿宋_GB2312" w:eastAsia="仿宋_GB2312" w:cs="仿宋_GB2312"/>
          <w:bCs/>
          <w:color w:val="auto"/>
          <w:sz w:val="24"/>
          <w:szCs w:val="24"/>
          <w:highlight w:val="none"/>
          <w:lang w:val="en-US" w:eastAsia="zh-CN"/>
        </w:rPr>
        <w:t>《施工技术方案》对照实际完成工程量的质量、进度等，如达不到经批准实施的《施 工技术方案》要求的招标人将予以处罚，承包人无条件返工、修复至满足设计要求 为止，并承担由此产生的一切费用。</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6、承包人应根据自治区建设工程管理规定对工程资料进行归档管理，如涉及到 相关费用， 由承包人自行承担。</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7、工程最终结算价格：承包人按施工图纸及现场实际工程量编制预算 (预算定 额采用阿勒泰地区定额及政府指导价) 经发包方、第三方审核、审计后作为最终结算依据。(预算单价不超过中标单价) </w:t>
      </w:r>
    </w:p>
    <w:p>
      <w:pPr>
        <w:pageBreakBefore w:val="0"/>
        <w:widowControl w:val="0"/>
        <w:shd w:val="clear"/>
        <w:kinsoku/>
        <w:wordWrap/>
        <w:overflowPunct/>
        <w:topLinePunct w:val="0"/>
        <w:autoSpaceDE/>
        <w:autoSpaceDN/>
        <w:bidi w:val="0"/>
        <w:adjustRightInd/>
        <w:snapToGrid/>
        <w:spacing w:line="360" w:lineRule="auto"/>
        <w:ind w:firstLine="459"/>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8、此工程承包人即为整个工程总承包人，必须履行总承包职责。</w:t>
      </w:r>
      <w:bookmarkEnd w:id="236"/>
    </w:p>
    <w:p>
      <w:pPr>
        <w:shd w:val="clear"/>
        <w:spacing w:line="460" w:lineRule="exact"/>
        <w:rPr>
          <w:rFonts w:hint="eastAsia" w:ascii="宋体" w:hAnsi="宋体"/>
          <w:color w:val="000000"/>
        </w:rPr>
      </w:pPr>
    </w:p>
    <w:bookmarkEnd w:id="229"/>
    <w:bookmarkEnd w:id="230"/>
    <w:bookmarkEnd w:id="231"/>
    <w:bookmarkEnd w:id="232"/>
    <w:bookmarkEnd w:id="233"/>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szCs w:val="32"/>
          <w:highlight w:val="none"/>
        </w:rPr>
      </w:pPr>
      <w:bookmarkStart w:id="237" w:name="_Toc27517"/>
      <w:bookmarkStart w:id="238" w:name="_Toc20659"/>
      <w:bookmarkStart w:id="239" w:name="_Toc23170"/>
    </w:p>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szCs w:val="32"/>
          <w:highlight w:val="none"/>
        </w:rPr>
      </w:pPr>
    </w:p>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szCs w:val="32"/>
          <w:highlight w:val="none"/>
        </w:rPr>
      </w:pPr>
    </w:p>
    <w:p>
      <w:pPr>
        <w:pStyle w:val="3"/>
        <w:pageBreakBefore w:val="0"/>
        <w:shd w:val="clear"/>
        <w:kinsoku/>
        <w:wordWrap/>
        <w:overflowPunct/>
        <w:topLinePunct w:val="0"/>
        <w:bidi w:val="0"/>
        <w:spacing w:line="360" w:lineRule="auto"/>
        <w:jc w:val="center"/>
        <w:rPr>
          <w:rFonts w:hint="eastAsia" w:ascii="宋体" w:hAnsi="宋体" w:eastAsia="宋体" w:cs="宋体"/>
          <w:color w:val="auto"/>
          <w:sz w:val="32"/>
          <w:szCs w:val="32"/>
          <w:highlight w:val="none"/>
        </w:rPr>
      </w:pPr>
    </w:p>
    <w:p>
      <w:pPr>
        <w:rPr>
          <w:rFonts w:hint="eastAsia"/>
        </w:rPr>
      </w:pPr>
    </w:p>
    <w:p>
      <w:pPr>
        <w:pStyle w:val="3"/>
        <w:pageBreakBefore w:val="0"/>
        <w:shd w:val="clear"/>
        <w:kinsoku/>
        <w:wordWrap/>
        <w:overflowPunct/>
        <w:topLinePunct w:val="0"/>
        <w:bidi w:val="0"/>
        <w:spacing w:line="360" w:lineRule="auto"/>
        <w:ind w:firstLine="2249" w:firstLineChars="700"/>
        <w:jc w:val="both"/>
        <w:rPr>
          <w:rFonts w:hint="eastAsia" w:ascii="宋体" w:hAnsi="宋体" w:eastAsia="宋体" w:cs="宋体"/>
          <w:color w:val="auto"/>
          <w:sz w:val="32"/>
          <w:highlight w:val="none"/>
        </w:rPr>
      </w:pPr>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 xml:space="preserve">章  </w:t>
      </w:r>
      <w:r>
        <w:rPr>
          <w:rFonts w:hint="eastAsia" w:ascii="宋体" w:hAnsi="宋体" w:cs="宋体"/>
          <w:color w:val="auto"/>
          <w:sz w:val="32"/>
          <w:szCs w:val="32"/>
          <w:highlight w:val="none"/>
          <w:lang w:eastAsia="zh-CN"/>
        </w:rPr>
        <w:t>谈判响应文件</w:t>
      </w:r>
      <w:r>
        <w:rPr>
          <w:rFonts w:hint="eastAsia" w:ascii="宋体" w:hAnsi="宋体" w:eastAsia="宋体" w:cs="宋体"/>
          <w:color w:val="auto"/>
          <w:sz w:val="32"/>
          <w:szCs w:val="32"/>
          <w:highlight w:val="none"/>
        </w:rPr>
        <w:t>格式</w:t>
      </w:r>
      <w:bookmarkEnd w:id="234"/>
      <w:bookmarkEnd w:id="237"/>
      <w:bookmarkEnd w:id="238"/>
      <w:bookmarkEnd w:id="239"/>
    </w:p>
    <w:p>
      <w:pPr>
        <w:pageBreakBefore w:val="0"/>
        <w:shd w:val="clear"/>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ageBreakBefore w:val="0"/>
        <w:shd w:val="clear"/>
        <w:kinsoku/>
        <w:wordWrap/>
        <w:overflowPunct/>
        <w:topLinePunct w:val="0"/>
        <w:bidi w:val="0"/>
        <w:spacing w:line="360" w:lineRule="auto"/>
        <w:rPr>
          <w:rFonts w:hint="eastAsia" w:ascii="宋体" w:hAnsi="宋体" w:eastAsia="宋体" w:cs="宋体"/>
          <w:color w:val="auto"/>
          <w:highlight w:val="none"/>
        </w:rPr>
      </w:pPr>
    </w:p>
    <w:p>
      <w:pPr>
        <w:pageBreakBefore w:val="0"/>
        <w:shd w:val="clear"/>
        <w:kinsoku/>
        <w:wordWrap/>
        <w:overflowPunct/>
        <w:topLinePunct w:val="0"/>
        <w:bidi w:val="0"/>
        <w:spacing w:line="360" w:lineRule="auto"/>
        <w:rPr>
          <w:rFonts w:hint="eastAsia" w:ascii="宋体" w:hAnsi="宋体" w:eastAsia="宋体" w:cs="宋体"/>
          <w:color w:val="auto"/>
          <w:highlight w:val="none"/>
        </w:rPr>
      </w:pPr>
    </w:p>
    <w:p>
      <w:pPr>
        <w:pageBreakBefore w:val="0"/>
        <w:shd w:val="clear"/>
        <w:kinsoku/>
        <w:wordWrap/>
        <w:overflowPunct/>
        <w:topLinePunct w:val="0"/>
        <w:bidi w:val="0"/>
        <w:spacing w:line="360" w:lineRule="auto"/>
        <w:ind w:firstLine="1200" w:firstLineChars="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项目名称）</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谈判项目</w:t>
      </w:r>
      <w:r>
        <w:rPr>
          <w:rFonts w:hint="eastAsia" w:ascii="仿宋_GB2312" w:hAnsi="仿宋_GB2312" w:eastAsia="仿宋_GB2312" w:cs="仿宋_GB2312"/>
          <w:color w:val="auto"/>
          <w:sz w:val="24"/>
          <w:szCs w:val="24"/>
          <w:highlight w:val="none"/>
        </w:rPr>
        <w:t>编号：</w:t>
      </w:r>
      <w:r>
        <w:rPr>
          <w:rFonts w:hint="eastAsia" w:ascii="仿宋_GB2312" w:hAnsi="仿宋_GB2312" w:eastAsia="仿宋_GB2312" w:cs="仿宋_GB2312"/>
          <w:color w:val="auto"/>
          <w:sz w:val="24"/>
          <w:szCs w:val="24"/>
          <w:highlight w:val="none"/>
          <w:u w:val="single"/>
        </w:rPr>
        <w:t xml:space="preserve">                        </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8"/>
          <w:szCs w:val="28"/>
          <w:highlight w:val="none"/>
        </w:rPr>
      </w:pPr>
    </w:p>
    <w:p>
      <w:pPr>
        <w:pageBreakBefore w:val="0"/>
        <w:shd w:val="clear"/>
        <w:kinsoku/>
        <w:wordWrap/>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谈  判  响  应</w:t>
      </w:r>
      <w:r>
        <w:rPr>
          <w:rFonts w:hint="eastAsia" w:ascii="宋体" w:hAnsi="宋体" w:eastAsia="宋体" w:cs="宋体"/>
          <w:b/>
          <w:color w:val="auto"/>
          <w:sz w:val="36"/>
          <w:szCs w:val="36"/>
          <w:highlight w:val="none"/>
        </w:rPr>
        <w:t xml:space="preserve">  文  件</w:t>
      </w:r>
    </w:p>
    <w:p>
      <w:pPr>
        <w:pageBreakBefore w:val="0"/>
        <w:shd w:val="clear"/>
        <w:kinsoku/>
        <w:wordWrap/>
        <w:overflowPunct/>
        <w:topLinePunct w:val="0"/>
        <w:bidi w:val="0"/>
        <w:spacing w:line="360" w:lineRule="auto"/>
        <w:rPr>
          <w:rFonts w:hint="eastAsia" w:ascii="宋体" w:hAnsi="宋体" w:eastAsia="宋体" w:cs="宋体"/>
          <w:b/>
          <w:color w:val="auto"/>
          <w:sz w:val="32"/>
          <w:szCs w:val="32"/>
          <w:highlight w:val="none"/>
        </w:rPr>
      </w:pPr>
    </w:p>
    <w:p>
      <w:pPr>
        <w:pageBreakBefore w:val="0"/>
        <w:shd w:val="clear"/>
        <w:kinsoku/>
        <w:wordWrap/>
        <w:overflowPunct/>
        <w:topLinePunct w:val="0"/>
        <w:bidi w:val="0"/>
        <w:spacing w:line="360" w:lineRule="auto"/>
        <w:rPr>
          <w:rFonts w:hint="eastAsia" w:ascii="宋体" w:hAnsi="宋体" w:eastAsia="宋体" w:cs="宋体"/>
          <w:b/>
          <w:color w:val="auto"/>
          <w:sz w:val="32"/>
          <w:szCs w:val="32"/>
          <w:highlight w:val="none"/>
        </w:rPr>
      </w:pPr>
    </w:p>
    <w:p>
      <w:pPr>
        <w:pageBreakBefore w:val="0"/>
        <w:shd w:val="clear"/>
        <w:kinsoku/>
        <w:wordWrap/>
        <w:overflowPunct/>
        <w:topLinePunct w:val="0"/>
        <w:bidi w:val="0"/>
        <w:spacing w:line="360" w:lineRule="auto"/>
        <w:rPr>
          <w:rFonts w:hint="eastAsia" w:ascii="宋体" w:hAnsi="宋体" w:eastAsia="宋体" w:cs="宋体"/>
          <w:b/>
          <w:color w:val="auto"/>
          <w:sz w:val="32"/>
          <w:szCs w:val="32"/>
          <w:highlight w:val="none"/>
        </w:rPr>
      </w:pP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宋体" w:hAnsi="宋体" w:eastAsia="宋体" w:cs="宋体"/>
          <w:b/>
          <w:color w:val="auto"/>
          <w:sz w:val="24"/>
          <w:highlight w:val="none"/>
        </w:rPr>
        <w:t xml:space="preserve">     </w:t>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color w:val="auto"/>
          <w:sz w:val="24"/>
          <w:highlight w:val="none"/>
          <w:lang w:eastAsia="zh-CN"/>
        </w:rPr>
        <w:t>报价人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公</w:t>
      </w:r>
      <w:r>
        <w:rPr>
          <w:rFonts w:hint="eastAsia" w:ascii="仿宋_GB2312" w:hAnsi="仿宋_GB2312" w:eastAsia="仿宋_GB2312" w:cs="仿宋_GB2312"/>
          <w:color w:val="auto"/>
          <w:sz w:val="24"/>
          <w:highlight w:val="none"/>
        </w:rPr>
        <w:t>章）</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（签字或盖章）</w:t>
      </w:r>
    </w:p>
    <w:p>
      <w:pPr>
        <w:pStyle w:val="7"/>
        <w:shd w:val="clear"/>
        <w:rPr>
          <w:rFonts w:hint="eastAsia" w:ascii="仿宋_GB2312" w:hAnsi="仿宋_GB2312" w:eastAsia="仿宋_GB2312" w:cs="仿宋_GB2312"/>
          <w:color w:val="auto"/>
          <w:sz w:val="24"/>
          <w:highlight w:val="none"/>
        </w:rPr>
      </w:pPr>
    </w:p>
    <w:p>
      <w:pPr>
        <w:pStyle w:val="7"/>
        <w:shd w:val="clea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联系人：</w:t>
      </w:r>
    </w:p>
    <w:p>
      <w:pPr>
        <w:pStyle w:val="7"/>
        <w:shd w:val="clear"/>
        <w:rPr>
          <w:rFonts w:hint="eastAsia" w:ascii="仿宋_GB2312" w:hAnsi="仿宋_GB2312" w:eastAsia="仿宋_GB2312" w:cs="仿宋_GB2312"/>
          <w:color w:val="auto"/>
          <w:sz w:val="24"/>
          <w:highlight w:val="none"/>
          <w:lang w:val="en-US" w:eastAsia="zh-CN"/>
        </w:rPr>
      </w:pPr>
    </w:p>
    <w:p>
      <w:pPr>
        <w:pStyle w:val="7"/>
        <w:shd w:val="clea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电 话：</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p>
    <w:p>
      <w:pPr>
        <w:pageBreakBefore w:val="0"/>
        <w:shd w:val="clear"/>
        <w:kinsoku/>
        <w:wordWrap/>
        <w:overflowPunct/>
        <w:topLinePunct w:val="0"/>
        <w:bidi w:val="0"/>
        <w:spacing w:line="360" w:lineRule="auto"/>
        <w:ind w:firstLine="3840" w:firstLineChars="16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rPr>
      </w:pPr>
    </w:p>
    <w:p>
      <w:pPr>
        <w:pStyle w:val="4"/>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bookmarkStart w:id="240" w:name="_Toc381970844"/>
      <w:bookmarkStart w:id="241" w:name="_Toc358978468"/>
      <w:bookmarkStart w:id="242" w:name="_Toc358451958"/>
      <w:bookmarkStart w:id="243" w:name="_Toc17493"/>
      <w:bookmarkStart w:id="244" w:name="_Toc28151"/>
      <w:bookmarkStart w:id="245" w:name="_Toc15482"/>
      <w:r>
        <w:rPr>
          <w:rFonts w:hint="eastAsia" w:ascii="仿宋_GB2312" w:hAnsi="仿宋_GB2312" w:eastAsia="仿宋_GB2312" w:cs="仿宋_GB2312"/>
          <w:color w:val="auto"/>
          <w:sz w:val="24"/>
          <w:szCs w:val="24"/>
          <w:highlight w:val="none"/>
          <w:lang w:val="en-US" w:eastAsia="zh-CN"/>
        </w:rPr>
        <w:t>1、报</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val="en-US" w:eastAsia="zh-CN"/>
        </w:rPr>
        <w:t>价</w:t>
      </w:r>
      <w:r>
        <w:rPr>
          <w:rFonts w:hint="eastAsia" w:ascii="仿宋_GB2312" w:hAnsi="仿宋_GB2312" w:eastAsia="仿宋_GB2312" w:cs="仿宋_GB2312"/>
          <w:bCs/>
          <w:color w:val="auto"/>
          <w:sz w:val="24"/>
          <w:szCs w:val="24"/>
          <w:highlight w:val="none"/>
        </w:rPr>
        <w:t xml:space="preserve"> </w:t>
      </w:r>
      <w:bookmarkEnd w:id="240"/>
      <w:bookmarkEnd w:id="241"/>
      <w:bookmarkEnd w:id="242"/>
      <w:r>
        <w:rPr>
          <w:rFonts w:hint="eastAsia" w:ascii="仿宋_GB2312" w:hAnsi="仿宋_GB2312" w:eastAsia="仿宋_GB2312" w:cs="仿宋_GB2312"/>
          <w:bCs/>
          <w:color w:val="auto"/>
          <w:sz w:val="24"/>
          <w:szCs w:val="24"/>
          <w:highlight w:val="none"/>
          <w:lang w:val="en-US" w:eastAsia="zh-CN"/>
        </w:rPr>
        <w:t>函</w:t>
      </w:r>
      <w:bookmarkEnd w:id="243"/>
      <w:bookmarkEnd w:id="244"/>
      <w:bookmarkEnd w:id="245"/>
    </w:p>
    <w:p>
      <w:pPr>
        <w:shd w:val="clea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采购</w:t>
      </w:r>
      <w:r>
        <w:rPr>
          <w:rFonts w:hint="eastAsia" w:ascii="仿宋_GB2312" w:hAnsi="仿宋_GB2312" w:eastAsia="仿宋_GB2312" w:cs="仿宋_GB2312"/>
          <w:color w:val="auto"/>
          <w:sz w:val="24"/>
          <w:szCs w:val="24"/>
        </w:rPr>
        <w:t>人名称）：</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1．我方已仔细研究了</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（项目名称）</w:t>
      </w:r>
      <w:r>
        <w:rPr>
          <w:rFonts w:hint="eastAsia" w:ascii="仿宋_GB2312" w:hAnsi="仿宋_GB2312" w:eastAsia="仿宋_GB2312" w:cs="仿宋_GB2312"/>
          <w:color w:val="auto"/>
          <w:sz w:val="24"/>
          <w:szCs w:val="24"/>
          <w:lang w:eastAsia="zh-CN"/>
        </w:rPr>
        <w:t>谈判</w:t>
      </w:r>
      <w:r>
        <w:rPr>
          <w:rFonts w:hint="eastAsia" w:ascii="仿宋_GB2312" w:hAnsi="仿宋_GB2312" w:eastAsia="仿宋_GB2312" w:cs="仿宋_GB2312"/>
          <w:color w:val="auto"/>
          <w:sz w:val="24"/>
          <w:szCs w:val="24"/>
        </w:rPr>
        <w:t>文件的全部内容，愿意以人民币（大写）</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）的投标总报价，工期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日历</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rPr>
        <w:t>，按合同约定实施和完成承包工程，修补工程中的任何缺陷，工程质量达到</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2．我方承诺在</w:t>
      </w:r>
      <w:r>
        <w:rPr>
          <w:rFonts w:hint="eastAsia" w:ascii="仿宋_GB2312" w:hAnsi="仿宋_GB2312" w:eastAsia="仿宋_GB2312" w:cs="仿宋_GB2312"/>
          <w:color w:val="auto"/>
          <w:sz w:val="24"/>
          <w:szCs w:val="24"/>
          <w:lang w:eastAsia="zh-CN"/>
        </w:rPr>
        <w:t>谈判</w:t>
      </w:r>
      <w:r>
        <w:rPr>
          <w:rFonts w:hint="eastAsia" w:ascii="仿宋_GB2312" w:hAnsi="仿宋_GB2312" w:eastAsia="仿宋_GB2312" w:cs="仿宋_GB2312"/>
          <w:color w:val="auto"/>
          <w:sz w:val="24"/>
          <w:szCs w:val="24"/>
        </w:rPr>
        <w:t>文件规定的投标有效期内不修改、撤销投标文件。</w:t>
      </w:r>
    </w:p>
    <w:p>
      <w:pPr>
        <w:shd w:val="clear"/>
        <w:spacing w:line="360" w:lineRule="auto"/>
        <w:ind w:firstLine="480" w:firstLineChars="200"/>
        <w:outlineLvl w:val="1"/>
        <w:rPr>
          <w:rFonts w:hint="eastAsia" w:ascii="仿宋_GB2312" w:hAnsi="仿宋_GB2312" w:eastAsia="仿宋_GB2312" w:cs="仿宋_GB2312"/>
          <w:color w:val="auto"/>
          <w:sz w:val="24"/>
          <w:szCs w:val="24"/>
        </w:rPr>
      </w:pPr>
      <w:bookmarkStart w:id="246" w:name="_Toc5608"/>
      <w:bookmarkStart w:id="247" w:name="_Toc18585"/>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．如我方中标：</w:t>
      </w:r>
      <w:bookmarkEnd w:id="246"/>
      <w:bookmarkEnd w:id="247"/>
    </w:p>
    <w:p>
      <w:pPr>
        <w:shd w:val="clear"/>
        <w:spacing w:line="360" w:lineRule="auto"/>
        <w:ind w:firstLine="820" w:firstLineChars="34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（1）我方承诺在收到中标通知书后，在中标通知书规定的期限内与你方签订合同。</w:t>
      </w:r>
    </w:p>
    <w:p>
      <w:pPr>
        <w:shd w:val="clear"/>
        <w:spacing w:line="360" w:lineRule="auto"/>
        <w:ind w:firstLine="820" w:firstLineChars="342"/>
        <w:rPr>
          <w:rFonts w:hint="eastAsia" w:ascii="仿宋_GB2312" w:hAnsi="仿宋_GB2312" w:eastAsia="仿宋_GB2312" w:cs="仿宋_GB2312"/>
          <w:color w:val="auto"/>
          <w:sz w:val="24"/>
          <w:szCs w:val="24"/>
          <w14:textFill>
            <w14:gradFill>
              <w14:gsLst>
                <w14:gs w14:pos="0">
                  <w14:srgbClr w14:val="FE4444"/>
                </w14:gs>
                <w14:gs w14:pos="100000">
                  <w14:srgbClr w14:val="832B2B"/>
                </w14:gs>
              </w14:gsLst>
              <w14:lin w14:scaled="0"/>
            </w14:gradFill>
          </w14:textFill>
        </w:rPr>
      </w:pPr>
      <w:r>
        <w:rPr>
          <w:rFonts w:hint="eastAsia" w:ascii="仿宋_GB2312" w:hAnsi="仿宋_GB2312" w:eastAsia="仿宋_GB2312" w:cs="仿宋_GB2312"/>
          <w:color w:val="auto"/>
          <w:sz w:val="24"/>
          <w:szCs w:val="24"/>
        </w:rPr>
        <w:t>（2）随同本投标函递交的投标函附录属于合同文件的组成部分。</w:t>
      </w:r>
    </w:p>
    <w:p>
      <w:pPr>
        <w:shd w:val="clear"/>
        <w:spacing w:line="360" w:lineRule="auto"/>
        <w:ind w:firstLine="820" w:firstLineChars="342"/>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）我方承诺在合同约定的期限内完成并移交全部合同工程。</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．我方在此声明，所递交的投标文件及有关资料内容完整、真实和准确，且不存在第二章“投标人须知”第1.4.2项和第1.4.3项规定的任何一种情形。</w:t>
      </w: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pageBreakBefore w:val="0"/>
        <w:shd w:val="clear"/>
        <w:kinsoku/>
        <w:wordWrap/>
        <w:overflowPunct/>
        <w:topLinePunct w:val="0"/>
        <w:bidi w:val="0"/>
        <w:spacing w:line="360" w:lineRule="auto"/>
        <w:rPr>
          <w:rFonts w:hint="eastAsia" w:ascii="宋体" w:hAnsi="宋体" w:eastAsia="宋体" w:cs="宋体"/>
          <w:color w:val="auto"/>
          <w:sz w:val="24"/>
          <w:highlight w:val="none"/>
        </w:rPr>
      </w:pP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投标</w:t>
      </w:r>
      <w:r>
        <w:rPr>
          <w:rFonts w:hint="eastAsia" w:ascii="仿宋_GB2312" w:hAnsi="仿宋_GB2312" w:eastAsia="仿宋_GB2312" w:cs="仿宋_GB2312"/>
          <w:color w:val="auto"/>
          <w:sz w:val="24"/>
          <w:szCs w:val="24"/>
        </w:rPr>
        <w:t xml:space="preserve">单位(盖章) ：                         </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法定代表人或授权代表人：          （签字</w:t>
      </w:r>
      <w:r>
        <w:rPr>
          <w:rFonts w:hint="eastAsia" w:ascii="仿宋_GB2312" w:hAnsi="仿宋_GB2312" w:eastAsia="仿宋_GB2312" w:cs="仿宋_GB2312"/>
          <w:color w:val="auto"/>
          <w:sz w:val="24"/>
          <w:szCs w:val="24"/>
          <w:lang w:eastAsia="zh-CN"/>
        </w:rPr>
        <w:t>或</w:t>
      </w:r>
      <w:r>
        <w:rPr>
          <w:rFonts w:hint="eastAsia" w:ascii="仿宋_GB2312" w:hAnsi="仿宋_GB2312" w:eastAsia="仿宋_GB2312" w:cs="仿宋_GB2312"/>
          <w:color w:val="auto"/>
          <w:sz w:val="24"/>
          <w:szCs w:val="24"/>
        </w:rPr>
        <w:t>盖章）：</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地址：</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电话：</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联系人：</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hd w:val="clea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p>
      <w:pPr>
        <w:shd w:val="clea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br w:type="page"/>
      </w:r>
    </w:p>
    <w:p>
      <w:pPr>
        <w:shd w:val="clear"/>
        <w:ind w:firstLine="2650" w:firstLineChars="1100"/>
        <w:jc w:val="both"/>
        <w:outlineLvl w:val="1"/>
        <w:rPr>
          <w:rFonts w:hint="eastAsia" w:ascii="Times New Roman" w:hAnsi="Times New Roman" w:eastAsia="宋体" w:cs="Times New Roman"/>
          <w:b/>
          <w:color w:val="auto"/>
          <w:kern w:val="44"/>
          <w:sz w:val="28"/>
          <w:szCs w:val="36"/>
          <w:highlight w:val="none"/>
          <w:lang w:val="en-US" w:eastAsia="zh-CN" w:bidi="ar-SA"/>
        </w:rPr>
      </w:pPr>
      <w:bookmarkStart w:id="248" w:name="_Toc31843"/>
      <w:bookmarkStart w:id="249" w:name="_Toc3542"/>
      <w:bookmarkStart w:id="250" w:name="_Toc12032"/>
      <w:r>
        <w:rPr>
          <w:rFonts w:hint="eastAsia" w:ascii="仿宋_GB2312" w:hAnsi="仿宋_GB2312" w:eastAsia="仿宋_GB2312" w:cs="仿宋_GB2312"/>
          <w:b/>
          <w:color w:val="auto"/>
          <w:kern w:val="44"/>
          <w:sz w:val="24"/>
          <w:szCs w:val="24"/>
          <w:highlight w:val="none"/>
          <w:lang w:val="en-US" w:eastAsia="zh-CN" w:bidi="ar-SA"/>
        </w:rPr>
        <w:t>2、报价一览表</w:t>
      </w:r>
      <w:bookmarkEnd w:id="248"/>
      <w:bookmarkEnd w:id="249"/>
      <w:bookmarkEnd w:id="250"/>
    </w:p>
    <w:p>
      <w:pPr>
        <w:shd w:val="clear"/>
        <w:spacing w:line="360" w:lineRule="auto"/>
        <w:rPr>
          <w:rFonts w:ascii="宋体" w:hAnsi="宋体" w:cs="宋体"/>
          <w:color w:val="auto"/>
          <w:highlight w:val="none"/>
        </w:rPr>
      </w:pPr>
      <w:r>
        <w:rPr>
          <w:rFonts w:hint="eastAsia" w:ascii="宋体" w:hAnsi="宋体" w:cs="宋体"/>
          <w:color w:val="auto"/>
          <w:highlight w:val="none"/>
        </w:rPr>
        <w:t xml:space="preserve">                          </w:t>
      </w:r>
    </w:p>
    <w:tbl>
      <w:tblPr>
        <w:tblStyle w:val="25"/>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2660" w:type="dxa"/>
            <w:shd w:val="clear" w:color="auto" w:fill="auto"/>
            <w:vAlign w:val="center"/>
          </w:tcPr>
          <w:p>
            <w:pPr>
              <w:shd w:val="clear"/>
              <w:tabs>
                <w:tab w:val="left" w:pos="0"/>
              </w:tabs>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5896" w:type="dxa"/>
            <w:shd w:val="clear" w:color="auto" w:fill="auto"/>
            <w:vAlign w:val="center"/>
          </w:tcPr>
          <w:p>
            <w:pPr>
              <w:shd w:val="clear"/>
              <w:tabs>
                <w:tab w:val="left" w:pos="0"/>
              </w:tabs>
              <w:spacing w:line="360" w:lineRule="auto"/>
              <w:jc w:val="center"/>
              <w:rPr>
                <w:rFonts w:hint="eastAsia" w:ascii="仿宋_GB2312" w:hAnsi="仿宋_GB2312" w:eastAsia="仿宋_GB2312" w:cs="仿宋_GB2312"/>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60" w:type="dxa"/>
            <w:shd w:val="clear" w:color="auto" w:fill="auto"/>
            <w:vAlign w:val="center"/>
          </w:tcPr>
          <w:p>
            <w:pPr>
              <w:shd w:val="clea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投标报价</w:t>
            </w:r>
          </w:p>
        </w:tc>
        <w:tc>
          <w:tcPr>
            <w:tcW w:w="5896" w:type="dxa"/>
            <w:shd w:val="clear" w:color="auto" w:fill="auto"/>
          </w:tcPr>
          <w:p>
            <w:pPr>
              <w:shd w:val="clear" w:color="auto"/>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小写：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p>
          <w:p>
            <w:pPr>
              <w:shd w:val="clear"/>
              <w:spacing w:line="36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2660" w:type="dxa"/>
            <w:shd w:val="clear" w:color="auto" w:fill="auto"/>
            <w:vAlign w:val="center"/>
          </w:tcPr>
          <w:p>
            <w:pPr>
              <w:shd w:val="clear"/>
              <w:tabs>
                <w:tab w:val="left" w:pos="0"/>
              </w:tabs>
              <w:adjustRightInd w:val="0"/>
              <w:snapToGrid w:val="0"/>
              <w:spacing w:line="24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建设</w:t>
            </w:r>
            <w:r>
              <w:rPr>
                <w:rFonts w:hint="eastAsia" w:ascii="仿宋_GB2312" w:hAnsi="仿宋_GB2312" w:eastAsia="仿宋_GB2312" w:cs="仿宋_GB2312"/>
                <w:color w:val="auto"/>
                <w:sz w:val="24"/>
                <w:szCs w:val="24"/>
                <w:highlight w:val="none"/>
                <w:lang w:eastAsia="zh-CN"/>
              </w:rPr>
              <w:t>工期</w:t>
            </w:r>
          </w:p>
          <w:p>
            <w:pPr>
              <w:shd w:val="clea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天</w:t>
            </w:r>
            <w:r>
              <w:rPr>
                <w:rFonts w:hint="eastAsia" w:ascii="仿宋_GB2312" w:hAnsi="仿宋_GB2312" w:eastAsia="仿宋_GB2312" w:cs="仿宋_GB2312"/>
                <w:color w:val="auto"/>
                <w:sz w:val="24"/>
                <w:szCs w:val="24"/>
                <w:highlight w:val="none"/>
              </w:rPr>
              <w:t>）</w:t>
            </w:r>
          </w:p>
        </w:tc>
        <w:tc>
          <w:tcPr>
            <w:tcW w:w="5896" w:type="dxa"/>
            <w:shd w:val="clear" w:color="auto" w:fill="auto"/>
          </w:tcPr>
          <w:p>
            <w:pPr>
              <w:shd w:val="clear"/>
              <w:spacing w:line="360" w:lineRule="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660" w:type="dxa"/>
            <w:shd w:val="clear" w:color="auto" w:fill="auto"/>
            <w:vAlign w:val="center"/>
          </w:tcPr>
          <w:p>
            <w:pPr>
              <w:shd w:val="clea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质量</w:t>
            </w:r>
          </w:p>
        </w:tc>
        <w:tc>
          <w:tcPr>
            <w:tcW w:w="5896" w:type="dxa"/>
            <w:shd w:val="clear" w:color="auto" w:fill="auto"/>
          </w:tcPr>
          <w:p>
            <w:pPr>
              <w:shd w:val="clear"/>
              <w:spacing w:line="360" w:lineRule="auto"/>
              <w:rPr>
                <w:rFonts w:hint="eastAsia" w:ascii="仿宋_GB2312" w:hAnsi="仿宋_GB2312" w:eastAsia="仿宋_GB2312" w:cs="仿宋_GB2312"/>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660" w:type="dxa"/>
            <w:shd w:val="clear" w:color="auto" w:fill="auto"/>
            <w:vAlign w:val="center"/>
          </w:tcPr>
          <w:p>
            <w:pPr>
              <w:shd w:val="clea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项目负责人</w:t>
            </w:r>
          </w:p>
        </w:tc>
        <w:tc>
          <w:tcPr>
            <w:tcW w:w="5896" w:type="dxa"/>
            <w:shd w:val="clear" w:color="auto" w:fill="auto"/>
          </w:tcPr>
          <w:p>
            <w:pPr>
              <w:shd w:val="clear"/>
              <w:spacing w:line="360" w:lineRule="auto"/>
              <w:rPr>
                <w:rFonts w:hint="eastAsia" w:ascii="仿宋_GB2312" w:hAnsi="仿宋_GB2312" w:eastAsia="仿宋_GB2312" w:cs="仿宋_GB2312"/>
                <w:color w:val="auto"/>
                <w:sz w:val="24"/>
                <w:szCs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2660" w:type="dxa"/>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60" w:lineRule="exact"/>
              <w:ind w:right="-48" w:rightChars="-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谈判响应文件</w:t>
            </w:r>
          </w:p>
          <w:p>
            <w:pPr>
              <w:shd w:val="clea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有效期</w:t>
            </w:r>
          </w:p>
        </w:tc>
        <w:tc>
          <w:tcPr>
            <w:tcW w:w="5896" w:type="dxa"/>
            <w:shd w:val="clear" w:color="auto" w:fill="auto"/>
          </w:tcPr>
          <w:p>
            <w:pPr>
              <w:shd w:val="clea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2660" w:type="dxa"/>
            <w:vAlign w:val="center"/>
          </w:tcPr>
          <w:p>
            <w:pPr>
              <w:shd w:val="clear"/>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w:t>
            </w:r>
          </w:p>
        </w:tc>
        <w:tc>
          <w:tcPr>
            <w:tcW w:w="5896" w:type="dxa"/>
          </w:tcPr>
          <w:p>
            <w:pPr>
              <w:shd w:val="clear"/>
              <w:spacing w:line="360" w:lineRule="auto"/>
              <w:rPr>
                <w:rFonts w:hint="eastAsia" w:ascii="仿宋_GB2312" w:hAnsi="仿宋_GB2312" w:eastAsia="仿宋_GB2312" w:cs="仿宋_GB2312"/>
                <w:color w:val="auto"/>
                <w:sz w:val="24"/>
                <w:szCs w:val="24"/>
                <w:highlight w:val="none"/>
              </w:rPr>
            </w:pPr>
          </w:p>
        </w:tc>
      </w:tr>
    </w:tbl>
    <w:p>
      <w:pPr>
        <w:shd w:val="clear"/>
        <w:spacing w:line="360" w:lineRule="auto"/>
        <w:ind w:firstLine="480" w:firstLineChars="200"/>
        <w:rPr>
          <w:rFonts w:hint="eastAsia" w:ascii="仿宋_GB2312" w:hAnsi="仿宋_GB2312" w:eastAsia="仿宋_GB2312" w:cs="仿宋_GB2312"/>
          <w:color w:val="auto"/>
          <w:sz w:val="24"/>
          <w:szCs w:val="24"/>
          <w:highlight w:val="none"/>
        </w:rPr>
      </w:pPr>
    </w:p>
    <w:p>
      <w:pPr>
        <w:shd w:val="clear"/>
        <w:spacing w:line="360" w:lineRule="auto"/>
        <w:rPr>
          <w:rFonts w:hint="eastAsia" w:ascii="仿宋_GB2312" w:hAnsi="仿宋_GB2312" w:eastAsia="仿宋_GB2312" w:cs="仿宋_GB2312"/>
          <w:color w:val="auto"/>
          <w:sz w:val="24"/>
          <w:szCs w:val="24"/>
          <w:highlight w:val="none"/>
        </w:rPr>
      </w:pPr>
    </w:p>
    <w:p>
      <w:pPr>
        <w:shd w:val="clear"/>
        <w:spacing w:line="360" w:lineRule="auto"/>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注：1..投标一览表中投标总报价大小应写一致，如不一致以大写</w:t>
      </w:r>
      <w:r>
        <w:rPr>
          <w:rFonts w:hint="eastAsia" w:ascii="仿宋_GB2312" w:hAnsi="仿宋_GB2312" w:eastAsia="仿宋_GB2312" w:cs="仿宋_GB2312"/>
          <w:color w:val="auto"/>
          <w:sz w:val="24"/>
          <w:szCs w:val="24"/>
          <w:highlight w:val="none"/>
          <w:lang w:eastAsia="zh-CN"/>
        </w:rPr>
        <w:t>金额</w:t>
      </w:r>
      <w:r>
        <w:rPr>
          <w:rFonts w:hint="eastAsia" w:ascii="仿宋_GB2312" w:hAnsi="仿宋_GB2312" w:eastAsia="仿宋_GB2312" w:cs="仿宋_GB2312"/>
          <w:color w:val="auto"/>
          <w:sz w:val="24"/>
          <w:szCs w:val="24"/>
          <w:highlight w:val="none"/>
        </w:rPr>
        <w:t>为准。</w:t>
      </w:r>
    </w:p>
    <w:p>
      <w:pPr>
        <w:pageBreakBefore w:val="0"/>
        <w:shd w:val="clear"/>
        <w:kinsoku/>
        <w:wordWrap/>
        <w:overflowPunct/>
        <w:topLinePunct w:val="0"/>
        <w:bidi w:val="0"/>
        <w:spacing w:line="360" w:lineRule="auto"/>
        <w:ind w:firstLine="480" w:firstLineChars="2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firstLineChars="200"/>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left="2640" w:leftChars="1100" w:firstLine="2400" w:firstLineChars="10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仿宋_GB2312" w:hAnsi="仿宋_GB2312" w:eastAsia="仿宋_GB2312" w:cs="仿宋_GB2312"/>
          <w:color w:val="auto"/>
          <w:sz w:val="24"/>
          <w:szCs w:val="24"/>
          <w:highlight w:val="none"/>
        </w:rPr>
        <w:t>年   月   日</w:t>
      </w:r>
    </w:p>
    <w:p>
      <w:pPr>
        <w:shd w:val="clear"/>
        <w:jc w:val="center"/>
        <w:outlineLvl w:val="9"/>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br w:type="page"/>
      </w:r>
      <w:bookmarkStart w:id="251" w:name="_Toc4906"/>
      <w:bookmarkStart w:id="252" w:name="_Toc10982"/>
      <w:bookmarkStart w:id="253" w:name="_Toc16805"/>
    </w:p>
    <w:bookmarkEnd w:id="251"/>
    <w:bookmarkEnd w:id="252"/>
    <w:bookmarkEnd w:id="253"/>
    <w:p>
      <w:pPr>
        <w:pStyle w:val="4"/>
        <w:pageBreakBefore w:val="0"/>
        <w:numPr>
          <w:ilvl w:val="0"/>
          <w:numId w:val="6"/>
        </w:numPr>
        <w:shd w:val="clear"/>
        <w:kinsoku/>
        <w:wordWrap/>
        <w:overflowPunct/>
        <w:topLinePunct w:val="0"/>
        <w:bidi w:val="0"/>
        <w:spacing w:line="360" w:lineRule="auto"/>
        <w:ind w:firstLine="2650" w:firstLineChars="1100"/>
        <w:jc w:val="both"/>
        <w:rPr>
          <w:rFonts w:hint="eastAsia" w:ascii="仿宋_GB2312" w:hAnsi="仿宋_GB2312" w:eastAsia="仿宋_GB2312" w:cs="仿宋_GB2312"/>
          <w:color w:val="auto"/>
          <w:sz w:val="24"/>
          <w:szCs w:val="24"/>
          <w:highlight w:val="none"/>
          <w:lang w:val="en-US" w:eastAsia="zh-CN"/>
        </w:rPr>
      </w:pPr>
      <w:bookmarkStart w:id="254" w:name="_Toc3251"/>
      <w:bookmarkStart w:id="255" w:name="_Toc29190"/>
      <w:bookmarkStart w:id="256" w:name="_Toc1702"/>
      <w:r>
        <w:rPr>
          <w:rFonts w:hint="eastAsia" w:ascii="仿宋_GB2312" w:hAnsi="仿宋_GB2312" w:eastAsia="仿宋_GB2312" w:cs="仿宋_GB2312"/>
          <w:color w:val="auto"/>
          <w:sz w:val="24"/>
          <w:szCs w:val="24"/>
          <w:highlight w:val="none"/>
          <w:lang w:val="en-US" w:eastAsia="zh-CN"/>
        </w:rPr>
        <w:t>经济标报价明细</w:t>
      </w:r>
      <w:bookmarkEnd w:id="254"/>
    </w:p>
    <w:p>
      <w:pPr>
        <w:shd w:val="clear"/>
        <w:rPr>
          <w:rFonts w:hint="eastAsia" w:ascii="仿宋_GB2312" w:hAnsi="仿宋_GB2312" w:eastAsia="仿宋_GB2312" w:cs="仿宋_GB2312"/>
          <w:color w:val="auto"/>
          <w:sz w:val="24"/>
          <w:szCs w:val="24"/>
          <w:highlight w:val="none"/>
          <w:lang w:val="en-US" w:eastAsia="zh-CN"/>
        </w:rPr>
      </w:pPr>
    </w:p>
    <w:p>
      <w:pPr>
        <w:pStyle w:val="4"/>
        <w:shd w:val="clear"/>
        <w:ind w:firstLine="3614" w:firstLineChars="1500"/>
        <w:jc w:val="both"/>
        <w:outlineLvl w:val="2"/>
        <w:rPr>
          <w:rFonts w:hint="eastAsia" w:ascii="仿宋_GB2312" w:hAnsi="仿宋_GB2312" w:eastAsia="仿宋_GB2312" w:cs="仿宋_GB2312"/>
          <w:b/>
          <w:bCs w:val="0"/>
          <w:color w:val="auto"/>
          <w:sz w:val="24"/>
          <w:szCs w:val="24"/>
          <w:highlight w:val="none"/>
          <w:lang w:val="en-US" w:eastAsia="zh-CN"/>
        </w:rPr>
      </w:pPr>
      <w:bookmarkStart w:id="257" w:name="_Toc5711"/>
      <w:bookmarkStart w:id="258" w:name="_Toc2585"/>
      <w:r>
        <w:rPr>
          <w:rFonts w:hint="eastAsia" w:ascii="仿宋_GB2312" w:hAnsi="仿宋_GB2312" w:eastAsia="仿宋_GB2312" w:cs="仿宋_GB2312"/>
          <w:b/>
          <w:bCs w:val="0"/>
          <w:color w:val="auto"/>
          <w:sz w:val="24"/>
          <w:szCs w:val="24"/>
          <w:highlight w:val="none"/>
          <w:lang w:val="en-US" w:eastAsia="zh-CN"/>
        </w:rPr>
        <w:t>按工程量清单报价</w:t>
      </w:r>
      <w:bookmarkEnd w:id="257"/>
      <w:bookmarkEnd w:id="258"/>
    </w:p>
    <w:p>
      <w:pPr>
        <w:shd w:val="clear"/>
        <w:rPr>
          <w:rFonts w:hint="eastAsia" w:ascii="仿宋_GB2312" w:hAnsi="仿宋_GB2312" w:eastAsia="仿宋_GB2312" w:cs="仿宋_GB2312"/>
          <w:color w:val="auto"/>
          <w:sz w:val="24"/>
          <w:szCs w:val="24"/>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ascii="宋体" w:hAnsi="宋体" w:cs="宋体"/>
          <w:color w:val="auto"/>
          <w:sz w:val="28"/>
          <w:highlight w:val="none"/>
          <w:lang w:val="en-US" w:eastAsia="zh-CN"/>
        </w:rPr>
      </w:pPr>
    </w:p>
    <w:p>
      <w:pPr>
        <w:shd w:val="clear"/>
        <w:rPr>
          <w:rFonts w:hint="eastAsia" w:ascii="宋体" w:hAnsi="宋体" w:cs="宋体"/>
          <w:color w:val="auto"/>
          <w:sz w:val="28"/>
          <w:highlight w:val="none"/>
          <w:lang w:val="en-US" w:eastAsia="zh-CN"/>
        </w:rPr>
      </w:pPr>
    </w:p>
    <w:p>
      <w:pPr>
        <w:pStyle w:val="4"/>
        <w:shd w:val="clear"/>
        <w:outlineLvl w:val="9"/>
        <w:rPr>
          <w:rFonts w:hint="eastAsia"/>
          <w:color w:val="auto"/>
          <w:highlight w:val="none"/>
          <w:lang w:val="en-US" w:eastAsia="zh-CN"/>
        </w:rPr>
      </w:pPr>
    </w:p>
    <w:p>
      <w:pPr>
        <w:pStyle w:val="4"/>
        <w:shd w:val="clear"/>
        <w:outlineLvl w:val="9"/>
        <w:rPr>
          <w:rFonts w:hint="eastAsia"/>
          <w:color w:val="auto"/>
          <w:highlight w:val="none"/>
          <w:lang w:val="en-US" w:eastAsia="zh-CN"/>
        </w:rPr>
      </w:pPr>
    </w:p>
    <w:p>
      <w:pPr>
        <w:shd w:val="clea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lang w:val="en-US" w:eastAsia="zh-CN"/>
        </w:rPr>
      </w:pPr>
    </w:p>
    <w:p>
      <w:pPr>
        <w:pStyle w:val="4"/>
        <w:pageBreakBefore w:val="0"/>
        <w:numPr>
          <w:ilvl w:val="0"/>
          <w:numId w:val="6"/>
        </w:numPr>
        <w:shd w:val="clear"/>
        <w:kinsoku/>
        <w:wordWrap/>
        <w:overflowPunct/>
        <w:topLinePunct w:val="0"/>
        <w:bidi w:val="0"/>
        <w:spacing w:line="360" w:lineRule="auto"/>
        <w:ind w:firstLine="2650" w:firstLineChars="1100"/>
        <w:jc w:val="both"/>
        <w:rPr>
          <w:rFonts w:hint="eastAsia" w:ascii="仿宋_GB2312" w:hAnsi="仿宋_GB2312" w:eastAsia="仿宋_GB2312" w:cs="仿宋_GB2312"/>
          <w:b/>
          <w:color w:val="auto"/>
          <w:sz w:val="24"/>
          <w:szCs w:val="24"/>
          <w:highlight w:val="none"/>
        </w:rPr>
      </w:pPr>
      <w:bookmarkStart w:id="259" w:name="_Toc20749"/>
      <w:r>
        <w:rPr>
          <w:rFonts w:hint="eastAsia" w:ascii="仿宋_GB2312" w:hAnsi="仿宋_GB2312" w:eastAsia="仿宋_GB2312" w:cs="仿宋_GB2312"/>
          <w:color w:val="auto"/>
          <w:sz w:val="24"/>
          <w:szCs w:val="24"/>
          <w:highlight w:val="none"/>
        </w:rPr>
        <w:t>商务条款偏离表</w:t>
      </w:r>
      <w:bookmarkEnd w:id="255"/>
      <w:bookmarkEnd w:id="256"/>
      <w:bookmarkEnd w:id="259"/>
    </w:p>
    <w:p>
      <w:pPr>
        <w:pageBreakBefore w:val="0"/>
        <w:shd w:val="clear"/>
        <w:kinsoku/>
        <w:wordWrap/>
        <w:overflowPunct/>
        <w:topLinePunct w:val="0"/>
        <w:bidi w:val="0"/>
        <w:spacing w:line="360" w:lineRule="auto"/>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报价人</w:t>
      </w:r>
      <w:r>
        <w:rPr>
          <w:rFonts w:hint="eastAsia" w:ascii="仿宋_GB2312" w:hAnsi="仿宋_GB2312" w:eastAsia="仿宋_GB2312" w:cs="仿宋_GB2312"/>
          <w:color w:val="auto"/>
          <w:sz w:val="24"/>
          <w:szCs w:val="24"/>
          <w:highlight w:val="none"/>
        </w:rPr>
        <w:t xml:space="preserve">名称：                     </w:t>
      </w:r>
    </w:p>
    <w:tbl>
      <w:tblPr>
        <w:tblStyle w:val="25"/>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商务条款名称</w:t>
            </w: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谈判文件</w:t>
            </w:r>
            <w:r>
              <w:rPr>
                <w:rFonts w:hint="eastAsia" w:ascii="仿宋_GB2312" w:hAnsi="仿宋_GB2312" w:eastAsia="仿宋_GB2312" w:cs="仿宋_GB2312"/>
                <w:color w:val="auto"/>
                <w:sz w:val="24"/>
                <w:szCs w:val="24"/>
                <w:highlight w:val="none"/>
              </w:rPr>
              <w:t>的</w:t>
            </w:r>
          </w:p>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商务条款</w:t>
            </w: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的</w:t>
            </w:r>
          </w:p>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商务条款</w:t>
            </w: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177"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2215"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c>
          <w:tcPr>
            <w:tcW w:w="1706" w:type="dxa"/>
            <w:vAlign w:val="center"/>
          </w:tcPr>
          <w:p>
            <w:pPr>
              <w:pageBreakBefore w:val="0"/>
              <w:shd w:val="clear"/>
              <w:kinsoku/>
              <w:wordWrap/>
              <w:overflowPunct/>
              <w:topLinePunct w:val="0"/>
              <w:bidi w:val="0"/>
              <w:spacing w:line="360" w:lineRule="auto"/>
              <w:jc w:val="center"/>
              <w:rPr>
                <w:rFonts w:hint="eastAsia" w:ascii="仿宋_GB2312" w:hAnsi="仿宋_GB2312" w:eastAsia="仿宋_GB2312" w:cs="仿宋_GB2312"/>
                <w:color w:val="auto"/>
                <w:sz w:val="24"/>
                <w:szCs w:val="24"/>
                <w:highlight w:val="none"/>
              </w:rPr>
            </w:pPr>
          </w:p>
        </w:tc>
      </w:tr>
    </w:tbl>
    <w:p>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hint="eastAsia" w:ascii="仿宋_GB2312" w:hAnsi="仿宋_GB2312" w:eastAsia="仿宋_GB2312" w:cs="仿宋_GB2312"/>
          <w:b w:val="0"/>
          <w:bCs w:val="0"/>
          <w:color w:val="auto"/>
          <w:kern w:val="2"/>
          <w:sz w:val="24"/>
          <w:szCs w:val="24"/>
          <w:highlight w:val="none"/>
          <w:lang w:val="en-US" w:eastAsia="zh-CN" w:bidi="ar-SA"/>
        </w:rPr>
        <w:t>本项目商务条款至少包括：采购内容、建设工期、投标保证金响应、投标文件有效期等，投标人必须按谈判文件给定的条款填写，否则视为不响应。</w:t>
      </w:r>
      <w:r>
        <w:rPr>
          <w:rFonts w:hint="eastAsia" w:ascii="仿宋_GB2312" w:hAnsi="仿宋_GB2312" w:eastAsia="仿宋_GB2312" w:cs="仿宋_GB2312"/>
          <w:color w:val="auto"/>
          <w:sz w:val="24"/>
          <w:szCs w:val="24"/>
          <w:highlight w:val="none"/>
        </w:rPr>
        <w:t>本表如填写不完，可以续页。</w:t>
      </w:r>
    </w:p>
    <w:p>
      <w:pPr>
        <w:pageBreakBefore w:val="0"/>
        <w:shd w:val="clear"/>
        <w:kinsoku/>
        <w:wordWrap/>
        <w:overflowPunct/>
        <w:topLinePunct w:val="0"/>
        <w:bidi w:val="0"/>
        <w:spacing w:line="360" w:lineRule="auto"/>
        <w:ind w:firstLine="2880" w:firstLineChars="1200"/>
        <w:rPr>
          <w:rFonts w:hint="eastAsia" w:ascii="仿宋_GB2312" w:hAnsi="仿宋_GB2312" w:eastAsia="仿宋_GB2312" w:cs="仿宋_GB2312"/>
          <w:color w:val="auto"/>
          <w:sz w:val="24"/>
          <w:szCs w:val="24"/>
          <w:highlight w:val="none"/>
          <w:lang w:val="en-US" w:eastAsia="zh-CN"/>
        </w:rPr>
      </w:pPr>
    </w:p>
    <w:p>
      <w:pPr>
        <w:pStyle w:val="4"/>
        <w:shd w:val="clear"/>
        <w:outlineLvl w:val="9"/>
        <w:rPr>
          <w:rFonts w:hint="eastAsia" w:ascii="仿宋_GB2312" w:hAnsi="仿宋_GB2312" w:eastAsia="仿宋_GB2312" w:cs="仿宋_GB2312"/>
          <w:sz w:val="24"/>
          <w:szCs w:val="24"/>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pageBreakBefore w:val="0"/>
        <w:shd w:val="clear"/>
        <w:kinsoku/>
        <w:wordWrap/>
        <w:overflowPunct/>
        <w:topLinePunct w:val="0"/>
        <w:bidi w:val="0"/>
        <w:spacing w:line="360" w:lineRule="auto"/>
        <w:ind w:firstLine="5160" w:firstLineChars="2150"/>
        <w:rPr>
          <w:rFonts w:hint="eastAsia" w:ascii="宋体" w:hAnsi="宋体" w:eastAsia="宋体" w:cs="宋体"/>
          <w:color w:val="auto"/>
          <w:sz w:val="24"/>
          <w:highlight w:val="none"/>
        </w:rPr>
      </w:pPr>
    </w:p>
    <w:p>
      <w:pPr>
        <w:pStyle w:val="7"/>
        <w:shd w:val="clear"/>
        <w:rPr>
          <w:rFonts w:hint="eastAsia" w:ascii="宋体" w:hAnsi="宋体" w:cs="宋体"/>
          <w:color w:val="auto"/>
          <w:sz w:val="24"/>
          <w:highlight w:val="none"/>
          <w:lang w:val="en-US" w:eastAsia="zh-CN"/>
        </w:rPr>
      </w:pPr>
      <w:bookmarkStart w:id="260" w:name="_Toc24090"/>
      <w:bookmarkStart w:id="261" w:name="_Toc3403"/>
    </w:p>
    <w:p>
      <w:pPr>
        <w:pStyle w:val="4"/>
        <w:pageBreakBefore w:val="0"/>
        <w:shd w:val="clear"/>
        <w:kinsoku/>
        <w:wordWrap/>
        <w:overflowPunct/>
        <w:topLinePunct w:val="0"/>
        <w:bidi w:val="0"/>
        <w:spacing w:line="360" w:lineRule="auto"/>
        <w:jc w:val="both"/>
        <w:outlineLvl w:val="9"/>
        <w:rPr>
          <w:rFonts w:hint="eastAsia" w:ascii="宋体" w:hAnsi="宋体" w:cs="宋体"/>
          <w:color w:val="auto"/>
          <w:sz w:val="24"/>
          <w:highlight w:val="none"/>
          <w:lang w:val="en-US" w:eastAsia="zh-CN"/>
        </w:rPr>
      </w:pPr>
    </w:p>
    <w:p>
      <w:pPr>
        <w:shd w:val="clear"/>
        <w:rPr>
          <w:rFonts w:hint="eastAsia" w:ascii="宋体" w:hAnsi="宋体" w:cs="宋体"/>
          <w:color w:val="auto"/>
          <w:sz w:val="24"/>
          <w:highlight w:val="none"/>
          <w:lang w:val="en-US" w:eastAsia="zh-CN"/>
        </w:rPr>
      </w:pPr>
    </w:p>
    <w:p>
      <w:pPr>
        <w:shd w:val="clear"/>
        <w:rPr>
          <w:rFonts w:hint="eastAsia"/>
          <w:color w:val="auto"/>
          <w:highlight w:val="none"/>
          <w:lang w:val="en-US" w:eastAsia="zh-CN"/>
        </w:rPr>
      </w:pPr>
    </w:p>
    <w:p>
      <w:pPr>
        <w:pStyle w:val="4"/>
        <w:pageBreakBefore w:val="0"/>
        <w:shd w:val="clear"/>
        <w:kinsoku/>
        <w:wordWrap/>
        <w:overflowPunct/>
        <w:topLinePunct w:val="0"/>
        <w:bidi w:val="0"/>
        <w:spacing w:line="360" w:lineRule="auto"/>
        <w:jc w:val="center"/>
        <w:rPr>
          <w:rFonts w:hint="eastAsia" w:ascii="仿宋_GB2312" w:hAnsi="仿宋_GB2312" w:eastAsia="仿宋_GB2312" w:cs="仿宋_GB2312"/>
          <w:color w:val="auto"/>
          <w:kern w:val="0"/>
          <w:sz w:val="24"/>
          <w:szCs w:val="24"/>
          <w:highlight w:val="none"/>
        </w:rPr>
      </w:pPr>
      <w:bookmarkStart w:id="262" w:name="_Toc7056"/>
      <w:r>
        <w:rPr>
          <w:rFonts w:hint="eastAsia" w:ascii="仿宋_GB2312" w:hAnsi="仿宋_GB2312" w:eastAsia="仿宋_GB2312" w:cs="仿宋_GB2312"/>
          <w:color w:val="auto"/>
          <w:kern w:val="0"/>
          <w:sz w:val="24"/>
          <w:szCs w:val="24"/>
          <w:highlight w:val="none"/>
          <w:lang w:val="en-US" w:eastAsia="zh-CN"/>
        </w:rPr>
        <w:t>5、投标人</w:t>
      </w:r>
      <w:r>
        <w:rPr>
          <w:rFonts w:hint="eastAsia" w:ascii="仿宋_GB2312" w:hAnsi="仿宋_GB2312" w:eastAsia="仿宋_GB2312" w:cs="仿宋_GB2312"/>
          <w:color w:val="auto"/>
          <w:kern w:val="0"/>
          <w:sz w:val="24"/>
          <w:szCs w:val="24"/>
          <w:highlight w:val="none"/>
        </w:rPr>
        <w:t>的资格声明</w:t>
      </w:r>
      <w:bookmarkEnd w:id="260"/>
      <w:bookmarkEnd w:id="261"/>
      <w:bookmarkEnd w:id="262"/>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u w:val="single"/>
          <w:lang w:eastAsia="zh-CN"/>
        </w:rPr>
      </w:pPr>
    </w:p>
    <w:p>
      <w:pPr>
        <w:shd w:val="clea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（采购单位名称）</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关于贵方发出的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val="en-US" w:eastAsia="zh-CN"/>
        </w:rPr>
        <w:t>谈判</w:t>
      </w:r>
      <w:r>
        <w:rPr>
          <w:rFonts w:hint="eastAsia" w:ascii="仿宋_GB2312" w:hAnsi="仿宋_GB2312" w:eastAsia="仿宋_GB2312" w:cs="仿宋_GB2312"/>
          <w:color w:val="auto"/>
          <w:sz w:val="24"/>
          <w:szCs w:val="24"/>
          <w:highlight w:val="none"/>
        </w:rPr>
        <w:t>文件，本</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方愿意参加</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，并证明资格文件中所要求的说明是真实和准确的。</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方对可能要求的进一步资格资料表示理解和同意，并同意按贵方的要求提供任何有关资料。</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1920" w:firstLineChars="8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p>
    <w:p>
      <w:pPr>
        <w:pageBreakBefore w:val="0"/>
        <w:shd w:val="clear"/>
        <w:kinsoku/>
        <w:wordWrap/>
        <w:overflowPunct/>
        <w:topLinePunct w:val="0"/>
        <w:bidi w:val="0"/>
        <w:spacing w:line="360" w:lineRule="auto"/>
        <w:ind w:firstLine="1920" w:firstLineChars="8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p>
    <w:p>
      <w:pPr>
        <w:shd w:val="clear"/>
        <w:rPr>
          <w:rFonts w:hint="eastAsia"/>
          <w:color w:val="auto"/>
          <w:sz w:val="36"/>
          <w:szCs w:val="36"/>
          <w:highlight w:val="none"/>
          <w:lang w:eastAsia="zh-CN"/>
        </w:rPr>
      </w:pPr>
      <w:r>
        <w:rPr>
          <w:rFonts w:hint="eastAsia"/>
          <w:color w:val="auto"/>
          <w:sz w:val="36"/>
          <w:szCs w:val="36"/>
          <w:highlight w:val="none"/>
          <w:lang w:eastAsia="zh-CN"/>
        </w:rPr>
        <w:br w:type="page"/>
      </w:r>
    </w:p>
    <w:p>
      <w:pPr>
        <w:pStyle w:val="4"/>
        <w:pageBreakBefore w:val="0"/>
        <w:shd w:val="clear"/>
        <w:kinsoku/>
        <w:wordWrap/>
        <w:overflowPunct/>
        <w:topLinePunct w:val="0"/>
        <w:bidi w:val="0"/>
        <w:spacing w:line="360" w:lineRule="auto"/>
        <w:ind w:firstLine="3132" w:firstLineChars="1300"/>
        <w:jc w:val="both"/>
        <w:rPr>
          <w:rFonts w:hint="eastAsia" w:ascii="仿宋_GB2312" w:hAnsi="仿宋_GB2312" w:eastAsia="仿宋_GB2312" w:cs="仿宋_GB2312"/>
          <w:b/>
          <w:color w:val="auto"/>
          <w:kern w:val="44"/>
          <w:sz w:val="24"/>
          <w:szCs w:val="24"/>
          <w:highlight w:val="none"/>
          <w:lang w:val="en-US" w:eastAsia="zh-CN" w:bidi="ar-SA"/>
        </w:rPr>
      </w:pPr>
      <w:bookmarkStart w:id="263" w:name="_Toc1924"/>
      <w:bookmarkStart w:id="264" w:name="_Toc755"/>
      <w:bookmarkStart w:id="265" w:name="_Toc142"/>
      <w:r>
        <w:rPr>
          <w:rFonts w:hint="eastAsia" w:ascii="仿宋_GB2312" w:hAnsi="仿宋_GB2312" w:eastAsia="仿宋_GB2312" w:cs="仿宋_GB2312"/>
          <w:b/>
          <w:color w:val="auto"/>
          <w:kern w:val="44"/>
          <w:sz w:val="24"/>
          <w:szCs w:val="24"/>
          <w:highlight w:val="none"/>
          <w:lang w:val="en-US" w:eastAsia="zh-CN" w:bidi="ar-SA"/>
        </w:rPr>
        <w:t>6、法人营业执照函</w:t>
      </w:r>
      <w:bookmarkEnd w:id="263"/>
      <w:bookmarkEnd w:id="264"/>
      <w:bookmarkEnd w:id="265"/>
    </w:p>
    <w:p>
      <w:pPr>
        <w:shd w:val="clear"/>
        <w:spacing w:line="360" w:lineRule="auto"/>
        <w:rPr>
          <w:rFonts w:hint="eastAsia" w:ascii="仿宋_GB2312" w:hAnsi="仿宋_GB2312" w:eastAsia="仿宋_GB2312" w:cs="仿宋_GB2312"/>
          <w:color w:val="auto"/>
          <w:sz w:val="24"/>
          <w:szCs w:val="24"/>
          <w:highlight w:val="none"/>
          <w:u w:val="single"/>
        </w:rPr>
      </w:pPr>
    </w:p>
    <w:p>
      <w:pPr>
        <w:shd w:val="clea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（采购单位名称）</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现附上由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（签发机关名称）签发的我方法人营业执照复印件，该执照已经年检，真实有效。</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480"/>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pStyle w:val="4"/>
        <w:pageBreakBefore w:val="0"/>
        <w:shd w:val="clear"/>
        <w:kinsoku/>
        <w:wordWrap/>
        <w:overflowPunct/>
        <w:topLinePunct w:val="0"/>
        <w:bidi w:val="0"/>
        <w:spacing w:line="360" w:lineRule="auto"/>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bookmarkStart w:id="266" w:name="_Toc22614"/>
      <w:bookmarkStart w:id="267" w:name="_Toc17612"/>
      <w:bookmarkStart w:id="268" w:name="_Toc18144"/>
    </w:p>
    <w:p>
      <w:pPr>
        <w:pStyle w:val="4"/>
        <w:pageBreakBefore w:val="0"/>
        <w:shd w:val="clear"/>
        <w:kinsoku/>
        <w:wordWrap/>
        <w:overflowPunct/>
        <w:topLinePunct w:val="0"/>
        <w:bidi w:val="0"/>
        <w:spacing w:line="360" w:lineRule="auto"/>
        <w:ind w:firstLine="2409" w:firstLineChars="1000"/>
        <w:jc w:val="both"/>
        <w:rPr>
          <w:rFonts w:hint="eastAsia" w:ascii="仿宋_GB2312" w:hAnsi="仿宋_GB2312" w:eastAsia="仿宋_GB2312" w:cs="仿宋_GB2312"/>
          <w:b/>
          <w:color w:val="auto"/>
          <w:kern w:val="44"/>
          <w:sz w:val="24"/>
          <w:szCs w:val="24"/>
          <w:highlight w:val="none"/>
          <w:lang w:val="en-US" w:eastAsia="zh-CN" w:bidi="ar-SA"/>
        </w:rPr>
      </w:pPr>
      <w:bookmarkStart w:id="269" w:name="_Toc28188"/>
      <w:r>
        <w:rPr>
          <w:rFonts w:hint="eastAsia" w:ascii="仿宋_GB2312" w:hAnsi="仿宋_GB2312" w:eastAsia="仿宋_GB2312" w:cs="仿宋_GB2312"/>
          <w:b/>
          <w:color w:val="auto"/>
          <w:kern w:val="44"/>
          <w:sz w:val="24"/>
          <w:szCs w:val="24"/>
          <w:highlight w:val="none"/>
          <w:lang w:val="en-US" w:eastAsia="zh-CN" w:bidi="ar-SA"/>
        </w:rPr>
        <w:t>7、法定代表人证明书</w:t>
      </w:r>
      <w:bookmarkEnd w:id="266"/>
      <w:bookmarkEnd w:id="267"/>
      <w:bookmarkEnd w:id="268"/>
      <w:bookmarkEnd w:id="269"/>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lang w:val="en-US" w:eastAsia="zh-CN"/>
        </w:rPr>
      </w:pP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rPr>
        <w:t xml:space="preserve">                                        </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rPr>
        <w:t xml:space="preserve">                                           </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性别：</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年龄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职务：</w:t>
      </w:r>
      <w:r>
        <w:rPr>
          <w:rFonts w:hint="eastAsia" w:ascii="仿宋_GB2312" w:hAnsi="仿宋_GB2312" w:eastAsia="仿宋_GB2312" w:cs="仿宋_GB2312"/>
          <w:color w:val="auto"/>
          <w:sz w:val="24"/>
          <w:szCs w:val="24"/>
          <w:highlight w:val="none"/>
          <w:u w:val="single"/>
        </w:rPr>
        <w:t xml:space="preserve">        </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法定代表人。</w:t>
      </w:r>
    </w:p>
    <w:p>
      <w:pPr>
        <w:shd w:val="clear"/>
        <w:spacing w:line="480" w:lineRule="auto"/>
        <w:rPr>
          <w:rFonts w:hint="eastAsia" w:ascii="仿宋_GB2312" w:hAnsi="仿宋_GB2312" w:eastAsia="仿宋_GB2312" w:cs="仿宋_GB2312"/>
          <w:color w:val="auto"/>
          <w:sz w:val="24"/>
          <w:szCs w:val="24"/>
          <w:highlight w:val="none"/>
        </w:rPr>
      </w:pPr>
    </w:p>
    <w:tbl>
      <w:tblPr>
        <w:tblStyle w:val="25"/>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vAlign w:val="center"/>
          </w:tcPr>
          <w:p>
            <w:pPr>
              <w:shd w:val="clear"/>
              <w:spacing w:line="48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p>
          <w:p>
            <w:pPr>
              <w:shd w:val="clear"/>
              <w:spacing w:line="48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身份证复印</w:t>
            </w:r>
            <w:r>
              <w:rPr>
                <w:rFonts w:hint="eastAsia" w:ascii="仿宋_GB2312" w:hAnsi="仿宋_GB2312" w:eastAsia="仿宋_GB2312" w:cs="仿宋_GB2312"/>
                <w:color w:val="auto"/>
                <w:sz w:val="24"/>
                <w:szCs w:val="24"/>
                <w:highlight w:val="none"/>
                <w:lang w:eastAsia="zh-CN"/>
              </w:rPr>
              <w:t>件正面</w:t>
            </w:r>
          </w:p>
        </w:tc>
      </w:tr>
    </w:tbl>
    <w:tbl>
      <w:tblPr>
        <w:tblStyle w:val="25"/>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vAlign w:val="center"/>
          </w:tcPr>
          <w:p>
            <w:pPr>
              <w:shd w:val="clear"/>
              <w:spacing w:line="48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p>
          <w:p>
            <w:pPr>
              <w:shd w:val="clear"/>
              <w:spacing w:line="480" w:lineRule="auto"/>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eastAsia="zh-CN"/>
              </w:rPr>
              <w:t>反面</w:t>
            </w:r>
          </w:p>
        </w:tc>
      </w:tr>
    </w:tbl>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p>
    <w:p>
      <w:pPr>
        <w:pStyle w:val="7"/>
        <w:shd w:val="clear"/>
        <w:rPr>
          <w:rFonts w:hint="eastAsia" w:ascii="仿宋_GB2312" w:hAnsi="仿宋_GB2312" w:eastAsia="仿宋_GB2312" w:cs="仿宋_GB2312"/>
          <w:color w:val="auto"/>
          <w:sz w:val="24"/>
          <w:szCs w:val="24"/>
          <w:highlight w:val="none"/>
        </w:rPr>
      </w:pPr>
    </w:p>
    <w:p>
      <w:pPr>
        <w:pStyle w:val="7"/>
        <w:shd w:val="clear"/>
        <w:rPr>
          <w:rFonts w:hint="eastAsia" w:ascii="仿宋_GB2312" w:hAnsi="仿宋_GB2312" w:eastAsia="仿宋_GB2312" w:cs="仿宋_GB2312"/>
          <w:color w:val="auto"/>
          <w:sz w:val="24"/>
          <w:szCs w:val="24"/>
          <w:highlight w:val="none"/>
        </w:rPr>
      </w:pPr>
    </w:p>
    <w:p>
      <w:pPr>
        <w:pStyle w:val="7"/>
        <w:shd w:val="clear"/>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shd w:val="clear"/>
        <w:rPr>
          <w:rFonts w:hint="eastAsia" w:ascii="仿宋_GB2312" w:hAnsi="仿宋_GB2312" w:eastAsia="仿宋_GB2312" w:cs="仿宋_GB2312"/>
          <w:color w:val="auto"/>
          <w:sz w:val="24"/>
          <w:szCs w:val="24"/>
          <w:highlight w:val="none"/>
        </w:rPr>
      </w:pPr>
    </w:p>
    <w:p>
      <w:pPr>
        <w:shd w:val="clear"/>
        <w:ind w:firstLine="241" w:firstLineChars="100"/>
        <w:rPr>
          <w:rFonts w:hint="eastAsia" w:ascii="仿宋_GB2312" w:hAnsi="仿宋_GB2312" w:eastAsia="仿宋_GB2312" w:cs="仿宋_GB2312"/>
          <w:b/>
          <w:bCs/>
          <w:color w:val="auto"/>
          <w:sz w:val="24"/>
          <w:szCs w:val="24"/>
          <w:highlight w:val="none"/>
          <w:lang w:eastAsia="zh-CN"/>
        </w:rPr>
      </w:pPr>
    </w:p>
    <w:p>
      <w:pPr>
        <w:shd w:val="clear"/>
        <w:ind w:firstLine="241" w:firstLineChars="100"/>
        <w:rPr>
          <w:rFonts w:hint="eastAsia" w:ascii="宋体" w:hAnsi="宋体" w:cs="宋体"/>
          <w:color w:val="auto"/>
          <w:sz w:val="28"/>
          <w:szCs w:val="28"/>
          <w:highlight w:val="none"/>
          <w:lang w:val="en-US" w:eastAsia="zh-CN"/>
        </w:rPr>
      </w:pPr>
      <w:r>
        <w:rPr>
          <w:rFonts w:hint="eastAsia" w:ascii="仿宋_GB2312" w:hAnsi="仿宋_GB2312" w:eastAsia="仿宋_GB2312" w:cs="仿宋_GB2312"/>
          <w:b/>
          <w:bCs/>
          <w:color w:val="auto"/>
          <w:sz w:val="24"/>
          <w:szCs w:val="24"/>
          <w:highlight w:val="none"/>
          <w:lang w:eastAsia="zh-CN"/>
        </w:rPr>
        <w:t>后附：</w:t>
      </w:r>
      <w:r>
        <w:rPr>
          <w:rFonts w:hint="eastAsia" w:ascii="仿宋_GB2312" w:hAnsi="仿宋_GB2312" w:eastAsia="仿宋_GB2312" w:cs="仿宋_GB2312"/>
          <w:b/>
          <w:bCs/>
          <w:color w:val="auto"/>
          <w:sz w:val="24"/>
          <w:szCs w:val="24"/>
          <w:highlight w:val="none"/>
          <w:lang w:val="en-US" w:eastAsia="zh-CN"/>
        </w:rPr>
        <w:t>法人近3个月由本单位社保缴费凭证及个人明细。</w:t>
      </w:r>
      <w:r>
        <w:rPr>
          <w:rFonts w:hint="eastAsia" w:ascii="宋体" w:hAnsi="宋体" w:eastAsia="宋体" w:cs="宋体"/>
          <w:color w:val="auto"/>
          <w:sz w:val="28"/>
          <w:szCs w:val="28"/>
          <w:highlight w:val="none"/>
        </w:rPr>
        <w:br w:type="page"/>
      </w:r>
      <w:bookmarkStart w:id="270" w:name="_Toc20180"/>
      <w:bookmarkStart w:id="271" w:name="_Toc12937"/>
    </w:p>
    <w:p>
      <w:pPr>
        <w:pStyle w:val="4"/>
        <w:pageBreakBefore w:val="0"/>
        <w:shd w:val="clear"/>
        <w:kinsoku/>
        <w:wordWrap/>
        <w:overflowPunct/>
        <w:topLinePunct w:val="0"/>
        <w:bidi w:val="0"/>
        <w:spacing w:line="360" w:lineRule="auto"/>
        <w:ind w:firstLine="2168" w:firstLineChars="900"/>
        <w:jc w:val="both"/>
        <w:rPr>
          <w:rFonts w:hint="eastAsia" w:ascii="仿宋_GB2312" w:hAnsi="仿宋_GB2312" w:eastAsia="仿宋_GB2312" w:cs="仿宋_GB2312"/>
          <w:color w:val="auto"/>
          <w:sz w:val="24"/>
          <w:szCs w:val="24"/>
          <w:highlight w:val="none"/>
        </w:rPr>
      </w:pPr>
      <w:bookmarkStart w:id="272" w:name="_Toc21542"/>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法定代表人授权</w:t>
      </w:r>
      <w:r>
        <w:rPr>
          <w:rFonts w:hint="eastAsia" w:ascii="仿宋_GB2312" w:hAnsi="仿宋_GB2312" w:eastAsia="仿宋_GB2312" w:cs="仿宋_GB2312"/>
          <w:color w:val="auto"/>
          <w:sz w:val="24"/>
          <w:szCs w:val="24"/>
          <w:highlight w:val="none"/>
          <w:lang w:eastAsia="zh-CN"/>
        </w:rPr>
        <w:t>委托</w:t>
      </w:r>
      <w:r>
        <w:rPr>
          <w:rFonts w:hint="eastAsia" w:ascii="仿宋_GB2312" w:hAnsi="仿宋_GB2312" w:eastAsia="仿宋_GB2312" w:cs="仿宋_GB2312"/>
          <w:color w:val="auto"/>
          <w:sz w:val="24"/>
          <w:szCs w:val="24"/>
          <w:highlight w:val="none"/>
        </w:rPr>
        <w:t>书</w:t>
      </w:r>
      <w:bookmarkEnd w:id="270"/>
      <w:bookmarkEnd w:id="271"/>
      <w:bookmarkEnd w:id="272"/>
    </w:p>
    <w:p>
      <w:pPr>
        <w:shd w:val="clear"/>
        <w:spacing w:line="360" w:lineRule="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（采购单位名称）</w:t>
      </w:r>
    </w:p>
    <w:p>
      <w:pPr>
        <w:shd w:val="clea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报价</w:t>
      </w:r>
      <w:r>
        <w:rPr>
          <w:rFonts w:hint="eastAsia" w:ascii="仿宋_GB2312" w:hAnsi="仿宋_GB2312" w:eastAsia="仿宋_GB2312" w:cs="仿宋_GB2312"/>
          <w:color w:val="auto"/>
          <w:sz w:val="24"/>
          <w:szCs w:val="24"/>
          <w:highlight w:val="none"/>
        </w:rPr>
        <w:t>单位名称)法定代表人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 xml:space="preserve">授权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为本公司的合法代理人，参加贵方组织的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采购</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活动，全权代表我方处理</w:t>
      </w:r>
      <w:r>
        <w:rPr>
          <w:rFonts w:hint="eastAsia" w:ascii="仿宋_GB2312" w:hAnsi="仿宋_GB2312" w:eastAsia="仿宋_GB2312" w:cs="仿宋_GB2312"/>
          <w:color w:val="auto"/>
          <w:sz w:val="24"/>
          <w:szCs w:val="24"/>
          <w:highlight w:val="none"/>
          <w:lang w:eastAsia="zh-CN"/>
        </w:rPr>
        <w:t>谈判</w:t>
      </w:r>
      <w:r>
        <w:rPr>
          <w:rFonts w:hint="eastAsia" w:ascii="仿宋_GB2312" w:hAnsi="仿宋_GB2312" w:eastAsia="仿宋_GB2312" w:cs="仿宋_GB2312"/>
          <w:color w:val="auto"/>
          <w:sz w:val="24"/>
          <w:szCs w:val="24"/>
          <w:highlight w:val="none"/>
        </w:rPr>
        <w:t>活动中的一切事宜和签署一切文件，被授权人无转委托权，特此委托。</w:t>
      </w:r>
    </w:p>
    <w:p>
      <w:pPr>
        <w:shd w:val="clea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 xml:space="preserve">     法定代表人签字：   </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ind w:firstLine="588" w:firstLineChars="245"/>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委托期限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年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年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pPr>
        <w:shd w:val="clear"/>
        <w:spacing w:line="360" w:lineRule="auto"/>
        <w:ind w:firstLine="588" w:firstLineChars="245"/>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被授权人姓名：</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ind w:firstLine="588" w:firstLineChars="24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shd w:val="clear"/>
        <w:spacing w:line="360" w:lineRule="auto"/>
        <w:ind w:firstLine="588" w:firstLineChars="245"/>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详细通讯地址：</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ind w:firstLine="588" w:firstLineChars="245"/>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ind w:firstLine="588" w:firstLineChars="245"/>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电    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pPr>
        <w:shd w:val="clear"/>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2775585</wp:posOffset>
                </wp:positionH>
                <wp:positionV relativeFrom="paragraph">
                  <wp:posOffset>111125</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被委托人身份证正面</w:t>
                            </w:r>
                          </w:p>
                        </w:txbxContent>
                      </wps:txbx>
                      <wps:bodyPr upright="1"/>
                    </wps:wsp>
                  </a:graphicData>
                </a:graphic>
              </wp:anchor>
            </w:drawing>
          </mc:Choice>
          <mc:Fallback>
            <w:pict>
              <v:shape id="_x0000_s1026" o:spid="_x0000_s1026" o:spt="202" type="#_x0000_t202" style="position:absolute;left:0pt;margin-left:218.55pt;margin-top:8.75pt;height:134.25pt;width:206.25pt;z-index:251660288;mso-width-relative:page;mso-height-relative:page;" fillcolor="#FFFFFF" filled="t" stroked="t" coordsize="21600,21600" o:gfxdata="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s4DT/ZAAAACgEAAA8AAAAAAAAAAQAg&#10;AAAAIgAAAGRycy9kb3ducmV2LnhtbFBLAQIUABQAAAAIAIdO4kAPxQ0TRgIAAL8EAAAOAAAAAAAA&#10;AAEAIAAAACg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被委托人身份证正面</w:t>
                      </w:r>
                    </w:p>
                  </w:txbxContent>
                </v:textbox>
              </v:shape>
            </w:pict>
          </mc:Fallback>
        </mc:AlternateContent>
      </w: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2"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59264;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4hEhNUAAAAIAQAADwAAAAAAAAABACAAAAAi&#10;AAAAZHJzL2Rvd25yZXYueG1sUEsBAhQAFAAAAAgAh07iQIF7FDJGAgAAvwQAAA4AAAAAAAAAAQAg&#10;AAAAJAEAAGRycy9lMm9Eb2MueG1sUEsFBgAAAAAGAAYAWQEAANw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法定代表人身份证正面</w:t>
                      </w:r>
                    </w:p>
                  </w:txbxContent>
                </v:textbox>
              </v:shape>
            </w:pict>
          </mc:Fallback>
        </mc:AlternateContent>
      </w: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142875</wp:posOffset>
                </wp:positionV>
                <wp:extent cx="2619375" cy="1704975"/>
                <wp:effectExtent l="7620" t="7620" r="20955" b="20955"/>
                <wp:wrapNone/>
                <wp:docPr id="4"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法定代表人身份证反面</w:t>
                            </w:r>
                          </w:p>
                        </w:txbxContent>
                      </wps:txbx>
                      <wps:bodyPr upright="1"/>
                    </wps:wsp>
                  </a:graphicData>
                </a:graphic>
              </wp:anchor>
            </w:drawing>
          </mc:Choice>
          <mc:Fallback>
            <w:pict>
              <v:shape id="_x0000_s1026" o:spid="_x0000_s1026" o:spt="202" type="#_x0000_t202" style="position:absolute;left:0pt;margin-left:4.65pt;margin-top:11.25pt;height:134.25pt;width:206.25pt;z-index:251661312;mso-width-relative:page;mso-height-relative:page;" fillcolor="#FFFFFF" filled="t" stroked="t" coordsize="21600,21600" o:gfxdata="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tDTW/WAAAACAEAAA8AAAAAAAAAAQAgAAAA&#10;IgAAAGRycy9kb3ducmV2LnhtbFBLAQIUABQAAAAIAIdO4kCl/EH0RgIAAL8EAAAOAAAAAAAAAAEA&#10;IAAAACUBAABkcnMvZTJvRG9jLnhtbFBLBQYAAAAABgAGAFkBAADd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法定代表人身份证反面</w:t>
                      </w:r>
                    </w:p>
                  </w:txbxContent>
                </v:textbox>
              </v:shape>
            </w:pict>
          </mc:Fallback>
        </mc:AlternateContent>
      </w: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2811780</wp:posOffset>
                </wp:positionH>
                <wp:positionV relativeFrom="paragraph">
                  <wp:posOffset>142875</wp:posOffset>
                </wp:positionV>
                <wp:extent cx="2619375" cy="1704975"/>
                <wp:effectExtent l="7620" t="7620" r="20955" b="20955"/>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被委托人身份证反面</w:t>
                            </w:r>
                          </w:p>
                        </w:txbxContent>
                      </wps:txbx>
                      <wps:bodyPr upright="1"/>
                    </wps:wsp>
                  </a:graphicData>
                </a:graphic>
              </wp:anchor>
            </w:drawing>
          </mc:Choice>
          <mc:Fallback>
            <w:pict>
              <v:shape id="_x0000_s1026" o:spid="_x0000_s1026" o:spt="202" type="#_x0000_t202" style="position:absolute;left:0pt;margin-left:221.4pt;margin-top:11.25pt;height:134.25pt;width:206.25pt;z-index:251662336;mso-width-relative:page;mso-height-relative:page;" fillcolor="#FFFFFF" filled="t" stroked="t" coordsize="21600,21600" o:gfxdata="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8HCn2AAAAAoBAAAPAAAAAAAAAAEAIAAA&#10;ACIAAABkcnMvZG93bnJldi54bWxQSwECFAAUAAAACACHTuJAK0JY1UUCAAC/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被委托人身份证反面</w:t>
                      </w:r>
                    </w:p>
                  </w:txbxContent>
                </v:textbox>
              </v:shape>
            </w:pict>
          </mc:Fallback>
        </mc:AlternateContent>
      </w: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b/>
          <w:color w:val="auto"/>
          <w:sz w:val="24"/>
          <w:szCs w:val="24"/>
          <w:highlight w:val="none"/>
        </w:rPr>
      </w:pPr>
    </w:p>
    <w:p>
      <w:pPr>
        <w:shd w:val="clea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shd w:val="clear"/>
        <w:spacing w:line="360" w:lineRule="auto"/>
        <w:rPr>
          <w:rFonts w:hint="eastAsia" w:ascii="仿宋_GB2312" w:hAnsi="仿宋_GB2312" w:eastAsia="仿宋_GB2312" w:cs="仿宋_GB2312"/>
          <w:color w:val="auto"/>
          <w:sz w:val="24"/>
          <w:szCs w:val="24"/>
          <w:highlight w:val="none"/>
          <w:lang w:val="en-US" w:eastAsia="zh-CN"/>
        </w:rPr>
      </w:pPr>
    </w:p>
    <w:p>
      <w:pPr>
        <w:shd w:val="clear"/>
        <w:spacing w:line="360" w:lineRule="auto"/>
        <w:rPr>
          <w:rFonts w:hint="eastAsia" w:ascii="仿宋_GB2312" w:hAnsi="仿宋_GB2312" w:eastAsia="仿宋_GB2312" w:cs="仿宋_GB2312"/>
          <w:color w:val="auto"/>
          <w:sz w:val="24"/>
          <w:szCs w:val="24"/>
          <w:highlight w:val="none"/>
          <w:lang w:val="en-US" w:eastAsia="zh-CN"/>
        </w:rPr>
      </w:pPr>
    </w:p>
    <w:p>
      <w:pPr>
        <w:pStyle w:val="7"/>
        <w:shd w:val="clear"/>
        <w:rPr>
          <w:rFonts w:hint="eastAsia" w:ascii="仿宋_GB2312" w:hAnsi="仿宋_GB2312" w:eastAsia="仿宋_GB2312" w:cs="仿宋_GB2312"/>
          <w:color w:val="auto"/>
          <w:sz w:val="24"/>
          <w:szCs w:val="24"/>
          <w:highlight w:val="none"/>
          <w:lang w:val="en-US" w:eastAsia="zh-CN"/>
        </w:rPr>
      </w:pPr>
    </w:p>
    <w:p>
      <w:pPr>
        <w:shd w:val="clear"/>
        <w:jc w:val="right"/>
        <w:rPr>
          <w:rFonts w:hint="eastAsia" w:ascii="仿宋_GB2312" w:hAnsi="仿宋_GB2312" w:eastAsia="仿宋_GB2312" w:cs="仿宋_GB2312"/>
          <w:color w:val="auto"/>
          <w:sz w:val="24"/>
          <w:szCs w:val="24"/>
          <w:highlight w:val="none"/>
          <w:lang w:val="en-US" w:eastAsia="zh-CN"/>
        </w:rPr>
      </w:pPr>
    </w:p>
    <w:p>
      <w:pPr>
        <w:shd w:val="clea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投标单位：                          （盖章）   </w:t>
      </w:r>
    </w:p>
    <w:p>
      <w:pPr>
        <w:shd w:val="clear"/>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法定代表人或授权代表人：            （签字或盖章）</w:t>
      </w:r>
    </w:p>
    <w:p>
      <w:pPr>
        <w:pageBreakBefore w:val="0"/>
        <w:shd w:val="clear"/>
        <w:kinsoku/>
        <w:wordWrap/>
        <w:overflowPunct/>
        <w:topLinePunct w:val="0"/>
        <w:bidi w:val="0"/>
        <w:spacing w:line="360" w:lineRule="auto"/>
        <w:ind w:firstLine="3360" w:firstLineChars="14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pPr>
        <w:pStyle w:val="24"/>
        <w:shd w:val="clear"/>
        <w:ind w:left="0" w:leftChars="0" w:firstLine="0" w:firstLineChars="0"/>
        <w:rPr>
          <w:rFonts w:hint="eastAsia" w:ascii="仿宋_GB2312" w:hAnsi="仿宋_GB2312" w:eastAsia="仿宋_GB2312" w:cs="仿宋_GB2312"/>
          <w:color w:val="auto"/>
          <w:kern w:val="2"/>
          <w:sz w:val="24"/>
          <w:szCs w:val="24"/>
          <w:highlight w:val="none"/>
          <w:shd w:val="clear" w:color="auto" w:fill="FFFFFF"/>
          <w:lang w:val="en-US" w:eastAsia="zh-CN"/>
        </w:rPr>
      </w:pPr>
    </w:p>
    <w:p>
      <w:pPr>
        <w:pStyle w:val="24"/>
        <w:shd w:val="clear"/>
        <w:ind w:left="0" w:leftChars="0" w:firstLine="0" w:firstLineChars="0"/>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kern w:val="2"/>
          <w:sz w:val="24"/>
          <w:szCs w:val="24"/>
          <w:highlight w:val="none"/>
          <w:shd w:val="clear" w:color="auto" w:fill="FFFFFF"/>
          <w:lang w:val="en-US" w:eastAsia="zh-CN"/>
        </w:rPr>
        <w:t xml:space="preserve">后附：委托代理人近3个月由本单位社保缴费凭证及个人明细。  </w:t>
      </w:r>
    </w:p>
    <w:p>
      <w:pPr>
        <w:pStyle w:val="3"/>
        <w:shd w:val="clear"/>
        <w:bidi w:val="0"/>
        <w:outlineLvl w:val="1"/>
        <w:rPr>
          <w:rFonts w:hint="eastAsia" w:ascii="仿宋_GB2312" w:hAnsi="仿宋_GB2312" w:eastAsia="仿宋_GB2312" w:cs="仿宋_GB2312"/>
          <w:color w:val="auto"/>
          <w:sz w:val="24"/>
          <w:szCs w:val="24"/>
          <w:highlight w:val="none"/>
          <w:lang w:eastAsia="zh-CN"/>
        </w:rPr>
      </w:pPr>
      <w:bookmarkStart w:id="273" w:name="_Toc22"/>
      <w:bookmarkStart w:id="274" w:name="_Toc18690"/>
      <w:bookmarkStart w:id="275" w:name="_Toc2638"/>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报价人证明谈判资格合格的相关证件证明的复印件</w:t>
      </w:r>
      <w:bookmarkEnd w:id="273"/>
      <w:bookmarkEnd w:id="274"/>
    </w:p>
    <w:p>
      <w:pPr>
        <w:keepNext w:val="0"/>
        <w:keepLines w:val="0"/>
        <w:pageBreakBefore w:val="0"/>
        <w:widowControl/>
        <w:shd w:val="clear"/>
        <w:kinsoku/>
        <w:wordWrap/>
        <w:overflowPunct/>
        <w:topLinePunct w:val="0"/>
        <w:autoSpaceDE/>
        <w:autoSpaceDN/>
        <w:bidi w:val="0"/>
        <w:adjustRightInd/>
        <w:snapToGrid/>
        <w:spacing w:line="360" w:lineRule="auto"/>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投标人按下列要求提交资格文件：</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有效“营业执照”副本内页</w:t>
      </w:r>
      <w:r>
        <w:rPr>
          <w:rFonts w:hint="eastAsia" w:ascii="仿宋_GB2312" w:hAnsi="仿宋_GB2312" w:eastAsia="仿宋_GB2312" w:cs="仿宋_GB2312"/>
          <w:color w:val="auto"/>
          <w:sz w:val="24"/>
          <w:szCs w:val="24"/>
          <w:highlight w:val="none"/>
          <w:lang w:eastAsia="zh-CN"/>
        </w:rPr>
        <w:t>、资质证件、安全生产许可证、</w:t>
      </w:r>
      <w:r>
        <w:rPr>
          <w:rFonts w:hint="eastAsia" w:ascii="仿宋_GB2312" w:hAnsi="仿宋_GB2312" w:eastAsia="仿宋_GB2312" w:cs="仿宋_GB2312"/>
          <w:color w:val="auto"/>
          <w:kern w:val="2"/>
          <w:sz w:val="24"/>
          <w:szCs w:val="24"/>
          <w:highlight w:val="none"/>
          <w:shd w:val="clear" w:color="auto" w:fill="FFFFFF"/>
          <w:lang w:val="en-US" w:eastAsia="zh-CN"/>
        </w:rPr>
        <w:t>基本账户开户许可证或基本存款帐户信息</w:t>
      </w:r>
      <w:r>
        <w:rPr>
          <w:rFonts w:hint="eastAsia" w:ascii="仿宋_GB2312" w:hAnsi="仿宋_GB2312" w:eastAsia="仿宋_GB2312" w:cs="仿宋_GB2312"/>
          <w:color w:val="auto"/>
          <w:sz w:val="24"/>
          <w:szCs w:val="24"/>
          <w:highlight w:val="none"/>
        </w:rPr>
        <w:t>；</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法人代表资格证明书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法人代表身份证</w:t>
      </w:r>
      <w:r>
        <w:rPr>
          <w:rFonts w:hint="eastAsia" w:ascii="仿宋_GB2312" w:hAnsi="仿宋_GB2312" w:eastAsia="仿宋_GB2312" w:cs="仿宋_GB2312"/>
          <w:color w:val="auto"/>
          <w:sz w:val="24"/>
          <w:szCs w:val="24"/>
          <w:highlight w:val="none"/>
          <w:lang w:eastAsia="zh-CN"/>
        </w:rPr>
        <w:t>复印件及</w:t>
      </w:r>
      <w:r>
        <w:rPr>
          <w:rFonts w:hint="eastAsia" w:ascii="仿宋_GB2312" w:hAnsi="仿宋_GB2312" w:eastAsia="仿宋_GB2312" w:cs="仿宋_GB2312"/>
          <w:color w:val="auto"/>
          <w:sz w:val="24"/>
          <w:szCs w:val="24"/>
          <w:highlight w:val="none"/>
          <w:lang w:val="en-US" w:eastAsia="zh-CN"/>
        </w:rPr>
        <w:t>法人近3个月由本单位社保缴费凭证及个人明细</w:t>
      </w:r>
      <w:r>
        <w:rPr>
          <w:rFonts w:hint="eastAsia" w:ascii="仿宋_GB2312" w:hAnsi="仿宋_GB2312" w:eastAsia="仿宋_GB2312" w:cs="仿宋_GB2312"/>
          <w:color w:val="auto"/>
          <w:sz w:val="24"/>
          <w:szCs w:val="24"/>
          <w:highlight w:val="none"/>
        </w:rPr>
        <w:t>或法人代表授权书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委托代理人身份证复印件及委托代理人近3个月由本单位社保缴费凭证及个人明细</w:t>
      </w:r>
      <w:r>
        <w:rPr>
          <w:rFonts w:hint="eastAsia" w:ascii="仿宋_GB2312" w:hAnsi="仿宋_GB2312" w:eastAsia="仿宋_GB2312" w:cs="仿宋_GB2312"/>
          <w:color w:val="auto"/>
          <w:sz w:val="24"/>
          <w:szCs w:val="24"/>
          <w:highlight w:val="none"/>
        </w:rPr>
        <w:t>；</w:t>
      </w:r>
    </w:p>
    <w:p>
      <w:pPr>
        <w:pageBreakBefore w:val="0"/>
        <w:shd w:val="clear"/>
        <w:tabs>
          <w:tab w:val="left" w:pos="533"/>
        </w:tabs>
        <w:kinsoku/>
        <w:wordWrap/>
        <w:overflowPunct/>
        <w:topLinePunct w:val="0"/>
        <w:bidi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3、2022年度经审计的《财务审计报告书》（2022年7月后成立的新公司可不提供）；</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4、最近3个月的缴纳税收的完税证明或税务部门出具的纳税证明（银行缴纳凭证无效）；如依法免税的，提供相应文件证明；</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5、最近3个月的缴纳社保证明材料（提供银行划款凭证）加盖公章。如依法不需要缴纳社会保障资金的，提供相应文件证明；</w:t>
      </w:r>
    </w:p>
    <w:p>
      <w:pPr>
        <w:pageBreakBefore w:val="0"/>
        <w:shd w:val="clear"/>
        <w:kinsoku/>
        <w:wordWrap/>
        <w:overflowPunct/>
        <w:topLinePunct w:val="0"/>
        <w:bidi w:val="0"/>
        <w:spacing w:line="360" w:lineRule="auto"/>
        <w:rPr>
          <w:rFonts w:hint="eastAsia" w:ascii="仿宋_GB2312" w:hAnsi="仿宋_GB2312" w:eastAsia="仿宋_GB2312" w:cs="仿宋_GB2312"/>
          <w:color w:val="auto"/>
          <w:kern w:val="2"/>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lang w:val="en-US" w:eastAsia="zh-CN"/>
        </w:rPr>
        <w:t>6、参加政府采购活动前3年内在经营活动中没有重大违法记录的书面声明（提供《投标人资格声明函》）</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7、不存在“</w:t>
      </w:r>
      <w:r>
        <w:rPr>
          <w:rFonts w:hint="eastAsia" w:ascii="仿宋_GB2312" w:hAnsi="仿宋_GB2312" w:eastAsia="仿宋_GB2312" w:cs="仿宋_GB2312"/>
          <w:color w:val="auto"/>
          <w:kern w:val="2"/>
          <w:sz w:val="24"/>
          <w:szCs w:val="24"/>
          <w:highlight w:val="none"/>
          <w:shd w:val="clear" w:color="auto" w:fill="FFFFFF"/>
          <w:lang w:val="en-US" w:eastAsia="zh-CN"/>
        </w:rPr>
        <w:t>单位负责人为同一人或者存在直接控股、管理关系的不同供应商，不得参加同一合同项下的政府采购活动”的书面声明（提供《投标人资格声明函》）；</w:t>
      </w:r>
    </w:p>
    <w:p>
      <w:pPr>
        <w:pageBreakBefore w:val="0"/>
        <w:shd w:val="clear"/>
        <w:kinsoku/>
        <w:wordWrap/>
        <w:overflowPunct/>
        <w:topLinePunct w:val="0"/>
        <w:bidi w:val="0"/>
        <w:spacing w:line="360" w:lineRule="auto"/>
        <w:rPr>
          <w:rFonts w:hint="eastAsia" w:ascii="仿宋_GB2312" w:hAnsi="仿宋_GB2312" w:eastAsia="仿宋_GB2312" w:cs="仿宋_GB2312"/>
          <w:kern w:val="2"/>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kern w:val="2"/>
          <w:sz w:val="24"/>
          <w:szCs w:val="24"/>
          <w:highlight w:val="none"/>
          <w:shd w:val="clear" w:color="auto" w:fill="FFFFFF"/>
          <w:lang w:val="en-US" w:eastAsia="zh-CN"/>
        </w:rPr>
        <w:t>有效的中小微企业声明函；</w:t>
      </w:r>
    </w:p>
    <w:p>
      <w:pPr>
        <w:pageBreakBefore w:val="0"/>
        <w:shd w:val="clear"/>
        <w:kinsoku/>
        <w:wordWrap/>
        <w:overflowPunct/>
        <w:topLinePunct w:val="0"/>
        <w:bidi w:val="0"/>
        <w:spacing w:line="360" w:lineRule="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lang w:val="en-US" w:eastAsia="zh-CN"/>
        </w:rPr>
        <w:t>“信用中国”网站、中国政府采购网查询截图；</w:t>
      </w:r>
    </w:p>
    <w:p>
      <w:pPr>
        <w:pageBreakBefore w:val="0"/>
        <w:shd w:val="clear"/>
        <w:kinsoku/>
        <w:wordWrap/>
        <w:overflowPunct/>
        <w:topLinePunct w:val="0"/>
        <w:bidi w:val="0"/>
        <w:spacing w:line="360" w:lineRule="auto"/>
        <w:rPr>
          <w:rFonts w:hint="eastAsia"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b w:val="0"/>
          <w:bCs w:val="0"/>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val="en-US" w:eastAsia="zh-CN"/>
        </w:rPr>
        <w:t>其他谈判文件中要求列出的资格证明文件；</w:t>
      </w:r>
    </w:p>
    <w:p>
      <w:pPr>
        <w:keepNext w:val="0"/>
        <w:keepLines w:val="0"/>
        <w:pageBreakBefore w:val="0"/>
        <w:shd w:val="clear"/>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投标单位认为有必要提供的声明及文件资料</w:t>
      </w:r>
      <w:r>
        <w:rPr>
          <w:rFonts w:hint="eastAsia" w:ascii="仿宋_GB2312" w:hAnsi="仿宋_GB2312" w:eastAsia="仿宋_GB2312" w:cs="仿宋_GB2312"/>
          <w:b w:val="0"/>
          <w:bCs w:val="0"/>
          <w:color w:val="auto"/>
          <w:sz w:val="24"/>
          <w:szCs w:val="24"/>
          <w:highlight w:val="none"/>
          <w:lang w:eastAsia="zh-CN"/>
        </w:rPr>
        <w:t>。</w:t>
      </w:r>
    </w:p>
    <w:p>
      <w:pPr>
        <w:pageBreakBefore w:val="0"/>
        <w:shd w:val="clear"/>
        <w:kinsoku/>
        <w:wordWrap/>
        <w:overflowPunct/>
        <w:topLinePunct w:val="0"/>
        <w:bidi w:val="0"/>
        <w:spacing w:line="360" w:lineRule="auto"/>
        <w:ind w:firstLine="48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谈判文件</w:t>
      </w:r>
      <w:r>
        <w:rPr>
          <w:rFonts w:hint="eastAsia" w:ascii="仿宋_GB2312" w:hAnsi="仿宋_GB2312" w:eastAsia="仿宋_GB2312" w:cs="仿宋_GB2312"/>
          <w:b w:val="0"/>
          <w:bCs w:val="0"/>
          <w:color w:val="auto"/>
          <w:sz w:val="24"/>
          <w:szCs w:val="24"/>
          <w:highlight w:val="none"/>
        </w:rPr>
        <w:t>要求和投标人应提供的其他相关证件按上述格式填写）</w:t>
      </w:r>
    </w:p>
    <w:p>
      <w:pPr>
        <w:keepNext w:val="0"/>
        <w:keepLines w:val="0"/>
        <w:pageBreakBefore w:val="0"/>
        <w:widowControl/>
        <w:shd w:val="clear"/>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注</w:t>
      </w:r>
      <w:r>
        <w:rPr>
          <w:rFonts w:hint="eastAsia" w:ascii="仿宋_GB2312" w:hAnsi="仿宋_GB2312" w:eastAsia="仿宋_GB2312" w:cs="仿宋_GB2312"/>
          <w:b/>
          <w:bCs/>
          <w:color w:val="auto"/>
          <w:sz w:val="24"/>
          <w:szCs w:val="24"/>
          <w:highlight w:val="none"/>
        </w:rPr>
        <w:t>：</w:t>
      </w:r>
    </w:p>
    <w:p>
      <w:pPr>
        <w:shd w:val="clear"/>
        <w:spacing w:line="360" w:lineRule="auto"/>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投标人应自行承担所提供上述资料任何错漏而导致的一切后果。</w:t>
      </w:r>
    </w:p>
    <w:p>
      <w:pPr>
        <w:keepNext w:val="0"/>
        <w:keepLines w:val="0"/>
        <w:pageBreakBefore w:val="0"/>
        <w:shd w:val="clear"/>
        <w:kinsoku/>
        <w:wordWrap/>
        <w:overflowPunct/>
        <w:topLinePunct w:val="0"/>
        <w:autoSpaceDE/>
        <w:autoSpaceDN/>
        <w:bidi w:val="0"/>
        <w:adjustRightInd/>
        <w:snapToGrid/>
        <w:spacing w:line="320" w:lineRule="exact"/>
        <w:ind w:firstLine="236" w:firstLineChars="98"/>
        <w:textAlignment w:val="auto"/>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）所附的资格证明文件的复印件或影印件含糊不清，导致无法辨认的，其投标将被否决。</w:t>
      </w:r>
    </w:p>
    <w:p>
      <w:pPr>
        <w:shd w:val="clear"/>
        <w:spacing w:line="360" w:lineRule="auto"/>
        <w:ind w:firstLine="361" w:firstLineChars="150"/>
        <w:jc w:val="center"/>
        <w:rPr>
          <w:rFonts w:hint="eastAsia" w:ascii="仿宋_GB2312" w:hAnsi="仿宋_GB2312" w:eastAsia="仿宋_GB2312" w:cs="仿宋_GB2312"/>
          <w:b/>
          <w:bCs/>
          <w:color w:val="auto"/>
          <w:sz w:val="24"/>
          <w:szCs w:val="24"/>
          <w:highlight w:val="none"/>
        </w:rPr>
      </w:pPr>
    </w:p>
    <w:p>
      <w:pPr>
        <w:shd w:val="clear"/>
        <w:spacing w:line="360" w:lineRule="auto"/>
        <w:ind w:firstLine="2144" w:firstLineChars="890"/>
        <w:rPr>
          <w:rFonts w:hint="eastAsia" w:ascii="仿宋_GB2312" w:hAnsi="仿宋_GB2312" w:eastAsia="仿宋_GB2312" w:cs="仿宋_GB2312"/>
          <w:b/>
          <w:color w:val="auto"/>
          <w:sz w:val="24"/>
          <w:szCs w:val="24"/>
          <w:highlight w:val="none"/>
        </w:rPr>
      </w:pPr>
    </w:p>
    <w:bookmarkEnd w:id="275"/>
    <w:p>
      <w:pPr>
        <w:shd w:val="clear"/>
        <w:rPr>
          <w:rStyle w:val="36"/>
          <w:rFonts w:hint="eastAsia" w:ascii="仿宋_GB2312" w:hAnsi="仿宋_GB2312" w:eastAsia="仿宋_GB2312" w:cs="仿宋_GB2312"/>
          <w:bCs w:val="0"/>
          <w:color w:val="auto"/>
          <w:kern w:val="2"/>
          <w:sz w:val="24"/>
          <w:szCs w:val="24"/>
          <w:highlight w:val="none"/>
          <w:lang w:val="en-US" w:eastAsia="zh-CN"/>
        </w:rPr>
      </w:pPr>
      <w:bookmarkStart w:id="276" w:name="_Toc20000"/>
      <w:bookmarkStart w:id="277" w:name="_Toc23359"/>
      <w:r>
        <w:rPr>
          <w:rStyle w:val="36"/>
          <w:rFonts w:hint="eastAsia" w:ascii="仿宋_GB2312" w:hAnsi="仿宋_GB2312" w:eastAsia="仿宋_GB2312" w:cs="仿宋_GB2312"/>
          <w:bCs w:val="0"/>
          <w:color w:val="auto"/>
          <w:kern w:val="2"/>
          <w:sz w:val="24"/>
          <w:szCs w:val="24"/>
          <w:highlight w:val="none"/>
          <w:lang w:val="en-US" w:eastAsia="zh-CN"/>
        </w:rPr>
        <w:br w:type="page"/>
      </w:r>
    </w:p>
    <w:p>
      <w:pPr>
        <w:shd w:val="clear"/>
        <w:jc w:val="center"/>
        <w:outlineLvl w:val="2"/>
        <w:rPr>
          <w:rFonts w:hint="eastAsia" w:ascii="仿宋_GB2312" w:hAnsi="仿宋_GB2312" w:eastAsia="仿宋_GB2312" w:cs="仿宋_GB2312"/>
          <w:color w:val="auto"/>
          <w:kern w:val="0"/>
          <w:sz w:val="24"/>
          <w:szCs w:val="24"/>
          <w:highlight w:val="none"/>
        </w:rPr>
      </w:pPr>
      <w:bookmarkStart w:id="278" w:name="_Toc6496"/>
      <w:bookmarkStart w:id="279" w:name="_Toc22580"/>
      <w:r>
        <w:rPr>
          <w:rStyle w:val="36"/>
          <w:rFonts w:hint="eastAsia" w:ascii="仿宋_GB2312" w:hAnsi="仿宋_GB2312" w:eastAsia="仿宋_GB2312" w:cs="仿宋_GB2312"/>
          <w:bCs w:val="0"/>
          <w:color w:val="auto"/>
          <w:kern w:val="2"/>
          <w:sz w:val="24"/>
          <w:szCs w:val="24"/>
          <w:highlight w:val="none"/>
          <w:lang w:val="en-US" w:eastAsia="zh-CN"/>
        </w:rPr>
        <w:t>9.1</w:t>
      </w:r>
      <w:r>
        <w:rPr>
          <w:rFonts w:hint="eastAsia" w:ascii="仿宋_GB2312" w:hAnsi="仿宋_GB2312" w:eastAsia="仿宋_GB2312" w:cs="仿宋_GB2312"/>
          <w:b/>
          <w:color w:val="auto"/>
          <w:kern w:val="0"/>
          <w:sz w:val="24"/>
          <w:szCs w:val="24"/>
          <w:highlight w:val="none"/>
        </w:rPr>
        <w:t>中小微企业声明函</w:t>
      </w:r>
      <w:bookmarkEnd w:id="278"/>
      <w:bookmarkEnd w:id="279"/>
    </w:p>
    <w:p>
      <w:pPr>
        <w:shd w:val="clear"/>
        <w:jc w:val="center"/>
        <w:rPr>
          <w:rFonts w:hint="eastAsia" w:ascii="仿宋_GB2312" w:hAnsi="仿宋_GB2312" w:eastAsia="仿宋_GB2312" w:cs="仿宋_GB2312"/>
          <w:color w:val="auto"/>
          <w:sz w:val="24"/>
          <w:szCs w:val="24"/>
          <w:highlight w:val="none"/>
        </w:rPr>
      </w:pPr>
    </w:p>
    <w:p>
      <w:pPr>
        <w:widowControl/>
        <w:shd w:val="clear"/>
        <w:spacing w:line="360" w:lineRule="auto"/>
        <w:ind w:firstLine="480" w:firstLineChars="200"/>
        <w:jc w:val="center"/>
        <w:outlineLvl w:val="1"/>
        <w:rPr>
          <w:rFonts w:hint="eastAsia" w:ascii="仿宋_GB2312" w:hAnsi="仿宋_GB2312" w:eastAsia="仿宋_GB2312" w:cs="仿宋_GB2312"/>
          <w:color w:val="auto"/>
          <w:kern w:val="0"/>
          <w:sz w:val="24"/>
          <w:szCs w:val="24"/>
          <w:highlight w:val="none"/>
        </w:rPr>
      </w:pPr>
      <w:bookmarkStart w:id="280" w:name="_Toc31039"/>
      <w:bookmarkStart w:id="281" w:name="_Toc838"/>
      <w:r>
        <w:rPr>
          <w:rFonts w:hint="eastAsia" w:ascii="仿宋_GB2312" w:hAnsi="仿宋_GB2312" w:eastAsia="仿宋_GB2312" w:cs="仿宋_GB2312"/>
          <w:color w:val="auto"/>
          <w:kern w:val="0"/>
          <w:sz w:val="24"/>
          <w:szCs w:val="24"/>
          <w:highlight w:val="none"/>
        </w:rPr>
        <w:t>中小企业声明函（</w:t>
      </w:r>
      <w:r>
        <w:rPr>
          <w:rFonts w:hint="eastAsia" w:ascii="仿宋_GB2312" w:hAnsi="仿宋_GB2312" w:eastAsia="仿宋_GB2312" w:cs="仿宋_GB2312"/>
          <w:color w:val="auto"/>
          <w:kern w:val="0"/>
          <w:sz w:val="24"/>
          <w:szCs w:val="24"/>
          <w:highlight w:val="none"/>
          <w:lang w:eastAsia="zh-CN"/>
        </w:rPr>
        <w:t>工程</w:t>
      </w:r>
      <w:r>
        <w:rPr>
          <w:rFonts w:hint="eastAsia" w:ascii="仿宋_GB2312" w:hAnsi="仿宋_GB2312" w:eastAsia="仿宋_GB2312" w:cs="仿宋_GB2312"/>
          <w:color w:val="auto"/>
          <w:kern w:val="0"/>
          <w:sz w:val="24"/>
          <w:szCs w:val="24"/>
          <w:highlight w:val="none"/>
        </w:rPr>
        <w:t>）</w:t>
      </w:r>
      <w:bookmarkEnd w:id="280"/>
      <w:bookmarkEnd w:id="281"/>
    </w:p>
    <w:p>
      <w:pPr>
        <w:keepNext w:val="0"/>
        <w:keepLines w:val="0"/>
        <w:widowControl/>
        <w:suppressLineNumbers w:val="0"/>
        <w:shd w:val="clear"/>
        <w:bidi w:val="0"/>
        <w:spacing w:before="100" w:beforeAutospacing="1" w:after="100" w:afterAutospacing="1" w:line="348" w:lineRule="atLeast"/>
        <w:ind w:left="0" w:right="0" w:firstLine="384"/>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本公司（联合体）郑重声明，根据《政府采购促进中小企业发展管理办法》（财库﹝2020﹞46号）的规定，本公司（联合体）参加</w:t>
      </w:r>
      <w:r>
        <w:rPr>
          <w:rFonts w:hint="eastAsia" w:ascii="仿宋_GB2312" w:hAnsi="仿宋_GB2312" w:eastAsia="仿宋_GB2312" w:cs="仿宋_GB2312"/>
          <w:kern w:val="0"/>
          <w:sz w:val="24"/>
          <w:szCs w:val="24"/>
          <w:u w:val="single"/>
          <w:lang w:val="en-US" w:eastAsia="zh-CN"/>
        </w:rPr>
        <w:t>    （单位名称）</w:t>
      </w:r>
      <w:r>
        <w:rPr>
          <w:rFonts w:hint="eastAsia" w:ascii="仿宋_GB2312" w:hAnsi="仿宋_GB2312" w:eastAsia="仿宋_GB2312" w:cs="仿宋_GB2312"/>
          <w:kern w:val="0"/>
          <w:sz w:val="24"/>
          <w:szCs w:val="24"/>
          <w:lang w:val="en-US" w:eastAsia="zh-CN"/>
        </w:rPr>
        <w:t>的</w:t>
      </w:r>
      <w:r>
        <w:rPr>
          <w:rFonts w:hint="eastAsia" w:ascii="仿宋_GB2312" w:hAnsi="仿宋_GB2312" w:eastAsia="仿宋_GB2312" w:cs="仿宋_GB2312"/>
          <w:kern w:val="0"/>
          <w:sz w:val="24"/>
          <w:szCs w:val="24"/>
          <w:u w:val="single"/>
          <w:lang w:val="en-US" w:eastAsia="zh-CN"/>
        </w:rPr>
        <w:t>（项目名称）</w:t>
      </w:r>
      <w:r>
        <w:rPr>
          <w:rFonts w:hint="eastAsia" w:ascii="仿宋_GB2312" w:hAnsi="仿宋_GB2312" w:eastAsia="仿宋_GB2312" w:cs="仿宋_GB2312"/>
          <w:kern w:val="0"/>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hd w:val="clear"/>
        <w:bidi w:val="0"/>
        <w:spacing w:before="100" w:beforeAutospacing="1" w:after="100" w:afterAutospacing="1" w:line="348" w:lineRule="atLeast"/>
        <w:ind w:left="0" w:right="0" w:firstLine="384"/>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u w:val="single"/>
          <w:lang w:val="en-US" w:eastAsia="zh-CN"/>
        </w:rPr>
        <w:t>1.   （标的名称）</w:t>
      </w:r>
      <w:r>
        <w:rPr>
          <w:rFonts w:hint="eastAsia" w:ascii="仿宋_GB2312" w:hAnsi="仿宋_GB2312" w:eastAsia="仿宋_GB2312" w:cs="仿宋_GB2312"/>
          <w:kern w:val="0"/>
          <w:sz w:val="24"/>
          <w:szCs w:val="24"/>
          <w:lang w:val="en-US" w:eastAsia="zh-CN"/>
        </w:rPr>
        <w:t>，属于</w:t>
      </w:r>
      <w:r>
        <w:rPr>
          <w:rFonts w:hint="eastAsia" w:ascii="仿宋_GB2312" w:hAnsi="仿宋_GB2312" w:eastAsia="仿宋_GB2312" w:cs="仿宋_GB2312"/>
          <w:kern w:val="0"/>
          <w:sz w:val="24"/>
          <w:szCs w:val="24"/>
          <w:u w:val="single"/>
          <w:lang w:val="en-US" w:eastAsia="zh-CN"/>
        </w:rPr>
        <w:t>建筑业</w:t>
      </w:r>
      <w:r>
        <w:rPr>
          <w:rFonts w:hint="eastAsia" w:ascii="仿宋_GB2312" w:hAnsi="仿宋_GB2312" w:eastAsia="仿宋_GB2312" w:cs="仿宋_GB2312"/>
          <w:kern w:val="0"/>
          <w:sz w:val="24"/>
          <w:szCs w:val="24"/>
          <w:lang w:val="en-US" w:eastAsia="zh-CN"/>
        </w:rPr>
        <w:t>；承建（承接）企业为</w:t>
      </w:r>
      <w:r>
        <w:rPr>
          <w:rFonts w:hint="eastAsia" w:ascii="仿宋_GB2312" w:hAnsi="仿宋_GB2312" w:eastAsia="仿宋_GB2312" w:cs="仿宋_GB2312"/>
          <w:kern w:val="0"/>
          <w:sz w:val="24"/>
          <w:szCs w:val="24"/>
          <w:u w:val="single"/>
          <w:lang w:val="en-US" w:eastAsia="zh-CN"/>
        </w:rPr>
        <w:t>    （企业名称）</w:t>
      </w:r>
      <w:r>
        <w:rPr>
          <w:rFonts w:hint="eastAsia" w:ascii="仿宋_GB2312" w:hAnsi="仿宋_GB2312" w:eastAsia="仿宋_GB2312" w:cs="仿宋_GB2312"/>
          <w:kern w:val="0"/>
          <w:sz w:val="24"/>
          <w:szCs w:val="24"/>
          <w:lang w:val="en-US" w:eastAsia="zh-CN"/>
        </w:rPr>
        <w:t>，从业人员</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lang w:val="en-US" w:eastAsia="zh-CN"/>
        </w:rPr>
        <w:t>人，营业收入为</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lang w:val="en-US" w:eastAsia="zh-CN"/>
        </w:rPr>
        <w:t>万元，资产总额为</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lang w:val="en-US" w:eastAsia="zh-CN"/>
        </w:rPr>
        <w:t>万元，属于</w:t>
      </w:r>
      <w:r>
        <w:rPr>
          <w:rFonts w:hint="eastAsia" w:ascii="仿宋_GB2312" w:hAnsi="仿宋_GB2312" w:eastAsia="仿宋_GB2312" w:cs="仿宋_GB2312"/>
          <w:kern w:val="0"/>
          <w:sz w:val="24"/>
          <w:szCs w:val="24"/>
          <w:u w:val="single"/>
          <w:lang w:val="en-US" w:eastAsia="zh-CN"/>
        </w:rPr>
        <w:t>     （中型企业、小型企业、微型企业）</w:t>
      </w:r>
      <w:r>
        <w:rPr>
          <w:rFonts w:hint="eastAsia" w:ascii="仿宋_GB2312" w:hAnsi="仿宋_GB2312" w:eastAsia="仿宋_GB2312" w:cs="仿宋_GB2312"/>
          <w:kern w:val="0"/>
          <w:sz w:val="24"/>
          <w:szCs w:val="24"/>
          <w:lang w:val="en-US" w:eastAsia="zh-CN"/>
        </w:rPr>
        <w:t>；</w:t>
      </w:r>
    </w:p>
    <w:p>
      <w:pPr>
        <w:keepNext w:val="0"/>
        <w:keepLines w:val="0"/>
        <w:widowControl/>
        <w:suppressLineNumbers w:val="0"/>
        <w:shd w:val="clear"/>
        <w:bidi w:val="0"/>
        <w:spacing w:before="100" w:beforeAutospacing="1" w:after="100" w:afterAutospacing="1" w:line="348" w:lineRule="atLeast"/>
        <w:ind w:left="0" w:right="0" w:firstLine="384"/>
        <w:jc w:val="left"/>
        <w:textAlignment w:val="auto"/>
        <w:outlineLvl w:val="9"/>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u w:val="single"/>
          <w:lang w:val="en-US" w:eastAsia="zh-CN"/>
        </w:rPr>
        <w:t>     （标的名称）</w:t>
      </w:r>
      <w:r>
        <w:rPr>
          <w:rFonts w:hint="eastAsia" w:ascii="仿宋_GB2312" w:hAnsi="仿宋_GB2312" w:eastAsia="仿宋_GB2312" w:cs="仿宋_GB2312"/>
          <w:kern w:val="0"/>
          <w:sz w:val="24"/>
          <w:szCs w:val="24"/>
          <w:lang w:val="en-US" w:eastAsia="zh-CN"/>
        </w:rPr>
        <w:t>，属于</w:t>
      </w:r>
      <w:r>
        <w:rPr>
          <w:rFonts w:hint="eastAsia" w:ascii="仿宋_GB2312" w:hAnsi="仿宋_GB2312" w:eastAsia="仿宋_GB2312" w:cs="仿宋_GB2312"/>
          <w:kern w:val="0"/>
          <w:sz w:val="24"/>
          <w:szCs w:val="24"/>
          <w:u w:val="single"/>
          <w:lang w:val="en-US" w:eastAsia="zh-CN"/>
        </w:rPr>
        <w:t xml:space="preserve"> 建筑业 </w:t>
      </w:r>
      <w:r>
        <w:rPr>
          <w:rFonts w:hint="eastAsia" w:ascii="仿宋_GB2312" w:hAnsi="仿宋_GB2312" w:eastAsia="仿宋_GB2312" w:cs="仿宋_GB2312"/>
          <w:kern w:val="0"/>
          <w:sz w:val="24"/>
          <w:szCs w:val="24"/>
          <w:lang w:val="en-US" w:eastAsia="zh-CN"/>
        </w:rPr>
        <w:t>行业；制造商为</w:t>
      </w:r>
      <w:r>
        <w:rPr>
          <w:rFonts w:hint="eastAsia" w:ascii="仿宋_GB2312" w:hAnsi="仿宋_GB2312" w:eastAsia="仿宋_GB2312" w:cs="仿宋_GB2312"/>
          <w:kern w:val="0"/>
          <w:sz w:val="24"/>
          <w:szCs w:val="24"/>
          <w:u w:val="single"/>
          <w:lang w:val="en-US" w:eastAsia="zh-CN"/>
        </w:rPr>
        <w:t>       （企业名称）</w:t>
      </w:r>
      <w:r>
        <w:rPr>
          <w:rFonts w:hint="eastAsia" w:ascii="仿宋_GB2312" w:hAnsi="仿宋_GB2312" w:eastAsia="仿宋_GB2312" w:cs="仿宋_GB2312"/>
          <w:kern w:val="0"/>
          <w:sz w:val="24"/>
          <w:szCs w:val="24"/>
          <w:lang w:val="en-US" w:eastAsia="zh-CN"/>
        </w:rPr>
        <w:t>，从业人员</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lang w:val="en-US" w:eastAsia="zh-CN"/>
        </w:rPr>
        <w:t>人，营业收入为</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lang w:val="en-US" w:eastAsia="zh-CN"/>
        </w:rPr>
        <w:t>万元，资产总额为</w:t>
      </w:r>
      <w:r>
        <w:rPr>
          <w:rFonts w:hint="eastAsia" w:ascii="仿宋_GB2312" w:hAnsi="仿宋_GB2312" w:eastAsia="仿宋_GB2312" w:cs="仿宋_GB2312"/>
          <w:kern w:val="0"/>
          <w:sz w:val="24"/>
          <w:szCs w:val="24"/>
          <w:u w:val="single"/>
          <w:lang w:val="en-US" w:eastAsia="zh-CN"/>
        </w:rPr>
        <w:t>   </w:t>
      </w:r>
      <w:r>
        <w:rPr>
          <w:rFonts w:hint="eastAsia" w:ascii="仿宋_GB2312" w:hAnsi="仿宋_GB2312" w:eastAsia="仿宋_GB2312" w:cs="仿宋_GB2312"/>
          <w:kern w:val="0"/>
          <w:sz w:val="24"/>
          <w:szCs w:val="24"/>
          <w:lang w:val="en-US" w:eastAsia="zh-CN"/>
        </w:rPr>
        <w:t>万元，属于</w:t>
      </w:r>
      <w:r>
        <w:rPr>
          <w:rFonts w:hint="eastAsia" w:ascii="仿宋_GB2312" w:hAnsi="仿宋_GB2312" w:eastAsia="仿宋_GB2312" w:cs="仿宋_GB2312"/>
          <w:kern w:val="0"/>
          <w:sz w:val="24"/>
          <w:szCs w:val="24"/>
          <w:u w:val="single"/>
          <w:lang w:val="en-US" w:eastAsia="zh-CN"/>
        </w:rPr>
        <w:t>     （中型企业、小型企业、微型企业）</w:t>
      </w:r>
      <w:r>
        <w:rPr>
          <w:rFonts w:hint="eastAsia" w:ascii="仿宋_GB2312" w:hAnsi="仿宋_GB2312" w:eastAsia="仿宋_GB2312" w:cs="仿宋_GB2312"/>
          <w:kern w:val="0"/>
          <w:sz w:val="24"/>
          <w:szCs w:val="24"/>
          <w:lang w:val="en-US" w:eastAsia="zh-CN"/>
        </w:rPr>
        <w:t>；</w:t>
      </w:r>
    </w:p>
    <w:p>
      <w:pPr>
        <w:widowControl/>
        <w:shd w:val="clear"/>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p>
    <w:p>
      <w:pPr>
        <w:widowControl/>
        <w:shd w:val="clear"/>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以上企业， 不属于大企业的分支机构， 不存在控股股东为大企业的情形， 也不存在与大企业的负责人为同一人的情形。</w:t>
      </w:r>
    </w:p>
    <w:p>
      <w:pPr>
        <w:widowControl/>
        <w:shd w:val="clear"/>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本企业对上述声明内容的真实性负责。 如有虚假， 将依法承担相应责任。</w:t>
      </w:r>
    </w:p>
    <w:p>
      <w:pPr>
        <w:widowControl/>
        <w:shd w:val="clear"/>
        <w:wordWrap w:val="0"/>
        <w:spacing w:line="360" w:lineRule="auto"/>
        <w:ind w:firstLine="480" w:firstLineChars="200"/>
        <w:jc w:val="right"/>
        <w:rPr>
          <w:rFonts w:hint="eastAsia" w:ascii="仿宋_GB2312" w:hAnsi="仿宋_GB2312" w:eastAsia="仿宋_GB2312" w:cs="仿宋_GB2312"/>
          <w:color w:val="auto"/>
          <w:kern w:val="0"/>
          <w:sz w:val="24"/>
          <w:szCs w:val="24"/>
          <w:highlight w:val="none"/>
        </w:rPr>
      </w:pPr>
    </w:p>
    <w:p>
      <w:pPr>
        <w:widowControl/>
        <w:shd w:val="clear"/>
        <w:wordWrap w:val="0"/>
        <w:spacing w:line="360" w:lineRule="auto"/>
        <w:ind w:firstLine="480" w:firstLineChars="200"/>
        <w:jc w:val="righ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企业名称（盖章）：        </w:t>
      </w:r>
    </w:p>
    <w:p>
      <w:pPr>
        <w:widowControl/>
        <w:shd w:val="clear"/>
        <w:wordWrap w:val="0"/>
        <w:spacing w:line="360" w:lineRule="auto"/>
        <w:ind w:right="480" w:firstLine="480" w:firstLineChars="200"/>
        <w:jc w:val="righ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日 期：         </w:t>
      </w:r>
    </w:p>
    <w:p>
      <w:pPr>
        <w:widowControl/>
        <w:shd w:val="clear"/>
        <w:spacing w:line="360" w:lineRule="auto"/>
        <w:ind w:right="480" w:firstLine="480" w:firstLineChars="200"/>
        <w:jc w:val="right"/>
        <w:rPr>
          <w:rFonts w:hint="eastAsia" w:ascii="仿宋_GB2312" w:hAnsi="仿宋_GB2312" w:eastAsia="仿宋_GB2312" w:cs="仿宋_GB2312"/>
          <w:color w:val="auto"/>
          <w:kern w:val="0"/>
          <w:sz w:val="24"/>
          <w:szCs w:val="24"/>
          <w:highlight w:val="none"/>
        </w:rPr>
      </w:pPr>
    </w:p>
    <w:p>
      <w:pPr>
        <w:shd w:val="clear"/>
        <w:jc w:val="both"/>
        <w:rPr>
          <w:rStyle w:val="36"/>
          <w:rFonts w:hint="eastAsia" w:ascii="仿宋_GB2312" w:hAnsi="仿宋_GB2312" w:eastAsia="仿宋_GB2312" w:cs="仿宋_GB2312"/>
          <w:bCs w:val="0"/>
          <w:color w:val="auto"/>
          <w:kern w:val="2"/>
          <w:sz w:val="24"/>
          <w:szCs w:val="24"/>
          <w:highlight w:val="none"/>
          <w:lang w:val="en-US" w:eastAsia="zh-CN"/>
        </w:rPr>
      </w:pPr>
      <w:r>
        <w:rPr>
          <w:rFonts w:hint="eastAsia" w:ascii="仿宋_GB2312" w:hAnsi="仿宋_GB2312" w:eastAsia="仿宋_GB2312" w:cs="仿宋_GB2312"/>
          <w:color w:val="auto"/>
          <w:kern w:val="0"/>
          <w:sz w:val="24"/>
          <w:szCs w:val="24"/>
          <w:highlight w:val="none"/>
          <w:vertAlign w:val="superscript"/>
        </w:rPr>
        <w:t>1</w:t>
      </w:r>
      <w:r>
        <w:rPr>
          <w:rFonts w:hint="eastAsia" w:ascii="仿宋_GB2312" w:hAnsi="仿宋_GB2312" w:eastAsia="仿宋_GB2312" w:cs="仿宋_GB2312"/>
          <w:color w:val="auto"/>
          <w:kern w:val="0"/>
          <w:sz w:val="24"/>
          <w:szCs w:val="24"/>
          <w:highlight w:val="none"/>
        </w:rPr>
        <w:t>从业人员、 营业收入、 资产总额填报上一年度数据， 无上一年度数据的新成立企业可不填报。</w:t>
      </w:r>
    </w:p>
    <w:p>
      <w:pPr>
        <w:shd w:val="clear"/>
        <w:jc w:val="center"/>
        <w:rPr>
          <w:rStyle w:val="36"/>
          <w:rFonts w:hint="eastAsia" w:ascii="仿宋_GB2312" w:hAnsi="仿宋_GB2312" w:eastAsia="仿宋_GB2312" w:cs="仿宋_GB2312"/>
          <w:bCs w:val="0"/>
          <w:color w:val="auto"/>
          <w:kern w:val="2"/>
          <w:sz w:val="24"/>
          <w:szCs w:val="24"/>
          <w:highlight w:val="none"/>
          <w:lang w:val="en-US" w:eastAsia="zh-CN"/>
        </w:rPr>
      </w:pPr>
    </w:p>
    <w:p>
      <w:pPr>
        <w:shd w:val="clear"/>
        <w:jc w:val="center"/>
        <w:rPr>
          <w:rStyle w:val="36"/>
          <w:rFonts w:hint="eastAsia" w:ascii="仿宋_GB2312" w:hAnsi="仿宋_GB2312" w:eastAsia="仿宋_GB2312" w:cs="仿宋_GB2312"/>
          <w:bCs w:val="0"/>
          <w:color w:val="auto"/>
          <w:kern w:val="2"/>
          <w:sz w:val="24"/>
          <w:szCs w:val="24"/>
          <w:highlight w:val="none"/>
          <w:lang w:val="en-US" w:eastAsia="zh-CN"/>
        </w:rPr>
      </w:pPr>
    </w:p>
    <w:p>
      <w:pPr>
        <w:shd w:val="clear"/>
        <w:rPr>
          <w:rStyle w:val="36"/>
          <w:rFonts w:hint="eastAsia" w:ascii="仿宋_GB2312" w:hAnsi="仿宋_GB2312" w:eastAsia="仿宋_GB2312" w:cs="仿宋_GB2312"/>
          <w:bCs w:val="0"/>
          <w:color w:val="auto"/>
          <w:kern w:val="2"/>
          <w:sz w:val="24"/>
          <w:szCs w:val="24"/>
          <w:highlight w:val="none"/>
          <w:lang w:val="en-US" w:eastAsia="zh-CN"/>
        </w:rPr>
      </w:pPr>
      <w:r>
        <w:rPr>
          <w:rStyle w:val="36"/>
          <w:rFonts w:hint="eastAsia" w:ascii="仿宋_GB2312" w:hAnsi="仿宋_GB2312" w:eastAsia="仿宋_GB2312" w:cs="仿宋_GB2312"/>
          <w:bCs w:val="0"/>
          <w:color w:val="auto"/>
          <w:kern w:val="2"/>
          <w:sz w:val="24"/>
          <w:szCs w:val="24"/>
          <w:highlight w:val="none"/>
          <w:lang w:val="en-US" w:eastAsia="zh-CN"/>
        </w:rPr>
        <w:br w:type="page"/>
      </w:r>
    </w:p>
    <w:p>
      <w:pPr>
        <w:shd w:val="clear"/>
        <w:jc w:val="center"/>
        <w:rPr>
          <w:rStyle w:val="36"/>
          <w:rFonts w:hint="eastAsia" w:ascii="仿宋_GB2312" w:hAnsi="仿宋_GB2312" w:eastAsia="仿宋_GB2312" w:cs="仿宋_GB2312"/>
          <w:bCs w:val="0"/>
          <w:color w:val="auto"/>
          <w:kern w:val="2"/>
          <w:sz w:val="24"/>
          <w:szCs w:val="24"/>
          <w:highlight w:val="none"/>
          <w:lang w:val="en-US" w:eastAsia="zh-CN"/>
        </w:rPr>
      </w:pPr>
      <w:bookmarkStart w:id="282" w:name="_Toc8812"/>
      <w:r>
        <w:rPr>
          <w:rStyle w:val="36"/>
          <w:rFonts w:hint="eastAsia" w:ascii="仿宋_GB2312" w:hAnsi="仿宋_GB2312" w:eastAsia="仿宋_GB2312" w:cs="仿宋_GB2312"/>
          <w:bCs w:val="0"/>
          <w:color w:val="auto"/>
          <w:kern w:val="2"/>
          <w:sz w:val="24"/>
          <w:szCs w:val="24"/>
          <w:highlight w:val="none"/>
          <w:lang w:val="en-US" w:eastAsia="zh-CN"/>
        </w:rPr>
        <w:t>10、谈判保证金缴款凭证复印件</w:t>
      </w:r>
      <w:bookmarkEnd w:id="276"/>
      <w:bookmarkEnd w:id="277"/>
      <w:r>
        <w:rPr>
          <w:rStyle w:val="36"/>
          <w:rFonts w:hint="eastAsia" w:ascii="仿宋_GB2312" w:hAnsi="仿宋_GB2312" w:eastAsia="仿宋_GB2312" w:cs="仿宋_GB2312"/>
          <w:bCs w:val="0"/>
          <w:color w:val="auto"/>
          <w:kern w:val="2"/>
          <w:sz w:val="24"/>
          <w:szCs w:val="24"/>
          <w:highlight w:val="none"/>
          <w:lang w:val="en-US" w:eastAsia="zh-CN"/>
        </w:rPr>
        <w:t>（此项目不收取保证金）</w:t>
      </w:r>
    </w:p>
    <w:bookmarkEnd w:id="282"/>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708660</wp:posOffset>
                </wp:positionH>
                <wp:positionV relativeFrom="paragraph">
                  <wp:posOffset>261620</wp:posOffset>
                </wp:positionV>
                <wp:extent cx="4525010" cy="2581275"/>
                <wp:effectExtent l="4445" t="4445" r="23495" b="5080"/>
                <wp:wrapNone/>
                <wp:docPr id="8" name="文本框 8"/>
                <wp:cNvGraphicFramePr/>
                <a:graphic xmlns:a="http://schemas.openxmlformats.org/drawingml/2006/main">
                  <a:graphicData uri="http://schemas.microsoft.com/office/word/2010/wordprocessingShape">
                    <wps:wsp>
                      <wps:cNvSpPr txBox="1"/>
                      <wps:spPr>
                        <a:xfrm>
                          <a:off x="1070610" y="1835785"/>
                          <a:ext cx="4525010" cy="2581275"/>
                        </a:xfrm>
                        <a:prstGeom prst="rect">
                          <a:avLst/>
                        </a:prstGeom>
                        <a:solidFill>
                          <a:srgbClr val="FFFFFF"/>
                        </a:solidFill>
                        <a:ln w="6350">
                          <a:solidFill>
                            <a:prstClr val="black"/>
                          </a:solidFill>
                        </a:ln>
                        <a:effectLst/>
                      </wps:spPr>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960" w:firstLineChars="700"/>
                              <w:rPr>
                                <w:rFonts w:hint="eastAsia" w:eastAsia="宋体"/>
                                <w:sz w:val="28"/>
                                <w:szCs w:val="28"/>
                                <w:lang w:eastAsia="zh-CN"/>
                              </w:rPr>
                            </w:pPr>
                            <w:r>
                              <w:rPr>
                                <w:rFonts w:hint="eastAsia"/>
                                <w:sz w:val="28"/>
                                <w:szCs w:val="28"/>
                                <w:lang w:eastAsia="zh-CN"/>
                              </w:rPr>
                              <w:t>投标保证金缴纳凭证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8pt;margin-top:20.6pt;height:203.25pt;width:356.3pt;z-index:251663360;mso-width-relative:page;mso-height-relative:page;" fillcolor="#FFFFFF" filled="t" stroked="t" coordsize="21600,21600" o:gfxdata="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cwh3fWAAAACgEAAA8AAAAAAAAAAQAgAAAAIgAAAGRycy9kb3ducmV2Lnht&#10;bFBLAQIUABQAAAAIAIdO4kAsNKgubQIAANIEAAAOAAAAAAAAAAEAIAAAACUBAABkcnMvZTJvRG9j&#10;LnhtbFBLBQYAAAAABgAGAFkBAAAEBgAAAAA=&#10;">
                <v:fill on="t" focussize="0,0"/>
                <v:stroke weight="0.5pt" color="#000000" joinstyle="round"/>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960" w:firstLineChars="700"/>
                        <w:rPr>
                          <w:rFonts w:hint="eastAsia" w:eastAsia="宋体"/>
                          <w:sz w:val="28"/>
                          <w:szCs w:val="28"/>
                          <w:lang w:eastAsia="zh-CN"/>
                        </w:rPr>
                      </w:pPr>
                      <w:r>
                        <w:rPr>
                          <w:rFonts w:hint="eastAsia"/>
                          <w:sz w:val="28"/>
                          <w:szCs w:val="28"/>
                          <w:lang w:eastAsia="zh-CN"/>
                        </w:rPr>
                        <w:t>投标保证金缴纳凭证</w:t>
                      </w:r>
                    </w:p>
                  </w:txbxContent>
                </v:textbox>
              </v:shape>
            </w:pict>
          </mc:Fallback>
        </mc:AlternateContent>
      </w:r>
    </w:p>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360" w:firstLineChars="150"/>
        <w:rPr>
          <w:rFonts w:hint="eastAsia" w:ascii="仿宋_GB2312" w:hAnsi="仿宋_GB2312" w:eastAsia="仿宋_GB2312" w:cs="仿宋_GB2312"/>
          <w:color w:val="auto"/>
          <w:sz w:val="24"/>
          <w:szCs w:val="24"/>
          <w:highlight w:val="none"/>
        </w:rPr>
      </w:pPr>
    </w:p>
    <w:p>
      <w:pPr>
        <w:pStyle w:val="4"/>
        <w:pageBreakBefore w:val="0"/>
        <w:shd w:val="clear"/>
        <w:kinsoku/>
        <w:wordWrap/>
        <w:overflowPunct/>
        <w:topLinePunct w:val="0"/>
        <w:bidi w:val="0"/>
        <w:spacing w:line="360" w:lineRule="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bookmarkStart w:id="283" w:name="_Toc12366"/>
      <w:bookmarkStart w:id="284" w:name="_Toc5804"/>
    </w:p>
    <w:p>
      <w:pPr>
        <w:numPr>
          <w:ilvl w:val="0"/>
          <w:numId w:val="0"/>
        </w:numPr>
        <w:shd w:val="clear"/>
        <w:topLinePunct/>
        <w:jc w:val="center"/>
        <w:rPr>
          <w:rFonts w:hint="eastAsia" w:ascii="仿宋_GB2312" w:hAnsi="仿宋_GB2312" w:eastAsia="仿宋_GB2312" w:cs="仿宋_GB2312"/>
          <w:color w:val="auto"/>
          <w:sz w:val="24"/>
          <w:szCs w:val="24"/>
          <w:highlight w:val="none"/>
          <w:lang w:val="en-US" w:eastAsia="zh-CN"/>
        </w:rPr>
      </w:pPr>
      <w:bookmarkStart w:id="285" w:name="_Toc22887"/>
      <w:r>
        <w:rPr>
          <w:rStyle w:val="36"/>
          <w:rFonts w:hint="eastAsia" w:ascii="仿宋_GB2312" w:hAnsi="仿宋_GB2312" w:eastAsia="仿宋_GB2312" w:cs="仿宋_GB2312"/>
          <w:bCs w:val="0"/>
          <w:color w:val="auto"/>
          <w:kern w:val="2"/>
          <w:sz w:val="24"/>
          <w:szCs w:val="24"/>
          <w:highlight w:val="none"/>
          <w:lang w:val="en-US" w:eastAsia="zh-CN"/>
        </w:rPr>
        <w:t>11、项目管理机构组成表</w:t>
      </w:r>
      <w:bookmarkEnd w:id="285"/>
    </w:p>
    <w:tbl>
      <w:tblPr>
        <w:tblStyle w:val="2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131"/>
        <w:gridCol w:w="911"/>
        <w:gridCol w:w="1135"/>
        <w:gridCol w:w="787"/>
        <w:gridCol w:w="1292"/>
        <w:gridCol w:w="785"/>
        <w:gridCol w:w="114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Merge w:val="restart"/>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1131" w:type="dxa"/>
            <w:vMerge w:val="restart"/>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911" w:type="dxa"/>
            <w:vMerge w:val="restart"/>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5148" w:type="dxa"/>
            <w:gridSpan w:val="5"/>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执业或职业资格证明</w:t>
            </w:r>
          </w:p>
        </w:tc>
        <w:tc>
          <w:tcPr>
            <w:tcW w:w="728"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41" w:type="dxa"/>
            <w:vMerge w:val="continue"/>
            <w:vAlign w:val="center"/>
          </w:tcPr>
          <w:p>
            <w:pPr>
              <w:shd w:val="clear"/>
              <w:jc w:val="center"/>
              <w:rPr>
                <w:rFonts w:hint="eastAsia" w:ascii="仿宋_GB2312" w:hAnsi="仿宋_GB2312" w:eastAsia="仿宋_GB2312" w:cs="仿宋_GB2312"/>
                <w:color w:val="auto"/>
                <w:sz w:val="24"/>
                <w:szCs w:val="24"/>
                <w:highlight w:val="none"/>
              </w:rPr>
            </w:pPr>
          </w:p>
        </w:tc>
        <w:tc>
          <w:tcPr>
            <w:tcW w:w="1131" w:type="dxa"/>
            <w:vMerge w:val="continue"/>
            <w:vAlign w:val="center"/>
          </w:tcPr>
          <w:p>
            <w:pPr>
              <w:shd w:val="clear"/>
              <w:jc w:val="center"/>
              <w:rPr>
                <w:rFonts w:hint="eastAsia" w:ascii="仿宋_GB2312" w:hAnsi="仿宋_GB2312" w:eastAsia="仿宋_GB2312" w:cs="仿宋_GB2312"/>
                <w:color w:val="auto"/>
                <w:sz w:val="24"/>
                <w:szCs w:val="24"/>
                <w:highlight w:val="none"/>
              </w:rPr>
            </w:pPr>
          </w:p>
        </w:tc>
        <w:tc>
          <w:tcPr>
            <w:tcW w:w="911" w:type="dxa"/>
            <w:vMerge w:val="continue"/>
            <w:vAlign w:val="center"/>
          </w:tcPr>
          <w:p>
            <w:pPr>
              <w:shd w:val="clear"/>
              <w:jc w:val="center"/>
              <w:rPr>
                <w:rFonts w:hint="eastAsia" w:ascii="仿宋_GB2312" w:hAnsi="仿宋_GB2312" w:eastAsia="仿宋_GB2312" w:cs="仿宋_GB2312"/>
                <w:color w:val="auto"/>
                <w:sz w:val="24"/>
                <w:szCs w:val="24"/>
                <w:highlight w:val="none"/>
              </w:rPr>
            </w:pPr>
          </w:p>
        </w:tc>
        <w:tc>
          <w:tcPr>
            <w:tcW w:w="1135"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证书名称</w:t>
            </w:r>
          </w:p>
        </w:tc>
        <w:tc>
          <w:tcPr>
            <w:tcW w:w="787"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级别</w:t>
            </w:r>
          </w:p>
        </w:tc>
        <w:tc>
          <w:tcPr>
            <w:tcW w:w="1292"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证号</w:t>
            </w:r>
          </w:p>
        </w:tc>
        <w:tc>
          <w:tcPr>
            <w:tcW w:w="785"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专业</w:t>
            </w:r>
          </w:p>
        </w:tc>
        <w:tc>
          <w:tcPr>
            <w:tcW w:w="1149" w:type="dxa"/>
            <w:vAlign w:val="center"/>
          </w:tcPr>
          <w:p>
            <w:pPr>
              <w:shd w:val="clear"/>
              <w:ind w:right="125" w:rightChars="52"/>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养老保险</w:t>
            </w:r>
          </w:p>
        </w:tc>
        <w:tc>
          <w:tcPr>
            <w:tcW w:w="728"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项目经理</w:t>
            </w:r>
          </w:p>
        </w:tc>
        <w:tc>
          <w:tcPr>
            <w:tcW w:w="1131" w:type="dxa"/>
            <w:vAlign w:val="center"/>
          </w:tcPr>
          <w:p>
            <w:pPr>
              <w:shd w:val="clear"/>
              <w:jc w:val="center"/>
              <w:rPr>
                <w:rFonts w:hint="eastAsia" w:ascii="仿宋_GB2312" w:hAnsi="仿宋_GB2312" w:eastAsia="仿宋_GB2312" w:cs="仿宋_GB2312"/>
                <w:color w:val="auto"/>
                <w:sz w:val="24"/>
                <w:szCs w:val="24"/>
                <w:highlight w:val="none"/>
              </w:rPr>
            </w:pPr>
          </w:p>
        </w:tc>
        <w:tc>
          <w:tcPr>
            <w:tcW w:w="911" w:type="dxa"/>
            <w:vAlign w:val="center"/>
          </w:tcPr>
          <w:p>
            <w:pPr>
              <w:shd w:val="clear"/>
              <w:jc w:val="center"/>
              <w:rPr>
                <w:rFonts w:hint="eastAsia" w:ascii="仿宋_GB2312" w:hAnsi="仿宋_GB2312" w:eastAsia="仿宋_GB2312" w:cs="仿宋_GB2312"/>
                <w:color w:val="auto"/>
                <w:sz w:val="24"/>
                <w:szCs w:val="24"/>
                <w:highlight w:val="none"/>
              </w:rPr>
            </w:pPr>
          </w:p>
        </w:tc>
        <w:tc>
          <w:tcPr>
            <w:tcW w:w="1135" w:type="dxa"/>
            <w:vAlign w:val="center"/>
          </w:tcPr>
          <w:p>
            <w:pPr>
              <w:shd w:val="clear"/>
              <w:jc w:val="center"/>
              <w:rPr>
                <w:rFonts w:hint="eastAsia" w:ascii="仿宋_GB2312" w:hAnsi="仿宋_GB2312" w:eastAsia="仿宋_GB2312" w:cs="仿宋_GB2312"/>
                <w:color w:val="auto"/>
                <w:sz w:val="24"/>
                <w:szCs w:val="24"/>
                <w:highlight w:val="none"/>
              </w:rPr>
            </w:pPr>
          </w:p>
        </w:tc>
        <w:tc>
          <w:tcPr>
            <w:tcW w:w="787" w:type="dxa"/>
            <w:vAlign w:val="center"/>
          </w:tcPr>
          <w:p>
            <w:pPr>
              <w:shd w:val="clear"/>
              <w:jc w:val="center"/>
              <w:rPr>
                <w:rFonts w:hint="eastAsia" w:ascii="仿宋_GB2312" w:hAnsi="仿宋_GB2312" w:eastAsia="仿宋_GB2312" w:cs="仿宋_GB2312"/>
                <w:color w:val="auto"/>
                <w:sz w:val="24"/>
                <w:szCs w:val="24"/>
                <w:highlight w:val="none"/>
              </w:rPr>
            </w:pPr>
          </w:p>
        </w:tc>
        <w:tc>
          <w:tcPr>
            <w:tcW w:w="1292" w:type="dxa"/>
            <w:vAlign w:val="center"/>
          </w:tcPr>
          <w:p>
            <w:pPr>
              <w:shd w:val="clear"/>
              <w:jc w:val="center"/>
              <w:rPr>
                <w:rFonts w:hint="eastAsia" w:ascii="仿宋_GB2312" w:hAnsi="仿宋_GB2312" w:eastAsia="仿宋_GB2312" w:cs="仿宋_GB2312"/>
                <w:color w:val="auto"/>
                <w:sz w:val="24"/>
                <w:szCs w:val="24"/>
                <w:highlight w:val="none"/>
              </w:rPr>
            </w:pPr>
          </w:p>
        </w:tc>
        <w:tc>
          <w:tcPr>
            <w:tcW w:w="785" w:type="dxa"/>
            <w:vAlign w:val="center"/>
          </w:tcPr>
          <w:p>
            <w:pPr>
              <w:shd w:val="clear"/>
              <w:jc w:val="center"/>
              <w:rPr>
                <w:rFonts w:hint="eastAsia" w:ascii="仿宋_GB2312" w:hAnsi="仿宋_GB2312" w:eastAsia="仿宋_GB2312" w:cs="仿宋_GB2312"/>
                <w:color w:val="auto"/>
                <w:sz w:val="24"/>
                <w:szCs w:val="24"/>
                <w:highlight w:val="none"/>
              </w:rPr>
            </w:pPr>
          </w:p>
        </w:tc>
        <w:tc>
          <w:tcPr>
            <w:tcW w:w="1149" w:type="dxa"/>
            <w:vAlign w:val="center"/>
          </w:tcPr>
          <w:p>
            <w:pPr>
              <w:shd w:val="clear"/>
              <w:jc w:val="center"/>
              <w:rPr>
                <w:rFonts w:hint="eastAsia" w:ascii="仿宋_GB2312" w:hAnsi="仿宋_GB2312" w:eastAsia="仿宋_GB2312" w:cs="仿宋_GB2312"/>
                <w:color w:val="auto"/>
                <w:sz w:val="24"/>
                <w:szCs w:val="24"/>
                <w:highlight w:val="none"/>
              </w:rPr>
            </w:pPr>
          </w:p>
        </w:tc>
        <w:tc>
          <w:tcPr>
            <w:tcW w:w="728"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41" w:type="dxa"/>
            <w:vAlign w:val="center"/>
          </w:tcPr>
          <w:p>
            <w:pPr>
              <w:shd w:val="clea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项目技术负责人</w:t>
            </w:r>
          </w:p>
        </w:tc>
        <w:tc>
          <w:tcPr>
            <w:tcW w:w="1131" w:type="dxa"/>
            <w:vAlign w:val="center"/>
          </w:tcPr>
          <w:p>
            <w:pPr>
              <w:shd w:val="clear"/>
              <w:jc w:val="center"/>
              <w:rPr>
                <w:rFonts w:hint="eastAsia" w:ascii="仿宋_GB2312" w:hAnsi="仿宋_GB2312" w:eastAsia="仿宋_GB2312" w:cs="仿宋_GB2312"/>
                <w:color w:val="auto"/>
                <w:sz w:val="24"/>
                <w:szCs w:val="24"/>
                <w:highlight w:val="none"/>
              </w:rPr>
            </w:pPr>
          </w:p>
        </w:tc>
        <w:tc>
          <w:tcPr>
            <w:tcW w:w="911" w:type="dxa"/>
            <w:vAlign w:val="center"/>
          </w:tcPr>
          <w:p>
            <w:pPr>
              <w:shd w:val="clear"/>
              <w:jc w:val="center"/>
              <w:rPr>
                <w:rFonts w:hint="eastAsia" w:ascii="仿宋_GB2312" w:hAnsi="仿宋_GB2312" w:eastAsia="仿宋_GB2312" w:cs="仿宋_GB2312"/>
                <w:color w:val="auto"/>
                <w:sz w:val="24"/>
                <w:szCs w:val="24"/>
                <w:highlight w:val="none"/>
              </w:rPr>
            </w:pPr>
          </w:p>
        </w:tc>
        <w:tc>
          <w:tcPr>
            <w:tcW w:w="1135" w:type="dxa"/>
            <w:vAlign w:val="center"/>
          </w:tcPr>
          <w:p>
            <w:pPr>
              <w:shd w:val="clear"/>
              <w:jc w:val="center"/>
              <w:rPr>
                <w:rFonts w:hint="eastAsia" w:ascii="仿宋_GB2312" w:hAnsi="仿宋_GB2312" w:eastAsia="仿宋_GB2312" w:cs="仿宋_GB2312"/>
                <w:color w:val="auto"/>
                <w:sz w:val="24"/>
                <w:szCs w:val="24"/>
                <w:highlight w:val="none"/>
              </w:rPr>
            </w:pPr>
          </w:p>
        </w:tc>
        <w:tc>
          <w:tcPr>
            <w:tcW w:w="787" w:type="dxa"/>
            <w:vAlign w:val="center"/>
          </w:tcPr>
          <w:p>
            <w:pPr>
              <w:shd w:val="clear"/>
              <w:jc w:val="center"/>
              <w:rPr>
                <w:rFonts w:hint="eastAsia" w:ascii="仿宋_GB2312" w:hAnsi="仿宋_GB2312" w:eastAsia="仿宋_GB2312" w:cs="仿宋_GB2312"/>
                <w:color w:val="auto"/>
                <w:sz w:val="24"/>
                <w:szCs w:val="24"/>
                <w:highlight w:val="none"/>
              </w:rPr>
            </w:pPr>
          </w:p>
        </w:tc>
        <w:tc>
          <w:tcPr>
            <w:tcW w:w="1292" w:type="dxa"/>
            <w:vAlign w:val="center"/>
          </w:tcPr>
          <w:p>
            <w:pPr>
              <w:shd w:val="clear"/>
              <w:jc w:val="center"/>
              <w:rPr>
                <w:rFonts w:hint="eastAsia" w:ascii="仿宋_GB2312" w:hAnsi="仿宋_GB2312" w:eastAsia="仿宋_GB2312" w:cs="仿宋_GB2312"/>
                <w:color w:val="auto"/>
                <w:sz w:val="24"/>
                <w:szCs w:val="24"/>
                <w:highlight w:val="none"/>
              </w:rPr>
            </w:pPr>
          </w:p>
        </w:tc>
        <w:tc>
          <w:tcPr>
            <w:tcW w:w="785" w:type="dxa"/>
            <w:vAlign w:val="center"/>
          </w:tcPr>
          <w:p>
            <w:pPr>
              <w:shd w:val="clear"/>
              <w:jc w:val="center"/>
              <w:rPr>
                <w:rFonts w:hint="eastAsia" w:ascii="仿宋_GB2312" w:hAnsi="仿宋_GB2312" w:eastAsia="仿宋_GB2312" w:cs="仿宋_GB2312"/>
                <w:color w:val="auto"/>
                <w:sz w:val="24"/>
                <w:szCs w:val="24"/>
                <w:highlight w:val="none"/>
              </w:rPr>
            </w:pPr>
          </w:p>
        </w:tc>
        <w:tc>
          <w:tcPr>
            <w:tcW w:w="1149" w:type="dxa"/>
            <w:vAlign w:val="center"/>
          </w:tcPr>
          <w:p>
            <w:pPr>
              <w:shd w:val="clear"/>
              <w:jc w:val="center"/>
              <w:rPr>
                <w:rFonts w:hint="eastAsia" w:ascii="仿宋_GB2312" w:hAnsi="仿宋_GB2312" w:eastAsia="仿宋_GB2312" w:cs="仿宋_GB2312"/>
                <w:color w:val="auto"/>
                <w:sz w:val="24"/>
                <w:szCs w:val="24"/>
                <w:highlight w:val="none"/>
              </w:rPr>
            </w:pPr>
          </w:p>
        </w:tc>
        <w:tc>
          <w:tcPr>
            <w:tcW w:w="728"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施工员</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专职质检员</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专职安全员</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资料员</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材料员</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预算员</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Align w:val="top"/>
          </w:tcPr>
          <w:p>
            <w:pPr>
              <w:shd w:val="clear"/>
              <w:rPr>
                <w:rFonts w:hint="eastAsia" w:ascii="仿宋_GB2312" w:hAnsi="仿宋_GB2312" w:eastAsia="仿宋_GB2312" w:cs="仿宋_GB2312"/>
                <w:color w:val="auto"/>
                <w:sz w:val="24"/>
                <w:szCs w:val="24"/>
                <w:highlight w:val="none"/>
              </w:rPr>
            </w:pP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41" w:type="dxa"/>
            <w:vAlign w:val="top"/>
          </w:tcPr>
          <w:p>
            <w:pPr>
              <w:shd w:val="clear"/>
              <w:jc w:val="center"/>
              <w:rPr>
                <w:rFonts w:hint="eastAsia" w:ascii="仿宋_GB2312" w:hAnsi="仿宋_GB2312" w:eastAsia="仿宋_GB2312" w:cs="仿宋_GB2312"/>
                <w:color w:val="auto"/>
                <w:sz w:val="24"/>
                <w:szCs w:val="24"/>
                <w:highlight w:val="none"/>
              </w:rPr>
            </w:pPr>
          </w:p>
        </w:tc>
        <w:tc>
          <w:tcPr>
            <w:tcW w:w="1131" w:type="dxa"/>
            <w:vAlign w:val="top"/>
          </w:tcPr>
          <w:p>
            <w:pPr>
              <w:shd w:val="clear"/>
              <w:jc w:val="center"/>
              <w:rPr>
                <w:rFonts w:hint="eastAsia" w:ascii="仿宋_GB2312" w:hAnsi="仿宋_GB2312" w:eastAsia="仿宋_GB2312" w:cs="仿宋_GB2312"/>
                <w:color w:val="auto"/>
                <w:sz w:val="24"/>
                <w:szCs w:val="24"/>
                <w:highlight w:val="none"/>
              </w:rPr>
            </w:pPr>
          </w:p>
        </w:tc>
        <w:tc>
          <w:tcPr>
            <w:tcW w:w="911" w:type="dxa"/>
            <w:vAlign w:val="top"/>
          </w:tcPr>
          <w:p>
            <w:pPr>
              <w:shd w:val="clear"/>
              <w:jc w:val="center"/>
              <w:rPr>
                <w:rFonts w:hint="eastAsia" w:ascii="仿宋_GB2312" w:hAnsi="仿宋_GB2312" w:eastAsia="仿宋_GB2312" w:cs="仿宋_GB2312"/>
                <w:color w:val="auto"/>
                <w:sz w:val="24"/>
                <w:szCs w:val="24"/>
                <w:highlight w:val="none"/>
              </w:rPr>
            </w:pPr>
          </w:p>
        </w:tc>
        <w:tc>
          <w:tcPr>
            <w:tcW w:w="1135" w:type="dxa"/>
            <w:vAlign w:val="top"/>
          </w:tcPr>
          <w:p>
            <w:pPr>
              <w:shd w:val="clear"/>
              <w:jc w:val="center"/>
              <w:rPr>
                <w:rFonts w:hint="eastAsia" w:ascii="仿宋_GB2312" w:hAnsi="仿宋_GB2312" w:eastAsia="仿宋_GB2312" w:cs="仿宋_GB2312"/>
                <w:color w:val="auto"/>
                <w:sz w:val="24"/>
                <w:szCs w:val="24"/>
                <w:highlight w:val="none"/>
              </w:rPr>
            </w:pPr>
          </w:p>
        </w:tc>
        <w:tc>
          <w:tcPr>
            <w:tcW w:w="787" w:type="dxa"/>
            <w:vAlign w:val="top"/>
          </w:tcPr>
          <w:p>
            <w:pPr>
              <w:shd w:val="clear"/>
              <w:jc w:val="center"/>
              <w:rPr>
                <w:rFonts w:hint="eastAsia" w:ascii="仿宋_GB2312" w:hAnsi="仿宋_GB2312" w:eastAsia="仿宋_GB2312" w:cs="仿宋_GB2312"/>
                <w:color w:val="auto"/>
                <w:sz w:val="24"/>
                <w:szCs w:val="24"/>
                <w:highlight w:val="none"/>
              </w:rPr>
            </w:pPr>
          </w:p>
        </w:tc>
        <w:tc>
          <w:tcPr>
            <w:tcW w:w="1292" w:type="dxa"/>
            <w:vAlign w:val="top"/>
          </w:tcPr>
          <w:p>
            <w:pPr>
              <w:shd w:val="clear"/>
              <w:jc w:val="center"/>
              <w:rPr>
                <w:rFonts w:hint="eastAsia" w:ascii="仿宋_GB2312" w:hAnsi="仿宋_GB2312" w:eastAsia="仿宋_GB2312" w:cs="仿宋_GB2312"/>
                <w:color w:val="auto"/>
                <w:sz w:val="24"/>
                <w:szCs w:val="24"/>
                <w:highlight w:val="none"/>
              </w:rPr>
            </w:pPr>
          </w:p>
        </w:tc>
        <w:tc>
          <w:tcPr>
            <w:tcW w:w="785" w:type="dxa"/>
            <w:vAlign w:val="top"/>
          </w:tcPr>
          <w:p>
            <w:pPr>
              <w:shd w:val="clear"/>
              <w:jc w:val="center"/>
              <w:rPr>
                <w:rFonts w:hint="eastAsia" w:ascii="仿宋_GB2312" w:hAnsi="仿宋_GB2312" w:eastAsia="仿宋_GB2312" w:cs="仿宋_GB2312"/>
                <w:color w:val="auto"/>
                <w:sz w:val="24"/>
                <w:szCs w:val="24"/>
                <w:highlight w:val="none"/>
              </w:rPr>
            </w:pPr>
          </w:p>
        </w:tc>
        <w:tc>
          <w:tcPr>
            <w:tcW w:w="1149" w:type="dxa"/>
            <w:vAlign w:val="top"/>
          </w:tcPr>
          <w:p>
            <w:pPr>
              <w:shd w:val="clear"/>
              <w:jc w:val="center"/>
              <w:rPr>
                <w:rFonts w:hint="eastAsia" w:ascii="仿宋_GB2312" w:hAnsi="仿宋_GB2312" w:eastAsia="仿宋_GB2312" w:cs="仿宋_GB2312"/>
                <w:color w:val="auto"/>
                <w:sz w:val="24"/>
                <w:szCs w:val="24"/>
                <w:highlight w:val="none"/>
              </w:rPr>
            </w:pPr>
          </w:p>
        </w:tc>
        <w:tc>
          <w:tcPr>
            <w:tcW w:w="728" w:type="dxa"/>
            <w:vAlign w:val="top"/>
          </w:tcPr>
          <w:p>
            <w:pPr>
              <w:shd w:val="clear"/>
              <w:jc w:val="center"/>
              <w:rPr>
                <w:rFonts w:hint="eastAsia" w:ascii="仿宋_GB2312" w:hAnsi="仿宋_GB2312" w:eastAsia="仿宋_GB2312" w:cs="仿宋_GB2312"/>
                <w:color w:val="auto"/>
                <w:sz w:val="24"/>
                <w:szCs w:val="24"/>
                <w:highlight w:val="none"/>
              </w:rPr>
            </w:pPr>
          </w:p>
        </w:tc>
      </w:tr>
    </w:tbl>
    <w:p>
      <w:pPr>
        <w:shd w:val="clea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注：本工程一旦我单位中标，将配备上述项目管理人员。上述填报内容真实，如不真实，将按照有关规定接受处理。</w:t>
      </w: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shd w:val="clear"/>
        <w:rPr>
          <w:rStyle w:val="36"/>
          <w:rFonts w:hint="eastAsia" w:ascii="仿宋_GB2312" w:hAnsi="仿宋_GB2312" w:eastAsia="仿宋_GB2312" w:cs="仿宋_GB2312"/>
          <w:bCs w:val="0"/>
          <w:color w:val="auto"/>
          <w:kern w:val="2"/>
          <w:sz w:val="24"/>
          <w:szCs w:val="24"/>
          <w:highlight w:val="none"/>
          <w:lang w:val="en-US" w:eastAsia="zh-CN"/>
        </w:rPr>
      </w:pPr>
      <w:r>
        <w:rPr>
          <w:rStyle w:val="36"/>
          <w:rFonts w:hint="eastAsia" w:ascii="仿宋_GB2312" w:hAnsi="仿宋_GB2312" w:eastAsia="仿宋_GB2312" w:cs="仿宋_GB2312"/>
          <w:bCs w:val="0"/>
          <w:color w:val="auto"/>
          <w:kern w:val="2"/>
          <w:sz w:val="24"/>
          <w:szCs w:val="24"/>
          <w:highlight w:val="none"/>
          <w:lang w:val="en-US" w:eastAsia="zh-CN"/>
        </w:rPr>
        <w:br w:type="page"/>
      </w:r>
    </w:p>
    <w:p>
      <w:pPr>
        <w:numPr>
          <w:ilvl w:val="0"/>
          <w:numId w:val="0"/>
        </w:numPr>
        <w:shd w:val="clear"/>
        <w:topLinePunct/>
        <w:jc w:val="center"/>
        <w:outlineLvl w:val="1"/>
        <w:rPr>
          <w:rStyle w:val="36"/>
          <w:rFonts w:hint="eastAsia" w:ascii="仿宋_GB2312" w:hAnsi="仿宋_GB2312" w:eastAsia="仿宋_GB2312" w:cs="仿宋_GB2312"/>
          <w:bCs w:val="0"/>
          <w:color w:val="auto"/>
          <w:kern w:val="2"/>
          <w:sz w:val="24"/>
          <w:szCs w:val="24"/>
          <w:highlight w:val="none"/>
          <w:lang w:val="en-US" w:eastAsia="zh-CN"/>
        </w:rPr>
      </w:pPr>
      <w:bookmarkStart w:id="286" w:name="_Toc22176"/>
      <w:r>
        <w:rPr>
          <w:rStyle w:val="36"/>
          <w:rFonts w:hint="eastAsia" w:ascii="仿宋_GB2312" w:hAnsi="仿宋_GB2312" w:eastAsia="仿宋_GB2312" w:cs="仿宋_GB2312"/>
          <w:bCs w:val="0"/>
          <w:color w:val="auto"/>
          <w:kern w:val="2"/>
          <w:sz w:val="24"/>
          <w:szCs w:val="24"/>
          <w:highlight w:val="none"/>
          <w:lang w:val="en-US" w:eastAsia="zh-CN"/>
        </w:rPr>
        <w:t>12、项目负责人简历表</w:t>
      </w:r>
      <w:bookmarkEnd w:id="286"/>
    </w:p>
    <w:p>
      <w:pPr>
        <w:shd w:val="clear"/>
        <w:ind w:firstLine="480" w:firstLineChars="200"/>
        <w:rPr>
          <w:rFonts w:hint="eastAsia" w:ascii="仿宋_GB2312" w:hAnsi="仿宋_GB2312" w:eastAsia="仿宋_GB2312" w:cs="仿宋_GB2312"/>
          <w:b w:val="0"/>
          <w:bCs w:val="0"/>
          <w:color w:val="auto"/>
          <w:sz w:val="24"/>
          <w:szCs w:val="24"/>
          <w:highlight w:val="none"/>
        </w:rPr>
      </w:pPr>
    </w:p>
    <w:p>
      <w:pPr>
        <w:shd w:val="clear"/>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项目负责人应附</w:t>
      </w:r>
      <w:r>
        <w:rPr>
          <w:rFonts w:hint="eastAsia" w:ascii="仿宋_GB2312" w:hAnsi="仿宋_GB2312" w:eastAsia="仿宋_GB2312" w:cs="仿宋_GB2312"/>
          <w:b w:val="0"/>
          <w:bCs w:val="0"/>
          <w:color w:val="auto"/>
          <w:sz w:val="24"/>
          <w:szCs w:val="24"/>
          <w:highlight w:val="none"/>
          <w:lang w:val="en-US" w:eastAsia="zh-CN"/>
        </w:rPr>
        <w:t>建造师执业资格证书</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建造师注册证书、安全生产考核B类合格证书</w:t>
      </w:r>
      <w:r>
        <w:rPr>
          <w:rFonts w:hint="eastAsia" w:ascii="仿宋_GB2312" w:hAnsi="仿宋_GB2312" w:eastAsia="仿宋_GB2312" w:cs="仿宋_GB2312"/>
          <w:b w:val="0"/>
          <w:bCs w:val="0"/>
          <w:color w:val="auto"/>
          <w:sz w:val="24"/>
          <w:szCs w:val="24"/>
          <w:highlight w:val="none"/>
        </w:rPr>
        <w:t>、身份证、</w:t>
      </w:r>
      <w:r>
        <w:rPr>
          <w:rFonts w:hint="eastAsia" w:ascii="仿宋_GB2312" w:hAnsi="仿宋_GB2312" w:eastAsia="仿宋_GB2312" w:cs="仿宋_GB2312"/>
          <w:b w:val="0"/>
          <w:bCs w:val="0"/>
          <w:color w:val="auto"/>
          <w:sz w:val="24"/>
          <w:szCs w:val="24"/>
          <w:highlight w:val="none"/>
          <w:lang w:eastAsia="zh-CN"/>
        </w:rPr>
        <w:t>近</w:t>
      </w:r>
      <w:r>
        <w:rPr>
          <w:rFonts w:hint="eastAsia" w:ascii="仿宋_GB2312" w:hAnsi="仿宋_GB2312" w:eastAsia="仿宋_GB2312" w:cs="仿宋_GB2312"/>
          <w:b w:val="0"/>
          <w:bCs w:val="0"/>
          <w:color w:val="auto"/>
          <w:sz w:val="24"/>
          <w:szCs w:val="24"/>
          <w:highlight w:val="none"/>
          <w:lang w:val="en-US" w:eastAsia="zh-CN"/>
        </w:rPr>
        <w:t>3个月</w:t>
      </w:r>
      <w:r>
        <w:rPr>
          <w:rFonts w:hint="eastAsia" w:ascii="仿宋_GB2312" w:hAnsi="仿宋_GB2312" w:eastAsia="仿宋_GB2312" w:cs="仿宋_GB2312"/>
          <w:b w:val="0"/>
          <w:bCs w:val="0"/>
          <w:color w:val="auto"/>
          <w:sz w:val="24"/>
          <w:szCs w:val="24"/>
          <w:highlight w:val="none"/>
        </w:rPr>
        <w:t>养老保险复印件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未担任其他在施建设工程项目项目负责人的承诺书</w:t>
      </w:r>
      <w:r>
        <w:rPr>
          <w:rFonts w:hint="eastAsia" w:ascii="仿宋_GB2312" w:hAnsi="仿宋_GB2312" w:eastAsia="仿宋_GB2312" w:cs="仿宋_GB2312"/>
          <w:b w:val="0"/>
          <w:bCs w:val="0"/>
          <w:color w:val="auto"/>
          <w:sz w:val="24"/>
          <w:szCs w:val="24"/>
          <w:highlight w:val="none"/>
          <w:lang w:eastAsia="zh-CN"/>
        </w:rPr>
        <w:t>及</w:t>
      </w:r>
      <w:r>
        <w:rPr>
          <w:rFonts w:hint="eastAsia" w:ascii="仿宋_GB2312" w:hAnsi="仿宋_GB2312" w:eastAsia="仿宋_GB2312" w:cs="仿宋_GB2312"/>
          <w:b w:val="0"/>
          <w:bCs w:val="0"/>
          <w:color w:val="auto"/>
          <w:sz w:val="24"/>
          <w:szCs w:val="24"/>
          <w:highlight w:val="none"/>
        </w:rPr>
        <w:t>管理过的类似项目业绩</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类似项目业绩</w:t>
      </w:r>
      <w:r>
        <w:rPr>
          <w:rFonts w:hint="eastAsia" w:ascii="仿宋_GB2312" w:hAnsi="仿宋_GB2312" w:eastAsia="仿宋_GB2312" w:cs="仿宋_GB2312"/>
          <w:b w:val="0"/>
          <w:bCs w:val="0"/>
          <w:color w:val="auto"/>
          <w:sz w:val="24"/>
          <w:szCs w:val="24"/>
          <w:highlight w:val="none"/>
          <w:lang w:eastAsia="zh-CN"/>
        </w:rPr>
        <w:t>仅</w:t>
      </w:r>
      <w:r>
        <w:rPr>
          <w:rFonts w:hint="eastAsia" w:ascii="仿宋_GB2312" w:hAnsi="仿宋_GB2312" w:eastAsia="仿宋_GB2312" w:cs="仿宋_GB2312"/>
          <w:b w:val="0"/>
          <w:bCs w:val="0"/>
          <w:color w:val="auto"/>
          <w:sz w:val="24"/>
          <w:szCs w:val="24"/>
          <w:highlight w:val="none"/>
        </w:rPr>
        <w:t>限</w:t>
      </w:r>
      <w:r>
        <w:rPr>
          <w:rFonts w:hint="eastAsia" w:ascii="仿宋_GB2312" w:hAnsi="仿宋_GB2312" w:eastAsia="仿宋_GB2312" w:cs="仿宋_GB2312"/>
          <w:color w:val="auto"/>
          <w:kern w:val="2"/>
          <w:sz w:val="24"/>
          <w:szCs w:val="24"/>
          <w:highlight w:val="none"/>
          <w:shd w:val="clear" w:color="auto" w:fill="FFFFFF"/>
          <w:lang w:val="en-US" w:eastAsia="zh-CN"/>
        </w:rPr>
        <w:t>2020年1月至今的</w:t>
      </w:r>
      <w:r>
        <w:rPr>
          <w:rFonts w:hint="eastAsia" w:ascii="仿宋_GB2312" w:hAnsi="仿宋_GB2312" w:eastAsia="仿宋_GB2312" w:cs="仿宋_GB2312"/>
          <w:b w:val="0"/>
          <w:bCs w:val="0"/>
          <w:color w:val="auto"/>
          <w:sz w:val="24"/>
          <w:szCs w:val="24"/>
          <w:highlight w:val="none"/>
        </w:rPr>
        <w:t>以项目负责人身份参与的项</w:t>
      </w:r>
      <w:r>
        <w:rPr>
          <w:rFonts w:hint="eastAsia" w:ascii="仿宋_GB2312" w:hAnsi="仿宋_GB2312" w:eastAsia="仿宋_GB2312" w:cs="仿宋_GB2312"/>
          <w:b w:val="0"/>
          <w:bCs w:val="0"/>
          <w:color w:val="auto"/>
          <w:sz w:val="24"/>
          <w:szCs w:val="24"/>
          <w:highlight w:val="none"/>
          <w:lang w:eastAsia="zh-CN"/>
        </w:rPr>
        <w:t>目，业绩</w:t>
      </w:r>
      <w:r>
        <w:rPr>
          <w:rFonts w:hint="eastAsia" w:ascii="仿宋_GB2312" w:hAnsi="仿宋_GB2312" w:eastAsia="仿宋_GB2312" w:cs="仿宋_GB2312"/>
          <w:b w:val="0"/>
          <w:bCs w:val="0"/>
          <w:color w:val="auto"/>
          <w:sz w:val="24"/>
          <w:szCs w:val="24"/>
          <w:highlight w:val="none"/>
        </w:rPr>
        <w:t>须附</w:t>
      </w:r>
      <w:r>
        <w:rPr>
          <w:rFonts w:hint="eastAsia" w:ascii="仿宋_GB2312" w:hAnsi="仿宋_GB2312" w:eastAsia="仿宋_GB2312" w:cs="仿宋_GB2312"/>
          <w:color w:val="auto"/>
          <w:kern w:val="2"/>
          <w:sz w:val="24"/>
          <w:szCs w:val="24"/>
          <w:highlight w:val="none"/>
          <w:shd w:val="clear" w:color="auto" w:fill="FFFFFF"/>
          <w:lang w:val="en-US" w:eastAsia="zh-CN"/>
        </w:rPr>
        <w:t>中标通知书、合同协议书、竣工验收报告或合同工程完工证明）</w:t>
      </w:r>
      <w:r>
        <w:rPr>
          <w:rFonts w:hint="eastAsia" w:ascii="仿宋_GB2312" w:hAnsi="仿宋_GB2312" w:eastAsia="仿宋_GB2312" w:cs="仿宋_GB2312"/>
          <w:b w:val="0"/>
          <w:bCs w:val="0"/>
          <w:color w:val="auto"/>
          <w:sz w:val="24"/>
          <w:szCs w:val="24"/>
          <w:highlight w:val="none"/>
        </w:rPr>
        <w:t>复印件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w:t>
      </w:r>
    </w:p>
    <w:tbl>
      <w:tblPr>
        <w:tblStyle w:val="25"/>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1035"/>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shd w:val="clear"/>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p>
        </w:tc>
        <w:tc>
          <w:tcPr>
            <w:tcW w:w="1035" w:type="dxa"/>
            <w:vAlign w:val="center"/>
          </w:tcPr>
          <w:p>
            <w:pPr>
              <w:shd w:val="clear"/>
              <w:jc w:val="center"/>
              <w:rPr>
                <w:rFonts w:hint="eastAsia" w:ascii="仿宋_GB2312" w:hAnsi="仿宋_GB2312" w:eastAsia="仿宋_GB2312" w:cs="仿宋_GB2312"/>
                <w:color w:val="auto"/>
                <w:sz w:val="24"/>
                <w:szCs w:val="24"/>
                <w:highlight w:val="none"/>
              </w:rPr>
            </w:pPr>
          </w:p>
        </w:tc>
        <w:tc>
          <w:tcPr>
            <w:tcW w:w="1134"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龄</w:t>
            </w:r>
          </w:p>
        </w:tc>
        <w:tc>
          <w:tcPr>
            <w:tcW w:w="1275"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2126"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  称</w:t>
            </w:r>
          </w:p>
        </w:tc>
        <w:tc>
          <w:tcPr>
            <w:tcW w:w="1035" w:type="dxa"/>
            <w:vAlign w:val="center"/>
          </w:tcPr>
          <w:p>
            <w:pPr>
              <w:shd w:val="clear"/>
              <w:jc w:val="center"/>
              <w:rPr>
                <w:rFonts w:hint="eastAsia" w:ascii="仿宋_GB2312" w:hAnsi="仿宋_GB2312" w:eastAsia="仿宋_GB2312" w:cs="仿宋_GB2312"/>
                <w:color w:val="auto"/>
                <w:sz w:val="24"/>
                <w:szCs w:val="24"/>
                <w:highlight w:val="none"/>
              </w:rPr>
            </w:pPr>
          </w:p>
        </w:tc>
        <w:tc>
          <w:tcPr>
            <w:tcW w:w="1134"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  务</w:t>
            </w:r>
          </w:p>
        </w:tc>
        <w:tc>
          <w:tcPr>
            <w:tcW w:w="1275"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拟在本工程任职</w:t>
            </w:r>
          </w:p>
        </w:tc>
        <w:tc>
          <w:tcPr>
            <w:tcW w:w="2126"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注册建造师执业资格等级</w:t>
            </w:r>
          </w:p>
        </w:tc>
        <w:tc>
          <w:tcPr>
            <w:tcW w:w="1275"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级</w:t>
            </w: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建造师专业</w:t>
            </w: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4"/>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安全生产考核合格证书</w:t>
            </w:r>
          </w:p>
        </w:tc>
        <w:tc>
          <w:tcPr>
            <w:tcW w:w="5751" w:type="dxa"/>
            <w:gridSpan w:val="6"/>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毕业学校</w:t>
            </w:r>
          </w:p>
        </w:tc>
        <w:tc>
          <w:tcPr>
            <w:tcW w:w="7920" w:type="dxa"/>
            <w:gridSpan w:val="9"/>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0"/>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  间</w:t>
            </w: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参加过的类似项目名称</w:t>
            </w: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工程概况说明</w:t>
            </w: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shd w:val="clear"/>
              <w:jc w:val="center"/>
              <w:rPr>
                <w:rFonts w:hint="eastAsia" w:ascii="仿宋_GB2312" w:hAnsi="仿宋_GB2312" w:eastAsia="仿宋_GB2312" w:cs="仿宋_GB2312"/>
                <w:color w:val="auto"/>
                <w:sz w:val="24"/>
                <w:szCs w:val="24"/>
                <w:highlight w:val="none"/>
              </w:rPr>
            </w:pPr>
          </w:p>
        </w:tc>
        <w:tc>
          <w:tcPr>
            <w:tcW w:w="3444" w:type="dxa"/>
            <w:gridSpan w:val="5"/>
            <w:vAlign w:val="center"/>
          </w:tcPr>
          <w:p>
            <w:pPr>
              <w:shd w:val="clear"/>
              <w:jc w:val="center"/>
              <w:rPr>
                <w:rFonts w:hint="eastAsia" w:ascii="仿宋_GB2312" w:hAnsi="仿宋_GB2312" w:eastAsia="仿宋_GB2312" w:cs="仿宋_GB2312"/>
                <w:color w:val="auto"/>
                <w:sz w:val="24"/>
                <w:szCs w:val="24"/>
                <w:highlight w:val="none"/>
              </w:rPr>
            </w:pPr>
          </w:p>
        </w:tc>
        <w:tc>
          <w:tcPr>
            <w:tcW w:w="1843" w:type="dxa"/>
            <w:gridSpan w:val="2"/>
            <w:vAlign w:val="center"/>
          </w:tcPr>
          <w:p>
            <w:pPr>
              <w:shd w:val="clear"/>
              <w:jc w:val="center"/>
              <w:rPr>
                <w:rFonts w:hint="eastAsia" w:ascii="仿宋_GB2312" w:hAnsi="仿宋_GB2312" w:eastAsia="仿宋_GB2312" w:cs="仿宋_GB2312"/>
                <w:color w:val="auto"/>
                <w:sz w:val="24"/>
                <w:szCs w:val="24"/>
                <w:highlight w:val="none"/>
              </w:rPr>
            </w:pPr>
          </w:p>
        </w:tc>
        <w:tc>
          <w:tcPr>
            <w:tcW w:w="2633" w:type="dxa"/>
            <w:gridSpan w:val="2"/>
            <w:vAlign w:val="center"/>
          </w:tcPr>
          <w:p>
            <w:pPr>
              <w:shd w:val="clear"/>
              <w:jc w:val="center"/>
              <w:rPr>
                <w:rFonts w:hint="eastAsia" w:ascii="仿宋_GB2312" w:hAnsi="仿宋_GB2312" w:eastAsia="仿宋_GB2312" w:cs="仿宋_GB2312"/>
                <w:color w:val="auto"/>
                <w:sz w:val="24"/>
                <w:szCs w:val="24"/>
                <w:highlight w:val="none"/>
              </w:rPr>
            </w:pPr>
          </w:p>
        </w:tc>
      </w:tr>
    </w:tbl>
    <w:p>
      <w:pPr>
        <w:pStyle w:val="14"/>
        <w:shd w:val="clear"/>
        <w:spacing w:line="240" w:lineRule="auto"/>
        <w:ind w:left="-7" w:leftChars="-28" w:hanging="60"/>
        <w:rPr>
          <w:rFonts w:hint="eastAsia" w:ascii="仿宋_GB2312" w:hAnsi="仿宋_GB2312" w:eastAsia="仿宋_GB2312" w:cs="仿宋_GB2312"/>
          <w:color w:val="auto"/>
          <w:sz w:val="24"/>
          <w:szCs w:val="24"/>
          <w:highlight w:val="none"/>
        </w:rPr>
      </w:pPr>
    </w:p>
    <w:p>
      <w:pPr>
        <w:pStyle w:val="14"/>
        <w:shd w:val="clear"/>
        <w:spacing w:line="240" w:lineRule="auto"/>
        <w:ind w:left="-7" w:leftChars="-28" w:hanging="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注：本工程一旦我单位中标，将配备上述项目管理人员。上述填报内容真实， 如不真实，将按照有关规定接受处理。</w:t>
      </w:r>
    </w:p>
    <w:p>
      <w:pPr>
        <w:pStyle w:val="50"/>
        <w:shd w:val="clear"/>
        <w:rPr>
          <w:rFonts w:hint="eastAsia" w:ascii="仿宋_GB2312" w:hAnsi="仿宋_GB2312" w:eastAsia="仿宋_GB2312" w:cs="仿宋_GB2312"/>
          <w:color w:val="auto"/>
          <w:sz w:val="24"/>
          <w:szCs w:val="24"/>
          <w:highlight w:val="none"/>
        </w:rPr>
      </w:pPr>
    </w:p>
    <w:p>
      <w:pPr>
        <w:pStyle w:val="50"/>
        <w:shd w:val="clear"/>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pStyle w:val="2"/>
        <w:rPr>
          <w:rFonts w:hint="eastAsia"/>
          <w:lang w:val="en-US" w:eastAsia="zh-CN"/>
        </w:rPr>
      </w:pPr>
    </w:p>
    <w:p>
      <w:pPr>
        <w:numPr>
          <w:ilvl w:val="0"/>
          <w:numId w:val="0"/>
        </w:numPr>
        <w:shd w:val="clear"/>
        <w:spacing w:line="460" w:lineRule="exact"/>
        <w:ind w:leftChars="-50" w:right="62" w:rightChars="0"/>
        <w:jc w:val="center"/>
        <w:outlineLvl w:val="1"/>
        <w:rPr>
          <w:rFonts w:hint="eastAsia" w:ascii="仿宋_GB2312" w:hAnsi="仿宋_GB2312" w:eastAsia="仿宋_GB2312" w:cs="仿宋_GB2312"/>
          <w:b/>
          <w:color w:val="auto"/>
          <w:sz w:val="24"/>
          <w:szCs w:val="24"/>
          <w:highlight w:val="none"/>
        </w:rPr>
      </w:pPr>
      <w:bookmarkStart w:id="287" w:name="_Toc2923"/>
      <w:r>
        <w:rPr>
          <w:rFonts w:hint="eastAsia" w:ascii="仿宋_GB2312" w:hAnsi="仿宋_GB2312" w:eastAsia="仿宋_GB2312" w:cs="仿宋_GB2312"/>
          <w:b/>
          <w:color w:val="auto"/>
          <w:sz w:val="24"/>
          <w:szCs w:val="24"/>
          <w:highlight w:val="none"/>
          <w:lang w:val="en-US" w:eastAsia="zh-CN"/>
        </w:rPr>
        <w:t>13、</w:t>
      </w:r>
      <w:r>
        <w:rPr>
          <w:rFonts w:hint="eastAsia" w:ascii="仿宋_GB2312" w:hAnsi="仿宋_GB2312" w:eastAsia="仿宋_GB2312" w:cs="仿宋_GB2312"/>
          <w:b/>
          <w:color w:val="auto"/>
          <w:sz w:val="24"/>
          <w:szCs w:val="24"/>
          <w:highlight w:val="none"/>
        </w:rPr>
        <w:t>项目管理人员简历表</w:t>
      </w:r>
      <w:bookmarkEnd w:id="287"/>
    </w:p>
    <w:p>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val="0"/>
          <w:bCs w:val="0"/>
          <w:color w:val="auto"/>
          <w:sz w:val="24"/>
          <w:szCs w:val="24"/>
          <w:highlight w:val="none"/>
        </w:rPr>
        <w:t>主要项目管理人员指</w:t>
      </w:r>
      <w:r>
        <w:rPr>
          <w:rFonts w:hint="eastAsia" w:ascii="仿宋_GB2312" w:hAnsi="仿宋_GB2312" w:eastAsia="仿宋_GB2312" w:cs="仿宋_GB2312"/>
          <w:b w:val="0"/>
          <w:bCs w:val="0"/>
          <w:color w:val="auto"/>
          <w:sz w:val="24"/>
          <w:szCs w:val="24"/>
          <w:highlight w:val="none"/>
          <w:lang w:val="en-US" w:eastAsia="zh-CN"/>
        </w:rPr>
        <w:t>项目技术负责人、施工员、专职质检员、专职安全员、材料员、资料员、预算员</w:t>
      </w:r>
      <w:r>
        <w:rPr>
          <w:rFonts w:hint="eastAsia" w:ascii="仿宋_GB2312" w:hAnsi="仿宋_GB2312" w:eastAsia="仿宋_GB2312" w:cs="仿宋_GB2312"/>
          <w:b w:val="0"/>
          <w:bCs w:val="0"/>
          <w:color w:val="auto"/>
          <w:sz w:val="24"/>
          <w:szCs w:val="24"/>
          <w:highlight w:val="none"/>
        </w:rPr>
        <w:t>等岗位人员。应附职称证</w:t>
      </w:r>
      <w:r>
        <w:rPr>
          <w:rFonts w:hint="eastAsia" w:ascii="仿宋_GB2312" w:hAnsi="仿宋_GB2312" w:eastAsia="仿宋_GB2312" w:cs="仿宋_GB2312"/>
          <w:b w:val="0"/>
          <w:bCs w:val="0"/>
          <w:color w:val="auto"/>
          <w:sz w:val="24"/>
          <w:szCs w:val="24"/>
          <w:highlight w:val="none"/>
          <w:lang w:eastAsia="zh-CN"/>
        </w:rPr>
        <w:t>或岗位证书</w:t>
      </w:r>
      <w:r>
        <w:rPr>
          <w:rFonts w:hint="eastAsia" w:ascii="仿宋_GB2312" w:hAnsi="仿宋_GB2312" w:eastAsia="仿宋_GB2312" w:cs="仿宋_GB2312"/>
          <w:b w:val="0"/>
          <w:bCs w:val="0"/>
          <w:color w:val="auto"/>
          <w:sz w:val="24"/>
          <w:szCs w:val="24"/>
          <w:highlight w:val="none"/>
        </w:rPr>
        <w:t>、身份证、</w:t>
      </w:r>
      <w:r>
        <w:rPr>
          <w:rFonts w:hint="eastAsia" w:ascii="仿宋_GB2312" w:hAnsi="仿宋_GB2312" w:eastAsia="仿宋_GB2312" w:cs="仿宋_GB2312"/>
          <w:b w:val="0"/>
          <w:bCs w:val="0"/>
          <w:color w:val="auto"/>
          <w:sz w:val="24"/>
          <w:szCs w:val="24"/>
          <w:highlight w:val="none"/>
          <w:lang w:eastAsia="zh-CN"/>
        </w:rPr>
        <w:t>近</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个月</w:t>
      </w:r>
      <w:r>
        <w:rPr>
          <w:rFonts w:hint="eastAsia" w:ascii="仿宋_GB2312" w:hAnsi="仿宋_GB2312" w:eastAsia="仿宋_GB2312" w:cs="仿宋_GB2312"/>
          <w:b w:val="0"/>
          <w:bCs w:val="0"/>
          <w:color w:val="auto"/>
          <w:sz w:val="24"/>
          <w:szCs w:val="24"/>
          <w:highlight w:val="none"/>
        </w:rPr>
        <w:t>养老保险复印件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专职安全生产管理人员</w:t>
      </w:r>
      <w:r>
        <w:rPr>
          <w:rFonts w:hint="eastAsia" w:ascii="仿宋_GB2312" w:hAnsi="仿宋_GB2312" w:eastAsia="仿宋_GB2312" w:cs="仿宋_GB2312"/>
          <w:b w:val="0"/>
          <w:bCs w:val="0"/>
          <w:color w:val="auto"/>
          <w:sz w:val="24"/>
          <w:szCs w:val="24"/>
          <w:highlight w:val="none"/>
          <w:lang w:val="en-US" w:eastAsia="zh-CN"/>
        </w:rPr>
        <w:t>还</w:t>
      </w:r>
      <w:r>
        <w:rPr>
          <w:rFonts w:hint="eastAsia" w:ascii="仿宋_GB2312" w:hAnsi="仿宋_GB2312" w:eastAsia="仿宋_GB2312" w:cs="仿宋_GB2312"/>
          <w:b w:val="0"/>
          <w:bCs w:val="0"/>
          <w:color w:val="auto"/>
          <w:sz w:val="24"/>
          <w:szCs w:val="24"/>
          <w:highlight w:val="none"/>
        </w:rPr>
        <w:t>应附安全生产考核</w:t>
      </w:r>
      <w:r>
        <w:rPr>
          <w:rFonts w:hint="eastAsia" w:ascii="仿宋_GB2312" w:hAnsi="仿宋_GB2312" w:eastAsia="仿宋_GB2312" w:cs="仿宋_GB2312"/>
          <w:b w:val="0"/>
          <w:bCs w:val="0"/>
          <w:color w:val="auto"/>
          <w:sz w:val="24"/>
          <w:szCs w:val="24"/>
          <w:highlight w:val="none"/>
          <w:lang w:val="en-US" w:eastAsia="zh-CN"/>
        </w:rPr>
        <w:t>C类</w:t>
      </w:r>
      <w:r>
        <w:rPr>
          <w:rFonts w:hint="eastAsia" w:ascii="仿宋_GB2312" w:hAnsi="仿宋_GB2312" w:eastAsia="仿宋_GB2312" w:cs="仿宋_GB2312"/>
          <w:b w:val="0"/>
          <w:bCs w:val="0"/>
          <w:color w:val="auto"/>
          <w:sz w:val="24"/>
          <w:szCs w:val="24"/>
          <w:highlight w:val="none"/>
        </w:rPr>
        <w:t>合格证书。</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4"/>
            <w:vAlign w:val="center"/>
          </w:tcPr>
          <w:p>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3420" w:type="dxa"/>
            <w:vAlign w:val="center"/>
          </w:tcPr>
          <w:p>
            <w:pPr>
              <w:shd w:val="clear"/>
              <w:rPr>
                <w:rFonts w:hint="eastAsia" w:ascii="仿宋_GB2312" w:hAnsi="仿宋_GB2312" w:eastAsia="仿宋_GB2312" w:cs="仿宋_GB2312"/>
                <w:color w:val="auto"/>
                <w:sz w:val="24"/>
                <w:szCs w:val="24"/>
                <w:highlight w:val="none"/>
              </w:rPr>
            </w:pPr>
          </w:p>
        </w:tc>
        <w:tc>
          <w:tcPr>
            <w:tcW w:w="126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年龄</w:t>
            </w:r>
          </w:p>
        </w:tc>
        <w:tc>
          <w:tcPr>
            <w:tcW w:w="2296" w:type="dxa"/>
            <w:vAlign w:val="center"/>
          </w:tcPr>
          <w:p>
            <w:pPr>
              <w:shd w:val="clea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top"/>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3420" w:type="dxa"/>
            <w:vAlign w:val="top"/>
          </w:tcPr>
          <w:p>
            <w:pPr>
              <w:shd w:val="clear"/>
              <w:rPr>
                <w:rFonts w:hint="eastAsia" w:ascii="仿宋_GB2312" w:hAnsi="仿宋_GB2312" w:eastAsia="仿宋_GB2312" w:cs="仿宋_GB2312"/>
                <w:color w:val="auto"/>
                <w:sz w:val="24"/>
                <w:szCs w:val="24"/>
                <w:highlight w:val="none"/>
              </w:rPr>
            </w:pPr>
          </w:p>
        </w:tc>
        <w:tc>
          <w:tcPr>
            <w:tcW w:w="1261" w:type="dxa"/>
            <w:vAlign w:val="top"/>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毕业学校</w:t>
            </w:r>
          </w:p>
        </w:tc>
        <w:tc>
          <w:tcPr>
            <w:tcW w:w="2296" w:type="dxa"/>
            <w:vAlign w:val="top"/>
          </w:tcPr>
          <w:p>
            <w:pPr>
              <w:shd w:val="clea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top"/>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学历和专业</w:t>
            </w:r>
          </w:p>
        </w:tc>
        <w:tc>
          <w:tcPr>
            <w:tcW w:w="3420" w:type="dxa"/>
            <w:vAlign w:val="top"/>
          </w:tcPr>
          <w:p>
            <w:pPr>
              <w:shd w:val="clear"/>
              <w:rPr>
                <w:rFonts w:hint="eastAsia" w:ascii="仿宋_GB2312" w:hAnsi="仿宋_GB2312" w:eastAsia="仿宋_GB2312" w:cs="仿宋_GB2312"/>
                <w:color w:val="auto"/>
                <w:sz w:val="24"/>
                <w:szCs w:val="24"/>
                <w:highlight w:val="none"/>
              </w:rPr>
            </w:pPr>
          </w:p>
        </w:tc>
        <w:tc>
          <w:tcPr>
            <w:tcW w:w="1261" w:type="dxa"/>
            <w:vAlign w:val="top"/>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毕业时间</w:t>
            </w:r>
          </w:p>
        </w:tc>
        <w:tc>
          <w:tcPr>
            <w:tcW w:w="2296" w:type="dxa"/>
            <w:vAlign w:val="top"/>
          </w:tcPr>
          <w:p>
            <w:pPr>
              <w:shd w:val="clea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top"/>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拥有的执业资格</w:t>
            </w:r>
          </w:p>
        </w:tc>
        <w:tc>
          <w:tcPr>
            <w:tcW w:w="3420" w:type="dxa"/>
            <w:vAlign w:val="top"/>
          </w:tcPr>
          <w:p>
            <w:pPr>
              <w:shd w:val="clear"/>
              <w:rPr>
                <w:rFonts w:hint="eastAsia" w:ascii="仿宋_GB2312" w:hAnsi="仿宋_GB2312" w:eastAsia="仿宋_GB2312" w:cs="仿宋_GB2312"/>
                <w:color w:val="auto"/>
                <w:sz w:val="24"/>
                <w:szCs w:val="24"/>
                <w:highlight w:val="none"/>
              </w:rPr>
            </w:pPr>
          </w:p>
        </w:tc>
        <w:tc>
          <w:tcPr>
            <w:tcW w:w="1261" w:type="dxa"/>
            <w:vAlign w:val="top"/>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专业职称</w:t>
            </w:r>
          </w:p>
        </w:tc>
        <w:tc>
          <w:tcPr>
            <w:tcW w:w="2296" w:type="dxa"/>
            <w:vAlign w:val="top"/>
          </w:tcPr>
          <w:p>
            <w:pPr>
              <w:shd w:val="clea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执业资格证书编号</w:t>
            </w:r>
          </w:p>
        </w:tc>
        <w:tc>
          <w:tcPr>
            <w:tcW w:w="3420" w:type="dxa"/>
            <w:vAlign w:val="center"/>
          </w:tcPr>
          <w:p>
            <w:pPr>
              <w:shd w:val="clear"/>
              <w:rPr>
                <w:rFonts w:hint="eastAsia" w:ascii="仿宋_GB2312" w:hAnsi="仿宋_GB2312" w:eastAsia="仿宋_GB2312" w:cs="仿宋_GB2312"/>
                <w:color w:val="auto"/>
                <w:sz w:val="24"/>
                <w:szCs w:val="24"/>
                <w:highlight w:val="none"/>
              </w:rPr>
            </w:pPr>
          </w:p>
        </w:tc>
        <w:tc>
          <w:tcPr>
            <w:tcW w:w="126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工作年限</w:t>
            </w:r>
          </w:p>
        </w:tc>
        <w:tc>
          <w:tcPr>
            <w:tcW w:w="2296" w:type="dxa"/>
            <w:vAlign w:val="center"/>
          </w:tcPr>
          <w:p>
            <w:pPr>
              <w:shd w:val="clea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1923"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主要工作业绩</w:t>
            </w:r>
          </w:p>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及担任的主要</w:t>
            </w:r>
          </w:p>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工作</w:t>
            </w:r>
          </w:p>
          <w:p>
            <w:pPr>
              <w:shd w:val="clear"/>
              <w:jc w:val="center"/>
              <w:rPr>
                <w:rFonts w:hint="eastAsia" w:ascii="仿宋_GB2312" w:hAnsi="仿宋_GB2312" w:eastAsia="仿宋_GB2312" w:cs="仿宋_GB2312"/>
                <w:color w:val="auto"/>
                <w:sz w:val="24"/>
                <w:szCs w:val="24"/>
                <w:highlight w:val="none"/>
              </w:rPr>
            </w:pPr>
          </w:p>
        </w:tc>
        <w:tc>
          <w:tcPr>
            <w:tcW w:w="6977" w:type="dxa"/>
            <w:gridSpan w:val="3"/>
            <w:vAlign w:val="center"/>
          </w:tcPr>
          <w:p>
            <w:pPr>
              <w:widowControl/>
              <w:shd w:val="clear"/>
              <w:jc w:val="left"/>
              <w:rPr>
                <w:rFonts w:hint="eastAsia" w:ascii="仿宋_GB2312" w:hAnsi="仿宋_GB2312" w:eastAsia="仿宋_GB2312" w:cs="仿宋_GB2312"/>
                <w:color w:val="auto"/>
                <w:sz w:val="24"/>
                <w:szCs w:val="24"/>
                <w:highlight w:val="none"/>
              </w:rPr>
            </w:pPr>
          </w:p>
          <w:p>
            <w:pPr>
              <w:widowControl/>
              <w:shd w:val="clear"/>
              <w:jc w:val="left"/>
              <w:rPr>
                <w:rFonts w:hint="eastAsia" w:ascii="仿宋_GB2312" w:hAnsi="仿宋_GB2312" w:eastAsia="仿宋_GB2312" w:cs="仿宋_GB2312"/>
                <w:color w:val="auto"/>
                <w:sz w:val="24"/>
                <w:szCs w:val="24"/>
                <w:highlight w:val="none"/>
              </w:rPr>
            </w:pPr>
          </w:p>
          <w:p>
            <w:pPr>
              <w:widowControl/>
              <w:shd w:val="clear"/>
              <w:jc w:val="left"/>
              <w:rPr>
                <w:rFonts w:hint="eastAsia" w:ascii="仿宋_GB2312" w:hAnsi="仿宋_GB2312" w:eastAsia="仿宋_GB2312" w:cs="仿宋_GB2312"/>
                <w:color w:val="auto"/>
                <w:sz w:val="24"/>
                <w:szCs w:val="24"/>
                <w:highlight w:val="none"/>
              </w:rPr>
            </w:pPr>
          </w:p>
          <w:p>
            <w:pPr>
              <w:widowControl/>
              <w:shd w:val="clear"/>
              <w:jc w:val="left"/>
              <w:rPr>
                <w:rFonts w:hint="eastAsia" w:ascii="仿宋_GB2312" w:hAnsi="仿宋_GB2312" w:eastAsia="仿宋_GB2312" w:cs="仿宋_GB2312"/>
                <w:color w:val="auto"/>
                <w:sz w:val="24"/>
                <w:szCs w:val="24"/>
                <w:highlight w:val="none"/>
              </w:rPr>
            </w:pPr>
          </w:p>
          <w:p>
            <w:pPr>
              <w:widowControl/>
              <w:shd w:val="clear"/>
              <w:jc w:val="left"/>
              <w:rPr>
                <w:rFonts w:hint="eastAsia" w:ascii="仿宋_GB2312" w:hAnsi="仿宋_GB2312" w:eastAsia="仿宋_GB2312" w:cs="仿宋_GB2312"/>
                <w:color w:val="auto"/>
                <w:sz w:val="24"/>
                <w:szCs w:val="24"/>
                <w:highlight w:val="none"/>
              </w:rPr>
            </w:pPr>
          </w:p>
          <w:p>
            <w:pPr>
              <w:shd w:val="clear"/>
              <w:ind w:left="0" w:leftChars="0" w:firstLine="0" w:firstLineChars="0"/>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tc>
      </w:tr>
    </w:tbl>
    <w:p>
      <w:pPr>
        <w:pStyle w:val="14"/>
        <w:shd w:val="clear"/>
        <w:spacing w:line="240" w:lineRule="auto"/>
        <w:ind w:left="-7" w:leftChars="-28" w:hanging="60"/>
        <w:rPr>
          <w:rFonts w:hint="eastAsia" w:ascii="仿宋_GB2312" w:hAnsi="仿宋_GB2312" w:eastAsia="仿宋_GB2312" w:cs="仿宋_GB2312"/>
          <w:color w:val="auto"/>
          <w:sz w:val="24"/>
          <w:szCs w:val="24"/>
          <w:highlight w:val="none"/>
        </w:rPr>
      </w:pPr>
    </w:p>
    <w:p>
      <w:pPr>
        <w:pStyle w:val="14"/>
        <w:shd w:val="clear"/>
        <w:spacing w:line="240" w:lineRule="auto"/>
        <w:ind w:left="-7" w:leftChars="-28" w:hanging="6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注：本工程一旦我单位中标，将配备上述项目管理人员。上述填报内容真实， 如不真实，将按照有关规定接受处理。</w:t>
      </w:r>
    </w:p>
    <w:p>
      <w:pPr>
        <w:pStyle w:val="51"/>
        <w:shd w:val="clear"/>
        <w:spacing w:line="240" w:lineRule="auto"/>
        <w:jc w:val="both"/>
        <w:rPr>
          <w:rFonts w:hint="eastAsia" w:ascii="仿宋_GB2312" w:hAnsi="仿宋_GB2312" w:eastAsia="仿宋_GB2312" w:cs="仿宋_GB2312"/>
          <w:color w:val="auto"/>
          <w:kern w:val="2"/>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shd w:val="clea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shd w:val="clear"/>
        <w:rPr>
          <w:rFonts w:hint="eastAsia" w:ascii="仿宋_GB2312" w:hAnsi="仿宋_GB2312" w:eastAsia="仿宋_GB2312" w:cs="仿宋_GB2312"/>
          <w:sz w:val="24"/>
          <w:szCs w:val="24"/>
        </w:rPr>
      </w:pPr>
    </w:p>
    <w:tbl>
      <w:tblPr>
        <w:tblStyle w:val="25"/>
        <w:tblW w:w="9260" w:type="dxa"/>
        <w:jc w:val="center"/>
        <w:tblLayout w:type="fixed"/>
        <w:tblCellMar>
          <w:top w:w="0" w:type="dxa"/>
          <w:left w:w="108" w:type="dxa"/>
          <w:bottom w:w="0" w:type="dxa"/>
          <w:right w:w="108" w:type="dxa"/>
        </w:tblCellMar>
      </w:tblPr>
      <w:tblGrid>
        <w:gridCol w:w="9260"/>
      </w:tblGrid>
      <w:tr>
        <w:tblPrEx>
          <w:tblCellMar>
            <w:top w:w="0" w:type="dxa"/>
            <w:left w:w="108" w:type="dxa"/>
            <w:bottom w:w="0" w:type="dxa"/>
            <w:right w:w="108" w:type="dxa"/>
          </w:tblCellMar>
        </w:tblPrEx>
        <w:trPr>
          <w:trHeight w:val="90" w:hRule="atLeast"/>
          <w:jc w:val="center"/>
        </w:trPr>
        <w:tc>
          <w:tcPr>
            <w:tcW w:w="9260" w:type="dxa"/>
            <w:tcBorders>
              <w:top w:val="nil"/>
              <w:left w:val="nil"/>
              <w:bottom w:val="nil"/>
              <w:right w:val="nil"/>
            </w:tcBorders>
            <w:vAlign w:val="bottom"/>
          </w:tcPr>
          <w:p>
            <w:pPr>
              <w:numPr>
                <w:ilvl w:val="0"/>
                <w:numId w:val="0"/>
              </w:numPr>
              <w:shd w:val="clear"/>
              <w:spacing w:line="460" w:lineRule="exact"/>
              <w:ind w:leftChars="-50" w:right="62" w:rightChars="0"/>
              <w:jc w:val="both"/>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14、近三年完成的类似项目情况表</w:t>
            </w:r>
          </w:p>
          <w:tbl>
            <w:tblPr>
              <w:tblStyle w:val="2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项目所在地</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发包人名称</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发包人地址</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发包人联系人及电话</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合同价格</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开工日期</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竣工日期</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承担的工作</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工程质量</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项目负责人</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技术负责人</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总监理工程师及电话</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项目描述</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shd w:val="clea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94" w:type="dxa"/>
                  <w:vAlign w:val="center"/>
                </w:tcPr>
                <w:p>
                  <w:pPr>
                    <w:shd w:val="clear"/>
                    <w:jc w:val="center"/>
                    <w:rPr>
                      <w:rFonts w:hint="eastAsia" w:ascii="仿宋_GB2312" w:hAnsi="仿宋_GB2312" w:eastAsia="仿宋_GB2312" w:cs="仿宋_GB2312"/>
                      <w:color w:val="auto"/>
                      <w:sz w:val="24"/>
                      <w:szCs w:val="24"/>
                      <w:highlight w:val="none"/>
                    </w:rPr>
                  </w:pPr>
                </w:p>
              </w:tc>
            </w:tr>
          </w:tbl>
          <w:p>
            <w:pPr>
              <w:shd w:val="clear"/>
              <w:spacing w:line="44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备注：1、本表后附</w:t>
            </w:r>
            <w:r>
              <w:rPr>
                <w:rFonts w:hint="eastAsia" w:ascii="仿宋_GB2312" w:hAnsi="仿宋_GB2312" w:eastAsia="仿宋_GB2312" w:cs="仿宋_GB2312"/>
                <w:color w:val="auto"/>
                <w:kern w:val="2"/>
                <w:sz w:val="24"/>
                <w:szCs w:val="24"/>
                <w:highlight w:val="none"/>
                <w:shd w:val="clear" w:color="auto" w:fill="FFFFFF"/>
                <w:lang w:val="en-US" w:eastAsia="zh-CN"/>
              </w:rPr>
              <w:t>2020年1月至今的中标通知书、合同协议书、竣工验收报告或合同工程完工证明</w:t>
            </w:r>
            <w:r>
              <w:rPr>
                <w:rFonts w:hint="eastAsia" w:ascii="仿宋_GB2312" w:hAnsi="仿宋_GB2312" w:eastAsia="仿宋_GB2312" w:cs="仿宋_GB2312"/>
                <w:color w:val="auto"/>
                <w:sz w:val="24"/>
                <w:szCs w:val="24"/>
                <w:highlight w:val="none"/>
              </w:rPr>
              <w:t>复印件。每张表格只填写一个项目，并标明序号。</w:t>
            </w:r>
          </w:p>
        </w:tc>
      </w:tr>
    </w:tbl>
    <w:p>
      <w:pPr>
        <w:shd w:val="clear"/>
        <w:rPr>
          <w:rFonts w:hint="eastAsia" w:ascii="仿宋_GB2312" w:hAnsi="仿宋_GB2312" w:eastAsia="仿宋_GB2312" w:cs="仿宋_GB2312"/>
          <w:b/>
          <w:color w:val="auto"/>
          <w:kern w:val="0"/>
          <w:sz w:val="24"/>
          <w:szCs w:val="24"/>
          <w:highlight w:val="none"/>
          <w:lang w:bidi="ar"/>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（法人公章）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r>
        <w:rPr>
          <w:rFonts w:hint="eastAsia" w:ascii="仿宋_GB2312" w:hAnsi="仿宋_GB2312" w:eastAsia="仿宋_GB2312" w:cs="仿宋_GB2312"/>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pStyle w:val="4"/>
        <w:pageBreakBefore w:val="0"/>
        <w:shd w:val="clear"/>
        <w:kinsoku/>
        <w:wordWrap/>
        <w:overflowPunct/>
        <w:topLinePunct w:val="0"/>
        <w:bidi w:val="0"/>
        <w:spacing w:line="360" w:lineRule="auto"/>
        <w:jc w:val="center"/>
        <w:rPr>
          <w:rFonts w:hint="eastAsia" w:ascii="仿宋_GB2312" w:hAnsi="仿宋_GB2312" w:eastAsia="仿宋_GB2312" w:cs="仿宋_GB2312"/>
          <w:b w:val="0"/>
          <w:color w:val="auto"/>
          <w:sz w:val="24"/>
          <w:szCs w:val="24"/>
          <w:highlight w:val="none"/>
        </w:rPr>
      </w:pPr>
      <w:bookmarkStart w:id="288" w:name="_Toc28371"/>
      <w:r>
        <w:rPr>
          <w:rStyle w:val="36"/>
          <w:rFonts w:hint="eastAsia" w:ascii="仿宋_GB2312" w:hAnsi="仿宋_GB2312" w:eastAsia="仿宋_GB2312" w:cs="仿宋_GB2312"/>
          <w:b/>
          <w:bCs w:val="0"/>
          <w:color w:val="auto"/>
          <w:sz w:val="24"/>
          <w:szCs w:val="24"/>
          <w:highlight w:val="none"/>
          <w:lang w:val="en-US" w:eastAsia="zh-CN"/>
        </w:rPr>
        <w:t>15、报价</w:t>
      </w:r>
      <w:r>
        <w:rPr>
          <w:rStyle w:val="36"/>
          <w:rFonts w:hint="eastAsia" w:ascii="仿宋_GB2312" w:hAnsi="仿宋_GB2312" w:eastAsia="仿宋_GB2312" w:cs="仿宋_GB2312"/>
          <w:b/>
          <w:bCs w:val="0"/>
          <w:color w:val="auto"/>
          <w:sz w:val="24"/>
          <w:szCs w:val="24"/>
          <w:highlight w:val="none"/>
        </w:rPr>
        <w:t>单位（供应商）反商业贿赂承诺书</w:t>
      </w:r>
      <w:bookmarkEnd w:id="288"/>
    </w:p>
    <w:p>
      <w:pPr>
        <w:pStyle w:val="19"/>
        <w:pageBreakBefore w:val="0"/>
        <w:shd w:val="clear"/>
        <w:kinsoku/>
        <w:wordWrap/>
        <w:overflowPunct/>
        <w:topLinePunct w:val="0"/>
        <w:bidi w:val="0"/>
        <w:spacing w:before="120" w:line="360" w:lineRule="auto"/>
        <w:ind w:left="137" w:leftChars="57" w:firstLine="280" w:firstLineChars="11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我单位承诺在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项目名称</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rPr>
        <w:t>公开活动中，不给予国家工作人员</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采购方、代理机构</w:t>
      </w:r>
      <w:r>
        <w:rPr>
          <w:rFonts w:hint="eastAsia" w:ascii="仿宋_GB2312" w:hAnsi="仿宋_GB2312" w:eastAsia="仿宋_GB2312" w:cs="仿宋_GB2312"/>
          <w:color w:val="auto"/>
          <w:sz w:val="24"/>
          <w:szCs w:val="24"/>
          <w:highlight w:val="none"/>
        </w:rPr>
        <w:t>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9"/>
        <w:pageBreakBefore w:val="0"/>
        <w:shd w:val="clear"/>
        <w:kinsoku/>
        <w:wordWrap/>
        <w:overflowPunct/>
        <w:topLinePunct w:val="0"/>
        <w:bidi w:val="0"/>
        <w:spacing w:before="120" w:line="360" w:lineRule="auto"/>
        <w:ind w:firstLine="405"/>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pageBreakBefore w:val="0"/>
        <w:shd w:val="clear"/>
        <w:kinsoku/>
        <w:wordWrap/>
        <w:overflowPunct/>
        <w:topLinePunct w:val="0"/>
        <w:bidi w:val="0"/>
        <w:spacing w:line="360" w:lineRule="auto"/>
        <w:ind w:firstLine="3600" w:firstLineChars="1500"/>
        <w:rPr>
          <w:rFonts w:hint="eastAsia" w:ascii="仿宋_GB2312" w:hAnsi="仿宋_GB2312" w:eastAsia="仿宋_GB2312" w:cs="仿宋_GB2312"/>
          <w:color w:val="auto"/>
          <w:sz w:val="24"/>
          <w:szCs w:val="24"/>
          <w:highlight w:val="none"/>
          <w:lang w:val="en-US" w:eastAsia="zh-CN"/>
        </w:rPr>
      </w:pPr>
    </w:p>
    <w:p>
      <w:pPr>
        <w:pageBreakBefore w:val="0"/>
        <w:shd w:val="clear"/>
        <w:kinsoku/>
        <w:wordWrap/>
        <w:overflowPunct/>
        <w:topLinePunct w:val="0"/>
        <w:bidi w:val="0"/>
        <w:spacing w:line="360" w:lineRule="auto"/>
        <w:ind w:firstLine="3600" w:firstLineChars="1500"/>
        <w:rPr>
          <w:rFonts w:hint="eastAsia" w:ascii="仿宋_GB2312" w:hAnsi="仿宋_GB2312" w:eastAsia="仿宋_GB2312" w:cs="仿宋_GB2312"/>
          <w:color w:val="auto"/>
          <w:sz w:val="24"/>
          <w:szCs w:val="24"/>
          <w:highlight w:val="none"/>
          <w:lang w:val="en-US" w:eastAsia="zh-CN"/>
        </w:rPr>
      </w:pPr>
    </w:p>
    <w:p>
      <w:pPr>
        <w:pageBreakBefore w:val="0"/>
        <w:shd w:val="clear"/>
        <w:kinsoku/>
        <w:wordWrap/>
        <w:overflowPunct/>
        <w:topLinePunct w:val="0"/>
        <w:bidi w:val="0"/>
        <w:spacing w:line="360" w:lineRule="auto"/>
        <w:ind w:firstLine="3600" w:firstLineChars="1500"/>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color w:val="auto"/>
          <w:sz w:val="24"/>
          <w:szCs w:val="24"/>
          <w:highlight w:val="none"/>
          <w:lang w:val="en-US" w:eastAsia="zh-CN"/>
        </w:rPr>
      </w:pPr>
    </w:p>
    <w:p>
      <w:pPr>
        <w:numPr>
          <w:ilvl w:val="0"/>
          <w:numId w:val="0"/>
        </w:numPr>
        <w:shd w:val="clear"/>
        <w:spacing w:line="460" w:lineRule="exact"/>
        <w:ind w:leftChars="-50" w:right="62" w:rightChars="0"/>
        <w:jc w:val="center"/>
        <w:outlineLvl w:val="1"/>
        <w:rPr>
          <w:rFonts w:hint="eastAsia" w:ascii="仿宋_GB2312" w:hAnsi="仿宋_GB2312" w:eastAsia="仿宋_GB2312" w:cs="仿宋_GB2312"/>
          <w:b/>
          <w:bCs w:val="0"/>
          <w:color w:val="auto"/>
          <w:sz w:val="24"/>
          <w:szCs w:val="24"/>
          <w:highlight w:val="none"/>
          <w:lang w:val="en-US" w:eastAsia="zh-CN"/>
        </w:rPr>
      </w:pPr>
      <w:bookmarkStart w:id="289" w:name="_Toc27060"/>
      <w:r>
        <w:rPr>
          <w:rFonts w:hint="eastAsia" w:ascii="仿宋_GB2312" w:hAnsi="仿宋_GB2312" w:eastAsia="仿宋_GB2312" w:cs="仿宋_GB2312"/>
          <w:b/>
          <w:color w:val="auto"/>
          <w:sz w:val="24"/>
          <w:szCs w:val="24"/>
          <w:highlight w:val="none"/>
          <w:lang w:val="en-US" w:eastAsia="zh-CN"/>
        </w:rPr>
        <w:t>16、</w:t>
      </w:r>
      <w:r>
        <w:rPr>
          <w:rFonts w:hint="eastAsia" w:ascii="仿宋_GB2312" w:hAnsi="仿宋_GB2312" w:eastAsia="仿宋_GB2312" w:cs="仿宋_GB2312"/>
          <w:b/>
          <w:bCs w:val="0"/>
          <w:color w:val="auto"/>
          <w:sz w:val="24"/>
          <w:szCs w:val="24"/>
          <w:highlight w:val="none"/>
          <w:lang w:val="en-US" w:eastAsia="zh-CN"/>
        </w:rPr>
        <w:t>无不良信用行为信息承诺书</w:t>
      </w:r>
      <w:bookmarkEnd w:id="289"/>
    </w:p>
    <w:p>
      <w:pPr>
        <w:pStyle w:val="4"/>
        <w:shd w:val="clear"/>
        <w:outlineLvl w:val="9"/>
        <w:rPr>
          <w:rFonts w:hint="eastAsia" w:ascii="仿宋_GB2312" w:hAnsi="仿宋_GB2312" w:eastAsia="仿宋_GB2312" w:cs="仿宋_GB2312"/>
          <w:sz w:val="24"/>
          <w:szCs w:val="24"/>
        </w:rPr>
      </w:pPr>
    </w:p>
    <w:p>
      <w:pPr>
        <w:keepNext w:val="0"/>
        <w:keepLines w:val="0"/>
        <w:pageBreakBefore w:val="0"/>
        <w:widowControl w:val="0"/>
        <w:shd w:val="clear"/>
        <w:kinsoku/>
        <w:wordWrap/>
        <w:overflowPunct/>
        <w:topLinePunct w:val="0"/>
        <w:autoSpaceDE/>
        <w:autoSpaceDN/>
        <w:bidi w:val="0"/>
        <w:adjustRightInd/>
        <w:snapToGrid/>
        <w:spacing w:line="460" w:lineRule="exact"/>
        <w:ind w:left="51" w:right="62" w:firstLine="480" w:firstLineChars="200"/>
        <w:jc w:val="both"/>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我公司承诺近年没有发生不良行为记录信息，在信用中国（http://www.creditchina.gov.cn）平台未被列入失信被执行人和税收违法黑名单；在中国政府采购网（www.ccgp.gov.cn）未被列入政府采购严重违法失信行为记录名单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未被财政部门禁止参加政府采购活动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无</w:t>
      </w:r>
      <w:r>
        <w:rPr>
          <w:rFonts w:hint="eastAsia" w:ascii="仿宋_GB2312" w:hAnsi="仿宋_GB2312" w:eastAsia="仿宋_GB2312" w:cs="仿宋_GB2312"/>
          <w:color w:val="auto"/>
          <w:sz w:val="24"/>
          <w:szCs w:val="24"/>
          <w:highlight w:val="none"/>
          <w:lang w:val="en-US" w:eastAsia="zh-CN"/>
        </w:rPr>
        <w:t>拖欠</w:t>
      </w:r>
      <w:r>
        <w:rPr>
          <w:rFonts w:hint="eastAsia" w:ascii="仿宋_GB2312" w:hAnsi="仿宋_GB2312" w:eastAsia="仿宋_GB2312" w:cs="仿宋_GB2312"/>
          <w:color w:val="auto"/>
          <w:sz w:val="24"/>
          <w:szCs w:val="24"/>
          <w:highlight w:val="none"/>
        </w:rPr>
        <w:t>农民工工资的事件或事实，如有虚假我方自愿承担一切法律责任，并接受建设行政主管部门的处罚。</w:t>
      </w:r>
    </w:p>
    <w:p>
      <w:pPr>
        <w:keepNext w:val="0"/>
        <w:keepLines w:val="0"/>
        <w:pageBreakBefore w:val="0"/>
        <w:widowControl w:val="0"/>
        <w:shd w:val="clear"/>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特此承诺！</w:t>
      </w:r>
    </w:p>
    <w:p>
      <w:pPr>
        <w:widowControl/>
        <w:shd w:val="clear"/>
        <w:adjustRightInd w:val="0"/>
        <w:snapToGrid w:val="0"/>
        <w:spacing w:after="200" w:line="220" w:lineRule="atLeast"/>
        <w:jc w:val="left"/>
        <w:rPr>
          <w:rFonts w:hint="eastAsia" w:ascii="仿宋_GB2312" w:hAnsi="仿宋_GB2312" w:eastAsia="仿宋_GB2312" w:cs="仿宋_GB2312"/>
          <w:color w:val="auto"/>
          <w:kern w:val="0"/>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pageBreakBefore w:val="0"/>
        <w:shd w:val="clear"/>
        <w:kinsoku/>
        <w:wordWrap/>
        <w:overflowPunct/>
        <w:topLinePunct w:val="0"/>
        <w:bidi w:val="0"/>
        <w:spacing w:line="360" w:lineRule="auto"/>
        <w:ind w:firstLine="5542" w:firstLineChars="2300"/>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right="62" w:rightChars="0"/>
        <w:jc w:val="both"/>
        <w:rPr>
          <w:rFonts w:hint="eastAsia" w:ascii="仿宋_GB2312" w:hAnsi="仿宋_GB2312" w:eastAsia="仿宋_GB2312" w:cs="仿宋_GB2312"/>
          <w:b/>
          <w:bCs w:val="0"/>
          <w:color w:val="auto"/>
          <w:sz w:val="24"/>
          <w:szCs w:val="24"/>
          <w:highlight w:val="none"/>
          <w:lang w:val="en-US" w:eastAsia="zh-CN"/>
        </w:rPr>
      </w:pPr>
    </w:p>
    <w:p>
      <w:pPr>
        <w:shd w:val="clea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400" w:lineRule="exact"/>
        <w:ind w:firstLine="482" w:firstLineChars="200"/>
        <w:jc w:val="center"/>
        <w:textAlignment w:val="auto"/>
        <w:outlineLvl w:val="1"/>
        <w:rPr>
          <w:rFonts w:hint="eastAsia" w:ascii="仿宋_GB2312" w:hAnsi="仿宋_GB2312" w:eastAsia="仿宋_GB2312" w:cs="仿宋_GB2312"/>
          <w:b/>
          <w:bCs w:val="0"/>
          <w:color w:val="000000" w:themeColor="text1"/>
          <w:sz w:val="24"/>
          <w:szCs w:val="24"/>
          <w:highlight w:val="none"/>
          <w:lang w:val="en-US" w:eastAsia="zh-CN"/>
          <w14:textFill>
            <w14:solidFill>
              <w14:schemeClr w14:val="tx1"/>
            </w14:solidFill>
          </w14:textFill>
        </w:rPr>
      </w:pPr>
      <w:bookmarkStart w:id="290" w:name="_Toc19063"/>
      <w:r>
        <w:rPr>
          <w:rFonts w:hint="eastAsia" w:ascii="仿宋_GB2312" w:hAnsi="仿宋_GB2312" w:eastAsia="仿宋_GB2312" w:cs="仿宋_GB2312"/>
          <w:b/>
          <w:bCs w:val="0"/>
          <w:color w:val="000000" w:themeColor="text1"/>
          <w:sz w:val="24"/>
          <w:szCs w:val="24"/>
          <w:highlight w:val="none"/>
          <w:lang w:val="en-US" w:eastAsia="zh-CN"/>
          <w14:textFill>
            <w14:solidFill>
              <w14:schemeClr w14:val="tx1"/>
            </w14:solidFill>
          </w14:textFill>
        </w:rPr>
        <w:t>17、不拖欠农民工工资承诺书</w:t>
      </w:r>
      <w:bookmarkEnd w:id="290"/>
    </w:p>
    <w:p>
      <w:pPr>
        <w:shd w:val="clear"/>
        <w:autoSpaceDE w:val="0"/>
        <w:autoSpaceDN w:val="0"/>
        <w:spacing w:line="440" w:lineRule="exact"/>
        <w:rPr>
          <w:rFonts w:hint="eastAsia" w:ascii="仿宋_GB2312" w:hAnsi="仿宋_GB2312" w:eastAsia="仿宋_GB2312" w:cs="仿宋_GB2312"/>
          <w:color w:val="auto"/>
          <w:sz w:val="24"/>
          <w:szCs w:val="24"/>
          <w:highlight w:val="none"/>
          <w:u w:val="single"/>
        </w:rPr>
      </w:pPr>
    </w:p>
    <w:p>
      <w:pPr>
        <w:shd w:val="clear"/>
        <w:spacing w:line="360" w:lineRule="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（采购单位名称）</w:t>
      </w:r>
    </w:p>
    <w:p>
      <w:pPr>
        <w:pStyle w:val="7"/>
        <w:shd w:val="clear"/>
        <w:rPr>
          <w:rFonts w:hint="eastAsia" w:ascii="仿宋_GB2312" w:hAnsi="仿宋_GB2312" w:eastAsia="仿宋_GB2312" w:cs="仿宋_GB2312"/>
          <w:color w:val="auto"/>
          <w:sz w:val="24"/>
          <w:szCs w:val="24"/>
          <w:highlight w:val="none"/>
        </w:rPr>
      </w:pPr>
    </w:p>
    <w:p>
      <w:pPr>
        <w:shd w:val="clear"/>
        <w:autoSpaceDE w:val="0"/>
        <w:autoSpaceDN w:val="0"/>
        <w:spacing w:line="44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我单位有幸获取中标，将严格执行自治区关于保障农民工工资的规定，我单位郑重承诺：保证足额按时付清农民工工资，不以任何理由拖欠。在该工程施工过程若存在拖欠农民工工资行为的，愿按照拖欠农民工工资额的5倍及以上接受处罚。</w:t>
      </w:r>
    </w:p>
    <w:p>
      <w:pPr>
        <w:shd w:val="clear"/>
        <w:autoSpaceDE w:val="0"/>
        <w:autoSpaceDN w:val="0"/>
        <w:spacing w:line="440" w:lineRule="exact"/>
        <w:ind w:left="0" w:leftChars="0" w:firstLine="0" w:firstLineChars="0"/>
        <w:rPr>
          <w:rFonts w:hint="eastAsia" w:ascii="仿宋_GB2312" w:hAnsi="仿宋_GB2312" w:eastAsia="仿宋_GB2312" w:cs="仿宋_GB2312"/>
          <w:color w:val="auto"/>
          <w:sz w:val="24"/>
          <w:szCs w:val="24"/>
          <w:highlight w:val="none"/>
        </w:rPr>
      </w:pPr>
    </w:p>
    <w:p>
      <w:pPr>
        <w:shd w:val="clear"/>
        <w:autoSpaceDE w:val="0"/>
        <w:autoSpaceDN w:val="0"/>
        <w:spacing w:line="44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特此承诺</w:t>
      </w:r>
      <w:r>
        <w:rPr>
          <w:rFonts w:hint="eastAsia" w:ascii="仿宋_GB2312" w:hAnsi="仿宋_GB2312" w:eastAsia="仿宋_GB2312" w:cs="仿宋_GB2312"/>
          <w:color w:val="auto"/>
          <w:sz w:val="24"/>
          <w:szCs w:val="24"/>
          <w:highlight w:val="none"/>
          <w:lang w:eastAsia="zh-CN"/>
        </w:rPr>
        <w:t>！</w:t>
      </w:r>
    </w:p>
    <w:p>
      <w:pPr>
        <w:pStyle w:val="50"/>
        <w:shd w:val="clear"/>
        <w:rPr>
          <w:rFonts w:hint="eastAsia" w:ascii="仿宋_GB2312" w:hAnsi="仿宋_GB2312" w:eastAsia="仿宋_GB2312" w:cs="仿宋_GB2312"/>
          <w:color w:val="auto"/>
          <w:sz w:val="24"/>
          <w:szCs w:val="24"/>
          <w:highlight w:val="none"/>
        </w:rPr>
      </w:pPr>
    </w:p>
    <w:p>
      <w:pPr>
        <w:pStyle w:val="50"/>
        <w:shd w:val="clear"/>
        <w:rPr>
          <w:rFonts w:hint="eastAsia" w:ascii="仿宋_GB2312" w:hAnsi="仿宋_GB2312" w:eastAsia="仿宋_GB2312" w:cs="仿宋_GB2312"/>
          <w:color w:val="auto"/>
          <w:sz w:val="24"/>
          <w:szCs w:val="24"/>
          <w:highlight w:val="none"/>
        </w:rPr>
      </w:pPr>
    </w:p>
    <w:p>
      <w:pPr>
        <w:pStyle w:val="50"/>
        <w:shd w:val="clear"/>
        <w:rPr>
          <w:rFonts w:hint="eastAsia" w:ascii="仿宋_GB2312" w:hAnsi="仿宋_GB2312" w:eastAsia="仿宋_GB2312" w:cs="仿宋_GB2312"/>
          <w:color w:val="auto"/>
          <w:sz w:val="24"/>
          <w:szCs w:val="24"/>
          <w:highlight w:val="none"/>
        </w:rPr>
      </w:pPr>
    </w:p>
    <w:p>
      <w:pPr>
        <w:pStyle w:val="50"/>
        <w:shd w:val="clear"/>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shd w:val="clear"/>
        <w:rPr>
          <w:rFonts w:hint="eastAsia" w:ascii="仿宋_GB2312" w:hAnsi="仿宋_GB2312" w:eastAsia="仿宋_GB2312" w:cs="仿宋_GB2312"/>
          <w:color w:val="auto"/>
          <w:sz w:val="24"/>
          <w:szCs w:val="24"/>
          <w:highlight w:val="none"/>
        </w:rPr>
      </w:pPr>
    </w:p>
    <w:p>
      <w:pPr>
        <w:shd w:val="clear"/>
        <w:spacing w:line="360" w:lineRule="auto"/>
        <w:jc w:val="both"/>
        <w:rPr>
          <w:rFonts w:hint="eastAsia" w:ascii="仿宋_GB2312" w:hAnsi="仿宋_GB2312" w:eastAsia="仿宋_GB2312" w:cs="仿宋_GB2312"/>
          <w:b/>
          <w:color w:val="auto"/>
          <w:sz w:val="24"/>
          <w:szCs w:val="24"/>
          <w:highlight w:val="none"/>
        </w:rPr>
      </w:pPr>
    </w:p>
    <w:p>
      <w:pPr>
        <w:shd w:val="clear"/>
        <w:spacing w:line="360" w:lineRule="auto"/>
        <w:ind w:left="0" w:leftChars="0" w:firstLine="0" w:firstLineChars="0"/>
        <w:jc w:val="both"/>
        <w:rPr>
          <w:rFonts w:hint="eastAsia" w:ascii="仿宋_GB2312" w:hAnsi="仿宋_GB2312" w:eastAsia="仿宋_GB2312" w:cs="仿宋_GB2312"/>
          <w:b/>
          <w:color w:val="auto"/>
          <w:sz w:val="24"/>
          <w:szCs w:val="24"/>
          <w:highlight w:val="none"/>
        </w:rPr>
      </w:pPr>
    </w:p>
    <w:p>
      <w:pPr>
        <w:pStyle w:val="50"/>
        <w:shd w:val="clear"/>
        <w:rPr>
          <w:rFonts w:hint="eastAsia" w:ascii="仿宋_GB2312" w:hAnsi="仿宋_GB2312" w:eastAsia="仿宋_GB2312" w:cs="仿宋_GB2312"/>
          <w:color w:val="auto"/>
          <w:sz w:val="24"/>
          <w:szCs w:val="24"/>
          <w:highlight w:val="none"/>
        </w:rPr>
      </w:pPr>
    </w:p>
    <w:p>
      <w:pPr>
        <w:pStyle w:val="50"/>
        <w:shd w:val="clear"/>
        <w:rPr>
          <w:rFonts w:hint="eastAsia" w:ascii="仿宋_GB2312" w:hAnsi="仿宋_GB2312" w:eastAsia="仿宋_GB2312" w:cs="仿宋_GB2312"/>
          <w:color w:val="auto"/>
          <w:sz w:val="24"/>
          <w:szCs w:val="24"/>
          <w:highlight w:val="none"/>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numPr>
          <w:ilvl w:val="0"/>
          <w:numId w:val="0"/>
        </w:numPr>
        <w:shd w:val="clear"/>
        <w:spacing w:line="460" w:lineRule="exact"/>
        <w:ind w:leftChars="-50" w:right="62" w:rightChars="0"/>
        <w:jc w:val="center"/>
        <w:rPr>
          <w:rFonts w:hint="eastAsia" w:ascii="仿宋_GB2312" w:hAnsi="仿宋_GB2312" w:eastAsia="仿宋_GB2312" w:cs="仿宋_GB2312"/>
          <w:b/>
          <w:bCs w:val="0"/>
          <w:color w:val="auto"/>
          <w:sz w:val="24"/>
          <w:szCs w:val="24"/>
          <w:highlight w:val="none"/>
          <w:lang w:val="en-US" w:eastAsia="zh-CN"/>
        </w:rPr>
      </w:pPr>
    </w:p>
    <w:p>
      <w:pPr>
        <w:pStyle w:val="2"/>
        <w:rPr>
          <w:rFonts w:hint="eastAsia"/>
          <w:lang w:val="en-US" w:eastAsia="zh-CN"/>
        </w:rPr>
      </w:pPr>
    </w:p>
    <w:p>
      <w:pPr>
        <w:pageBreakBefore w:val="0"/>
        <w:shd w:val="clear"/>
        <w:kinsoku/>
        <w:wordWrap/>
        <w:overflowPunct/>
        <w:topLinePunct w:val="0"/>
        <w:bidi w:val="0"/>
        <w:spacing w:line="360" w:lineRule="auto"/>
        <w:rPr>
          <w:rFonts w:hint="eastAsia" w:ascii="仿宋_GB2312" w:hAnsi="仿宋_GB2312" w:eastAsia="仿宋_GB2312" w:cs="仿宋_GB2312"/>
          <w:b/>
          <w:bCs w:val="0"/>
          <w:color w:val="auto"/>
          <w:sz w:val="24"/>
          <w:szCs w:val="24"/>
          <w:highlight w:val="none"/>
          <w:lang w:val="en-US" w:eastAsia="zh-CN"/>
        </w:rPr>
      </w:pPr>
    </w:p>
    <w:p>
      <w:pPr>
        <w:pageBreakBefore w:val="0"/>
        <w:shd w:val="clear"/>
        <w:kinsoku/>
        <w:wordWrap/>
        <w:overflowPunct/>
        <w:topLinePunct w:val="0"/>
        <w:bidi w:val="0"/>
        <w:spacing w:line="360" w:lineRule="auto"/>
        <w:rPr>
          <w:rFonts w:hint="eastAsia" w:ascii="仿宋_GB2312" w:hAnsi="仿宋_GB2312" w:eastAsia="仿宋_GB2312" w:cs="仿宋_GB2312"/>
          <w:b/>
          <w:bCs w:val="0"/>
          <w:color w:val="auto"/>
          <w:sz w:val="24"/>
          <w:szCs w:val="24"/>
          <w:highlight w:val="none"/>
          <w:lang w:val="en-US" w:eastAsia="zh-CN"/>
        </w:rPr>
      </w:pPr>
    </w:p>
    <w:p>
      <w:pPr>
        <w:shd w:val="clear"/>
        <w:spacing w:beforeLines="0" w:afterLines="0" w:line="360" w:lineRule="auto"/>
        <w:jc w:val="center"/>
        <w:rPr>
          <w:rFonts w:hint="eastAsia" w:ascii="仿宋_GB2312" w:hAnsi="仿宋_GB2312" w:eastAsia="仿宋_GB2312" w:cs="仿宋_GB2312"/>
          <w:color w:val="auto"/>
          <w:sz w:val="24"/>
          <w:szCs w:val="24"/>
          <w:highlight w:val="none"/>
          <w:lang w:val="en-US" w:eastAsia="zh-CN"/>
        </w:rPr>
      </w:pPr>
      <w:bookmarkStart w:id="291" w:name="_Toc12778"/>
      <w:r>
        <w:rPr>
          <w:rFonts w:hint="eastAsia" w:ascii="仿宋_GB2312" w:hAnsi="仿宋_GB2312" w:eastAsia="仿宋_GB2312" w:cs="仿宋_GB2312"/>
          <w:color w:val="auto"/>
          <w:sz w:val="24"/>
          <w:szCs w:val="24"/>
          <w:highlight w:val="none"/>
          <w:lang w:val="en-US" w:eastAsia="zh-CN"/>
        </w:rPr>
        <w:t>18、投标建造师无在建项目承诺书</w:t>
      </w:r>
      <w:bookmarkEnd w:id="291"/>
    </w:p>
    <w:p>
      <w:pPr>
        <w:shd w:val="clear"/>
        <w:spacing w:beforeLines="0" w:afterLines="0"/>
        <w:jc w:val="left"/>
        <w:rPr>
          <w:rFonts w:hint="eastAsia" w:ascii="仿宋_GB2312" w:hAnsi="仿宋_GB2312" w:eastAsia="仿宋_GB2312" w:cs="仿宋_GB2312"/>
          <w:color w:val="auto"/>
          <w:sz w:val="24"/>
          <w:szCs w:val="24"/>
          <w:highlight w:val="none"/>
          <w:u w:val="single"/>
          <w:lang w:val="en-US" w:eastAsia="zh-CN"/>
        </w:rPr>
      </w:pPr>
    </w:p>
    <w:p>
      <w:pPr>
        <w:shd w:val="clear"/>
        <w:spacing w:beforeLines="0" w:afterLines="0"/>
        <w:jc w:val="left"/>
        <w:rPr>
          <w:rFonts w:hint="eastAsia" w:ascii="仿宋_GB2312" w:hAnsi="仿宋_GB2312" w:eastAsia="仿宋_GB2312" w:cs="仿宋_GB2312"/>
          <w:color w:val="auto"/>
          <w:sz w:val="24"/>
          <w:szCs w:val="24"/>
          <w:highlight w:val="none"/>
          <w:u w:val="single"/>
          <w:lang w:val="en-US" w:eastAsia="zh-CN"/>
        </w:rPr>
      </w:pPr>
    </w:p>
    <w:p>
      <w:pPr>
        <w:shd w:val="clear"/>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（采购单位名称）</w:t>
      </w:r>
    </w:p>
    <w:p>
      <w:pPr>
        <w:shd w:val="clear"/>
        <w:spacing w:beforeLines="0" w:afterLines="0"/>
        <w:jc w:val="left"/>
        <w:rPr>
          <w:rFonts w:hint="eastAsia" w:ascii="仿宋_GB2312" w:hAnsi="仿宋_GB2312" w:eastAsia="仿宋_GB2312" w:cs="仿宋_GB2312"/>
          <w:color w:val="auto"/>
          <w:sz w:val="24"/>
          <w:szCs w:val="24"/>
          <w:highlight w:val="none"/>
        </w:rPr>
      </w:pPr>
    </w:p>
    <w:p>
      <w:pPr>
        <w:shd w:val="clear"/>
        <w:spacing w:beforeLines="0" w:afterLines="0"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我公司在此承诺，拟投标</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(项目名称)的建造师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(姓名)身份证号：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，注册建造师证注册号：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，现未担任任何在建设工程项目负责人。</w:t>
      </w:r>
    </w:p>
    <w:p>
      <w:pPr>
        <w:shd w:val="clea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我公司保证上述信息的真实性和准确性，如有虚假我方自愿承担一切法律责任，并接受建设行政主管部门的处罚。</w:t>
      </w:r>
    </w:p>
    <w:p>
      <w:pPr>
        <w:shd w:val="clea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特此承诺！</w:t>
      </w:r>
    </w:p>
    <w:p>
      <w:pPr>
        <w:pStyle w:val="4"/>
        <w:shd w:val="clear"/>
        <w:outlineLvl w:val="9"/>
        <w:rPr>
          <w:rFonts w:hint="eastAsia" w:ascii="仿宋_GB2312" w:hAnsi="仿宋_GB2312" w:eastAsia="仿宋_GB2312" w:cs="仿宋_GB2312"/>
          <w:color w:val="auto"/>
          <w:sz w:val="24"/>
          <w:szCs w:val="24"/>
          <w:highlight w:val="none"/>
        </w:rPr>
      </w:pPr>
    </w:p>
    <w:p>
      <w:pPr>
        <w:shd w:val="clear"/>
        <w:spacing w:line="220" w:lineRule="atLeast"/>
        <w:rPr>
          <w:rFonts w:hint="eastAsia" w:ascii="仿宋_GB2312" w:hAnsi="仿宋_GB2312" w:eastAsia="仿宋_GB2312" w:cs="仿宋_GB2312"/>
          <w:color w:val="auto"/>
          <w:sz w:val="24"/>
          <w:szCs w:val="24"/>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投标人（</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法定代表人（签字或盖章）：</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outlineLvl w:val="9"/>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项目经理（签字或盖章）：</w:t>
      </w:r>
      <w:r>
        <w:rPr>
          <w:rFonts w:hint="eastAsia" w:ascii="仿宋_GB2312" w:hAnsi="仿宋_GB2312" w:eastAsia="仿宋_GB2312" w:cs="仿宋_GB2312"/>
          <w:color w:val="auto"/>
          <w:sz w:val="24"/>
          <w:szCs w:val="24"/>
          <w:highlight w:val="none"/>
          <w:u w:val="singl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3480" w:firstLineChars="145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pPr>
        <w:shd w:val="clear"/>
        <w:spacing w:line="360" w:lineRule="auto"/>
        <w:ind w:firstLine="482" w:firstLineChars="200"/>
        <w:jc w:val="center"/>
        <w:rPr>
          <w:rFonts w:hint="eastAsia" w:ascii="仿宋_GB2312" w:hAnsi="仿宋_GB2312" w:eastAsia="仿宋_GB2312" w:cs="仿宋_GB2312"/>
          <w:b/>
          <w:color w:val="auto"/>
          <w:sz w:val="24"/>
          <w:szCs w:val="24"/>
          <w:highlight w:val="none"/>
        </w:rPr>
      </w:pPr>
    </w:p>
    <w:p>
      <w:pPr>
        <w:shd w:val="clear"/>
        <w:spacing w:line="360" w:lineRule="auto"/>
        <w:ind w:firstLine="482" w:firstLineChars="200"/>
        <w:jc w:val="center"/>
        <w:rPr>
          <w:rFonts w:hint="eastAsia" w:ascii="仿宋_GB2312" w:hAnsi="仿宋_GB2312" w:eastAsia="仿宋_GB2312" w:cs="仿宋_GB2312"/>
          <w:b/>
          <w:color w:val="auto"/>
          <w:sz w:val="24"/>
          <w:szCs w:val="24"/>
          <w:highlight w:val="none"/>
        </w:rPr>
      </w:pPr>
    </w:p>
    <w:p>
      <w:pPr>
        <w:shd w:val="clear"/>
        <w:spacing w:line="360" w:lineRule="auto"/>
        <w:ind w:firstLine="482" w:firstLineChars="200"/>
        <w:jc w:val="center"/>
        <w:rPr>
          <w:rFonts w:hint="eastAsia" w:ascii="仿宋_GB2312" w:hAnsi="仿宋_GB2312" w:eastAsia="仿宋_GB2312" w:cs="仿宋_GB2312"/>
          <w:b/>
          <w:color w:val="auto"/>
          <w:sz w:val="24"/>
          <w:szCs w:val="24"/>
          <w:highlight w:val="none"/>
        </w:rPr>
      </w:pPr>
    </w:p>
    <w:p>
      <w:pPr>
        <w:shd w:val="clear"/>
        <w:spacing w:line="360" w:lineRule="auto"/>
        <w:ind w:firstLine="482" w:firstLineChars="200"/>
        <w:jc w:val="center"/>
        <w:rPr>
          <w:rFonts w:hint="eastAsia" w:ascii="仿宋_GB2312" w:hAnsi="仿宋_GB2312" w:eastAsia="仿宋_GB2312" w:cs="仿宋_GB2312"/>
          <w:b/>
          <w:color w:val="auto"/>
          <w:sz w:val="24"/>
          <w:szCs w:val="24"/>
          <w:highlight w:val="none"/>
        </w:rPr>
      </w:pPr>
    </w:p>
    <w:p>
      <w:pPr>
        <w:shd w:val="clear"/>
        <w:spacing w:line="360" w:lineRule="auto"/>
        <w:ind w:firstLine="482" w:firstLineChars="200"/>
        <w:jc w:val="center"/>
        <w:rPr>
          <w:rFonts w:hint="eastAsia" w:ascii="仿宋_GB2312" w:hAnsi="仿宋_GB2312" w:eastAsia="仿宋_GB2312" w:cs="仿宋_GB2312"/>
          <w:b/>
          <w:color w:val="auto"/>
          <w:sz w:val="24"/>
          <w:szCs w:val="24"/>
          <w:highlight w:val="none"/>
        </w:rPr>
      </w:pPr>
    </w:p>
    <w:p>
      <w:pPr>
        <w:pStyle w:val="50"/>
        <w:shd w:val="clear"/>
        <w:rPr>
          <w:rFonts w:hint="eastAsia" w:ascii="仿宋_GB2312" w:hAnsi="仿宋_GB2312" w:eastAsia="仿宋_GB2312" w:cs="仿宋_GB2312"/>
          <w:b/>
          <w:color w:val="auto"/>
          <w:sz w:val="24"/>
          <w:szCs w:val="24"/>
          <w:highlight w:val="none"/>
        </w:rPr>
      </w:pPr>
    </w:p>
    <w:p>
      <w:pPr>
        <w:pStyle w:val="50"/>
        <w:shd w:val="clear"/>
        <w:rPr>
          <w:rFonts w:hint="eastAsia" w:ascii="仿宋_GB2312" w:hAnsi="仿宋_GB2312" w:eastAsia="仿宋_GB2312" w:cs="仿宋_GB2312"/>
          <w:b/>
          <w:color w:val="auto"/>
          <w:sz w:val="24"/>
          <w:szCs w:val="24"/>
          <w:highlight w:val="none"/>
        </w:rPr>
      </w:pPr>
    </w:p>
    <w:p>
      <w:pPr>
        <w:shd w:val="clear"/>
        <w:rPr>
          <w:rFonts w:hint="eastAsia" w:ascii="仿宋_GB2312" w:hAnsi="仿宋_GB2312" w:eastAsia="仿宋_GB2312" w:cs="仿宋_GB2312"/>
          <w:b/>
          <w:bCs w:val="0"/>
          <w:color w:val="auto"/>
          <w:sz w:val="24"/>
          <w:szCs w:val="24"/>
          <w:highlight w:val="none"/>
          <w:lang w:val="en-US" w:eastAsia="zh-CN"/>
        </w:rPr>
      </w:pPr>
    </w:p>
    <w:p>
      <w:pPr>
        <w:shd w:val="clea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br w:type="page"/>
      </w:r>
    </w:p>
    <w:p>
      <w:pPr>
        <w:numPr>
          <w:ilvl w:val="0"/>
          <w:numId w:val="0"/>
        </w:numPr>
        <w:shd w:val="clear"/>
        <w:spacing w:line="460" w:lineRule="exact"/>
        <w:ind w:right="62" w:rightChars="0"/>
        <w:jc w:val="center"/>
        <w:outlineLvl w:val="1"/>
        <w:rPr>
          <w:rFonts w:hint="eastAsia" w:ascii="仿宋_GB2312" w:hAnsi="仿宋_GB2312" w:eastAsia="仿宋_GB2312" w:cs="仿宋_GB2312"/>
          <w:b/>
          <w:bCs w:val="0"/>
          <w:color w:val="auto"/>
          <w:sz w:val="24"/>
          <w:szCs w:val="24"/>
          <w:highlight w:val="none"/>
          <w:lang w:val="en-US" w:eastAsia="zh-CN"/>
        </w:rPr>
      </w:pPr>
      <w:bookmarkStart w:id="292" w:name="_Toc9356"/>
      <w:r>
        <w:rPr>
          <w:rFonts w:hint="eastAsia" w:ascii="仿宋_GB2312" w:hAnsi="仿宋_GB2312" w:eastAsia="仿宋_GB2312" w:cs="仿宋_GB2312"/>
          <w:b/>
          <w:bCs w:val="0"/>
          <w:color w:val="auto"/>
          <w:sz w:val="24"/>
          <w:szCs w:val="24"/>
          <w:highlight w:val="none"/>
          <w:lang w:val="en-US" w:eastAsia="zh-CN"/>
        </w:rPr>
        <w:t>19、关于对本投标文件中提供资料真实性的承诺</w:t>
      </w:r>
      <w:bookmarkEnd w:id="292"/>
    </w:p>
    <w:p>
      <w:pPr>
        <w:keepNext w:val="0"/>
        <w:keepLines w:val="0"/>
        <w:pageBreakBefore w:val="0"/>
        <w:widowControl w:val="0"/>
        <w:shd w:val="clear"/>
        <w:kinsoku/>
        <w:wordWrap/>
        <w:overflowPunct/>
        <w:topLinePunct w:val="0"/>
        <w:autoSpaceDE/>
        <w:autoSpaceDN/>
        <w:bidi w:val="0"/>
        <w:adjustRightInd/>
        <w:snapToGrid/>
        <w:spacing w:before="68" w:line="360" w:lineRule="auto"/>
        <w:textAlignment w:val="auto"/>
        <w:rPr>
          <w:rFonts w:hint="eastAsia" w:ascii="仿宋_GB2312" w:hAnsi="仿宋_GB2312" w:eastAsia="仿宋_GB2312" w:cs="仿宋_GB2312"/>
          <w:spacing w:val="-13"/>
          <w:sz w:val="24"/>
          <w:szCs w:val="24"/>
          <w:u w:val="single" w:color="auto"/>
        </w:rPr>
      </w:pPr>
    </w:p>
    <w:p>
      <w:pPr>
        <w:keepNext w:val="0"/>
        <w:keepLines w:val="0"/>
        <w:pageBreakBefore w:val="0"/>
        <w:widowControl w:val="0"/>
        <w:shd w:val="clear"/>
        <w:kinsoku/>
        <w:wordWrap/>
        <w:overflowPunct/>
        <w:topLinePunct w:val="0"/>
        <w:autoSpaceDE/>
        <w:autoSpaceDN/>
        <w:bidi w:val="0"/>
        <w:adjustRightInd/>
        <w:snapToGrid/>
        <w:spacing w:before="68" w:line="360" w:lineRule="auto"/>
        <w:ind w:firstLine="2"/>
        <w:textAlignment w:val="auto"/>
        <w:outlineLvl w:val="2"/>
        <w:rPr>
          <w:rFonts w:hint="eastAsia" w:ascii="仿宋_GB2312" w:hAnsi="仿宋_GB2312" w:eastAsia="仿宋_GB2312" w:cs="仿宋_GB2312"/>
          <w:sz w:val="24"/>
          <w:szCs w:val="24"/>
        </w:rPr>
      </w:pPr>
      <w:bookmarkStart w:id="293" w:name="_Toc16160"/>
      <w:bookmarkStart w:id="294" w:name="_Toc6143"/>
      <w:r>
        <w:rPr>
          <w:rFonts w:hint="eastAsia" w:ascii="仿宋_GB2312" w:hAnsi="仿宋_GB2312" w:eastAsia="仿宋_GB2312" w:cs="仿宋_GB2312"/>
          <w:spacing w:val="-13"/>
          <w:sz w:val="24"/>
          <w:szCs w:val="24"/>
          <w:u w:val="single" w:color="auto"/>
          <w:lang w:eastAsia="zh-CN"/>
        </w:rPr>
        <w:t>致</w:t>
      </w:r>
      <w:r>
        <w:rPr>
          <w:rFonts w:hint="eastAsia" w:ascii="仿宋_GB2312" w:hAnsi="仿宋_GB2312" w:eastAsia="仿宋_GB2312" w:cs="仿宋_GB2312"/>
          <w:spacing w:val="-30"/>
          <w:sz w:val="24"/>
          <w:szCs w:val="24"/>
          <w:u w:val="single" w:color="auto"/>
        </w:rPr>
        <w:t>：（</w:t>
      </w:r>
      <w:r>
        <w:rPr>
          <w:rFonts w:hint="eastAsia" w:ascii="仿宋_GB2312" w:hAnsi="仿宋_GB2312" w:eastAsia="仿宋_GB2312" w:cs="仿宋_GB2312"/>
          <w:spacing w:val="-13"/>
          <w:sz w:val="24"/>
          <w:szCs w:val="24"/>
          <w:u w:val="single" w:color="auto"/>
          <w:lang w:eastAsia="zh-CN"/>
        </w:rPr>
        <w:t>采购单位</w:t>
      </w:r>
      <w:r>
        <w:rPr>
          <w:rFonts w:hint="eastAsia" w:ascii="仿宋_GB2312" w:hAnsi="仿宋_GB2312" w:eastAsia="仿宋_GB2312" w:cs="仿宋_GB2312"/>
          <w:spacing w:val="-13"/>
          <w:sz w:val="24"/>
          <w:szCs w:val="24"/>
          <w:u w:val="single" w:color="auto"/>
        </w:rPr>
        <w:t>名称）</w:t>
      </w:r>
      <w:r>
        <w:rPr>
          <w:rFonts w:hint="eastAsia" w:ascii="仿宋_GB2312" w:hAnsi="仿宋_GB2312" w:eastAsia="仿宋_GB2312" w:cs="仿宋_GB2312"/>
          <w:spacing w:val="20"/>
          <w:sz w:val="24"/>
          <w:szCs w:val="24"/>
          <w:u w:val="single" w:color="auto"/>
        </w:rPr>
        <w:t xml:space="preserve"> </w:t>
      </w:r>
      <w:r>
        <w:rPr>
          <w:rFonts w:hint="eastAsia" w:ascii="仿宋_GB2312" w:hAnsi="仿宋_GB2312" w:eastAsia="仿宋_GB2312" w:cs="仿宋_GB2312"/>
          <w:spacing w:val="-13"/>
          <w:sz w:val="24"/>
          <w:szCs w:val="24"/>
          <w:u w:val="single" w:color="auto"/>
        </w:rPr>
        <w:t>及（项目、标段名称）评标委员会</w:t>
      </w:r>
      <w:bookmarkEnd w:id="293"/>
      <w:bookmarkEnd w:id="294"/>
      <w:r>
        <w:rPr>
          <w:rFonts w:hint="eastAsia" w:ascii="仿宋_GB2312" w:hAnsi="仿宋_GB2312" w:eastAsia="仿宋_GB2312" w:cs="仿宋_GB2312"/>
          <w:sz w:val="24"/>
          <w:szCs w:val="24"/>
          <w:u w:val="single" w:color="auto"/>
        </w:rPr>
        <w:t xml:space="preserve">   </w:t>
      </w:r>
    </w:p>
    <w:p>
      <w:pPr>
        <w:keepNext w:val="0"/>
        <w:keepLines w:val="0"/>
        <w:pageBreakBefore w:val="0"/>
        <w:widowControl w:val="0"/>
        <w:shd w:val="clear"/>
        <w:kinsoku/>
        <w:wordWrap/>
        <w:overflowPunct/>
        <w:topLinePunct w:val="0"/>
        <w:autoSpaceDE/>
        <w:autoSpaceDN/>
        <w:bidi w:val="0"/>
        <w:adjustRightInd/>
        <w:snapToGrid/>
        <w:spacing w:before="128" w:line="360" w:lineRule="auto"/>
        <w:ind w:right="5" w:firstLine="631"/>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根据《中华人民共和国</w:t>
      </w:r>
      <w:r>
        <w:rPr>
          <w:rFonts w:hint="eastAsia" w:ascii="仿宋_GB2312" w:hAnsi="仿宋_GB2312" w:eastAsia="仿宋_GB2312" w:cs="仿宋_GB2312"/>
          <w:spacing w:val="-6"/>
          <w:sz w:val="24"/>
          <w:szCs w:val="24"/>
          <w:lang w:eastAsia="zh-CN"/>
        </w:rPr>
        <w:t>政府采购</w:t>
      </w:r>
      <w:r>
        <w:rPr>
          <w:rFonts w:hint="eastAsia" w:ascii="仿宋_GB2312" w:hAnsi="仿宋_GB2312" w:eastAsia="仿宋_GB2312" w:cs="仿宋_GB2312"/>
          <w:spacing w:val="-6"/>
          <w:sz w:val="24"/>
          <w:szCs w:val="24"/>
        </w:rPr>
        <w:t>法》、《中华人民共和国</w:t>
      </w:r>
      <w:r>
        <w:rPr>
          <w:rFonts w:hint="eastAsia" w:ascii="仿宋_GB2312" w:hAnsi="仿宋_GB2312" w:eastAsia="仿宋_GB2312" w:cs="仿宋_GB2312"/>
          <w:spacing w:val="-6"/>
          <w:sz w:val="24"/>
          <w:szCs w:val="24"/>
          <w:lang w:eastAsia="zh-CN"/>
        </w:rPr>
        <w:t>政府采购</w:t>
      </w:r>
      <w:r>
        <w:rPr>
          <w:rFonts w:hint="eastAsia" w:ascii="仿宋_GB2312" w:hAnsi="仿宋_GB2312" w:eastAsia="仿宋_GB2312" w:cs="仿宋_GB2312"/>
          <w:spacing w:val="-6"/>
          <w:sz w:val="24"/>
          <w:szCs w:val="24"/>
        </w:rPr>
        <w:t>法实施条例》等有关法律、</w:t>
      </w:r>
      <w:r>
        <w:rPr>
          <w:rFonts w:hint="eastAsia" w:ascii="仿宋_GB2312" w:hAnsi="仿宋_GB2312" w:eastAsia="仿宋_GB2312" w:cs="仿宋_GB2312"/>
          <w:spacing w:val="-9"/>
          <w:sz w:val="24"/>
          <w:szCs w:val="24"/>
        </w:rPr>
        <w:t>法规的规定和</w:t>
      </w:r>
      <w:r>
        <w:rPr>
          <w:rFonts w:hint="eastAsia" w:ascii="仿宋_GB2312" w:hAnsi="仿宋_GB2312" w:eastAsia="仿宋_GB2312" w:cs="仿宋_GB2312"/>
          <w:spacing w:val="20"/>
          <w:sz w:val="24"/>
          <w:szCs w:val="24"/>
          <w:u w:val="single" w:color="auto"/>
        </w:rPr>
        <w:t xml:space="preserve">     </w:t>
      </w:r>
      <w:r>
        <w:rPr>
          <w:rFonts w:hint="eastAsia" w:ascii="仿宋_GB2312" w:hAnsi="仿宋_GB2312" w:eastAsia="仿宋_GB2312" w:cs="仿宋_GB2312"/>
          <w:spacing w:val="-9"/>
          <w:sz w:val="24"/>
          <w:szCs w:val="24"/>
          <w:u w:val="single" w:color="auto"/>
        </w:rPr>
        <w:t>（项目、标段名称）</w:t>
      </w:r>
      <w:r>
        <w:rPr>
          <w:rFonts w:hint="eastAsia" w:ascii="仿宋_GB2312" w:hAnsi="仿宋_GB2312" w:eastAsia="仿宋_GB2312" w:cs="仿宋_GB2312"/>
          <w:spacing w:val="16"/>
          <w:sz w:val="24"/>
          <w:szCs w:val="24"/>
          <w:u w:val="single" w:color="auto"/>
        </w:rPr>
        <w:t xml:space="preserve">      </w:t>
      </w:r>
      <w:r>
        <w:rPr>
          <w:rFonts w:hint="eastAsia" w:ascii="仿宋_GB2312" w:hAnsi="仿宋_GB2312" w:eastAsia="仿宋_GB2312" w:cs="仿宋_GB2312"/>
          <w:spacing w:val="-9"/>
          <w:sz w:val="24"/>
          <w:szCs w:val="24"/>
        </w:rPr>
        <w:t>的</w:t>
      </w:r>
      <w:r>
        <w:rPr>
          <w:rFonts w:hint="eastAsia" w:ascii="仿宋_GB2312" w:hAnsi="仿宋_GB2312" w:eastAsia="仿宋_GB2312" w:cs="仿宋_GB2312"/>
          <w:spacing w:val="-9"/>
          <w:sz w:val="24"/>
          <w:szCs w:val="24"/>
          <w:lang w:eastAsia="zh-CN"/>
        </w:rPr>
        <w:t>谈判文件</w:t>
      </w:r>
      <w:r>
        <w:rPr>
          <w:rFonts w:hint="eastAsia" w:ascii="仿宋_GB2312" w:hAnsi="仿宋_GB2312" w:eastAsia="仿宋_GB2312" w:cs="仿宋_GB2312"/>
          <w:spacing w:val="-9"/>
          <w:sz w:val="24"/>
          <w:szCs w:val="24"/>
        </w:rPr>
        <w:t>的要求，</w:t>
      </w:r>
      <w:r>
        <w:rPr>
          <w:rFonts w:hint="eastAsia" w:ascii="仿宋_GB2312" w:hAnsi="仿宋_GB2312" w:eastAsia="仿宋_GB2312" w:cs="仿宋_GB2312"/>
          <w:spacing w:val="24"/>
          <w:sz w:val="24"/>
          <w:szCs w:val="24"/>
        </w:rPr>
        <w:t xml:space="preserve"> </w:t>
      </w:r>
      <w:r>
        <w:rPr>
          <w:rFonts w:hint="eastAsia" w:ascii="仿宋_GB2312" w:hAnsi="仿宋_GB2312" w:eastAsia="仿宋_GB2312" w:cs="仿宋_GB2312"/>
          <w:spacing w:val="-9"/>
          <w:sz w:val="24"/>
          <w:szCs w:val="24"/>
        </w:rPr>
        <w:t>我公司在</w:t>
      </w:r>
      <w:r>
        <w:rPr>
          <w:rFonts w:hint="eastAsia" w:ascii="仿宋_GB2312" w:hAnsi="仿宋_GB2312" w:eastAsia="仿宋_GB2312" w:cs="仿宋_GB2312"/>
          <w:spacing w:val="22"/>
          <w:sz w:val="24"/>
          <w:szCs w:val="24"/>
          <w:u w:val="single" w:color="auto"/>
        </w:rPr>
        <w:t xml:space="preserve">    </w:t>
      </w:r>
      <w:r>
        <w:rPr>
          <w:rFonts w:hint="eastAsia" w:ascii="仿宋_GB2312" w:hAnsi="仿宋_GB2312" w:eastAsia="仿宋_GB2312" w:cs="仿宋_GB2312"/>
          <w:spacing w:val="-9"/>
          <w:sz w:val="24"/>
          <w:szCs w:val="24"/>
          <w:u w:val="single" w:color="auto"/>
        </w:rPr>
        <w:t>（项目、标段名</w:t>
      </w:r>
      <w:r>
        <w:rPr>
          <w:rFonts w:hint="eastAsia" w:ascii="仿宋_GB2312" w:hAnsi="仿宋_GB2312" w:eastAsia="仿宋_GB2312" w:cs="仿宋_GB2312"/>
          <w:spacing w:val="-6"/>
          <w:sz w:val="24"/>
          <w:szCs w:val="24"/>
          <w:u w:val="single" w:color="auto"/>
        </w:rPr>
        <w:t>称）</w:t>
      </w:r>
      <w:r>
        <w:rPr>
          <w:rFonts w:hint="eastAsia" w:ascii="仿宋_GB2312" w:hAnsi="仿宋_GB2312" w:eastAsia="仿宋_GB2312" w:cs="仿宋_GB2312"/>
          <w:spacing w:val="2"/>
          <w:sz w:val="24"/>
          <w:szCs w:val="24"/>
          <w:u w:val="single" w:color="auto"/>
        </w:rPr>
        <w:t xml:space="preserve">      </w:t>
      </w:r>
      <w:r>
        <w:rPr>
          <w:rFonts w:hint="eastAsia" w:ascii="仿宋_GB2312" w:hAnsi="仿宋_GB2312" w:eastAsia="仿宋_GB2312" w:cs="仿宋_GB2312"/>
          <w:spacing w:val="-6"/>
          <w:sz w:val="24"/>
          <w:szCs w:val="24"/>
        </w:rPr>
        <w:t>投标文件中所提供资料真实性作如下承诺：</w:t>
      </w:r>
    </w:p>
    <w:p>
      <w:pPr>
        <w:keepNext w:val="0"/>
        <w:keepLines w:val="0"/>
        <w:pageBreakBefore w:val="0"/>
        <w:widowControl w:val="0"/>
        <w:shd w:val="clear"/>
        <w:kinsoku/>
        <w:wordWrap/>
        <w:overflowPunct/>
        <w:topLinePunct w:val="0"/>
        <w:autoSpaceDE/>
        <w:autoSpaceDN/>
        <w:bidi w:val="0"/>
        <w:adjustRightInd/>
        <w:snapToGrid/>
        <w:spacing w:before="2" w:line="360" w:lineRule="auto"/>
        <w:ind w:left="2" w:firstLine="631"/>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我公司将严格按</w:t>
      </w:r>
      <w:r>
        <w:rPr>
          <w:rFonts w:hint="eastAsia" w:ascii="仿宋_GB2312" w:hAnsi="仿宋_GB2312" w:eastAsia="仿宋_GB2312" w:cs="仿宋_GB2312"/>
          <w:spacing w:val="-4"/>
          <w:sz w:val="24"/>
          <w:szCs w:val="24"/>
          <w:lang w:eastAsia="zh-CN"/>
        </w:rPr>
        <w:t>谈判文件</w:t>
      </w:r>
      <w:r>
        <w:rPr>
          <w:rFonts w:hint="eastAsia" w:ascii="仿宋_GB2312" w:hAnsi="仿宋_GB2312" w:eastAsia="仿宋_GB2312" w:cs="仿宋_GB2312"/>
          <w:spacing w:val="-4"/>
          <w:sz w:val="24"/>
          <w:szCs w:val="24"/>
        </w:rPr>
        <w:t>要求，在编制本投标文件时，投标文件中所提供的资料全部真实和</w:t>
      </w:r>
      <w:r>
        <w:rPr>
          <w:rFonts w:hint="eastAsia" w:ascii="仿宋_GB2312" w:hAnsi="仿宋_GB2312" w:eastAsia="仿宋_GB2312" w:cs="仿宋_GB2312"/>
          <w:spacing w:val="-10"/>
          <w:sz w:val="24"/>
          <w:szCs w:val="24"/>
        </w:rPr>
        <w:t>准确，并对提供的所有资料（资格、业绩、其他材料等）的真实性负责！</w:t>
      </w:r>
    </w:p>
    <w:p>
      <w:pPr>
        <w:keepNext w:val="0"/>
        <w:keepLines w:val="0"/>
        <w:pageBreakBefore w:val="0"/>
        <w:widowControl w:val="0"/>
        <w:shd w:val="clear"/>
        <w:kinsoku/>
        <w:wordWrap/>
        <w:overflowPunct/>
        <w:topLinePunct w:val="0"/>
        <w:autoSpaceDE/>
        <w:autoSpaceDN/>
        <w:bidi w:val="0"/>
        <w:adjustRightInd/>
        <w:snapToGrid/>
        <w:spacing w:before="1" w:line="360" w:lineRule="auto"/>
        <w:ind w:left="1" w:firstLine="633"/>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如提供的全部资料中有存在不真实（伪造、或租借等虚假资料）情形的，将无条件按有关的法律、法规的规定接受任何处罚，自行承担由此引起的一切责任！</w:t>
      </w:r>
    </w:p>
    <w:p>
      <w:pPr>
        <w:keepNext w:val="0"/>
        <w:keepLines w:val="0"/>
        <w:pageBreakBefore w:val="0"/>
        <w:widowControl w:val="0"/>
        <w:shd w:val="clear"/>
        <w:kinsoku/>
        <w:wordWrap/>
        <w:overflowPunct/>
        <w:topLinePunct w:val="0"/>
        <w:autoSpaceDE/>
        <w:autoSpaceDN/>
        <w:bidi w:val="0"/>
        <w:adjustRightInd/>
        <w:snapToGrid/>
        <w:spacing w:before="338" w:line="360" w:lineRule="auto"/>
        <w:ind w:firstLine="631"/>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rPr>
        <w:t>特此承诺</w:t>
      </w:r>
      <w:r>
        <w:rPr>
          <w:rFonts w:hint="eastAsia" w:ascii="仿宋_GB2312" w:hAnsi="仿宋_GB2312" w:eastAsia="仿宋_GB2312" w:cs="仿宋_GB2312"/>
          <w:spacing w:val="-1"/>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投标单位：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00" w:lineRule="exact"/>
        <w:ind w:firstLine="1920" w:firstLineChars="8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法定代表人或授权代表人：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盖章） </w:t>
      </w:r>
    </w:p>
    <w:p>
      <w:pPr>
        <w:pageBreakBefore w:val="0"/>
        <w:shd w:val="clear"/>
        <w:kinsoku/>
        <w:wordWrap/>
        <w:overflowPunct/>
        <w:topLinePunct w:val="0"/>
        <w:bidi w:val="0"/>
        <w:spacing w:line="360" w:lineRule="auto"/>
        <w:ind w:firstLine="5040" w:firstLineChars="2100"/>
        <w:rPr>
          <w:rFonts w:hint="eastAsia" w:ascii="仿宋_GB2312" w:hAnsi="仿宋_GB2312" w:eastAsia="仿宋_GB2312" w:cs="仿宋_GB2312"/>
          <w:color w:val="auto"/>
          <w:sz w:val="24"/>
          <w:szCs w:val="24"/>
          <w:highlight w:val="none"/>
        </w:rPr>
      </w:pPr>
    </w:p>
    <w:p>
      <w:pPr>
        <w:pageBreakBefore w:val="0"/>
        <w:shd w:val="clear"/>
        <w:kinsoku/>
        <w:wordWrap/>
        <w:overflowPunct/>
        <w:topLinePunct w:val="0"/>
        <w:bidi w:val="0"/>
        <w:spacing w:line="360" w:lineRule="auto"/>
        <w:ind w:firstLine="5520" w:firstLineChars="2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pPr>
        <w:pStyle w:val="4"/>
        <w:shd w:val="clear"/>
        <w:outlineLvl w:val="9"/>
        <w:rPr>
          <w:rFonts w:hint="eastAsia" w:ascii="仿宋_GB2312" w:hAnsi="仿宋_GB2312" w:eastAsia="仿宋_GB2312" w:cs="仿宋_GB2312"/>
          <w:color w:val="auto"/>
          <w:sz w:val="24"/>
          <w:szCs w:val="24"/>
          <w:highlight w:val="none"/>
        </w:rPr>
      </w:pPr>
    </w:p>
    <w:p>
      <w:pPr>
        <w:pStyle w:val="4"/>
        <w:shd w:val="clear"/>
        <w:outlineLvl w:val="9"/>
        <w:rPr>
          <w:rFonts w:hint="eastAsia" w:ascii="仿宋_GB2312" w:hAnsi="仿宋_GB2312" w:eastAsia="仿宋_GB2312" w:cs="仿宋_GB2312"/>
          <w:color w:val="auto"/>
          <w:sz w:val="24"/>
          <w:szCs w:val="24"/>
          <w:highlight w:val="none"/>
        </w:rPr>
      </w:pPr>
    </w:p>
    <w:p>
      <w:pPr>
        <w:shd w:val="clear"/>
        <w:rPr>
          <w:rFonts w:hint="eastAsia" w:ascii="仿宋_GB2312" w:hAnsi="仿宋_GB2312" w:eastAsia="仿宋_GB2312" w:cs="仿宋_GB2312"/>
          <w:color w:val="auto"/>
          <w:sz w:val="24"/>
          <w:szCs w:val="24"/>
          <w:highlight w:val="none"/>
        </w:rPr>
      </w:pPr>
    </w:p>
    <w:p>
      <w:pPr>
        <w:shd w:val="clear"/>
        <w:jc w:val="center"/>
        <w:rPr>
          <w:rStyle w:val="44"/>
          <w:rFonts w:hint="eastAsia" w:ascii="仿宋_GB2312" w:hAnsi="仿宋_GB2312" w:eastAsia="仿宋_GB2312" w:cs="仿宋_GB2312"/>
          <w:color w:val="auto"/>
          <w:sz w:val="24"/>
          <w:szCs w:val="24"/>
          <w:highlight w:val="none"/>
          <w:lang w:val="en-US" w:eastAsia="zh-CN"/>
        </w:rPr>
      </w:pPr>
    </w:p>
    <w:p>
      <w:pPr>
        <w:shd w:val="clea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br w:type="page"/>
      </w:r>
    </w:p>
    <w:p>
      <w:pPr>
        <w:numPr>
          <w:ilvl w:val="0"/>
          <w:numId w:val="0"/>
        </w:numPr>
        <w:shd w:val="clear"/>
        <w:spacing w:line="460" w:lineRule="exact"/>
        <w:ind w:leftChars="-50" w:right="62" w:rightChars="0"/>
        <w:jc w:val="center"/>
        <w:outlineLvl w:val="1"/>
        <w:rPr>
          <w:rFonts w:hint="eastAsia" w:ascii="仿宋_GB2312" w:hAnsi="仿宋_GB2312" w:eastAsia="仿宋_GB2312" w:cs="仿宋_GB2312"/>
          <w:b/>
          <w:bCs w:val="0"/>
          <w:color w:val="auto"/>
          <w:sz w:val="24"/>
          <w:szCs w:val="24"/>
          <w:highlight w:val="none"/>
          <w:lang w:val="en-US" w:eastAsia="zh-CN"/>
        </w:rPr>
      </w:pPr>
      <w:bookmarkStart w:id="295" w:name="_Toc4006"/>
      <w:r>
        <w:rPr>
          <w:rFonts w:hint="eastAsia" w:ascii="仿宋_GB2312" w:hAnsi="仿宋_GB2312" w:eastAsia="仿宋_GB2312" w:cs="仿宋_GB2312"/>
          <w:b/>
          <w:bCs w:val="0"/>
          <w:color w:val="auto"/>
          <w:sz w:val="24"/>
          <w:szCs w:val="24"/>
          <w:highlight w:val="none"/>
          <w:lang w:val="en-US" w:eastAsia="zh-CN"/>
        </w:rPr>
        <w:t>20、</w:t>
      </w:r>
      <w:bookmarkEnd w:id="283"/>
      <w:bookmarkEnd w:id="284"/>
      <w:r>
        <w:rPr>
          <w:rFonts w:hint="eastAsia" w:ascii="仿宋_GB2312" w:hAnsi="仿宋_GB2312" w:eastAsia="仿宋_GB2312" w:cs="仿宋_GB2312"/>
          <w:b/>
          <w:bCs w:val="0"/>
          <w:color w:val="auto"/>
          <w:sz w:val="24"/>
          <w:szCs w:val="24"/>
          <w:highlight w:val="none"/>
          <w:lang w:val="en-US" w:eastAsia="zh-CN"/>
        </w:rPr>
        <w:t>关于《中华人民共和国政府采购法》第二十二条的承诺书</w:t>
      </w:r>
      <w:bookmarkEnd w:id="295"/>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致：</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采购人</w:t>
      </w:r>
      <w:r>
        <w:rPr>
          <w:rFonts w:hint="eastAsia" w:ascii="仿宋_GB2312" w:hAnsi="仿宋_GB2312" w:eastAsia="仿宋_GB2312" w:cs="仿宋_GB2312"/>
          <w:bCs/>
          <w:color w:val="auto"/>
          <w:sz w:val="24"/>
          <w:szCs w:val="24"/>
          <w:highlight w:val="none"/>
          <w:lang w:eastAsia="zh-CN"/>
        </w:rPr>
        <w:t>）</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我公司</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rPr>
        <w:t>参加贵方组织的</w:t>
      </w:r>
      <w:r>
        <w:rPr>
          <w:rFonts w:hint="eastAsia" w:ascii="仿宋_GB2312" w:hAnsi="仿宋_GB2312" w:eastAsia="仿宋_GB2312" w:cs="仿宋_GB2312"/>
          <w:bCs/>
          <w:color w:val="auto"/>
          <w:sz w:val="24"/>
          <w:szCs w:val="24"/>
          <w:highlight w:val="none"/>
          <w:u w:val="single"/>
          <w:lang w:val="en-US" w:eastAsia="zh-CN"/>
        </w:rPr>
        <w:t xml:space="preserve">项目名称：      </w:t>
      </w:r>
      <w:r>
        <w:rPr>
          <w:rFonts w:hint="eastAsia" w:ascii="仿宋_GB2312" w:hAnsi="仿宋_GB2312" w:eastAsia="仿宋_GB2312" w:cs="仿宋_GB2312"/>
          <w:bCs/>
          <w:color w:val="auto"/>
          <w:sz w:val="24"/>
          <w:szCs w:val="24"/>
          <w:highlight w:val="none"/>
          <w:u w:val="single"/>
        </w:rPr>
        <w:t>（</w:t>
      </w:r>
      <w:r>
        <w:rPr>
          <w:rFonts w:hint="eastAsia" w:ascii="仿宋_GB2312" w:hAnsi="仿宋_GB2312" w:eastAsia="仿宋_GB2312" w:cs="仿宋_GB2312"/>
          <w:bCs/>
          <w:color w:val="auto"/>
          <w:sz w:val="24"/>
          <w:szCs w:val="24"/>
          <w:highlight w:val="none"/>
          <w:u w:val="single"/>
          <w:lang w:val="en-US" w:eastAsia="zh-CN"/>
        </w:rPr>
        <w:t xml:space="preserve">项目编号：       </w:t>
      </w:r>
      <w:r>
        <w:rPr>
          <w:rFonts w:hint="eastAsia" w:ascii="仿宋_GB2312" w:hAnsi="仿宋_GB2312" w:eastAsia="仿宋_GB2312" w:cs="仿宋_GB2312"/>
          <w:bCs/>
          <w:color w:val="auto"/>
          <w:sz w:val="24"/>
          <w:szCs w:val="24"/>
          <w:highlight w:val="none"/>
          <w:u w:val="single"/>
        </w:rPr>
        <w:t>）</w:t>
      </w:r>
      <w:r>
        <w:rPr>
          <w:rFonts w:hint="eastAsia" w:ascii="仿宋_GB2312" w:hAnsi="仿宋_GB2312" w:eastAsia="仿宋_GB2312" w:cs="仿宋_GB2312"/>
          <w:bCs/>
          <w:color w:val="auto"/>
          <w:sz w:val="24"/>
          <w:szCs w:val="24"/>
          <w:highlight w:val="none"/>
        </w:rPr>
        <w:t>的投标活动，</w:t>
      </w:r>
      <w:r>
        <w:rPr>
          <w:rFonts w:hint="eastAsia" w:ascii="仿宋_GB2312" w:hAnsi="仿宋_GB2312" w:eastAsia="仿宋_GB2312" w:cs="仿宋_GB2312"/>
          <w:bCs/>
          <w:color w:val="auto"/>
          <w:sz w:val="24"/>
          <w:szCs w:val="24"/>
          <w:highlight w:val="none"/>
          <w:lang w:val="en-US" w:eastAsia="zh-CN"/>
        </w:rPr>
        <w:t>为便于贵方公正、择优的确定中标人，我方就本次投标有关事项声明如下</w:t>
      </w:r>
      <w:r>
        <w:rPr>
          <w:rFonts w:hint="eastAsia" w:ascii="仿宋_GB2312" w:hAnsi="仿宋_GB2312" w:eastAsia="仿宋_GB2312" w:cs="仿宋_GB2312"/>
          <w:bCs/>
          <w:color w:val="auto"/>
          <w:sz w:val="24"/>
          <w:szCs w:val="24"/>
          <w:highlight w:val="none"/>
        </w:rPr>
        <w:t>：</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（1）具有独立承担民事责任的能力；</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（2）具有良好的商业信誉和健全的财务会计制度；</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（3）具有履行合同所必需的设备和专业技术能力；</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（4）有依法缴纳税收和社会保障资金的良好记录；</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（6）法律、行政法规规定的其他条件。</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我公司已完全了解本</w:t>
      </w:r>
      <w:r>
        <w:rPr>
          <w:rFonts w:hint="eastAsia" w:ascii="仿宋_GB2312" w:hAnsi="仿宋_GB2312" w:eastAsia="仿宋_GB2312" w:cs="仿宋_GB2312"/>
          <w:bCs/>
          <w:color w:val="auto"/>
          <w:sz w:val="24"/>
          <w:szCs w:val="24"/>
          <w:highlight w:val="none"/>
          <w:lang w:eastAsia="zh-CN"/>
        </w:rPr>
        <w:t>谈判文件</w:t>
      </w:r>
      <w:r>
        <w:rPr>
          <w:rFonts w:hint="eastAsia" w:ascii="仿宋_GB2312" w:hAnsi="仿宋_GB2312" w:eastAsia="仿宋_GB2312" w:cs="仿宋_GB2312"/>
          <w:bCs/>
          <w:color w:val="auto"/>
          <w:sz w:val="24"/>
          <w:szCs w:val="24"/>
          <w:highlight w:val="none"/>
        </w:rPr>
        <w:t>中规定的技术要求和商务条款。如违反以上承诺，本公司愿承担一切法律责任。</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特此承诺。</w:t>
      </w:r>
    </w:p>
    <w:p>
      <w:pPr>
        <w:shd w:val="clear" w:color="auto"/>
        <w:spacing w:line="500" w:lineRule="exact"/>
        <w:ind w:firstLine="3120" w:firstLineChars="1300"/>
        <w:jc w:val="left"/>
        <w:rPr>
          <w:rFonts w:hint="eastAsia" w:ascii="仿宋_GB2312" w:hAnsi="仿宋_GB2312" w:eastAsia="仿宋_GB2312" w:cs="仿宋_GB2312"/>
          <w:color w:val="auto"/>
          <w:sz w:val="24"/>
          <w:szCs w:val="24"/>
          <w:highlight w:val="none"/>
        </w:rPr>
      </w:pPr>
    </w:p>
    <w:p>
      <w:pPr>
        <w:shd w:val="clear" w:color="auto"/>
        <w:spacing w:line="480" w:lineRule="auto"/>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承诺人（盖公章）：</w:t>
      </w:r>
      <w:r>
        <w:rPr>
          <w:rFonts w:hint="eastAsia" w:ascii="仿宋_GB2312" w:hAnsi="仿宋_GB2312" w:eastAsia="仿宋_GB2312" w:cs="仿宋_GB2312"/>
          <w:color w:val="auto"/>
          <w:sz w:val="24"/>
          <w:szCs w:val="24"/>
          <w:highlight w:val="none"/>
          <w:u w:val="single"/>
        </w:rPr>
        <w:t xml:space="preserve">     （供应商全称）  </w:t>
      </w:r>
    </w:p>
    <w:p>
      <w:pPr>
        <w:shd w:val="clear" w:color="auto"/>
        <w:spacing w:line="48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pPr>
        <w:shd w:val="clear"/>
        <w:rPr>
          <w:rFonts w:hint="eastAsia" w:ascii="仿宋_GB2312" w:hAnsi="仿宋_GB2312" w:eastAsia="仿宋_GB2312" w:cs="仿宋_GB2312"/>
          <w:b/>
          <w:bCs w:val="0"/>
          <w:color w:val="auto"/>
          <w:sz w:val="24"/>
          <w:szCs w:val="24"/>
          <w:highlight w:val="none"/>
          <w:lang w:val="en-US" w:eastAsia="zh-CN"/>
        </w:rPr>
      </w:pPr>
    </w:p>
    <w:p>
      <w:pPr>
        <w:shd w:val="clear"/>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br w:type="page"/>
      </w:r>
    </w:p>
    <w:p>
      <w:pPr>
        <w:numPr>
          <w:ilvl w:val="0"/>
          <w:numId w:val="0"/>
        </w:numPr>
        <w:shd w:val="clear"/>
        <w:spacing w:line="460" w:lineRule="exact"/>
        <w:ind w:leftChars="-50" w:right="62" w:rightChars="0"/>
        <w:jc w:val="center"/>
        <w:outlineLvl w:val="1"/>
        <w:rPr>
          <w:rFonts w:hint="eastAsia" w:ascii="仿宋_GB2312" w:hAnsi="仿宋_GB2312" w:eastAsia="仿宋_GB2312" w:cs="仿宋_GB2312"/>
          <w:b/>
          <w:bCs w:val="0"/>
          <w:color w:val="auto"/>
          <w:sz w:val="24"/>
          <w:szCs w:val="24"/>
          <w:highlight w:val="none"/>
          <w:lang w:val="en-US" w:eastAsia="zh-CN"/>
        </w:rPr>
      </w:pPr>
      <w:bookmarkStart w:id="296" w:name="_Toc5696"/>
      <w:r>
        <w:rPr>
          <w:rFonts w:hint="eastAsia" w:ascii="仿宋_GB2312" w:hAnsi="仿宋_GB2312" w:eastAsia="仿宋_GB2312" w:cs="仿宋_GB2312"/>
          <w:b/>
          <w:bCs w:val="0"/>
          <w:color w:val="auto"/>
          <w:sz w:val="24"/>
          <w:szCs w:val="24"/>
          <w:highlight w:val="none"/>
          <w:lang w:val="en-US" w:eastAsia="zh-CN"/>
        </w:rPr>
        <w:t>21、其他投标人认为有必要提供的资料</w:t>
      </w:r>
      <w:bookmarkEnd w:id="296"/>
    </w:p>
    <w:p>
      <w:pPr>
        <w:shd w:val="clear"/>
        <w:rPr>
          <w:rFonts w:hint="eastAsia" w:ascii="仿宋_GB2312" w:hAnsi="仿宋_GB2312" w:eastAsia="仿宋_GB2312" w:cs="仿宋_GB2312"/>
          <w:color w:val="auto"/>
          <w:sz w:val="24"/>
          <w:szCs w:val="24"/>
          <w:highlight w:val="none"/>
        </w:rPr>
      </w:pPr>
    </w:p>
    <w:p>
      <w:pPr>
        <w:shd w:val="clear" w:color="auto"/>
        <w:spacing w:line="500" w:lineRule="exact"/>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1.提供关于《中华人民共和国政府采购法》第二十二条的承诺书及其他投标人认为有必要提供的资料</w:t>
      </w:r>
    </w:p>
    <w:p>
      <w:pPr>
        <w:shd w:val="clear" w:color="auto"/>
        <w:spacing w:line="500" w:lineRule="exact"/>
        <w:jc w:val="center"/>
        <w:rPr>
          <w:rFonts w:hint="eastAsia" w:ascii="仿宋_GB2312" w:hAnsi="仿宋_GB2312" w:eastAsia="仿宋_GB2312" w:cs="仿宋_GB2312"/>
          <w:b/>
          <w:bCs/>
          <w:color w:val="auto"/>
          <w:sz w:val="24"/>
          <w:szCs w:val="24"/>
          <w:highlight w:val="none"/>
          <w:lang w:val="en-US" w:eastAsia="zh-CN"/>
        </w:rPr>
      </w:pPr>
    </w:p>
    <w:p>
      <w:pPr>
        <w:shd w:val="clear" w:color="auto"/>
        <w:spacing w:line="500" w:lineRule="exact"/>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关于</w:t>
      </w:r>
      <w:r>
        <w:rPr>
          <w:rFonts w:hint="eastAsia" w:ascii="仿宋_GB2312" w:hAnsi="仿宋_GB2312" w:eastAsia="仿宋_GB2312" w:cs="仿宋_GB2312"/>
          <w:b/>
          <w:bCs/>
          <w:color w:val="auto"/>
          <w:sz w:val="24"/>
          <w:szCs w:val="24"/>
          <w:highlight w:val="none"/>
        </w:rPr>
        <w:t>《中华人民共和国政府采购法》第二十二条</w:t>
      </w:r>
      <w:r>
        <w:rPr>
          <w:rFonts w:hint="eastAsia" w:ascii="仿宋_GB2312" w:hAnsi="仿宋_GB2312" w:eastAsia="仿宋_GB2312" w:cs="仿宋_GB2312"/>
          <w:b/>
          <w:bCs/>
          <w:color w:val="auto"/>
          <w:sz w:val="24"/>
          <w:szCs w:val="24"/>
          <w:highlight w:val="none"/>
          <w:lang w:val="en-US" w:eastAsia="zh-CN"/>
        </w:rPr>
        <w:t>的</w:t>
      </w:r>
      <w:r>
        <w:rPr>
          <w:rFonts w:hint="eastAsia" w:ascii="仿宋_GB2312" w:hAnsi="仿宋_GB2312" w:eastAsia="仿宋_GB2312" w:cs="仿宋_GB2312"/>
          <w:b/>
          <w:bCs/>
          <w:color w:val="auto"/>
          <w:sz w:val="24"/>
          <w:szCs w:val="24"/>
          <w:highlight w:val="none"/>
        </w:rPr>
        <w:t>承诺</w:t>
      </w:r>
      <w:r>
        <w:rPr>
          <w:rFonts w:hint="eastAsia" w:ascii="仿宋_GB2312" w:hAnsi="仿宋_GB2312" w:eastAsia="仿宋_GB2312" w:cs="仿宋_GB2312"/>
          <w:b/>
          <w:bCs/>
          <w:color w:val="auto"/>
          <w:sz w:val="24"/>
          <w:szCs w:val="24"/>
          <w:highlight w:val="none"/>
          <w:lang w:val="en-US" w:eastAsia="zh-CN"/>
        </w:rPr>
        <w:t>书</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致：</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招标人</w:t>
      </w:r>
      <w:r>
        <w:rPr>
          <w:rFonts w:hint="eastAsia" w:ascii="仿宋_GB2312" w:hAnsi="仿宋_GB2312" w:eastAsia="仿宋_GB2312" w:cs="仿宋_GB2312"/>
          <w:bCs/>
          <w:color w:val="auto"/>
          <w:sz w:val="24"/>
          <w:szCs w:val="24"/>
          <w:highlight w:val="none"/>
          <w:lang w:eastAsia="zh-CN"/>
        </w:rPr>
        <w:t>）</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我公司</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rPr>
        <w:t>参加贵方组织的</w:t>
      </w:r>
      <w:r>
        <w:rPr>
          <w:rFonts w:hint="eastAsia" w:ascii="仿宋_GB2312" w:hAnsi="仿宋_GB2312" w:eastAsia="仿宋_GB2312" w:cs="仿宋_GB2312"/>
          <w:bCs/>
          <w:color w:val="auto"/>
          <w:sz w:val="24"/>
          <w:szCs w:val="24"/>
          <w:highlight w:val="none"/>
          <w:u w:val="single"/>
          <w:lang w:val="en-US" w:eastAsia="zh-CN"/>
        </w:rPr>
        <w:t xml:space="preserve">项目名称：      </w:t>
      </w:r>
      <w:r>
        <w:rPr>
          <w:rFonts w:hint="eastAsia" w:ascii="仿宋_GB2312" w:hAnsi="仿宋_GB2312" w:eastAsia="仿宋_GB2312" w:cs="仿宋_GB2312"/>
          <w:bCs/>
          <w:color w:val="auto"/>
          <w:sz w:val="24"/>
          <w:szCs w:val="24"/>
          <w:highlight w:val="none"/>
          <w:u w:val="single"/>
        </w:rPr>
        <w:t>（</w:t>
      </w:r>
      <w:r>
        <w:rPr>
          <w:rFonts w:hint="eastAsia" w:ascii="仿宋_GB2312" w:hAnsi="仿宋_GB2312" w:eastAsia="仿宋_GB2312" w:cs="仿宋_GB2312"/>
          <w:bCs/>
          <w:color w:val="auto"/>
          <w:sz w:val="24"/>
          <w:szCs w:val="24"/>
          <w:highlight w:val="none"/>
          <w:u w:val="single"/>
          <w:lang w:val="en-US" w:eastAsia="zh-CN"/>
        </w:rPr>
        <w:t xml:space="preserve">项目编号：       </w:t>
      </w:r>
      <w:r>
        <w:rPr>
          <w:rFonts w:hint="eastAsia" w:ascii="仿宋_GB2312" w:hAnsi="仿宋_GB2312" w:eastAsia="仿宋_GB2312" w:cs="仿宋_GB2312"/>
          <w:bCs/>
          <w:color w:val="auto"/>
          <w:sz w:val="24"/>
          <w:szCs w:val="24"/>
          <w:highlight w:val="none"/>
          <w:u w:val="single"/>
        </w:rPr>
        <w:t>）</w:t>
      </w:r>
      <w:r>
        <w:rPr>
          <w:rFonts w:hint="eastAsia" w:ascii="仿宋_GB2312" w:hAnsi="仿宋_GB2312" w:eastAsia="仿宋_GB2312" w:cs="仿宋_GB2312"/>
          <w:bCs/>
          <w:color w:val="auto"/>
          <w:sz w:val="24"/>
          <w:szCs w:val="24"/>
          <w:highlight w:val="none"/>
        </w:rPr>
        <w:t>的投标活动，</w:t>
      </w:r>
      <w:r>
        <w:rPr>
          <w:rFonts w:hint="eastAsia" w:ascii="仿宋_GB2312" w:hAnsi="仿宋_GB2312" w:eastAsia="仿宋_GB2312" w:cs="仿宋_GB2312"/>
          <w:bCs/>
          <w:color w:val="auto"/>
          <w:sz w:val="24"/>
          <w:szCs w:val="24"/>
          <w:highlight w:val="none"/>
          <w:lang w:val="en-US" w:eastAsia="zh-CN"/>
        </w:rPr>
        <w:t>为便于贵方公正、择优的确定中标人，我方就本次投标有关事项声明如下</w:t>
      </w:r>
      <w:r>
        <w:rPr>
          <w:rFonts w:hint="eastAsia" w:ascii="仿宋_GB2312" w:hAnsi="仿宋_GB2312" w:eastAsia="仿宋_GB2312" w:cs="仿宋_GB2312"/>
          <w:bCs/>
          <w:color w:val="auto"/>
          <w:sz w:val="24"/>
          <w:szCs w:val="24"/>
          <w:highlight w:val="none"/>
        </w:rPr>
        <w:t>：</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（1）具有独立承担民事责任的能力；</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（2）具有良好的商业信誉和健全的财务会计制度；</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（3）具有履行合同所必需的设备和专业技术能力；</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（4）有依法缴纳税收和社会保障资金的良好记录；</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（5）参加政府采购活动前三年内，在经营活动中没有重大违法记录；</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（6）法律、行政法规规定的其他条件。</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我公司已完全了解本招标文件中规定的技术要求和商务条款。如违反以上承诺，本公司愿承担一切法律责任。</w:t>
      </w:r>
    </w:p>
    <w:p>
      <w:pPr>
        <w:shd w:val="clear" w:color="auto"/>
        <w:spacing w:line="500" w:lineRule="exact"/>
        <w:ind w:firstLine="453" w:firstLineChars="18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特此承诺。</w:t>
      </w:r>
    </w:p>
    <w:p>
      <w:pPr>
        <w:shd w:val="clear" w:color="auto"/>
        <w:spacing w:line="500" w:lineRule="exact"/>
        <w:ind w:firstLine="3120" w:firstLineChars="1300"/>
        <w:jc w:val="left"/>
        <w:rPr>
          <w:rFonts w:hint="eastAsia" w:ascii="仿宋_GB2312" w:hAnsi="仿宋_GB2312" w:eastAsia="仿宋_GB2312" w:cs="仿宋_GB2312"/>
          <w:color w:val="auto"/>
          <w:sz w:val="24"/>
          <w:szCs w:val="24"/>
          <w:highlight w:val="none"/>
        </w:rPr>
      </w:pPr>
    </w:p>
    <w:p>
      <w:pPr>
        <w:shd w:val="clear" w:color="auto"/>
        <w:spacing w:line="480" w:lineRule="auto"/>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承诺人（公章）：</w:t>
      </w:r>
      <w:r>
        <w:rPr>
          <w:rFonts w:hint="eastAsia" w:ascii="仿宋_GB2312" w:hAnsi="仿宋_GB2312" w:eastAsia="仿宋_GB2312" w:cs="仿宋_GB2312"/>
          <w:color w:val="auto"/>
          <w:sz w:val="24"/>
          <w:szCs w:val="24"/>
          <w:highlight w:val="none"/>
          <w:u w:val="single"/>
        </w:rPr>
        <w:t xml:space="preserve">     （供应商全称）  </w:t>
      </w:r>
    </w:p>
    <w:p>
      <w:pPr>
        <w:shd w:val="clear" w:color="auto"/>
        <w:spacing w:line="48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 年 月 日</w:t>
      </w:r>
    </w:p>
    <w:p>
      <w:pPr>
        <w:pStyle w:val="24"/>
        <w:shd w:val="clear"/>
        <w:ind w:left="0" w:leftChars="0" w:firstLine="0" w:firstLineChars="0"/>
        <w:rPr>
          <w:rFonts w:hint="eastAsia" w:ascii="仿宋_GB2312" w:hAnsi="仿宋_GB2312" w:eastAsia="仿宋_GB2312" w:cs="仿宋_GB2312"/>
          <w:color w:val="auto"/>
          <w:sz w:val="24"/>
          <w:szCs w:val="24"/>
          <w:highlight w:val="none"/>
        </w:rPr>
      </w:pPr>
    </w:p>
    <w:p>
      <w:pPr>
        <w:shd w:val="clear"/>
        <w:jc w:val="both"/>
        <w:rPr>
          <w:rFonts w:hint="eastAsia" w:ascii="仿宋_GB2312" w:hAnsi="仿宋_GB2312" w:eastAsia="仿宋_GB2312" w:cs="仿宋_GB2312"/>
          <w:b/>
          <w:bCs/>
          <w:color w:val="auto"/>
          <w:sz w:val="24"/>
          <w:szCs w:val="24"/>
          <w:highlight w:val="none"/>
        </w:rPr>
      </w:pPr>
      <w:bookmarkStart w:id="297" w:name="_Toc7247"/>
      <w:r>
        <w:rPr>
          <w:rFonts w:hint="eastAsia" w:ascii="仿宋_GB2312" w:hAnsi="仿宋_GB2312" w:eastAsia="仿宋_GB2312" w:cs="仿宋_GB2312"/>
          <w:color w:val="auto"/>
          <w:sz w:val="24"/>
          <w:szCs w:val="24"/>
          <w:highlight w:val="none"/>
          <w:lang w:val="en-US" w:eastAsia="zh-CN"/>
        </w:rPr>
        <w:br w:type="page"/>
      </w:r>
    </w:p>
    <w:p>
      <w:pPr>
        <w:numPr>
          <w:ilvl w:val="0"/>
          <w:numId w:val="0"/>
        </w:numPr>
        <w:shd w:val="clear"/>
        <w:spacing w:line="460" w:lineRule="exact"/>
        <w:ind w:leftChars="-50" w:right="62" w:rightChars="0"/>
        <w:jc w:val="center"/>
        <w:outlineLvl w:val="1"/>
        <w:rPr>
          <w:rFonts w:hint="eastAsia" w:ascii="仿宋_GB2312" w:hAnsi="仿宋_GB2312" w:eastAsia="仿宋_GB2312" w:cs="仿宋_GB2312"/>
          <w:b/>
          <w:bCs w:val="0"/>
          <w:color w:val="auto"/>
          <w:sz w:val="24"/>
          <w:szCs w:val="24"/>
          <w:highlight w:val="none"/>
          <w:lang w:val="en-US" w:eastAsia="zh-CN"/>
        </w:rPr>
      </w:pPr>
      <w:bookmarkStart w:id="298" w:name="_Toc20257"/>
      <w:r>
        <w:rPr>
          <w:rFonts w:hint="eastAsia" w:ascii="仿宋_GB2312" w:hAnsi="仿宋_GB2312" w:eastAsia="仿宋_GB2312" w:cs="仿宋_GB2312"/>
          <w:b/>
          <w:bCs w:val="0"/>
          <w:color w:val="auto"/>
          <w:sz w:val="24"/>
          <w:szCs w:val="24"/>
          <w:highlight w:val="none"/>
          <w:lang w:val="en-US" w:eastAsia="zh-CN"/>
        </w:rPr>
        <w:t>22、技术部分</w:t>
      </w:r>
      <w:bookmarkEnd w:id="298"/>
    </w:p>
    <w:p>
      <w:pPr>
        <w:pStyle w:val="50"/>
        <w:shd w:val="clear"/>
        <w:rPr>
          <w:rFonts w:hint="eastAsia" w:ascii="仿宋_GB2312" w:hAnsi="仿宋_GB2312" w:eastAsia="仿宋_GB2312" w:cs="仿宋_GB2312"/>
          <w:b/>
          <w:color w:val="auto"/>
          <w:sz w:val="24"/>
          <w:szCs w:val="24"/>
          <w:highlight w:val="none"/>
        </w:rPr>
      </w:pPr>
    </w:p>
    <w:p>
      <w:pPr>
        <w:shd w:val="clear"/>
        <w:topLinePun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目 录</w:t>
      </w:r>
    </w:p>
    <w:p>
      <w:pPr>
        <w:pStyle w:val="50"/>
        <w:shd w:val="clear"/>
        <w:rPr>
          <w:rFonts w:hint="eastAsia" w:ascii="仿宋_GB2312" w:hAnsi="仿宋_GB2312" w:eastAsia="仿宋_GB2312" w:cs="仿宋_GB2312"/>
          <w:color w:val="auto"/>
          <w:sz w:val="24"/>
          <w:szCs w:val="24"/>
          <w:highlight w:val="none"/>
        </w:rPr>
      </w:pPr>
    </w:p>
    <w:p>
      <w:pPr>
        <w:pStyle w:val="18"/>
        <w:numPr>
          <w:ilvl w:val="0"/>
          <w:numId w:val="0"/>
        </w:numPr>
        <w:shd w:val="clear"/>
        <w:ind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1.施工方案与技术措施</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2.质量保证措施和创优计划</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3.施工总进度计划及保证措施</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4.施工安全措施计划</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5.文明施工措施计划</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6.施工场地治安保卫管理计划</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7.施工环保措施计划</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8.施工现场总平面布置（附图）</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9.项目组织管理机构</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10.成品保护和工程保修工作的管理和承诺</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11.任何可能的紧急情况的处理措施、预案以及抵抗风险的措施</w:t>
      </w:r>
    </w:p>
    <w:p>
      <w:pPr>
        <w:pStyle w:val="18"/>
        <w:numPr>
          <w:ilvl w:val="0"/>
          <w:numId w:val="0"/>
        </w:numPr>
        <w:shd w:val="clear"/>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12.对总包管理的认识以及对专业分包工程的配合、协调、管理、服务方案</w:t>
      </w:r>
    </w:p>
    <w:p>
      <w:pPr>
        <w:pStyle w:val="50"/>
        <w:shd w:val="clear"/>
        <w:rPr>
          <w:rFonts w:hint="eastAsia" w:ascii="仿宋_GB2312" w:hAnsi="仿宋_GB2312" w:eastAsia="仿宋_GB2312" w:cs="仿宋_GB2312"/>
          <w:b/>
          <w:bCs/>
          <w:color w:val="auto"/>
          <w:sz w:val="24"/>
          <w:szCs w:val="24"/>
          <w:highlight w:val="none"/>
        </w:rPr>
      </w:pPr>
    </w:p>
    <w:p>
      <w:pPr>
        <w:shd w:val="clear"/>
        <w:jc w:val="both"/>
        <w:rPr>
          <w:rFonts w:hint="eastAsia" w:ascii="仿宋_GB2312" w:hAnsi="仿宋_GB2312" w:eastAsia="仿宋_GB2312" w:cs="仿宋_GB2312"/>
          <w:b/>
          <w:color w:val="auto"/>
          <w:sz w:val="24"/>
          <w:szCs w:val="24"/>
          <w:highlight w:val="none"/>
          <w:lang w:val="en-US" w:eastAsia="zh-CN"/>
        </w:rPr>
      </w:pPr>
    </w:p>
    <w:p>
      <w:pPr>
        <w:pStyle w:val="50"/>
        <w:shd w:val="clear"/>
        <w:rPr>
          <w:rFonts w:hint="eastAsia" w:ascii="仿宋_GB2312" w:hAnsi="仿宋_GB2312" w:eastAsia="仿宋_GB2312" w:cs="仿宋_GB2312"/>
          <w:b/>
          <w:bCs/>
          <w:color w:val="auto"/>
          <w:sz w:val="24"/>
          <w:szCs w:val="24"/>
          <w:highlight w:val="none"/>
        </w:rPr>
      </w:pPr>
    </w:p>
    <w:p>
      <w:pPr>
        <w:pStyle w:val="4"/>
        <w:shd w:val="clear"/>
        <w:outlineLvl w:val="9"/>
        <w:rPr>
          <w:rFonts w:hint="eastAsia" w:ascii="仿宋_GB2312" w:hAnsi="仿宋_GB2312" w:eastAsia="仿宋_GB2312" w:cs="仿宋_GB2312"/>
          <w:color w:val="auto"/>
          <w:sz w:val="24"/>
          <w:szCs w:val="24"/>
          <w:highlight w:val="none"/>
          <w:lang w:val="en-US" w:eastAsia="zh-CN"/>
        </w:rPr>
      </w:pPr>
    </w:p>
    <w:p>
      <w:pPr>
        <w:shd w:val="clear"/>
        <w:rPr>
          <w:rFonts w:hint="eastAsia" w:ascii="仿宋_GB2312" w:hAnsi="仿宋_GB2312" w:eastAsia="仿宋_GB2312" w:cs="仿宋_GB2312"/>
          <w:color w:val="auto"/>
          <w:sz w:val="24"/>
          <w:szCs w:val="24"/>
          <w:highlight w:val="none"/>
          <w:lang w:val="en-US" w:eastAsia="zh-CN"/>
        </w:rPr>
      </w:pPr>
    </w:p>
    <w:p>
      <w:pPr>
        <w:pStyle w:val="4"/>
        <w:shd w:val="clear"/>
        <w:outlineLvl w:val="9"/>
        <w:rPr>
          <w:rFonts w:hint="eastAsia" w:ascii="仿宋_GB2312" w:hAnsi="仿宋_GB2312" w:eastAsia="仿宋_GB2312" w:cs="仿宋_GB2312"/>
          <w:color w:val="auto"/>
          <w:sz w:val="24"/>
          <w:szCs w:val="24"/>
          <w:highlight w:val="none"/>
          <w:lang w:val="en-US" w:eastAsia="zh-CN"/>
        </w:rPr>
      </w:pPr>
    </w:p>
    <w:p>
      <w:pPr>
        <w:shd w:val="clear"/>
        <w:rPr>
          <w:rFonts w:hint="eastAsia" w:ascii="仿宋_GB2312" w:hAnsi="仿宋_GB2312" w:eastAsia="仿宋_GB2312" w:cs="仿宋_GB2312"/>
          <w:color w:val="auto"/>
          <w:sz w:val="24"/>
          <w:szCs w:val="24"/>
          <w:highlight w:val="none"/>
          <w:lang w:val="en-US" w:eastAsia="zh-CN"/>
        </w:rPr>
      </w:pPr>
    </w:p>
    <w:p>
      <w:pPr>
        <w:pStyle w:val="4"/>
        <w:shd w:val="clear"/>
        <w:outlineLvl w:val="9"/>
        <w:rPr>
          <w:rFonts w:hint="eastAsia" w:ascii="仿宋_GB2312" w:hAnsi="仿宋_GB2312" w:eastAsia="仿宋_GB2312" w:cs="仿宋_GB2312"/>
          <w:color w:val="auto"/>
          <w:sz w:val="24"/>
          <w:szCs w:val="24"/>
          <w:highlight w:val="none"/>
          <w:lang w:val="en-US" w:eastAsia="zh-CN"/>
        </w:rPr>
      </w:pPr>
    </w:p>
    <w:p>
      <w:pPr>
        <w:shd w:val="clear"/>
        <w:rPr>
          <w:rFonts w:hint="eastAsia" w:ascii="仿宋_GB2312" w:hAnsi="仿宋_GB2312" w:eastAsia="仿宋_GB2312" w:cs="仿宋_GB2312"/>
          <w:color w:val="auto"/>
          <w:sz w:val="24"/>
          <w:szCs w:val="24"/>
          <w:highlight w:val="none"/>
          <w:lang w:val="en-US" w:eastAsia="zh-CN"/>
        </w:rPr>
      </w:pPr>
    </w:p>
    <w:p>
      <w:pPr>
        <w:pStyle w:val="4"/>
        <w:shd w:val="clear"/>
        <w:outlineLvl w:val="9"/>
        <w:rPr>
          <w:rFonts w:hint="eastAsia" w:ascii="仿宋_GB2312" w:hAnsi="仿宋_GB2312" w:eastAsia="仿宋_GB2312" w:cs="仿宋_GB2312"/>
          <w:color w:val="auto"/>
          <w:sz w:val="24"/>
          <w:szCs w:val="24"/>
          <w:highlight w:val="none"/>
          <w:lang w:val="en-US" w:eastAsia="zh-CN"/>
        </w:rPr>
      </w:pPr>
    </w:p>
    <w:p>
      <w:pPr>
        <w:shd w:val="clear"/>
        <w:rPr>
          <w:rFonts w:hint="eastAsia" w:ascii="仿宋_GB2312" w:hAnsi="仿宋_GB2312" w:eastAsia="仿宋_GB2312" w:cs="仿宋_GB2312"/>
          <w:color w:val="auto"/>
          <w:sz w:val="24"/>
          <w:szCs w:val="24"/>
          <w:highlight w:val="none"/>
          <w:lang w:val="en-US" w:eastAsia="zh-CN"/>
        </w:rPr>
      </w:pPr>
    </w:p>
    <w:p>
      <w:pPr>
        <w:pStyle w:val="4"/>
        <w:shd w:val="clear"/>
        <w:outlineLvl w:val="9"/>
        <w:rPr>
          <w:rFonts w:hint="eastAsia" w:ascii="仿宋_GB2312" w:hAnsi="仿宋_GB2312" w:eastAsia="仿宋_GB2312" w:cs="仿宋_GB2312"/>
          <w:color w:val="auto"/>
          <w:sz w:val="24"/>
          <w:szCs w:val="24"/>
          <w:highlight w:val="none"/>
          <w:lang w:val="en-US" w:eastAsia="zh-CN"/>
        </w:rPr>
      </w:pPr>
    </w:p>
    <w:p>
      <w:pPr>
        <w:shd w:val="clear"/>
        <w:rPr>
          <w:rFonts w:hint="eastAsia" w:ascii="仿宋_GB2312" w:hAnsi="仿宋_GB2312" w:eastAsia="仿宋_GB2312" w:cs="仿宋_GB2312"/>
          <w:color w:val="auto"/>
          <w:sz w:val="24"/>
          <w:szCs w:val="24"/>
          <w:highlight w:val="none"/>
          <w:lang w:val="en-US" w:eastAsia="zh-CN"/>
        </w:rPr>
      </w:pPr>
    </w:p>
    <w:p>
      <w:pPr>
        <w:pStyle w:val="3"/>
        <w:shd w:val="clear"/>
        <w:bidi w:val="0"/>
        <w:rPr>
          <w:rFonts w:hint="eastAsia" w:ascii="仿宋_GB2312" w:hAnsi="仿宋_GB2312" w:eastAsia="仿宋_GB2312" w:cs="仿宋_GB2312"/>
          <w:b w:val="0"/>
          <w:bCs/>
          <w:i w:val="0"/>
          <w:color w:val="auto"/>
          <w:kern w:val="0"/>
          <w:sz w:val="24"/>
          <w:szCs w:val="24"/>
          <w:highlight w:val="none"/>
          <w:u w:val="none"/>
          <w:lang w:val="en-US" w:eastAsia="zh-CN" w:bidi="ar"/>
        </w:rPr>
      </w:pPr>
      <w:bookmarkStart w:id="299" w:name="_Toc18068"/>
      <w:bookmarkStart w:id="300" w:name="_Toc31586"/>
      <w:bookmarkStart w:id="301" w:name="_Toc24292"/>
      <w:r>
        <w:rPr>
          <w:rFonts w:hint="eastAsia" w:ascii="仿宋_GB2312" w:hAnsi="仿宋_GB2312" w:eastAsia="仿宋_GB2312" w:cs="仿宋_GB2312"/>
          <w:color w:val="auto"/>
          <w:sz w:val="24"/>
          <w:szCs w:val="24"/>
          <w:highlight w:val="none"/>
          <w:lang w:val="en-US" w:eastAsia="zh-CN"/>
        </w:rPr>
        <w:t>评审标准</w:t>
      </w:r>
      <w:bookmarkEnd w:id="297"/>
      <w:bookmarkEnd w:id="299"/>
      <w:bookmarkEnd w:id="300"/>
      <w:bookmarkEnd w:id="301"/>
    </w:p>
    <w:p>
      <w:pPr>
        <w:shd w:val="clea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附表</w:t>
      </w:r>
      <w:r>
        <w:rPr>
          <w:rFonts w:hint="eastAsia" w:ascii="仿宋_GB2312" w:hAnsi="仿宋_GB2312" w:eastAsia="仿宋_GB2312" w:cs="仿宋_GB2312"/>
          <w:color w:val="auto"/>
          <w:sz w:val="24"/>
          <w:szCs w:val="24"/>
          <w:highlight w:val="none"/>
          <w:lang w:val="en-US" w:eastAsia="zh-CN"/>
        </w:rPr>
        <w:t>1</w:t>
      </w:r>
    </w:p>
    <w:p>
      <w:pPr>
        <w:shd w:val="clear"/>
        <w:snapToGrid w:val="0"/>
        <w:spacing w:line="4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资格</w:t>
      </w:r>
      <w:r>
        <w:rPr>
          <w:rFonts w:hint="eastAsia" w:ascii="仿宋_GB2312" w:hAnsi="仿宋_GB2312" w:eastAsia="仿宋_GB2312" w:cs="仿宋_GB2312"/>
          <w:b/>
          <w:bCs/>
          <w:color w:val="auto"/>
          <w:sz w:val="24"/>
          <w:szCs w:val="24"/>
          <w:highlight w:val="none"/>
          <w:lang w:val="en-US" w:eastAsia="zh-CN"/>
        </w:rPr>
        <w:t>审查标准</w:t>
      </w:r>
    </w:p>
    <w:tbl>
      <w:tblPr>
        <w:tblStyle w:val="25"/>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780"/>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02" w:type="dxa"/>
            <w:tcBorders>
              <w:bottom w:val="single" w:color="auto" w:sz="4" w:space="0"/>
            </w:tcBorders>
            <w:vAlign w:val="center"/>
          </w:tcPr>
          <w:p>
            <w:pPr>
              <w:shd w:val="clear" w:color="auto"/>
              <w:spacing w:line="34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5780" w:type="dxa"/>
            <w:tcBorders>
              <w:bottom w:val="single" w:color="auto" w:sz="4" w:space="0"/>
            </w:tcBorders>
            <w:vAlign w:val="center"/>
          </w:tcPr>
          <w:p>
            <w:pPr>
              <w:shd w:val="clear" w:color="auto"/>
              <w:spacing w:line="3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评审内容及标准</w:t>
            </w:r>
          </w:p>
        </w:tc>
        <w:tc>
          <w:tcPr>
            <w:tcW w:w="854" w:type="dxa"/>
            <w:tcBorders>
              <w:bottom w:val="single" w:color="auto" w:sz="4" w:space="0"/>
            </w:tcBorders>
            <w:vAlign w:val="center"/>
          </w:tcPr>
          <w:p>
            <w:pPr>
              <w:shd w:val="clear" w:color="auto"/>
              <w:spacing w:line="3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供应商1</w:t>
            </w:r>
          </w:p>
        </w:tc>
        <w:tc>
          <w:tcPr>
            <w:tcW w:w="852" w:type="dxa"/>
            <w:tcBorders>
              <w:bottom w:val="single" w:color="auto" w:sz="4" w:space="0"/>
            </w:tcBorders>
            <w:vAlign w:val="center"/>
          </w:tcPr>
          <w:p>
            <w:pPr>
              <w:shd w:val="clear" w:color="auto"/>
              <w:spacing w:line="3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供应商2</w:t>
            </w:r>
          </w:p>
        </w:tc>
        <w:tc>
          <w:tcPr>
            <w:tcW w:w="851" w:type="dxa"/>
            <w:tcBorders>
              <w:bottom w:val="single" w:color="auto" w:sz="4" w:space="0"/>
            </w:tcBorders>
            <w:vAlign w:val="center"/>
          </w:tcPr>
          <w:p>
            <w:pPr>
              <w:shd w:val="clear" w:color="auto"/>
              <w:spacing w:line="3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供应商3</w:t>
            </w:r>
          </w:p>
        </w:tc>
        <w:tc>
          <w:tcPr>
            <w:tcW w:w="792" w:type="dxa"/>
            <w:tcBorders>
              <w:bottom w:val="single" w:color="auto" w:sz="4" w:space="0"/>
            </w:tcBorders>
            <w:vAlign w:val="center"/>
          </w:tcPr>
          <w:p>
            <w:pPr>
              <w:shd w:val="clear" w:color="auto"/>
              <w:spacing w:line="3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5780" w:type="dxa"/>
            <w:vAlign w:val="center"/>
          </w:tcPr>
          <w:p>
            <w:pPr>
              <w:shd w:val="clear" w:color="auto"/>
              <w:spacing w:line="340" w:lineRule="exac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sz w:val="24"/>
                <w:szCs w:val="24"/>
                <w:highlight w:val="none"/>
              </w:rPr>
              <w:t>满足《中华人民共和国政府采购法》第二十二条规定</w:t>
            </w:r>
            <w:r>
              <w:rPr>
                <w:rFonts w:hint="eastAsia" w:ascii="仿宋_GB2312" w:hAnsi="仿宋_GB2312" w:eastAsia="仿宋_GB2312" w:cs="仿宋_GB2312"/>
                <w:bCs/>
                <w:sz w:val="24"/>
                <w:szCs w:val="24"/>
                <w:highlight w:val="none"/>
                <w:lang w:eastAsia="zh-CN"/>
              </w:rPr>
              <w:t>：</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5780" w:type="dxa"/>
            <w:vAlign w:val="center"/>
          </w:tcPr>
          <w:p>
            <w:pPr>
              <w:shd w:val="clear" w:color="auto"/>
              <w:spacing w:line="340" w:lineRule="exac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sz w:val="24"/>
                <w:szCs w:val="24"/>
                <w:highlight w:val="none"/>
              </w:rPr>
              <w:t>供应商须是中华人民共和国境内注册，具有有效的营业执照；</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3</w:t>
            </w:r>
          </w:p>
        </w:tc>
        <w:tc>
          <w:tcPr>
            <w:tcW w:w="5780" w:type="dxa"/>
            <w:vAlign w:val="center"/>
          </w:tcPr>
          <w:p>
            <w:pPr>
              <w:shd w:val="clear"/>
              <w:spacing w:line="36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sz w:val="24"/>
                <w:szCs w:val="24"/>
                <w:highlight w:val="none"/>
                <w:lang w:val="en-US" w:eastAsia="zh-CN"/>
              </w:rPr>
              <w:t>供应商须具备建设行政主管部门颁发的建筑工程施工总承包叁级及以上资质；</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4</w:t>
            </w:r>
          </w:p>
        </w:tc>
        <w:tc>
          <w:tcPr>
            <w:tcW w:w="5780" w:type="dxa"/>
            <w:vAlign w:val="center"/>
          </w:tcPr>
          <w:p>
            <w:pPr>
              <w:shd w:val="clear" w:color="auto"/>
              <w:spacing w:line="34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color w:val="auto"/>
                <w:sz w:val="24"/>
                <w:szCs w:val="24"/>
                <w:highlight w:val="none"/>
                <w:lang w:val="en-US" w:eastAsia="zh-CN"/>
              </w:rPr>
              <w:t>供应商须提供有效的安全生产许可证；</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val="en-US" w:eastAsia="zh-CN"/>
              </w:rPr>
              <w:t>5</w:t>
            </w:r>
          </w:p>
        </w:tc>
        <w:tc>
          <w:tcPr>
            <w:tcW w:w="5780" w:type="dxa"/>
            <w:vAlign w:val="center"/>
          </w:tcPr>
          <w:p>
            <w:pPr>
              <w:shd w:val="clear"/>
              <w:spacing w:line="360" w:lineRule="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sz w:val="24"/>
                <w:szCs w:val="24"/>
                <w:highlight w:val="none"/>
                <w:lang w:val="en-US" w:eastAsia="zh-CN"/>
              </w:rPr>
              <w:t>供应商提供的项目负责人须具备二级及以上注册建造师执业资格且具有有效的安全生产考核合格证书，本单位注册不接受临时建造师,且未担任其他在建项目的项目负责人 ；</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5780" w:type="dxa"/>
            <w:vAlign w:val="center"/>
          </w:tcPr>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tl w:val="0"/>
                <w:lang w:val="en-US" w:eastAsia="zh-CN"/>
              </w:rPr>
              <w:t>具有独立承担民事责任的能力及具有良好的商业信誉和健全的财务会计制度；</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5780" w:type="dxa"/>
            <w:vAlign w:val="center"/>
          </w:tcPr>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tl w:val="0"/>
                <w:lang w:val="en-US" w:eastAsia="zh-CN"/>
              </w:rPr>
              <w:t>具有履行合同所必须的设备和专业技术能力及具有依法缴纳税收和社会保障资金的良好记录；</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5780" w:type="dxa"/>
            <w:vAlign w:val="center"/>
          </w:tcPr>
          <w:p>
            <w:pPr>
              <w:shd w:val="clear"/>
              <w:spacing w:line="360" w:lineRule="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tl w:val="0"/>
                <w:lang w:val="en-US" w:eastAsia="zh-CN"/>
              </w:rPr>
              <w:t>参加本次政府采购活动前三年内，在经营活动中没有重大违法记录及参加本次政府采购活动近三年来，投标人及其法定代表人（主要负责人）无行贿犯罪记录；</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5780" w:type="dxa"/>
            <w:vAlign w:val="center"/>
          </w:tcPr>
          <w:p>
            <w:pPr>
              <w:shd w:val="clear" w:color="auto"/>
              <w:spacing w:line="340" w:lineRule="exact"/>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sz w:val="24"/>
                <w:szCs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r>
              <w:rPr>
                <w:rFonts w:hint="eastAsia" w:ascii="仿宋_GB2312" w:hAnsi="仿宋_GB2312" w:eastAsia="仿宋_GB2312" w:cs="仿宋_GB2312"/>
                <w:bCs/>
                <w:sz w:val="24"/>
                <w:szCs w:val="24"/>
                <w:highlight w:val="none"/>
                <w:lang w:eastAsia="zh-CN"/>
              </w:rPr>
              <w:t>。</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shd w:val="clear" w:color="auto"/>
              <w:spacing w:line="3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5780" w:type="dxa"/>
            <w:vAlign w:val="center"/>
          </w:tcPr>
          <w:p>
            <w:pPr>
              <w:shd w:val="clear" w:color="auto"/>
              <w:spacing w:line="340" w:lineRule="exact"/>
              <w:jc w:val="left"/>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供应商是否为中小企业</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6482" w:type="dxa"/>
            <w:gridSpan w:val="2"/>
            <w:vAlign w:val="center"/>
          </w:tcPr>
          <w:p>
            <w:pPr>
              <w:shd w:val="clear" w:color="auto"/>
              <w:spacing w:line="34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结论：是否通过</w:t>
            </w:r>
            <w:r>
              <w:rPr>
                <w:rFonts w:hint="eastAsia" w:ascii="仿宋_GB2312" w:hAnsi="仿宋_GB2312" w:eastAsia="仿宋_GB2312" w:cs="仿宋_GB2312"/>
                <w:sz w:val="24"/>
                <w:szCs w:val="24"/>
              </w:rPr>
              <w:t>评审</w:t>
            </w:r>
          </w:p>
        </w:tc>
        <w:tc>
          <w:tcPr>
            <w:tcW w:w="854"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851"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c>
          <w:tcPr>
            <w:tcW w:w="792" w:type="dxa"/>
            <w:vAlign w:val="center"/>
          </w:tcPr>
          <w:p>
            <w:pPr>
              <w:shd w:val="clear" w:color="auto"/>
              <w:spacing w:line="340" w:lineRule="exac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9831" w:type="dxa"/>
            <w:gridSpan w:val="6"/>
            <w:vAlign w:val="center"/>
          </w:tcPr>
          <w:p>
            <w:pPr>
              <w:shd w:val="clear" w:color="auto"/>
              <w:spacing w:line="340" w:lineRule="exac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备注：如果</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标文件</w:t>
            </w:r>
            <w:r>
              <w:rPr>
                <w:rFonts w:hint="eastAsia" w:ascii="仿宋_GB2312" w:hAnsi="仿宋_GB2312" w:eastAsia="仿宋_GB2312" w:cs="仿宋_GB2312"/>
                <w:color w:val="auto"/>
                <w:sz w:val="24"/>
                <w:szCs w:val="24"/>
                <w:highlight w:val="none"/>
              </w:rPr>
              <w:t>中有一项未通过上述审查标准，</w:t>
            </w:r>
            <w:r>
              <w:rPr>
                <w:rFonts w:hint="eastAsia" w:ascii="仿宋_GB2312" w:hAnsi="仿宋_GB2312" w:eastAsia="仿宋_GB2312" w:cs="仿宋_GB2312"/>
                <w:color w:val="auto"/>
                <w:sz w:val="24"/>
                <w:szCs w:val="24"/>
                <w:highlight w:val="none"/>
                <w:lang w:eastAsia="zh-CN"/>
              </w:rPr>
              <w:t>评标委员会</w:t>
            </w:r>
            <w:r>
              <w:rPr>
                <w:rFonts w:hint="eastAsia" w:ascii="仿宋_GB2312" w:hAnsi="仿宋_GB2312" w:eastAsia="仿宋_GB2312" w:cs="仿宋_GB2312"/>
                <w:color w:val="auto"/>
                <w:sz w:val="24"/>
                <w:szCs w:val="24"/>
                <w:highlight w:val="none"/>
              </w:rPr>
              <w:t>将认定整个</w:t>
            </w:r>
            <w:r>
              <w:rPr>
                <w:rFonts w:hint="eastAsia" w:ascii="仿宋_GB2312" w:hAnsi="仿宋_GB2312" w:eastAsia="仿宋_GB2312" w:cs="仿宋_GB2312"/>
                <w:color w:val="auto"/>
                <w:sz w:val="24"/>
                <w:szCs w:val="24"/>
                <w:highlight w:val="none"/>
                <w:lang w:val="en-US" w:eastAsia="zh-CN"/>
              </w:rPr>
              <w:t>投</w:t>
            </w:r>
            <w:r>
              <w:rPr>
                <w:rFonts w:hint="eastAsia" w:ascii="仿宋_GB2312" w:hAnsi="仿宋_GB2312" w:eastAsia="仿宋_GB2312" w:cs="仿宋_GB2312"/>
                <w:color w:val="auto"/>
                <w:sz w:val="24"/>
                <w:szCs w:val="24"/>
                <w:highlight w:val="none"/>
                <w:lang w:eastAsia="zh-CN"/>
              </w:rPr>
              <w:t>标文件</w:t>
            </w:r>
            <w:r>
              <w:rPr>
                <w:rFonts w:hint="eastAsia" w:ascii="仿宋_GB2312" w:hAnsi="仿宋_GB2312" w:eastAsia="仿宋_GB2312" w:cs="仿宋_GB2312"/>
                <w:color w:val="auto"/>
                <w:sz w:val="24"/>
                <w:szCs w:val="24"/>
                <w:highlight w:val="none"/>
              </w:rPr>
              <w:t>不响应</w:t>
            </w:r>
            <w:r>
              <w:rPr>
                <w:rFonts w:hint="eastAsia" w:ascii="仿宋_GB2312" w:hAnsi="仿宋_GB2312" w:eastAsia="仿宋_GB2312" w:cs="仿宋_GB2312"/>
                <w:color w:val="auto"/>
                <w:sz w:val="24"/>
                <w:szCs w:val="24"/>
                <w:highlight w:val="none"/>
                <w:lang w:val="en-US" w:eastAsia="zh-CN"/>
              </w:rPr>
              <w:t>谈判文件</w:t>
            </w:r>
            <w:r>
              <w:rPr>
                <w:rFonts w:hint="eastAsia" w:ascii="仿宋_GB2312" w:hAnsi="仿宋_GB2312" w:eastAsia="仿宋_GB2312" w:cs="仿宋_GB2312"/>
                <w:color w:val="auto"/>
                <w:sz w:val="24"/>
                <w:szCs w:val="24"/>
                <w:highlight w:val="none"/>
              </w:rPr>
              <w:t>而予以投标无效，并且不允许供应商通过修改或撤销其不符合要求的差异或保留，使之成为具有响应性的投标。通过审核的以“√”标记；未通过的以“×”标记，并予以说明。</w:t>
            </w:r>
          </w:p>
        </w:tc>
      </w:tr>
    </w:tbl>
    <w:p>
      <w:pPr>
        <w:pStyle w:val="2"/>
        <w:ind w:firstLine="3373" w:firstLineChars="14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投标文件符合性审查</w:t>
      </w:r>
    </w:p>
    <w:p>
      <w:pPr>
        <w:rPr>
          <w:rFonts w:hint="eastAsia"/>
        </w:rPr>
      </w:pPr>
    </w:p>
    <w:tbl>
      <w:tblPr>
        <w:tblStyle w:val="25"/>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6211" w:type="dxa"/>
            <w:vMerge w:val="restart"/>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2097" w:type="dxa"/>
            <w:gridSpan w:val="3"/>
            <w:noWrap w:val="0"/>
            <w:vAlign w:val="bottom"/>
          </w:tcPr>
          <w:p>
            <w:pPr>
              <w:spacing w:line="360" w:lineRule="auto"/>
              <w:jc w:val="center"/>
              <w:rPr>
                <w:rFonts w:hint="eastAsia" w:ascii="宋体" w:hAnsi="宋体" w:cs="仿宋"/>
                <w:b/>
                <w:spacing w:val="-2"/>
                <w:sz w:val="24"/>
              </w:rPr>
            </w:pPr>
            <w:r>
              <w:rPr>
                <w:rFonts w:hint="eastAsia" w:ascii="宋体" w:hAnsi="宋体" w:cs="仿宋"/>
                <w:b/>
                <w:spacing w:val="-2"/>
                <w:sz w:val="24"/>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宋体" w:hAnsi="宋体" w:cs="仿宋"/>
                <w:b/>
                <w:spacing w:val="-2"/>
                <w:sz w:val="24"/>
              </w:rPr>
            </w:pPr>
          </w:p>
        </w:tc>
        <w:tc>
          <w:tcPr>
            <w:tcW w:w="6211" w:type="dxa"/>
            <w:vMerge w:val="continue"/>
            <w:noWrap w:val="0"/>
            <w:vAlign w:val="bottom"/>
          </w:tcPr>
          <w:p>
            <w:pPr>
              <w:spacing w:line="360" w:lineRule="auto"/>
              <w:jc w:val="center"/>
              <w:rPr>
                <w:rFonts w:hint="eastAsia" w:ascii="宋体" w:hAnsi="宋体" w:cs="仿宋"/>
                <w:b/>
                <w:spacing w:val="-2"/>
                <w:sz w:val="24"/>
              </w:rPr>
            </w:pPr>
          </w:p>
        </w:tc>
        <w:tc>
          <w:tcPr>
            <w:tcW w:w="699" w:type="dxa"/>
            <w:noWrap w:val="0"/>
            <w:vAlign w:val="bottom"/>
          </w:tcPr>
          <w:p>
            <w:pPr>
              <w:spacing w:line="360" w:lineRule="auto"/>
              <w:jc w:val="center"/>
              <w:rPr>
                <w:rFonts w:hint="eastAsia" w:ascii="宋体" w:hAnsi="宋体" w:cs="仿宋"/>
                <w:b/>
                <w:spacing w:val="-2"/>
                <w:sz w:val="24"/>
              </w:rPr>
            </w:pPr>
          </w:p>
        </w:tc>
        <w:tc>
          <w:tcPr>
            <w:tcW w:w="699" w:type="dxa"/>
            <w:noWrap w:val="0"/>
            <w:vAlign w:val="top"/>
          </w:tcPr>
          <w:p>
            <w:pPr>
              <w:spacing w:line="360" w:lineRule="auto"/>
              <w:jc w:val="center"/>
              <w:rPr>
                <w:rFonts w:hint="eastAsia" w:ascii="宋体" w:hAnsi="宋体" w:cs="仿宋"/>
                <w:b/>
                <w:spacing w:val="-2"/>
                <w:sz w:val="24"/>
              </w:rPr>
            </w:pPr>
          </w:p>
        </w:tc>
        <w:tc>
          <w:tcPr>
            <w:tcW w:w="699" w:type="dxa"/>
            <w:noWrap w:val="0"/>
            <w:vAlign w:val="top"/>
          </w:tcPr>
          <w:p>
            <w:pPr>
              <w:spacing w:line="360" w:lineRule="auto"/>
              <w:jc w:val="center"/>
              <w:rPr>
                <w:rFonts w:hint="eastAsia" w:ascii="宋体" w:hAnsi="宋体" w:cs="仿宋"/>
                <w:b/>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1</w:t>
            </w:r>
          </w:p>
        </w:tc>
        <w:tc>
          <w:tcPr>
            <w:tcW w:w="6211" w:type="dxa"/>
            <w:noWrap w:val="0"/>
            <w:vAlign w:val="center"/>
          </w:tcPr>
          <w:p>
            <w:pPr>
              <w:pStyle w:val="8"/>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投标文件按招标文件的规定要求签署、盖章的；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按规定的格式填写，没有内容不全的；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工期满足招标文件规定的；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投标报价未超过最高限价的；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5</w:t>
            </w:r>
          </w:p>
        </w:tc>
        <w:tc>
          <w:tcPr>
            <w:tcW w:w="6211" w:type="dxa"/>
            <w:noWrap w:val="0"/>
            <w:vAlign w:val="center"/>
          </w:tcPr>
          <w:p>
            <w:pPr>
              <w:pStyle w:val="8"/>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w:t>
            </w:r>
            <w:r>
              <w:rPr>
                <w:rFonts w:hint="default" w:ascii="仿宋_GB2312" w:hAnsi="仿宋_GB2312" w:eastAsia="仿宋_GB2312" w:cs="仿宋_GB2312"/>
                <w:kern w:val="2"/>
                <w:sz w:val="24"/>
                <w:szCs w:val="24"/>
                <w:highlight w:val="white"/>
                <w:lang w:val="en-US" w:eastAsia="zh-CN" w:bidi="ar-SA"/>
              </w:rPr>
              <w:t>有效期满足</w:t>
            </w:r>
            <w:r>
              <w:rPr>
                <w:rFonts w:hint="eastAsia" w:ascii="仿宋_GB2312" w:hAnsi="仿宋_GB2312" w:eastAsia="仿宋_GB2312" w:cs="仿宋_GB2312"/>
                <w:kern w:val="2"/>
                <w:sz w:val="24"/>
                <w:szCs w:val="24"/>
                <w:highlight w:val="white"/>
                <w:lang w:val="en-US" w:eastAsia="zh-CN" w:bidi="ar-SA"/>
              </w:rPr>
              <w:t>招标文件</w:t>
            </w:r>
            <w:r>
              <w:rPr>
                <w:rFonts w:hint="default" w:ascii="仿宋_GB2312" w:hAnsi="仿宋_GB2312" w:eastAsia="仿宋_GB2312" w:cs="仿宋_GB2312"/>
                <w:kern w:val="2"/>
                <w:sz w:val="24"/>
                <w:szCs w:val="24"/>
                <w:highlight w:val="white"/>
                <w:lang w:val="en-US" w:eastAsia="zh-CN" w:bidi="ar-SA"/>
              </w:rPr>
              <w:t>要求</w:t>
            </w:r>
            <w:r>
              <w:rPr>
                <w:rFonts w:hint="eastAsia" w:ascii="仿宋_GB2312" w:hAnsi="仿宋_GB2312" w:eastAsia="仿宋_GB2312" w:cs="仿宋_GB2312"/>
                <w:kern w:val="2"/>
                <w:sz w:val="24"/>
                <w:szCs w:val="24"/>
                <w:highlight w:val="white"/>
                <w:lang w:val="en-US" w:eastAsia="zh-CN" w:bidi="ar-SA"/>
              </w:rPr>
              <w:t>；</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6</w:t>
            </w:r>
          </w:p>
        </w:tc>
        <w:tc>
          <w:tcPr>
            <w:tcW w:w="6211" w:type="dxa"/>
            <w:noWrap w:val="0"/>
            <w:vAlign w:val="center"/>
          </w:tcPr>
          <w:p>
            <w:pPr>
              <w:pStyle w:val="8"/>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符合招标文件中规定的其它实质性要求的；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7</w:t>
            </w:r>
          </w:p>
        </w:tc>
        <w:tc>
          <w:tcPr>
            <w:tcW w:w="6211" w:type="dxa"/>
            <w:noWrap w:val="0"/>
            <w:vAlign w:val="center"/>
          </w:tcPr>
          <w:p>
            <w:pPr>
              <w:pStyle w:val="8"/>
              <w:spacing w:line="360" w:lineRule="auto"/>
              <w:jc w:val="both"/>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投标文件中未附有招标人不能接受的附加条件的；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8"/>
              <w:spacing w:line="360" w:lineRule="auto"/>
              <w:jc w:val="both"/>
              <w:rPr>
                <w:rFonts w:hint="default" w:ascii="宋体" w:hAnsi="宋体" w:eastAsia="宋体"/>
                <w:szCs w:val="24"/>
                <w:lang w:val="en-US" w:eastAsia="zh-CN"/>
              </w:rPr>
            </w:pPr>
            <w:r>
              <w:rPr>
                <w:rFonts w:hint="eastAsia" w:ascii="宋体" w:hAnsi="宋体" w:eastAsia="宋体"/>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仿宋_GB2312" w:hAnsi="仿宋_GB2312" w:eastAsia="仿宋_GB2312" w:cs="仿宋_GB2312"/>
                <w:kern w:val="2"/>
                <w:sz w:val="24"/>
                <w:szCs w:val="24"/>
                <w:highlight w:val="white"/>
                <w:lang w:val="en-US" w:eastAsia="zh-CN" w:bidi="ar-SA"/>
              </w:rPr>
            </w:pPr>
            <w:r>
              <w:rPr>
                <w:rFonts w:hint="default" w:ascii="仿宋_GB2312" w:hAnsi="仿宋_GB2312" w:eastAsia="仿宋_GB2312" w:cs="仿宋_GB2312"/>
                <w:kern w:val="2"/>
                <w:sz w:val="24"/>
                <w:szCs w:val="24"/>
                <w:highlight w:val="white"/>
                <w:lang w:val="en-US" w:eastAsia="zh-CN" w:bidi="ar-SA"/>
              </w:rPr>
              <w:t>不属于法律、法规和招标文件中规定的其他无效投标情形的</w:t>
            </w:r>
            <w:r>
              <w:rPr>
                <w:rFonts w:hint="eastAsia" w:ascii="仿宋_GB2312" w:hAnsi="仿宋_GB2312" w:eastAsia="仿宋_GB2312" w:cs="仿宋_GB2312"/>
                <w:kern w:val="2"/>
                <w:sz w:val="24"/>
                <w:szCs w:val="24"/>
                <w:highlight w:val="white"/>
                <w:lang w:val="en-US" w:eastAsia="zh-CN" w:bidi="ar-SA"/>
              </w:rPr>
              <w:t>。</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8"/>
              <w:spacing w:line="360" w:lineRule="auto"/>
              <w:rPr>
                <w:rFonts w:hint="eastAsia" w:ascii="宋体" w:hAnsi="宋体" w:eastAsia="宋体"/>
                <w:szCs w:val="24"/>
              </w:rPr>
            </w:pPr>
          </w:p>
        </w:tc>
        <w:tc>
          <w:tcPr>
            <w:tcW w:w="6211" w:type="dxa"/>
            <w:noWrap w:val="0"/>
            <w:vAlign w:val="top"/>
          </w:tcPr>
          <w:p>
            <w:pPr>
              <w:pStyle w:val="8"/>
              <w:spacing w:line="360" w:lineRule="auto"/>
              <w:rPr>
                <w:rFonts w:hint="eastAsia" w:ascii="仿宋_GB2312" w:hAnsi="仿宋_GB2312" w:eastAsia="仿宋_GB2312" w:cs="仿宋_GB2312"/>
                <w:kern w:val="2"/>
                <w:sz w:val="24"/>
                <w:szCs w:val="24"/>
                <w:highlight w:val="white"/>
                <w:lang w:val="en-US" w:eastAsia="zh-CN" w:bidi="ar-SA"/>
              </w:rPr>
            </w:pPr>
            <w:r>
              <w:rPr>
                <w:rFonts w:hint="eastAsia" w:ascii="仿宋_GB2312" w:hAnsi="仿宋_GB2312" w:eastAsia="仿宋_GB2312" w:cs="仿宋_GB2312"/>
                <w:kern w:val="2"/>
                <w:sz w:val="24"/>
                <w:szCs w:val="24"/>
                <w:highlight w:val="white"/>
                <w:lang w:val="en-US" w:eastAsia="zh-CN" w:bidi="ar-SA"/>
              </w:rPr>
              <w:t>结论</w:t>
            </w: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c>
          <w:tcPr>
            <w:tcW w:w="699" w:type="dxa"/>
            <w:noWrap w:val="0"/>
            <w:vAlign w:val="top"/>
          </w:tcPr>
          <w:p>
            <w:pPr>
              <w:pStyle w:val="8"/>
              <w:rPr>
                <w:rFonts w:hint="eastAsia" w:ascii="宋体" w:hAnsi="宋体" w:eastAsia="宋体"/>
                <w:szCs w:val="24"/>
              </w:rPr>
            </w:pPr>
          </w:p>
        </w:tc>
      </w:tr>
    </w:tbl>
    <w:p>
      <w:pPr>
        <w:spacing w:line="360" w:lineRule="auto"/>
        <w:ind w:firstLine="472"/>
        <w:jc w:val="left"/>
        <w:rPr>
          <w:rFonts w:hint="eastAsia" w:ascii="仿宋_GB2312" w:hAnsi="仿宋_GB2312" w:eastAsia="仿宋_GB2312" w:cs="仿宋_GB2312"/>
          <w:sz w:val="24"/>
          <w:szCs w:val="24"/>
          <w:highlight w:val="white"/>
        </w:rPr>
      </w:pPr>
      <w:r>
        <w:rPr>
          <w:rFonts w:hint="eastAsia" w:ascii="宋体" w:hAnsi="宋体" w:cs="仿宋"/>
          <w:spacing w:val="-2"/>
          <w:sz w:val="24"/>
        </w:rPr>
        <w:t>注：符合要求用“√”表示，不符合用“×”表示，结论为“合格”或“不合格”，有任一项不符合要求，结论为不合格。</w:t>
      </w:r>
    </w:p>
    <w:p>
      <w:pPr>
        <w:shd w:val="clea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pPr>
        <w:shd w:val="clear"/>
        <w:tabs>
          <w:tab w:val="left" w:pos="900"/>
        </w:tabs>
        <w:rPr>
          <w:rFonts w:hint="eastAsia"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附表</w:t>
      </w:r>
      <w:r>
        <w:rPr>
          <w:rFonts w:hint="eastAsia" w:ascii="仿宋_GB2312" w:hAnsi="仿宋_GB2312" w:eastAsia="仿宋_GB2312" w:cs="仿宋_GB2312"/>
          <w:color w:val="000000"/>
          <w:sz w:val="24"/>
          <w:szCs w:val="24"/>
          <w:lang w:val="en-US" w:eastAsia="zh-CN"/>
        </w:rPr>
        <w:t>2</w:t>
      </w:r>
    </w:p>
    <w:p>
      <w:pPr>
        <w:shd w:val="clear"/>
        <w:tabs>
          <w:tab w:val="left" w:pos="900"/>
        </w:tabs>
        <w:ind w:firstLine="2891" w:firstLineChars="1200"/>
        <w:rPr>
          <w:rFonts w:hint="eastAsia" w:ascii="仿宋_GB2312" w:hAnsi="仿宋_GB2312" w:eastAsia="仿宋_GB2312" w:cs="仿宋_GB2312"/>
          <w:b/>
          <w:color w:val="000000"/>
          <w:sz w:val="24"/>
          <w:szCs w:val="24"/>
        </w:rPr>
      </w:pPr>
    </w:p>
    <w:p>
      <w:pPr>
        <w:shd w:val="clear"/>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技术标评审标准</w:t>
      </w:r>
    </w:p>
    <w:tbl>
      <w:tblPr>
        <w:tblStyle w:val="25"/>
        <w:tblpPr w:leftFromText="180" w:rightFromText="180" w:vertAnchor="text" w:horzAnchor="page" w:tblpXSpec="center" w:tblpY="201"/>
        <w:tblOverlap w:val="never"/>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32"/>
        <w:gridCol w:w="5405"/>
        <w:gridCol w:w="742"/>
        <w:gridCol w:w="742"/>
        <w:gridCol w:w="772"/>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59" w:type="dxa"/>
            <w:vAlign w:val="center"/>
          </w:tcPr>
          <w:p>
            <w:pPr>
              <w:pStyle w:val="16"/>
              <w:pBdr>
                <w:bottom w:val="none" w:color="auto" w:sz="0" w:space="0"/>
              </w:pBdr>
              <w:shd w:val="clear"/>
              <w:snapToGrid/>
              <w:spacing w:line="480" w:lineRule="auto"/>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137" w:type="dxa"/>
            <w:gridSpan w:val="2"/>
            <w:vAlign w:val="center"/>
          </w:tcPr>
          <w:p>
            <w:pPr>
              <w:shd w:val="clear"/>
              <w:spacing w:line="48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  审  内  容</w:t>
            </w:r>
          </w:p>
        </w:tc>
        <w:tc>
          <w:tcPr>
            <w:tcW w:w="742" w:type="dxa"/>
            <w:vAlign w:val="center"/>
          </w:tcPr>
          <w:p>
            <w:pPr>
              <w:shd w:val="clear" w:color="auto"/>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供应商1</w:t>
            </w:r>
          </w:p>
        </w:tc>
        <w:tc>
          <w:tcPr>
            <w:tcW w:w="742" w:type="dxa"/>
            <w:vAlign w:val="center"/>
          </w:tcPr>
          <w:p>
            <w:pPr>
              <w:shd w:val="clear" w:color="auto"/>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供应商2</w:t>
            </w:r>
          </w:p>
        </w:tc>
        <w:tc>
          <w:tcPr>
            <w:tcW w:w="772" w:type="dxa"/>
            <w:vAlign w:val="center"/>
          </w:tcPr>
          <w:p>
            <w:pPr>
              <w:shd w:val="clear" w:color="auto"/>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供应商3</w:t>
            </w:r>
          </w:p>
        </w:tc>
        <w:tc>
          <w:tcPr>
            <w:tcW w:w="772" w:type="dxa"/>
            <w:vAlign w:val="center"/>
          </w:tcPr>
          <w:p>
            <w:pPr>
              <w:shd w:val="clear" w:color="auto"/>
              <w:spacing w:line="440" w:lineRule="exac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59" w:type="dxa"/>
            <w:vMerge w:val="restart"/>
            <w:vAlign w:val="center"/>
          </w:tcPr>
          <w:p>
            <w:pPr>
              <w:shd w:val="clear"/>
              <w:spacing w:line="48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w:t>
            </w:r>
          </w:p>
          <w:p>
            <w:pPr>
              <w:shd w:val="clear"/>
              <w:spacing w:line="48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术</w:t>
            </w:r>
          </w:p>
          <w:p>
            <w:pPr>
              <w:shd w:val="clear"/>
              <w:spacing w:line="48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标</w:t>
            </w:r>
          </w:p>
          <w:p>
            <w:pPr>
              <w:shd w:val="clear"/>
              <w:spacing w:line="48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审</w:t>
            </w:r>
          </w:p>
          <w:p>
            <w:pPr>
              <w:shd w:val="clear"/>
              <w:spacing w:line="480" w:lineRule="auto"/>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查</w:t>
            </w:r>
          </w:p>
          <w:p>
            <w:pPr>
              <w:shd w:val="clear"/>
              <w:spacing w:line="480" w:lineRule="auto"/>
              <w:jc w:val="center"/>
              <w:rPr>
                <w:rFonts w:hint="eastAsia" w:ascii="仿宋_GB2312" w:hAnsi="仿宋_GB2312" w:eastAsia="仿宋_GB2312" w:cs="仿宋_GB2312"/>
                <w:b/>
                <w:bCs/>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施工方案与技术措施</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质量保证措施和创优计划</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施工总进度计划及保证措施</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施工安全措施计划</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文明施工措施计划</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施工场地治安保卫管理计划</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exac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施工环保措施计划</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施工现场总平面布置（附图）</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项目组织管理机构</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成品保护和工程保修工作的管理和承诺</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任何可能的紧急情况的处理措施、预案以及抵抗风险的措施</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732" w:type="dxa"/>
            <w:vAlign w:val="center"/>
          </w:tcPr>
          <w:p>
            <w:pPr>
              <w:shd w:val="clea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5405" w:type="dxa"/>
            <w:vAlign w:val="center"/>
          </w:tcPr>
          <w:p>
            <w:pPr>
              <w:shd w:val="clear"/>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对总包管理的认识以及对专业分包工程的配合、协调、管理、服务方案</w:t>
            </w: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4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c>
          <w:tcPr>
            <w:tcW w:w="772" w:type="dxa"/>
            <w:vAlign w:val="center"/>
          </w:tcPr>
          <w:p>
            <w:pPr>
              <w:shd w:val="clear"/>
              <w:spacing w:line="48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959" w:type="dxa"/>
            <w:vMerge w:val="continue"/>
            <w:vAlign w:val="center"/>
          </w:tcPr>
          <w:p>
            <w:pPr>
              <w:shd w:val="clear"/>
              <w:rPr>
                <w:rFonts w:hint="eastAsia" w:ascii="仿宋_GB2312" w:hAnsi="仿宋_GB2312" w:eastAsia="仿宋_GB2312" w:cs="仿宋_GB2312"/>
                <w:sz w:val="24"/>
                <w:szCs w:val="24"/>
              </w:rPr>
            </w:pPr>
          </w:p>
        </w:tc>
        <w:tc>
          <w:tcPr>
            <w:tcW w:w="9165" w:type="dxa"/>
            <w:gridSpan w:val="6"/>
            <w:vAlign w:val="center"/>
          </w:tcPr>
          <w:p>
            <w:pPr>
              <w:shd w:val="clea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结论：是否通过评审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10124" w:type="dxa"/>
            <w:gridSpan w:val="7"/>
            <w:vAlign w:val="center"/>
          </w:tcPr>
          <w:p>
            <w:pPr>
              <w:shd w:val="clea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备注：如果</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中有一项未通过上述审查标准，</w:t>
            </w:r>
            <w:r>
              <w:rPr>
                <w:rFonts w:hint="eastAsia" w:ascii="仿宋_GB2312" w:hAnsi="仿宋_GB2312" w:eastAsia="仿宋_GB2312" w:cs="仿宋_GB2312"/>
                <w:color w:val="auto"/>
                <w:sz w:val="24"/>
                <w:szCs w:val="24"/>
                <w:highlight w:val="none"/>
                <w:lang w:eastAsia="zh-CN"/>
              </w:rPr>
              <w:t>谈判小组</w:t>
            </w:r>
            <w:r>
              <w:rPr>
                <w:rFonts w:hint="eastAsia" w:ascii="仿宋_GB2312" w:hAnsi="仿宋_GB2312" w:eastAsia="仿宋_GB2312" w:cs="仿宋_GB2312"/>
                <w:color w:val="auto"/>
                <w:sz w:val="24"/>
                <w:szCs w:val="24"/>
                <w:highlight w:val="none"/>
              </w:rPr>
              <w:t>将认定整个</w:t>
            </w:r>
            <w:r>
              <w:rPr>
                <w:rFonts w:hint="eastAsia" w:ascii="仿宋_GB2312" w:hAnsi="仿宋_GB2312" w:eastAsia="仿宋_GB2312" w:cs="仿宋_GB2312"/>
                <w:color w:val="auto"/>
                <w:sz w:val="24"/>
                <w:szCs w:val="24"/>
                <w:highlight w:val="none"/>
                <w:lang w:eastAsia="zh-CN"/>
              </w:rPr>
              <w:t>谈判响应文件</w:t>
            </w:r>
            <w:r>
              <w:rPr>
                <w:rFonts w:hint="eastAsia" w:ascii="仿宋_GB2312" w:hAnsi="仿宋_GB2312" w:eastAsia="仿宋_GB2312" w:cs="仿宋_GB2312"/>
                <w:color w:val="auto"/>
                <w:sz w:val="24"/>
                <w:szCs w:val="24"/>
                <w:highlight w:val="none"/>
              </w:rPr>
              <w:t>不响应</w:t>
            </w:r>
            <w:r>
              <w:rPr>
                <w:rFonts w:hint="eastAsia" w:ascii="仿宋_GB2312" w:hAnsi="仿宋_GB2312" w:eastAsia="仿宋_GB2312" w:cs="仿宋_GB2312"/>
                <w:color w:val="auto"/>
                <w:sz w:val="24"/>
                <w:szCs w:val="24"/>
                <w:highlight w:val="none"/>
                <w:lang w:eastAsia="zh-CN"/>
              </w:rPr>
              <w:t>谈判文件</w:t>
            </w:r>
            <w:r>
              <w:rPr>
                <w:rFonts w:hint="eastAsia" w:ascii="仿宋_GB2312" w:hAnsi="仿宋_GB2312" w:eastAsia="仿宋_GB2312" w:cs="仿宋_GB2312"/>
                <w:color w:val="auto"/>
                <w:sz w:val="24"/>
                <w:szCs w:val="24"/>
                <w:highlight w:val="none"/>
              </w:rPr>
              <w:t>而予以投标无效，并且不允许供应商通过修改或撤销其不符合要求的差异或保留，使之成为具有响应性的投标。通过审核的以“√”标记；未通过的以“×”标记，并予以说明。</w:t>
            </w:r>
          </w:p>
        </w:tc>
      </w:tr>
    </w:tbl>
    <w:p>
      <w:pPr>
        <w:shd w:val="clear"/>
        <w:spacing w:line="460" w:lineRule="exact"/>
        <w:rPr>
          <w:rFonts w:hint="eastAsia" w:ascii="仿宋_GB2312" w:hAnsi="仿宋_GB2312" w:eastAsia="仿宋_GB2312" w:cs="仿宋_GB2312"/>
          <w:b/>
          <w:bCs/>
          <w:color w:val="auto"/>
          <w:kern w:val="0"/>
          <w:sz w:val="24"/>
          <w:szCs w:val="24"/>
          <w:highlight w:val="none"/>
          <w:lang w:eastAsia="zh-CN"/>
        </w:rPr>
      </w:pPr>
    </w:p>
    <w:sectPr>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2</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P2LNABAACk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XJ1&#10;kwTqPVZUd++pMg5vYEjFUxwpmHgPbbDpS4wY5Une81VeNUQm06X1ar0uKSUpNzuEUzxc9wHjWwWW&#10;JaPmgd4vyypO7zGOpXNJ6ubgThtDcVEZx/qav7qhkf/KELhx1CORGIdNVhz2w8RgD82ZiPW0AzV3&#10;tPKcmXeOJE7rMhthNvazcfRBH7q8T6kf+tfHSNPkIVOHEXZqTI+XaU6LlrbjTz9XPfxc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fP2LNABAACk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2</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abstractNum w:abstractNumId="1">
    <w:nsid w:val="17760806"/>
    <w:multiLevelType w:val="singleLevel"/>
    <w:tmpl w:val="17760806"/>
    <w:lvl w:ilvl="0" w:tentative="0">
      <w:start w:val="3"/>
      <w:numFmt w:val="decimal"/>
      <w:suff w:val="nothing"/>
      <w:lvlText w:val="%1、"/>
      <w:lvlJc w:val="left"/>
    </w:lvl>
  </w:abstractNum>
  <w:abstractNum w:abstractNumId="2">
    <w:nsid w:val="3983044D"/>
    <w:multiLevelType w:val="multilevel"/>
    <w:tmpl w:val="3983044D"/>
    <w:lvl w:ilvl="0" w:tentative="0">
      <w:start w:val="1"/>
      <w:numFmt w:val="decimal"/>
      <w:pStyle w:val="18"/>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3">
    <w:nsid w:val="3AED6571"/>
    <w:multiLevelType w:val="singleLevel"/>
    <w:tmpl w:val="3AED6571"/>
    <w:lvl w:ilvl="0" w:tentative="0">
      <w:start w:val="1"/>
      <w:numFmt w:val="chineseCounting"/>
      <w:suff w:val="nothing"/>
      <w:lvlText w:val="%1、"/>
      <w:lvlJc w:val="left"/>
      <w:rPr>
        <w:rFonts w:hint="eastAsia"/>
      </w:rPr>
    </w:lvl>
  </w:abstractNum>
  <w:abstractNum w:abstractNumId="4">
    <w:nsid w:val="5371D8E5"/>
    <w:multiLevelType w:val="singleLevel"/>
    <w:tmpl w:val="5371D8E5"/>
    <w:lvl w:ilvl="0" w:tentative="0">
      <w:start w:val="6"/>
      <w:numFmt w:val="decimal"/>
      <w:suff w:val="nothing"/>
      <w:lvlText w:val="%1."/>
      <w:lvlJc w:val="left"/>
      <w:rPr>
        <w:rFonts w:cs="Times New Roman"/>
        <w:sz w:val="28"/>
        <w:szCs w:val="28"/>
      </w:rPr>
    </w:lvl>
  </w:abstractNum>
  <w:abstractNum w:abstractNumId="5">
    <w:nsid w:val="5809E1AE"/>
    <w:multiLevelType w:val="singleLevel"/>
    <w:tmpl w:val="5809E1AE"/>
    <w:lvl w:ilvl="0" w:tentative="0">
      <w:start w:val="22"/>
      <w:numFmt w:val="decimal"/>
      <w:suff w:val="nothing"/>
      <w:lvlText w:val="%1、"/>
      <w:lvlJc w:val="left"/>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 w:name="KSO_WPS_MARK_KEY" w:val="cb741868-d6be-4776-bda4-7d77fab4ca0d"/>
  </w:docVars>
  <w:rsids>
    <w:rsidRoot w:val="00172A27"/>
    <w:rsid w:val="001262A2"/>
    <w:rsid w:val="001C0F9E"/>
    <w:rsid w:val="002E13EE"/>
    <w:rsid w:val="003B1933"/>
    <w:rsid w:val="004D20A8"/>
    <w:rsid w:val="004E0863"/>
    <w:rsid w:val="005F481F"/>
    <w:rsid w:val="009A7605"/>
    <w:rsid w:val="00A57788"/>
    <w:rsid w:val="00A95A9A"/>
    <w:rsid w:val="00B32A60"/>
    <w:rsid w:val="00B406C6"/>
    <w:rsid w:val="00B753C5"/>
    <w:rsid w:val="00C12DE3"/>
    <w:rsid w:val="00D743B5"/>
    <w:rsid w:val="00D91EDB"/>
    <w:rsid w:val="00DA3EA5"/>
    <w:rsid w:val="00E20D62"/>
    <w:rsid w:val="00ED1E59"/>
    <w:rsid w:val="00F333AD"/>
    <w:rsid w:val="00FB3FBE"/>
    <w:rsid w:val="01176FE6"/>
    <w:rsid w:val="0123793E"/>
    <w:rsid w:val="01382BF0"/>
    <w:rsid w:val="014C4DA3"/>
    <w:rsid w:val="015249D1"/>
    <w:rsid w:val="01610122"/>
    <w:rsid w:val="016A347B"/>
    <w:rsid w:val="016E5167"/>
    <w:rsid w:val="017653BA"/>
    <w:rsid w:val="01785CA0"/>
    <w:rsid w:val="017C004E"/>
    <w:rsid w:val="018F4C90"/>
    <w:rsid w:val="0194221B"/>
    <w:rsid w:val="019B391F"/>
    <w:rsid w:val="01B61F30"/>
    <w:rsid w:val="01C46268"/>
    <w:rsid w:val="01C761D7"/>
    <w:rsid w:val="01D37272"/>
    <w:rsid w:val="01D67A9B"/>
    <w:rsid w:val="01D84393"/>
    <w:rsid w:val="01E61742"/>
    <w:rsid w:val="020967F0"/>
    <w:rsid w:val="020D745F"/>
    <w:rsid w:val="0213371D"/>
    <w:rsid w:val="0230022C"/>
    <w:rsid w:val="02340217"/>
    <w:rsid w:val="023D0B8F"/>
    <w:rsid w:val="025C1016"/>
    <w:rsid w:val="02663EAD"/>
    <w:rsid w:val="02693733"/>
    <w:rsid w:val="026C4D88"/>
    <w:rsid w:val="02775E4F"/>
    <w:rsid w:val="028C11CF"/>
    <w:rsid w:val="02922C89"/>
    <w:rsid w:val="029C6EB9"/>
    <w:rsid w:val="02B7449E"/>
    <w:rsid w:val="02B83F87"/>
    <w:rsid w:val="02CB1CF7"/>
    <w:rsid w:val="02CD1F13"/>
    <w:rsid w:val="02DC548F"/>
    <w:rsid w:val="02DF0B6A"/>
    <w:rsid w:val="02E04E8F"/>
    <w:rsid w:val="02F646D7"/>
    <w:rsid w:val="030828EF"/>
    <w:rsid w:val="03104DBB"/>
    <w:rsid w:val="03200295"/>
    <w:rsid w:val="032F2A31"/>
    <w:rsid w:val="033F6241"/>
    <w:rsid w:val="0340009F"/>
    <w:rsid w:val="034B4BE6"/>
    <w:rsid w:val="034F1DFF"/>
    <w:rsid w:val="036972E5"/>
    <w:rsid w:val="03962305"/>
    <w:rsid w:val="03A3540E"/>
    <w:rsid w:val="03A74BE7"/>
    <w:rsid w:val="03AB03B3"/>
    <w:rsid w:val="03C172D3"/>
    <w:rsid w:val="03C250D4"/>
    <w:rsid w:val="03C36E72"/>
    <w:rsid w:val="03CA1FAF"/>
    <w:rsid w:val="03EC461B"/>
    <w:rsid w:val="03F01A3C"/>
    <w:rsid w:val="03F86B1C"/>
    <w:rsid w:val="04047F5A"/>
    <w:rsid w:val="0420480A"/>
    <w:rsid w:val="04367644"/>
    <w:rsid w:val="044C330C"/>
    <w:rsid w:val="044C6E68"/>
    <w:rsid w:val="04651CD8"/>
    <w:rsid w:val="049660A7"/>
    <w:rsid w:val="049820AD"/>
    <w:rsid w:val="04A86794"/>
    <w:rsid w:val="04D53301"/>
    <w:rsid w:val="04DF743A"/>
    <w:rsid w:val="04E946B7"/>
    <w:rsid w:val="04EB6681"/>
    <w:rsid w:val="04ED1C26"/>
    <w:rsid w:val="04F241FB"/>
    <w:rsid w:val="051A243B"/>
    <w:rsid w:val="051C765B"/>
    <w:rsid w:val="05256A38"/>
    <w:rsid w:val="053A3164"/>
    <w:rsid w:val="053D01B1"/>
    <w:rsid w:val="05445D91"/>
    <w:rsid w:val="054C2DCF"/>
    <w:rsid w:val="05623073"/>
    <w:rsid w:val="05883ED0"/>
    <w:rsid w:val="059765FC"/>
    <w:rsid w:val="05AC3AA7"/>
    <w:rsid w:val="05B66C8F"/>
    <w:rsid w:val="05D62E8D"/>
    <w:rsid w:val="05FB6D97"/>
    <w:rsid w:val="0627193B"/>
    <w:rsid w:val="062A2052"/>
    <w:rsid w:val="062E1176"/>
    <w:rsid w:val="06310336"/>
    <w:rsid w:val="06377E97"/>
    <w:rsid w:val="06405CF9"/>
    <w:rsid w:val="0645074F"/>
    <w:rsid w:val="06514C09"/>
    <w:rsid w:val="06653F5E"/>
    <w:rsid w:val="06850900"/>
    <w:rsid w:val="06896151"/>
    <w:rsid w:val="069114AA"/>
    <w:rsid w:val="069D373F"/>
    <w:rsid w:val="06A967F3"/>
    <w:rsid w:val="06B86A37"/>
    <w:rsid w:val="06C67278"/>
    <w:rsid w:val="06DB64C2"/>
    <w:rsid w:val="07110764"/>
    <w:rsid w:val="07131CDD"/>
    <w:rsid w:val="071579E5"/>
    <w:rsid w:val="071A6A3F"/>
    <w:rsid w:val="072A3DCE"/>
    <w:rsid w:val="073505C1"/>
    <w:rsid w:val="074A3B33"/>
    <w:rsid w:val="07591AB1"/>
    <w:rsid w:val="076444C8"/>
    <w:rsid w:val="077022B2"/>
    <w:rsid w:val="07723089"/>
    <w:rsid w:val="0788465B"/>
    <w:rsid w:val="07897477"/>
    <w:rsid w:val="07A3232F"/>
    <w:rsid w:val="07A34FF1"/>
    <w:rsid w:val="07AB289F"/>
    <w:rsid w:val="07C80EFB"/>
    <w:rsid w:val="07CC09EB"/>
    <w:rsid w:val="07D001E6"/>
    <w:rsid w:val="07D53117"/>
    <w:rsid w:val="07E62011"/>
    <w:rsid w:val="07E90005"/>
    <w:rsid w:val="082B4D10"/>
    <w:rsid w:val="083C7452"/>
    <w:rsid w:val="08485B98"/>
    <w:rsid w:val="084C2F69"/>
    <w:rsid w:val="086F1377"/>
    <w:rsid w:val="088017D6"/>
    <w:rsid w:val="08907291"/>
    <w:rsid w:val="08943800"/>
    <w:rsid w:val="0898267C"/>
    <w:rsid w:val="089C289E"/>
    <w:rsid w:val="08B80F70"/>
    <w:rsid w:val="08BF3BC5"/>
    <w:rsid w:val="08C23B9D"/>
    <w:rsid w:val="08CA70A7"/>
    <w:rsid w:val="08E65ADD"/>
    <w:rsid w:val="08FA6E92"/>
    <w:rsid w:val="09001592"/>
    <w:rsid w:val="090D12BC"/>
    <w:rsid w:val="0913264A"/>
    <w:rsid w:val="091343F8"/>
    <w:rsid w:val="092B7994"/>
    <w:rsid w:val="092C1016"/>
    <w:rsid w:val="09420839"/>
    <w:rsid w:val="09597CBF"/>
    <w:rsid w:val="09613F76"/>
    <w:rsid w:val="09727371"/>
    <w:rsid w:val="09756E61"/>
    <w:rsid w:val="09824EA9"/>
    <w:rsid w:val="0983157E"/>
    <w:rsid w:val="098350DA"/>
    <w:rsid w:val="09B401D8"/>
    <w:rsid w:val="09BC683E"/>
    <w:rsid w:val="09C94AB7"/>
    <w:rsid w:val="09CE6FE4"/>
    <w:rsid w:val="09D06107"/>
    <w:rsid w:val="09D61B19"/>
    <w:rsid w:val="09DB4FCD"/>
    <w:rsid w:val="0A051D81"/>
    <w:rsid w:val="0A1B5312"/>
    <w:rsid w:val="0A232419"/>
    <w:rsid w:val="0A24296F"/>
    <w:rsid w:val="0A283ED3"/>
    <w:rsid w:val="0A3B5364"/>
    <w:rsid w:val="0A410AF1"/>
    <w:rsid w:val="0A4C7BC2"/>
    <w:rsid w:val="0A5172C8"/>
    <w:rsid w:val="0A580D4D"/>
    <w:rsid w:val="0A612158"/>
    <w:rsid w:val="0A6371D0"/>
    <w:rsid w:val="0A740B9E"/>
    <w:rsid w:val="0A754724"/>
    <w:rsid w:val="0A790247"/>
    <w:rsid w:val="0A7B2255"/>
    <w:rsid w:val="0A7F25F1"/>
    <w:rsid w:val="0A83110A"/>
    <w:rsid w:val="0A8561EA"/>
    <w:rsid w:val="0AA255B6"/>
    <w:rsid w:val="0AAD1585"/>
    <w:rsid w:val="0AB152BA"/>
    <w:rsid w:val="0AB26AC6"/>
    <w:rsid w:val="0AC21C32"/>
    <w:rsid w:val="0ACE05D7"/>
    <w:rsid w:val="0AE00B50"/>
    <w:rsid w:val="0AE147AE"/>
    <w:rsid w:val="0AE32E85"/>
    <w:rsid w:val="0AE63E92"/>
    <w:rsid w:val="0AEB0BF0"/>
    <w:rsid w:val="0B11094C"/>
    <w:rsid w:val="0B227122"/>
    <w:rsid w:val="0B386F97"/>
    <w:rsid w:val="0B3B0BA1"/>
    <w:rsid w:val="0B41524D"/>
    <w:rsid w:val="0B5F0F5A"/>
    <w:rsid w:val="0B621425"/>
    <w:rsid w:val="0B7A2C75"/>
    <w:rsid w:val="0B925AA8"/>
    <w:rsid w:val="0B9A1A66"/>
    <w:rsid w:val="0B9E6145"/>
    <w:rsid w:val="0BA76F7D"/>
    <w:rsid w:val="0BA80E28"/>
    <w:rsid w:val="0BAB4F00"/>
    <w:rsid w:val="0BC6599A"/>
    <w:rsid w:val="0BCD6AE0"/>
    <w:rsid w:val="0BD446AA"/>
    <w:rsid w:val="0BD72844"/>
    <w:rsid w:val="0BF71D56"/>
    <w:rsid w:val="0C060244"/>
    <w:rsid w:val="0C0D6A06"/>
    <w:rsid w:val="0C272694"/>
    <w:rsid w:val="0C2A7A8F"/>
    <w:rsid w:val="0C2F32F7"/>
    <w:rsid w:val="0C300E1D"/>
    <w:rsid w:val="0C341117"/>
    <w:rsid w:val="0C4072B2"/>
    <w:rsid w:val="0C4C3EA9"/>
    <w:rsid w:val="0C5C7E64"/>
    <w:rsid w:val="0C662A91"/>
    <w:rsid w:val="0C703E19"/>
    <w:rsid w:val="0C85560D"/>
    <w:rsid w:val="0C862B33"/>
    <w:rsid w:val="0C8E44C1"/>
    <w:rsid w:val="0C9B098C"/>
    <w:rsid w:val="0CA21D1B"/>
    <w:rsid w:val="0CB4643F"/>
    <w:rsid w:val="0CC25F19"/>
    <w:rsid w:val="0CC7352F"/>
    <w:rsid w:val="0CC957C4"/>
    <w:rsid w:val="0CE9518F"/>
    <w:rsid w:val="0D110C4F"/>
    <w:rsid w:val="0D51729D"/>
    <w:rsid w:val="0D5F7C0C"/>
    <w:rsid w:val="0D6D0D44"/>
    <w:rsid w:val="0D7273CB"/>
    <w:rsid w:val="0D83719E"/>
    <w:rsid w:val="0D996D68"/>
    <w:rsid w:val="0DA647C6"/>
    <w:rsid w:val="0DAE649D"/>
    <w:rsid w:val="0DC52F4F"/>
    <w:rsid w:val="0DDA0FB9"/>
    <w:rsid w:val="0DE015D6"/>
    <w:rsid w:val="0DE13890"/>
    <w:rsid w:val="0DE2563F"/>
    <w:rsid w:val="0DE6661A"/>
    <w:rsid w:val="0DEA2B82"/>
    <w:rsid w:val="0DFB3C3A"/>
    <w:rsid w:val="0E1844BF"/>
    <w:rsid w:val="0E1B4801"/>
    <w:rsid w:val="0E1D351E"/>
    <w:rsid w:val="0E216DBA"/>
    <w:rsid w:val="0E253FFC"/>
    <w:rsid w:val="0E460661"/>
    <w:rsid w:val="0E54467E"/>
    <w:rsid w:val="0E686F94"/>
    <w:rsid w:val="0E6B152D"/>
    <w:rsid w:val="0E8611C8"/>
    <w:rsid w:val="0E960BB4"/>
    <w:rsid w:val="0EAB0B9F"/>
    <w:rsid w:val="0EB05B91"/>
    <w:rsid w:val="0EB63617"/>
    <w:rsid w:val="0EEC3B69"/>
    <w:rsid w:val="0EF840B2"/>
    <w:rsid w:val="0F0063AE"/>
    <w:rsid w:val="0F0356BC"/>
    <w:rsid w:val="0F052A35"/>
    <w:rsid w:val="0F1C091E"/>
    <w:rsid w:val="0F384614"/>
    <w:rsid w:val="0F8B7CDB"/>
    <w:rsid w:val="0F8E52F9"/>
    <w:rsid w:val="0F9D4A1B"/>
    <w:rsid w:val="0FB57FB7"/>
    <w:rsid w:val="0FBC7598"/>
    <w:rsid w:val="0FEE5EFE"/>
    <w:rsid w:val="0FF46D31"/>
    <w:rsid w:val="0FF61518"/>
    <w:rsid w:val="10101D74"/>
    <w:rsid w:val="10354C54"/>
    <w:rsid w:val="1036031E"/>
    <w:rsid w:val="10514233"/>
    <w:rsid w:val="10634499"/>
    <w:rsid w:val="10692DAF"/>
    <w:rsid w:val="106A6FF4"/>
    <w:rsid w:val="107505B5"/>
    <w:rsid w:val="107C63BF"/>
    <w:rsid w:val="107F4121"/>
    <w:rsid w:val="108B38A3"/>
    <w:rsid w:val="108F6A5A"/>
    <w:rsid w:val="10923E54"/>
    <w:rsid w:val="10940AC7"/>
    <w:rsid w:val="10947D12"/>
    <w:rsid w:val="10973B61"/>
    <w:rsid w:val="109B7F20"/>
    <w:rsid w:val="109D18A6"/>
    <w:rsid w:val="10B262A5"/>
    <w:rsid w:val="10B91DDA"/>
    <w:rsid w:val="10CA1F6B"/>
    <w:rsid w:val="10DD3FD3"/>
    <w:rsid w:val="10E250B3"/>
    <w:rsid w:val="10E943BC"/>
    <w:rsid w:val="1102547E"/>
    <w:rsid w:val="110463F7"/>
    <w:rsid w:val="11062698"/>
    <w:rsid w:val="110D6BCF"/>
    <w:rsid w:val="110E3E23"/>
    <w:rsid w:val="11186A50"/>
    <w:rsid w:val="11194576"/>
    <w:rsid w:val="111E5A3E"/>
    <w:rsid w:val="11290C5D"/>
    <w:rsid w:val="113118BF"/>
    <w:rsid w:val="113A181F"/>
    <w:rsid w:val="113F19ED"/>
    <w:rsid w:val="11434515"/>
    <w:rsid w:val="11452766"/>
    <w:rsid w:val="118B0B2E"/>
    <w:rsid w:val="118F3351"/>
    <w:rsid w:val="119200E9"/>
    <w:rsid w:val="11947781"/>
    <w:rsid w:val="11B5429E"/>
    <w:rsid w:val="11C27EAF"/>
    <w:rsid w:val="11D1616A"/>
    <w:rsid w:val="11EB4164"/>
    <w:rsid w:val="11F8794E"/>
    <w:rsid w:val="11FA7920"/>
    <w:rsid w:val="11FB388B"/>
    <w:rsid w:val="12017F94"/>
    <w:rsid w:val="1202502D"/>
    <w:rsid w:val="120833CE"/>
    <w:rsid w:val="1210492A"/>
    <w:rsid w:val="12217B86"/>
    <w:rsid w:val="12245DF9"/>
    <w:rsid w:val="123A0C48"/>
    <w:rsid w:val="123C1338"/>
    <w:rsid w:val="123D038E"/>
    <w:rsid w:val="123E4294"/>
    <w:rsid w:val="126047B8"/>
    <w:rsid w:val="127A5BE5"/>
    <w:rsid w:val="127B2254"/>
    <w:rsid w:val="127E2A5C"/>
    <w:rsid w:val="12851EC3"/>
    <w:rsid w:val="128E0B93"/>
    <w:rsid w:val="129B38F2"/>
    <w:rsid w:val="12AE6924"/>
    <w:rsid w:val="12C35CF0"/>
    <w:rsid w:val="12CC1638"/>
    <w:rsid w:val="12DB5F87"/>
    <w:rsid w:val="12E2796F"/>
    <w:rsid w:val="12EA441C"/>
    <w:rsid w:val="12ED1BFE"/>
    <w:rsid w:val="12F61908"/>
    <w:rsid w:val="12FC7CAB"/>
    <w:rsid w:val="130848A2"/>
    <w:rsid w:val="13112C5B"/>
    <w:rsid w:val="131B2827"/>
    <w:rsid w:val="132044EE"/>
    <w:rsid w:val="132C0590"/>
    <w:rsid w:val="13326DFA"/>
    <w:rsid w:val="133833D9"/>
    <w:rsid w:val="1345081F"/>
    <w:rsid w:val="13464B39"/>
    <w:rsid w:val="13467FDE"/>
    <w:rsid w:val="136050DC"/>
    <w:rsid w:val="13655850"/>
    <w:rsid w:val="136D027F"/>
    <w:rsid w:val="13790D69"/>
    <w:rsid w:val="137B1518"/>
    <w:rsid w:val="137C18E1"/>
    <w:rsid w:val="13854144"/>
    <w:rsid w:val="13857CA0"/>
    <w:rsid w:val="138F28CD"/>
    <w:rsid w:val="13910302"/>
    <w:rsid w:val="13A7230D"/>
    <w:rsid w:val="13AC347F"/>
    <w:rsid w:val="13C7650B"/>
    <w:rsid w:val="13D1738A"/>
    <w:rsid w:val="13D501BB"/>
    <w:rsid w:val="13F217DA"/>
    <w:rsid w:val="13FF2EE8"/>
    <w:rsid w:val="141F1F6A"/>
    <w:rsid w:val="141F6347"/>
    <w:rsid w:val="142866C1"/>
    <w:rsid w:val="14450E19"/>
    <w:rsid w:val="14474D56"/>
    <w:rsid w:val="14532D44"/>
    <w:rsid w:val="14680A30"/>
    <w:rsid w:val="14691987"/>
    <w:rsid w:val="147815B3"/>
    <w:rsid w:val="1480321B"/>
    <w:rsid w:val="149C324B"/>
    <w:rsid w:val="149E726C"/>
    <w:rsid w:val="14C50C9C"/>
    <w:rsid w:val="14C52A4A"/>
    <w:rsid w:val="14DD669C"/>
    <w:rsid w:val="14E326B0"/>
    <w:rsid w:val="14EC591D"/>
    <w:rsid w:val="14EF3F6B"/>
    <w:rsid w:val="14F450DE"/>
    <w:rsid w:val="150D2643"/>
    <w:rsid w:val="15147A37"/>
    <w:rsid w:val="152359C3"/>
    <w:rsid w:val="152C563A"/>
    <w:rsid w:val="153320AA"/>
    <w:rsid w:val="15360F33"/>
    <w:rsid w:val="153D7488"/>
    <w:rsid w:val="15400323"/>
    <w:rsid w:val="15421315"/>
    <w:rsid w:val="15475B55"/>
    <w:rsid w:val="15491919"/>
    <w:rsid w:val="1582093B"/>
    <w:rsid w:val="15B34980"/>
    <w:rsid w:val="15BF003C"/>
    <w:rsid w:val="15BF6216"/>
    <w:rsid w:val="15C50828"/>
    <w:rsid w:val="15D849FF"/>
    <w:rsid w:val="15D973D2"/>
    <w:rsid w:val="16073FAF"/>
    <w:rsid w:val="16113A6D"/>
    <w:rsid w:val="16165524"/>
    <w:rsid w:val="161B669A"/>
    <w:rsid w:val="16322E69"/>
    <w:rsid w:val="163C29BD"/>
    <w:rsid w:val="1642631D"/>
    <w:rsid w:val="165F2A2B"/>
    <w:rsid w:val="169E17A5"/>
    <w:rsid w:val="169F7D34"/>
    <w:rsid w:val="16A50D85"/>
    <w:rsid w:val="16DE4CC2"/>
    <w:rsid w:val="16E248BA"/>
    <w:rsid w:val="16E41182"/>
    <w:rsid w:val="16F63E2F"/>
    <w:rsid w:val="16FA09A5"/>
    <w:rsid w:val="17233A58"/>
    <w:rsid w:val="173C20DE"/>
    <w:rsid w:val="17485BB5"/>
    <w:rsid w:val="174A2472"/>
    <w:rsid w:val="174F631F"/>
    <w:rsid w:val="176579F1"/>
    <w:rsid w:val="178963E1"/>
    <w:rsid w:val="1793280D"/>
    <w:rsid w:val="17A35623"/>
    <w:rsid w:val="17F02536"/>
    <w:rsid w:val="17F436AC"/>
    <w:rsid w:val="17F83137"/>
    <w:rsid w:val="17F849BF"/>
    <w:rsid w:val="180122D1"/>
    <w:rsid w:val="1804388A"/>
    <w:rsid w:val="180513B0"/>
    <w:rsid w:val="18205923"/>
    <w:rsid w:val="182C4B8E"/>
    <w:rsid w:val="1837780C"/>
    <w:rsid w:val="1870602C"/>
    <w:rsid w:val="188015FB"/>
    <w:rsid w:val="188511FE"/>
    <w:rsid w:val="1890336F"/>
    <w:rsid w:val="18982BB5"/>
    <w:rsid w:val="18C368F1"/>
    <w:rsid w:val="18D07C10"/>
    <w:rsid w:val="18D70F9E"/>
    <w:rsid w:val="18D8087C"/>
    <w:rsid w:val="18DD0CA4"/>
    <w:rsid w:val="18DE05E3"/>
    <w:rsid w:val="18DE5CB4"/>
    <w:rsid w:val="18ED2570"/>
    <w:rsid w:val="18FC3D6D"/>
    <w:rsid w:val="19081158"/>
    <w:rsid w:val="190B4083"/>
    <w:rsid w:val="1910530D"/>
    <w:rsid w:val="19293743"/>
    <w:rsid w:val="192D6E10"/>
    <w:rsid w:val="19371A3D"/>
    <w:rsid w:val="1940096F"/>
    <w:rsid w:val="194514AF"/>
    <w:rsid w:val="1951746B"/>
    <w:rsid w:val="196149DD"/>
    <w:rsid w:val="19683D11"/>
    <w:rsid w:val="197E0527"/>
    <w:rsid w:val="197F397F"/>
    <w:rsid w:val="198F2F98"/>
    <w:rsid w:val="199152FA"/>
    <w:rsid w:val="19A21417"/>
    <w:rsid w:val="19AD7F51"/>
    <w:rsid w:val="19BE1CC3"/>
    <w:rsid w:val="19C86B39"/>
    <w:rsid w:val="19CC1F27"/>
    <w:rsid w:val="19CC46A5"/>
    <w:rsid w:val="19DB08CA"/>
    <w:rsid w:val="19DD25E4"/>
    <w:rsid w:val="19DD5B52"/>
    <w:rsid w:val="19E16DE4"/>
    <w:rsid w:val="19EB1C5A"/>
    <w:rsid w:val="19EB786F"/>
    <w:rsid w:val="19EE47F1"/>
    <w:rsid w:val="19F439C0"/>
    <w:rsid w:val="1A0E0DD3"/>
    <w:rsid w:val="1A1245F4"/>
    <w:rsid w:val="1A1564F8"/>
    <w:rsid w:val="1A1D4BDD"/>
    <w:rsid w:val="1A2841A8"/>
    <w:rsid w:val="1A402FA6"/>
    <w:rsid w:val="1A494C80"/>
    <w:rsid w:val="1A514D80"/>
    <w:rsid w:val="1A5A1E87"/>
    <w:rsid w:val="1A5B1B20"/>
    <w:rsid w:val="1A5D0348"/>
    <w:rsid w:val="1A642FA8"/>
    <w:rsid w:val="1A774C9C"/>
    <w:rsid w:val="1A8567D8"/>
    <w:rsid w:val="1A87029B"/>
    <w:rsid w:val="1A8962C8"/>
    <w:rsid w:val="1A8B4C12"/>
    <w:rsid w:val="1A9819DC"/>
    <w:rsid w:val="1A9A6727"/>
    <w:rsid w:val="1A9B5929"/>
    <w:rsid w:val="1ABD5F72"/>
    <w:rsid w:val="1AC944E8"/>
    <w:rsid w:val="1ACE4623"/>
    <w:rsid w:val="1AD5150D"/>
    <w:rsid w:val="1AD61006"/>
    <w:rsid w:val="1AD73378"/>
    <w:rsid w:val="1AE3142B"/>
    <w:rsid w:val="1AF20311"/>
    <w:rsid w:val="1B0167A6"/>
    <w:rsid w:val="1B027E29"/>
    <w:rsid w:val="1B05340F"/>
    <w:rsid w:val="1B0713B5"/>
    <w:rsid w:val="1B0D6EF9"/>
    <w:rsid w:val="1B1A3BD5"/>
    <w:rsid w:val="1B27596A"/>
    <w:rsid w:val="1B3A0D22"/>
    <w:rsid w:val="1B4E306E"/>
    <w:rsid w:val="1B6C00C4"/>
    <w:rsid w:val="1B855CFE"/>
    <w:rsid w:val="1B8D3B96"/>
    <w:rsid w:val="1B9118D8"/>
    <w:rsid w:val="1B9B4505"/>
    <w:rsid w:val="1BAA0BEC"/>
    <w:rsid w:val="1BC30491"/>
    <w:rsid w:val="1BC6101F"/>
    <w:rsid w:val="1BCA4DEA"/>
    <w:rsid w:val="1BD33F23"/>
    <w:rsid w:val="1BF43AEF"/>
    <w:rsid w:val="1C0F477B"/>
    <w:rsid w:val="1C182DD3"/>
    <w:rsid w:val="1C2A7637"/>
    <w:rsid w:val="1C4032FE"/>
    <w:rsid w:val="1C427D00"/>
    <w:rsid w:val="1C4F25C7"/>
    <w:rsid w:val="1C5823F6"/>
    <w:rsid w:val="1C6074FD"/>
    <w:rsid w:val="1C72778A"/>
    <w:rsid w:val="1C760ACE"/>
    <w:rsid w:val="1C8925AF"/>
    <w:rsid w:val="1CC15E4F"/>
    <w:rsid w:val="1CC47F67"/>
    <w:rsid w:val="1CD221A8"/>
    <w:rsid w:val="1CF35935"/>
    <w:rsid w:val="1D062301"/>
    <w:rsid w:val="1D0B577E"/>
    <w:rsid w:val="1D266050"/>
    <w:rsid w:val="1D320F8A"/>
    <w:rsid w:val="1D383FD6"/>
    <w:rsid w:val="1D3A3E0B"/>
    <w:rsid w:val="1D3F7112"/>
    <w:rsid w:val="1D460820"/>
    <w:rsid w:val="1D554B87"/>
    <w:rsid w:val="1D5A31A5"/>
    <w:rsid w:val="1D7D1434"/>
    <w:rsid w:val="1D807B0D"/>
    <w:rsid w:val="1D9531D6"/>
    <w:rsid w:val="1D9751A0"/>
    <w:rsid w:val="1DA13929"/>
    <w:rsid w:val="1DA93EF6"/>
    <w:rsid w:val="1DC15D79"/>
    <w:rsid w:val="1DC77130"/>
    <w:rsid w:val="1DD403C1"/>
    <w:rsid w:val="1DD755B8"/>
    <w:rsid w:val="1DE1185A"/>
    <w:rsid w:val="1DE60100"/>
    <w:rsid w:val="1E026ABD"/>
    <w:rsid w:val="1E091D5F"/>
    <w:rsid w:val="1E0A42E8"/>
    <w:rsid w:val="1E0F74D8"/>
    <w:rsid w:val="1E1470A0"/>
    <w:rsid w:val="1E1924B8"/>
    <w:rsid w:val="1E29042C"/>
    <w:rsid w:val="1E3472AD"/>
    <w:rsid w:val="1E360515"/>
    <w:rsid w:val="1E390005"/>
    <w:rsid w:val="1E3D7AF5"/>
    <w:rsid w:val="1E4569AA"/>
    <w:rsid w:val="1E5C5ADE"/>
    <w:rsid w:val="1E611AEF"/>
    <w:rsid w:val="1E68518D"/>
    <w:rsid w:val="1EB8717C"/>
    <w:rsid w:val="1EC2624D"/>
    <w:rsid w:val="1EC425BF"/>
    <w:rsid w:val="1ECA1BE3"/>
    <w:rsid w:val="1EE10F71"/>
    <w:rsid w:val="1F09145A"/>
    <w:rsid w:val="1F0C74C8"/>
    <w:rsid w:val="1F1A1136"/>
    <w:rsid w:val="1F202E75"/>
    <w:rsid w:val="1F262338"/>
    <w:rsid w:val="1F613298"/>
    <w:rsid w:val="1F760FD1"/>
    <w:rsid w:val="1F836E34"/>
    <w:rsid w:val="1FBC2C9C"/>
    <w:rsid w:val="1FDF33CF"/>
    <w:rsid w:val="1FE67D19"/>
    <w:rsid w:val="1FE741BD"/>
    <w:rsid w:val="1FEA5CA7"/>
    <w:rsid w:val="1FFA79E3"/>
    <w:rsid w:val="20180484"/>
    <w:rsid w:val="201A33A9"/>
    <w:rsid w:val="202111B2"/>
    <w:rsid w:val="20344F28"/>
    <w:rsid w:val="20466BCA"/>
    <w:rsid w:val="204D5FEA"/>
    <w:rsid w:val="20503FE2"/>
    <w:rsid w:val="20757D89"/>
    <w:rsid w:val="209E05F3"/>
    <w:rsid w:val="20AA343C"/>
    <w:rsid w:val="20B34AEE"/>
    <w:rsid w:val="20BE4151"/>
    <w:rsid w:val="20C82894"/>
    <w:rsid w:val="20CF69FF"/>
    <w:rsid w:val="20DF76A7"/>
    <w:rsid w:val="20E74328"/>
    <w:rsid w:val="20F12E19"/>
    <w:rsid w:val="20F6042F"/>
    <w:rsid w:val="20FD17BE"/>
    <w:rsid w:val="210448FA"/>
    <w:rsid w:val="21076199"/>
    <w:rsid w:val="21091ED2"/>
    <w:rsid w:val="211640D6"/>
    <w:rsid w:val="21195DA6"/>
    <w:rsid w:val="21286C5C"/>
    <w:rsid w:val="212D20A3"/>
    <w:rsid w:val="212E4233"/>
    <w:rsid w:val="214E549B"/>
    <w:rsid w:val="215018EE"/>
    <w:rsid w:val="21665793"/>
    <w:rsid w:val="21A5352F"/>
    <w:rsid w:val="21C1459A"/>
    <w:rsid w:val="21D67385"/>
    <w:rsid w:val="21D7200F"/>
    <w:rsid w:val="21DA3510"/>
    <w:rsid w:val="21E32762"/>
    <w:rsid w:val="22066A41"/>
    <w:rsid w:val="22093DA3"/>
    <w:rsid w:val="220E2F89"/>
    <w:rsid w:val="221F313E"/>
    <w:rsid w:val="22372AAE"/>
    <w:rsid w:val="22391DDF"/>
    <w:rsid w:val="22433200"/>
    <w:rsid w:val="22480700"/>
    <w:rsid w:val="225A3995"/>
    <w:rsid w:val="22714212"/>
    <w:rsid w:val="22806203"/>
    <w:rsid w:val="228C2550"/>
    <w:rsid w:val="229323DA"/>
    <w:rsid w:val="22972A26"/>
    <w:rsid w:val="229B4DEB"/>
    <w:rsid w:val="22A7378F"/>
    <w:rsid w:val="22AB09A7"/>
    <w:rsid w:val="22BB1F86"/>
    <w:rsid w:val="22CF2CE6"/>
    <w:rsid w:val="22DB6AB7"/>
    <w:rsid w:val="22DE5957"/>
    <w:rsid w:val="22E5250A"/>
    <w:rsid w:val="22E75988"/>
    <w:rsid w:val="22FB3ADB"/>
    <w:rsid w:val="23072FCF"/>
    <w:rsid w:val="231E197F"/>
    <w:rsid w:val="233736B5"/>
    <w:rsid w:val="233E17D0"/>
    <w:rsid w:val="2342795C"/>
    <w:rsid w:val="234B6811"/>
    <w:rsid w:val="234F3976"/>
    <w:rsid w:val="23503E27"/>
    <w:rsid w:val="235F406A"/>
    <w:rsid w:val="236D7762"/>
    <w:rsid w:val="23867849"/>
    <w:rsid w:val="238910E7"/>
    <w:rsid w:val="23897339"/>
    <w:rsid w:val="23930BA1"/>
    <w:rsid w:val="23935F53"/>
    <w:rsid w:val="23963804"/>
    <w:rsid w:val="239F6B37"/>
    <w:rsid w:val="23B7463E"/>
    <w:rsid w:val="23C15E1B"/>
    <w:rsid w:val="23C91E2B"/>
    <w:rsid w:val="23D22A8E"/>
    <w:rsid w:val="23D63FF3"/>
    <w:rsid w:val="23DD40D6"/>
    <w:rsid w:val="23E46C65"/>
    <w:rsid w:val="23E6478B"/>
    <w:rsid w:val="23EA62BD"/>
    <w:rsid w:val="23F02282"/>
    <w:rsid w:val="23F467EE"/>
    <w:rsid w:val="240276FB"/>
    <w:rsid w:val="241A61E3"/>
    <w:rsid w:val="24217571"/>
    <w:rsid w:val="24255C95"/>
    <w:rsid w:val="242F3DD2"/>
    <w:rsid w:val="243C43AB"/>
    <w:rsid w:val="245E1F14"/>
    <w:rsid w:val="245E2574"/>
    <w:rsid w:val="245F16F8"/>
    <w:rsid w:val="24637B8A"/>
    <w:rsid w:val="246833F2"/>
    <w:rsid w:val="2471674B"/>
    <w:rsid w:val="24726FF0"/>
    <w:rsid w:val="24727DCD"/>
    <w:rsid w:val="248C6F23"/>
    <w:rsid w:val="24942409"/>
    <w:rsid w:val="24BE2A17"/>
    <w:rsid w:val="24C04FDC"/>
    <w:rsid w:val="24C80AD3"/>
    <w:rsid w:val="24D91187"/>
    <w:rsid w:val="24EA0ADB"/>
    <w:rsid w:val="24F1163A"/>
    <w:rsid w:val="24F94D7A"/>
    <w:rsid w:val="25055BEE"/>
    <w:rsid w:val="251203B4"/>
    <w:rsid w:val="2513121C"/>
    <w:rsid w:val="25173828"/>
    <w:rsid w:val="251F61A7"/>
    <w:rsid w:val="254C5F7F"/>
    <w:rsid w:val="25553977"/>
    <w:rsid w:val="256736AA"/>
    <w:rsid w:val="25A55F80"/>
    <w:rsid w:val="25BE5F99"/>
    <w:rsid w:val="25C145B5"/>
    <w:rsid w:val="25D73313"/>
    <w:rsid w:val="25FF7189"/>
    <w:rsid w:val="260929B3"/>
    <w:rsid w:val="260A5F6D"/>
    <w:rsid w:val="2610789E"/>
    <w:rsid w:val="261B75E1"/>
    <w:rsid w:val="261F3EAB"/>
    <w:rsid w:val="262C079E"/>
    <w:rsid w:val="26313AF4"/>
    <w:rsid w:val="26415CA9"/>
    <w:rsid w:val="26485D2F"/>
    <w:rsid w:val="265453B2"/>
    <w:rsid w:val="26606A77"/>
    <w:rsid w:val="26704B8B"/>
    <w:rsid w:val="2687382E"/>
    <w:rsid w:val="2690510D"/>
    <w:rsid w:val="26995AE5"/>
    <w:rsid w:val="26AA1FFE"/>
    <w:rsid w:val="26B172D2"/>
    <w:rsid w:val="26BA48B0"/>
    <w:rsid w:val="26BB5A5B"/>
    <w:rsid w:val="26C46093"/>
    <w:rsid w:val="26C568DA"/>
    <w:rsid w:val="26D60AE7"/>
    <w:rsid w:val="26E045B3"/>
    <w:rsid w:val="26E72B21"/>
    <w:rsid w:val="26E825C8"/>
    <w:rsid w:val="26E862B1"/>
    <w:rsid w:val="26ED515E"/>
    <w:rsid w:val="26EE087F"/>
    <w:rsid w:val="26FB6EF2"/>
    <w:rsid w:val="26FC55FE"/>
    <w:rsid w:val="27013241"/>
    <w:rsid w:val="272A2BE1"/>
    <w:rsid w:val="27312858"/>
    <w:rsid w:val="274770C2"/>
    <w:rsid w:val="27652527"/>
    <w:rsid w:val="276D4FEC"/>
    <w:rsid w:val="276E51C4"/>
    <w:rsid w:val="27704AC1"/>
    <w:rsid w:val="278155AC"/>
    <w:rsid w:val="278C62CC"/>
    <w:rsid w:val="278D4149"/>
    <w:rsid w:val="27A504B9"/>
    <w:rsid w:val="27AF4C11"/>
    <w:rsid w:val="27B23A64"/>
    <w:rsid w:val="27BC0A02"/>
    <w:rsid w:val="27C442C6"/>
    <w:rsid w:val="27C46B92"/>
    <w:rsid w:val="27CB23C6"/>
    <w:rsid w:val="27CC5A46"/>
    <w:rsid w:val="27CF062F"/>
    <w:rsid w:val="27DA0F4C"/>
    <w:rsid w:val="27EB6034"/>
    <w:rsid w:val="27F154AD"/>
    <w:rsid w:val="2802590C"/>
    <w:rsid w:val="28063E56"/>
    <w:rsid w:val="28076D36"/>
    <w:rsid w:val="281066B4"/>
    <w:rsid w:val="2828486F"/>
    <w:rsid w:val="283261F1"/>
    <w:rsid w:val="284E0B51"/>
    <w:rsid w:val="285D2B42"/>
    <w:rsid w:val="28602EB3"/>
    <w:rsid w:val="28625D8F"/>
    <w:rsid w:val="28660FB3"/>
    <w:rsid w:val="28667C49"/>
    <w:rsid w:val="28754B76"/>
    <w:rsid w:val="28784349"/>
    <w:rsid w:val="287A1F53"/>
    <w:rsid w:val="287F2BE3"/>
    <w:rsid w:val="289B3D96"/>
    <w:rsid w:val="289C366A"/>
    <w:rsid w:val="28A20E81"/>
    <w:rsid w:val="28AF20CA"/>
    <w:rsid w:val="28B05368"/>
    <w:rsid w:val="28BF3EF7"/>
    <w:rsid w:val="28CF7172"/>
    <w:rsid w:val="28E51C10"/>
    <w:rsid w:val="28E750F1"/>
    <w:rsid w:val="28ED1155"/>
    <w:rsid w:val="28F039B6"/>
    <w:rsid w:val="29032F4C"/>
    <w:rsid w:val="2912392D"/>
    <w:rsid w:val="29274C1E"/>
    <w:rsid w:val="292C3CE4"/>
    <w:rsid w:val="294361DC"/>
    <w:rsid w:val="2949099D"/>
    <w:rsid w:val="29606D8E"/>
    <w:rsid w:val="29627374"/>
    <w:rsid w:val="296706F3"/>
    <w:rsid w:val="29736AC1"/>
    <w:rsid w:val="29763EBB"/>
    <w:rsid w:val="29A66C06"/>
    <w:rsid w:val="29B816E7"/>
    <w:rsid w:val="29EF671E"/>
    <w:rsid w:val="29F33140"/>
    <w:rsid w:val="29F41F42"/>
    <w:rsid w:val="29F46943"/>
    <w:rsid w:val="29F5606F"/>
    <w:rsid w:val="2A257690"/>
    <w:rsid w:val="2A585CB7"/>
    <w:rsid w:val="2A6C52BE"/>
    <w:rsid w:val="2A7A430C"/>
    <w:rsid w:val="2AB85E75"/>
    <w:rsid w:val="2ABD67D9"/>
    <w:rsid w:val="2AD62119"/>
    <w:rsid w:val="2AEB283C"/>
    <w:rsid w:val="2AF84813"/>
    <w:rsid w:val="2B10762A"/>
    <w:rsid w:val="2B271255"/>
    <w:rsid w:val="2B28102B"/>
    <w:rsid w:val="2B4104F9"/>
    <w:rsid w:val="2B457FE9"/>
    <w:rsid w:val="2B487ADA"/>
    <w:rsid w:val="2B69794E"/>
    <w:rsid w:val="2B726905"/>
    <w:rsid w:val="2B7964E6"/>
    <w:rsid w:val="2B8649BF"/>
    <w:rsid w:val="2BA47B5D"/>
    <w:rsid w:val="2BC0456F"/>
    <w:rsid w:val="2BCB6ACF"/>
    <w:rsid w:val="2BCF6555"/>
    <w:rsid w:val="2BDC2F6B"/>
    <w:rsid w:val="2BE710A1"/>
    <w:rsid w:val="2BF32712"/>
    <w:rsid w:val="2C0B465F"/>
    <w:rsid w:val="2C385DA0"/>
    <w:rsid w:val="2C557B11"/>
    <w:rsid w:val="2C624BCB"/>
    <w:rsid w:val="2C6C22BF"/>
    <w:rsid w:val="2C6C2B9F"/>
    <w:rsid w:val="2C752B50"/>
    <w:rsid w:val="2CA83A7D"/>
    <w:rsid w:val="2CAA7658"/>
    <w:rsid w:val="2CAF1403"/>
    <w:rsid w:val="2CAF60BD"/>
    <w:rsid w:val="2CB45A75"/>
    <w:rsid w:val="2CB847EB"/>
    <w:rsid w:val="2CD604AC"/>
    <w:rsid w:val="2CE37EF2"/>
    <w:rsid w:val="2CE76375"/>
    <w:rsid w:val="2CF41CC7"/>
    <w:rsid w:val="2CFB74EC"/>
    <w:rsid w:val="2CFD5452"/>
    <w:rsid w:val="2D016192"/>
    <w:rsid w:val="2D053EFC"/>
    <w:rsid w:val="2D1E3CB5"/>
    <w:rsid w:val="2D244788"/>
    <w:rsid w:val="2D3C397B"/>
    <w:rsid w:val="2D4349FC"/>
    <w:rsid w:val="2D5409B8"/>
    <w:rsid w:val="2D590201"/>
    <w:rsid w:val="2D5E1836"/>
    <w:rsid w:val="2D616C31"/>
    <w:rsid w:val="2D6A3C39"/>
    <w:rsid w:val="2D781CDE"/>
    <w:rsid w:val="2D7C1CBC"/>
    <w:rsid w:val="2D84453C"/>
    <w:rsid w:val="2D8C224C"/>
    <w:rsid w:val="2DAD00C8"/>
    <w:rsid w:val="2DBC6D5C"/>
    <w:rsid w:val="2DC20777"/>
    <w:rsid w:val="2DC31699"/>
    <w:rsid w:val="2DC92375"/>
    <w:rsid w:val="2DF126AA"/>
    <w:rsid w:val="2E141EF5"/>
    <w:rsid w:val="2E1662A0"/>
    <w:rsid w:val="2E3A7A60"/>
    <w:rsid w:val="2E425361"/>
    <w:rsid w:val="2E44747C"/>
    <w:rsid w:val="2E4C08C0"/>
    <w:rsid w:val="2E600040"/>
    <w:rsid w:val="2E8375EF"/>
    <w:rsid w:val="2E861045"/>
    <w:rsid w:val="2E964163"/>
    <w:rsid w:val="2EB440BC"/>
    <w:rsid w:val="2EBD258D"/>
    <w:rsid w:val="2ECB30E0"/>
    <w:rsid w:val="2ECE5E9F"/>
    <w:rsid w:val="2ED95618"/>
    <w:rsid w:val="2EFE652E"/>
    <w:rsid w:val="2F265F28"/>
    <w:rsid w:val="2F2909A6"/>
    <w:rsid w:val="2F3B34B0"/>
    <w:rsid w:val="2F4C2F05"/>
    <w:rsid w:val="2F4D5B5E"/>
    <w:rsid w:val="2F520F27"/>
    <w:rsid w:val="2F5B427F"/>
    <w:rsid w:val="2F88563C"/>
    <w:rsid w:val="2F917CA1"/>
    <w:rsid w:val="2F946481"/>
    <w:rsid w:val="2FC516F9"/>
    <w:rsid w:val="2FEE2B53"/>
    <w:rsid w:val="2FF41B68"/>
    <w:rsid w:val="30071D11"/>
    <w:rsid w:val="300F6E18"/>
    <w:rsid w:val="301B1710"/>
    <w:rsid w:val="3020296A"/>
    <w:rsid w:val="304C5976"/>
    <w:rsid w:val="30512FF1"/>
    <w:rsid w:val="306D109F"/>
    <w:rsid w:val="30744E41"/>
    <w:rsid w:val="30B867BA"/>
    <w:rsid w:val="30C329C2"/>
    <w:rsid w:val="30CB5491"/>
    <w:rsid w:val="310C5993"/>
    <w:rsid w:val="311346E6"/>
    <w:rsid w:val="31395673"/>
    <w:rsid w:val="314E1CFD"/>
    <w:rsid w:val="315074E5"/>
    <w:rsid w:val="31576CC8"/>
    <w:rsid w:val="315D72EE"/>
    <w:rsid w:val="316C0C9B"/>
    <w:rsid w:val="31734146"/>
    <w:rsid w:val="31794E91"/>
    <w:rsid w:val="318078C7"/>
    <w:rsid w:val="31B22151"/>
    <w:rsid w:val="31BE2CB6"/>
    <w:rsid w:val="31C972B1"/>
    <w:rsid w:val="31D20EA4"/>
    <w:rsid w:val="31E16592"/>
    <w:rsid w:val="31EC7411"/>
    <w:rsid w:val="31F67B49"/>
    <w:rsid w:val="320B2FAB"/>
    <w:rsid w:val="320C3210"/>
    <w:rsid w:val="32137356"/>
    <w:rsid w:val="32144BB9"/>
    <w:rsid w:val="3223010A"/>
    <w:rsid w:val="324A4B69"/>
    <w:rsid w:val="3260395B"/>
    <w:rsid w:val="329958B8"/>
    <w:rsid w:val="32A777DC"/>
    <w:rsid w:val="32AE5C02"/>
    <w:rsid w:val="32BF2D77"/>
    <w:rsid w:val="32D80290"/>
    <w:rsid w:val="32F04CDF"/>
    <w:rsid w:val="32FA5B5D"/>
    <w:rsid w:val="32FB70D5"/>
    <w:rsid w:val="33102F53"/>
    <w:rsid w:val="33122EA7"/>
    <w:rsid w:val="332E1BA1"/>
    <w:rsid w:val="33374BB8"/>
    <w:rsid w:val="3339603D"/>
    <w:rsid w:val="33543543"/>
    <w:rsid w:val="335A484E"/>
    <w:rsid w:val="3381002D"/>
    <w:rsid w:val="33877538"/>
    <w:rsid w:val="338E07D5"/>
    <w:rsid w:val="339A66C5"/>
    <w:rsid w:val="33AD7074"/>
    <w:rsid w:val="33AE1245"/>
    <w:rsid w:val="33BE7D07"/>
    <w:rsid w:val="33E65C5B"/>
    <w:rsid w:val="33F009D7"/>
    <w:rsid w:val="33F94067"/>
    <w:rsid w:val="34015F0C"/>
    <w:rsid w:val="340669DC"/>
    <w:rsid w:val="342C0D2E"/>
    <w:rsid w:val="342C4010"/>
    <w:rsid w:val="342F1837"/>
    <w:rsid w:val="342F247D"/>
    <w:rsid w:val="34324250"/>
    <w:rsid w:val="343C11F8"/>
    <w:rsid w:val="34526148"/>
    <w:rsid w:val="34736647"/>
    <w:rsid w:val="347771CD"/>
    <w:rsid w:val="34781794"/>
    <w:rsid w:val="3483345D"/>
    <w:rsid w:val="34862AF4"/>
    <w:rsid w:val="34897199"/>
    <w:rsid w:val="349C11A7"/>
    <w:rsid w:val="349F3FED"/>
    <w:rsid w:val="34A31D53"/>
    <w:rsid w:val="34AE6A99"/>
    <w:rsid w:val="34D32B0A"/>
    <w:rsid w:val="34DE1BBE"/>
    <w:rsid w:val="35123632"/>
    <w:rsid w:val="3518051D"/>
    <w:rsid w:val="351852F5"/>
    <w:rsid w:val="3536590E"/>
    <w:rsid w:val="353F1F4D"/>
    <w:rsid w:val="354E5977"/>
    <w:rsid w:val="355D245E"/>
    <w:rsid w:val="356001D3"/>
    <w:rsid w:val="359202CF"/>
    <w:rsid w:val="35AF70D3"/>
    <w:rsid w:val="35BC17F0"/>
    <w:rsid w:val="35C15A0C"/>
    <w:rsid w:val="35C535B1"/>
    <w:rsid w:val="35E07F7D"/>
    <w:rsid w:val="35ED19A9"/>
    <w:rsid w:val="35F5260C"/>
    <w:rsid w:val="35F93768"/>
    <w:rsid w:val="362178A5"/>
    <w:rsid w:val="362178F7"/>
    <w:rsid w:val="362C4D4C"/>
    <w:rsid w:val="36301896"/>
    <w:rsid w:val="36364C68"/>
    <w:rsid w:val="363744DF"/>
    <w:rsid w:val="36581519"/>
    <w:rsid w:val="36634B57"/>
    <w:rsid w:val="36635E01"/>
    <w:rsid w:val="366F23BE"/>
    <w:rsid w:val="367125DA"/>
    <w:rsid w:val="36715364"/>
    <w:rsid w:val="36781CEB"/>
    <w:rsid w:val="36795CA8"/>
    <w:rsid w:val="36877708"/>
    <w:rsid w:val="36AA5AEC"/>
    <w:rsid w:val="36BB0089"/>
    <w:rsid w:val="36BD5820"/>
    <w:rsid w:val="36D30B9F"/>
    <w:rsid w:val="36E63FE1"/>
    <w:rsid w:val="36E8434B"/>
    <w:rsid w:val="36EF1119"/>
    <w:rsid w:val="37184804"/>
    <w:rsid w:val="372D5484"/>
    <w:rsid w:val="373553B6"/>
    <w:rsid w:val="373F6235"/>
    <w:rsid w:val="374101FF"/>
    <w:rsid w:val="3758350E"/>
    <w:rsid w:val="375D2B5F"/>
    <w:rsid w:val="376932B2"/>
    <w:rsid w:val="377754A4"/>
    <w:rsid w:val="37890AF9"/>
    <w:rsid w:val="379F65EE"/>
    <w:rsid w:val="37A6612A"/>
    <w:rsid w:val="37A913F7"/>
    <w:rsid w:val="37B81B43"/>
    <w:rsid w:val="37E7217D"/>
    <w:rsid w:val="37ED5C91"/>
    <w:rsid w:val="37F7222B"/>
    <w:rsid w:val="380450FE"/>
    <w:rsid w:val="38140C59"/>
    <w:rsid w:val="382471D8"/>
    <w:rsid w:val="382947EF"/>
    <w:rsid w:val="382B67B9"/>
    <w:rsid w:val="38416BE3"/>
    <w:rsid w:val="3845787B"/>
    <w:rsid w:val="38482EC7"/>
    <w:rsid w:val="384B61B1"/>
    <w:rsid w:val="384C6E5B"/>
    <w:rsid w:val="38554319"/>
    <w:rsid w:val="38563836"/>
    <w:rsid w:val="385E26EA"/>
    <w:rsid w:val="38610896"/>
    <w:rsid w:val="38683569"/>
    <w:rsid w:val="387D60FC"/>
    <w:rsid w:val="38A8605B"/>
    <w:rsid w:val="38C22C79"/>
    <w:rsid w:val="38E70460"/>
    <w:rsid w:val="38F1355F"/>
    <w:rsid w:val="38FD1F03"/>
    <w:rsid w:val="390037A2"/>
    <w:rsid w:val="39066931"/>
    <w:rsid w:val="390E61D2"/>
    <w:rsid w:val="39137979"/>
    <w:rsid w:val="39323950"/>
    <w:rsid w:val="3934169D"/>
    <w:rsid w:val="39425FBE"/>
    <w:rsid w:val="3969448D"/>
    <w:rsid w:val="397321C6"/>
    <w:rsid w:val="397A06E1"/>
    <w:rsid w:val="397B6AEA"/>
    <w:rsid w:val="397C1B66"/>
    <w:rsid w:val="398048E2"/>
    <w:rsid w:val="398E6FFF"/>
    <w:rsid w:val="39933764"/>
    <w:rsid w:val="39A14F85"/>
    <w:rsid w:val="39A53341"/>
    <w:rsid w:val="39A82BF6"/>
    <w:rsid w:val="39C46EC5"/>
    <w:rsid w:val="39F96B6F"/>
    <w:rsid w:val="3A0555EE"/>
    <w:rsid w:val="3A155888"/>
    <w:rsid w:val="3A267D42"/>
    <w:rsid w:val="3A321ED4"/>
    <w:rsid w:val="3A325B91"/>
    <w:rsid w:val="3A4678DA"/>
    <w:rsid w:val="3A494538"/>
    <w:rsid w:val="3A4D6EBA"/>
    <w:rsid w:val="3A4F0B96"/>
    <w:rsid w:val="3A6B5AAA"/>
    <w:rsid w:val="3A850402"/>
    <w:rsid w:val="3AD509CD"/>
    <w:rsid w:val="3B070E17"/>
    <w:rsid w:val="3B2E0A9A"/>
    <w:rsid w:val="3B304812"/>
    <w:rsid w:val="3B3616FD"/>
    <w:rsid w:val="3B3C354E"/>
    <w:rsid w:val="3B4633AC"/>
    <w:rsid w:val="3B4B7A7E"/>
    <w:rsid w:val="3B4C2CCE"/>
    <w:rsid w:val="3B4D4238"/>
    <w:rsid w:val="3B5D4EDB"/>
    <w:rsid w:val="3B6C55F5"/>
    <w:rsid w:val="3B733902"/>
    <w:rsid w:val="3B7C6A7A"/>
    <w:rsid w:val="3B81141C"/>
    <w:rsid w:val="3B8E0D94"/>
    <w:rsid w:val="3BBB5D9F"/>
    <w:rsid w:val="3BC22C77"/>
    <w:rsid w:val="3BC9468F"/>
    <w:rsid w:val="3BCE402B"/>
    <w:rsid w:val="3BCE5DD9"/>
    <w:rsid w:val="3BDA477E"/>
    <w:rsid w:val="3BDF78D2"/>
    <w:rsid w:val="3BFA4E20"/>
    <w:rsid w:val="3C0E2679"/>
    <w:rsid w:val="3C1C08F2"/>
    <w:rsid w:val="3C1F4887"/>
    <w:rsid w:val="3C221C81"/>
    <w:rsid w:val="3C333E8E"/>
    <w:rsid w:val="3C5A6F24"/>
    <w:rsid w:val="3C5B314C"/>
    <w:rsid w:val="3C636D8F"/>
    <w:rsid w:val="3C7921E9"/>
    <w:rsid w:val="3C793F97"/>
    <w:rsid w:val="3C867B3B"/>
    <w:rsid w:val="3C90587B"/>
    <w:rsid w:val="3C9A5CBB"/>
    <w:rsid w:val="3CB925E5"/>
    <w:rsid w:val="3CC1149A"/>
    <w:rsid w:val="3CC5203B"/>
    <w:rsid w:val="3CCF3BB7"/>
    <w:rsid w:val="3CE138EA"/>
    <w:rsid w:val="3CE21B3C"/>
    <w:rsid w:val="3CEC4464"/>
    <w:rsid w:val="3D037D04"/>
    <w:rsid w:val="3D306860"/>
    <w:rsid w:val="3D430101"/>
    <w:rsid w:val="3D4520CB"/>
    <w:rsid w:val="3D4559C1"/>
    <w:rsid w:val="3D483B09"/>
    <w:rsid w:val="3D4E0F7F"/>
    <w:rsid w:val="3D5B18EE"/>
    <w:rsid w:val="3D5E4F3B"/>
    <w:rsid w:val="3D6764E5"/>
    <w:rsid w:val="3D6C1162"/>
    <w:rsid w:val="3D6D1752"/>
    <w:rsid w:val="3D9710B7"/>
    <w:rsid w:val="3D9D3FA8"/>
    <w:rsid w:val="3DAC5B3A"/>
    <w:rsid w:val="3DB40030"/>
    <w:rsid w:val="3DBC20F1"/>
    <w:rsid w:val="3DBF00CF"/>
    <w:rsid w:val="3DD22E3D"/>
    <w:rsid w:val="3DDC2A2F"/>
    <w:rsid w:val="3DF525DA"/>
    <w:rsid w:val="3E09134A"/>
    <w:rsid w:val="3E0B3E43"/>
    <w:rsid w:val="3E0E1AF6"/>
    <w:rsid w:val="3E1520AD"/>
    <w:rsid w:val="3E17498C"/>
    <w:rsid w:val="3E207824"/>
    <w:rsid w:val="3E3A0EB7"/>
    <w:rsid w:val="3E3A3FCF"/>
    <w:rsid w:val="3E491747"/>
    <w:rsid w:val="3E740EBA"/>
    <w:rsid w:val="3E874CCC"/>
    <w:rsid w:val="3E9A1FA2"/>
    <w:rsid w:val="3E9C3F6D"/>
    <w:rsid w:val="3E9C5D1B"/>
    <w:rsid w:val="3EAD7F28"/>
    <w:rsid w:val="3EAF3474"/>
    <w:rsid w:val="3EC85768"/>
    <w:rsid w:val="3ED73F1C"/>
    <w:rsid w:val="3F211E74"/>
    <w:rsid w:val="3F277CDA"/>
    <w:rsid w:val="3F3146B5"/>
    <w:rsid w:val="3F3C3E6D"/>
    <w:rsid w:val="3F3D5750"/>
    <w:rsid w:val="3F4610BE"/>
    <w:rsid w:val="3F47212A"/>
    <w:rsid w:val="3F4F44E0"/>
    <w:rsid w:val="3F5B7984"/>
    <w:rsid w:val="3F60143E"/>
    <w:rsid w:val="3F607C2D"/>
    <w:rsid w:val="3F65252E"/>
    <w:rsid w:val="3F6A406B"/>
    <w:rsid w:val="3F6A7BC7"/>
    <w:rsid w:val="3F704C39"/>
    <w:rsid w:val="3F746C6A"/>
    <w:rsid w:val="3FA806EF"/>
    <w:rsid w:val="3FAA4467"/>
    <w:rsid w:val="3FBE0FEC"/>
    <w:rsid w:val="3FCF2120"/>
    <w:rsid w:val="3FD45030"/>
    <w:rsid w:val="3FD539B2"/>
    <w:rsid w:val="3FE503CB"/>
    <w:rsid w:val="3FE671F1"/>
    <w:rsid w:val="3FFA0F4B"/>
    <w:rsid w:val="3FFA44EC"/>
    <w:rsid w:val="4000052B"/>
    <w:rsid w:val="40063D93"/>
    <w:rsid w:val="400861F5"/>
    <w:rsid w:val="4013136C"/>
    <w:rsid w:val="40156630"/>
    <w:rsid w:val="40215C71"/>
    <w:rsid w:val="402E6E46"/>
    <w:rsid w:val="40610FCA"/>
    <w:rsid w:val="407E7DCE"/>
    <w:rsid w:val="408811D7"/>
    <w:rsid w:val="408A05A3"/>
    <w:rsid w:val="4098300C"/>
    <w:rsid w:val="409C46F8"/>
    <w:rsid w:val="40A610D2"/>
    <w:rsid w:val="40C61775"/>
    <w:rsid w:val="40C854ED"/>
    <w:rsid w:val="40EF4827"/>
    <w:rsid w:val="40EF751F"/>
    <w:rsid w:val="410021E2"/>
    <w:rsid w:val="410C3087"/>
    <w:rsid w:val="4114036C"/>
    <w:rsid w:val="411E006C"/>
    <w:rsid w:val="41243B09"/>
    <w:rsid w:val="41347332"/>
    <w:rsid w:val="414601C0"/>
    <w:rsid w:val="41477101"/>
    <w:rsid w:val="414A322A"/>
    <w:rsid w:val="414A7CB0"/>
    <w:rsid w:val="4161752A"/>
    <w:rsid w:val="41662610"/>
    <w:rsid w:val="416C2C59"/>
    <w:rsid w:val="41720FB5"/>
    <w:rsid w:val="418B04C1"/>
    <w:rsid w:val="41942904"/>
    <w:rsid w:val="419A2BF8"/>
    <w:rsid w:val="419C4514"/>
    <w:rsid w:val="41A1011B"/>
    <w:rsid w:val="41DE7F47"/>
    <w:rsid w:val="41E372B8"/>
    <w:rsid w:val="41ED7E39"/>
    <w:rsid w:val="41F83BB0"/>
    <w:rsid w:val="41F8770C"/>
    <w:rsid w:val="41FB12D8"/>
    <w:rsid w:val="41FE6A81"/>
    <w:rsid w:val="42075459"/>
    <w:rsid w:val="420C31B7"/>
    <w:rsid w:val="421D3616"/>
    <w:rsid w:val="422624CB"/>
    <w:rsid w:val="422743AE"/>
    <w:rsid w:val="422D022E"/>
    <w:rsid w:val="42425045"/>
    <w:rsid w:val="424C5CAA"/>
    <w:rsid w:val="425F3C2F"/>
    <w:rsid w:val="425F59DD"/>
    <w:rsid w:val="4264687D"/>
    <w:rsid w:val="426C60B9"/>
    <w:rsid w:val="427E2307"/>
    <w:rsid w:val="428B6BDF"/>
    <w:rsid w:val="42A4516C"/>
    <w:rsid w:val="42A5259A"/>
    <w:rsid w:val="42A861D3"/>
    <w:rsid w:val="42C05307"/>
    <w:rsid w:val="42C720DF"/>
    <w:rsid w:val="42D04AB8"/>
    <w:rsid w:val="42D261AF"/>
    <w:rsid w:val="42D5200E"/>
    <w:rsid w:val="42D812EB"/>
    <w:rsid w:val="42F22F50"/>
    <w:rsid w:val="430420E0"/>
    <w:rsid w:val="43065E58"/>
    <w:rsid w:val="430F11B1"/>
    <w:rsid w:val="43291B47"/>
    <w:rsid w:val="432E715D"/>
    <w:rsid w:val="433429C6"/>
    <w:rsid w:val="43683714"/>
    <w:rsid w:val="4396542E"/>
    <w:rsid w:val="439E2AE2"/>
    <w:rsid w:val="43A15B81"/>
    <w:rsid w:val="43A871C2"/>
    <w:rsid w:val="43AC0629"/>
    <w:rsid w:val="43B239D2"/>
    <w:rsid w:val="43B4507A"/>
    <w:rsid w:val="43D978CE"/>
    <w:rsid w:val="43F839F3"/>
    <w:rsid w:val="440D7B75"/>
    <w:rsid w:val="440E76BA"/>
    <w:rsid w:val="4413082D"/>
    <w:rsid w:val="441C7125"/>
    <w:rsid w:val="44380293"/>
    <w:rsid w:val="444149DF"/>
    <w:rsid w:val="445E7C78"/>
    <w:rsid w:val="4465305A"/>
    <w:rsid w:val="446612A5"/>
    <w:rsid w:val="44670B79"/>
    <w:rsid w:val="44691E86"/>
    <w:rsid w:val="446C7FE4"/>
    <w:rsid w:val="447119F7"/>
    <w:rsid w:val="44937BC0"/>
    <w:rsid w:val="44977E2D"/>
    <w:rsid w:val="44A41DCD"/>
    <w:rsid w:val="44B86B24"/>
    <w:rsid w:val="44B9606B"/>
    <w:rsid w:val="44D57CC4"/>
    <w:rsid w:val="44ED6205"/>
    <w:rsid w:val="44F20D8A"/>
    <w:rsid w:val="44FB070D"/>
    <w:rsid w:val="451C4409"/>
    <w:rsid w:val="4530328D"/>
    <w:rsid w:val="45464C32"/>
    <w:rsid w:val="454669E0"/>
    <w:rsid w:val="454815A3"/>
    <w:rsid w:val="454A665C"/>
    <w:rsid w:val="456259CC"/>
    <w:rsid w:val="45772EF1"/>
    <w:rsid w:val="45857508"/>
    <w:rsid w:val="459C04E5"/>
    <w:rsid w:val="459D60E3"/>
    <w:rsid w:val="459E05CA"/>
    <w:rsid w:val="45A876E4"/>
    <w:rsid w:val="45AD42C6"/>
    <w:rsid w:val="45AF67B8"/>
    <w:rsid w:val="45EC76ED"/>
    <w:rsid w:val="45FA0F01"/>
    <w:rsid w:val="46081EE8"/>
    <w:rsid w:val="460D6F9A"/>
    <w:rsid w:val="46192347"/>
    <w:rsid w:val="466459CD"/>
    <w:rsid w:val="466E4DF7"/>
    <w:rsid w:val="46703836"/>
    <w:rsid w:val="469F45FA"/>
    <w:rsid w:val="46AB11F1"/>
    <w:rsid w:val="46B24D85"/>
    <w:rsid w:val="46B6078E"/>
    <w:rsid w:val="46C93D6D"/>
    <w:rsid w:val="46DC584E"/>
    <w:rsid w:val="47084895"/>
    <w:rsid w:val="4710374A"/>
    <w:rsid w:val="471843AC"/>
    <w:rsid w:val="472471F5"/>
    <w:rsid w:val="47285DD8"/>
    <w:rsid w:val="473221DF"/>
    <w:rsid w:val="473B2738"/>
    <w:rsid w:val="47581BF1"/>
    <w:rsid w:val="476369EC"/>
    <w:rsid w:val="476906B6"/>
    <w:rsid w:val="476A6902"/>
    <w:rsid w:val="476B0980"/>
    <w:rsid w:val="477D1C51"/>
    <w:rsid w:val="477E41B5"/>
    <w:rsid w:val="47A35D70"/>
    <w:rsid w:val="47CC0730"/>
    <w:rsid w:val="47CC5860"/>
    <w:rsid w:val="47D90C4C"/>
    <w:rsid w:val="47FE19E9"/>
    <w:rsid w:val="480D371A"/>
    <w:rsid w:val="482A0C12"/>
    <w:rsid w:val="484F02A2"/>
    <w:rsid w:val="485305BA"/>
    <w:rsid w:val="48566B3C"/>
    <w:rsid w:val="486B10D3"/>
    <w:rsid w:val="48724733"/>
    <w:rsid w:val="487815A6"/>
    <w:rsid w:val="48837E0F"/>
    <w:rsid w:val="48990DFB"/>
    <w:rsid w:val="489B34E7"/>
    <w:rsid w:val="48A8274C"/>
    <w:rsid w:val="48A95D4A"/>
    <w:rsid w:val="48AE6D76"/>
    <w:rsid w:val="48B30830"/>
    <w:rsid w:val="48B40105"/>
    <w:rsid w:val="48B60321"/>
    <w:rsid w:val="48BC5937"/>
    <w:rsid w:val="48C20F3A"/>
    <w:rsid w:val="48C21418"/>
    <w:rsid w:val="48C878C6"/>
    <w:rsid w:val="48D56A43"/>
    <w:rsid w:val="48DF1625"/>
    <w:rsid w:val="48F03833"/>
    <w:rsid w:val="48F041E9"/>
    <w:rsid w:val="490C1A1C"/>
    <w:rsid w:val="49247038"/>
    <w:rsid w:val="49337F02"/>
    <w:rsid w:val="494B2EB6"/>
    <w:rsid w:val="494D45E3"/>
    <w:rsid w:val="49520049"/>
    <w:rsid w:val="496B110B"/>
    <w:rsid w:val="496E6505"/>
    <w:rsid w:val="497B390C"/>
    <w:rsid w:val="49847CCC"/>
    <w:rsid w:val="49BE3602"/>
    <w:rsid w:val="49C425C9"/>
    <w:rsid w:val="49C965F9"/>
    <w:rsid w:val="49CA5E32"/>
    <w:rsid w:val="49DC6810"/>
    <w:rsid w:val="49E05655"/>
    <w:rsid w:val="49FB44D0"/>
    <w:rsid w:val="49FF5945"/>
    <w:rsid w:val="4A04718B"/>
    <w:rsid w:val="4A064990"/>
    <w:rsid w:val="4A07483C"/>
    <w:rsid w:val="4A0C5883"/>
    <w:rsid w:val="4A0F7FB9"/>
    <w:rsid w:val="4A121587"/>
    <w:rsid w:val="4A3C6604"/>
    <w:rsid w:val="4A547140"/>
    <w:rsid w:val="4A653DAC"/>
    <w:rsid w:val="4A6A0783"/>
    <w:rsid w:val="4A76654C"/>
    <w:rsid w:val="4A79255F"/>
    <w:rsid w:val="4A8C4817"/>
    <w:rsid w:val="4A9553AE"/>
    <w:rsid w:val="4AA06B93"/>
    <w:rsid w:val="4AB27BFF"/>
    <w:rsid w:val="4AB663B6"/>
    <w:rsid w:val="4ACC5DF4"/>
    <w:rsid w:val="4ACF0F07"/>
    <w:rsid w:val="4ACF1226"/>
    <w:rsid w:val="4AE15225"/>
    <w:rsid w:val="4AEA6060"/>
    <w:rsid w:val="4B217CD3"/>
    <w:rsid w:val="4B24718F"/>
    <w:rsid w:val="4B272E10"/>
    <w:rsid w:val="4B3774F7"/>
    <w:rsid w:val="4B4439C2"/>
    <w:rsid w:val="4B4B4D50"/>
    <w:rsid w:val="4B866174"/>
    <w:rsid w:val="4B902123"/>
    <w:rsid w:val="4B9761E7"/>
    <w:rsid w:val="4BCA2CDE"/>
    <w:rsid w:val="4BCB7C3F"/>
    <w:rsid w:val="4BD05255"/>
    <w:rsid w:val="4BD43950"/>
    <w:rsid w:val="4BD72A88"/>
    <w:rsid w:val="4BDE5BC4"/>
    <w:rsid w:val="4BE1565C"/>
    <w:rsid w:val="4BE96317"/>
    <w:rsid w:val="4BEF0DEE"/>
    <w:rsid w:val="4BFF3F2B"/>
    <w:rsid w:val="4C070423"/>
    <w:rsid w:val="4C0A4C0B"/>
    <w:rsid w:val="4C131541"/>
    <w:rsid w:val="4C1F6AE6"/>
    <w:rsid w:val="4C207F8B"/>
    <w:rsid w:val="4C2757BD"/>
    <w:rsid w:val="4C435AFD"/>
    <w:rsid w:val="4C545E87"/>
    <w:rsid w:val="4C59524B"/>
    <w:rsid w:val="4C6E6398"/>
    <w:rsid w:val="4C72455F"/>
    <w:rsid w:val="4C7E1155"/>
    <w:rsid w:val="4C956E13"/>
    <w:rsid w:val="4CAE2BAE"/>
    <w:rsid w:val="4CB708CE"/>
    <w:rsid w:val="4CC90623"/>
    <w:rsid w:val="4CD53203"/>
    <w:rsid w:val="4D091FB7"/>
    <w:rsid w:val="4D0C592D"/>
    <w:rsid w:val="4D205E29"/>
    <w:rsid w:val="4D2C5FA1"/>
    <w:rsid w:val="4D315D2A"/>
    <w:rsid w:val="4D354E86"/>
    <w:rsid w:val="4D357A66"/>
    <w:rsid w:val="4D387BB3"/>
    <w:rsid w:val="4D4C6CD1"/>
    <w:rsid w:val="4D597AF4"/>
    <w:rsid w:val="4D6A16B5"/>
    <w:rsid w:val="4D726D42"/>
    <w:rsid w:val="4D7C5C2E"/>
    <w:rsid w:val="4D812CAB"/>
    <w:rsid w:val="4D8207D1"/>
    <w:rsid w:val="4D952914"/>
    <w:rsid w:val="4DBD5328"/>
    <w:rsid w:val="4DDE1EAC"/>
    <w:rsid w:val="4DF72F6D"/>
    <w:rsid w:val="4E046D68"/>
    <w:rsid w:val="4E094A4F"/>
    <w:rsid w:val="4E2F2707"/>
    <w:rsid w:val="4E3E294A"/>
    <w:rsid w:val="4E573A0C"/>
    <w:rsid w:val="4E5C2691"/>
    <w:rsid w:val="4E600B13"/>
    <w:rsid w:val="4E6112A5"/>
    <w:rsid w:val="4E6210E9"/>
    <w:rsid w:val="4E6527C0"/>
    <w:rsid w:val="4E7B76FB"/>
    <w:rsid w:val="4E8A2033"/>
    <w:rsid w:val="4E8B168F"/>
    <w:rsid w:val="4EB3158A"/>
    <w:rsid w:val="4EB326F5"/>
    <w:rsid w:val="4EC07803"/>
    <w:rsid w:val="4EC8768D"/>
    <w:rsid w:val="4EF470EB"/>
    <w:rsid w:val="4EF571EF"/>
    <w:rsid w:val="4F01685E"/>
    <w:rsid w:val="4F2725E1"/>
    <w:rsid w:val="4F310701"/>
    <w:rsid w:val="4F4519D9"/>
    <w:rsid w:val="4F496A56"/>
    <w:rsid w:val="4F4C42AB"/>
    <w:rsid w:val="4F507643"/>
    <w:rsid w:val="4F5368C9"/>
    <w:rsid w:val="4F576890"/>
    <w:rsid w:val="4F6939F7"/>
    <w:rsid w:val="4F733A67"/>
    <w:rsid w:val="4F75317F"/>
    <w:rsid w:val="4F766114"/>
    <w:rsid w:val="4F990210"/>
    <w:rsid w:val="4F9B5B7A"/>
    <w:rsid w:val="4FB37368"/>
    <w:rsid w:val="4FB46E67"/>
    <w:rsid w:val="4FDC066D"/>
    <w:rsid w:val="4FED4628"/>
    <w:rsid w:val="4FF97471"/>
    <w:rsid w:val="50132272"/>
    <w:rsid w:val="5015013B"/>
    <w:rsid w:val="50295A3E"/>
    <w:rsid w:val="502A5499"/>
    <w:rsid w:val="502F2D51"/>
    <w:rsid w:val="503B6722"/>
    <w:rsid w:val="503F0BFC"/>
    <w:rsid w:val="504773E6"/>
    <w:rsid w:val="504C478E"/>
    <w:rsid w:val="506720D3"/>
    <w:rsid w:val="50700EA7"/>
    <w:rsid w:val="508F3931"/>
    <w:rsid w:val="50A633EA"/>
    <w:rsid w:val="50B769E4"/>
    <w:rsid w:val="50C5097A"/>
    <w:rsid w:val="50C57353"/>
    <w:rsid w:val="50C730CB"/>
    <w:rsid w:val="50D221CA"/>
    <w:rsid w:val="512D4769"/>
    <w:rsid w:val="515240B8"/>
    <w:rsid w:val="51564303"/>
    <w:rsid w:val="51583D23"/>
    <w:rsid w:val="51786173"/>
    <w:rsid w:val="51826FF2"/>
    <w:rsid w:val="51A73A24"/>
    <w:rsid w:val="51BF3DA2"/>
    <w:rsid w:val="51C73C30"/>
    <w:rsid w:val="51CB0999"/>
    <w:rsid w:val="51DD691E"/>
    <w:rsid w:val="51E952C3"/>
    <w:rsid w:val="51EC53F1"/>
    <w:rsid w:val="51F00DC5"/>
    <w:rsid w:val="51F12CE2"/>
    <w:rsid w:val="51F37876"/>
    <w:rsid w:val="51F474C4"/>
    <w:rsid w:val="51F73034"/>
    <w:rsid w:val="51FA6EC8"/>
    <w:rsid w:val="51FE4789"/>
    <w:rsid w:val="52077265"/>
    <w:rsid w:val="520A2CFD"/>
    <w:rsid w:val="521560B8"/>
    <w:rsid w:val="52171FA1"/>
    <w:rsid w:val="5217598C"/>
    <w:rsid w:val="521D4F6D"/>
    <w:rsid w:val="521E5903"/>
    <w:rsid w:val="522307D5"/>
    <w:rsid w:val="5269686F"/>
    <w:rsid w:val="526B5CD8"/>
    <w:rsid w:val="528B50DF"/>
    <w:rsid w:val="529B0F53"/>
    <w:rsid w:val="529C2335"/>
    <w:rsid w:val="52AB2578"/>
    <w:rsid w:val="52AD38A6"/>
    <w:rsid w:val="52DA0607"/>
    <w:rsid w:val="52E10134"/>
    <w:rsid w:val="53025ED5"/>
    <w:rsid w:val="5307508F"/>
    <w:rsid w:val="530F2B07"/>
    <w:rsid w:val="531E35A7"/>
    <w:rsid w:val="532C004B"/>
    <w:rsid w:val="5338393E"/>
    <w:rsid w:val="5349426B"/>
    <w:rsid w:val="53542C10"/>
    <w:rsid w:val="535748FD"/>
    <w:rsid w:val="53591FD4"/>
    <w:rsid w:val="53652828"/>
    <w:rsid w:val="536C0334"/>
    <w:rsid w:val="53982B74"/>
    <w:rsid w:val="539A15FA"/>
    <w:rsid w:val="53A40329"/>
    <w:rsid w:val="53A5346C"/>
    <w:rsid w:val="53B536AF"/>
    <w:rsid w:val="53C733E2"/>
    <w:rsid w:val="540C08C7"/>
    <w:rsid w:val="540E1011"/>
    <w:rsid w:val="543547EF"/>
    <w:rsid w:val="54372316"/>
    <w:rsid w:val="544E58B1"/>
    <w:rsid w:val="544F3A0B"/>
    <w:rsid w:val="54635305"/>
    <w:rsid w:val="549A28A4"/>
    <w:rsid w:val="54A66FA6"/>
    <w:rsid w:val="54B27BEE"/>
    <w:rsid w:val="54B864B8"/>
    <w:rsid w:val="54C17E31"/>
    <w:rsid w:val="54C811C0"/>
    <w:rsid w:val="54CB3991"/>
    <w:rsid w:val="54CD67D6"/>
    <w:rsid w:val="55057081"/>
    <w:rsid w:val="553C5568"/>
    <w:rsid w:val="5543118E"/>
    <w:rsid w:val="554D0547"/>
    <w:rsid w:val="55704D58"/>
    <w:rsid w:val="557D644E"/>
    <w:rsid w:val="55935C72"/>
    <w:rsid w:val="559512C4"/>
    <w:rsid w:val="55991424"/>
    <w:rsid w:val="559D43FA"/>
    <w:rsid w:val="55B91555"/>
    <w:rsid w:val="55BA3A99"/>
    <w:rsid w:val="55BF3D0B"/>
    <w:rsid w:val="55C7060C"/>
    <w:rsid w:val="55DA6611"/>
    <w:rsid w:val="55E0078B"/>
    <w:rsid w:val="55F06C20"/>
    <w:rsid w:val="56073F6A"/>
    <w:rsid w:val="56155928"/>
    <w:rsid w:val="563F6A28"/>
    <w:rsid w:val="56554CD5"/>
    <w:rsid w:val="56573C63"/>
    <w:rsid w:val="56582A17"/>
    <w:rsid w:val="567621FD"/>
    <w:rsid w:val="567A0BDF"/>
    <w:rsid w:val="568146C7"/>
    <w:rsid w:val="56921561"/>
    <w:rsid w:val="569A316E"/>
    <w:rsid w:val="56A1565A"/>
    <w:rsid w:val="56D45D22"/>
    <w:rsid w:val="56E16569"/>
    <w:rsid w:val="56FC15F5"/>
    <w:rsid w:val="56FE00DA"/>
    <w:rsid w:val="570D6A02"/>
    <w:rsid w:val="570F1328"/>
    <w:rsid w:val="571269D8"/>
    <w:rsid w:val="571A5521"/>
    <w:rsid w:val="57203535"/>
    <w:rsid w:val="57236BE2"/>
    <w:rsid w:val="5798770D"/>
    <w:rsid w:val="579F0027"/>
    <w:rsid w:val="57AC1E76"/>
    <w:rsid w:val="57AD28EF"/>
    <w:rsid w:val="57AF6667"/>
    <w:rsid w:val="57B63E99"/>
    <w:rsid w:val="57B707E3"/>
    <w:rsid w:val="57BE4AFC"/>
    <w:rsid w:val="57C74812"/>
    <w:rsid w:val="57CA4887"/>
    <w:rsid w:val="57D63BF4"/>
    <w:rsid w:val="57DC1393"/>
    <w:rsid w:val="581A1DAC"/>
    <w:rsid w:val="581A61D6"/>
    <w:rsid w:val="58201313"/>
    <w:rsid w:val="582705E1"/>
    <w:rsid w:val="58407993"/>
    <w:rsid w:val="585A16BE"/>
    <w:rsid w:val="586A79B6"/>
    <w:rsid w:val="587E4E77"/>
    <w:rsid w:val="587E744F"/>
    <w:rsid w:val="589C31F5"/>
    <w:rsid w:val="589C57D4"/>
    <w:rsid w:val="58C94773"/>
    <w:rsid w:val="58E33C91"/>
    <w:rsid w:val="58E467E4"/>
    <w:rsid w:val="58F3268F"/>
    <w:rsid w:val="58FE78A6"/>
    <w:rsid w:val="590E65D6"/>
    <w:rsid w:val="59266203"/>
    <w:rsid w:val="592B2432"/>
    <w:rsid w:val="59363AFB"/>
    <w:rsid w:val="59441031"/>
    <w:rsid w:val="59464DA9"/>
    <w:rsid w:val="596F5451"/>
    <w:rsid w:val="597B36F4"/>
    <w:rsid w:val="59800421"/>
    <w:rsid w:val="5980475F"/>
    <w:rsid w:val="5982267D"/>
    <w:rsid w:val="598B3453"/>
    <w:rsid w:val="59A10231"/>
    <w:rsid w:val="59C06909"/>
    <w:rsid w:val="59D14837"/>
    <w:rsid w:val="59E74DD0"/>
    <w:rsid w:val="59E9507B"/>
    <w:rsid w:val="59EA7C93"/>
    <w:rsid w:val="59EC3CB6"/>
    <w:rsid w:val="59EF08D4"/>
    <w:rsid w:val="5A0A04CC"/>
    <w:rsid w:val="5A105358"/>
    <w:rsid w:val="5A1D3D5C"/>
    <w:rsid w:val="5A44753A"/>
    <w:rsid w:val="5A4A559B"/>
    <w:rsid w:val="5A652317"/>
    <w:rsid w:val="5A6776CD"/>
    <w:rsid w:val="5A6928A6"/>
    <w:rsid w:val="5A6B2D19"/>
    <w:rsid w:val="5AA35C89"/>
    <w:rsid w:val="5AAA12E8"/>
    <w:rsid w:val="5AB3646E"/>
    <w:rsid w:val="5AD07020"/>
    <w:rsid w:val="5AD563E4"/>
    <w:rsid w:val="5AD85A9C"/>
    <w:rsid w:val="5ADD563A"/>
    <w:rsid w:val="5B032BCF"/>
    <w:rsid w:val="5B0373F5"/>
    <w:rsid w:val="5B133913"/>
    <w:rsid w:val="5B13515F"/>
    <w:rsid w:val="5B233B87"/>
    <w:rsid w:val="5B234DD2"/>
    <w:rsid w:val="5B323837"/>
    <w:rsid w:val="5B386973"/>
    <w:rsid w:val="5B423ECD"/>
    <w:rsid w:val="5B4325A2"/>
    <w:rsid w:val="5B5163B3"/>
    <w:rsid w:val="5B5F7DE8"/>
    <w:rsid w:val="5B615207"/>
    <w:rsid w:val="5B71236C"/>
    <w:rsid w:val="5B773003"/>
    <w:rsid w:val="5B991B08"/>
    <w:rsid w:val="5B992A58"/>
    <w:rsid w:val="5B9E66AD"/>
    <w:rsid w:val="5BAD7361"/>
    <w:rsid w:val="5BBB7CD0"/>
    <w:rsid w:val="5BBE156E"/>
    <w:rsid w:val="5BD13050"/>
    <w:rsid w:val="5BD20B76"/>
    <w:rsid w:val="5BE53E0B"/>
    <w:rsid w:val="5C081402"/>
    <w:rsid w:val="5C130D0F"/>
    <w:rsid w:val="5C303B95"/>
    <w:rsid w:val="5C473312"/>
    <w:rsid w:val="5C653798"/>
    <w:rsid w:val="5C7D31D8"/>
    <w:rsid w:val="5CA9384A"/>
    <w:rsid w:val="5CAC586B"/>
    <w:rsid w:val="5CBB16A8"/>
    <w:rsid w:val="5CD858CA"/>
    <w:rsid w:val="5CDD55F3"/>
    <w:rsid w:val="5CEB0141"/>
    <w:rsid w:val="5D00705A"/>
    <w:rsid w:val="5D134D9C"/>
    <w:rsid w:val="5D2B327B"/>
    <w:rsid w:val="5D2B6790"/>
    <w:rsid w:val="5D2D20DB"/>
    <w:rsid w:val="5D2D2508"/>
    <w:rsid w:val="5D3E2967"/>
    <w:rsid w:val="5D4B5084"/>
    <w:rsid w:val="5D5E0913"/>
    <w:rsid w:val="5D5F468B"/>
    <w:rsid w:val="5D69550A"/>
    <w:rsid w:val="5D6B3030"/>
    <w:rsid w:val="5D6F2B20"/>
    <w:rsid w:val="5D716DC3"/>
    <w:rsid w:val="5D7C241A"/>
    <w:rsid w:val="5D7F2BFF"/>
    <w:rsid w:val="5D7F6ADB"/>
    <w:rsid w:val="5D8F7B2F"/>
    <w:rsid w:val="5D9C7014"/>
    <w:rsid w:val="5DA45FA8"/>
    <w:rsid w:val="5DAE65A1"/>
    <w:rsid w:val="5DB04EE7"/>
    <w:rsid w:val="5DB06C95"/>
    <w:rsid w:val="5DB27194"/>
    <w:rsid w:val="5DC474E3"/>
    <w:rsid w:val="5DCA2356"/>
    <w:rsid w:val="5DCA41FA"/>
    <w:rsid w:val="5DCF7A63"/>
    <w:rsid w:val="5DD15589"/>
    <w:rsid w:val="5DD230AF"/>
    <w:rsid w:val="5DD5494D"/>
    <w:rsid w:val="5DDC3F2E"/>
    <w:rsid w:val="5DF94AE0"/>
    <w:rsid w:val="5E070FAB"/>
    <w:rsid w:val="5E08087F"/>
    <w:rsid w:val="5E0B1338"/>
    <w:rsid w:val="5E0F1C0D"/>
    <w:rsid w:val="5E135BA1"/>
    <w:rsid w:val="5E15419A"/>
    <w:rsid w:val="5E225DE5"/>
    <w:rsid w:val="5E436189"/>
    <w:rsid w:val="5E4D33F9"/>
    <w:rsid w:val="5E541D16"/>
    <w:rsid w:val="5E60690D"/>
    <w:rsid w:val="5E6A24AC"/>
    <w:rsid w:val="5E7A1034"/>
    <w:rsid w:val="5E8048B9"/>
    <w:rsid w:val="5E9D13E5"/>
    <w:rsid w:val="5EA467FA"/>
    <w:rsid w:val="5EAC56AE"/>
    <w:rsid w:val="5EAE0A76"/>
    <w:rsid w:val="5EB36A3D"/>
    <w:rsid w:val="5EC0115A"/>
    <w:rsid w:val="5EE65A13"/>
    <w:rsid w:val="5EF527BB"/>
    <w:rsid w:val="5EFE7492"/>
    <w:rsid w:val="5F015114"/>
    <w:rsid w:val="5F1411D9"/>
    <w:rsid w:val="5F3C2663"/>
    <w:rsid w:val="5F5E400B"/>
    <w:rsid w:val="5F7D6F40"/>
    <w:rsid w:val="5F7F7267"/>
    <w:rsid w:val="5FAA42E4"/>
    <w:rsid w:val="5FD650D9"/>
    <w:rsid w:val="5FD83606"/>
    <w:rsid w:val="5FDE21DF"/>
    <w:rsid w:val="5FE13A7D"/>
    <w:rsid w:val="5FE31522"/>
    <w:rsid w:val="5FED0E03"/>
    <w:rsid w:val="5FF67967"/>
    <w:rsid w:val="600956D4"/>
    <w:rsid w:val="600A2457"/>
    <w:rsid w:val="600B075B"/>
    <w:rsid w:val="601654D5"/>
    <w:rsid w:val="601C4AB5"/>
    <w:rsid w:val="602052E9"/>
    <w:rsid w:val="603269C5"/>
    <w:rsid w:val="604858AA"/>
    <w:rsid w:val="604B236C"/>
    <w:rsid w:val="604D2EC1"/>
    <w:rsid w:val="60594199"/>
    <w:rsid w:val="60632D9D"/>
    <w:rsid w:val="608D22AB"/>
    <w:rsid w:val="608E59B3"/>
    <w:rsid w:val="608E7F8D"/>
    <w:rsid w:val="609E0DD8"/>
    <w:rsid w:val="60A24FBB"/>
    <w:rsid w:val="60AB16F3"/>
    <w:rsid w:val="60BA6832"/>
    <w:rsid w:val="60C50CA9"/>
    <w:rsid w:val="60C82547"/>
    <w:rsid w:val="60CC4923"/>
    <w:rsid w:val="60CE4CEC"/>
    <w:rsid w:val="60D55390"/>
    <w:rsid w:val="60EE2742"/>
    <w:rsid w:val="60FA6BA5"/>
    <w:rsid w:val="610E08A2"/>
    <w:rsid w:val="61241E74"/>
    <w:rsid w:val="61377DF9"/>
    <w:rsid w:val="613F280A"/>
    <w:rsid w:val="615D1DCC"/>
    <w:rsid w:val="616917F4"/>
    <w:rsid w:val="616D1696"/>
    <w:rsid w:val="618334DD"/>
    <w:rsid w:val="618F19E3"/>
    <w:rsid w:val="61B524DA"/>
    <w:rsid w:val="61C62F2B"/>
    <w:rsid w:val="61CB4A04"/>
    <w:rsid w:val="61D25892"/>
    <w:rsid w:val="61E05B13"/>
    <w:rsid w:val="61EF0E6C"/>
    <w:rsid w:val="61F07C7B"/>
    <w:rsid w:val="61FB0611"/>
    <w:rsid w:val="620211EE"/>
    <w:rsid w:val="62034CF0"/>
    <w:rsid w:val="62137FEA"/>
    <w:rsid w:val="62151FE0"/>
    <w:rsid w:val="623B56C7"/>
    <w:rsid w:val="62451290"/>
    <w:rsid w:val="625C605A"/>
    <w:rsid w:val="625D388F"/>
    <w:rsid w:val="62976675"/>
    <w:rsid w:val="62984C70"/>
    <w:rsid w:val="629C79EB"/>
    <w:rsid w:val="62A5588B"/>
    <w:rsid w:val="62A96AD4"/>
    <w:rsid w:val="62D858F4"/>
    <w:rsid w:val="62DD677E"/>
    <w:rsid w:val="62F270F4"/>
    <w:rsid w:val="62FF7B80"/>
    <w:rsid w:val="63332842"/>
    <w:rsid w:val="63633617"/>
    <w:rsid w:val="63750A53"/>
    <w:rsid w:val="6390559E"/>
    <w:rsid w:val="639F35CC"/>
    <w:rsid w:val="63BC6393"/>
    <w:rsid w:val="63D55340"/>
    <w:rsid w:val="63DC07E4"/>
    <w:rsid w:val="63F84971"/>
    <w:rsid w:val="64025D70"/>
    <w:rsid w:val="641E2BAA"/>
    <w:rsid w:val="64371B05"/>
    <w:rsid w:val="64432611"/>
    <w:rsid w:val="64533933"/>
    <w:rsid w:val="64634C92"/>
    <w:rsid w:val="6468651B"/>
    <w:rsid w:val="64832D23"/>
    <w:rsid w:val="6499096C"/>
    <w:rsid w:val="64AD3F2E"/>
    <w:rsid w:val="64AF6728"/>
    <w:rsid w:val="64CD1010"/>
    <w:rsid w:val="64D73E84"/>
    <w:rsid w:val="64DC3870"/>
    <w:rsid w:val="64E536C8"/>
    <w:rsid w:val="64E62939"/>
    <w:rsid w:val="65003169"/>
    <w:rsid w:val="65006754"/>
    <w:rsid w:val="651E6BDA"/>
    <w:rsid w:val="6535092B"/>
    <w:rsid w:val="653E4B1A"/>
    <w:rsid w:val="65465549"/>
    <w:rsid w:val="65493C57"/>
    <w:rsid w:val="654A79CF"/>
    <w:rsid w:val="65544D07"/>
    <w:rsid w:val="655C06CA"/>
    <w:rsid w:val="656C356D"/>
    <w:rsid w:val="65815AE7"/>
    <w:rsid w:val="658630FD"/>
    <w:rsid w:val="65942CD8"/>
    <w:rsid w:val="65953340"/>
    <w:rsid w:val="659C4CA1"/>
    <w:rsid w:val="65AC5A8D"/>
    <w:rsid w:val="65BF03BD"/>
    <w:rsid w:val="65DD38DD"/>
    <w:rsid w:val="65EF159E"/>
    <w:rsid w:val="65FF4C5D"/>
    <w:rsid w:val="660A1B0A"/>
    <w:rsid w:val="663D1F3A"/>
    <w:rsid w:val="66482160"/>
    <w:rsid w:val="664B7EA3"/>
    <w:rsid w:val="66705176"/>
    <w:rsid w:val="667B2536"/>
    <w:rsid w:val="66862C89"/>
    <w:rsid w:val="668B248D"/>
    <w:rsid w:val="669C06FE"/>
    <w:rsid w:val="669E75A1"/>
    <w:rsid w:val="66A202A8"/>
    <w:rsid w:val="66AA6977"/>
    <w:rsid w:val="66D53137"/>
    <w:rsid w:val="66F422E8"/>
    <w:rsid w:val="670036B6"/>
    <w:rsid w:val="67065B78"/>
    <w:rsid w:val="6733112C"/>
    <w:rsid w:val="673D18D3"/>
    <w:rsid w:val="67484DA3"/>
    <w:rsid w:val="674D37A6"/>
    <w:rsid w:val="676254A4"/>
    <w:rsid w:val="67656D42"/>
    <w:rsid w:val="676925D7"/>
    <w:rsid w:val="67743E38"/>
    <w:rsid w:val="677F3F6A"/>
    <w:rsid w:val="679A3947"/>
    <w:rsid w:val="67A167AD"/>
    <w:rsid w:val="67A930D3"/>
    <w:rsid w:val="67AD0B86"/>
    <w:rsid w:val="67B53825"/>
    <w:rsid w:val="67C77C2B"/>
    <w:rsid w:val="67CF04D5"/>
    <w:rsid w:val="67D008D8"/>
    <w:rsid w:val="67D143D7"/>
    <w:rsid w:val="67ED14E8"/>
    <w:rsid w:val="67F419FD"/>
    <w:rsid w:val="67F935C2"/>
    <w:rsid w:val="68122608"/>
    <w:rsid w:val="681B0845"/>
    <w:rsid w:val="681C5653"/>
    <w:rsid w:val="68273FF7"/>
    <w:rsid w:val="68281C6E"/>
    <w:rsid w:val="682938C8"/>
    <w:rsid w:val="682F64A8"/>
    <w:rsid w:val="68454482"/>
    <w:rsid w:val="686C3ECB"/>
    <w:rsid w:val="688D47A2"/>
    <w:rsid w:val="6891732E"/>
    <w:rsid w:val="6897117D"/>
    <w:rsid w:val="68B0223F"/>
    <w:rsid w:val="68C23AE5"/>
    <w:rsid w:val="68CD1043"/>
    <w:rsid w:val="68EA74FF"/>
    <w:rsid w:val="68ED6D33"/>
    <w:rsid w:val="68EF720B"/>
    <w:rsid w:val="68FC7232"/>
    <w:rsid w:val="69025456"/>
    <w:rsid w:val="690A194F"/>
    <w:rsid w:val="690E6396"/>
    <w:rsid w:val="69450296"/>
    <w:rsid w:val="69470DF5"/>
    <w:rsid w:val="696F6C01"/>
    <w:rsid w:val="6979068B"/>
    <w:rsid w:val="697B45FB"/>
    <w:rsid w:val="697E4DE2"/>
    <w:rsid w:val="69801C11"/>
    <w:rsid w:val="69840369"/>
    <w:rsid w:val="69A66501"/>
    <w:rsid w:val="69AC611D"/>
    <w:rsid w:val="69BF6BDD"/>
    <w:rsid w:val="69C2222A"/>
    <w:rsid w:val="69CB1691"/>
    <w:rsid w:val="69D81A4D"/>
    <w:rsid w:val="69DA57C5"/>
    <w:rsid w:val="69E17E1B"/>
    <w:rsid w:val="69E64F15"/>
    <w:rsid w:val="69EC72A7"/>
    <w:rsid w:val="69EE74C3"/>
    <w:rsid w:val="6A0740E0"/>
    <w:rsid w:val="6A25196A"/>
    <w:rsid w:val="6A28499B"/>
    <w:rsid w:val="6A3640A9"/>
    <w:rsid w:val="6A4470E3"/>
    <w:rsid w:val="6A6E721F"/>
    <w:rsid w:val="6A85778C"/>
    <w:rsid w:val="6A8C1253"/>
    <w:rsid w:val="6AB16308"/>
    <w:rsid w:val="6AB36E88"/>
    <w:rsid w:val="6AB97AD1"/>
    <w:rsid w:val="6AC65D4A"/>
    <w:rsid w:val="6AE172C3"/>
    <w:rsid w:val="6AE438E0"/>
    <w:rsid w:val="6AE52674"/>
    <w:rsid w:val="6AE57834"/>
    <w:rsid w:val="6AE8049B"/>
    <w:rsid w:val="6B030D4C"/>
    <w:rsid w:val="6B0A51EE"/>
    <w:rsid w:val="6B1B42E7"/>
    <w:rsid w:val="6B1C0782"/>
    <w:rsid w:val="6B235E43"/>
    <w:rsid w:val="6B5B5F7B"/>
    <w:rsid w:val="6B722811"/>
    <w:rsid w:val="6B792DBC"/>
    <w:rsid w:val="6B910B23"/>
    <w:rsid w:val="6B935BAC"/>
    <w:rsid w:val="6B947BF6"/>
    <w:rsid w:val="6BA15074"/>
    <w:rsid w:val="6BBD0EFB"/>
    <w:rsid w:val="6BC172E9"/>
    <w:rsid w:val="6BC62B46"/>
    <w:rsid w:val="6BCB00EC"/>
    <w:rsid w:val="6BD33301"/>
    <w:rsid w:val="6BDF6C83"/>
    <w:rsid w:val="6BE00113"/>
    <w:rsid w:val="6C07661A"/>
    <w:rsid w:val="6C0B610A"/>
    <w:rsid w:val="6C1061DA"/>
    <w:rsid w:val="6C123A56"/>
    <w:rsid w:val="6C123DC2"/>
    <w:rsid w:val="6C206AC0"/>
    <w:rsid w:val="6C236B68"/>
    <w:rsid w:val="6C262F44"/>
    <w:rsid w:val="6C2B055A"/>
    <w:rsid w:val="6C2C0F26"/>
    <w:rsid w:val="6C5B6B6F"/>
    <w:rsid w:val="6C6260F5"/>
    <w:rsid w:val="6C643A6C"/>
    <w:rsid w:val="6C80389A"/>
    <w:rsid w:val="6C924135"/>
    <w:rsid w:val="6C937EAD"/>
    <w:rsid w:val="6C9C4FB4"/>
    <w:rsid w:val="6CA43E69"/>
    <w:rsid w:val="6CA541BB"/>
    <w:rsid w:val="6CAD71C1"/>
    <w:rsid w:val="6CB71DEE"/>
    <w:rsid w:val="6CB87914"/>
    <w:rsid w:val="6CBC20B8"/>
    <w:rsid w:val="6CD26C28"/>
    <w:rsid w:val="6CDA788A"/>
    <w:rsid w:val="6CE13C3E"/>
    <w:rsid w:val="6CF276CC"/>
    <w:rsid w:val="6CF44DF0"/>
    <w:rsid w:val="6D0436A5"/>
    <w:rsid w:val="6D0E5786"/>
    <w:rsid w:val="6D1E00BF"/>
    <w:rsid w:val="6D26144E"/>
    <w:rsid w:val="6D747CDF"/>
    <w:rsid w:val="6D780672"/>
    <w:rsid w:val="6D82064E"/>
    <w:rsid w:val="6D8450A3"/>
    <w:rsid w:val="6D9E678A"/>
    <w:rsid w:val="6DAA2819"/>
    <w:rsid w:val="6DAA3C3F"/>
    <w:rsid w:val="6DC314DE"/>
    <w:rsid w:val="6DC41DD2"/>
    <w:rsid w:val="6DCC18C9"/>
    <w:rsid w:val="6DD93FE6"/>
    <w:rsid w:val="6DDD702D"/>
    <w:rsid w:val="6DDF2268"/>
    <w:rsid w:val="6DEA577A"/>
    <w:rsid w:val="6DED6CE1"/>
    <w:rsid w:val="6DF64B98"/>
    <w:rsid w:val="6E0C43BB"/>
    <w:rsid w:val="6E18201D"/>
    <w:rsid w:val="6E33784F"/>
    <w:rsid w:val="6E426274"/>
    <w:rsid w:val="6E4450FF"/>
    <w:rsid w:val="6E4E30E2"/>
    <w:rsid w:val="6E4F79FF"/>
    <w:rsid w:val="6E71617E"/>
    <w:rsid w:val="6E7162F2"/>
    <w:rsid w:val="6E7709A4"/>
    <w:rsid w:val="6E7C0F24"/>
    <w:rsid w:val="6E7E2C20"/>
    <w:rsid w:val="6E8126B3"/>
    <w:rsid w:val="6E822F8D"/>
    <w:rsid w:val="6E88266D"/>
    <w:rsid w:val="6E934195"/>
    <w:rsid w:val="6EAA7E7C"/>
    <w:rsid w:val="6EC21F14"/>
    <w:rsid w:val="6EC66318"/>
    <w:rsid w:val="6ECE5CFE"/>
    <w:rsid w:val="6EFB0719"/>
    <w:rsid w:val="6F0F5516"/>
    <w:rsid w:val="6F1670A9"/>
    <w:rsid w:val="6F2E210D"/>
    <w:rsid w:val="6F35524C"/>
    <w:rsid w:val="6F3D5A52"/>
    <w:rsid w:val="6F616041"/>
    <w:rsid w:val="6F683873"/>
    <w:rsid w:val="6F6B2FD3"/>
    <w:rsid w:val="6F92269E"/>
    <w:rsid w:val="6F9B77A5"/>
    <w:rsid w:val="6FA15190"/>
    <w:rsid w:val="6FC30AAA"/>
    <w:rsid w:val="6FC62348"/>
    <w:rsid w:val="6FC821E7"/>
    <w:rsid w:val="6FE552F0"/>
    <w:rsid w:val="6FF47114"/>
    <w:rsid w:val="6FF70753"/>
    <w:rsid w:val="6FFB0243"/>
    <w:rsid w:val="70014A53"/>
    <w:rsid w:val="70115CB9"/>
    <w:rsid w:val="703C62DE"/>
    <w:rsid w:val="70585696"/>
    <w:rsid w:val="705F6A24"/>
    <w:rsid w:val="706E66E2"/>
    <w:rsid w:val="7080699B"/>
    <w:rsid w:val="70A01CEC"/>
    <w:rsid w:val="70AE03F6"/>
    <w:rsid w:val="70AE5C04"/>
    <w:rsid w:val="70B70523"/>
    <w:rsid w:val="70BD374B"/>
    <w:rsid w:val="70C80492"/>
    <w:rsid w:val="70C814AF"/>
    <w:rsid w:val="70CB5E68"/>
    <w:rsid w:val="70CB79B0"/>
    <w:rsid w:val="70D86B89"/>
    <w:rsid w:val="70E77D1B"/>
    <w:rsid w:val="70EB02B8"/>
    <w:rsid w:val="70FB77DF"/>
    <w:rsid w:val="7101188A"/>
    <w:rsid w:val="710C37E4"/>
    <w:rsid w:val="71127D51"/>
    <w:rsid w:val="711340D8"/>
    <w:rsid w:val="71272EDB"/>
    <w:rsid w:val="71306613"/>
    <w:rsid w:val="71432719"/>
    <w:rsid w:val="7148395C"/>
    <w:rsid w:val="7161057A"/>
    <w:rsid w:val="7164006A"/>
    <w:rsid w:val="718A5D23"/>
    <w:rsid w:val="71B634CB"/>
    <w:rsid w:val="71C07997"/>
    <w:rsid w:val="71CA1D6C"/>
    <w:rsid w:val="71CF39EE"/>
    <w:rsid w:val="71D84C45"/>
    <w:rsid w:val="71F15DA2"/>
    <w:rsid w:val="71F17F94"/>
    <w:rsid w:val="71FA600F"/>
    <w:rsid w:val="71FB277D"/>
    <w:rsid w:val="72157EBD"/>
    <w:rsid w:val="72241A63"/>
    <w:rsid w:val="722A12B4"/>
    <w:rsid w:val="723529E0"/>
    <w:rsid w:val="72352B20"/>
    <w:rsid w:val="723E0D90"/>
    <w:rsid w:val="72516841"/>
    <w:rsid w:val="727809EA"/>
    <w:rsid w:val="727F515C"/>
    <w:rsid w:val="72905EEA"/>
    <w:rsid w:val="7299607C"/>
    <w:rsid w:val="72A83B07"/>
    <w:rsid w:val="72AF0710"/>
    <w:rsid w:val="72B654DE"/>
    <w:rsid w:val="72BB3333"/>
    <w:rsid w:val="72C74D55"/>
    <w:rsid w:val="72C76B03"/>
    <w:rsid w:val="72C9287B"/>
    <w:rsid w:val="72D51220"/>
    <w:rsid w:val="72E969F2"/>
    <w:rsid w:val="72F1592E"/>
    <w:rsid w:val="732512FB"/>
    <w:rsid w:val="732D2E0A"/>
    <w:rsid w:val="733F48EB"/>
    <w:rsid w:val="734534BD"/>
    <w:rsid w:val="735760D9"/>
    <w:rsid w:val="736D0E9A"/>
    <w:rsid w:val="73750FEF"/>
    <w:rsid w:val="73840550"/>
    <w:rsid w:val="73950252"/>
    <w:rsid w:val="739B362E"/>
    <w:rsid w:val="73A0182E"/>
    <w:rsid w:val="73A1041B"/>
    <w:rsid w:val="73A11102"/>
    <w:rsid w:val="73AD5CF9"/>
    <w:rsid w:val="73AF7D9B"/>
    <w:rsid w:val="73BA21C4"/>
    <w:rsid w:val="73BC3337"/>
    <w:rsid w:val="73BC6B6B"/>
    <w:rsid w:val="73BE7F06"/>
    <w:rsid w:val="73D15628"/>
    <w:rsid w:val="73D3557F"/>
    <w:rsid w:val="73DE4104"/>
    <w:rsid w:val="73F456D6"/>
    <w:rsid w:val="7400692D"/>
    <w:rsid w:val="74097520"/>
    <w:rsid w:val="743462E1"/>
    <w:rsid w:val="74404DBF"/>
    <w:rsid w:val="74477EFB"/>
    <w:rsid w:val="744C521C"/>
    <w:rsid w:val="745D4DE5"/>
    <w:rsid w:val="74695ADA"/>
    <w:rsid w:val="746E36DA"/>
    <w:rsid w:val="749255B3"/>
    <w:rsid w:val="749A2FC3"/>
    <w:rsid w:val="74B7191E"/>
    <w:rsid w:val="74D53759"/>
    <w:rsid w:val="74E11C59"/>
    <w:rsid w:val="74E62992"/>
    <w:rsid w:val="74F11C15"/>
    <w:rsid w:val="74F456B9"/>
    <w:rsid w:val="74FB01D1"/>
    <w:rsid w:val="74FD4A5E"/>
    <w:rsid w:val="750F7A81"/>
    <w:rsid w:val="75213E88"/>
    <w:rsid w:val="75214AD6"/>
    <w:rsid w:val="752860C7"/>
    <w:rsid w:val="752B5127"/>
    <w:rsid w:val="75330480"/>
    <w:rsid w:val="75371D1E"/>
    <w:rsid w:val="75385D85"/>
    <w:rsid w:val="755653B5"/>
    <w:rsid w:val="756B5E6B"/>
    <w:rsid w:val="757726B5"/>
    <w:rsid w:val="75932CCC"/>
    <w:rsid w:val="75A86778"/>
    <w:rsid w:val="75A93796"/>
    <w:rsid w:val="75BF3AC1"/>
    <w:rsid w:val="75DD4B2A"/>
    <w:rsid w:val="75E17EDC"/>
    <w:rsid w:val="75E8126A"/>
    <w:rsid w:val="75EA4FE2"/>
    <w:rsid w:val="75EE648E"/>
    <w:rsid w:val="75F07818"/>
    <w:rsid w:val="7601551C"/>
    <w:rsid w:val="760C22E2"/>
    <w:rsid w:val="7611314E"/>
    <w:rsid w:val="7630676D"/>
    <w:rsid w:val="76326989"/>
    <w:rsid w:val="76342701"/>
    <w:rsid w:val="76566645"/>
    <w:rsid w:val="765B5EE0"/>
    <w:rsid w:val="76671439"/>
    <w:rsid w:val="767A7DA4"/>
    <w:rsid w:val="767C75B6"/>
    <w:rsid w:val="768E0063"/>
    <w:rsid w:val="76946CFC"/>
    <w:rsid w:val="76FF4ABD"/>
    <w:rsid w:val="77112A42"/>
    <w:rsid w:val="771A49C4"/>
    <w:rsid w:val="771D4F43"/>
    <w:rsid w:val="7722255A"/>
    <w:rsid w:val="772701EB"/>
    <w:rsid w:val="772E53A2"/>
    <w:rsid w:val="773F4EBA"/>
    <w:rsid w:val="77426AC1"/>
    <w:rsid w:val="77533E8E"/>
    <w:rsid w:val="77546270"/>
    <w:rsid w:val="77626DFA"/>
    <w:rsid w:val="776A6E0E"/>
    <w:rsid w:val="776F38A5"/>
    <w:rsid w:val="777D05BA"/>
    <w:rsid w:val="777F54CF"/>
    <w:rsid w:val="77836423"/>
    <w:rsid w:val="778B6351"/>
    <w:rsid w:val="779D0503"/>
    <w:rsid w:val="77BB6220"/>
    <w:rsid w:val="780340CB"/>
    <w:rsid w:val="78231AD8"/>
    <w:rsid w:val="78252301"/>
    <w:rsid w:val="784941B5"/>
    <w:rsid w:val="784F6894"/>
    <w:rsid w:val="78583FBF"/>
    <w:rsid w:val="785E5813"/>
    <w:rsid w:val="786170B2"/>
    <w:rsid w:val="78632A79"/>
    <w:rsid w:val="786F46F8"/>
    <w:rsid w:val="78825061"/>
    <w:rsid w:val="78857244"/>
    <w:rsid w:val="78950BD3"/>
    <w:rsid w:val="78A70F68"/>
    <w:rsid w:val="78AD0549"/>
    <w:rsid w:val="78B10039"/>
    <w:rsid w:val="78B80FBE"/>
    <w:rsid w:val="78B83176"/>
    <w:rsid w:val="78BD7DFD"/>
    <w:rsid w:val="78D34AB8"/>
    <w:rsid w:val="78D562BF"/>
    <w:rsid w:val="78E35D19"/>
    <w:rsid w:val="78FA513B"/>
    <w:rsid w:val="78FF1B21"/>
    <w:rsid w:val="790F5062"/>
    <w:rsid w:val="79102FB2"/>
    <w:rsid w:val="792632FA"/>
    <w:rsid w:val="793F2F8B"/>
    <w:rsid w:val="794E324E"/>
    <w:rsid w:val="795135CA"/>
    <w:rsid w:val="79647C14"/>
    <w:rsid w:val="79666A3E"/>
    <w:rsid w:val="796E2712"/>
    <w:rsid w:val="797A667D"/>
    <w:rsid w:val="79A23FBB"/>
    <w:rsid w:val="79B778D1"/>
    <w:rsid w:val="79BB4863"/>
    <w:rsid w:val="79CD6ACF"/>
    <w:rsid w:val="79E955B1"/>
    <w:rsid w:val="79EB1329"/>
    <w:rsid w:val="79EE6C14"/>
    <w:rsid w:val="79F01200"/>
    <w:rsid w:val="7A100D8F"/>
    <w:rsid w:val="7A1C7A41"/>
    <w:rsid w:val="7A2756A8"/>
    <w:rsid w:val="7A2763C8"/>
    <w:rsid w:val="7A3507F6"/>
    <w:rsid w:val="7A373CA8"/>
    <w:rsid w:val="7A505630"/>
    <w:rsid w:val="7A57575A"/>
    <w:rsid w:val="7A5A200A"/>
    <w:rsid w:val="7A6C5C09"/>
    <w:rsid w:val="7A6D7F90"/>
    <w:rsid w:val="7A7639F5"/>
    <w:rsid w:val="7A7E219D"/>
    <w:rsid w:val="7A876DC6"/>
    <w:rsid w:val="7A8D0B84"/>
    <w:rsid w:val="7A8D6A7B"/>
    <w:rsid w:val="7A8F4065"/>
    <w:rsid w:val="7AB1513F"/>
    <w:rsid w:val="7AC47FDA"/>
    <w:rsid w:val="7AD00E52"/>
    <w:rsid w:val="7AE362D9"/>
    <w:rsid w:val="7AF661D7"/>
    <w:rsid w:val="7B02692A"/>
    <w:rsid w:val="7B0C4888"/>
    <w:rsid w:val="7B166879"/>
    <w:rsid w:val="7B167964"/>
    <w:rsid w:val="7B221334"/>
    <w:rsid w:val="7B251E1F"/>
    <w:rsid w:val="7B2A33CB"/>
    <w:rsid w:val="7B2D4F21"/>
    <w:rsid w:val="7B302783"/>
    <w:rsid w:val="7B3960C4"/>
    <w:rsid w:val="7B6030A9"/>
    <w:rsid w:val="7B6475E5"/>
    <w:rsid w:val="7B7374FF"/>
    <w:rsid w:val="7B741282"/>
    <w:rsid w:val="7B7B274F"/>
    <w:rsid w:val="7B7C0774"/>
    <w:rsid w:val="7B8B6C46"/>
    <w:rsid w:val="7B9A3006"/>
    <w:rsid w:val="7BB3231A"/>
    <w:rsid w:val="7BCA5FF7"/>
    <w:rsid w:val="7BCE4A5E"/>
    <w:rsid w:val="7BDD7E7F"/>
    <w:rsid w:val="7BE916D7"/>
    <w:rsid w:val="7BFE1DCD"/>
    <w:rsid w:val="7BFF5606"/>
    <w:rsid w:val="7C037713"/>
    <w:rsid w:val="7C0E383E"/>
    <w:rsid w:val="7C0E62A5"/>
    <w:rsid w:val="7C136915"/>
    <w:rsid w:val="7C23124E"/>
    <w:rsid w:val="7C324FED"/>
    <w:rsid w:val="7C66113B"/>
    <w:rsid w:val="7C6A6322"/>
    <w:rsid w:val="7C8F68E3"/>
    <w:rsid w:val="7C94165A"/>
    <w:rsid w:val="7C9F702B"/>
    <w:rsid w:val="7CAB4D9F"/>
    <w:rsid w:val="7CC1340A"/>
    <w:rsid w:val="7CC55E61"/>
    <w:rsid w:val="7CC77E2B"/>
    <w:rsid w:val="7CD460A4"/>
    <w:rsid w:val="7CD544C5"/>
    <w:rsid w:val="7CE107C1"/>
    <w:rsid w:val="7CE9704A"/>
    <w:rsid w:val="7CF46746"/>
    <w:rsid w:val="7CF573FC"/>
    <w:rsid w:val="7CFC2C14"/>
    <w:rsid w:val="7D1776C0"/>
    <w:rsid w:val="7D1E5968"/>
    <w:rsid w:val="7D2B5FE6"/>
    <w:rsid w:val="7D3923AB"/>
    <w:rsid w:val="7D4A4221"/>
    <w:rsid w:val="7D5766A3"/>
    <w:rsid w:val="7D596C27"/>
    <w:rsid w:val="7D5F62B6"/>
    <w:rsid w:val="7D661A74"/>
    <w:rsid w:val="7D6C452F"/>
    <w:rsid w:val="7D711B45"/>
    <w:rsid w:val="7D7129D8"/>
    <w:rsid w:val="7D772875"/>
    <w:rsid w:val="7D7B1D74"/>
    <w:rsid w:val="7D807FDA"/>
    <w:rsid w:val="7D93553C"/>
    <w:rsid w:val="7D9C642D"/>
    <w:rsid w:val="7DB44D8D"/>
    <w:rsid w:val="7DC66335"/>
    <w:rsid w:val="7DC86496"/>
    <w:rsid w:val="7DC91981"/>
    <w:rsid w:val="7DC94F69"/>
    <w:rsid w:val="7DCC321F"/>
    <w:rsid w:val="7DCE2025"/>
    <w:rsid w:val="7DD30A52"/>
    <w:rsid w:val="7DDB1D9D"/>
    <w:rsid w:val="7DE247F1"/>
    <w:rsid w:val="7DF84014"/>
    <w:rsid w:val="7DFA7D8C"/>
    <w:rsid w:val="7E047836"/>
    <w:rsid w:val="7E0B0249"/>
    <w:rsid w:val="7E0E1A8A"/>
    <w:rsid w:val="7E0F6348"/>
    <w:rsid w:val="7E12157A"/>
    <w:rsid w:val="7E265025"/>
    <w:rsid w:val="7E300364"/>
    <w:rsid w:val="7E350421"/>
    <w:rsid w:val="7E3F1C43"/>
    <w:rsid w:val="7E520B21"/>
    <w:rsid w:val="7E573431"/>
    <w:rsid w:val="7E722019"/>
    <w:rsid w:val="7E887CA6"/>
    <w:rsid w:val="7E8C2062"/>
    <w:rsid w:val="7EA0301F"/>
    <w:rsid w:val="7EC65EC0"/>
    <w:rsid w:val="7ED07D31"/>
    <w:rsid w:val="7ED56964"/>
    <w:rsid w:val="7EFD3ACB"/>
    <w:rsid w:val="7F080287"/>
    <w:rsid w:val="7F0A3FFF"/>
    <w:rsid w:val="7F137A1A"/>
    <w:rsid w:val="7F141322"/>
    <w:rsid w:val="7F2751BF"/>
    <w:rsid w:val="7F2B27A3"/>
    <w:rsid w:val="7F334873"/>
    <w:rsid w:val="7F342B23"/>
    <w:rsid w:val="7F3E6456"/>
    <w:rsid w:val="7F49636F"/>
    <w:rsid w:val="7F5C530F"/>
    <w:rsid w:val="7F673200"/>
    <w:rsid w:val="7F69341C"/>
    <w:rsid w:val="7F6E181D"/>
    <w:rsid w:val="7F6E726C"/>
    <w:rsid w:val="7F74591C"/>
    <w:rsid w:val="7F7733BF"/>
    <w:rsid w:val="7F824029"/>
    <w:rsid w:val="7F972780"/>
    <w:rsid w:val="7F983D01"/>
    <w:rsid w:val="7FA773EE"/>
    <w:rsid w:val="7FAC155A"/>
    <w:rsid w:val="7FBD671B"/>
    <w:rsid w:val="7FEC50B5"/>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link w:val="41"/>
    <w:unhideWhenUsed/>
    <w:qFormat/>
    <w:uiPriority w:val="0"/>
    <w:pPr>
      <w:keepNext/>
      <w:keepLines/>
      <w:spacing w:before="240" w:beforeLines="0" w:beforeAutospacing="0" w:after="240" w:afterLines="0" w:afterAutospacing="0" w:line="240" w:lineRule="auto"/>
      <w:outlineLvl w:val="1"/>
    </w:pPr>
    <w:rPr>
      <w:rFonts w:ascii="Arial" w:hAnsi="Arial" w:eastAsia="宋体"/>
      <w:b/>
      <w:sz w:val="24"/>
      <w:szCs w:val="24"/>
      <w:lang w:bidi="ar-SA"/>
    </w:rPr>
  </w:style>
  <w:style w:type="paragraph" w:styleId="2">
    <w:name w:val="heading 3"/>
    <w:basedOn w:val="1"/>
    <w:next w:val="1"/>
    <w:link w:val="36"/>
    <w:semiHidden/>
    <w:unhideWhenUsed/>
    <w:qFormat/>
    <w:uiPriority w:val="0"/>
    <w:pPr>
      <w:keepNext/>
      <w:keepLines/>
      <w:spacing w:before="0" w:beforeLines="0" w:after="0" w:afterLines="0" w:line="240" w:lineRule="auto"/>
      <w:jc w:val="left"/>
      <w:outlineLvl w:val="2"/>
    </w:pPr>
    <w:rPr>
      <w:rFonts w:ascii="Times New Roman" w:hAnsi="Times New Roman" w:eastAsia="宋体"/>
      <w:b/>
      <w:bCs/>
      <w:sz w:val="24"/>
      <w:szCs w:val="32"/>
      <w:lang w:bidi="ar-SA"/>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Calibri" w:hAnsi="Calibri"/>
      <w:szCs w:val="22"/>
    </w:rPr>
  </w:style>
  <w:style w:type="paragraph" w:styleId="7">
    <w:name w:val="Normal Indent"/>
    <w:basedOn w:val="1"/>
    <w:next w:val="1"/>
    <w:unhideWhenUsed/>
    <w:qFormat/>
    <w:uiPriority w:val="99"/>
    <w:pPr>
      <w:ind w:firstLine="420" w:firstLineChars="200"/>
    </w:pPr>
  </w:style>
  <w:style w:type="paragraph" w:styleId="8">
    <w:name w:val="toa heading"/>
    <w:basedOn w:val="1"/>
    <w:next w:val="1"/>
    <w:qFormat/>
    <w:uiPriority w:val="0"/>
    <w:pPr>
      <w:spacing w:before="120"/>
    </w:pPr>
    <w:rPr>
      <w:rFonts w:ascii="Arial" w:hAnsi="Arial"/>
      <w:sz w:val="24"/>
      <w:szCs w:val="20"/>
    </w:rPr>
  </w:style>
  <w:style w:type="paragraph" w:styleId="9">
    <w:name w:val="Body Text"/>
    <w:basedOn w:val="1"/>
    <w:next w:val="10"/>
    <w:qFormat/>
    <w:uiPriority w:val="0"/>
    <w:pPr>
      <w:spacing w:after="120"/>
    </w:pPr>
    <w:rPr>
      <w:sz w:val="21"/>
    </w:rPr>
  </w:style>
  <w:style w:type="paragraph" w:customStyle="1" w:styleId="10">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1">
    <w:name w:val="Body Text Indent"/>
    <w:basedOn w:val="1"/>
    <w:next w:val="6"/>
    <w:qFormat/>
    <w:uiPriority w:val="0"/>
    <w:pPr>
      <w:spacing w:after="120"/>
      <w:ind w:left="420" w:leftChars="200"/>
    </w:pPr>
    <w:rPr>
      <w:kern w:val="0"/>
      <w:sz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 w:val="11"/>
      <w:szCs w:val="20"/>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0"/>
  </w:style>
  <w:style w:type="paragraph" w:styleId="18">
    <w:name w:val="List"/>
    <w:basedOn w:val="1"/>
    <w:qFormat/>
    <w:uiPriority w:val="0"/>
    <w:pPr>
      <w:numPr>
        <w:ilvl w:val="0"/>
        <w:numId w:val="1"/>
      </w:numPr>
      <w:tabs>
        <w:tab w:val="center" w:pos="425"/>
      </w:tabs>
      <w:spacing w:line="360" w:lineRule="auto"/>
    </w:pPr>
    <w:rPr>
      <w:rFonts w:ascii="Arial" w:hAnsi="Arial"/>
      <w:kern w:val="0"/>
      <w:sz w:val="24"/>
    </w:rPr>
  </w:style>
  <w:style w:type="paragraph" w:styleId="19">
    <w:name w:val="footnote text"/>
    <w:basedOn w:val="1"/>
    <w:qFormat/>
    <w:uiPriority w:val="0"/>
    <w:pPr>
      <w:adjustRightInd w:val="0"/>
      <w:spacing w:line="312" w:lineRule="atLeast"/>
      <w:jc w:val="left"/>
      <w:textAlignment w:val="baseline"/>
    </w:pPr>
    <w:rPr>
      <w:kern w:val="0"/>
      <w:sz w:val="18"/>
      <w:szCs w:val="20"/>
    </w:rPr>
  </w:style>
  <w:style w:type="paragraph" w:styleId="20">
    <w:name w:val="toc 2"/>
    <w:basedOn w:val="1"/>
    <w:next w:val="1"/>
    <w:qFormat/>
    <w:uiPriority w:val="0"/>
    <w:pPr>
      <w:ind w:left="420" w:leftChars="200"/>
    </w:p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Body Text First Indent"/>
    <w:basedOn w:val="9"/>
    <w:qFormat/>
    <w:uiPriority w:val="0"/>
    <w:pPr>
      <w:spacing w:after="120" w:afterLines="0"/>
      <w:ind w:firstLine="420"/>
    </w:pPr>
  </w:style>
  <w:style w:type="paragraph" w:styleId="24">
    <w:name w:val="Body Text First Indent 2"/>
    <w:basedOn w:val="11"/>
    <w:next w:val="9"/>
    <w:qFormat/>
    <w:uiPriority w:val="0"/>
    <w:pPr>
      <w:spacing w:after="120"/>
      <w:ind w:left="420" w:leftChars="200" w:firstLine="420" w:firstLineChars="200"/>
    </w:pPr>
    <w:rPr>
      <w:rFonts w:ascii="Times New Roman" w:eastAsia="宋体"/>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000000"/>
      <w:sz w:val="18"/>
      <w:szCs w:val="18"/>
      <w:u w:val="none"/>
    </w:rPr>
  </w:style>
  <w:style w:type="character" w:styleId="31">
    <w:name w:val="Hyperlink"/>
    <w:basedOn w:val="27"/>
    <w:qFormat/>
    <w:uiPriority w:val="0"/>
    <w:rPr>
      <w:color w:val="000000"/>
      <w:sz w:val="18"/>
      <w:szCs w:val="18"/>
      <w:u w:val="none"/>
    </w:rPr>
  </w:style>
  <w:style w:type="character" w:styleId="32">
    <w:name w:val="HTML Sample"/>
    <w:basedOn w:val="27"/>
    <w:qFormat/>
    <w:uiPriority w:val="0"/>
    <w:rPr>
      <w:rFonts w:ascii="Courier New" w:hAnsi="Courier New"/>
    </w:rPr>
  </w:style>
  <w:style w:type="paragraph" w:customStyle="1" w:styleId="33">
    <w:name w:val="样式 首行缩进:  2 字符"/>
    <w:basedOn w:val="1"/>
    <w:qFormat/>
    <w:uiPriority w:val="0"/>
    <w:pPr>
      <w:ind w:firstLine="560"/>
    </w:pPr>
    <w:rPr>
      <w:rFonts w:eastAsia="仿宋_GB2312" w:cs="宋体"/>
      <w:sz w:val="24"/>
      <w:szCs w:val="20"/>
    </w:rPr>
  </w:style>
  <w:style w:type="paragraph" w:customStyle="1" w:styleId="3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文本正文"/>
    <w:basedOn w:val="1"/>
    <w:qFormat/>
    <w:uiPriority w:val="0"/>
    <w:pPr>
      <w:spacing w:afterLines="50"/>
      <w:ind w:firstLine="200" w:firstLineChars="200"/>
      <w:jc w:val="left"/>
    </w:pPr>
    <w:rPr>
      <w:rFonts w:ascii="Calibri" w:hAnsi="Calibri"/>
      <w:sz w:val="24"/>
      <w:szCs w:val="22"/>
      <w:lang w:bidi="en-US"/>
    </w:rPr>
  </w:style>
  <w:style w:type="character" w:customStyle="1" w:styleId="36">
    <w:name w:val="标题 3 Char"/>
    <w:basedOn w:val="27"/>
    <w:link w:val="2"/>
    <w:qFormat/>
    <w:uiPriority w:val="0"/>
    <w:rPr>
      <w:rFonts w:ascii="Times New Roman" w:hAnsi="Times New Roman" w:eastAsia="宋体"/>
      <w:b/>
      <w:bCs/>
      <w:sz w:val="24"/>
      <w:szCs w:val="32"/>
      <w:lang w:bidi="ar-SA"/>
    </w:rPr>
  </w:style>
  <w:style w:type="character" w:customStyle="1" w:styleId="37">
    <w:name w:val="font31"/>
    <w:basedOn w:val="27"/>
    <w:qFormat/>
    <w:uiPriority w:val="0"/>
    <w:rPr>
      <w:rFonts w:hint="eastAsia" w:ascii="宋体" w:hAnsi="宋体" w:eastAsia="宋体" w:cs="宋体"/>
      <w:color w:val="000000"/>
      <w:sz w:val="20"/>
      <w:szCs w:val="20"/>
      <w:u w:val="none"/>
    </w:rPr>
  </w:style>
  <w:style w:type="character" w:customStyle="1" w:styleId="38">
    <w:name w:val="font01"/>
    <w:basedOn w:val="27"/>
    <w:qFormat/>
    <w:uiPriority w:val="0"/>
    <w:rPr>
      <w:rFonts w:hint="eastAsia" w:ascii="宋体" w:hAnsi="宋体" w:eastAsia="宋体" w:cs="宋体"/>
      <w:color w:val="000000"/>
      <w:sz w:val="22"/>
      <w:szCs w:val="22"/>
      <w:u w:val="none"/>
    </w:rPr>
  </w:style>
  <w:style w:type="character" w:customStyle="1" w:styleId="39">
    <w:name w:val="font21"/>
    <w:basedOn w:val="27"/>
    <w:qFormat/>
    <w:uiPriority w:val="0"/>
    <w:rPr>
      <w:rFonts w:hint="eastAsia" w:ascii="宋体" w:hAnsi="宋体" w:eastAsia="宋体" w:cs="宋体"/>
      <w:color w:val="000000"/>
      <w:sz w:val="24"/>
      <w:szCs w:val="24"/>
      <w:u w:val="none"/>
    </w:rPr>
  </w:style>
  <w:style w:type="character" w:customStyle="1" w:styleId="40">
    <w:name w:val="font11"/>
    <w:basedOn w:val="27"/>
    <w:qFormat/>
    <w:uiPriority w:val="0"/>
    <w:rPr>
      <w:rFonts w:hint="eastAsia" w:ascii="宋体" w:hAnsi="宋体" w:eastAsia="宋体" w:cs="宋体"/>
      <w:color w:val="000000"/>
      <w:sz w:val="20"/>
      <w:szCs w:val="20"/>
      <w:u w:val="none"/>
      <w:vertAlign w:val="superscript"/>
    </w:rPr>
  </w:style>
  <w:style w:type="character" w:customStyle="1" w:styleId="41">
    <w:name w:val="标题 2 Char"/>
    <w:link w:val="4"/>
    <w:qFormat/>
    <w:uiPriority w:val="0"/>
    <w:rPr>
      <w:rFonts w:ascii="Arial" w:hAnsi="Arial" w:eastAsia="宋体"/>
      <w:b/>
      <w:sz w:val="24"/>
      <w:szCs w:val="24"/>
      <w:lang w:bidi="ar-SA"/>
    </w:rPr>
  </w:style>
  <w:style w:type="paragraph" w:customStyle="1" w:styleId="42">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4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44">
    <w:name w:val="标题 1 Char"/>
    <w:link w:val="3"/>
    <w:qFormat/>
    <w:uiPriority w:val="0"/>
    <w:rPr>
      <w:rFonts w:ascii="Times New Roman" w:hAnsi="Times New Roman" w:eastAsia="宋体"/>
      <w:b/>
      <w:kern w:val="44"/>
      <w:sz w:val="36"/>
      <w:szCs w:val="44"/>
    </w:rPr>
  </w:style>
  <w:style w:type="paragraph" w:customStyle="1" w:styleId="45">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6">
    <w:name w:val="纯文本1"/>
    <w:basedOn w:val="1"/>
    <w:qFormat/>
    <w:uiPriority w:val="0"/>
    <w:rPr>
      <w:rFonts w:ascii="宋体" w:hAnsi="Courier New"/>
      <w:szCs w:val="22"/>
    </w:rPr>
  </w:style>
  <w:style w:type="paragraph" w:customStyle="1" w:styleId="47">
    <w:name w:val="p0"/>
    <w:basedOn w:val="1"/>
    <w:qFormat/>
    <w:uiPriority w:val="0"/>
    <w:pPr>
      <w:widowControl/>
      <w:jc w:val="left"/>
    </w:pPr>
    <w:rPr>
      <w:kern w:val="0"/>
      <w:szCs w:val="21"/>
    </w:rPr>
  </w:style>
  <w:style w:type="paragraph" w:styleId="48">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4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52">
    <w:name w:val="List Paragraph"/>
    <w:basedOn w:val="1"/>
    <w:qFormat/>
    <w:uiPriority w:val="34"/>
    <w:pPr>
      <w:ind w:firstLine="420"/>
    </w:pPr>
  </w:style>
  <w:style w:type="paragraph" w:customStyle="1" w:styleId="53">
    <w:name w:val="WPS Plain"/>
    <w:qFormat/>
    <w:uiPriority w:val="0"/>
    <w:rPr>
      <w:rFonts w:ascii="Times New Roman" w:hAnsi="Times New Roman" w:eastAsia="宋体" w:cs="Times New Roman"/>
      <w:sz w:val="21"/>
      <w:szCs w:val="22"/>
      <w:lang w:val="en-US" w:eastAsia="zh-CN" w:bidi="ar-SA"/>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WPSOffice手动目录 3"/>
    <w:qFormat/>
    <w:uiPriority w:val="0"/>
    <w:pPr>
      <w:ind w:leftChars="400"/>
    </w:pPr>
    <w:rPr>
      <w:rFonts w:ascii="Times New Roman" w:hAnsi="Times New Roman" w:eastAsia="宋体" w:cs="Times New Roman"/>
      <w:sz w:val="20"/>
      <w:szCs w:val="20"/>
    </w:rPr>
  </w:style>
  <w:style w:type="paragraph" w:customStyle="1" w:styleId="5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sz w:val="28"/>
      <w:szCs w:val="20"/>
    </w:rPr>
  </w:style>
  <w:style w:type="paragraph" w:customStyle="1" w:styleId="58">
    <w:name w:val="列出段落1"/>
    <w:basedOn w:val="59"/>
    <w:qFormat/>
    <w:uiPriority w:val="99"/>
    <w:pPr>
      <w:ind w:firstLine="420" w:firstLineChars="200"/>
    </w:pPr>
    <w:rPr>
      <w:rFonts w:ascii="Times New Roman" w:hAnsi="Times New Roman"/>
    </w:rPr>
  </w:style>
  <w:style w:type="paragraph" w:customStyle="1" w:styleId="59">
    <w:name w:val="正文_0"/>
    <w:next w:val="58"/>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30087</Words>
  <Characters>32396</Characters>
  <Lines>0</Lines>
  <Paragraphs>0</Paragraphs>
  <TotalTime>7</TotalTime>
  <ScaleCrop>false</ScaleCrop>
  <LinksUpToDate>false</LinksUpToDate>
  <CharactersWithSpaces>40536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小蓓</cp:lastModifiedBy>
  <cp:lastPrinted>2023-01-13T10:54:00Z</cp:lastPrinted>
  <dcterms:modified xsi:type="dcterms:W3CDTF">2023-08-07T04:11:08Z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F91CC71B82DF44749A132748EF3D8D4F_13</vt:lpwstr>
  </property>
</Properties>
</file>