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eastAsia" w:ascii="仿宋" w:hAnsi="仿宋" w:eastAsia="仿宋" w:cs="仿宋"/>
          <w:b/>
          <w:bCs/>
          <w:color w:val="000000"/>
          <w:sz w:val="56"/>
          <w:szCs w:val="44"/>
          <w:highlight w:val="none"/>
          <w:lang w:eastAsia="zh-CN"/>
        </w:rPr>
      </w:pPr>
      <w:r>
        <w:rPr>
          <w:rFonts w:hint="eastAsia" w:ascii="仿宋" w:hAnsi="仿宋" w:eastAsia="仿宋" w:cs="仿宋"/>
          <w:b/>
          <w:bCs/>
          <w:color w:val="000000"/>
          <w:sz w:val="56"/>
          <w:szCs w:val="44"/>
          <w:highlight w:val="none"/>
          <w:lang w:eastAsia="zh-CN"/>
        </w:rPr>
        <w:drawing>
          <wp:inline distT="0" distB="0" distL="0" distR="0">
            <wp:extent cx="1014095" cy="769620"/>
            <wp:effectExtent l="0" t="0" r="14605" b="11430"/>
            <wp:docPr id="2" name="图片 1" descr="QQ截图2020032705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QQ截图20200327054739"/>
                    <pic:cNvPicPr>
                      <a:picLocks noChangeAspect="1" noChangeArrowheads="1"/>
                    </pic:cNvPicPr>
                  </pic:nvPicPr>
                  <pic:blipFill>
                    <a:blip r:embed="rId6"/>
                    <a:srcRect/>
                    <a:stretch>
                      <a:fillRect/>
                    </a:stretch>
                  </pic:blipFill>
                  <pic:spPr>
                    <a:xfrm>
                      <a:off x="0" y="0"/>
                      <a:ext cx="1014095" cy="769620"/>
                    </a:xfrm>
                    <a:prstGeom prst="rect">
                      <a:avLst/>
                    </a:prstGeom>
                    <a:noFill/>
                    <a:ln w="9525">
                      <a:noFill/>
                      <a:miter lim="800000"/>
                      <a:headEnd/>
                      <a:tailEnd/>
                    </a:ln>
                  </pic:spPr>
                </pic:pic>
              </a:graphicData>
            </a:graphic>
          </wp:inline>
        </w:drawing>
      </w:r>
    </w:p>
    <w:p>
      <w:pPr>
        <w:pStyle w:val="8"/>
        <w:jc w:val="center"/>
        <w:rPr>
          <w:rFonts w:hint="eastAsia"/>
          <w:b/>
          <w:bCs/>
          <w:sz w:val="56"/>
          <w:szCs w:val="56"/>
          <w:lang w:val="en-US" w:eastAsia="zh-CN"/>
        </w:rPr>
      </w:pPr>
      <w:r>
        <w:rPr>
          <w:rFonts w:hint="eastAsia"/>
          <w:b/>
          <w:bCs/>
          <w:sz w:val="56"/>
          <w:szCs w:val="56"/>
          <w:lang w:val="en-US" w:eastAsia="zh-CN"/>
        </w:rPr>
        <w:t>拜城县域内农村公路上涉河湖桥梁洪水影响评价复核报告编制</w:t>
      </w:r>
    </w:p>
    <w:p>
      <w:pPr>
        <w:pStyle w:val="8"/>
        <w:jc w:val="both"/>
        <w:rPr>
          <w:rFonts w:hint="eastAsia"/>
          <w:b/>
          <w:bCs/>
          <w:sz w:val="56"/>
          <w:szCs w:val="56"/>
          <w:lang w:val="en-US" w:eastAsia="zh-CN"/>
        </w:rPr>
      </w:pPr>
    </w:p>
    <w:p>
      <w:pPr>
        <w:pStyle w:val="28"/>
        <w:ind w:firstLine="440"/>
        <w:rPr>
          <w:rFonts w:hint="eastAsia" w:ascii="仿宋" w:hAnsi="仿宋" w:eastAsia="仿宋" w:cs="仿宋"/>
          <w:highlight w:val="none"/>
          <w:lang w:val="en-US"/>
        </w:rPr>
      </w:pPr>
    </w:p>
    <w:p>
      <w:pPr>
        <w:pStyle w:val="28"/>
        <w:ind w:firstLine="440"/>
        <w:rPr>
          <w:rFonts w:hint="eastAsia" w:ascii="仿宋" w:hAnsi="仿宋" w:eastAsia="仿宋" w:cs="仿宋"/>
          <w:highlight w:val="none"/>
        </w:rPr>
      </w:pPr>
    </w:p>
    <w:p>
      <w:pPr>
        <w:widowControl/>
        <w:autoSpaceDE w:val="0"/>
        <w:autoSpaceDN w:val="0"/>
        <w:ind w:right="-26" w:firstLine="1446" w:firstLineChars="300"/>
        <w:jc w:val="left"/>
        <w:textAlignment w:val="bottom"/>
        <w:rPr>
          <w:rFonts w:hint="eastAsia" w:ascii="仿宋" w:hAnsi="仿宋" w:eastAsia="仿宋" w:cs="仿宋"/>
          <w:b/>
          <w:bCs/>
          <w:sz w:val="48"/>
          <w:szCs w:val="48"/>
          <w:highlight w:val="none"/>
        </w:rPr>
      </w:pPr>
    </w:p>
    <w:p>
      <w:pPr>
        <w:widowControl/>
        <w:autoSpaceDE w:val="0"/>
        <w:autoSpaceDN w:val="0"/>
        <w:ind w:right="-26" w:firstLine="1446" w:firstLineChars="300"/>
        <w:jc w:val="left"/>
        <w:textAlignment w:val="bottom"/>
        <w:rPr>
          <w:rFonts w:hint="default" w:ascii="仿宋" w:hAnsi="仿宋" w:eastAsia="仿宋" w:cs="仿宋"/>
          <w:b/>
          <w:bCs/>
          <w:color w:val="FF0000"/>
          <w:sz w:val="48"/>
          <w:szCs w:val="48"/>
          <w:highlight w:val="none"/>
          <w:lang w:val="en-US"/>
        </w:rPr>
      </w:pPr>
      <w:r>
        <w:rPr>
          <w:rFonts w:hint="eastAsia" w:ascii="仿宋" w:hAnsi="仿宋" w:eastAsia="仿宋" w:cs="仿宋"/>
          <w:b/>
          <w:bCs/>
          <w:sz w:val="48"/>
          <w:szCs w:val="48"/>
          <w:highlight w:val="none"/>
        </w:rPr>
        <w:t>项目编号：</w:t>
      </w:r>
      <w:r>
        <w:rPr>
          <w:rFonts w:hint="eastAsia" w:ascii="仿宋" w:hAnsi="仿宋" w:eastAsia="仿宋" w:cs="仿宋"/>
          <w:b/>
          <w:bCs/>
          <w:color w:val="000000" w:themeColor="text1"/>
          <w:sz w:val="48"/>
          <w:szCs w:val="48"/>
          <w:highlight w:val="none"/>
          <w:lang w:val="en-US" w:eastAsia="zh-CN"/>
          <w14:textFill>
            <w14:solidFill>
              <w14:schemeClr w14:val="tx1"/>
            </w14:solidFill>
          </w14:textFill>
        </w:rPr>
        <w:t>bcx-jzxcs-2023-019</w:t>
      </w:r>
    </w:p>
    <w:p>
      <w:pPr>
        <w:pStyle w:val="11"/>
        <w:rPr>
          <w:rFonts w:hint="eastAsia" w:ascii="仿宋" w:hAnsi="仿宋" w:eastAsia="仿宋" w:cs="仿宋"/>
          <w:b/>
          <w:bCs/>
          <w:sz w:val="48"/>
          <w:szCs w:val="48"/>
          <w:highlight w:val="none"/>
        </w:rPr>
      </w:pPr>
    </w:p>
    <w:p>
      <w:pPr>
        <w:pStyle w:val="11"/>
        <w:rPr>
          <w:rFonts w:hint="eastAsia" w:ascii="仿宋" w:hAnsi="仿宋" w:eastAsia="仿宋" w:cs="仿宋"/>
          <w:b/>
          <w:bCs/>
          <w:sz w:val="48"/>
          <w:szCs w:val="48"/>
          <w:highlight w:val="none"/>
        </w:rPr>
      </w:pPr>
    </w:p>
    <w:p>
      <w:pPr>
        <w:pStyle w:val="37"/>
        <w:rPr>
          <w:rFonts w:hint="eastAsia" w:ascii="仿宋" w:hAnsi="仿宋" w:eastAsia="仿宋" w:cs="仿宋"/>
          <w:sz w:val="32"/>
          <w:szCs w:val="36"/>
          <w:highlight w:val="none"/>
        </w:rPr>
      </w:pPr>
    </w:p>
    <w:p>
      <w:pPr>
        <w:widowControl/>
        <w:autoSpaceDE w:val="0"/>
        <w:autoSpaceDN w:val="0"/>
        <w:ind w:right="-26"/>
        <w:jc w:val="center"/>
        <w:textAlignment w:val="bottom"/>
        <w:rPr>
          <w:rFonts w:hint="eastAsia" w:ascii="仿宋" w:hAnsi="仿宋" w:eastAsia="仿宋" w:cs="仿宋"/>
          <w:b/>
          <w:sz w:val="56"/>
          <w:szCs w:val="56"/>
          <w:highlight w:val="none"/>
        </w:rPr>
      </w:pPr>
      <w:r>
        <w:rPr>
          <w:rFonts w:hint="eastAsia" w:ascii="仿宋" w:hAnsi="仿宋" w:eastAsia="仿宋" w:cs="仿宋"/>
          <w:b/>
          <w:sz w:val="96"/>
          <w:szCs w:val="96"/>
          <w:highlight w:val="none"/>
        </w:rPr>
        <w:t>竞争性磋商文件</w:t>
      </w:r>
    </w:p>
    <w:p>
      <w:pPr>
        <w:widowControl/>
        <w:autoSpaceDE w:val="0"/>
        <w:autoSpaceDN w:val="0"/>
        <w:ind w:right="-26"/>
        <w:textAlignment w:val="bottom"/>
        <w:rPr>
          <w:rFonts w:hint="eastAsia" w:ascii="仿宋" w:hAnsi="仿宋" w:eastAsia="仿宋" w:cs="仿宋"/>
          <w:b/>
          <w:sz w:val="32"/>
          <w:highlight w:val="none"/>
        </w:rPr>
      </w:pPr>
    </w:p>
    <w:p>
      <w:pPr>
        <w:pStyle w:val="37"/>
        <w:rPr>
          <w:rFonts w:hint="eastAsia" w:ascii="仿宋" w:hAnsi="仿宋" w:eastAsia="仿宋" w:cs="仿宋"/>
          <w:b/>
          <w:sz w:val="32"/>
          <w:highlight w:val="none"/>
        </w:rPr>
      </w:pPr>
    </w:p>
    <w:p>
      <w:pPr>
        <w:pStyle w:val="37"/>
        <w:rPr>
          <w:rFonts w:hint="eastAsia" w:ascii="仿宋" w:hAnsi="仿宋" w:eastAsia="仿宋" w:cs="仿宋"/>
          <w:b/>
          <w:sz w:val="32"/>
          <w:highlight w:val="none"/>
        </w:rPr>
      </w:pPr>
    </w:p>
    <w:p>
      <w:pPr>
        <w:pStyle w:val="37"/>
        <w:rPr>
          <w:rFonts w:hint="eastAsia" w:ascii="仿宋" w:hAnsi="仿宋" w:eastAsia="仿宋" w:cs="仿宋"/>
          <w:b/>
          <w:sz w:val="32"/>
          <w:highlight w:val="none"/>
        </w:rPr>
      </w:pPr>
    </w:p>
    <w:p>
      <w:pPr>
        <w:widowControl/>
        <w:autoSpaceDE w:val="0"/>
        <w:autoSpaceDN w:val="0"/>
        <w:ind w:right="-26"/>
        <w:textAlignment w:val="bottom"/>
        <w:rPr>
          <w:rFonts w:hint="eastAsia" w:ascii="仿宋" w:hAnsi="仿宋" w:eastAsia="仿宋" w:cs="仿宋"/>
          <w:bCs/>
          <w:sz w:val="32"/>
          <w:highlight w:val="none"/>
        </w:rPr>
      </w:pPr>
    </w:p>
    <w:p>
      <w:pPr>
        <w:widowControl/>
        <w:autoSpaceDE w:val="0"/>
        <w:autoSpaceDN w:val="0"/>
        <w:ind w:right="-26"/>
        <w:textAlignment w:val="bottom"/>
        <w:rPr>
          <w:rFonts w:hint="default" w:ascii="仿宋" w:hAnsi="仿宋" w:eastAsia="仿宋" w:cs="仿宋"/>
          <w:bCs/>
          <w:sz w:val="32"/>
          <w:highlight w:val="none"/>
          <w:lang w:val="en-US" w:eastAsia="zh-CN"/>
        </w:rPr>
      </w:pPr>
      <w:r>
        <w:rPr>
          <w:rFonts w:hint="eastAsia" w:ascii="仿宋" w:hAnsi="仿宋" w:eastAsia="仿宋" w:cs="仿宋"/>
          <w:bCs/>
          <w:sz w:val="32"/>
          <w:highlight w:val="none"/>
        </w:rPr>
        <w:t xml:space="preserve">    采购单位：</w:t>
      </w:r>
      <w:r>
        <w:rPr>
          <w:rFonts w:hint="eastAsia" w:ascii="仿宋" w:hAnsi="仿宋" w:eastAsia="仿宋" w:cs="仿宋"/>
          <w:bCs/>
          <w:sz w:val="32"/>
          <w:highlight w:val="none"/>
          <w:lang w:val="en-US" w:eastAsia="zh-CN"/>
        </w:rPr>
        <w:t>拜城县交通运输局</w:t>
      </w:r>
    </w:p>
    <w:p>
      <w:pPr>
        <w:widowControl/>
        <w:autoSpaceDE w:val="0"/>
        <w:autoSpaceDN w:val="0"/>
        <w:ind w:right="-26" w:firstLine="627" w:firstLineChars="196"/>
        <w:textAlignment w:val="bottom"/>
        <w:rPr>
          <w:rFonts w:hint="eastAsia" w:ascii="仿宋" w:hAnsi="仿宋" w:eastAsia="仿宋" w:cs="仿宋"/>
          <w:bCs/>
          <w:sz w:val="32"/>
          <w:highlight w:val="none"/>
        </w:rPr>
      </w:pPr>
    </w:p>
    <w:p>
      <w:pPr>
        <w:widowControl/>
        <w:autoSpaceDE w:val="0"/>
        <w:autoSpaceDN w:val="0"/>
        <w:ind w:right="-26" w:firstLine="627" w:firstLineChars="196"/>
        <w:textAlignment w:val="bottom"/>
        <w:rPr>
          <w:rFonts w:hint="eastAsia" w:ascii="仿宋" w:hAnsi="仿宋" w:eastAsia="仿宋" w:cs="仿宋"/>
          <w:bCs/>
          <w:sz w:val="32"/>
          <w:highlight w:val="none"/>
          <w:u w:val="single"/>
        </w:rPr>
      </w:pPr>
      <w:r>
        <w:rPr>
          <w:rFonts w:hint="eastAsia" w:ascii="仿宋" w:hAnsi="仿宋" w:eastAsia="仿宋" w:cs="仿宋"/>
          <w:bCs/>
          <w:sz w:val="32"/>
          <w:highlight w:val="none"/>
        </w:rPr>
        <w:t>代理机构：新疆中凯兴项目管理咨询有限公司</w:t>
      </w:r>
    </w:p>
    <w:p>
      <w:pPr>
        <w:widowControl/>
        <w:autoSpaceDE w:val="0"/>
        <w:autoSpaceDN w:val="0"/>
        <w:ind w:right="893" w:firstLine="627" w:firstLineChars="196"/>
        <w:textAlignment w:val="bottom"/>
        <w:rPr>
          <w:rFonts w:hint="eastAsia" w:ascii="仿宋" w:hAnsi="仿宋" w:eastAsia="仿宋" w:cs="仿宋"/>
          <w:bCs/>
          <w:sz w:val="32"/>
          <w:highlight w:val="none"/>
        </w:rPr>
      </w:pPr>
    </w:p>
    <w:p>
      <w:pPr>
        <w:widowControl/>
        <w:autoSpaceDE w:val="0"/>
        <w:autoSpaceDN w:val="0"/>
        <w:ind w:right="893" w:firstLine="627" w:firstLineChars="196"/>
        <w:textAlignment w:val="bottom"/>
        <w:rPr>
          <w:rFonts w:hint="eastAsia" w:ascii="仿宋" w:hAnsi="仿宋" w:eastAsia="仿宋" w:cs="仿宋"/>
          <w:bCs/>
          <w:sz w:val="32"/>
          <w:highlight w:val="none"/>
          <w:lang w:val="en-US" w:eastAsia="zh-CN"/>
        </w:rPr>
      </w:pPr>
      <w:r>
        <w:rPr>
          <w:rFonts w:hint="eastAsia" w:ascii="仿宋" w:hAnsi="仿宋" w:eastAsia="仿宋" w:cs="仿宋"/>
          <w:bCs/>
          <w:sz w:val="32"/>
          <w:highlight w:val="none"/>
        </w:rPr>
        <w:t>联 系 人：</w:t>
      </w:r>
      <w:r>
        <w:rPr>
          <w:rFonts w:hint="eastAsia" w:ascii="仿宋" w:hAnsi="仿宋" w:eastAsia="仿宋" w:cs="仿宋"/>
          <w:bCs/>
          <w:sz w:val="32"/>
          <w:highlight w:val="none"/>
          <w:lang w:eastAsia="zh-CN"/>
        </w:rPr>
        <w:t>高程程</w:t>
      </w:r>
    </w:p>
    <w:p>
      <w:pPr>
        <w:widowControl/>
        <w:autoSpaceDE w:val="0"/>
        <w:autoSpaceDN w:val="0"/>
        <w:ind w:right="893" w:firstLine="627" w:firstLineChars="196"/>
        <w:jc w:val="left"/>
        <w:textAlignment w:val="bottom"/>
        <w:rPr>
          <w:rFonts w:hint="default" w:ascii="仿宋" w:hAnsi="仿宋" w:eastAsia="仿宋" w:cs="仿宋"/>
          <w:bCs/>
          <w:sz w:val="44"/>
          <w:szCs w:val="44"/>
          <w:highlight w:val="none"/>
          <w:lang w:val="en-US" w:eastAsia="zh-CN"/>
        </w:rPr>
      </w:pPr>
      <w:r>
        <w:rPr>
          <w:rFonts w:hint="eastAsia" w:ascii="仿宋" w:hAnsi="仿宋" w:eastAsia="仿宋" w:cs="仿宋"/>
          <w:bCs/>
          <w:sz w:val="32"/>
          <w:highlight w:val="none"/>
        </w:rPr>
        <w:t>联系电话：</w:t>
      </w:r>
      <w:r>
        <w:rPr>
          <w:rFonts w:hint="eastAsia" w:ascii="仿宋" w:hAnsi="仿宋" w:eastAsia="仿宋" w:cs="仿宋"/>
          <w:bCs/>
          <w:sz w:val="32"/>
          <w:highlight w:val="none"/>
          <w:lang w:val="en-US" w:eastAsia="zh-CN"/>
        </w:rPr>
        <w:t>18609086721</w:t>
      </w:r>
    </w:p>
    <w:p>
      <w:pPr>
        <w:widowControl/>
        <w:autoSpaceDE w:val="0"/>
        <w:autoSpaceDN w:val="0"/>
        <w:ind w:right="893" w:firstLine="862" w:firstLineChars="196"/>
        <w:jc w:val="left"/>
        <w:textAlignment w:val="bottom"/>
        <w:rPr>
          <w:rFonts w:hint="eastAsia" w:ascii="仿宋" w:hAnsi="仿宋" w:eastAsia="仿宋" w:cs="仿宋"/>
          <w:bCs/>
          <w:sz w:val="44"/>
          <w:szCs w:val="44"/>
          <w:highlight w:val="none"/>
        </w:rPr>
      </w:pPr>
    </w:p>
    <w:p>
      <w:pPr>
        <w:pStyle w:val="8"/>
        <w:rPr>
          <w:rFonts w:hint="eastAsia"/>
        </w:rPr>
      </w:pPr>
    </w:p>
    <w:p>
      <w:pPr>
        <w:widowControl/>
        <w:autoSpaceDE w:val="0"/>
        <w:autoSpaceDN w:val="0"/>
        <w:ind w:right="893" w:firstLine="787" w:firstLineChars="196"/>
        <w:jc w:val="center"/>
        <w:textAlignment w:val="bottom"/>
        <w:rPr>
          <w:b/>
          <w:bCs/>
          <w:sz w:val="40"/>
          <w:szCs w:val="40"/>
        </w:rPr>
      </w:pPr>
      <w:r>
        <w:rPr>
          <w:rFonts w:hint="eastAsia"/>
          <w:b/>
          <w:bCs/>
          <w:sz w:val="40"/>
          <w:szCs w:val="40"/>
        </w:rPr>
        <w:t>竞争性</w:t>
      </w:r>
      <w:r>
        <w:rPr>
          <w:rFonts w:hint="eastAsia"/>
          <w:b/>
          <w:bCs/>
          <w:sz w:val="40"/>
          <w:szCs w:val="40"/>
          <w:lang w:eastAsia="zh-CN"/>
        </w:rPr>
        <w:t>磋商</w:t>
      </w:r>
      <w:r>
        <w:rPr>
          <w:rFonts w:hint="eastAsia"/>
          <w:b/>
          <w:bCs/>
          <w:sz w:val="40"/>
          <w:szCs w:val="40"/>
        </w:rPr>
        <w:t>文件</w:t>
      </w:r>
    </w:p>
    <w:p>
      <w:pPr>
        <w:rPr>
          <w:sz w:val="72"/>
          <w:szCs w:val="72"/>
        </w:rPr>
      </w:pPr>
    </w:p>
    <w:p>
      <w:pPr>
        <w:autoSpaceDE w:val="0"/>
        <w:autoSpaceDN w:val="0"/>
        <w:spacing w:line="480" w:lineRule="auto"/>
        <w:ind w:left="1400" w:hanging="1400" w:hangingChars="500"/>
        <w:rPr>
          <w:rFonts w:hint="eastAsia"/>
          <w:sz w:val="28"/>
          <w:szCs w:val="28"/>
          <w:lang w:val="en-US" w:eastAsia="zh-CN"/>
        </w:rPr>
      </w:pPr>
      <w:r>
        <w:rPr>
          <w:rFonts w:hint="eastAsia"/>
          <w:sz w:val="28"/>
          <w:szCs w:val="28"/>
        </w:rPr>
        <w:t>项目名称：</w:t>
      </w:r>
      <w:r>
        <w:rPr>
          <w:rFonts w:hint="eastAsia"/>
          <w:sz w:val="28"/>
          <w:szCs w:val="28"/>
          <w:lang w:val="en-US" w:eastAsia="zh-CN"/>
        </w:rPr>
        <w:t>拜城县域内农村公路上涉河湖桥梁洪水影响评价复核报告编制</w:t>
      </w:r>
    </w:p>
    <w:p>
      <w:pPr>
        <w:autoSpaceDE w:val="0"/>
        <w:autoSpaceDN w:val="0"/>
        <w:spacing w:line="480" w:lineRule="auto"/>
        <w:ind w:left="1400" w:hanging="1400" w:hangingChars="500"/>
        <w:rPr>
          <w:rFonts w:hint="eastAsia" w:eastAsia="宋体"/>
          <w:sz w:val="28"/>
          <w:szCs w:val="28"/>
          <w:lang w:val="en-US" w:eastAsia="zh-CN"/>
        </w:rPr>
      </w:pPr>
      <w:r>
        <w:rPr>
          <w:rFonts w:hint="eastAsia"/>
          <w:sz w:val="28"/>
          <w:szCs w:val="28"/>
        </w:rPr>
        <w:t>招标人（公章）：</w:t>
      </w:r>
      <w:r>
        <w:rPr>
          <w:rFonts w:hint="eastAsia"/>
          <w:sz w:val="28"/>
          <w:szCs w:val="28"/>
          <w:lang w:eastAsia="zh-CN"/>
        </w:rPr>
        <w:t>拜城县交通运输局</w:t>
      </w:r>
    </w:p>
    <w:p>
      <w:pPr>
        <w:autoSpaceDE w:val="0"/>
        <w:autoSpaceDN w:val="0"/>
        <w:spacing w:line="480" w:lineRule="auto"/>
        <w:rPr>
          <w:sz w:val="28"/>
          <w:szCs w:val="28"/>
        </w:rPr>
      </w:pPr>
      <w:r>
        <w:rPr>
          <w:rFonts w:hint="eastAsia"/>
          <w:sz w:val="28"/>
          <w:szCs w:val="28"/>
        </w:rPr>
        <w:t>法定代表人（章）：</w:t>
      </w:r>
    </w:p>
    <w:p>
      <w:pPr>
        <w:autoSpaceDE w:val="0"/>
        <w:autoSpaceDN w:val="0"/>
        <w:spacing w:line="480" w:lineRule="auto"/>
        <w:rPr>
          <w:rFonts w:hint="eastAsia"/>
          <w:sz w:val="28"/>
          <w:szCs w:val="28"/>
          <w:lang w:val="en-US" w:eastAsia="zh-CN"/>
        </w:rPr>
      </w:pPr>
      <w:r>
        <w:rPr>
          <w:rFonts w:hint="eastAsia"/>
          <w:sz w:val="28"/>
          <w:szCs w:val="28"/>
        </w:rPr>
        <w:t>联系人：</w:t>
      </w:r>
      <w:r>
        <w:rPr>
          <w:rFonts w:hint="eastAsia"/>
          <w:sz w:val="28"/>
          <w:szCs w:val="28"/>
          <w:lang w:val="en-US" w:eastAsia="zh-CN"/>
        </w:rPr>
        <w:t>高春花</w:t>
      </w:r>
    </w:p>
    <w:p>
      <w:pPr>
        <w:autoSpaceDE w:val="0"/>
        <w:autoSpaceDN w:val="0"/>
        <w:spacing w:line="480" w:lineRule="auto"/>
        <w:rPr>
          <w:rFonts w:hint="default" w:ascii="宋体" w:hAnsi="宋体" w:eastAsia="宋体" w:cs="宋体"/>
          <w:sz w:val="28"/>
          <w:szCs w:val="28"/>
          <w:lang w:val="en-US" w:eastAsia="zh-CN"/>
        </w:rPr>
      </w:pPr>
      <w:r>
        <w:rPr>
          <w:rFonts w:hint="eastAsia" w:cs="Times New Roman"/>
          <w:sz w:val="28"/>
          <w:szCs w:val="28"/>
          <w:lang w:val="en-US" w:eastAsia="zh-CN"/>
        </w:rPr>
        <w:t>联系电话：</w:t>
      </w:r>
      <w:r>
        <w:rPr>
          <w:rFonts w:hint="eastAsia" w:ascii="宋体" w:hAnsi="宋体" w:cs="宋体"/>
          <w:sz w:val="28"/>
          <w:szCs w:val="28"/>
          <w:lang w:val="en-US" w:eastAsia="zh-CN"/>
        </w:rPr>
        <w:t>15009087323</w:t>
      </w:r>
    </w:p>
    <w:p>
      <w:pPr>
        <w:autoSpaceDE w:val="0"/>
        <w:autoSpaceDN w:val="0"/>
        <w:spacing w:line="600" w:lineRule="auto"/>
        <w:rPr>
          <w:sz w:val="28"/>
          <w:szCs w:val="28"/>
        </w:rPr>
      </w:pPr>
    </w:p>
    <w:p>
      <w:pPr>
        <w:autoSpaceDE w:val="0"/>
        <w:autoSpaceDN w:val="0"/>
        <w:spacing w:line="600" w:lineRule="auto"/>
        <w:rPr>
          <w:sz w:val="28"/>
          <w:szCs w:val="28"/>
        </w:rPr>
      </w:pPr>
    </w:p>
    <w:p>
      <w:pPr>
        <w:autoSpaceDE w:val="0"/>
        <w:autoSpaceDN w:val="0"/>
        <w:spacing w:line="600" w:lineRule="auto"/>
        <w:rPr>
          <w:sz w:val="28"/>
          <w:szCs w:val="28"/>
        </w:rPr>
      </w:pPr>
    </w:p>
    <w:p>
      <w:pPr>
        <w:pStyle w:val="8"/>
        <w:ind w:left="0" w:leftChars="0" w:firstLine="0" w:firstLineChars="0"/>
      </w:pPr>
    </w:p>
    <w:p>
      <w:pPr>
        <w:autoSpaceDE w:val="0"/>
        <w:autoSpaceDN w:val="0"/>
        <w:spacing w:line="480" w:lineRule="auto"/>
        <w:rPr>
          <w:sz w:val="28"/>
          <w:szCs w:val="28"/>
        </w:rPr>
      </w:pPr>
      <w:r>
        <w:rPr>
          <w:rFonts w:hint="eastAsia"/>
          <w:sz w:val="28"/>
          <w:szCs w:val="28"/>
        </w:rPr>
        <w:t>招标代理机构（章）：新疆中凯兴项目管理咨询有限公司</w:t>
      </w:r>
    </w:p>
    <w:p>
      <w:pPr>
        <w:autoSpaceDE w:val="0"/>
        <w:autoSpaceDN w:val="0"/>
        <w:spacing w:line="480" w:lineRule="auto"/>
        <w:rPr>
          <w:sz w:val="28"/>
          <w:szCs w:val="28"/>
        </w:rPr>
      </w:pPr>
      <w:r>
        <w:rPr>
          <w:rFonts w:hint="eastAsia"/>
          <w:sz w:val="28"/>
          <w:szCs w:val="28"/>
        </w:rPr>
        <w:t>法定代表人（章）：张家龙</w:t>
      </w:r>
    </w:p>
    <w:p>
      <w:pPr>
        <w:autoSpaceDE w:val="0"/>
        <w:autoSpaceDN w:val="0"/>
        <w:spacing w:line="480" w:lineRule="auto"/>
        <w:rPr>
          <w:rFonts w:hint="eastAsia"/>
          <w:sz w:val="28"/>
          <w:szCs w:val="28"/>
          <w:lang w:val="en-US" w:eastAsia="zh-CN"/>
        </w:rPr>
      </w:pPr>
      <w:r>
        <w:rPr>
          <w:rFonts w:hint="eastAsia"/>
          <w:sz w:val="28"/>
          <w:szCs w:val="28"/>
        </w:rPr>
        <w:t>联系人：</w:t>
      </w:r>
      <w:r>
        <w:rPr>
          <w:rFonts w:hint="eastAsia"/>
          <w:sz w:val="28"/>
          <w:szCs w:val="28"/>
          <w:lang w:val="en-US" w:eastAsia="zh-CN"/>
        </w:rPr>
        <w:t>高程程</w:t>
      </w:r>
    </w:p>
    <w:p>
      <w:pPr>
        <w:autoSpaceDE w:val="0"/>
        <w:autoSpaceDN w:val="0"/>
        <w:spacing w:line="480" w:lineRule="auto"/>
        <w:rPr>
          <w:sz w:val="28"/>
          <w:szCs w:val="28"/>
        </w:rPr>
      </w:pPr>
      <w:r>
        <w:rPr>
          <w:rFonts w:hint="eastAsia"/>
          <w:sz w:val="28"/>
          <w:szCs w:val="28"/>
        </w:rPr>
        <w:t>联系电话：</w:t>
      </w:r>
      <w:r>
        <w:rPr>
          <w:rFonts w:hint="eastAsia" w:ascii="宋体" w:hAnsi="宋体" w:cs="宋体"/>
          <w:sz w:val="28"/>
          <w:szCs w:val="28"/>
          <w:lang w:val="en-US" w:eastAsia="zh-CN"/>
        </w:rPr>
        <w:t xml:space="preserve">18609086721 </w:t>
      </w:r>
      <w:r>
        <w:rPr>
          <w:rFonts w:hint="eastAsia" w:ascii="宋体" w:hAnsi="宋体" w:eastAsia="宋体" w:cs="宋体"/>
          <w:sz w:val="28"/>
          <w:szCs w:val="28"/>
        </w:rPr>
        <w:t xml:space="preserve">0997-6773977   </w:t>
      </w:r>
    </w:p>
    <w:p>
      <w:pPr>
        <w:autoSpaceDE w:val="0"/>
        <w:autoSpaceDN w:val="0"/>
        <w:spacing w:line="480" w:lineRule="auto"/>
        <w:rPr>
          <w:sz w:val="28"/>
          <w:szCs w:val="28"/>
        </w:rPr>
      </w:pPr>
      <w:r>
        <w:rPr>
          <w:rFonts w:hint="eastAsia"/>
          <w:sz w:val="28"/>
          <w:szCs w:val="28"/>
        </w:rPr>
        <w:t>地址：新疆阿克苏市民主路天百名宅2号楼2单元2405室</w:t>
      </w:r>
    </w:p>
    <w:p>
      <w:pPr>
        <w:pStyle w:val="8"/>
        <w:tabs>
          <w:tab w:val="left" w:pos="1204"/>
        </w:tabs>
        <w:kinsoku w:val="0"/>
        <w:overflowPunct w:val="0"/>
        <w:spacing w:before="0" w:line="501" w:lineRule="exact"/>
        <w:ind w:left="1"/>
        <w:jc w:val="center"/>
        <w:rPr>
          <w:rFonts w:hint="eastAsia" w:ascii="仿宋" w:hAnsi="仿宋" w:eastAsia="仿宋" w:cs="仿宋"/>
          <w:b/>
          <w:bCs/>
          <w:w w:val="95"/>
          <w:sz w:val="36"/>
          <w:szCs w:val="36"/>
          <w:highlight w:val="none"/>
        </w:rPr>
      </w:pPr>
    </w:p>
    <w:p>
      <w:pPr>
        <w:pStyle w:val="8"/>
        <w:tabs>
          <w:tab w:val="left" w:pos="1204"/>
        </w:tabs>
        <w:kinsoku w:val="0"/>
        <w:overflowPunct w:val="0"/>
        <w:spacing w:before="0" w:line="501" w:lineRule="exact"/>
        <w:ind w:left="1"/>
        <w:jc w:val="center"/>
        <w:rPr>
          <w:rFonts w:hint="eastAsia" w:ascii="仿宋" w:hAnsi="仿宋" w:eastAsia="仿宋" w:cs="仿宋"/>
          <w:sz w:val="36"/>
          <w:szCs w:val="36"/>
          <w:highlight w:val="none"/>
        </w:rPr>
      </w:pPr>
      <w:r>
        <w:rPr>
          <w:rFonts w:hint="eastAsia" w:ascii="仿宋" w:hAnsi="仿宋" w:eastAsia="仿宋" w:cs="仿宋"/>
          <w:b/>
          <w:bCs/>
          <w:w w:val="95"/>
          <w:sz w:val="36"/>
          <w:szCs w:val="36"/>
          <w:highlight w:val="none"/>
        </w:rPr>
        <w:t>目</w:t>
      </w:r>
      <w:r>
        <w:rPr>
          <w:rFonts w:hint="eastAsia" w:ascii="仿宋" w:hAnsi="仿宋" w:eastAsia="仿宋" w:cs="仿宋"/>
          <w:b/>
          <w:bCs/>
          <w:w w:val="95"/>
          <w:sz w:val="36"/>
          <w:szCs w:val="36"/>
          <w:highlight w:val="none"/>
        </w:rPr>
        <w:tab/>
      </w:r>
      <w:r>
        <w:rPr>
          <w:rFonts w:hint="eastAsia" w:ascii="仿宋" w:hAnsi="仿宋" w:eastAsia="仿宋" w:cs="仿宋"/>
          <w:b/>
          <w:bCs/>
          <w:sz w:val="36"/>
          <w:szCs w:val="36"/>
          <w:highlight w:val="none"/>
        </w:rPr>
        <w:t>录</w:t>
      </w:r>
    </w:p>
    <w:p>
      <w:pPr>
        <w:pStyle w:val="14"/>
        <w:tabs>
          <w:tab w:val="right" w:leader="dot" w:pos="9541"/>
          <w:tab w:val="clear" w:pos="9400"/>
        </w:tabs>
        <w:rPr>
          <w:rFonts w:hint="eastAsia" w:ascii="仿宋" w:hAnsi="仿宋" w:eastAsia="仿宋" w:cs="仿宋"/>
          <w:highlight w:val="none"/>
          <w:lang w:val="en-US" w:eastAsia="zh-CN"/>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TOC \o "1-3" \h \z </w:instrText>
      </w:r>
      <w:r>
        <w:rPr>
          <w:rFonts w:hint="eastAsia" w:ascii="仿宋" w:hAnsi="仿宋" w:eastAsia="仿宋" w:cs="仿宋"/>
          <w:highlight w:val="none"/>
        </w:rPr>
        <w:fldChar w:fldCharType="separate"/>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_Toc6155 </w:instrText>
      </w:r>
      <w:r>
        <w:rPr>
          <w:rFonts w:hint="eastAsia" w:ascii="仿宋" w:hAnsi="仿宋" w:eastAsia="仿宋" w:cs="仿宋"/>
          <w:highlight w:val="none"/>
        </w:rPr>
        <w:fldChar w:fldCharType="separate"/>
      </w:r>
      <w:r>
        <w:rPr>
          <w:rFonts w:hint="eastAsia" w:ascii="仿宋" w:hAnsi="仿宋" w:eastAsia="仿宋" w:cs="仿宋"/>
          <w:w w:val="95"/>
          <w:highlight w:val="none"/>
        </w:rPr>
        <w:t xml:space="preserve">第一章 </w:t>
      </w:r>
      <w:r>
        <w:rPr>
          <w:rFonts w:hint="eastAsia" w:ascii="仿宋" w:hAnsi="仿宋" w:eastAsia="仿宋" w:cs="仿宋"/>
          <w:highlight w:val="none"/>
        </w:rPr>
        <w:fldChar w:fldCharType="end"/>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_Toc15730 </w:instrText>
      </w:r>
      <w:r>
        <w:rPr>
          <w:rFonts w:hint="eastAsia" w:ascii="仿宋" w:hAnsi="仿宋" w:eastAsia="仿宋" w:cs="仿宋"/>
          <w:highlight w:val="none"/>
        </w:rPr>
        <w:fldChar w:fldCharType="separate"/>
      </w:r>
      <w:r>
        <w:rPr>
          <w:rFonts w:hint="eastAsia" w:ascii="仿宋" w:hAnsi="仿宋" w:eastAsia="仿宋" w:cs="仿宋"/>
          <w:highlight w:val="none"/>
        </w:rPr>
        <w:t>竞争性磋商公告</w:t>
      </w:r>
      <w:r>
        <w:rPr>
          <w:rFonts w:hint="eastAsia" w:ascii="仿宋" w:hAnsi="仿宋" w:eastAsia="仿宋" w:cs="仿宋"/>
          <w:highlight w:val="none"/>
        </w:rPr>
        <w:tab/>
      </w:r>
      <w:r>
        <w:rPr>
          <w:rFonts w:hint="eastAsia" w:ascii="仿宋" w:hAnsi="仿宋" w:eastAsia="仿宋" w:cs="仿宋"/>
          <w:highlight w:val="none"/>
        </w:rPr>
        <w:fldChar w:fldCharType="end"/>
      </w:r>
      <w:r>
        <w:rPr>
          <w:rFonts w:hint="eastAsia" w:ascii="仿宋" w:hAnsi="仿宋" w:eastAsia="仿宋" w:cs="仿宋"/>
          <w:highlight w:val="none"/>
          <w:lang w:val="en-US" w:eastAsia="zh-CN"/>
        </w:rPr>
        <w:t>4</w:t>
      </w:r>
    </w:p>
    <w:p>
      <w:pPr>
        <w:pStyle w:val="14"/>
        <w:tabs>
          <w:tab w:val="right" w:pos="2400"/>
          <w:tab w:val="right" w:leader="dot" w:pos="9541"/>
          <w:tab w:val="clear" w:pos="9400"/>
        </w:tabs>
        <w:rPr>
          <w:rFonts w:hint="eastAsia" w:ascii="仿宋" w:hAnsi="仿宋" w:eastAsia="仿宋" w:cs="仿宋"/>
          <w:highlight w:val="none"/>
          <w:lang w:val="en-US" w:eastAsia="zh-CN"/>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_Toc25669 </w:instrText>
      </w:r>
      <w:r>
        <w:rPr>
          <w:rFonts w:hint="eastAsia" w:ascii="仿宋" w:hAnsi="仿宋" w:eastAsia="仿宋" w:cs="仿宋"/>
          <w:highlight w:val="none"/>
        </w:rPr>
        <w:fldChar w:fldCharType="separate"/>
      </w:r>
      <w:r>
        <w:rPr>
          <w:rFonts w:hint="eastAsia" w:ascii="仿宋" w:hAnsi="仿宋" w:eastAsia="仿宋" w:cs="仿宋"/>
          <w:w w:val="95"/>
          <w:highlight w:val="none"/>
        </w:rPr>
        <w:t>第二章</w:t>
      </w:r>
      <w:r>
        <w:rPr>
          <w:rFonts w:hint="eastAsia" w:ascii="仿宋" w:hAnsi="仿宋" w:eastAsia="仿宋" w:cs="仿宋"/>
          <w:w w:val="95"/>
          <w:highlight w:val="none"/>
        </w:rPr>
        <w:tab/>
      </w:r>
      <w:r>
        <w:rPr>
          <w:rFonts w:hint="eastAsia" w:ascii="仿宋" w:hAnsi="仿宋" w:eastAsia="仿宋" w:cs="仿宋"/>
          <w:w w:val="95"/>
          <w:highlight w:val="none"/>
        </w:rPr>
        <w:t xml:space="preserve"> </w:t>
      </w:r>
      <w:r>
        <w:rPr>
          <w:rFonts w:hint="eastAsia" w:ascii="仿宋" w:hAnsi="仿宋" w:eastAsia="仿宋" w:cs="仿宋"/>
          <w:highlight w:val="none"/>
        </w:rPr>
        <w:t>供应商须知及前附表</w:t>
      </w:r>
      <w:r>
        <w:rPr>
          <w:rFonts w:hint="eastAsia" w:ascii="仿宋" w:hAnsi="仿宋" w:eastAsia="仿宋" w:cs="仿宋"/>
          <w:highlight w:val="none"/>
        </w:rPr>
        <w:tab/>
      </w:r>
      <w:r>
        <w:rPr>
          <w:rFonts w:hint="eastAsia" w:ascii="仿宋" w:hAnsi="仿宋" w:eastAsia="仿宋" w:cs="仿宋"/>
          <w:highlight w:val="none"/>
        </w:rPr>
        <w:fldChar w:fldCharType="end"/>
      </w:r>
      <w:r>
        <w:rPr>
          <w:rFonts w:hint="eastAsia" w:ascii="仿宋" w:hAnsi="仿宋" w:eastAsia="仿宋" w:cs="仿宋"/>
          <w:highlight w:val="none"/>
          <w:lang w:val="en-US" w:eastAsia="zh-CN"/>
        </w:rPr>
        <w:t>5</w:t>
      </w:r>
    </w:p>
    <w:p>
      <w:pPr>
        <w:pStyle w:val="14"/>
        <w:tabs>
          <w:tab w:val="right" w:leader="dot" w:pos="9541"/>
          <w:tab w:val="clear" w:pos="9400"/>
        </w:tabs>
        <w:rPr>
          <w:rFonts w:hint="default" w:ascii="仿宋" w:hAnsi="仿宋" w:eastAsia="仿宋" w:cs="仿宋"/>
          <w:highlight w:val="none"/>
          <w:lang w:val="en-US" w:eastAsia="zh-CN"/>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_Toc1184 </w:instrText>
      </w:r>
      <w:r>
        <w:rPr>
          <w:rFonts w:hint="eastAsia" w:ascii="仿宋" w:hAnsi="仿宋" w:eastAsia="仿宋" w:cs="仿宋"/>
          <w:highlight w:val="none"/>
        </w:rPr>
        <w:fldChar w:fldCharType="separate"/>
      </w:r>
      <w:r>
        <w:rPr>
          <w:rFonts w:hint="eastAsia" w:ascii="仿宋" w:hAnsi="仿宋" w:eastAsia="仿宋" w:cs="仿宋"/>
          <w:w w:val="95"/>
          <w:highlight w:val="none"/>
        </w:rPr>
        <w:t xml:space="preserve">第三章 </w:t>
      </w:r>
      <w:r>
        <w:rPr>
          <w:rFonts w:hint="eastAsia" w:ascii="仿宋" w:hAnsi="仿宋" w:eastAsia="仿宋" w:cs="仿宋"/>
          <w:spacing w:val="1"/>
          <w:highlight w:val="none"/>
        </w:rPr>
        <w:t>评标办法</w:t>
      </w:r>
      <w:r>
        <w:rPr>
          <w:rFonts w:hint="eastAsia" w:ascii="仿宋" w:hAnsi="仿宋" w:eastAsia="仿宋" w:cs="仿宋"/>
          <w:highlight w:val="none"/>
        </w:rPr>
        <w:tab/>
      </w:r>
      <w:r>
        <w:rPr>
          <w:rFonts w:hint="eastAsia" w:ascii="仿宋" w:hAnsi="仿宋" w:eastAsia="仿宋" w:cs="仿宋"/>
          <w:highlight w:val="none"/>
        </w:rPr>
        <w:fldChar w:fldCharType="end"/>
      </w:r>
      <w:r>
        <w:rPr>
          <w:rFonts w:hint="eastAsia" w:ascii="仿宋" w:hAnsi="仿宋" w:eastAsia="仿宋" w:cs="仿宋"/>
          <w:highlight w:val="none"/>
          <w:lang w:val="en-US" w:eastAsia="zh-CN"/>
        </w:rPr>
        <w:t>28</w:t>
      </w:r>
    </w:p>
    <w:p>
      <w:pPr>
        <w:pStyle w:val="14"/>
        <w:tabs>
          <w:tab w:val="right" w:leader="dot" w:pos="9541"/>
          <w:tab w:val="clear" w:pos="9400"/>
        </w:tabs>
        <w:rPr>
          <w:rFonts w:hint="default" w:ascii="仿宋" w:hAnsi="仿宋" w:eastAsia="仿宋" w:cs="仿宋"/>
          <w:highlight w:val="none"/>
          <w:lang w:val="en-US" w:eastAsia="zh-CN"/>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_Toc14707 </w:instrText>
      </w:r>
      <w:r>
        <w:rPr>
          <w:rFonts w:hint="eastAsia" w:ascii="仿宋" w:hAnsi="仿宋" w:eastAsia="仿宋" w:cs="仿宋"/>
          <w:highlight w:val="none"/>
        </w:rPr>
        <w:fldChar w:fldCharType="separate"/>
      </w:r>
      <w:r>
        <w:rPr>
          <w:rFonts w:hint="eastAsia" w:ascii="仿宋" w:hAnsi="仿宋" w:eastAsia="仿宋" w:cs="仿宋"/>
          <w:spacing w:val="1"/>
          <w:highlight w:val="none"/>
        </w:rPr>
        <w:t>第四章 磋商内容</w:t>
      </w:r>
      <w:r>
        <w:rPr>
          <w:rFonts w:hint="eastAsia" w:ascii="仿宋" w:hAnsi="仿宋" w:eastAsia="仿宋" w:cs="仿宋"/>
          <w:highlight w:val="none"/>
        </w:rPr>
        <w:tab/>
      </w:r>
      <w:r>
        <w:rPr>
          <w:rFonts w:hint="eastAsia" w:ascii="仿宋" w:hAnsi="仿宋" w:eastAsia="仿宋" w:cs="仿宋"/>
          <w:highlight w:val="none"/>
        </w:rPr>
        <w:fldChar w:fldCharType="end"/>
      </w:r>
      <w:r>
        <w:rPr>
          <w:rFonts w:hint="eastAsia" w:ascii="仿宋" w:hAnsi="仿宋" w:eastAsia="仿宋" w:cs="仿宋"/>
          <w:highlight w:val="none"/>
          <w:lang w:val="en-US" w:eastAsia="zh-CN"/>
        </w:rPr>
        <w:t>38</w:t>
      </w:r>
    </w:p>
    <w:p>
      <w:pPr>
        <w:pStyle w:val="14"/>
        <w:tabs>
          <w:tab w:val="right" w:pos="2400"/>
          <w:tab w:val="right" w:leader="dot" w:pos="9541"/>
          <w:tab w:val="clear" w:pos="9400"/>
        </w:tabs>
        <w:rPr>
          <w:rFonts w:hint="default" w:ascii="仿宋" w:hAnsi="仿宋" w:eastAsia="仿宋" w:cs="仿宋"/>
          <w:highlight w:val="none"/>
          <w:lang w:val="en-US" w:eastAsia="zh-CN"/>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_Toc14342 </w:instrText>
      </w:r>
      <w:r>
        <w:rPr>
          <w:rFonts w:hint="eastAsia" w:ascii="仿宋" w:hAnsi="仿宋" w:eastAsia="仿宋" w:cs="仿宋"/>
          <w:highlight w:val="none"/>
        </w:rPr>
        <w:fldChar w:fldCharType="separate"/>
      </w:r>
      <w:r>
        <w:rPr>
          <w:rFonts w:hint="eastAsia" w:ascii="仿宋" w:hAnsi="仿宋" w:eastAsia="仿宋" w:cs="仿宋"/>
          <w:highlight w:val="none"/>
        </w:rPr>
        <w:t xml:space="preserve">第五章 </w:t>
      </w:r>
      <w:r>
        <w:rPr>
          <w:rFonts w:hint="eastAsia" w:ascii="仿宋" w:hAnsi="仿宋" w:eastAsia="仿宋" w:cs="仿宋"/>
          <w:highlight w:val="none"/>
        </w:rPr>
        <w:tab/>
      </w:r>
      <w:r>
        <w:rPr>
          <w:rFonts w:hint="eastAsia" w:ascii="仿宋" w:hAnsi="仿宋" w:eastAsia="仿宋" w:cs="仿宋"/>
          <w:highlight w:val="none"/>
        </w:rPr>
        <w:t>合同条款及合同格式</w:t>
      </w:r>
      <w:r>
        <w:rPr>
          <w:rFonts w:hint="eastAsia" w:ascii="仿宋" w:hAnsi="仿宋" w:eastAsia="仿宋" w:cs="仿宋"/>
          <w:highlight w:val="none"/>
          <w:lang w:eastAsia="zh-CN"/>
        </w:rPr>
        <w:t>（</w:t>
      </w:r>
      <w:r>
        <w:rPr>
          <w:rFonts w:hint="eastAsia" w:ascii="仿宋" w:hAnsi="仿宋" w:eastAsia="仿宋" w:cs="仿宋"/>
          <w:highlight w:val="none"/>
          <w:lang w:val="en-US" w:eastAsia="zh-CN"/>
        </w:rPr>
        <w:t>范本</w:t>
      </w:r>
      <w:r>
        <w:rPr>
          <w:rFonts w:hint="eastAsia" w:ascii="仿宋" w:hAnsi="仿宋" w:eastAsia="仿宋" w:cs="仿宋"/>
          <w:highlight w:val="none"/>
          <w:lang w:eastAsia="zh-CN"/>
        </w:rPr>
        <w:t>）</w:t>
      </w:r>
      <w:r>
        <w:rPr>
          <w:rFonts w:hint="eastAsia" w:ascii="仿宋" w:hAnsi="仿宋" w:eastAsia="仿宋" w:cs="仿宋"/>
          <w:highlight w:val="none"/>
        </w:rPr>
        <w:tab/>
      </w:r>
      <w:r>
        <w:rPr>
          <w:rFonts w:hint="eastAsia" w:ascii="仿宋" w:hAnsi="仿宋" w:eastAsia="仿宋" w:cs="仿宋"/>
          <w:highlight w:val="none"/>
        </w:rPr>
        <w:fldChar w:fldCharType="end"/>
      </w:r>
      <w:r>
        <w:rPr>
          <w:rFonts w:hint="eastAsia" w:ascii="仿宋" w:hAnsi="仿宋" w:eastAsia="仿宋" w:cs="仿宋"/>
          <w:highlight w:val="none"/>
          <w:lang w:val="en-US" w:eastAsia="zh-CN"/>
        </w:rPr>
        <w:t>39</w:t>
      </w:r>
    </w:p>
    <w:p>
      <w:pPr>
        <w:pStyle w:val="14"/>
        <w:tabs>
          <w:tab w:val="right" w:pos="2400"/>
          <w:tab w:val="right" w:leader="dot" w:pos="9541"/>
          <w:tab w:val="clear" w:pos="9400"/>
        </w:tabs>
        <w:rPr>
          <w:rFonts w:hint="default" w:ascii="仿宋" w:hAnsi="仿宋" w:eastAsia="仿宋" w:cs="仿宋"/>
          <w:highlight w:val="none"/>
          <w:lang w:val="en-US" w:eastAsia="zh-CN"/>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_Toc8733 </w:instrText>
      </w:r>
      <w:r>
        <w:rPr>
          <w:rFonts w:hint="eastAsia" w:ascii="仿宋" w:hAnsi="仿宋" w:eastAsia="仿宋" w:cs="仿宋"/>
          <w:highlight w:val="none"/>
        </w:rPr>
        <w:fldChar w:fldCharType="separate"/>
      </w:r>
      <w:r>
        <w:rPr>
          <w:rFonts w:hint="eastAsia" w:ascii="仿宋" w:hAnsi="仿宋" w:eastAsia="仿宋" w:cs="仿宋"/>
          <w:w w:val="95"/>
          <w:highlight w:val="none"/>
        </w:rPr>
        <w:t>第六章</w:t>
      </w:r>
      <w:r>
        <w:rPr>
          <w:rFonts w:hint="eastAsia" w:ascii="仿宋" w:hAnsi="仿宋" w:eastAsia="仿宋" w:cs="仿宋"/>
          <w:w w:val="95"/>
          <w:highlight w:val="none"/>
        </w:rPr>
        <w:tab/>
      </w:r>
      <w:r>
        <w:rPr>
          <w:rFonts w:hint="eastAsia" w:ascii="仿宋" w:hAnsi="仿宋" w:eastAsia="仿宋" w:cs="仿宋"/>
          <w:w w:val="95"/>
          <w:highlight w:val="none"/>
        </w:rPr>
        <w:t xml:space="preserve"> </w:t>
      </w:r>
      <w:r>
        <w:rPr>
          <w:rFonts w:hint="eastAsia" w:ascii="仿宋" w:hAnsi="仿宋" w:eastAsia="仿宋" w:cs="仿宋"/>
          <w:highlight w:val="none"/>
        </w:rPr>
        <w:t>磋商响应性文件格式</w:t>
      </w:r>
      <w:r>
        <w:rPr>
          <w:rFonts w:hint="eastAsia" w:ascii="仿宋" w:hAnsi="仿宋" w:eastAsia="仿宋" w:cs="仿宋"/>
          <w:highlight w:val="none"/>
        </w:rPr>
        <w:tab/>
      </w:r>
      <w:r>
        <w:rPr>
          <w:rFonts w:hint="eastAsia" w:ascii="仿宋" w:hAnsi="仿宋" w:eastAsia="仿宋" w:cs="仿宋"/>
          <w:highlight w:val="none"/>
        </w:rPr>
        <w:fldChar w:fldCharType="end"/>
      </w:r>
      <w:r>
        <w:rPr>
          <w:rFonts w:hint="eastAsia" w:ascii="仿宋" w:hAnsi="仿宋" w:eastAsia="仿宋" w:cs="仿宋"/>
          <w:highlight w:val="none"/>
          <w:lang w:val="en-US" w:eastAsia="zh-CN"/>
        </w:rPr>
        <w:t>43</w:t>
      </w:r>
    </w:p>
    <w:p>
      <w:pPr>
        <w:pStyle w:val="8"/>
        <w:rPr>
          <w:rFonts w:hint="eastAsia" w:ascii="仿宋" w:hAnsi="仿宋" w:eastAsia="仿宋" w:cs="仿宋"/>
          <w:highlight w:val="none"/>
        </w:rPr>
      </w:pPr>
      <w:r>
        <w:rPr>
          <w:rFonts w:hint="eastAsia" w:ascii="仿宋" w:hAnsi="仿宋" w:eastAsia="仿宋" w:cs="仿宋"/>
          <w:highlight w:val="none"/>
        </w:rPr>
        <w:fldChar w:fldCharType="end"/>
      </w:r>
    </w:p>
    <w:p>
      <w:pPr>
        <w:rPr>
          <w:rFonts w:hint="eastAsia" w:ascii="仿宋" w:hAnsi="仿宋" w:eastAsia="仿宋" w:cs="仿宋"/>
          <w:highlight w:val="none"/>
        </w:rPr>
      </w:pPr>
      <w:r>
        <w:rPr>
          <w:rFonts w:hint="eastAsia" w:ascii="仿宋" w:hAnsi="仿宋" w:eastAsia="仿宋" w:cs="仿宋"/>
          <w:highlight w:val="none"/>
        </w:rPr>
        <w:br w:type="page"/>
      </w:r>
    </w:p>
    <w:p>
      <w:pPr>
        <w:pStyle w:val="2"/>
        <w:numPr>
          <w:ilvl w:val="0"/>
          <w:numId w:val="0"/>
        </w:numPr>
        <w:jc w:val="center"/>
        <w:rPr>
          <w:rStyle w:val="29"/>
          <w:rFonts w:hint="eastAsia" w:ascii="仿宋" w:hAnsi="仿宋" w:eastAsia="仿宋" w:cs="仿宋"/>
          <w:b/>
          <w:bCs/>
          <w:i w:val="0"/>
          <w:caps w:val="0"/>
          <w:spacing w:val="0"/>
          <w:w w:val="100"/>
          <w:kern w:val="2"/>
          <w:sz w:val="32"/>
          <w:szCs w:val="32"/>
          <w:highlight w:val="none"/>
          <w:lang w:val="en-US" w:eastAsia="zh-CN" w:bidi="ar-SA"/>
        </w:rPr>
      </w:pPr>
      <w:r>
        <w:rPr>
          <w:rStyle w:val="29"/>
          <w:rFonts w:hint="eastAsia" w:ascii="仿宋" w:hAnsi="仿宋" w:eastAsia="仿宋" w:cs="仿宋"/>
          <w:b/>
          <w:bCs/>
          <w:i w:val="0"/>
          <w:caps w:val="0"/>
          <w:spacing w:val="0"/>
          <w:w w:val="100"/>
          <w:kern w:val="2"/>
          <w:sz w:val="32"/>
          <w:szCs w:val="32"/>
          <w:highlight w:val="none"/>
          <w:lang w:val="en-US" w:eastAsia="zh-CN" w:bidi="ar-SA"/>
        </w:rPr>
        <w:t>第一章</w:t>
      </w:r>
      <w:r>
        <w:rPr>
          <w:rStyle w:val="29"/>
          <w:rFonts w:hint="eastAsia" w:ascii="仿宋" w:hAnsi="仿宋" w:cs="仿宋"/>
          <w:b/>
          <w:bCs/>
          <w:i w:val="0"/>
          <w:caps w:val="0"/>
          <w:spacing w:val="0"/>
          <w:w w:val="100"/>
          <w:kern w:val="2"/>
          <w:sz w:val="32"/>
          <w:szCs w:val="32"/>
          <w:highlight w:val="none"/>
          <w:lang w:val="en-US" w:eastAsia="zh-CN" w:bidi="ar-SA"/>
        </w:rPr>
        <w:t xml:space="preserve"> </w:t>
      </w:r>
      <w:r>
        <w:rPr>
          <w:rStyle w:val="29"/>
          <w:rFonts w:hint="eastAsia" w:ascii="仿宋" w:hAnsi="仿宋" w:eastAsia="仿宋" w:cs="仿宋"/>
          <w:b/>
          <w:bCs/>
          <w:i w:val="0"/>
          <w:caps w:val="0"/>
          <w:spacing w:val="0"/>
          <w:w w:val="100"/>
          <w:kern w:val="2"/>
          <w:sz w:val="32"/>
          <w:szCs w:val="32"/>
          <w:highlight w:val="none"/>
          <w:lang w:val="en-US" w:eastAsia="zh-CN" w:bidi="ar-SA"/>
        </w:rPr>
        <w:t>竞争性磋商公告</w:t>
      </w:r>
    </w:p>
    <w:p>
      <w:pPr>
        <w:numPr>
          <w:ilvl w:val="0"/>
          <w:numId w:val="0"/>
        </w:numPr>
        <w:ind w:left="2498" w:leftChars="0" w:firstLine="420" w:firstLineChars="200"/>
        <w:rPr>
          <w:rFonts w:hint="default"/>
          <w:color w:val="auto"/>
          <w:highlight w:val="none"/>
          <w:lang w:val="en-US" w:eastAsia="zh-CN"/>
        </w:rPr>
      </w:pPr>
      <w:r>
        <w:rPr>
          <w:rFonts w:hint="eastAsia"/>
          <w:color w:val="auto"/>
          <w:highlight w:val="none"/>
          <w:lang w:val="en-US" w:eastAsia="zh-CN"/>
        </w:rPr>
        <w:t>（详见新疆政府采购网）</w:t>
      </w:r>
    </w:p>
    <w:p>
      <w:pPr>
        <w:numPr>
          <w:ilvl w:val="0"/>
          <w:numId w:val="0"/>
        </w:numPr>
        <w:ind w:left="2710" w:leftChars="0"/>
        <w:rPr>
          <w:rFonts w:hint="eastAsia"/>
          <w:lang w:val="en-US" w:eastAsia="zh-CN"/>
        </w:rPr>
      </w:pPr>
    </w:p>
    <w:p/>
    <w:p>
      <w:pPr>
        <w:pStyle w:val="8"/>
      </w:pPr>
    </w:p>
    <w:p/>
    <w:p>
      <w:pPr>
        <w:pStyle w:val="8"/>
      </w:pPr>
    </w:p>
    <w:p/>
    <w:p>
      <w:pPr>
        <w:pStyle w:val="8"/>
      </w:pPr>
    </w:p>
    <w:p/>
    <w:p>
      <w:pPr>
        <w:pStyle w:val="8"/>
      </w:pPr>
    </w:p>
    <w:p/>
    <w:p>
      <w:pPr>
        <w:pStyle w:val="8"/>
      </w:pPr>
    </w:p>
    <w:p/>
    <w:p>
      <w:pPr>
        <w:pStyle w:val="8"/>
      </w:pPr>
    </w:p>
    <w:p/>
    <w:p>
      <w:pPr>
        <w:pStyle w:val="8"/>
      </w:pPr>
    </w:p>
    <w:p/>
    <w:p>
      <w:pPr>
        <w:pStyle w:val="8"/>
      </w:pPr>
    </w:p>
    <w:p/>
    <w:p>
      <w:pPr>
        <w:pStyle w:val="8"/>
      </w:pPr>
    </w:p>
    <w:p/>
    <w:p>
      <w:pPr>
        <w:pStyle w:val="8"/>
      </w:pPr>
    </w:p>
    <w:p/>
    <w:p>
      <w:pPr>
        <w:pStyle w:val="8"/>
      </w:pPr>
    </w:p>
    <w:p/>
    <w:p>
      <w:pPr>
        <w:pStyle w:val="8"/>
      </w:pPr>
    </w:p>
    <w:p>
      <w:pPr>
        <w:pStyle w:val="8"/>
        <w:ind w:left="0" w:leftChars="0" w:firstLine="0" w:firstLineChars="0"/>
        <w:rPr>
          <w:rFonts w:hint="eastAsia"/>
        </w:rPr>
      </w:pPr>
    </w:p>
    <w:p>
      <w:pPr>
        <w:rPr>
          <w:rFonts w:hint="eastAsia"/>
        </w:rPr>
      </w:pPr>
    </w:p>
    <w:p>
      <w:pPr>
        <w:pStyle w:val="8"/>
        <w:rPr>
          <w:rFonts w:hint="eastAsia"/>
        </w:rPr>
      </w:pPr>
    </w:p>
    <w:p>
      <w:pPr>
        <w:rPr>
          <w:rFonts w:hint="eastAsia"/>
        </w:rPr>
      </w:pPr>
    </w:p>
    <w:p>
      <w:pPr>
        <w:pStyle w:val="8"/>
        <w:rPr>
          <w:rFonts w:hint="eastAsia"/>
        </w:rPr>
      </w:pPr>
    </w:p>
    <w:p>
      <w:pPr>
        <w:pStyle w:val="8"/>
        <w:ind w:left="0" w:leftChars="0" w:firstLine="0" w:firstLineChars="0"/>
        <w:rPr>
          <w:rFonts w:hint="eastAsia"/>
        </w:rPr>
      </w:pPr>
    </w:p>
    <w:p>
      <w:pPr>
        <w:pStyle w:val="2"/>
        <w:jc w:val="center"/>
        <w:rPr>
          <w:rFonts w:hint="eastAsia" w:ascii="仿宋" w:hAnsi="仿宋" w:eastAsia="仿宋" w:cs="仿宋"/>
          <w:highlight w:val="none"/>
        </w:rPr>
      </w:pPr>
      <w:r>
        <w:rPr>
          <w:rFonts w:hint="eastAsia" w:ascii="仿宋" w:hAnsi="仿宋" w:eastAsia="仿宋" w:cs="仿宋"/>
          <w:w w:val="95"/>
          <w:highlight w:val="none"/>
        </w:rPr>
        <w:t>第</w:t>
      </w:r>
      <w:bookmarkStart w:id="0" w:name="bookmark2"/>
      <w:bookmarkEnd w:id="0"/>
      <w:bookmarkStart w:id="1" w:name="（一）供应商须知前附表"/>
      <w:bookmarkEnd w:id="1"/>
      <w:r>
        <w:rPr>
          <w:rFonts w:hint="eastAsia" w:ascii="仿宋" w:hAnsi="仿宋" w:eastAsia="仿宋" w:cs="仿宋"/>
          <w:w w:val="95"/>
          <w:highlight w:val="none"/>
        </w:rPr>
        <w:t>二章</w:t>
      </w:r>
      <w:r>
        <w:rPr>
          <w:rFonts w:hint="eastAsia" w:ascii="仿宋" w:hAnsi="仿宋" w:eastAsia="仿宋" w:cs="仿宋"/>
          <w:w w:val="95"/>
          <w:highlight w:val="none"/>
        </w:rPr>
        <w:tab/>
      </w:r>
      <w:r>
        <w:rPr>
          <w:rFonts w:hint="eastAsia" w:ascii="仿宋" w:hAnsi="仿宋" w:eastAsia="仿宋" w:cs="仿宋"/>
          <w:highlight w:val="none"/>
        </w:rPr>
        <w:t>供应商须知及前附表</w:t>
      </w:r>
    </w:p>
    <w:p>
      <w:pPr>
        <w:pStyle w:val="3"/>
        <w:rPr>
          <w:rFonts w:hint="eastAsia" w:ascii="仿宋" w:hAnsi="仿宋" w:eastAsia="仿宋" w:cs="仿宋"/>
          <w:highlight w:val="none"/>
        </w:rPr>
      </w:pPr>
      <w:bookmarkStart w:id="2" w:name="_Toc7077"/>
      <w:r>
        <w:rPr>
          <w:rFonts w:hint="eastAsia" w:ascii="仿宋" w:hAnsi="仿宋" w:eastAsia="仿宋" w:cs="仿宋"/>
          <w:highlight w:val="none"/>
        </w:rPr>
        <w:t>（一）供应商须知前附表</w:t>
      </w:r>
      <w:bookmarkEnd w:id="2"/>
    </w:p>
    <w:tbl>
      <w:tblPr>
        <w:tblStyle w:val="21"/>
        <w:tblW w:w="91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2"/>
        <w:gridCol w:w="8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exact"/>
          <w:jc w:val="center"/>
        </w:trPr>
        <w:tc>
          <w:tcPr>
            <w:tcW w:w="672" w:type="dxa"/>
            <w:noWrap w:val="0"/>
            <w:vAlign w:val="top"/>
          </w:tcPr>
          <w:p>
            <w:pPr>
              <w:pStyle w:val="30"/>
              <w:kinsoku w:val="0"/>
              <w:overflowPunct w:val="0"/>
              <w:spacing w:before="74"/>
              <w:ind w:left="13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序号</w:t>
            </w:r>
          </w:p>
        </w:tc>
        <w:tc>
          <w:tcPr>
            <w:tcW w:w="8475" w:type="dxa"/>
            <w:tcBorders>
              <w:bottom w:val="single" w:color="auto" w:sz="4" w:space="0"/>
            </w:tcBorders>
            <w:noWrap w:val="0"/>
            <w:vAlign w:val="top"/>
          </w:tcPr>
          <w:p>
            <w:pPr>
              <w:pStyle w:val="30"/>
              <w:tabs>
                <w:tab w:val="left" w:pos="627"/>
                <w:tab w:val="left" w:pos="1227"/>
                <w:tab w:val="left" w:pos="1832"/>
              </w:tabs>
              <w:kinsoku w:val="0"/>
              <w:overflowPunct w:val="0"/>
              <w:spacing w:before="74" w:line="360" w:lineRule="auto"/>
              <w:ind w:left="25"/>
              <w:jc w:val="center"/>
              <w:rPr>
                <w:rFonts w:hint="eastAsia" w:ascii="仿宋" w:hAnsi="仿宋" w:eastAsia="仿宋" w:cs="仿宋"/>
                <w:color w:val="auto"/>
                <w:sz w:val="24"/>
                <w:szCs w:val="24"/>
                <w:highlight w:val="none"/>
              </w:rPr>
            </w:pPr>
            <w:r>
              <w:rPr>
                <w:rFonts w:hint="eastAsia" w:ascii="仿宋" w:hAnsi="仿宋" w:eastAsia="仿宋" w:cs="仿宋"/>
                <w:b/>
                <w:bCs/>
                <w:color w:val="auto"/>
                <w:w w:val="95"/>
                <w:sz w:val="24"/>
                <w:szCs w:val="24"/>
                <w:highlight w:val="none"/>
              </w:rPr>
              <w:t>内</w:t>
            </w:r>
            <w:r>
              <w:rPr>
                <w:rFonts w:hint="eastAsia" w:ascii="仿宋" w:hAnsi="仿宋" w:eastAsia="仿宋" w:cs="仿宋"/>
                <w:b/>
                <w:bCs/>
                <w:color w:val="auto"/>
                <w:w w:val="95"/>
                <w:sz w:val="24"/>
                <w:szCs w:val="24"/>
                <w:highlight w:val="none"/>
              </w:rPr>
              <w:tab/>
            </w:r>
            <w:r>
              <w:rPr>
                <w:rFonts w:hint="eastAsia" w:ascii="仿宋" w:hAnsi="仿宋" w:eastAsia="仿宋" w:cs="仿宋"/>
                <w:b/>
                <w:bCs/>
                <w:color w:val="auto"/>
                <w:w w:val="95"/>
                <w:sz w:val="24"/>
                <w:szCs w:val="24"/>
                <w:highlight w:val="none"/>
              </w:rPr>
              <w:t>容</w:t>
            </w:r>
            <w:r>
              <w:rPr>
                <w:rFonts w:hint="eastAsia" w:ascii="仿宋" w:hAnsi="仿宋" w:eastAsia="仿宋" w:cs="仿宋"/>
                <w:b/>
                <w:bCs/>
                <w:color w:val="auto"/>
                <w:w w:val="95"/>
                <w:sz w:val="24"/>
                <w:szCs w:val="24"/>
                <w:highlight w:val="none"/>
              </w:rPr>
              <w:tab/>
            </w:r>
            <w:r>
              <w:rPr>
                <w:rFonts w:hint="eastAsia" w:ascii="仿宋" w:hAnsi="仿宋" w:eastAsia="仿宋" w:cs="仿宋"/>
                <w:b/>
                <w:bCs/>
                <w:color w:val="auto"/>
                <w:w w:val="95"/>
                <w:sz w:val="24"/>
                <w:szCs w:val="24"/>
                <w:highlight w:val="none"/>
              </w:rPr>
              <w:t>规</w:t>
            </w:r>
            <w:r>
              <w:rPr>
                <w:rFonts w:hint="eastAsia" w:ascii="仿宋" w:hAnsi="仿宋" w:eastAsia="仿宋" w:cs="仿宋"/>
                <w:b/>
                <w:bCs/>
                <w:color w:val="auto"/>
                <w:w w:val="95"/>
                <w:sz w:val="24"/>
                <w:szCs w:val="24"/>
                <w:highlight w:val="none"/>
              </w:rPr>
              <w:tab/>
            </w:r>
            <w:r>
              <w:rPr>
                <w:rFonts w:hint="eastAsia" w:ascii="仿宋" w:hAnsi="仿宋" w:eastAsia="仿宋" w:cs="仿宋"/>
                <w:b/>
                <w:bCs/>
                <w:color w:val="auto"/>
                <w:sz w:val="24"/>
                <w:szCs w:val="24"/>
                <w:highlight w:val="none"/>
              </w:rPr>
              <w:t>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exact"/>
          <w:jc w:val="center"/>
        </w:trPr>
        <w:tc>
          <w:tcPr>
            <w:tcW w:w="672" w:type="dxa"/>
            <w:vMerge w:val="restart"/>
            <w:noWrap w:val="0"/>
            <w:vAlign w:val="center"/>
          </w:tcPr>
          <w:p>
            <w:pPr>
              <w:pStyle w:val="30"/>
              <w:kinsoku w:val="0"/>
              <w:overflowPunct w:val="0"/>
              <w:ind w:right="14"/>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8475" w:type="dxa"/>
            <w:tcBorders>
              <w:bottom w:val="nil"/>
            </w:tcBorders>
            <w:noWrap w:val="0"/>
            <w:vAlign w:val="center"/>
          </w:tcPr>
          <w:p>
            <w:pPr>
              <w:pStyle w:val="30"/>
              <w:kinsoku w:val="0"/>
              <w:overflowPunct w:val="0"/>
              <w:spacing w:before="57"/>
              <w:ind w:left="102"/>
              <w:jc w:val="both"/>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采 购 人：</w:t>
            </w:r>
            <w:r>
              <w:rPr>
                <w:rFonts w:hint="eastAsia" w:ascii="仿宋" w:hAnsi="仿宋" w:eastAsia="仿宋" w:cs="仿宋"/>
                <w:b w:val="0"/>
                <w:bCs w:val="0"/>
                <w:color w:val="auto"/>
                <w:sz w:val="24"/>
                <w:szCs w:val="24"/>
                <w:highlight w:val="none"/>
                <w:lang w:val="en-US" w:eastAsia="zh-CN"/>
              </w:rPr>
              <w:t>拜城县交通运输局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6" w:hRule="exact"/>
          <w:jc w:val="center"/>
        </w:trPr>
        <w:tc>
          <w:tcPr>
            <w:tcW w:w="672" w:type="dxa"/>
            <w:vMerge w:val="continue"/>
            <w:noWrap w:val="0"/>
            <w:vAlign w:val="center"/>
          </w:tcPr>
          <w:p>
            <w:pPr>
              <w:pStyle w:val="30"/>
              <w:kinsoku w:val="0"/>
              <w:overflowPunct w:val="0"/>
              <w:spacing w:before="57"/>
              <w:ind w:left="102"/>
              <w:jc w:val="center"/>
              <w:rPr>
                <w:rFonts w:hint="eastAsia" w:ascii="仿宋" w:hAnsi="仿宋" w:eastAsia="仿宋" w:cs="仿宋"/>
                <w:color w:val="auto"/>
                <w:sz w:val="24"/>
                <w:szCs w:val="24"/>
                <w:highlight w:val="none"/>
              </w:rPr>
            </w:pPr>
          </w:p>
        </w:tc>
        <w:tc>
          <w:tcPr>
            <w:tcW w:w="8475" w:type="dxa"/>
            <w:tcBorders>
              <w:top w:val="nil"/>
              <w:bottom w:val="nil"/>
            </w:tcBorders>
            <w:noWrap w:val="0"/>
            <w:vAlign w:val="center"/>
          </w:tcPr>
          <w:p>
            <w:pPr>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bCs/>
                <w:color w:val="auto"/>
                <w:sz w:val="24"/>
                <w:szCs w:val="24"/>
                <w:highlight w:val="none"/>
              </w:rPr>
              <w:t>地</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t xml:space="preserve">   址：</w:t>
            </w:r>
            <w:r>
              <w:rPr>
                <w:rFonts w:hint="eastAsia" w:ascii="仿宋" w:hAnsi="仿宋" w:eastAsia="仿宋" w:cs="仿宋"/>
                <w:b w:val="0"/>
                <w:bCs w:val="0"/>
                <w:color w:val="auto"/>
                <w:kern w:val="0"/>
                <w:sz w:val="24"/>
                <w:szCs w:val="24"/>
                <w:highlight w:val="none"/>
                <w:lang w:val="en-US" w:eastAsia="zh-CN" w:bidi="ar-SA"/>
              </w:rPr>
              <w:t>拜城县农林大厦8楼</w:t>
            </w:r>
          </w:p>
          <w:p>
            <w:pPr>
              <w:pStyle w:val="30"/>
              <w:kinsoku w:val="0"/>
              <w:overflowPunct w:val="0"/>
              <w:spacing w:before="57"/>
              <w:ind w:left="102"/>
              <w:jc w:val="both"/>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bCs/>
                <w:color w:val="auto"/>
                <w:sz w:val="24"/>
                <w:szCs w:val="24"/>
                <w:highlight w:val="none"/>
              </w:rPr>
              <w:t>联 系 人：</w:t>
            </w:r>
            <w:r>
              <w:rPr>
                <w:rFonts w:hint="eastAsia" w:ascii="仿宋" w:hAnsi="仿宋" w:eastAsia="仿宋" w:cs="仿宋"/>
                <w:b w:val="0"/>
                <w:bCs w:val="0"/>
                <w:color w:val="auto"/>
                <w:kern w:val="0"/>
                <w:sz w:val="24"/>
                <w:szCs w:val="24"/>
                <w:highlight w:val="none"/>
                <w:lang w:val="en-US" w:eastAsia="zh-CN" w:bidi="ar-SA"/>
              </w:rPr>
              <w:t>高春花</w:t>
            </w:r>
          </w:p>
          <w:p>
            <w:pPr>
              <w:pStyle w:val="30"/>
              <w:kinsoku w:val="0"/>
              <w:overflowPunct w:val="0"/>
              <w:spacing w:before="57"/>
              <w:ind w:left="102"/>
              <w:jc w:val="both"/>
              <w:rPr>
                <w:rFonts w:hint="eastAsia" w:ascii="仿宋" w:hAnsi="仿宋" w:eastAsia="仿宋" w:cs="仿宋"/>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exact"/>
          <w:jc w:val="center"/>
        </w:trPr>
        <w:tc>
          <w:tcPr>
            <w:tcW w:w="672" w:type="dxa"/>
            <w:vMerge w:val="continue"/>
            <w:noWrap w:val="0"/>
            <w:vAlign w:val="center"/>
          </w:tcPr>
          <w:p>
            <w:pPr>
              <w:pStyle w:val="30"/>
              <w:tabs>
                <w:tab w:val="left" w:pos="824"/>
              </w:tabs>
              <w:kinsoku w:val="0"/>
              <w:overflowPunct w:val="0"/>
              <w:spacing w:before="16" w:line="320" w:lineRule="auto"/>
              <w:ind w:left="102" w:right="4066"/>
              <w:jc w:val="center"/>
              <w:rPr>
                <w:rFonts w:hint="eastAsia" w:ascii="仿宋" w:hAnsi="仿宋" w:eastAsia="仿宋" w:cs="仿宋"/>
                <w:color w:val="auto"/>
                <w:sz w:val="24"/>
                <w:szCs w:val="24"/>
                <w:highlight w:val="none"/>
              </w:rPr>
            </w:pPr>
          </w:p>
        </w:tc>
        <w:tc>
          <w:tcPr>
            <w:tcW w:w="8475" w:type="dxa"/>
            <w:tcBorders>
              <w:top w:val="nil"/>
              <w:bottom w:val="single" w:color="auto" w:sz="4" w:space="0"/>
            </w:tcBorders>
            <w:noWrap w:val="0"/>
            <w:vAlign w:val="center"/>
          </w:tcPr>
          <w:p>
            <w:pPr>
              <w:pStyle w:val="30"/>
              <w:kinsoku w:val="0"/>
              <w:overflowPunct w:val="0"/>
              <w:spacing w:before="57"/>
              <w:ind w:left="102"/>
              <w:jc w:val="both"/>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bCs/>
                <w:color w:val="auto"/>
                <w:sz w:val="24"/>
                <w:szCs w:val="24"/>
                <w:highlight w:val="none"/>
              </w:rPr>
              <w:t>联系电话：</w:t>
            </w:r>
            <w:r>
              <w:rPr>
                <w:rFonts w:hint="eastAsia" w:ascii="仿宋" w:hAnsi="仿宋" w:eastAsia="仿宋" w:cs="仿宋"/>
                <w:b w:val="0"/>
                <w:bCs w:val="0"/>
                <w:color w:val="auto"/>
                <w:kern w:val="0"/>
                <w:sz w:val="24"/>
                <w:szCs w:val="24"/>
                <w:highlight w:val="none"/>
                <w:lang w:val="en-US" w:eastAsia="zh-CN" w:bidi="ar-SA"/>
              </w:rPr>
              <w:t>15009087323</w:t>
            </w:r>
          </w:p>
          <w:p>
            <w:pPr>
              <w:pStyle w:val="30"/>
              <w:kinsoku w:val="0"/>
              <w:overflowPunct w:val="0"/>
              <w:spacing w:before="57"/>
              <w:ind w:left="102"/>
              <w:jc w:val="both"/>
              <w:rPr>
                <w:rFonts w:hint="eastAsia" w:ascii="仿宋" w:hAnsi="仿宋" w:eastAsia="仿宋" w:cs="仿宋"/>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exact"/>
          <w:jc w:val="center"/>
        </w:trPr>
        <w:tc>
          <w:tcPr>
            <w:tcW w:w="672" w:type="dxa"/>
            <w:vMerge w:val="restart"/>
            <w:noWrap w:val="0"/>
            <w:vAlign w:val="center"/>
          </w:tcPr>
          <w:p>
            <w:pPr>
              <w:pStyle w:val="30"/>
              <w:kinsoku w:val="0"/>
              <w:overflowPunct w:val="0"/>
              <w:ind w:right="14"/>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8475" w:type="dxa"/>
            <w:tcBorders>
              <w:bottom w:val="nil"/>
            </w:tcBorders>
            <w:noWrap w:val="0"/>
            <w:vAlign w:val="center"/>
          </w:tcPr>
          <w:p>
            <w:pPr>
              <w:pStyle w:val="30"/>
              <w:kinsoku w:val="0"/>
              <w:overflowPunct w:val="0"/>
              <w:spacing w:before="56"/>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color w:val="auto"/>
                <w:sz w:val="24"/>
                <w:szCs w:val="24"/>
                <w:highlight w:val="none"/>
              </w:rPr>
              <w:t>代理机构：</w:t>
            </w:r>
            <w:r>
              <w:rPr>
                <w:rFonts w:hint="eastAsia" w:ascii="仿宋" w:hAnsi="仿宋" w:eastAsia="仿宋" w:cs="仿宋"/>
                <w:b w:val="0"/>
                <w:bCs w:val="0"/>
                <w:color w:val="auto"/>
                <w:sz w:val="24"/>
                <w:szCs w:val="24"/>
                <w:highlight w:val="none"/>
                <w:lang w:val="en-US" w:eastAsia="zh-CN"/>
              </w:rPr>
              <w:t>新疆中凯兴项目管理咨询有限公司</w:t>
            </w:r>
          </w:p>
          <w:p>
            <w:pPr>
              <w:pStyle w:val="30"/>
              <w:kinsoku w:val="0"/>
              <w:overflowPunct w:val="0"/>
              <w:spacing w:before="56"/>
              <w:jc w:val="both"/>
              <w:rPr>
                <w:rFonts w:hint="eastAsia" w:ascii="仿宋" w:hAnsi="仿宋" w:eastAsia="仿宋" w:cs="仿宋"/>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exact"/>
          <w:jc w:val="center"/>
        </w:trPr>
        <w:tc>
          <w:tcPr>
            <w:tcW w:w="672" w:type="dxa"/>
            <w:vMerge w:val="continue"/>
            <w:noWrap w:val="0"/>
            <w:vAlign w:val="center"/>
          </w:tcPr>
          <w:p>
            <w:pPr>
              <w:pStyle w:val="30"/>
              <w:kinsoku w:val="0"/>
              <w:overflowPunct w:val="0"/>
              <w:spacing w:before="56"/>
              <w:ind w:left="102"/>
              <w:jc w:val="center"/>
              <w:rPr>
                <w:rFonts w:hint="eastAsia" w:ascii="仿宋" w:hAnsi="仿宋" w:eastAsia="仿宋" w:cs="仿宋"/>
                <w:color w:val="auto"/>
                <w:sz w:val="24"/>
                <w:szCs w:val="24"/>
                <w:highlight w:val="none"/>
              </w:rPr>
            </w:pPr>
          </w:p>
        </w:tc>
        <w:tc>
          <w:tcPr>
            <w:tcW w:w="8475" w:type="dxa"/>
            <w:tcBorders>
              <w:top w:val="nil"/>
              <w:bottom w:val="nil"/>
            </w:tcBorders>
            <w:noWrap w:val="0"/>
            <w:vAlign w:val="center"/>
          </w:tcPr>
          <w:p>
            <w:pPr>
              <w:pStyle w:val="30"/>
              <w:kinsoku w:val="0"/>
              <w:overflowPunct w:val="0"/>
              <w:spacing w:before="56"/>
              <w:jc w:val="both"/>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SA"/>
              </w:rPr>
              <w:t>地    址</w:t>
            </w:r>
            <w:r>
              <w:rPr>
                <w:rFonts w:hint="eastAsia" w:ascii="仿宋" w:hAnsi="仿宋" w:eastAsia="仿宋" w:cs="仿宋"/>
                <w:b/>
                <w:bCs/>
                <w:color w:val="auto"/>
                <w:sz w:val="24"/>
                <w:szCs w:val="24"/>
                <w:highlight w:val="none"/>
              </w:rPr>
              <w:t>：</w:t>
            </w:r>
            <w:r>
              <w:rPr>
                <w:rFonts w:hint="eastAsia" w:ascii="仿宋" w:hAnsi="仿宋" w:eastAsia="仿宋" w:cs="仿宋"/>
                <w:b w:val="0"/>
                <w:bCs w:val="0"/>
                <w:color w:val="auto"/>
                <w:sz w:val="24"/>
                <w:szCs w:val="24"/>
                <w:highlight w:val="none"/>
                <w:lang w:val="en-US" w:eastAsia="zh-CN"/>
              </w:rPr>
              <w:t>新疆阿克苏市民主路天百名宅小区2号楼2单元2405室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exact"/>
          <w:jc w:val="center"/>
        </w:trPr>
        <w:tc>
          <w:tcPr>
            <w:tcW w:w="672" w:type="dxa"/>
            <w:vMerge w:val="continue"/>
            <w:noWrap w:val="0"/>
            <w:vAlign w:val="center"/>
          </w:tcPr>
          <w:p>
            <w:pPr>
              <w:pStyle w:val="30"/>
              <w:tabs>
                <w:tab w:val="left" w:pos="824"/>
              </w:tabs>
              <w:kinsoku w:val="0"/>
              <w:overflowPunct w:val="0"/>
              <w:spacing w:before="16"/>
              <w:ind w:left="102"/>
              <w:jc w:val="center"/>
              <w:rPr>
                <w:rFonts w:hint="eastAsia" w:ascii="仿宋" w:hAnsi="仿宋" w:eastAsia="仿宋" w:cs="仿宋"/>
                <w:color w:val="auto"/>
                <w:sz w:val="24"/>
                <w:szCs w:val="24"/>
                <w:highlight w:val="none"/>
              </w:rPr>
            </w:pPr>
          </w:p>
        </w:tc>
        <w:tc>
          <w:tcPr>
            <w:tcW w:w="8475" w:type="dxa"/>
            <w:tcBorders>
              <w:top w:val="nil"/>
              <w:bottom w:val="nil"/>
            </w:tcBorders>
            <w:noWrap w:val="0"/>
            <w:vAlign w:val="center"/>
          </w:tcPr>
          <w:p>
            <w:pPr>
              <w:pStyle w:val="30"/>
              <w:kinsoku w:val="0"/>
              <w:overflowPunct w:val="0"/>
              <w:spacing w:before="56"/>
              <w:jc w:val="both"/>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联 系 人：</w:t>
            </w:r>
            <w:r>
              <w:rPr>
                <w:rFonts w:hint="eastAsia" w:ascii="仿宋" w:hAnsi="仿宋" w:eastAsia="仿宋" w:cs="仿宋"/>
                <w:b w:val="0"/>
                <w:bCs w:val="0"/>
                <w:color w:val="auto"/>
                <w:sz w:val="24"/>
                <w:szCs w:val="24"/>
                <w:highlight w:val="none"/>
                <w:lang w:val="en-US" w:eastAsia="zh-CN"/>
              </w:rPr>
              <w:t>高程程</w:t>
            </w:r>
          </w:p>
          <w:p>
            <w:pPr>
              <w:pStyle w:val="30"/>
              <w:kinsoku w:val="0"/>
              <w:overflowPunct w:val="0"/>
              <w:spacing w:before="56"/>
              <w:jc w:val="both"/>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5" w:hRule="exact"/>
          <w:jc w:val="center"/>
        </w:trPr>
        <w:tc>
          <w:tcPr>
            <w:tcW w:w="672" w:type="dxa"/>
            <w:vMerge w:val="continue"/>
            <w:noWrap w:val="0"/>
            <w:vAlign w:val="center"/>
          </w:tcPr>
          <w:p>
            <w:pPr>
              <w:pStyle w:val="30"/>
              <w:kinsoku w:val="0"/>
              <w:overflowPunct w:val="0"/>
              <w:spacing w:before="16"/>
              <w:ind w:left="102"/>
              <w:jc w:val="center"/>
              <w:rPr>
                <w:rFonts w:hint="eastAsia" w:ascii="仿宋" w:hAnsi="仿宋" w:eastAsia="仿宋" w:cs="仿宋"/>
                <w:color w:val="auto"/>
                <w:sz w:val="24"/>
                <w:szCs w:val="24"/>
                <w:highlight w:val="none"/>
              </w:rPr>
            </w:pPr>
          </w:p>
        </w:tc>
        <w:tc>
          <w:tcPr>
            <w:tcW w:w="8475" w:type="dxa"/>
            <w:tcBorders>
              <w:top w:val="nil"/>
              <w:bottom w:val="single" w:color="auto" w:sz="4" w:space="0"/>
            </w:tcBorders>
            <w:noWrap w:val="0"/>
            <w:vAlign w:val="center"/>
          </w:tcPr>
          <w:p>
            <w:pPr>
              <w:pStyle w:val="30"/>
              <w:kinsoku w:val="0"/>
              <w:overflowPunct w:val="0"/>
              <w:spacing w:before="56"/>
              <w:jc w:val="both"/>
              <w:rPr>
                <w:rFonts w:hint="default" w:ascii="仿宋" w:hAnsi="仿宋" w:eastAsia="仿宋" w:cs="仿宋"/>
                <w:b/>
                <w:bCs/>
                <w:color w:val="auto"/>
                <w:sz w:val="24"/>
                <w:szCs w:val="24"/>
                <w:highlight w:val="none"/>
                <w:lang w:val="en-US"/>
              </w:rPr>
            </w:pPr>
            <w:r>
              <w:rPr>
                <w:rFonts w:hint="eastAsia" w:ascii="仿宋" w:hAnsi="仿宋" w:eastAsia="仿宋" w:cs="仿宋"/>
                <w:b/>
                <w:bCs/>
                <w:color w:val="auto"/>
                <w:sz w:val="24"/>
                <w:szCs w:val="24"/>
                <w:highlight w:val="none"/>
              </w:rPr>
              <w:t>联系电话：</w:t>
            </w:r>
            <w:r>
              <w:rPr>
                <w:rFonts w:hint="eastAsia" w:ascii="仿宋" w:hAnsi="仿宋" w:eastAsia="仿宋" w:cs="仿宋"/>
                <w:b w:val="0"/>
                <w:bCs w:val="0"/>
                <w:color w:val="auto"/>
                <w:sz w:val="24"/>
                <w:szCs w:val="24"/>
                <w:highlight w:val="none"/>
                <w:lang w:val="en-US" w:eastAsia="zh-CN"/>
              </w:rPr>
              <w:t>18609086721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exact"/>
          <w:jc w:val="center"/>
        </w:trPr>
        <w:tc>
          <w:tcPr>
            <w:tcW w:w="672" w:type="dxa"/>
            <w:vMerge w:val="restart"/>
            <w:noWrap w:val="0"/>
            <w:vAlign w:val="center"/>
          </w:tcPr>
          <w:p>
            <w:pPr>
              <w:pStyle w:val="30"/>
              <w:kinsoku w:val="0"/>
              <w:overflowPunct w:val="0"/>
              <w:ind w:right="14"/>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8475" w:type="dxa"/>
            <w:tcBorders>
              <w:bottom w:val="nil"/>
            </w:tcBorders>
            <w:noWrap w:val="0"/>
            <w:vAlign w:val="top"/>
          </w:tcPr>
          <w:p>
            <w:pPr>
              <w:pStyle w:val="30"/>
              <w:kinsoku w:val="0"/>
              <w:overflowPunct w:val="0"/>
              <w:spacing w:before="56"/>
              <w:jc w:val="both"/>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项目说明：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 w:hRule="exact"/>
          <w:jc w:val="center"/>
        </w:trPr>
        <w:tc>
          <w:tcPr>
            <w:tcW w:w="672" w:type="dxa"/>
            <w:vMerge w:val="continue"/>
            <w:noWrap w:val="0"/>
            <w:vAlign w:val="center"/>
          </w:tcPr>
          <w:p>
            <w:pPr>
              <w:pStyle w:val="30"/>
              <w:kinsoku w:val="0"/>
              <w:overflowPunct w:val="0"/>
              <w:spacing w:before="56"/>
              <w:ind w:left="102"/>
              <w:jc w:val="center"/>
              <w:rPr>
                <w:rFonts w:hint="eastAsia" w:ascii="仿宋" w:hAnsi="仿宋" w:eastAsia="仿宋" w:cs="仿宋"/>
                <w:color w:val="auto"/>
                <w:sz w:val="24"/>
                <w:szCs w:val="24"/>
                <w:highlight w:val="none"/>
              </w:rPr>
            </w:pPr>
          </w:p>
        </w:tc>
        <w:tc>
          <w:tcPr>
            <w:tcW w:w="8475" w:type="dxa"/>
            <w:tcBorders>
              <w:top w:val="nil"/>
              <w:bottom w:val="nil"/>
            </w:tcBorders>
            <w:noWrap w:val="0"/>
            <w:vAlign w:val="center"/>
          </w:tcPr>
          <w:p>
            <w:pPr>
              <w:pStyle w:val="30"/>
              <w:kinsoku w:val="0"/>
              <w:overflowPunct w:val="0"/>
              <w:spacing w:before="56"/>
              <w:ind w:left="102"/>
              <w:jc w:val="both"/>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1、项目名称：</w:t>
            </w:r>
            <w:r>
              <w:rPr>
                <w:rFonts w:hint="eastAsia" w:ascii="仿宋" w:hAnsi="仿宋" w:eastAsia="仿宋" w:cs="仿宋"/>
                <w:b w:val="0"/>
                <w:bCs w:val="0"/>
                <w:color w:val="auto"/>
                <w:sz w:val="24"/>
                <w:szCs w:val="24"/>
                <w:highlight w:val="none"/>
                <w:lang w:val="en-US" w:eastAsia="zh-CN"/>
              </w:rPr>
              <w:t>拜城县域内农村公路上涉河湖桥梁洪水影响评价复核报告编制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7" w:hRule="exact"/>
          <w:jc w:val="center"/>
        </w:trPr>
        <w:tc>
          <w:tcPr>
            <w:tcW w:w="672" w:type="dxa"/>
            <w:vMerge w:val="continue"/>
            <w:noWrap w:val="0"/>
            <w:vAlign w:val="center"/>
          </w:tcPr>
          <w:p>
            <w:pPr>
              <w:pStyle w:val="30"/>
              <w:kinsoku w:val="0"/>
              <w:overflowPunct w:val="0"/>
              <w:spacing w:before="16" w:line="320" w:lineRule="auto"/>
              <w:ind w:left="102" w:right="77"/>
              <w:jc w:val="center"/>
              <w:rPr>
                <w:rFonts w:hint="eastAsia" w:ascii="仿宋" w:hAnsi="仿宋" w:eastAsia="仿宋" w:cs="仿宋"/>
                <w:color w:val="auto"/>
                <w:sz w:val="24"/>
                <w:szCs w:val="24"/>
                <w:highlight w:val="none"/>
              </w:rPr>
            </w:pPr>
          </w:p>
        </w:tc>
        <w:tc>
          <w:tcPr>
            <w:tcW w:w="8475" w:type="dxa"/>
            <w:tcBorders>
              <w:top w:val="nil"/>
            </w:tcBorders>
            <w:noWrap w:val="0"/>
            <w:vAlign w:val="center"/>
          </w:tcPr>
          <w:p>
            <w:pPr>
              <w:pStyle w:val="30"/>
              <w:kinsoku w:val="0"/>
              <w:overflowPunct w:val="0"/>
              <w:spacing w:before="56"/>
              <w:ind w:left="102"/>
              <w:jc w:val="both"/>
              <w:rPr>
                <w:rFonts w:hint="default" w:ascii="仿宋" w:hAnsi="仿宋" w:eastAsia="仿宋" w:cs="仿宋"/>
                <w:b/>
                <w:bCs/>
                <w:color w:val="auto"/>
                <w:sz w:val="24"/>
                <w:szCs w:val="24"/>
                <w:highlight w:val="none"/>
                <w:lang w:val="en-US"/>
              </w:rPr>
            </w:pPr>
            <w:r>
              <w:rPr>
                <w:rFonts w:hint="eastAsia" w:ascii="仿宋" w:hAnsi="仿宋" w:eastAsia="仿宋" w:cs="仿宋"/>
                <w:b/>
                <w:bCs/>
                <w:color w:val="auto"/>
                <w:sz w:val="24"/>
                <w:szCs w:val="24"/>
                <w:highlight w:val="none"/>
              </w:rPr>
              <w:t>2、磋商文件编号</w:t>
            </w:r>
            <w:r>
              <w:rPr>
                <w:rFonts w:hint="eastAsia" w:ascii="仿宋" w:hAnsi="仿宋" w:eastAsia="仿宋" w:cs="仿宋"/>
                <w:b/>
                <w:bCs/>
                <w:color w:val="000000" w:themeColor="text1"/>
                <w:sz w:val="24"/>
                <w:szCs w:val="24"/>
                <w:highlight w:val="none"/>
                <w14:textFill>
                  <w14:solidFill>
                    <w14:schemeClr w14:val="tx1"/>
                  </w14:solidFill>
                </w14:textFill>
              </w:rPr>
              <w:t>：</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bcx-jzxcs-2023-019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2" w:hRule="atLeast"/>
          <w:jc w:val="center"/>
        </w:trPr>
        <w:tc>
          <w:tcPr>
            <w:tcW w:w="672" w:type="dxa"/>
            <w:noWrap w:val="0"/>
            <w:vAlign w:val="center"/>
          </w:tcPr>
          <w:p>
            <w:pPr>
              <w:pStyle w:val="30"/>
              <w:kinsoku w:val="0"/>
              <w:overflowPunct w:val="0"/>
              <w:ind w:right="14"/>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8475" w:type="dxa"/>
            <w:noWrap w:val="0"/>
            <w:vAlign w:val="center"/>
          </w:tcPr>
          <w:p>
            <w:pPr>
              <w:pStyle w:val="30"/>
              <w:kinsoku w:val="0"/>
              <w:overflowPunct w:val="0"/>
              <w:spacing w:line="276" w:lineRule="exact"/>
              <w:ind w:left="102"/>
              <w:jc w:val="both"/>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磋商内容：</w:t>
            </w:r>
          </w:p>
          <w:p>
            <w:pPr>
              <w:pStyle w:val="30"/>
              <w:kinsoku w:val="0"/>
              <w:overflowPunct w:val="0"/>
              <w:spacing w:line="276" w:lineRule="exact"/>
              <w:ind w:left="102"/>
              <w:jc w:val="both"/>
              <w:rPr>
                <w:rFonts w:hint="eastAsia" w:ascii="仿宋" w:hAnsi="仿宋" w:eastAsia="仿宋" w:cs="仿宋"/>
                <w:b/>
                <w:bCs/>
                <w:color w:val="auto"/>
                <w:sz w:val="24"/>
                <w:szCs w:val="24"/>
                <w:highlight w:val="none"/>
              </w:rPr>
            </w:pPr>
          </w:p>
          <w:p>
            <w:pPr>
              <w:pStyle w:val="30"/>
              <w:numPr>
                <w:ilvl w:val="0"/>
                <w:numId w:val="2"/>
              </w:numPr>
              <w:kinsoku w:val="0"/>
              <w:overflowPunct w:val="0"/>
              <w:spacing w:before="8"/>
              <w:ind w:left="102"/>
              <w:jc w:val="both"/>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磋商内容：</w:t>
            </w:r>
            <w:r>
              <w:rPr>
                <w:rFonts w:hint="eastAsia" w:ascii="仿宋" w:hAnsi="仿宋" w:eastAsia="仿宋" w:cs="仿宋"/>
                <w:b w:val="0"/>
                <w:bCs w:val="0"/>
                <w:color w:val="auto"/>
                <w:sz w:val="24"/>
                <w:szCs w:val="24"/>
                <w:highlight w:val="none"/>
                <w:lang w:val="en-US" w:eastAsia="zh-CN"/>
              </w:rPr>
              <w:t>负责拜城县域内32座涉河湖桥梁洪水影响评价复核报告编制所有工作，对相关部门的审查意见进行回复、修改，根据编制规范要求深度进行编写，报告复核要求。</w:t>
            </w:r>
          </w:p>
          <w:p>
            <w:pPr>
              <w:pStyle w:val="30"/>
              <w:numPr>
                <w:ilvl w:val="0"/>
                <w:numId w:val="2"/>
              </w:numPr>
              <w:kinsoku w:val="0"/>
              <w:overflowPunct w:val="0"/>
              <w:spacing w:before="8"/>
              <w:ind w:left="102"/>
              <w:jc w:val="both"/>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资金来源：</w:t>
            </w:r>
            <w:r>
              <w:rPr>
                <w:rFonts w:hint="eastAsia" w:ascii="仿宋" w:hAnsi="仿宋" w:eastAsia="仿宋" w:cs="仿宋"/>
                <w:b w:val="0"/>
                <w:bCs w:val="0"/>
                <w:color w:val="auto"/>
                <w:sz w:val="24"/>
                <w:szCs w:val="24"/>
                <w:highlight w:val="none"/>
                <w:lang w:val="en-US" w:eastAsia="zh-CN"/>
              </w:rPr>
              <w:t>专项资金</w:t>
            </w:r>
          </w:p>
          <w:p>
            <w:pPr>
              <w:pStyle w:val="30"/>
              <w:numPr>
                <w:ilvl w:val="0"/>
                <w:numId w:val="2"/>
              </w:numPr>
              <w:kinsoku w:val="0"/>
              <w:overflowPunct w:val="0"/>
              <w:spacing w:before="16"/>
              <w:ind w:left="102" w:leftChars="0" w:firstLine="0" w:firstLineChars="0"/>
              <w:jc w:val="both"/>
              <w:rPr>
                <w:rFonts w:hint="eastAsia"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服务期限</w:t>
            </w:r>
            <w:r>
              <w:rPr>
                <w:rFonts w:hint="eastAsia" w:ascii="仿宋" w:hAnsi="仿宋" w:eastAsia="仿宋" w:cs="仿宋"/>
                <w:b/>
                <w:bCs/>
                <w:color w:val="000000" w:themeColor="text1"/>
                <w:sz w:val="24"/>
                <w:szCs w:val="24"/>
                <w:highlight w:val="none"/>
                <w14:textFill>
                  <w14:solidFill>
                    <w14:schemeClr w14:val="tx1"/>
                  </w14:solidFill>
                </w14:textFill>
              </w:rPr>
              <w:t>：</w:t>
            </w:r>
            <w:r>
              <w:rPr>
                <w:rFonts w:hint="eastAsia" w:ascii="仿宋" w:hAnsi="仿宋" w:eastAsia="仿宋" w:cs="仿宋"/>
                <w:b w:val="0"/>
                <w:bCs w:val="0"/>
                <w:color w:val="auto"/>
                <w:sz w:val="24"/>
                <w:szCs w:val="24"/>
                <w:highlight w:val="none"/>
                <w:lang w:val="en-US" w:eastAsia="zh-CN"/>
              </w:rPr>
              <w:t>从签订合同日期15个工作日内编制完成报告书并上报上级水利部门审查，以及合同条款、技术规范及标准、项目采购需求、本采购文件约定的全部内容并配合采购人完成与此服务相关的全部工作责任和义务；</w:t>
            </w:r>
          </w:p>
          <w:p>
            <w:pPr>
              <w:pStyle w:val="30"/>
              <w:kinsoku w:val="0"/>
              <w:overflowPunct w:val="0"/>
              <w:spacing w:before="16"/>
              <w:ind w:left="102"/>
              <w:jc w:val="both"/>
              <w:rPr>
                <w:rFonts w:hint="default" w:ascii="仿宋" w:hAnsi="仿宋" w:eastAsia="仿宋" w:cs="仿宋"/>
                <w:color w:val="auto"/>
                <w:sz w:val="24"/>
                <w:szCs w:val="24"/>
                <w:highlight w:val="none"/>
                <w:lang w:val="en-US" w:eastAsia="zh-CN"/>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4、质量要求：</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符合国家及行业规范标准。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8" w:hRule="atLeast"/>
          <w:jc w:val="center"/>
        </w:trPr>
        <w:tc>
          <w:tcPr>
            <w:tcW w:w="672" w:type="dxa"/>
            <w:noWrap w:val="0"/>
            <w:vAlign w:val="center"/>
          </w:tcPr>
          <w:p>
            <w:pPr>
              <w:pStyle w:val="30"/>
              <w:kinsoku w:val="0"/>
              <w:overflowPunct w:val="0"/>
              <w:ind w:right="14"/>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84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rPr>
            </w:pPr>
            <w:r>
              <w:rPr>
                <w:rFonts w:hint="eastAsia" w:ascii="仿宋" w:hAnsi="仿宋" w:eastAsia="仿宋" w:cs="仿宋"/>
                <w:b/>
                <w:bCs/>
                <w:color w:val="auto"/>
                <w:sz w:val="24"/>
                <w:szCs w:val="24"/>
                <w:highlight w:val="none"/>
              </w:rPr>
              <w:t>项目采购预算：</w:t>
            </w:r>
            <w:r>
              <w:rPr>
                <w:rFonts w:hint="eastAsia" w:ascii="仿宋" w:hAnsi="仿宋" w:eastAsia="仿宋" w:cs="仿宋"/>
                <w:b w:val="0"/>
                <w:bCs w:val="0"/>
                <w:color w:val="auto"/>
                <w:sz w:val="24"/>
                <w:szCs w:val="24"/>
                <w:highlight w:val="none"/>
                <w:lang w:val="en-US" w:eastAsia="zh-CN"/>
              </w:rPr>
              <w:t>600000</w:t>
            </w:r>
            <w:r>
              <w:rPr>
                <w:rFonts w:hint="eastAsia" w:ascii="仿宋" w:hAnsi="仿宋" w:eastAsia="仿宋" w:cs="仿宋"/>
                <w:color w:val="auto"/>
                <w:sz w:val="24"/>
                <w:szCs w:val="24"/>
                <w:highlight w:val="none"/>
              </w:rPr>
              <w:t>元（大写：</w:t>
            </w:r>
            <w:r>
              <w:rPr>
                <w:rFonts w:hint="eastAsia" w:ascii="仿宋" w:hAnsi="仿宋" w:eastAsia="仿宋" w:cs="仿宋"/>
                <w:color w:val="auto"/>
                <w:sz w:val="24"/>
                <w:szCs w:val="24"/>
                <w:highlight w:val="none"/>
                <w:lang w:val="en-US" w:eastAsia="zh-CN"/>
              </w:rPr>
              <w:t>陆拾万元整</w:t>
            </w:r>
            <w:r>
              <w:rPr>
                <w:rFonts w:hint="eastAsia" w:ascii="仿宋" w:hAnsi="仿宋" w:eastAsia="仿宋" w:cs="仿宋"/>
                <w:color w:val="auto"/>
                <w:sz w:val="24"/>
                <w:szCs w:val="24"/>
                <w:highlight w:val="none"/>
              </w:rPr>
              <w:t>）</w:t>
            </w:r>
          </w:p>
          <w:p>
            <w:pPr>
              <w:spacing w:line="360" w:lineRule="auto"/>
              <w:jc w:val="both"/>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b/>
                <w:bCs/>
                <w:color w:val="auto"/>
                <w:sz w:val="24"/>
                <w:szCs w:val="24"/>
                <w:highlight w:val="none"/>
              </w:rPr>
              <w:t>供应商的投标报价超过采购预算的按无效投标处理。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0" w:hRule="atLeast"/>
          <w:jc w:val="center"/>
        </w:trPr>
        <w:tc>
          <w:tcPr>
            <w:tcW w:w="672" w:type="dxa"/>
            <w:noWrap w:val="0"/>
            <w:vAlign w:val="center"/>
          </w:tcPr>
          <w:p>
            <w:pPr>
              <w:pStyle w:val="30"/>
              <w:kinsoku w:val="0"/>
              <w:overflowPunct w:val="0"/>
              <w:ind w:right="14"/>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w:t>
            </w:r>
          </w:p>
        </w:tc>
        <w:tc>
          <w:tcPr>
            <w:tcW w:w="8475" w:type="dxa"/>
            <w:noWrap w:val="0"/>
            <w:vAlign w:val="center"/>
          </w:tcPr>
          <w:p>
            <w:pPr>
              <w:pStyle w:val="30"/>
              <w:kinsoku w:val="0"/>
              <w:overflowPunct w:val="0"/>
              <w:spacing w:before="122"/>
              <w:ind w:left="102"/>
              <w:jc w:val="lef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★供应商资格要求：</w:t>
            </w:r>
          </w:p>
          <w:p>
            <w:pPr>
              <w:numPr>
                <w:ilvl w:val="0"/>
                <w:numId w:val="0"/>
              </w:numPr>
              <w:snapToGrid/>
              <w:spacing w:before="0" w:beforeAutospacing="0" w:after="0" w:afterAutospacing="0" w:line="240" w:lineRule="auto"/>
              <w:ind w:leftChars="0"/>
              <w:jc w:val="left"/>
              <w:textAlignment w:val="baseline"/>
              <w:rPr>
                <w:rStyle w:val="29"/>
                <w:rFonts w:hint="eastAsia" w:ascii="仿宋" w:hAnsi="仿宋" w:eastAsia="仿宋" w:cs="仿宋"/>
                <w:b w:val="0"/>
                <w:i w:val="0"/>
                <w:caps w:val="0"/>
                <w:color w:val="auto"/>
                <w:spacing w:val="0"/>
                <w:w w:val="100"/>
                <w:kern w:val="2"/>
                <w:sz w:val="24"/>
                <w:szCs w:val="24"/>
                <w:highlight w:val="none"/>
                <w:lang w:val="en-US" w:eastAsia="zh-CN" w:bidi="ar-SA"/>
              </w:rPr>
            </w:pPr>
            <w:r>
              <w:rPr>
                <w:rStyle w:val="29"/>
                <w:rFonts w:hint="eastAsia" w:ascii="仿宋" w:hAnsi="仿宋" w:eastAsia="仿宋" w:cs="仿宋"/>
                <w:b w:val="0"/>
                <w:i w:val="0"/>
                <w:caps w:val="0"/>
                <w:color w:val="auto"/>
                <w:spacing w:val="0"/>
                <w:w w:val="100"/>
                <w:kern w:val="2"/>
                <w:sz w:val="24"/>
                <w:szCs w:val="24"/>
                <w:highlight w:val="none"/>
                <w:lang w:val="en-US" w:eastAsia="zh-CN" w:bidi="ar-SA"/>
              </w:rPr>
              <w:t>1、供应商应具备《中华人民共和国政府采购法》第二十二条供应商资格条件；</w:t>
            </w:r>
          </w:p>
          <w:p>
            <w:pPr>
              <w:numPr>
                <w:ilvl w:val="0"/>
                <w:numId w:val="0"/>
              </w:numPr>
              <w:snapToGrid/>
              <w:spacing w:before="0" w:beforeAutospacing="0" w:after="0" w:afterAutospacing="0" w:line="240" w:lineRule="auto"/>
              <w:ind w:leftChars="0"/>
              <w:jc w:val="left"/>
              <w:textAlignment w:val="baseline"/>
              <w:rPr>
                <w:rStyle w:val="29"/>
                <w:rFonts w:hint="default" w:ascii="仿宋" w:hAnsi="仿宋" w:eastAsia="仿宋" w:cs="仿宋"/>
                <w:b w:val="0"/>
                <w:i w:val="0"/>
                <w:caps w:val="0"/>
                <w:color w:val="auto"/>
                <w:spacing w:val="0"/>
                <w:w w:val="100"/>
                <w:kern w:val="2"/>
                <w:sz w:val="24"/>
                <w:szCs w:val="24"/>
                <w:highlight w:val="none"/>
                <w:lang w:val="en-US" w:eastAsia="zh-CN" w:bidi="ar-SA"/>
              </w:rPr>
            </w:pPr>
            <w:r>
              <w:rPr>
                <w:rStyle w:val="29"/>
                <w:rFonts w:hint="eastAsia" w:ascii="仿宋" w:hAnsi="仿宋" w:eastAsia="仿宋" w:cs="仿宋"/>
                <w:b w:val="0"/>
                <w:i w:val="0"/>
                <w:caps w:val="0"/>
                <w:color w:val="auto"/>
                <w:spacing w:val="0"/>
                <w:w w:val="100"/>
                <w:kern w:val="2"/>
                <w:sz w:val="24"/>
                <w:szCs w:val="24"/>
                <w:highlight w:val="none"/>
                <w:lang w:val="en-US" w:eastAsia="zh-CN" w:bidi="ar-SA"/>
              </w:rPr>
              <w:t>2、</w:t>
            </w:r>
            <w:r>
              <w:rPr>
                <w:rStyle w:val="29"/>
                <w:rFonts w:hint="eastAsia" w:ascii="仿宋" w:hAnsi="仿宋" w:eastAsia="仿宋" w:cs="仿宋"/>
                <w:b w:val="0"/>
                <w:bCs w:val="0"/>
                <w:i w:val="0"/>
                <w:caps w:val="0"/>
                <w:color w:val="auto"/>
                <w:spacing w:val="0"/>
                <w:w w:val="100"/>
                <w:kern w:val="2"/>
                <w:sz w:val="24"/>
                <w:szCs w:val="24"/>
                <w:highlight w:val="none"/>
                <w:lang w:val="en-US" w:eastAsia="zh-CN" w:bidi="ar-SA"/>
              </w:rPr>
              <w:t>合法有效的营业执照；</w:t>
            </w:r>
          </w:p>
          <w:p>
            <w:pPr>
              <w:numPr>
                <w:ilvl w:val="0"/>
                <w:numId w:val="0"/>
              </w:numPr>
              <w:snapToGrid/>
              <w:spacing w:before="0" w:beforeAutospacing="0" w:after="0" w:afterAutospacing="0" w:line="240" w:lineRule="auto"/>
              <w:ind w:leftChars="0"/>
              <w:jc w:val="left"/>
              <w:textAlignment w:val="baseline"/>
              <w:rPr>
                <w:rStyle w:val="29"/>
                <w:rFonts w:hint="eastAsia" w:ascii="仿宋" w:hAnsi="仿宋" w:eastAsia="仿宋" w:cs="仿宋"/>
                <w:b w:val="0"/>
                <w:i w:val="0"/>
                <w:caps w:val="0"/>
                <w:color w:val="auto"/>
                <w:spacing w:val="0"/>
                <w:w w:val="100"/>
                <w:sz w:val="24"/>
                <w:szCs w:val="24"/>
                <w:highlight w:val="none"/>
                <w:lang w:eastAsia="zh-CN"/>
              </w:rPr>
            </w:pPr>
            <w:r>
              <w:rPr>
                <w:rStyle w:val="29"/>
                <w:rFonts w:hint="eastAsia" w:ascii="仿宋" w:hAnsi="仿宋" w:eastAsia="仿宋" w:cs="仿宋"/>
                <w:b w:val="0"/>
                <w:i w:val="0"/>
                <w:caps w:val="0"/>
                <w:color w:val="auto"/>
                <w:spacing w:val="0"/>
                <w:w w:val="100"/>
                <w:kern w:val="2"/>
                <w:sz w:val="24"/>
                <w:szCs w:val="24"/>
                <w:highlight w:val="none"/>
                <w:lang w:val="en-US" w:eastAsia="zh-CN" w:bidi="ar-SA"/>
              </w:rPr>
              <w:t>3、具有履行合同所必需的设备和专业技术能力；</w:t>
            </w:r>
          </w:p>
          <w:p>
            <w:pPr>
              <w:numPr>
                <w:ilvl w:val="0"/>
                <w:numId w:val="0"/>
              </w:numPr>
              <w:snapToGrid/>
              <w:spacing w:before="0" w:beforeAutospacing="0" w:after="0" w:afterAutospacing="0" w:line="240" w:lineRule="auto"/>
              <w:ind w:leftChars="0"/>
              <w:jc w:val="left"/>
              <w:textAlignment w:val="baseline"/>
              <w:rPr>
                <w:rStyle w:val="29"/>
                <w:rFonts w:hint="eastAsia" w:ascii="仿宋" w:hAnsi="仿宋" w:eastAsia="仿宋" w:cs="仿宋"/>
                <w:b w:val="0"/>
                <w:i w:val="0"/>
                <w:caps w:val="0"/>
                <w:color w:val="auto"/>
                <w:spacing w:val="0"/>
                <w:w w:val="100"/>
                <w:sz w:val="24"/>
                <w:szCs w:val="24"/>
                <w:highlight w:val="none"/>
                <w:lang w:val="en-US" w:eastAsia="zh-CN"/>
              </w:rPr>
            </w:pPr>
            <w:r>
              <w:rPr>
                <w:rStyle w:val="29"/>
                <w:rFonts w:hint="eastAsia" w:ascii="仿宋" w:hAnsi="仿宋" w:eastAsia="仿宋" w:cs="仿宋"/>
                <w:b w:val="0"/>
                <w:i w:val="0"/>
                <w:caps w:val="0"/>
                <w:color w:val="auto"/>
                <w:spacing w:val="0"/>
                <w:w w:val="100"/>
                <w:kern w:val="2"/>
                <w:sz w:val="24"/>
                <w:szCs w:val="24"/>
                <w:highlight w:val="none"/>
                <w:lang w:val="en-US" w:eastAsia="zh-CN" w:bidi="ar-SA"/>
              </w:rPr>
              <w:t>4、</w:t>
            </w:r>
            <w:r>
              <w:rPr>
                <w:rStyle w:val="29"/>
                <w:rFonts w:hint="eastAsia" w:ascii="仿宋" w:hAnsi="仿宋" w:eastAsia="仿宋" w:cs="仿宋"/>
                <w:b w:val="0"/>
                <w:i w:val="0"/>
                <w:caps w:val="0"/>
                <w:color w:val="auto"/>
                <w:spacing w:val="0"/>
                <w:w w:val="100"/>
                <w:sz w:val="24"/>
                <w:szCs w:val="24"/>
                <w:highlight w:val="none"/>
                <w:lang w:val="en-US" w:eastAsia="zh-CN"/>
              </w:rPr>
              <w:t>参加政府采购活动前三年内，在经营活动中没有重大违法记录；</w:t>
            </w:r>
          </w:p>
          <w:p>
            <w:pPr>
              <w:numPr>
                <w:ilvl w:val="0"/>
                <w:numId w:val="0"/>
              </w:numPr>
              <w:snapToGrid/>
              <w:spacing w:before="0" w:beforeAutospacing="0" w:after="0" w:afterAutospacing="0" w:line="240" w:lineRule="auto"/>
              <w:ind w:leftChars="0"/>
              <w:jc w:val="left"/>
              <w:textAlignment w:val="baseline"/>
              <w:rPr>
                <w:rFonts w:hint="default"/>
                <w:color w:val="auto"/>
                <w:lang w:val="en-US" w:eastAsia="zh-CN"/>
              </w:rPr>
            </w:pPr>
            <w:r>
              <w:rPr>
                <w:rStyle w:val="29"/>
                <w:rFonts w:hint="eastAsia" w:ascii="仿宋" w:hAnsi="仿宋" w:eastAsia="仿宋" w:cs="仿宋"/>
                <w:b w:val="0"/>
                <w:i w:val="0"/>
                <w:caps w:val="0"/>
                <w:color w:val="auto"/>
                <w:spacing w:val="0"/>
                <w:w w:val="100"/>
                <w:kern w:val="2"/>
                <w:sz w:val="24"/>
                <w:szCs w:val="24"/>
                <w:highlight w:val="none"/>
                <w:lang w:val="en-US" w:eastAsia="zh-CN" w:bidi="ar-SA"/>
              </w:rPr>
              <w:t>5、</w:t>
            </w:r>
            <w:r>
              <w:rPr>
                <w:rStyle w:val="29"/>
                <w:rFonts w:hint="eastAsia" w:ascii="仿宋" w:hAnsi="仿宋" w:eastAsia="仿宋" w:cs="仿宋"/>
                <w:b w:val="0"/>
                <w:i w:val="0"/>
                <w:caps w:val="0"/>
                <w:color w:val="auto"/>
                <w:spacing w:val="0"/>
                <w:w w:val="100"/>
                <w:sz w:val="24"/>
                <w:szCs w:val="24"/>
                <w:highlight w:val="none"/>
              </w:rPr>
              <w:t>20</w:t>
            </w:r>
            <w:r>
              <w:rPr>
                <w:rStyle w:val="29"/>
                <w:rFonts w:hint="eastAsia" w:ascii="仿宋" w:hAnsi="仿宋" w:eastAsia="仿宋" w:cs="仿宋"/>
                <w:b w:val="0"/>
                <w:i w:val="0"/>
                <w:caps w:val="0"/>
                <w:color w:val="auto"/>
                <w:spacing w:val="0"/>
                <w:w w:val="100"/>
                <w:sz w:val="24"/>
                <w:szCs w:val="24"/>
                <w:highlight w:val="none"/>
                <w:lang w:val="en-US" w:eastAsia="zh-CN"/>
              </w:rPr>
              <w:t>22</w:t>
            </w:r>
            <w:r>
              <w:rPr>
                <w:rStyle w:val="29"/>
                <w:rFonts w:hint="eastAsia" w:ascii="仿宋" w:hAnsi="仿宋" w:eastAsia="仿宋" w:cs="仿宋"/>
                <w:b w:val="0"/>
                <w:i w:val="0"/>
                <w:caps w:val="0"/>
                <w:color w:val="auto"/>
                <w:spacing w:val="0"/>
                <w:w w:val="100"/>
                <w:sz w:val="24"/>
                <w:szCs w:val="24"/>
                <w:highlight w:val="none"/>
              </w:rPr>
              <w:t>年度</w:t>
            </w:r>
            <w:r>
              <w:rPr>
                <w:rStyle w:val="29"/>
                <w:rFonts w:hint="eastAsia" w:ascii="仿宋" w:hAnsi="仿宋" w:eastAsia="仿宋" w:cs="仿宋"/>
                <w:b w:val="0"/>
                <w:i w:val="0"/>
                <w:caps w:val="0"/>
                <w:color w:val="auto"/>
                <w:spacing w:val="0"/>
                <w:w w:val="100"/>
                <w:sz w:val="24"/>
                <w:szCs w:val="24"/>
                <w:highlight w:val="none"/>
                <w:lang w:eastAsia="zh-CN"/>
              </w:rPr>
              <w:t>完整的</w:t>
            </w:r>
            <w:r>
              <w:rPr>
                <w:rStyle w:val="29"/>
                <w:rFonts w:hint="eastAsia" w:ascii="仿宋" w:hAnsi="仿宋" w:eastAsia="仿宋" w:cs="仿宋"/>
                <w:b w:val="0"/>
                <w:i w:val="0"/>
                <w:caps w:val="0"/>
                <w:color w:val="auto"/>
                <w:spacing w:val="0"/>
                <w:w w:val="100"/>
                <w:sz w:val="24"/>
                <w:szCs w:val="24"/>
                <w:highlight w:val="none"/>
              </w:rPr>
              <w:t>财务审计报告或财务报表</w:t>
            </w:r>
            <w:r>
              <w:rPr>
                <w:rStyle w:val="29"/>
                <w:rFonts w:hint="eastAsia" w:ascii="仿宋" w:hAnsi="仿宋" w:eastAsia="仿宋" w:cs="仿宋"/>
                <w:b w:val="0"/>
                <w:i w:val="0"/>
                <w:caps w:val="0"/>
                <w:color w:val="auto"/>
                <w:spacing w:val="0"/>
                <w:w w:val="100"/>
                <w:sz w:val="24"/>
                <w:szCs w:val="24"/>
                <w:highlight w:val="none"/>
                <w:lang w:eastAsia="zh-CN"/>
              </w:rPr>
              <w:t>；</w:t>
            </w:r>
          </w:p>
          <w:p>
            <w:pPr>
              <w:numPr>
                <w:ilvl w:val="0"/>
                <w:numId w:val="3"/>
              </w:numPr>
              <w:snapToGrid/>
              <w:spacing w:before="0" w:beforeAutospacing="0" w:after="0" w:afterAutospacing="0" w:line="240" w:lineRule="auto"/>
              <w:ind w:leftChars="0"/>
              <w:jc w:val="left"/>
              <w:textAlignment w:val="baseline"/>
              <w:rPr>
                <w:rFonts w:hint="eastAsia"/>
                <w:lang w:val="en-US" w:eastAsia="zh-CN"/>
              </w:rPr>
            </w:pPr>
            <w:r>
              <w:rPr>
                <w:rFonts w:hint="eastAsia" w:ascii="仿宋" w:hAnsi="仿宋" w:eastAsia="仿宋" w:cs="仿宋"/>
                <w:color w:val="auto"/>
                <w:kern w:val="0"/>
                <w:sz w:val="24"/>
                <w:szCs w:val="24"/>
                <w:highlight w:val="none"/>
                <w:lang w:val="en-US" w:eastAsia="zh-CN"/>
              </w:rPr>
              <w:t>参加本次政府采购活动前三个月内任意一个月的税收和社保缴纳证明（含法定代表人或授权委托人社保明细，若法定代表人或授权委托人是退休人员需提供退休证明）</w:t>
            </w:r>
            <w:r>
              <w:rPr>
                <w:rStyle w:val="29"/>
                <w:rFonts w:hint="eastAsia" w:ascii="仿宋" w:hAnsi="仿宋" w:eastAsia="仿宋" w:cs="仿宋"/>
                <w:b w:val="0"/>
                <w:i w:val="0"/>
                <w:caps w:val="0"/>
                <w:color w:val="auto"/>
                <w:spacing w:val="0"/>
                <w:w w:val="100"/>
                <w:kern w:val="2"/>
                <w:sz w:val="24"/>
                <w:szCs w:val="24"/>
                <w:highlight w:val="none"/>
                <w:lang w:val="en-US" w:eastAsia="zh-CN" w:bidi="ar-SA"/>
              </w:rPr>
              <w:t>；</w:t>
            </w:r>
          </w:p>
          <w:p>
            <w:pPr>
              <w:numPr>
                <w:ilvl w:val="0"/>
                <w:numId w:val="0"/>
              </w:numPr>
              <w:snapToGrid/>
              <w:spacing w:before="0" w:beforeAutospacing="0" w:after="0" w:afterAutospacing="0" w:line="240" w:lineRule="auto"/>
              <w:jc w:val="left"/>
              <w:textAlignment w:val="baseline"/>
              <w:rPr>
                <w:rStyle w:val="29"/>
                <w:rFonts w:hint="eastAsia" w:ascii="仿宋" w:hAnsi="仿宋" w:eastAsia="仿宋" w:cs="仿宋"/>
                <w:b w:val="0"/>
                <w:i w:val="0"/>
                <w:caps w:val="0"/>
                <w:color w:val="000000" w:themeColor="text1"/>
                <w:spacing w:val="0"/>
                <w:w w:val="100"/>
                <w:sz w:val="24"/>
                <w:szCs w:val="24"/>
                <w:highlight w:val="none"/>
                <w:lang w:val="en-US" w:eastAsia="zh-CN"/>
                <w14:textFill>
                  <w14:solidFill>
                    <w14:schemeClr w14:val="tx1"/>
                  </w14:solidFill>
                </w14:textFill>
              </w:rPr>
            </w:pPr>
            <w:r>
              <w:rPr>
                <w:rStyle w:val="29"/>
                <w:rFonts w:hint="eastAsia" w:ascii="仿宋" w:hAnsi="仿宋" w:eastAsia="仿宋" w:cs="仿宋"/>
                <w:b w:val="0"/>
                <w:i w:val="0"/>
                <w:caps w:val="0"/>
                <w:color w:val="auto"/>
                <w:spacing w:val="0"/>
                <w:w w:val="100"/>
                <w:kern w:val="2"/>
                <w:sz w:val="24"/>
                <w:szCs w:val="24"/>
                <w:highlight w:val="none"/>
                <w:lang w:val="en-US" w:eastAsia="zh-CN" w:bidi="ar-SA"/>
              </w:rPr>
              <w:t>7、投标人在“信用中国”网站（www.creditchina.gov.cn）以“未被列入失信被执行人记录”、“重大税收违法案件当事人名单”且在中国政府采购网（www.ccgp.gov.cn）没有相关主体“政府采购严重违法失信行为记录”（被禁止在一定期限内参加政府采购活动但期限届满的除外）（查询日期为从采购文件发售之日起至投标截止日前），网页截图（需显示查询时间）加盖供应商公章为准；</w:t>
            </w:r>
          </w:p>
          <w:p>
            <w:pPr>
              <w:numPr>
                <w:ilvl w:val="0"/>
                <w:numId w:val="0"/>
              </w:numPr>
              <w:snapToGrid/>
              <w:spacing w:before="0" w:beforeAutospacing="0" w:after="0" w:afterAutospacing="0" w:line="240" w:lineRule="auto"/>
              <w:ind w:leftChars="0"/>
              <w:jc w:val="left"/>
              <w:textAlignment w:val="baseline"/>
              <w:rPr>
                <w:rStyle w:val="29"/>
                <w:rFonts w:hint="default" w:ascii="仿宋" w:hAnsi="仿宋" w:eastAsia="仿宋" w:cs="仿宋"/>
                <w:b w:val="0"/>
                <w:i w:val="0"/>
                <w:caps w:val="0"/>
                <w:color w:val="auto"/>
                <w:spacing w:val="0"/>
                <w:w w:val="100"/>
                <w:kern w:val="2"/>
                <w:sz w:val="24"/>
                <w:szCs w:val="24"/>
                <w:highlight w:val="none"/>
                <w:lang w:val="en-US" w:eastAsia="zh-CN" w:bidi="ar-SA"/>
              </w:rPr>
            </w:pPr>
            <w:r>
              <w:rPr>
                <w:rStyle w:val="29"/>
                <w:rFonts w:hint="eastAsia" w:ascii="仿宋" w:hAnsi="仿宋" w:eastAsia="仿宋" w:cs="仿宋"/>
                <w:b w:val="0"/>
                <w:i w:val="0"/>
                <w:caps w:val="0"/>
                <w:color w:val="000000" w:themeColor="text1"/>
                <w:spacing w:val="0"/>
                <w:w w:val="100"/>
                <w:sz w:val="24"/>
                <w:szCs w:val="24"/>
                <w:highlight w:val="none"/>
                <w:lang w:val="en-US" w:eastAsia="zh-CN"/>
                <w14:textFill>
                  <w14:solidFill>
                    <w14:schemeClr w14:val="tx1"/>
                  </w14:solidFill>
                </w14:textFill>
              </w:rPr>
              <w:t>8</w:t>
            </w:r>
            <w:r>
              <w:rPr>
                <w:rStyle w:val="29"/>
                <w:rFonts w:hint="eastAsia" w:ascii="仿宋" w:hAnsi="仿宋" w:eastAsia="仿宋" w:cs="仿宋"/>
                <w:b w:val="0"/>
                <w:i w:val="0"/>
                <w:caps w:val="0"/>
                <w:color w:val="auto"/>
                <w:spacing w:val="0"/>
                <w:w w:val="100"/>
                <w:sz w:val="24"/>
                <w:szCs w:val="24"/>
                <w:highlight w:val="none"/>
                <w:lang w:val="en-US" w:eastAsia="zh-CN"/>
              </w:rPr>
              <w:t>、投标人须具备水文、水资源调查评价资质乙级及以上相关资质；</w:t>
            </w:r>
          </w:p>
          <w:p>
            <w:pPr>
              <w:numPr>
                <w:ilvl w:val="0"/>
                <w:numId w:val="0"/>
              </w:numPr>
              <w:snapToGrid/>
              <w:spacing w:before="0" w:beforeAutospacing="0" w:after="0" w:afterAutospacing="0" w:line="240" w:lineRule="auto"/>
              <w:ind w:leftChars="0"/>
              <w:jc w:val="left"/>
              <w:textAlignment w:val="baseline"/>
              <w:rPr>
                <w:rStyle w:val="29"/>
                <w:rFonts w:hint="eastAsia" w:ascii="仿宋" w:hAnsi="仿宋" w:eastAsia="仿宋" w:cs="仿宋"/>
                <w:b w:val="0"/>
                <w:i w:val="0"/>
                <w:caps w:val="0"/>
                <w:color w:val="000000" w:themeColor="text1"/>
                <w:spacing w:val="0"/>
                <w:w w:val="100"/>
                <w:sz w:val="24"/>
                <w:szCs w:val="24"/>
                <w:highlight w:val="none"/>
                <w:lang w:val="en-US" w:eastAsia="zh-CN"/>
                <w14:textFill>
                  <w14:solidFill>
                    <w14:schemeClr w14:val="tx1"/>
                  </w14:solidFill>
                </w14:textFill>
              </w:rPr>
            </w:pPr>
            <w:r>
              <w:rPr>
                <w:rStyle w:val="29"/>
                <w:rFonts w:hint="eastAsia" w:ascii="仿宋" w:hAnsi="仿宋" w:eastAsia="仿宋" w:cs="仿宋"/>
                <w:b w:val="0"/>
                <w:i w:val="0"/>
                <w:caps w:val="0"/>
                <w:color w:val="000000" w:themeColor="text1"/>
                <w:spacing w:val="0"/>
                <w:w w:val="100"/>
                <w:sz w:val="24"/>
                <w:szCs w:val="24"/>
                <w:highlight w:val="none"/>
                <w:lang w:val="en-US" w:eastAsia="zh-CN"/>
                <w14:textFill>
                  <w14:solidFill>
                    <w14:schemeClr w14:val="tx1"/>
                  </w14:solidFill>
                </w14:textFill>
              </w:rPr>
              <w:t>9、单位负责人为同一人或者存在直接控股、管理关系的不同投标人，不得参加同一合同项下的政府采购活动；</w:t>
            </w:r>
          </w:p>
          <w:p>
            <w:pPr>
              <w:numPr>
                <w:ilvl w:val="0"/>
                <w:numId w:val="0"/>
              </w:numPr>
              <w:snapToGrid/>
              <w:spacing w:before="0" w:beforeAutospacing="0" w:after="0" w:afterAutospacing="0" w:line="240" w:lineRule="auto"/>
              <w:ind w:leftChars="0"/>
              <w:jc w:val="left"/>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Style w:val="29"/>
                <w:rFonts w:hint="eastAsia" w:ascii="仿宋" w:hAnsi="仿宋" w:eastAsia="仿宋" w:cs="仿宋"/>
                <w:b w:val="0"/>
                <w:i w:val="0"/>
                <w:caps w:val="0"/>
                <w:color w:val="000000" w:themeColor="text1"/>
                <w:spacing w:val="0"/>
                <w:w w:val="100"/>
                <w:sz w:val="24"/>
                <w:szCs w:val="24"/>
                <w:highlight w:val="none"/>
                <w:lang w:val="en-US" w:eastAsia="zh-CN"/>
                <w14:textFill>
                  <w14:solidFill>
                    <w14:schemeClr w14:val="tx1"/>
                  </w14:solidFill>
                </w14:textFill>
              </w:rPr>
              <w:t xml:space="preserve">10、本项目不接受联合体投标。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23" w:hRule="atLeast"/>
          <w:jc w:val="center"/>
        </w:trPr>
        <w:tc>
          <w:tcPr>
            <w:tcW w:w="672" w:type="dxa"/>
            <w:noWrap w:val="0"/>
            <w:vAlign w:val="center"/>
          </w:tcPr>
          <w:p>
            <w:pPr>
              <w:pStyle w:val="30"/>
              <w:kinsoku w:val="0"/>
              <w:overflowPunct w:val="0"/>
              <w:spacing w:before="73"/>
              <w:ind w:right="14"/>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8475" w:type="dxa"/>
            <w:noWrap w:val="0"/>
            <w:vAlign w:val="top"/>
          </w:tcPr>
          <w:p>
            <w:pPr>
              <w:pStyle w:val="30"/>
              <w:kinsoku w:val="0"/>
              <w:overflowPunct w:val="0"/>
              <w:spacing w:before="73"/>
              <w:ind w:left="102"/>
              <w:rPr>
                <w:rFonts w:hint="eastAsia" w:ascii="仿宋" w:hAnsi="仿宋" w:eastAsia="仿宋" w:cs="仿宋"/>
                <w:b/>
                <w:bCs/>
                <w:color w:val="auto"/>
                <w:sz w:val="24"/>
                <w:szCs w:val="24"/>
                <w:highlight w:val="none"/>
                <w:lang w:val="zh-CN" w:eastAsia="zh-CN"/>
              </w:rPr>
            </w:pPr>
            <w:r>
              <w:rPr>
                <w:rFonts w:hint="eastAsia" w:ascii="仿宋" w:hAnsi="仿宋" w:eastAsia="仿宋" w:cs="仿宋"/>
                <w:b/>
                <w:bCs/>
                <w:color w:val="auto"/>
                <w:sz w:val="24"/>
                <w:szCs w:val="24"/>
                <w:highlight w:val="none"/>
                <w:lang w:val="zh-CN" w:eastAsia="zh-CN"/>
              </w:rPr>
              <w:t>供应商在开标时需携带的验资文件：</w:t>
            </w:r>
          </w:p>
          <w:p>
            <w:pPr>
              <w:pStyle w:val="30"/>
              <w:kinsoku w:val="0"/>
              <w:overflowPunct w:val="0"/>
              <w:spacing w:before="73"/>
              <w:ind w:left="102"/>
              <w:rPr>
                <w:rFonts w:hint="eastAsia" w:ascii="仿宋" w:hAnsi="仿宋" w:eastAsia="仿宋" w:cs="仿宋"/>
                <w:b/>
                <w:bCs/>
                <w:color w:val="auto"/>
                <w:sz w:val="24"/>
                <w:szCs w:val="24"/>
                <w:highlight w:val="none"/>
              </w:rPr>
            </w:pPr>
            <w:r>
              <w:rPr>
                <w:rFonts w:hint="eastAsia" w:ascii="仿宋" w:hAnsi="仿宋" w:eastAsia="仿宋" w:cs="仿宋"/>
                <w:b w:val="0"/>
                <w:bCs w:val="0"/>
                <w:color w:val="auto"/>
                <w:sz w:val="24"/>
                <w:szCs w:val="24"/>
                <w:highlight w:val="none"/>
                <w:lang w:val="zh-CN" w:eastAsia="zh-CN"/>
              </w:rPr>
              <w:t>本项目实行电子招投标，投标单位不用现场投标，按规定时间上传电子投标书即可。（投标结束后投标供应商在5天内将纸质版投标文件（一正三副）须与电子版响应文件内容一致，纸质版与电子版响应文件需留档使用一律不予退还。递交至阿克苏市民主路天百名宅小区2号楼2单元2405室；联系人：</w:t>
            </w:r>
            <w:r>
              <w:rPr>
                <w:rFonts w:hint="eastAsia" w:ascii="仿宋" w:hAnsi="仿宋" w:eastAsia="仿宋" w:cs="仿宋"/>
                <w:b w:val="0"/>
                <w:bCs w:val="0"/>
                <w:color w:val="auto"/>
                <w:sz w:val="24"/>
                <w:szCs w:val="24"/>
                <w:highlight w:val="none"/>
                <w:lang w:val="en-US" w:eastAsia="zh-CN"/>
              </w:rPr>
              <w:t>高程程</w:t>
            </w:r>
            <w:r>
              <w:rPr>
                <w:rFonts w:hint="eastAsia" w:ascii="仿宋" w:hAnsi="仿宋" w:eastAsia="仿宋" w:cs="仿宋"/>
                <w:b w:val="0"/>
                <w:bCs w:val="0"/>
                <w:color w:val="auto"/>
                <w:sz w:val="24"/>
                <w:szCs w:val="24"/>
                <w:highlight w:val="none"/>
                <w:lang w:val="zh-CN" w:eastAsia="zh-CN"/>
              </w:rPr>
              <w:t>、联系电话：</w:t>
            </w:r>
            <w:r>
              <w:rPr>
                <w:rFonts w:hint="eastAsia" w:ascii="仿宋" w:hAnsi="仿宋" w:eastAsia="仿宋" w:cs="仿宋"/>
                <w:b w:val="0"/>
                <w:bCs w:val="0"/>
                <w:color w:val="auto"/>
                <w:sz w:val="24"/>
                <w:szCs w:val="24"/>
                <w:highlight w:val="none"/>
                <w:lang w:val="en-US" w:eastAsia="zh-CN"/>
              </w:rPr>
              <w:t>18609086721</w:t>
            </w:r>
            <w:r>
              <w:rPr>
                <w:rFonts w:hint="eastAsia" w:ascii="仿宋" w:hAnsi="仿宋" w:eastAsia="仿宋" w:cs="仿宋"/>
                <w:b w:val="0"/>
                <w:bCs w:val="0"/>
                <w:color w:val="auto"/>
                <w:sz w:val="24"/>
                <w:szCs w:val="24"/>
                <w:highlight w:val="none"/>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72" w:type="dxa"/>
            <w:noWrap w:val="0"/>
            <w:vAlign w:val="center"/>
          </w:tcPr>
          <w:p>
            <w:pPr>
              <w:pStyle w:val="30"/>
              <w:kinsoku w:val="0"/>
              <w:overflowPunct w:val="0"/>
              <w:spacing w:before="73"/>
              <w:ind w:right="14"/>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8</w:t>
            </w:r>
          </w:p>
        </w:tc>
        <w:tc>
          <w:tcPr>
            <w:tcW w:w="8475" w:type="dxa"/>
            <w:noWrap w:val="0"/>
            <w:vAlign w:val="top"/>
          </w:tcPr>
          <w:p>
            <w:pPr>
              <w:pStyle w:val="30"/>
              <w:kinsoku w:val="0"/>
              <w:overflowPunct w:val="0"/>
              <w:spacing w:before="73"/>
              <w:ind w:left="102"/>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投标语言：</w:t>
            </w:r>
            <w:r>
              <w:rPr>
                <w:rFonts w:hint="eastAsia" w:ascii="仿宋" w:hAnsi="仿宋" w:eastAsia="仿宋" w:cs="仿宋"/>
                <w:color w:val="auto"/>
                <w:sz w:val="24"/>
                <w:szCs w:val="24"/>
                <w:highlight w:val="none"/>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30"/>
              <w:kinsoku w:val="0"/>
              <w:overflowPunct w:val="0"/>
              <w:spacing w:before="72"/>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9</w:t>
            </w:r>
          </w:p>
        </w:tc>
        <w:tc>
          <w:tcPr>
            <w:tcW w:w="8475" w:type="dxa"/>
            <w:noWrap w:val="0"/>
            <w:vAlign w:val="top"/>
          </w:tcPr>
          <w:p>
            <w:pPr>
              <w:pStyle w:val="30"/>
              <w:kinsoku w:val="0"/>
              <w:overflowPunct w:val="0"/>
              <w:spacing w:before="72"/>
              <w:ind w:left="102"/>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投标有效期：</w:t>
            </w:r>
            <w:r>
              <w:rPr>
                <w:rFonts w:hint="eastAsia" w:ascii="仿宋" w:hAnsi="仿宋" w:eastAsia="仿宋" w:cs="仿宋"/>
                <w:b w:val="0"/>
                <w:bCs w:val="0"/>
                <w:color w:val="auto"/>
                <w:sz w:val="24"/>
                <w:szCs w:val="24"/>
                <w:highlight w:val="none"/>
                <w:lang w:val="en-US" w:eastAsia="zh-CN"/>
              </w:rPr>
              <w:t>3</w:t>
            </w:r>
            <w:r>
              <w:rPr>
                <w:rFonts w:hint="eastAsia" w:ascii="仿宋" w:hAnsi="仿宋" w:eastAsia="仿宋" w:cs="仿宋"/>
                <w:color w:val="auto"/>
                <w:sz w:val="24"/>
                <w:szCs w:val="24"/>
                <w:highlight w:val="none"/>
              </w:rPr>
              <w:t>0</w:t>
            </w:r>
            <w:r>
              <w:rPr>
                <w:rFonts w:hint="eastAsia" w:ascii="仿宋" w:hAnsi="仿宋" w:eastAsia="仿宋" w:cs="仿宋"/>
                <w:color w:val="auto"/>
                <w:spacing w:val="-75"/>
                <w:sz w:val="24"/>
                <w:szCs w:val="24"/>
                <w:highlight w:val="none"/>
              </w:rPr>
              <w:t xml:space="preserve"> </w:t>
            </w:r>
            <w:r>
              <w:rPr>
                <w:rFonts w:hint="eastAsia" w:ascii="仿宋" w:hAnsi="仿宋" w:eastAsia="仿宋" w:cs="仿宋"/>
                <w:color w:val="auto"/>
                <w:sz w:val="24"/>
                <w:szCs w:val="24"/>
                <w:highlight w:val="none"/>
              </w:rPr>
              <w:t>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30"/>
              <w:kinsoku w:val="0"/>
              <w:overflowPunct w:val="0"/>
              <w:spacing w:before="74"/>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8475"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投标截止时间：</w:t>
            </w:r>
            <w:r>
              <w:rPr>
                <w:rFonts w:hint="eastAsia" w:ascii="仿宋" w:hAnsi="仿宋" w:eastAsia="仿宋" w:cs="仿宋"/>
                <w:color w:val="auto"/>
                <w:kern w:val="0"/>
                <w:sz w:val="24"/>
                <w:szCs w:val="24"/>
                <w:highlight w:val="none"/>
                <w:lang w:val="en-US" w:eastAsia="zh-CN" w:bidi="ar-SA"/>
              </w:rPr>
              <w:t>2023 年 08 月15日上午12:00（北京时间）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30"/>
              <w:kinsoku w:val="0"/>
              <w:overflowPunct w:val="0"/>
              <w:spacing w:before="73"/>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1</w:t>
            </w:r>
          </w:p>
        </w:tc>
        <w:tc>
          <w:tcPr>
            <w:tcW w:w="8475" w:type="dxa"/>
            <w:noWrap w:val="0"/>
            <w:vAlign w:val="top"/>
          </w:tcPr>
          <w:p>
            <w:pPr>
              <w:pStyle w:val="30"/>
              <w:kinsoku w:val="0"/>
              <w:overflowPunct w:val="0"/>
              <w:spacing w:before="73"/>
              <w:ind w:left="102"/>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是否退还磋商响应性文件：否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30"/>
              <w:kinsoku w:val="0"/>
              <w:overflowPunct w:val="0"/>
              <w:spacing w:before="72"/>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2</w:t>
            </w:r>
          </w:p>
        </w:tc>
        <w:tc>
          <w:tcPr>
            <w:tcW w:w="8475" w:type="dxa"/>
            <w:noWrap w:val="0"/>
            <w:vAlign w:val="top"/>
          </w:tcPr>
          <w:p>
            <w:pPr>
              <w:pStyle w:val="30"/>
              <w:kinsoku w:val="0"/>
              <w:overflowPunct w:val="0"/>
              <w:spacing w:before="72"/>
              <w:ind w:left="102"/>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联合投标：</w:t>
            </w:r>
            <w:r>
              <w:rPr>
                <w:rFonts w:hint="eastAsia" w:ascii="仿宋" w:hAnsi="仿宋" w:eastAsia="仿宋" w:cs="仿宋"/>
                <w:color w:val="auto"/>
                <w:sz w:val="24"/>
                <w:szCs w:val="24"/>
                <w:highlight w:val="none"/>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30"/>
              <w:kinsoku w:val="0"/>
              <w:overflowPunct w:val="0"/>
              <w:spacing w:before="74"/>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3</w:t>
            </w:r>
          </w:p>
        </w:tc>
        <w:tc>
          <w:tcPr>
            <w:tcW w:w="8475" w:type="dxa"/>
            <w:noWrap w:val="0"/>
            <w:vAlign w:val="top"/>
          </w:tcPr>
          <w:p>
            <w:pPr>
              <w:pStyle w:val="30"/>
              <w:kinsoku w:val="0"/>
              <w:overflowPunct w:val="0"/>
              <w:spacing w:before="74"/>
              <w:ind w:left="102"/>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投标报价货币</w:t>
            </w:r>
            <w:r>
              <w:rPr>
                <w:rFonts w:hint="eastAsia" w:ascii="仿宋" w:hAnsi="仿宋" w:eastAsia="仿宋" w:cs="仿宋"/>
                <w:color w:val="auto"/>
                <w:sz w:val="24"/>
                <w:szCs w:val="24"/>
                <w:highlight w:val="none"/>
              </w:rPr>
              <w:t>:</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z w:val="24"/>
                <w:szCs w:val="24"/>
                <w:highlight w:val="none"/>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30"/>
              <w:kinsoku w:val="0"/>
              <w:overflowPunct w:val="0"/>
              <w:spacing w:before="73"/>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4</w:t>
            </w:r>
          </w:p>
        </w:tc>
        <w:tc>
          <w:tcPr>
            <w:tcW w:w="8475" w:type="dxa"/>
            <w:noWrap w:val="0"/>
            <w:vAlign w:val="top"/>
          </w:tcPr>
          <w:p>
            <w:pPr>
              <w:pStyle w:val="30"/>
              <w:kinsoku w:val="0"/>
              <w:overflowPunct w:val="0"/>
              <w:spacing w:before="73"/>
              <w:ind w:left="102"/>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采购方式：</w:t>
            </w:r>
            <w:r>
              <w:rPr>
                <w:rFonts w:hint="eastAsia" w:ascii="仿宋" w:hAnsi="仿宋" w:eastAsia="仿宋" w:cs="仿宋"/>
                <w:color w:val="auto"/>
                <w:sz w:val="24"/>
                <w:szCs w:val="24"/>
                <w:highlight w:val="none"/>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30"/>
              <w:kinsoku w:val="0"/>
              <w:overflowPunct w:val="0"/>
              <w:spacing w:before="72"/>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5</w:t>
            </w:r>
          </w:p>
        </w:tc>
        <w:tc>
          <w:tcPr>
            <w:tcW w:w="8475" w:type="dxa"/>
            <w:noWrap w:val="0"/>
            <w:vAlign w:val="top"/>
          </w:tcPr>
          <w:p>
            <w:pPr>
              <w:pStyle w:val="30"/>
              <w:kinsoku w:val="0"/>
              <w:overflowPunct w:val="0"/>
              <w:spacing w:before="72"/>
              <w:ind w:left="102"/>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评标办法：</w:t>
            </w:r>
            <w:r>
              <w:rPr>
                <w:rFonts w:hint="eastAsia" w:ascii="仿宋" w:hAnsi="仿宋" w:eastAsia="仿宋" w:cs="仿宋"/>
                <w:color w:val="auto"/>
                <w:sz w:val="24"/>
                <w:szCs w:val="24"/>
                <w:highlight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1" w:hRule="atLeast"/>
          <w:jc w:val="center"/>
        </w:trPr>
        <w:tc>
          <w:tcPr>
            <w:tcW w:w="672" w:type="dxa"/>
            <w:noWrap w:val="0"/>
            <w:vAlign w:val="center"/>
          </w:tcPr>
          <w:p>
            <w:pPr>
              <w:pStyle w:val="30"/>
              <w:kinsoku w:val="0"/>
              <w:overflowPunct w:val="0"/>
              <w:spacing w:before="201"/>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6</w:t>
            </w:r>
          </w:p>
        </w:tc>
        <w:tc>
          <w:tcPr>
            <w:tcW w:w="8475" w:type="dxa"/>
            <w:noWrap w:val="0"/>
            <w:vAlign w:val="center"/>
          </w:tcPr>
          <w:p>
            <w:pPr>
              <w:pStyle w:val="30"/>
              <w:kinsoku w:val="0"/>
              <w:overflowPunct w:val="0"/>
              <w:spacing w:before="16"/>
              <w:ind w:left="102"/>
              <w:jc w:val="both"/>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磋商小组构成：</w:t>
            </w:r>
            <w:r>
              <w:rPr>
                <w:rFonts w:hint="eastAsia" w:ascii="仿宋" w:hAnsi="仿宋" w:eastAsia="仿宋" w:cs="仿宋"/>
                <w:color w:val="auto"/>
                <w:sz w:val="24"/>
                <w:szCs w:val="24"/>
                <w:highlight w:val="none"/>
              </w:rPr>
              <w:t>共3人。</w:t>
            </w:r>
          </w:p>
          <w:p>
            <w:pPr>
              <w:pStyle w:val="30"/>
              <w:kinsoku w:val="0"/>
              <w:overflowPunct w:val="0"/>
              <w:spacing w:before="16"/>
              <w:ind w:left="102"/>
              <w:jc w:val="both"/>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磋商小组确定方式：</w:t>
            </w:r>
            <w:r>
              <w:rPr>
                <w:rFonts w:hint="eastAsia" w:ascii="仿宋" w:hAnsi="仿宋" w:eastAsia="仿宋" w:cs="仿宋"/>
                <w:b w:val="0"/>
                <w:bCs w:val="0"/>
                <w:color w:val="auto"/>
                <w:sz w:val="24"/>
                <w:szCs w:val="24"/>
                <w:highlight w:val="none"/>
                <w:lang w:val="en-US" w:eastAsia="zh-CN"/>
              </w:rPr>
              <w:t>政府采购云平台线上随机抽取</w:t>
            </w:r>
            <w:r>
              <w:rPr>
                <w:rFonts w:hint="eastAsia" w:ascii="仿宋" w:hAnsi="仿宋" w:eastAsia="仿宋" w:cs="仿宋"/>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30"/>
              <w:kinsoku w:val="0"/>
              <w:overflowPunct w:val="0"/>
              <w:spacing w:before="72"/>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7</w:t>
            </w:r>
          </w:p>
        </w:tc>
        <w:tc>
          <w:tcPr>
            <w:tcW w:w="8475" w:type="dxa"/>
            <w:noWrap w:val="0"/>
            <w:vAlign w:val="top"/>
          </w:tcPr>
          <w:p>
            <w:pPr>
              <w:pStyle w:val="30"/>
              <w:kinsoku w:val="0"/>
              <w:overflowPunct w:val="0"/>
              <w:spacing w:before="72"/>
              <w:ind w:left="102"/>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分包（转让）：</w:t>
            </w:r>
            <w:r>
              <w:rPr>
                <w:rFonts w:hint="eastAsia" w:ascii="仿宋" w:hAnsi="仿宋" w:eastAsia="仿宋" w:cs="仿宋"/>
                <w:color w:val="auto"/>
                <w:sz w:val="24"/>
                <w:szCs w:val="24"/>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30"/>
              <w:kinsoku w:val="0"/>
              <w:overflowPunct w:val="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8</w:t>
            </w:r>
          </w:p>
        </w:tc>
        <w:tc>
          <w:tcPr>
            <w:tcW w:w="8475" w:type="dxa"/>
            <w:noWrap w:val="0"/>
            <w:vAlign w:val="top"/>
          </w:tcPr>
          <w:p>
            <w:pPr>
              <w:pStyle w:val="30"/>
              <w:kinsoku w:val="0"/>
              <w:overflowPunct w:val="0"/>
              <w:spacing w:before="55"/>
              <w:ind w:left="102"/>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考察现场、磋商前答疑会：</w:t>
            </w:r>
            <w:r>
              <w:rPr>
                <w:rFonts w:hint="eastAsia" w:ascii="仿宋" w:hAnsi="仿宋" w:eastAsia="仿宋" w:cs="仿宋"/>
                <w:color w:val="auto"/>
                <w:sz w:val="24"/>
                <w:szCs w:val="24"/>
                <w:highlight w:val="none"/>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672" w:type="dxa"/>
            <w:noWrap w:val="0"/>
            <w:vAlign w:val="center"/>
          </w:tcPr>
          <w:p>
            <w:pPr>
              <w:pStyle w:val="30"/>
              <w:kinsoku w:val="0"/>
              <w:overflowPunct w:val="0"/>
              <w:spacing w:before="73"/>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9</w:t>
            </w:r>
          </w:p>
        </w:tc>
        <w:tc>
          <w:tcPr>
            <w:tcW w:w="8475" w:type="dxa"/>
            <w:noWrap w:val="0"/>
            <w:vAlign w:val="top"/>
          </w:tcPr>
          <w:p>
            <w:pPr>
              <w:pStyle w:val="30"/>
              <w:kinsoku w:val="0"/>
              <w:overflowPunct w:val="0"/>
              <w:spacing w:before="73"/>
              <w:ind w:left="102"/>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构成竞争性磋商文件的其他文件：</w:t>
            </w:r>
            <w:r>
              <w:rPr>
                <w:rFonts w:hint="eastAsia" w:ascii="仿宋" w:hAnsi="仿宋" w:eastAsia="仿宋" w:cs="仿宋"/>
                <w:color w:val="auto"/>
                <w:sz w:val="24"/>
                <w:szCs w:val="24"/>
                <w:highlight w:val="none"/>
              </w:rPr>
              <w:t>竞争性磋商文件的澄清、修改书及有关补充通知为竞争性磋商文件的有效组成部分。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7" w:hRule="atLeast"/>
          <w:jc w:val="center"/>
        </w:trPr>
        <w:tc>
          <w:tcPr>
            <w:tcW w:w="672" w:type="dxa"/>
            <w:noWrap w:val="0"/>
            <w:vAlign w:val="center"/>
          </w:tcPr>
          <w:p>
            <w:pPr>
              <w:pStyle w:val="30"/>
              <w:kinsoku w:val="0"/>
              <w:overflowPunct w:val="0"/>
              <w:spacing w:before="73"/>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w:t>
            </w:r>
          </w:p>
        </w:tc>
        <w:tc>
          <w:tcPr>
            <w:tcW w:w="8475" w:type="dxa"/>
            <w:noWrap w:val="0"/>
            <w:vAlign w:val="center"/>
          </w:tcPr>
          <w:p>
            <w:pPr>
              <w:pStyle w:val="30"/>
              <w:kinsoku w:val="0"/>
              <w:overflowPunct w:val="0"/>
              <w:spacing w:before="56"/>
              <w:ind w:left="102"/>
              <w:jc w:val="both"/>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《磋商响应性文件》递交份数、时间及地点：</w:t>
            </w:r>
          </w:p>
          <w:p>
            <w:pPr>
              <w:pStyle w:val="30"/>
              <w:kinsoku w:val="0"/>
              <w:overflowPunct w:val="0"/>
              <w:spacing w:before="56"/>
              <w:ind w:left="102"/>
              <w:jc w:val="both"/>
              <w:rPr>
                <w:rFonts w:hint="eastAsia" w:ascii="仿宋" w:hAnsi="仿宋" w:eastAsia="仿宋" w:cs="仿宋"/>
                <w:b/>
                <w:bCs/>
                <w:color w:val="auto"/>
                <w:sz w:val="24"/>
                <w:szCs w:val="24"/>
                <w:highlight w:val="none"/>
              </w:rPr>
            </w:pPr>
          </w:p>
          <w:p>
            <w:pPr>
              <w:pStyle w:val="30"/>
              <w:numPr>
                <w:ilvl w:val="0"/>
                <w:numId w:val="4"/>
              </w:numPr>
              <w:kinsoku w:val="0"/>
              <w:overflowPunct w:val="0"/>
              <w:spacing w:before="16"/>
              <w:ind w:right="-34"/>
              <w:jc w:val="both"/>
              <w:rPr>
                <w:rFonts w:hint="eastAsia" w:ascii="仿宋" w:hAnsi="仿宋" w:eastAsia="仿宋" w:cs="仿宋"/>
                <w:color w:val="auto"/>
                <w:sz w:val="24"/>
                <w:szCs w:val="24"/>
                <w:highlight w:val="none"/>
                <w:u w:val="single"/>
              </w:rPr>
            </w:pPr>
            <w:r>
              <w:rPr>
                <w:rFonts w:hint="eastAsia" w:ascii="仿宋" w:hAnsi="仿宋" w:eastAsia="仿宋" w:cs="仿宋"/>
                <w:b/>
                <w:bCs/>
                <w:color w:val="auto"/>
                <w:spacing w:val="-5"/>
                <w:sz w:val="24"/>
                <w:szCs w:val="24"/>
                <w:highlight w:val="none"/>
              </w:rPr>
              <w:t>份数：</w:t>
            </w:r>
            <w:r>
              <w:rPr>
                <w:rFonts w:hint="eastAsia" w:ascii="仿宋" w:hAnsi="仿宋" w:eastAsia="仿宋" w:cs="仿宋"/>
                <w:color w:val="auto"/>
                <w:spacing w:val="-4"/>
                <w:sz w:val="24"/>
                <w:szCs w:val="24"/>
                <w:highlight w:val="none"/>
                <w:u w:val="single"/>
                <w:lang w:val="en-US" w:eastAsia="zh-CN"/>
              </w:rPr>
              <w:t>本项目为不见面电子评；</w:t>
            </w:r>
            <w:r>
              <w:rPr>
                <w:rFonts w:hint="eastAsia" w:ascii="仿宋" w:hAnsi="仿宋" w:eastAsia="仿宋" w:cs="仿宋"/>
                <w:color w:val="auto"/>
                <w:spacing w:val="-4"/>
                <w:sz w:val="24"/>
                <w:szCs w:val="24"/>
                <w:highlight w:val="none"/>
                <w:u w:val="single"/>
              </w:rPr>
              <w:t>正本</w:t>
            </w:r>
            <w:r>
              <w:rPr>
                <w:rFonts w:hint="eastAsia" w:ascii="仿宋" w:hAnsi="仿宋" w:eastAsia="仿宋" w:cs="仿宋"/>
                <w:color w:val="auto"/>
                <w:spacing w:val="-4"/>
                <w:sz w:val="24"/>
                <w:szCs w:val="24"/>
                <w:highlight w:val="none"/>
                <w:u w:val="single"/>
                <w:lang w:val="en-US" w:eastAsia="zh-CN"/>
              </w:rPr>
              <w:t>1</w:t>
            </w:r>
            <w:r>
              <w:rPr>
                <w:rFonts w:hint="eastAsia" w:ascii="仿宋" w:hAnsi="仿宋" w:eastAsia="仿宋" w:cs="仿宋"/>
                <w:color w:val="auto"/>
                <w:spacing w:val="-4"/>
                <w:sz w:val="24"/>
                <w:szCs w:val="24"/>
                <w:highlight w:val="none"/>
                <w:u w:val="single"/>
              </w:rPr>
              <w:t>份</w:t>
            </w:r>
            <w:r>
              <w:rPr>
                <w:rFonts w:hint="eastAsia" w:ascii="仿宋" w:hAnsi="仿宋" w:eastAsia="仿宋" w:cs="仿宋"/>
                <w:color w:val="auto"/>
                <w:spacing w:val="-4"/>
                <w:sz w:val="24"/>
                <w:szCs w:val="24"/>
                <w:highlight w:val="none"/>
                <w:u w:val="single"/>
                <w:lang w:eastAsia="zh-CN"/>
              </w:rPr>
              <w:t>、</w:t>
            </w:r>
            <w:r>
              <w:rPr>
                <w:rFonts w:hint="eastAsia" w:ascii="仿宋" w:hAnsi="仿宋" w:eastAsia="仿宋" w:cs="仿宋"/>
                <w:color w:val="auto"/>
                <w:spacing w:val="-4"/>
                <w:sz w:val="24"/>
                <w:szCs w:val="24"/>
                <w:highlight w:val="none"/>
                <w:u w:val="single"/>
              </w:rPr>
              <w:t>副本</w:t>
            </w:r>
            <w:r>
              <w:rPr>
                <w:rFonts w:hint="eastAsia" w:ascii="仿宋" w:hAnsi="仿宋" w:eastAsia="仿宋" w:cs="仿宋"/>
                <w:color w:val="auto"/>
                <w:spacing w:val="-4"/>
                <w:sz w:val="24"/>
                <w:szCs w:val="24"/>
                <w:highlight w:val="none"/>
                <w:u w:val="single"/>
                <w:lang w:val="en-US" w:eastAsia="zh-CN"/>
              </w:rPr>
              <w:t>3</w:t>
            </w:r>
            <w:r>
              <w:rPr>
                <w:rFonts w:hint="eastAsia" w:ascii="仿宋" w:hAnsi="仿宋" w:eastAsia="仿宋" w:cs="仿宋"/>
                <w:color w:val="auto"/>
                <w:spacing w:val="-4"/>
                <w:sz w:val="24"/>
                <w:szCs w:val="24"/>
                <w:highlight w:val="none"/>
                <w:u w:val="single"/>
              </w:rPr>
              <w:t>份</w:t>
            </w:r>
            <w:r>
              <w:rPr>
                <w:rFonts w:hint="eastAsia" w:ascii="仿宋" w:hAnsi="仿宋" w:eastAsia="仿宋" w:cs="仿宋"/>
                <w:color w:val="auto"/>
                <w:spacing w:val="-4"/>
                <w:sz w:val="24"/>
                <w:szCs w:val="24"/>
                <w:highlight w:val="none"/>
                <w:u w:val="single"/>
                <w:lang w:eastAsia="zh-CN"/>
              </w:rPr>
              <w:t>，</w:t>
            </w:r>
            <w:r>
              <w:rPr>
                <w:rFonts w:hint="eastAsia" w:ascii="仿宋" w:hAnsi="仿宋" w:eastAsia="仿宋" w:cs="仿宋"/>
                <w:color w:val="auto"/>
                <w:spacing w:val="-4"/>
                <w:sz w:val="24"/>
                <w:szCs w:val="24"/>
                <w:highlight w:val="none"/>
                <w:u w:val="single"/>
              </w:rPr>
              <w:t>电子投标文件</w:t>
            </w:r>
            <w:r>
              <w:rPr>
                <w:rFonts w:hint="eastAsia" w:ascii="仿宋" w:hAnsi="仿宋" w:eastAsia="仿宋" w:cs="仿宋"/>
                <w:color w:val="auto"/>
                <w:spacing w:val="-4"/>
                <w:sz w:val="24"/>
                <w:szCs w:val="24"/>
                <w:highlight w:val="none"/>
                <w:u w:val="single"/>
                <w:lang w:val="en-US" w:eastAsia="zh-CN"/>
              </w:rPr>
              <w:t>4</w:t>
            </w:r>
            <w:r>
              <w:rPr>
                <w:rFonts w:hint="eastAsia" w:ascii="仿宋" w:hAnsi="仿宋" w:eastAsia="仿宋" w:cs="仿宋"/>
                <w:color w:val="auto"/>
                <w:spacing w:val="-4"/>
                <w:sz w:val="24"/>
                <w:szCs w:val="24"/>
                <w:highlight w:val="none"/>
                <w:u w:val="single"/>
                <w:lang w:eastAsia="zh-CN"/>
              </w:rPr>
              <w:t>份</w:t>
            </w:r>
            <w:r>
              <w:rPr>
                <w:rFonts w:hint="eastAsia" w:ascii="仿宋" w:hAnsi="仿宋" w:eastAsia="仿宋" w:cs="仿宋"/>
                <w:color w:val="auto"/>
                <w:spacing w:val="-4"/>
                <w:sz w:val="24"/>
                <w:szCs w:val="24"/>
                <w:highlight w:val="none"/>
                <w:u w:val="single"/>
              </w:rPr>
              <w:t>（</w:t>
            </w:r>
            <w:r>
              <w:rPr>
                <w:rFonts w:hint="eastAsia" w:ascii="仿宋" w:hAnsi="仿宋" w:eastAsia="仿宋" w:cs="仿宋"/>
                <w:color w:val="auto"/>
                <w:spacing w:val="-4"/>
                <w:sz w:val="24"/>
                <w:szCs w:val="24"/>
                <w:highlight w:val="none"/>
                <w:u w:val="single"/>
                <w:lang w:val="en-US" w:eastAsia="zh-CN"/>
              </w:rPr>
              <w:t>光盘或U盘</w:t>
            </w:r>
            <w:r>
              <w:rPr>
                <w:rFonts w:hint="eastAsia" w:ascii="仿宋" w:hAnsi="仿宋" w:eastAsia="仿宋" w:cs="仿宋"/>
                <w:color w:val="auto"/>
                <w:spacing w:val="-4"/>
                <w:sz w:val="24"/>
                <w:szCs w:val="24"/>
                <w:highlight w:val="none"/>
                <w:u w:val="single"/>
              </w:rPr>
              <w:t>，</w:t>
            </w:r>
            <w:r>
              <w:rPr>
                <w:rFonts w:hint="eastAsia" w:ascii="仿宋" w:hAnsi="仿宋" w:eastAsia="仿宋" w:cs="仿宋"/>
                <w:color w:val="auto"/>
                <w:spacing w:val="-4"/>
                <w:sz w:val="24"/>
                <w:szCs w:val="24"/>
                <w:highlight w:val="none"/>
                <w:u w:val="single"/>
                <w:lang w:val="en-US" w:eastAsia="zh-CN"/>
              </w:rPr>
              <w:t>单独</w:t>
            </w:r>
            <w:r>
              <w:rPr>
                <w:rFonts w:hint="eastAsia" w:ascii="仿宋" w:hAnsi="仿宋" w:eastAsia="仿宋" w:cs="仿宋"/>
                <w:color w:val="auto"/>
                <w:spacing w:val="-4"/>
                <w:sz w:val="24"/>
                <w:szCs w:val="24"/>
                <w:highlight w:val="none"/>
                <w:u w:val="single"/>
              </w:rPr>
              <w:t>密封）</w:t>
            </w:r>
            <w:r>
              <w:rPr>
                <w:rFonts w:hint="eastAsia" w:ascii="仿宋" w:hAnsi="仿宋" w:eastAsia="仿宋" w:cs="仿宋"/>
                <w:color w:val="auto"/>
                <w:spacing w:val="-4"/>
                <w:sz w:val="24"/>
                <w:szCs w:val="24"/>
                <w:highlight w:val="none"/>
                <w:u w:val="single"/>
                <w:lang w:eastAsia="zh-CN"/>
              </w:rPr>
              <w:t>。</w:t>
            </w:r>
          </w:p>
          <w:p>
            <w:pPr>
              <w:pStyle w:val="30"/>
              <w:numPr>
                <w:ilvl w:val="0"/>
                <w:numId w:val="0"/>
              </w:numPr>
              <w:kinsoku w:val="0"/>
              <w:overflowPunct w:val="0"/>
              <w:spacing w:before="16"/>
              <w:ind w:right="-34" w:rightChars="0"/>
              <w:jc w:val="both"/>
              <w:rPr>
                <w:rFonts w:hint="eastAsia" w:ascii="仿宋" w:hAnsi="仿宋" w:eastAsia="仿宋" w:cs="仿宋"/>
                <w:color w:val="auto"/>
                <w:sz w:val="24"/>
                <w:szCs w:val="24"/>
                <w:highlight w:val="none"/>
                <w:u w:val="single"/>
              </w:rPr>
            </w:pPr>
          </w:p>
          <w:p>
            <w:pPr>
              <w:pStyle w:val="30"/>
              <w:kinsoku w:val="0"/>
              <w:overflowPunct w:val="0"/>
              <w:spacing w:before="16"/>
              <w:jc w:val="both"/>
              <w:rPr>
                <w:rFonts w:hint="eastAsia" w:ascii="仿宋" w:hAnsi="仿宋" w:eastAsia="仿宋" w:cs="仿宋"/>
                <w:b/>
                <w:bCs/>
                <w:color w:val="auto"/>
                <w:sz w:val="24"/>
                <w:szCs w:val="24"/>
                <w:highlight w:val="none"/>
              </w:rPr>
            </w:pPr>
            <w:r>
              <w:rPr>
                <w:rFonts w:hint="eastAsia" w:ascii="仿宋" w:hAnsi="仿宋" w:eastAsia="仿宋" w:cs="仿宋"/>
                <w:b/>
                <w:bCs/>
                <w:color w:val="auto"/>
                <w:spacing w:val="2"/>
                <w:sz w:val="24"/>
                <w:szCs w:val="24"/>
                <w:highlight w:val="none"/>
              </w:rPr>
              <w:t>特</w:t>
            </w:r>
            <w:r>
              <w:rPr>
                <w:rFonts w:hint="eastAsia" w:ascii="仿宋" w:hAnsi="仿宋" w:eastAsia="仿宋" w:cs="仿宋"/>
                <w:b/>
                <w:bCs/>
                <w:color w:val="auto"/>
                <w:sz w:val="24"/>
                <w:szCs w:val="24"/>
                <w:highlight w:val="none"/>
              </w:rPr>
              <w:t>别</w:t>
            </w:r>
            <w:r>
              <w:rPr>
                <w:rFonts w:hint="eastAsia" w:ascii="仿宋" w:hAnsi="仿宋" w:eastAsia="仿宋" w:cs="仿宋"/>
                <w:b/>
                <w:bCs/>
                <w:color w:val="auto"/>
                <w:spacing w:val="2"/>
                <w:sz w:val="24"/>
                <w:szCs w:val="24"/>
                <w:highlight w:val="none"/>
              </w:rPr>
              <w:t>提示</w:t>
            </w:r>
            <w:r>
              <w:rPr>
                <w:rFonts w:hint="eastAsia" w:ascii="仿宋" w:hAnsi="仿宋" w:eastAsia="仿宋" w:cs="仿宋"/>
                <w:b/>
                <w:bCs/>
                <w:color w:val="auto"/>
                <w:spacing w:val="-30"/>
                <w:sz w:val="24"/>
                <w:szCs w:val="24"/>
                <w:highlight w:val="none"/>
              </w:rPr>
              <w:t>：</w:t>
            </w:r>
            <w:r>
              <w:rPr>
                <w:rFonts w:hint="eastAsia" w:ascii="仿宋" w:hAnsi="仿宋" w:eastAsia="仿宋" w:cs="仿宋"/>
                <w:b/>
                <w:bCs/>
                <w:color w:val="auto"/>
                <w:spacing w:val="2"/>
                <w:sz w:val="24"/>
                <w:szCs w:val="24"/>
                <w:highlight w:val="none"/>
              </w:rPr>
              <w:t>电</w:t>
            </w:r>
            <w:r>
              <w:rPr>
                <w:rFonts w:hint="eastAsia" w:ascii="仿宋" w:hAnsi="仿宋" w:eastAsia="仿宋" w:cs="仿宋"/>
                <w:b/>
                <w:bCs/>
                <w:color w:val="auto"/>
                <w:sz w:val="24"/>
                <w:szCs w:val="24"/>
                <w:highlight w:val="none"/>
              </w:rPr>
              <w:t>子</w:t>
            </w:r>
            <w:r>
              <w:rPr>
                <w:rFonts w:hint="eastAsia" w:ascii="仿宋" w:hAnsi="仿宋" w:eastAsia="仿宋" w:cs="仿宋"/>
                <w:b/>
                <w:bCs/>
                <w:color w:val="auto"/>
                <w:spacing w:val="-28"/>
                <w:sz w:val="24"/>
                <w:szCs w:val="24"/>
                <w:highlight w:val="none"/>
              </w:rPr>
              <w:t>版</w:t>
            </w:r>
            <w:r>
              <w:rPr>
                <w:rFonts w:hint="eastAsia" w:ascii="仿宋" w:hAnsi="仿宋" w:eastAsia="仿宋" w:cs="仿宋"/>
                <w:b/>
                <w:bCs/>
                <w:color w:val="auto"/>
                <w:spacing w:val="-28"/>
                <w:sz w:val="24"/>
                <w:szCs w:val="24"/>
                <w:highlight w:val="none"/>
                <w:lang w:val="en-US" w:eastAsia="zh-CN"/>
              </w:rPr>
              <w:t xml:space="preserve"> </w:t>
            </w:r>
            <w:r>
              <w:rPr>
                <w:rFonts w:hint="eastAsia" w:ascii="仿宋" w:hAnsi="仿宋" w:eastAsia="仿宋" w:cs="仿宋"/>
                <w:b/>
                <w:bCs/>
                <w:color w:val="auto"/>
                <w:sz w:val="24"/>
                <w:szCs w:val="24"/>
                <w:highlight w:val="none"/>
              </w:rPr>
              <w:t>《</w:t>
            </w:r>
            <w:r>
              <w:rPr>
                <w:rFonts w:hint="eastAsia" w:ascii="仿宋" w:hAnsi="仿宋" w:eastAsia="仿宋" w:cs="仿宋"/>
                <w:b/>
                <w:bCs/>
                <w:color w:val="auto"/>
                <w:spacing w:val="2"/>
                <w:sz w:val="24"/>
                <w:szCs w:val="24"/>
                <w:highlight w:val="none"/>
              </w:rPr>
              <w:t>磋</w:t>
            </w:r>
            <w:r>
              <w:rPr>
                <w:rFonts w:hint="eastAsia" w:ascii="仿宋" w:hAnsi="仿宋" w:eastAsia="仿宋" w:cs="仿宋"/>
                <w:b/>
                <w:bCs/>
                <w:color w:val="auto"/>
                <w:sz w:val="24"/>
                <w:szCs w:val="24"/>
                <w:highlight w:val="none"/>
              </w:rPr>
              <w:t>商</w:t>
            </w:r>
            <w:r>
              <w:rPr>
                <w:rFonts w:hint="eastAsia" w:ascii="仿宋" w:hAnsi="仿宋" w:eastAsia="仿宋" w:cs="仿宋"/>
                <w:b/>
                <w:bCs/>
                <w:color w:val="auto"/>
                <w:spacing w:val="2"/>
                <w:sz w:val="24"/>
                <w:szCs w:val="24"/>
                <w:highlight w:val="none"/>
              </w:rPr>
              <w:t>响应性</w:t>
            </w:r>
            <w:r>
              <w:rPr>
                <w:rFonts w:hint="eastAsia" w:ascii="仿宋" w:hAnsi="仿宋" w:eastAsia="仿宋" w:cs="仿宋"/>
                <w:b/>
                <w:bCs/>
                <w:color w:val="auto"/>
                <w:sz w:val="24"/>
                <w:szCs w:val="24"/>
                <w:highlight w:val="none"/>
              </w:rPr>
              <w:t>文</w:t>
            </w:r>
            <w:r>
              <w:rPr>
                <w:rFonts w:hint="eastAsia" w:ascii="仿宋" w:hAnsi="仿宋" w:eastAsia="仿宋" w:cs="仿宋"/>
                <w:b/>
                <w:bCs/>
                <w:color w:val="auto"/>
                <w:spacing w:val="2"/>
                <w:sz w:val="24"/>
                <w:szCs w:val="24"/>
                <w:highlight w:val="none"/>
              </w:rPr>
              <w:t>件</w:t>
            </w:r>
            <w:r>
              <w:rPr>
                <w:rFonts w:hint="eastAsia" w:ascii="仿宋" w:hAnsi="仿宋" w:eastAsia="仿宋" w:cs="仿宋"/>
                <w:b/>
                <w:bCs/>
                <w:color w:val="auto"/>
                <w:spacing w:val="-30"/>
                <w:sz w:val="24"/>
                <w:szCs w:val="24"/>
                <w:highlight w:val="none"/>
              </w:rPr>
              <w:t>》</w:t>
            </w:r>
            <w:r>
              <w:rPr>
                <w:rFonts w:hint="eastAsia" w:ascii="仿宋" w:hAnsi="仿宋" w:eastAsia="仿宋" w:cs="仿宋"/>
                <w:b/>
                <w:bCs/>
                <w:color w:val="auto"/>
                <w:spacing w:val="-30"/>
                <w:sz w:val="24"/>
                <w:szCs w:val="24"/>
                <w:highlight w:val="none"/>
                <w:lang w:val="en-US" w:eastAsia="zh-CN"/>
              </w:rPr>
              <w:t xml:space="preserve"> </w:t>
            </w:r>
            <w:r>
              <w:rPr>
                <w:rFonts w:hint="eastAsia" w:ascii="仿宋" w:hAnsi="仿宋" w:eastAsia="仿宋" w:cs="仿宋"/>
                <w:b/>
                <w:bCs/>
                <w:color w:val="auto"/>
                <w:spacing w:val="2"/>
                <w:sz w:val="24"/>
                <w:szCs w:val="24"/>
                <w:highlight w:val="none"/>
              </w:rPr>
              <w:t>必</w:t>
            </w:r>
            <w:r>
              <w:rPr>
                <w:rFonts w:hint="eastAsia" w:ascii="仿宋" w:hAnsi="仿宋" w:eastAsia="仿宋" w:cs="仿宋"/>
                <w:b/>
                <w:bCs/>
                <w:color w:val="auto"/>
                <w:sz w:val="24"/>
                <w:szCs w:val="24"/>
                <w:highlight w:val="none"/>
              </w:rPr>
              <w:t>须</w:t>
            </w:r>
            <w:r>
              <w:rPr>
                <w:rFonts w:hint="eastAsia" w:ascii="仿宋" w:hAnsi="仿宋" w:eastAsia="仿宋" w:cs="仿宋"/>
                <w:b/>
                <w:bCs/>
                <w:color w:val="auto"/>
                <w:spacing w:val="2"/>
                <w:sz w:val="24"/>
                <w:szCs w:val="24"/>
                <w:highlight w:val="none"/>
              </w:rPr>
              <w:t>与纸质</w:t>
            </w:r>
            <w:r>
              <w:rPr>
                <w:rFonts w:hint="eastAsia" w:ascii="仿宋" w:hAnsi="仿宋" w:eastAsia="仿宋" w:cs="仿宋"/>
                <w:b/>
                <w:bCs/>
                <w:color w:val="auto"/>
                <w:spacing w:val="-30"/>
                <w:sz w:val="24"/>
                <w:szCs w:val="24"/>
                <w:highlight w:val="none"/>
              </w:rPr>
              <w:t>版</w:t>
            </w:r>
            <w:r>
              <w:rPr>
                <w:rFonts w:hint="eastAsia" w:ascii="仿宋" w:hAnsi="仿宋" w:eastAsia="仿宋" w:cs="仿宋"/>
                <w:b/>
                <w:bCs/>
                <w:color w:val="auto"/>
                <w:spacing w:val="-30"/>
                <w:sz w:val="24"/>
                <w:szCs w:val="24"/>
                <w:highlight w:val="none"/>
                <w:lang w:val="en-US" w:eastAsia="zh-CN"/>
              </w:rPr>
              <w:t xml:space="preserve"> </w:t>
            </w:r>
            <w:r>
              <w:rPr>
                <w:rFonts w:hint="eastAsia" w:ascii="仿宋" w:hAnsi="仿宋" w:eastAsia="仿宋" w:cs="仿宋"/>
                <w:b/>
                <w:bCs/>
                <w:color w:val="auto"/>
                <w:spacing w:val="2"/>
                <w:sz w:val="24"/>
                <w:szCs w:val="24"/>
                <w:highlight w:val="none"/>
              </w:rPr>
              <w:t>《磋</w:t>
            </w:r>
            <w:r>
              <w:rPr>
                <w:rFonts w:hint="eastAsia" w:ascii="仿宋" w:hAnsi="仿宋" w:eastAsia="仿宋" w:cs="仿宋"/>
                <w:b/>
                <w:bCs/>
                <w:color w:val="auto"/>
                <w:sz w:val="24"/>
                <w:szCs w:val="24"/>
                <w:highlight w:val="none"/>
              </w:rPr>
              <w:t>商</w:t>
            </w:r>
            <w:r>
              <w:rPr>
                <w:rFonts w:hint="eastAsia" w:ascii="仿宋" w:hAnsi="仿宋" w:eastAsia="仿宋" w:cs="仿宋"/>
                <w:b/>
                <w:bCs/>
                <w:color w:val="auto"/>
                <w:spacing w:val="2"/>
                <w:sz w:val="24"/>
                <w:szCs w:val="24"/>
                <w:highlight w:val="none"/>
              </w:rPr>
              <w:t>响应性</w:t>
            </w:r>
            <w:r>
              <w:rPr>
                <w:rFonts w:hint="eastAsia" w:ascii="仿宋" w:hAnsi="仿宋" w:eastAsia="仿宋" w:cs="仿宋"/>
                <w:b/>
                <w:bCs/>
                <w:color w:val="auto"/>
                <w:sz w:val="24"/>
                <w:szCs w:val="24"/>
                <w:highlight w:val="none"/>
              </w:rPr>
              <w:t>文件》完全一致。</w:t>
            </w:r>
          </w:p>
          <w:p>
            <w:pPr>
              <w:pStyle w:val="30"/>
              <w:kinsoku w:val="0"/>
              <w:overflowPunct w:val="0"/>
              <w:spacing w:before="16"/>
              <w:jc w:val="both"/>
              <w:rPr>
                <w:rFonts w:hint="eastAsia" w:ascii="仿宋" w:hAnsi="仿宋" w:eastAsia="仿宋" w:cs="仿宋"/>
                <w:b/>
                <w:bCs/>
                <w:color w:val="auto"/>
                <w:sz w:val="24"/>
                <w:szCs w:val="24"/>
                <w:highlight w:val="none"/>
              </w:rPr>
            </w:pPr>
            <w:bookmarkStart w:id="25" w:name="_GoBack"/>
            <w:bookmarkEnd w:id="25"/>
          </w:p>
          <w:p>
            <w:pPr>
              <w:pStyle w:val="30"/>
              <w:numPr>
                <w:ilvl w:val="0"/>
                <w:numId w:val="5"/>
              </w:numPr>
              <w:kinsoku w:val="0"/>
              <w:overflowPunct w:val="0"/>
              <w:spacing w:before="16"/>
              <w:jc w:val="both"/>
              <w:rPr>
                <w:rFonts w:hint="eastAsia" w:ascii="仿宋" w:hAnsi="仿宋" w:eastAsia="仿宋" w:cs="仿宋"/>
                <w:color w:val="auto"/>
                <w:sz w:val="24"/>
                <w:szCs w:val="24"/>
                <w:highlight w:val="none"/>
                <w:u w:val="single"/>
              </w:rPr>
            </w:pPr>
            <w:r>
              <w:rPr>
                <w:rFonts w:hint="eastAsia" w:ascii="仿宋" w:hAnsi="仿宋" w:eastAsia="仿宋" w:cs="仿宋"/>
                <w:b/>
                <w:bCs/>
                <w:color w:val="auto"/>
                <w:sz w:val="24"/>
                <w:szCs w:val="24"/>
                <w:highlight w:val="none"/>
              </w:rPr>
              <w:t>递交截止时间：</w:t>
            </w:r>
            <w:r>
              <w:rPr>
                <w:rFonts w:hint="eastAsia" w:ascii="仿宋" w:hAnsi="仿宋" w:eastAsia="仿宋" w:cs="仿宋"/>
                <w:color w:val="auto"/>
                <w:kern w:val="0"/>
                <w:sz w:val="24"/>
                <w:szCs w:val="24"/>
                <w:highlight w:val="none"/>
                <w:lang w:val="en-US" w:eastAsia="zh-CN" w:bidi="ar-SA"/>
              </w:rPr>
              <w:t>2023 年 08 月15日上午12:00（北京时间）</w:t>
            </w:r>
          </w:p>
          <w:p>
            <w:pPr>
              <w:pStyle w:val="30"/>
              <w:numPr>
                <w:ilvl w:val="0"/>
                <w:numId w:val="0"/>
              </w:numPr>
              <w:kinsoku w:val="0"/>
              <w:overflowPunct w:val="0"/>
              <w:spacing w:before="16"/>
              <w:jc w:val="both"/>
              <w:rPr>
                <w:rFonts w:hint="eastAsia" w:ascii="仿宋" w:hAnsi="仿宋" w:eastAsia="仿宋" w:cs="仿宋"/>
                <w:color w:val="auto"/>
                <w:sz w:val="24"/>
                <w:szCs w:val="24"/>
                <w:highlight w:val="none"/>
                <w:u w:val="single"/>
              </w:rPr>
            </w:pPr>
          </w:p>
          <w:p>
            <w:pPr>
              <w:pStyle w:val="30"/>
              <w:kinsoku w:val="0"/>
              <w:overflowPunct w:val="0"/>
              <w:spacing w:before="16"/>
              <w:jc w:val="both"/>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3、递交地点：</w:t>
            </w:r>
            <w:r>
              <w:rPr>
                <w:rFonts w:hint="eastAsia" w:ascii="仿宋" w:hAnsi="仿宋" w:eastAsia="仿宋" w:cs="仿宋"/>
                <w:b w:val="0"/>
                <w:bCs w:val="0"/>
                <w:color w:val="auto"/>
                <w:sz w:val="24"/>
                <w:szCs w:val="24"/>
                <w:highlight w:val="none"/>
                <w:u w:val="single"/>
                <w:lang w:val="en-US" w:eastAsia="zh-CN"/>
              </w:rPr>
              <w:t>政采云平台（http://www.zcygov.cn/）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5" w:hRule="atLeast"/>
          <w:jc w:val="center"/>
        </w:trPr>
        <w:tc>
          <w:tcPr>
            <w:tcW w:w="672" w:type="dxa"/>
            <w:noWrap w:val="0"/>
            <w:vAlign w:val="center"/>
          </w:tcPr>
          <w:p>
            <w:pPr>
              <w:pStyle w:val="30"/>
              <w:kinsoku w:val="0"/>
              <w:overflowPunct w:val="0"/>
              <w:spacing w:before="73"/>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w:t>
            </w:r>
          </w:p>
        </w:tc>
        <w:tc>
          <w:tcPr>
            <w:tcW w:w="8475" w:type="dxa"/>
            <w:noWrap w:val="0"/>
            <w:vAlign w:val="center"/>
          </w:tcPr>
          <w:p>
            <w:pPr>
              <w:pStyle w:val="30"/>
              <w:kinsoku w:val="0"/>
              <w:overflowPunct w:val="0"/>
              <w:spacing w:before="56"/>
              <w:jc w:val="both"/>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开标时间及地点：</w:t>
            </w:r>
          </w:p>
          <w:p>
            <w:pPr>
              <w:pStyle w:val="30"/>
              <w:kinsoku w:val="0"/>
              <w:overflowPunct w:val="0"/>
              <w:spacing w:before="38"/>
              <w:jc w:val="both"/>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开标时间：</w:t>
            </w:r>
            <w:r>
              <w:rPr>
                <w:rFonts w:hint="eastAsia" w:ascii="仿宋" w:hAnsi="仿宋" w:eastAsia="仿宋" w:cs="仿宋"/>
                <w:color w:val="auto"/>
                <w:sz w:val="24"/>
                <w:szCs w:val="24"/>
                <w:highlight w:val="none"/>
              </w:rPr>
              <w:t>同磋商响应性文件递交截止时间</w:t>
            </w:r>
          </w:p>
          <w:p>
            <w:pPr>
              <w:pStyle w:val="30"/>
              <w:kinsoku w:val="0"/>
              <w:overflowPunct w:val="0"/>
              <w:spacing w:before="38"/>
              <w:jc w:val="both"/>
              <w:rPr>
                <w:rFonts w:hint="eastAsia" w:ascii="仿宋" w:hAnsi="仿宋" w:eastAsia="仿宋" w:cs="仿宋"/>
                <w:color w:val="auto"/>
                <w:sz w:val="24"/>
                <w:szCs w:val="24"/>
                <w:highlight w:val="none"/>
              </w:rPr>
            </w:pPr>
            <w:r>
              <w:rPr>
                <w:rFonts w:hint="eastAsia" w:ascii="仿宋" w:hAnsi="仿宋" w:eastAsia="仿宋" w:cs="仿宋"/>
                <w:b/>
                <w:bCs/>
                <w:color w:val="auto"/>
                <w:spacing w:val="-2"/>
                <w:sz w:val="24"/>
                <w:szCs w:val="24"/>
                <w:highlight w:val="none"/>
              </w:rPr>
              <w:t>开标地点：</w:t>
            </w:r>
            <w:r>
              <w:rPr>
                <w:rFonts w:hint="eastAsia" w:ascii="仿宋" w:hAnsi="仿宋" w:eastAsia="仿宋" w:cs="仿宋"/>
                <w:color w:val="auto"/>
                <w:sz w:val="24"/>
                <w:szCs w:val="24"/>
                <w:highlight w:val="none"/>
              </w:rPr>
              <w:t>同磋商响应性文件递交地点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672" w:type="dxa"/>
            <w:noWrap w:val="0"/>
            <w:vAlign w:val="center"/>
          </w:tcPr>
          <w:p>
            <w:pPr>
              <w:pStyle w:val="30"/>
              <w:kinsoku w:val="0"/>
              <w:overflowPunct w:val="0"/>
              <w:spacing w:before="73"/>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w:t>
            </w:r>
          </w:p>
        </w:tc>
        <w:tc>
          <w:tcPr>
            <w:tcW w:w="8475" w:type="dxa"/>
            <w:noWrap w:val="0"/>
            <w:vAlign w:val="center"/>
          </w:tcPr>
          <w:p>
            <w:pPr>
              <w:pStyle w:val="30"/>
              <w:kinsoku w:val="0"/>
              <w:overflowPunct w:val="0"/>
              <w:spacing w:before="56"/>
              <w:ind w:left="102"/>
              <w:jc w:val="both"/>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付款方式：</w:t>
            </w:r>
            <w:r>
              <w:rPr>
                <w:rFonts w:hint="eastAsia" w:ascii="仿宋" w:hAnsi="仿宋" w:eastAsia="仿宋" w:cs="仿宋"/>
                <w:color w:val="auto"/>
                <w:sz w:val="24"/>
                <w:szCs w:val="24"/>
                <w:highlight w:val="none"/>
              </w:rPr>
              <w:t>合同约定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672" w:type="dxa"/>
            <w:noWrap w:val="0"/>
            <w:vAlign w:val="center"/>
          </w:tcPr>
          <w:p>
            <w:pPr>
              <w:pStyle w:val="30"/>
              <w:kinsoku w:val="0"/>
              <w:overflowPunct w:val="0"/>
              <w:spacing w:before="73"/>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23</w:t>
            </w:r>
          </w:p>
        </w:tc>
        <w:tc>
          <w:tcPr>
            <w:tcW w:w="8475" w:type="dxa"/>
            <w:noWrap w:val="0"/>
            <w:vAlign w:val="center"/>
          </w:tcPr>
          <w:p>
            <w:pPr>
              <w:pStyle w:val="30"/>
              <w:kinsoku w:val="0"/>
              <w:overflowPunct w:val="0"/>
              <w:spacing w:line="277" w:lineRule="exact"/>
              <w:ind w:left="102"/>
              <w:jc w:val="both"/>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★履约保证金：</w:t>
            </w:r>
            <w:r>
              <w:rPr>
                <w:rFonts w:hint="eastAsia" w:ascii="仿宋" w:hAnsi="仿宋" w:eastAsia="仿宋" w:cs="仿宋"/>
                <w:b w:val="0"/>
                <w:bCs w:val="0"/>
                <w:color w:val="auto"/>
                <w:sz w:val="24"/>
                <w:szCs w:val="24"/>
                <w:highlight w:val="none"/>
                <w:lang w:val="zh-CN"/>
              </w:rPr>
              <w:t>由中标单位按中标总金额的</w:t>
            </w:r>
            <w:r>
              <w:rPr>
                <w:rFonts w:hint="eastAsia" w:ascii="仿宋" w:hAnsi="仿宋" w:eastAsia="仿宋" w:cs="仿宋"/>
                <w:b w:val="0"/>
                <w:bCs w:val="0"/>
                <w:color w:val="auto"/>
                <w:sz w:val="24"/>
                <w:szCs w:val="24"/>
                <w:highlight w:val="none"/>
                <w:lang w:val="en-US" w:eastAsia="zh-CN"/>
              </w:rPr>
              <w:t>5</w:t>
            </w:r>
            <w:r>
              <w:rPr>
                <w:rFonts w:hint="eastAsia" w:ascii="仿宋" w:hAnsi="仿宋" w:eastAsia="仿宋" w:cs="仿宋"/>
                <w:b w:val="0"/>
                <w:bCs w:val="0"/>
                <w:color w:val="auto"/>
                <w:sz w:val="24"/>
                <w:szCs w:val="24"/>
                <w:highlight w:val="none"/>
                <w:lang w:val="zh-CN"/>
              </w:rPr>
              <w:t>%计收，合同履行后无质量问题无利息退还。未按</w:t>
            </w:r>
            <w:r>
              <w:rPr>
                <w:rFonts w:hint="eastAsia" w:ascii="仿宋" w:hAnsi="仿宋" w:eastAsia="仿宋" w:cs="仿宋"/>
                <w:b w:val="0"/>
                <w:bCs w:val="0"/>
                <w:color w:val="auto"/>
                <w:sz w:val="24"/>
                <w:szCs w:val="24"/>
                <w:highlight w:val="none"/>
                <w:lang w:val="en-US" w:eastAsia="zh-CN"/>
              </w:rPr>
              <w:t>服务期限</w:t>
            </w:r>
            <w:r>
              <w:rPr>
                <w:rFonts w:hint="eastAsia" w:ascii="仿宋" w:hAnsi="仿宋" w:eastAsia="仿宋" w:cs="仿宋"/>
                <w:b w:val="0"/>
                <w:bCs w:val="0"/>
                <w:color w:val="auto"/>
                <w:sz w:val="24"/>
                <w:szCs w:val="24"/>
                <w:highlight w:val="none"/>
                <w:lang w:val="zh-CN"/>
              </w:rPr>
              <w:t>完成的履约保证金将不退还。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8" w:hRule="atLeast"/>
          <w:jc w:val="center"/>
        </w:trPr>
        <w:tc>
          <w:tcPr>
            <w:tcW w:w="672" w:type="dxa"/>
            <w:noWrap w:val="0"/>
            <w:vAlign w:val="center"/>
          </w:tcPr>
          <w:p>
            <w:pPr>
              <w:pStyle w:val="30"/>
              <w:kinsoku w:val="0"/>
              <w:overflowPunct w:val="0"/>
              <w:spacing w:before="73"/>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24</w:t>
            </w:r>
          </w:p>
        </w:tc>
        <w:tc>
          <w:tcPr>
            <w:tcW w:w="8475" w:type="dxa"/>
            <w:noWrap w:val="0"/>
            <w:vAlign w:val="center"/>
          </w:tcPr>
          <w:p>
            <w:pPr>
              <w:pStyle w:val="30"/>
              <w:kinsoku w:val="0"/>
              <w:overflowPunct w:val="0"/>
              <w:spacing w:line="274" w:lineRule="exact"/>
              <w:ind w:left="102"/>
              <w:jc w:val="both"/>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代理服务费</w:t>
            </w:r>
            <w:r>
              <w:rPr>
                <w:rFonts w:hint="eastAsia" w:ascii="仿宋" w:hAnsi="仿宋" w:eastAsia="仿宋" w:cs="仿宋"/>
                <w:color w:val="auto"/>
                <w:sz w:val="24"/>
                <w:szCs w:val="24"/>
                <w:highlight w:val="none"/>
              </w:rPr>
              <w:t>：</w:t>
            </w:r>
          </w:p>
          <w:p>
            <w:pPr>
              <w:pStyle w:val="30"/>
              <w:kinsoku w:val="0"/>
              <w:overflowPunct w:val="0"/>
              <w:spacing w:line="276" w:lineRule="exact"/>
              <w:ind w:left="102" w:firstLine="472"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参照国家计委《招标代理服务收费管理暂行办法》(计价格﹝2002﹞1980 号)所规定及与采购方签订合同所规定的费率取费，由中标人支付，该代理服务费在中标人领取中标通知书时向招标代理机构缴纳。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80" w:hRule="atLeast"/>
          <w:jc w:val="center"/>
        </w:trPr>
        <w:tc>
          <w:tcPr>
            <w:tcW w:w="672" w:type="dxa"/>
            <w:noWrap w:val="0"/>
            <w:vAlign w:val="center"/>
          </w:tcPr>
          <w:p>
            <w:pPr>
              <w:pStyle w:val="30"/>
              <w:kinsoku w:val="0"/>
              <w:overflowPunct w:val="0"/>
              <w:spacing w:before="73"/>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25</w:t>
            </w:r>
          </w:p>
        </w:tc>
        <w:tc>
          <w:tcPr>
            <w:tcW w:w="8475" w:type="dxa"/>
            <w:noWrap w:val="0"/>
            <w:vAlign w:val="center"/>
          </w:tcPr>
          <w:p>
            <w:pPr>
              <w:pStyle w:val="30"/>
              <w:kinsoku w:val="0"/>
              <w:overflowPunct w:val="0"/>
              <w:spacing w:line="274" w:lineRule="exact"/>
              <w:ind w:left="102"/>
              <w:jc w:val="both"/>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场地服务费：</w:t>
            </w:r>
          </w:p>
          <w:p>
            <w:pPr>
              <w:pStyle w:val="30"/>
              <w:kinsoku w:val="0"/>
              <w:overflowPunct w:val="0"/>
              <w:spacing w:line="276" w:lineRule="exact"/>
              <w:ind w:left="102" w:firstLine="472" w:firstLineChars="200"/>
              <w:jc w:val="both"/>
              <w:rPr>
                <w:rFonts w:hint="eastAsia" w:ascii="仿宋" w:hAnsi="仿宋" w:eastAsia="仿宋" w:cs="仿宋"/>
                <w:color w:val="auto"/>
                <w:spacing w:val="-2"/>
                <w:sz w:val="24"/>
                <w:szCs w:val="24"/>
                <w:highlight w:val="none"/>
                <w:lang w:val="en-US" w:eastAsia="zh-CN"/>
              </w:rPr>
            </w:pPr>
            <w:r>
              <w:rPr>
                <w:rFonts w:hint="eastAsia" w:ascii="仿宋" w:hAnsi="仿宋" w:eastAsia="仿宋" w:cs="仿宋"/>
                <w:color w:val="auto"/>
                <w:spacing w:val="-2"/>
                <w:sz w:val="24"/>
                <w:szCs w:val="24"/>
                <w:highlight w:val="none"/>
                <w:lang w:val="en-US" w:eastAsia="zh-CN"/>
              </w:rPr>
              <w:t>场地及设施服务费投标单位不足6家时按照每家单位1000元收取，等于或者多于6家时，按总金额6000元由投标单位均摊。</w:t>
            </w:r>
          </w:p>
          <w:p>
            <w:pPr>
              <w:pStyle w:val="30"/>
              <w:kinsoku w:val="0"/>
              <w:overflowPunct w:val="0"/>
              <w:spacing w:line="276" w:lineRule="exact"/>
              <w:ind w:left="102" w:firstLine="472" w:firstLineChars="200"/>
              <w:jc w:val="both"/>
              <w:rPr>
                <w:rFonts w:hint="eastAsia" w:ascii="仿宋" w:hAnsi="仿宋" w:eastAsia="仿宋" w:cs="仿宋"/>
                <w:color w:val="auto"/>
                <w:spacing w:val="-2"/>
                <w:sz w:val="24"/>
                <w:szCs w:val="24"/>
                <w:highlight w:val="none"/>
                <w:lang w:val="en-US" w:eastAsia="zh-CN"/>
              </w:rPr>
            </w:pPr>
            <w:r>
              <w:rPr>
                <w:rFonts w:hint="eastAsia" w:ascii="仿宋" w:hAnsi="仿宋" w:eastAsia="仿宋" w:cs="仿宋"/>
                <w:color w:val="auto"/>
                <w:spacing w:val="-2"/>
                <w:sz w:val="24"/>
                <w:szCs w:val="24"/>
                <w:highlight w:val="none"/>
                <w:lang w:val="en-US" w:eastAsia="zh-CN"/>
              </w:rPr>
              <w:t>注：当参加项目（或标段）的投标单位多于6家时，所需缴纳的场地服务费为：6000元/参标单位个数。(网络电子开标投标人不需要到场，交易服务中心收费由代理公司代收，在开标时通过微信扫码支付完成，各投标单位发票信息发送至905942236@qq.com)。后由交易中心财务室将电子发票发送至投标人留存邮箱。</w:t>
            </w:r>
          </w:p>
          <w:p>
            <w:pPr>
              <w:pStyle w:val="30"/>
              <w:kinsoku w:val="0"/>
              <w:overflowPunct w:val="0"/>
              <w:spacing w:line="274" w:lineRule="exact"/>
              <w:ind w:left="102"/>
              <w:jc w:val="both"/>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公证费：</w:t>
            </w:r>
          </w:p>
          <w:p>
            <w:pPr>
              <w:pStyle w:val="30"/>
              <w:kinsoku w:val="0"/>
              <w:overflowPunct w:val="0"/>
              <w:spacing w:line="276" w:lineRule="exact"/>
              <w:ind w:left="102" w:firstLine="472" w:firstLineChars="200"/>
              <w:jc w:val="both"/>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lang w:val="en-US" w:eastAsia="zh-CN"/>
              </w:rPr>
              <w:t>根据公证处要求进行缴纳，由中标单位支付。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3" w:hRule="atLeast"/>
          <w:jc w:val="center"/>
        </w:trPr>
        <w:tc>
          <w:tcPr>
            <w:tcW w:w="672" w:type="dxa"/>
            <w:noWrap w:val="0"/>
            <w:vAlign w:val="center"/>
          </w:tcPr>
          <w:p>
            <w:pPr>
              <w:pStyle w:val="30"/>
              <w:kinsoku w:val="0"/>
              <w:overflowPunct w:val="0"/>
              <w:spacing w:before="73"/>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26</w:t>
            </w:r>
          </w:p>
        </w:tc>
        <w:tc>
          <w:tcPr>
            <w:tcW w:w="8475" w:type="dxa"/>
            <w:noWrap w:val="0"/>
            <w:vAlign w:val="center"/>
          </w:tcPr>
          <w:p>
            <w:pPr>
              <w:pStyle w:val="30"/>
              <w:kinsoku w:val="0"/>
              <w:overflowPunct w:val="0"/>
              <w:spacing w:line="277" w:lineRule="exact"/>
              <w:ind w:left="102"/>
              <w:jc w:val="both"/>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采购项目需要落实的政府采购政策:</w:t>
            </w:r>
          </w:p>
          <w:p>
            <w:pPr>
              <w:pStyle w:val="30"/>
              <w:kinsoku w:val="0"/>
              <w:overflowPunct w:val="0"/>
              <w:spacing w:before="38"/>
              <w:ind w:left="102" w:firstLine="472" w:firstLineChars="200"/>
              <w:jc w:val="both"/>
              <w:rPr>
                <w:rFonts w:hint="eastAsia" w:ascii="仿宋" w:hAnsi="仿宋" w:eastAsia="仿宋" w:cs="仿宋"/>
                <w:color w:val="auto"/>
                <w:spacing w:val="-2"/>
                <w:sz w:val="24"/>
                <w:szCs w:val="24"/>
                <w:highlight w:val="none"/>
                <w:lang w:val="en-US" w:eastAsia="zh-CN"/>
              </w:rPr>
            </w:pPr>
            <w:r>
              <w:rPr>
                <w:rFonts w:hint="eastAsia" w:ascii="仿宋" w:hAnsi="仿宋" w:eastAsia="仿宋" w:cs="仿宋"/>
                <w:color w:val="auto"/>
                <w:spacing w:val="-2"/>
                <w:sz w:val="24"/>
                <w:szCs w:val="24"/>
                <w:highlight w:val="none"/>
              </w:rPr>
              <w:t>1、</w:t>
            </w:r>
            <w:r>
              <w:rPr>
                <w:rFonts w:hint="eastAsia" w:ascii="仿宋" w:hAnsi="仿宋" w:eastAsia="仿宋" w:cs="仿宋"/>
                <w:color w:val="auto"/>
                <w:spacing w:val="-2"/>
                <w:sz w:val="24"/>
                <w:szCs w:val="24"/>
                <w:highlight w:val="none"/>
                <w:lang w:val="en-US" w:eastAsia="zh-CN"/>
              </w:rPr>
              <w:t>根据《政府采购促进中小企业展暂行办法》（财库[2020]46号）文件规定，对小型和微型企业产品的价格给予10%的扣除，用扣除后的价格参与评审。</w:t>
            </w:r>
          </w:p>
          <w:p>
            <w:pPr>
              <w:pStyle w:val="30"/>
              <w:kinsoku w:val="0"/>
              <w:overflowPunct w:val="0"/>
              <w:spacing w:before="38"/>
              <w:ind w:left="102" w:firstLine="472" w:firstLineChars="200"/>
              <w:jc w:val="both"/>
              <w:rPr>
                <w:rFonts w:hint="default" w:ascii="仿宋" w:hAnsi="仿宋" w:eastAsia="仿宋" w:cs="仿宋"/>
                <w:color w:val="auto"/>
                <w:spacing w:val="-2"/>
                <w:sz w:val="24"/>
                <w:szCs w:val="24"/>
                <w:highlight w:val="none"/>
                <w:lang w:val="en-US" w:eastAsia="zh-CN"/>
              </w:rPr>
            </w:pPr>
            <w:r>
              <w:rPr>
                <w:rFonts w:hint="eastAsia" w:ascii="仿宋" w:hAnsi="仿宋" w:eastAsia="仿宋" w:cs="仿宋"/>
                <w:color w:val="auto"/>
                <w:spacing w:val="-2"/>
                <w:sz w:val="24"/>
                <w:szCs w:val="24"/>
                <w:highlight w:val="none"/>
                <w:lang w:val="en-US" w:eastAsia="zh-CN"/>
              </w:rPr>
              <w:t>2、根据《财政部民政部中国残疾人联合会关于促进残疾人就业政府采购政策的通知》（财库【2017】141号）文件规定，对满足价格扣除条件且在投标文件中提交了《残疾人福利性单位声明函》等证明文件的供应商，其投标报价扣除10%后参与评审。具体办法详见招标文件评标办法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30"/>
              <w:kinsoku w:val="0"/>
              <w:overflowPunct w:val="0"/>
              <w:spacing w:before="73"/>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27</w:t>
            </w:r>
          </w:p>
        </w:tc>
        <w:tc>
          <w:tcPr>
            <w:tcW w:w="8475" w:type="dxa"/>
            <w:noWrap w:val="0"/>
            <w:vAlign w:val="top"/>
          </w:tcPr>
          <w:p>
            <w:pPr>
              <w:pStyle w:val="30"/>
              <w:kinsoku w:val="0"/>
              <w:overflowPunct w:val="0"/>
              <w:spacing w:line="277" w:lineRule="exact"/>
              <w:ind w:left="102"/>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磋商响应性文件递交要求： </w:t>
            </w:r>
          </w:p>
          <w:p>
            <w:pPr>
              <w:pStyle w:val="30"/>
              <w:kinsoku w:val="0"/>
              <w:overflowPunct w:val="0"/>
              <w:spacing w:before="38"/>
              <w:ind w:left="102"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本项目实行电子招投标，</w:t>
            </w:r>
            <w:r>
              <w:rPr>
                <w:rFonts w:hint="eastAsia" w:ascii="仿宋" w:hAnsi="仿宋" w:eastAsia="仿宋" w:cs="仿宋"/>
                <w:color w:val="auto"/>
                <w:sz w:val="24"/>
                <w:szCs w:val="24"/>
                <w:highlight w:val="none"/>
                <w:lang w:val="zh-CN" w:eastAsia="zh-CN"/>
              </w:rPr>
              <w:t>投标人应</w:t>
            </w:r>
            <w:r>
              <w:rPr>
                <w:rFonts w:hint="eastAsia" w:ascii="仿宋" w:hAnsi="仿宋" w:eastAsia="仿宋" w:cs="仿宋"/>
                <w:color w:val="auto"/>
                <w:sz w:val="24"/>
                <w:szCs w:val="24"/>
                <w:highlight w:val="none"/>
                <w:lang w:val="en-US" w:eastAsia="zh-CN"/>
              </w:rPr>
              <w:t>投标时间截止</w:t>
            </w:r>
            <w:r>
              <w:rPr>
                <w:rFonts w:hint="eastAsia" w:ascii="仿宋" w:hAnsi="仿宋" w:eastAsia="仿宋" w:cs="仿宋"/>
                <w:color w:val="auto"/>
                <w:sz w:val="24"/>
                <w:szCs w:val="24"/>
                <w:highlight w:val="none"/>
                <w:lang w:val="zh-CN" w:eastAsia="zh-CN"/>
              </w:rPr>
              <w:t>之前将电子投标文件上传到“政采云”平台。应按照本项目招标文件和政采云平台的要求编制、加密传输投标文件。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3" w:hRule="atLeast"/>
          <w:jc w:val="center"/>
        </w:trPr>
        <w:tc>
          <w:tcPr>
            <w:tcW w:w="672" w:type="dxa"/>
            <w:noWrap w:val="0"/>
            <w:vAlign w:val="center"/>
          </w:tcPr>
          <w:p>
            <w:pPr>
              <w:pStyle w:val="30"/>
              <w:kinsoku w:val="0"/>
              <w:overflowPunct w:val="0"/>
              <w:spacing w:before="73"/>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28</w:t>
            </w:r>
          </w:p>
        </w:tc>
        <w:tc>
          <w:tcPr>
            <w:tcW w:w="8475" w:type="dxa"/>
            <w:noWrap w:val="0"/>
            <w:vAlign w:val="center"/>
          </w:tcPr>
          <w:p>
            <w:pPr>
              <w:pStyle w:val="30"/>
              <w:kinsoku w:val="0"/>
              <w:overflowPunct w:val="0"/>
              <w:spacing w:line="277" w:lineRule="exact"/>
              <w:ind w:left="102"/>
              <w:jc w:val="both"/>
              <w:rPr>
                <w:rFonts w:hint="eastAsia" w:ascii="仿宋" w:hAnsi="仿宋" w:eastAsia="仿宋" w:cs="仿宋"/>
                <w:b/>
                <w:bCs/>
                <w:color w:val="auto"/>
                <w:sz w:val="24"/>
                <w:szCs w:val="24"/>
                <w:highlight w:val="none"/>
                <w:lang w:val="zh-CN" w:eastAsia="zh-CN"/>
              </w:rPr>
            </w:pPr>
            <w:r>
              <w:rPr>
                <w:rFonts w:hint="eastAsia" w:ascii="仿宋" w:hAnsi="仿宋" w:eastAsia="仿宋" w:cs="仿宋"/>
                <w:b/>
                <w:bCs/>
                <w:color w:val="auto"/>
                <w:sz w:val="24"/>
                <w:szCs w:val="24"/>
                <w:highlight w:val="none"/>
                <w:lang w:val="zh-CN" w:eastAsia="zh-CN"/>
              </w:rPr>
              <w:t>标前准备：</w:t>
            </w:r>
          </w:p>
          <w:p>
            <w:pPr>
              <w:pStyle w:val="30"/>
              <w:kinsoku w:val="0"/>
              <w:overflowPunct w:val="0"/>
              <w:spacing w:before="38"/>
              <w:ind w:left="102" w:firstLine="480" w:firstLineChars="200"/>
              <w:jc w:val="both"/>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1、本项目实行网上投标，采用电子投标文件。若供应商参与投标，自行承担投标一切费用。</w:t>
            </w:r>
          </w:p>
          <w:p>
            <w:pPr>
              <w:pStyle w:val="30"/>
              <w:kinsoku w:val="0"/>
              <w:overflowPunct w:val="0"/>
              <w:spacing w:before="38"/>
              <w:ind w:left="102" w:firstLine="480" w:firstLineChars="200"/>
              <w:jc w:val="both"/>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pStyle w:val="30"/>
              <w:kinsoku w:val="0"/>
              <w:overflowPunct w:val="0"/>
              <w:spacing w:before="38"/>
              <w:ind w:left="102" w:firstLine="480" w:firstLineChars="200"/>
              <w:jc w:val="left"/>
              <w:rPr>
                <w:rFonts w:hint="eastAsia" w:ascii="仿宋" w:hAnsi="仿宋" w:eastAsia="仿宋" w:cs="仿宋"/>
                <w:color w:val="auto"/>
                <w:spacing w:val="-2"/>
                <w:sz w:val="24"/>
                <w:szCs w:val="24"/>
                <w:highlight w:val="none"/>
              </w:rPr>
            </w:pPr>
            <w:r>
              <w:rPr>
                <w:rFonts w:hint="eastAsia" w:ascii="仿宋" w:hAnsi="仿宋" w:eastAsia="仿宋" w:cs="仿宋"/>
                <w:color w:val="auto"/>
                <w:sz w:val="24"/>
                <w:szCs w:val="24"/>
                <w:highlight w:val="none"/>
                <w:lang w:val="zh-CN" w:eastAsia="zh-CN"/>
              </w:rPr>
              <w:t>3、供应商将政采云电子交易客户端下载、安装完成后，可通过账号密码或CA登录客户端进行投标文件制作。在使用政采云投标客户端时，建议使用WIN7及以上操作系统。客户端请至新疆政府采购网（</w:t>
            </w:r>
            <w:r>
              <w:rPr>
                <w:rFonts w:hint="eastAsia" w:ascii="仿宋" w:hAnsi="仿宋" w:eastAsia="仿宋" w:cs="仿宋"/>
                <w:color w:val="auto"/>
                <w:sz w:val="24"/>
                <w:szCs w:val="24"/>
                <w:highlight w:val="none"/>
                <w:lang w:val="zh-CN" w:eastAsia="zh-CN"/>
              </w:rPr>
              <w:fldChar w:fldCharType="begin"/>
            </w:r>
            <w:r>
              <w:rPr>
                <w:rFonts w:hint="eastAsia" w:ascii="仿宋" w:hAnsi="仿宋" w:eastAsia="仿宋" w:cs="仿宋"/>
                <w:color w:val="auto"/>
                <w:sz w:val="24"/>
                <w:szCs w:val="24"/>
                <w:highlight w:val="none"/>
                <w:lang w:val="zh-CN" w:eastAsia="zh-CN"/>
              </w:rPr>
              <w:instrText xml:space="preserve"> HYPERLINK "http://www.ccgp-xinjiang.gov.cn/" </w:instrText>
            </w:r>
            <w:r>
              <w:rPr>
                <w:rFonts w:hint="eastAsia" w:ascii="仿宋" w:hAnsi="仿宋" w:eastAsia="仿宋" w:cs="仿宋"/>
                <w:color w:val="auto"/>
                <w:sz w:val="24"/>
                <w:szCs w:val="24"/>
                <w:highlight w:val="none"/>
                <w:lang w:val="zh-CN" w:eastAsia="zh-CN"/>
              </w:rPr>
              <w:fldChar w:fldCharType="separate"/>
            </w:r>
            <w:r>
              <w:rPr>
                <w:rFonts w:hint="eastAsia" w:ascii="仿宋" w:hAnsi="仿宋" w:eastAsia="仿宋" w:cs="仿宋"/>
                <w:color w:val="auto"/>
                <w:sz w:val="24"/>
                <w:szCs w:val="24"/>
                <w:highlight w:val="none"/>
                <w:lang w:val="zh-CN" w:eastAsia="zh-CN"/>
              </w:rPr>
              <w:t>http://www.ccgp-xinjiang.gov.cn/</w:t>
            </w:r>
            <w:r>
              <w:rPr>
                <w:rFonts w:hint="eastAsia" w:ascii="仿宋" w:hAnsi="仿宋" w:eastAsia="仿宋" w:cs="仿宋"/>
                <w:color w:val="auto"/>
                <w:sz w:val="24"/>
                <w:szCs w:val="24"/>
                <w:highlight w:val="none"/>
                <w:lang w:val="zh-CN" w:eastAsia="zh-CN"/>
              </w:rPr>
              <w:fldChar w:fldCharType="end"/>
            </w:r>
            <w:r>
              <w:rPr>
                <w:rFonts w:hint="eastAsia" w:ascii="仿宋" w:hAnsi="仿宋" w:eastAsia="仿宋" w:cs="仿宋"/>
                <w:color w:val="auto"/>
                <w:sz w:val="24"/>
                <w:szCs w:val="24"/>
                <w:highlight w:val="none"/>
                <w:lang w:val="zh-CN" w:eastAsia="zh-CN"/>
              </w:rPr>
              <w:t>）下载专区查看，如有问题可拨打政采云客户服务热线95763进行咨询。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3" w:hRule="atLeast"/>
          <w:jc w:val="center"/>
        </w:trPr>
        <w:tc>
          <w:tcPr>
            <w:tcW w:w="672" w:type="dxa"/>
            <w:noWrap w:val="0"/>
            <w:vAlign w:val="center"/>
          </w:tcPr>
          <w:p>
            <w:pPr>
              <w:pStyle w:val="30"/>
              <w:kinsoku w:val="0"/>
              <w:overflowPunct w:val="0"/>
              <w:spacing w:before="73"/>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29</w:t>
            </w:r>
          </w:p>
        </w:tc>
        <w:tc>
          <w:tcPr>
            <w:tcW w:w="8475" w:type="dxa"/>
            <w:noWrap w:val="0"/>
            <w:vAlign w:val="center"/>
          </w:tcPr>
          <w:p>
            <w:pPr>
              <w:pStyle w:val="30"/>
              <w:kinsoku w:val="0"/>
              <w:overflowPunct w:val="0"/>
              <w:spacing w:line="277" w:lineRule="exact"/>
              <w:ind w:left="102"/>
              <w:jc w:val="both"/>
              <w:rPr>
                <w:rFonts w:hint="eastAsia" w:ascii="仿宋" w:hAnsi="仿宋" w:eastAsia="仿宋" w:cs="仿宋"/>
                <w:b/>
                <w:bCs/>
                <w:color w:val="auto"/>
                <w:sz w:val="24"/>
                <w:szCs w:val="24"/>
                <w:highlight w:val="none"/>
                <w:lang w:val="zh-CN" w:eastAsia="zh-CN"/>
              </w:rPr>
            </w:pPr>
            <w:r>
              <w:rPr>
                <w:rFonts w:hint="eastAsia" w:ascii="仿宋" w:hAnsi="仿宋" w:eastAsia="仿宋" w:cs="仿宋"/>
                <w:b/>
                <w:bCs/>
                <w:color w:val="auto"/>
                <w:sz w:val="24"/>
                <w:szCs w:val="24"/>
                <w:highlight w:val="none"/>
                <w:lang w:val="en-US" w:eastAsia="zh-CN"/>
              </w:rPr>
              <w:t>投</w:t>
            </w:r>
            <w:r>
              <w:rPr>
                <w:rFonts w:hint="eastAsia" w:ascii="仿宋" w:hAnsi="仿宋" w:eastAsia="仿宋" w:cs="仿宋"/>
                <w:b/>
                <w:bCs/>
                <w:color w:val="auto"/>
                <w:sz w:val="24"/>
                <w:szCs w:val="24"/>
                <w:highlight w:val="none"/>
                <w:lang w:val="zh-CN" w:eastAsia="zh-CN"/>
              </w:rPr>
              <w:t>标文件解密时间：</w:t>
            </w:r>
          </w:p>
          <w:p>
            <w:pPr>
              <w:pStyle w:val="30"/>
              <w:kinsoku w:val="0"/>
              <w:overflowPunct w:val="0"/>
              <w:spacing w:before="38"/>
              <w:ind w:left="102" w:firstLine="480" w:firstLineChars="20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投标人应当在响应文件提交截止时间前，将生成的“电子加密响应文件”上传递交至“政府采购云平台”。响应文件提交截止时间以后上传提交的响应文件将被“政府采购云平台”拒收。</w:t>
            </w:r>
          </w:p>
          <w:p>
            <w:pPr>
              <w:pStyle w:val="30"/>
              <w:kinsoku w:val="0"/>
              <w:overflowPunct w:val="0"/>
              <w:spacing w:before="38"/>
              <w:ind w:left="102" w:firstLine="480" w:firstLineChars="200"/>
              <w:jc w:val="both"/>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响应文件开启时间后30分钟内（</w:t>
            </w:r>
            <w:r>
              <w:rPr>
                <w:rFonts w:hint="eastAsia" w:ascii="仿宋" w:hAnsi="仿宋" w:eastAsia="仿宋" w:cs="仿宋"/>
                <w:color w:val="000000" w:themeColor="text1"/>
                <w:sz w:val="24"/>
                <w:szCs w:val="24"/>
                <w:highlight w:val="none"/>
                <w:lang w:val="en-US" w:eastAsia="zh-CN"/>
                <w14:textFill>
                  <w14:solidFill>
                    <w14:schemeClr w14:val="tx1"/>
                  </w14:solidFill>
                </w14:textFill>
              </w:rPr>
              <w:t>2023年08月15日12:0</w:t>
            </w:r>
            <w:r>
              <w:rPr>
                <w:rFonts w:hint="eastAsia" w:ascii="仿宋" w:hAnsi="仿宋" w:eastAsia="仿宋" w:cs="仿宋"/>
                <w:color w:val="auto"/>
                <w:sz w:val="24"/>
                <w:szCs w:val="24"/>
                <w:highlight w:val="none"/>
                <w:lang w:val="en-US" w:eastAsia="zh-CN"/>
              </w:rPr>
              <w:t>0-12：30前）供应商可以登录“政采云”平台，用“项目采购-开标评标”功能进行解密响应文件。若供应商在规定时间内（</w:t>
            </w:r>
            <w:r>
              <w:rPr>
                <w:rFonts w:hint="eastAsia" w:ascii="仿宋" w:hAnsi="仿宋" w:eastAsia="仿宋" w:cs="仿宋"/>
                <w:color w:val="000000" w:themeColor="text1"/>
                <w:sz w:val="24"/>
                <w:szCs w:val="24"/>
                <w:highlight w:val="none"/>
                <w:lang w:val="en-US" w:eastAsia="zh-CN"/>
                <w14:textFill>
                  <w14:solidFill>
                    <w14:schemeClr w14:val="tx1"/>
                  </w14:solidFill>
                </w14:textFill>
              </w:rPr>
              <w:t>2023年08月15日</w:t>
            </w:r>
            <w:r>
              <w:rPr>
                <w:rFonts w:hint="eastAsia" w:ascii="仿宋" w:hAnsi="仿宋" w:eastAsia="仿宋" w:cs="仿宋"/>
                <w:color w:val="auto"/>
                <w:sz w:val="24"/>
                <w:szCs w:val="24"/>
                <w:highlight w:val="none"/>
                <w:lang w:val="en-US" w:eastAsia="zh-CN"/>
              </w:rPr>
              <w:t>12：30前）未按时解密的，视为响应文件撤回。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72" w:type="dxa"/>
            <w:noWrap w:val="0"/>
            <w:vAlign w:val="center"/>
          </w:tcPr>
          <w:p>
            <w:pPr>
              <w:pStyle w:val="30"/>
              <w:kinsoku w:val="0"/>
              <w:overflowPunct w:val="0"/>
              <w:spacing w:before="73"/>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30</w:t>
            </w:r>
          </w:p>
        </w:tc>
        <w:tc>
          <w:tcPr>
            <w:tcW w:w="8475" w:type="dxa"/>
            <w:noWrap w:val="0"/>
            <w:vAlign w:val="center"/>
          </w:tcPr>
          <w:p>
            <w:pPr>
              <w:pStyle w:val="30"/>
              <w:kinsoku w:val="0"/>
              <w:overflowPunct w:val="0"/>
              <w:spacing w:before="38"/>
              <w:ind w:left="102" w:firstLine="480" w:firstLineChars="20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中标后需按招标文件要求在项目实施地设立服务团队，服务团队人员需严格按照投标文件所列班子成员名单成立，为保证项目进度及项目顺利实施，服务团队主要成员需实时在岗，严格按照投标文件项目实施方案等内容执行。（投标单位需对以上特定要求做出承诺并附在投标文件最后一项）。</w:t>
            </w:r>
          </w:p>
        </w:tc>
      </w:tr>
    </w:tbl>
    <w:p>
      <w:pPr>
        <w:rPr>
          <w:rFonts w:hint="eastAsia" w:ascii="仿宋" w:hAnsi="仿宋" w:eastAsia="仿宋" w:cs="仿宋"/>
          <w:sz w:val="24"/>
          <w:szCs w:val="28"/>
          <w:highlight w:val="none"/>
          <w:lang w:val="en-US" w:eastAsia="zh-CN"/>
        </w:rPr>
      </w:pPr>
    </w:p>
    <w:p>
      <w:pPr>
        <w:rPr>
          <w:rFonts w:hint="eastAsia" w:ascii="仿宋" w:hAnsi="仿宋" w:eastAsia="仿宋" w:cs="仿宋"/>
          <w:sz w:val="24"/>
          <w:szCs w:val="28"/>
          <w:highlight w:val="none"/>
          <w:lang w:val="en-US" w:eastAsia="zh-CN"/>
        </w:rPr>
      </w:pPr>
      <w:r>
        <w:rPr>
          <w:rFonts w:hint="eastAsia" w:ascii="仿宋" w:hAnsi="仿宋" w:eastAsia="仿宋" w:cs="仿宋"/>
          <w:sz w:val="24"/>
          <w:szCs w:val="28"/>
          <w:highlight w:val="none"/>
          <w:lang w:val="en-US" w:eastAsia="zh-CN"/>
        </w:rPr>
        <w:t>备注：如招标文件正文部分与供应商须知前附表内容不一致，以供应商须知前附表</w:t>
      </w:r>
    </w:p>
    <w:p>
      <w:pPr>
        <w:rPr>
          <w:rFonts w:hint="eastAsia" w:ascii="仿宋" w:hAnsi="仿宋" w:eastAsia="仿宋" w:cs="仿宋"/>
          <w:sz w:val="24"/>
          <w:szCs w:val="28"/>
          <w:highlight w:val="none"/>
          <w:lang w:val="en-US" w:eastAsia="zh-CN"/>
        </w:rPr>
      </w:pPr>
      <w:r>
        <w:rPr>
          <w:rFonts w:hint="eastAsia" w:ascii="仿宋" w:hAnsi="仿宋" w:eastAsia="仿宋" w:cs="仿宋"/>
          <w:sz w:val="24"/>
          <w:szCs w:val="28"/>
          <w:highlight w:val="none"/>
          <w:lang w:val="en-US" w:eastAsia="zh-CN"/>
        </w:rPr>
        <w:t>内容为准。</w:t>
      </w:r>
    </w:p>
    <w:p>
      <w:pPr>
        <w:rPr>
          <w:rFonts w:hint="eastAsia" w:ascii="仿宋" w:hAnsi="仿宋" w:eastAsia="仿宋" w:cs="仿宋"/>
          <w:highlight w:val="none"/>
        </w:rPr>
      </w:pPr>
      <w:r>
        <w:rPr>
          <w:rFonts w:hint="eastAsia" w:ascii="仿宋" w:hAnsi="仿宋" w:eastAsia="仿宋" w:cs="仿宋"/>
          <w:highlight w:val="none"/>
        </w:rPr>
        <w:br w:type="page"/>
      </w:r>
    </w:p>
    <w:p>
      <w:pPr>
        <w:pStyle w:val="3"/>
        <w:rPr>
          <w:rFonts w:hint="eastAsia" w:ascii="仿宋" w:hAnsi="仿宋" w:eastAsia="仿宋" w:cs="仿宋"/>
          <w:highlight w:val="none"/>
        </w:rPr>
      </w:pPr>
      <w:bookmarkStart w:id="3" w:name="_Toc24361"/>
      <w:r>
        <w:rPr>
          <w:rFonts w:hint="eastAsia" w:ascii="仿宋" w:hAnsi="仿宋" w:eastAsia="仿宋" w:cs="仿宋"/>
          <w:highlight w:val="none"/>
        </w:rPr>
        <w:t>（二）供应商须知</w:t>
      </w:r>
      <w:bookmarkEnd w:id="3"/>
    </w:p>
    <w:p>
      <w:pPr>
        <w:pStyle w:val="8"/>
        <w:kinsoku w:val="0"/>
        <w:overflowPunct w:val="0"/>
        <w:spacing w:before="47" w:line="264" w:lineRule="auto"/>
        <w:ind w:right="5041"/>
        <w:rPr>
          <w:rFonts w:hint="eastAsia" w:ascii="仿宋" w:hAnsi="仿宋" w:eastAsia="仿宋" w:cs="仿宋"/>
          <w:b/>
          <w:bCs/>
          <w:highlight w:val="none"/>
        </w:rPr>
      </w:pPr>
      <w:r>
        <w:rPr>
          <w:rFonts w:hint="eastAsia" w:ascii="仿宋" w:hAnsi="仿宋" w:eastAsia="仿宋" w:cs="仿宋"/>
          <w:b/>
          <w:bCs/>
          <w:highlight w:val="none"/>
        </w:rPr>
        <w:t>1、综合说明</w:t>
      </w:r>
    </w:p>
    <w:p>
      <w:pPr>
        <w:pStyle w:val="8"/>
        <w:kinsoku w:val="0"/>
        <w:overflowPunct w:val="0"/>
        <w:spacing w:before="130" w:line="355" w:lineRule="auto"/>
        <w:ind w:left="0" w:right="7" w:firstLine="480"/>
        <w:rPr>
          <w:rFonts w:hint="eastAsia" w:ascii="仿宋" w:hAnsi="仿宋" w:eastAsia="仿宋" w:cs="仿宋"/>
          <w:spacing w:val="4"/>
          <w:highlight w:val="none"/>
        </w:rPr>
      </w:pPr>
      <w:r>
        <w:rPr>
          <w:rFonts w:hint="eastAsia" w:ascii="仿宋" w:hAnsi="仿宋" w:eastAsia="仿宋" w:cs="仿宋"/>
          <w:spacing w:val="4"/>
          <w:highlight w:val="none"/>
        </w:rPr>
        <w:t>本项目按照《中华人民共和国政府采购法》、《中华人民共和国政府采购法实施条例》、《政府采购货物和服务招标投标管理办法》、《政府购买服务管理办法（暂行）》、《政府采购竞争性磋商采购方式管理暂行办法》、《财政部关于政府采购竞争性磋商采购方式管理暂行办法有关问题的补充通知》及相关法规，已办理政府采购相关手续，并得到行业主管部门批准，现通过招标来择优选定为本项目提供服务的供应商。本竞争性磋商文件包括本文所列内容及按本须知发出的全部和补充资料。供应商应认真阅读本竞争性磋商文件中所有的事项、格式、条款、技术规范等实质性的条件和要求，并熟悉本招标项目的全部内容及与履行合同有关的全部内容，熟悉竞争性磋商文件的格式、条件和范围。供应商没有按照竞争性磋商文件的要求提交相关资料，或者供应商没有对竞争性磋商文件相关内容都做出实质性响应是供应商的风险，并可能导致其投标无效，其风险由投标供应商自行承担。</w:t>
      </w:r>
    </w:p>
    <w:p>
      <w:pPr>
        <w:pStyle w:val="8"/>
        <w:kinsoku w:val="0"/>
        <w:overflowPunct w:val="0"/>
        <w:spacing w:before="47" w:line="264" w:lineRule="auto"/>
        <w:ind w:right="5041"/>
        <w:rPr>
          <w:rFonts w:hint="eastAsia" w:ascii="仿宋" w:hAnsi="仿宋" w:eastAsia="仿宋" w:cs="仿宋"/>
          <w:b/>
          <w:bCs/>
          <w:highlight w:val="none"/>
        </w:rPr>
      </w:pPr>
      <w:r>
        <w:rPr>
          <w:rFonts w:hint="eastAsia" w:ascii="仿宋" w:hAnsi="仿宋" w:eastAsia="仿宋" w:cs="仿宋"/>
          <w:b/>
          <w:bCs/>
          <w:highlight w:val="none"/>
        </w:rPr>
        <w:t>2.适用范围</w:t>
      </w:r>
    </w:p>
    <w:p>
      <w:pPr>
        <w:pStyle w:val="8"/>
        <w:kinsoku w:val="0"/>
        <w:overflowPunct w:val="0"/>
        <w:spacing w:before="130" w:line="355" w:lineRule="auto"/>
        <w:ind w:right="7" w:firstLine="480"/>
        <w:rPr>
          <w:rFonts w:hint="eastAsia" w:ascii="仿宋" w:hAnsi="仿宋" w:eastAsia="仿宋" w:cs="仿宋"/>
          <w:spacing w:val="4"/>
          <w:highlight w:val="none"/>
        </w:rPr>
      </w:pPr>
      <w:r>
        <w:rPr>
          <w:rFonts w:hint="eastAsia" w:ascii="仿宋" w:hAnsi="仿宋" w:eastAsia="仿宋" w:cs="仿宋"/>
          <w:spacing w:val="4"/>
          <w:highlight w:val="none"/>
        </w:rPr>
        <w:t>本竞争性磋商文件仅适用于本次磋商所叙述的磋商项目。</w:t>
      </w:r>
    </w:p>
    <w:p>
      <w:pPr>
        <w:pStyle w:val="8"/>
        <w:kinsoku w:val="0"/>
        <w:overflowPunct w:val="0"/>
        <w:spacing w:before="38"/>
        <w:rPr>
          <w:rFonts w:hint="eastAsia" w:ascii="仿宋" w:hAnsi="仿宋" w:eastAsia="仿宋" w:cs="仿宋"/>
          <w:highlight w:val="none"/>
        </w:rPr>
      </w:pPr>
      <w:r>
        <w:rPr>
          <w:rFonts w:hint="eastAsia" w:ascii="仿宋" w:hAnsi="仿宋" w:eastAsia="仿宋" w:cs="仿宋"/>
          <w:b/>
          <w:bCs/>
          <w:spacing w:val="-1"/>
          <w:highlight w:val="none"/>
        </w:rPr>
        <w:t>3.定义</w:t>
      </w:r>
    </w:p>
    <w:p>
      <w:pPr>
        <w:pStyle w:val="8"/>
        <w:kinsoku w:val="0"/>
        <w:overflowPunct w:val="0"/>
        <w:spacing w:before="130" w:line="355" w:lineRule="auto"/>
        <w:ind w:right="7" w:firstLine="480"/>
        <w:rPr>
          <w:rFonts w:hint="eastAsia" w:ascii="仿宋" w:hAnsi="仿宋" w:eastAsia="仿宋" w:cs="仿宋"/>
          <w:spacing w:val="4"/>
          <w:highlight w:val="none"/>
        </w:rPr>
      </w:pPr>
      <w:r>
        <w:rPr>
          <w:rFonts w:hint="eastAsia" w:ascii="仿宋" w:hAnsi="仿宋" w:eastAsia="仿宋" w:cs="仿宋"/>
          <w:spacing w:val="4"/>
          <w:highlight w:val="none"/>
        </w:rPr>
        <w:t>3.1 “政府采购当事人”系指在政府采购活动中享有权利和承担义务的各类主体，包括采购人、供应商和招标代理机构。</w:t>
      </w:r>
    </w:p>
    <w:p>
      <w:pPr>
        <w:pStyle w:val="8"/>
        <w:kinsoku w:val="0"/>
        <w:overflowPunct w:val="0"/>
        <w:spacing w:before="130" w:line="355" w:lineRule="auto"/>
        <w:ind w:right="7" w:firstLine="480"/>
        <w:rPr>
          <w:rFonts w:hint="eastAsia" w:ascii="仿宋" w:hAnsi="仿宋" w:eastAsia="仿宋" w:cs="仿宋"/>
          <w:spacing w:val="4"/>
          <w:highlight w:val="none"/>
        </w:rPr>
      </w:pPr>
      <w:r>
        <w:rPr>
          <w:rFonts w:hint="eastAsia" w:ascii="仿宋" w:hAnsi="仿宋" w:eastAsia="仿宋" w:cs="仿宋"/>
          <w:spacing w:val="4"/>
          <w:highlight w:val="none"/>
        </w:rPr>
        <w:t>3.2 “采购人”系指</w:t>
      </w:r>
      <w:r>
        <w:rPr>
          <w:rFonts w:hint="eastAsia" w:hAnsi="仿宋" w:cs="仿宋"/>
          <w:spacing w:val="4"/>
          <w:highlight w:val="none"/>
          <w:lang w:eastAsia="zh-CN"/>
        </w:rPr>
        <w:t>拜城县交通运输局</w:t>
      </w:r>
      <w:r>
        <w:rPr>
          <w:rFonts w:hint="eastAsia" w:ascii="仿宋" w:hAnsi="仿宋" w:eastAsia="仿宋" w:cs="仿宋"/>
          <w:spacing w:val="4"/>
          <w:highlight w:val="none"/>
        </w:rPr>
        <w:t>；</w:t>
      </w:r>
    </w:p>
    <w:p>
      <w:pPr>
        <w:pStyle w:val="8"/>
        <w:kinsoku w:val="0"/>
        <w:overflowPunct w:val="0"/>
        <w:spacing w:before="130" w:line="355" w:lineRule="auto"/>
        <w:ind w:right="7" w:firstLine="480"/>
        <w:rPr>
          <w:rFonts w:hint="eastAsia" w:ascii="仿宋" w:hAnsi="仿宋" w:eastAsia="仿宋" w:cs="仿宋"/>
          <w:spacing w:val="4"/>
          <w:highlight w:val="none"/>
        </w:rPr>
      </w:pPr>
      <w:r>
        <w:rPr>
          <w:rFonts w:hint="eastAsia" w:ascii="仿宋" w:hAnsi="仿宋" w:eastAsia="仿宋" w:cs="仿宋"/>
          <w:spacing w:val="4"/>
          <w:highlight w:val="none"/>
        </w:rPr>
        <w:t>3.3 “招标代理机构”系指新疆中凯兴项目管理咨询有限公司；</w:t>
      </w:r>
    </w:p>
    <w:p>
      <w:pPr>
        <w:pStyle w:val="8"/>
        <w:kinsoku w:val="0"/>
        <w:overflowPunct w:val="0"/>
        <w:spacing w:before="130" w:line="355" w:lineRule="auto"/>
        <w:ind w:right="7" w:firstLine="480"/>
        <w:rPr>
          <w:rFonts w:hint="eastAsia" w:ascii="仿宋" w:hAnsi="仿宋" w:eastAsia="仿宋" w:cs="仿宋"/>
          <w:spacing w:val="4"/>
          <w:highlight w:val="none"/>
        </w:rPr>
      </w:pPr>
      <w:r>
        <w:rPr>
          <w:rFonts w:hint="eastAsia" w:ascii="仿宋" w:hAnsi="仿宋" w:eastAsia="仿宋" w:cs="仿宋"/>
          <w:spacing w:val="4"/>
          <w:highlight w:val="none"/>
        </w:rPr>
        <w:t>3.4 “供应商、磋商单位、响应人”系指符合本磋商项目资质要求，参加磋商竞争的法人机构或其他组织。</w:t>
      </w:r>
    </w:p>
    <w:p>
      <w:pPr>
        <w:pStyle w:val="8"/>
        <w:kinsoku w:val="0"/>
        <w:overflowPunct w:val="0"/>
        <w:spacing w:before="130" w:line="355" w:lineRule="auto"/>
        <w:ind w:right="7" w:firstLine="480"/>
        <w:rPr>
          <w:rFonts w:hint="eastAsia" w:ascii="仿宋" w:hAnsi="仿宋" w:eastAsia="仿宋" w:cs="仿宋"/>
          <w:spacing w:val="4"/>
          <w:highlight w:val="none"/>
        </w:rPr>
      </w:pPr>
      <w:r>
        <w:rPr>
          <w:rFonts w:hint="eastAsia" w:ascii="仿宋" w:hAnsi="仿宋" w:eastAsia="仿宋" w:cs="仿宋"/>
          <w:spacing w:val="4"/>
          <w:highlight w:val="none"/>
        </w:rPr>
        <w:t>3.5 “竞争性磋商文件”系指由采购人和招标代理机构发出的文本、文件，包括全部章节和附件及答疑会议纪要。</w:t>
      </w:r>
    </w:p>
    <w:p>
      <w:pPr>
        <w:pStyle w:val="8"/>
        <w:kinsoku w:val="0"/>
        <w:overflowPunct w:val="0"/>
        <w:spacing w:before="130" w:line="355" w:lineRule="auto"/>
        <w:ind w:right="7" w:firstLine="480"/>
        <w:rPr>
          <w:rFonts w:hint="eastAsia" w:ascii="仿宋" w:hAnsi="仿宋" w:eastAsia="仿宋" w:cs="仿宋"/>
          <w:spacing w:val="4"/>
          <w:highlight w:val="none"/>
        </w:rPr>
      </w:pPr>
      <w:r>
        <w:rPr>
          <w:rFonts w:hint="eastAsia" w:ascii="仿宋" w:hAnsi="仿宋" w:eastAsia="仿宋" w:cs="仿宋"/>
          <w:spacing w:val="4"/>
          <w:highlight w:val="none"/>
        </w:rPr>
        <w:t>3.6 “磋商响应性文件”系指供应商根据本《竞争性磋商文件》向采购人提交的全部文件。</w:t>
      </w:r>
    </w:p>
    <w:p>
      <w:pPr>
        <w:pStyle w:val="8"/>
        <w:kinsoku w:val="0"/>
        <w:overflowPunct w:val="0"/>
        <w:spacing w:before="130" w:line="355" w:lineRule="auto"/>
        <w:ind w:right="7" w:firstLine="480"/>
        <w:rPr>
          <w:rFonts w:hint="eastAsia" w:ascii="仿宋" w:hAnsi="仿宋" w:eastAsia="仿宋" w:cs="仿宋"/>
          <w:spacing w:val="4"/>
          <w:highlight w:val="none"/>
        </w:rPr>
      </w:pPr>
      <w:r>
        <w:rPr>
          <w:rFonts w:hint="eastAsia" w:ascii="仿宋" w:hAnsi="仿宋" w:eastAsia="仿宋" w:cs="仿宋"/>
          <w:spacing w:val="4"/>
          <w:highlight w:val="none"/>
        </w:rPr>
        <w:t>3.7 “采购文件”系指包括采购活动的记录、采购预算、竞争性磋商文件、磋商响应性文件、评标标准、评估报告、定标文件、合同文本、验收证明、质疑答复、投诉处理决定及其他有关文件、资料。</w:t>
      </w:r>
    </w:p>
    <w:p>
      <w:pPr>
        <w:pStyle w:val="8"/>
        <w:kinsoku w:val="0"/>
        <w:overflowPunct w:val="0"/>
        <w:spacing w:before="130" w:line="355" w:lineRule="auto"/>
        <w:ind w:right="7" w:firstLine="480"/>
        <w:rPr>
          <w:rFonts w:hint="eastAsia" w:ascii="仿宋" w:hAnsi="仿宋" w:eastAsia="仿宋" w:cs="仿宋"/>
          <w:spacing w:val="4"/>
          <w:highlight w:val="none"/>
        </w:rPr>
      </w:pPr>
      <w:r>
        <w:rPr>
          <w:rFonts w:hint="eastAsia" w:ascii="仿宋" w:hAnsi="仿宋" w:eastAsia="仿宋" w:cs="仿宋"/>
          <w:spacing w:val="4"/>
          <w:highlight w:val="none"/>
        </w:rPr>
        <w:t>3.8 “书面形式”系指任何手写、打印或印刷的各种函件，不包括电传、电报、传真、电子邮件。</w:t>
      </w:r>
    </w:p>
    <w:p>
      <w:pPr>
        <w:pStyle w:val="8"/>
        <w:kinsoku w:val="0"/>
        <w:overflowPunct w:val="0"/>
        <w:spacing w:before="130" w:line="355" w:lineRule="auto"/>
        <w:ind w:right="7" w:firstLine="480"/>
        <w:rPr>
          <w:rFonts w:hint="eastAsia" w:ascii="仿宋" w:hAnsi="仿宋" w:eastAsia="仿宋" w:cs="仿宋"/>
          <w:spacing w:val="4"/>
          <w:highlight w:val="none"/>
        </w:rPr>
      </w:pPr>
      <w:r>
        <w:rPr>
          <w:rFonts w:hint="eastAsia" w:ascii="仿宋" w:hAnsi="仿宋" w:eastAsia="仿宋" w:cs="仿宋"/>
          <w:spacing w:val="4"/>
          <w:highlight w:val="none"/>
        </w:rPr>
        <w:t>3.</w:t>
      </w:r>
      <w:r>
        <w:rPr>
          <w:rFonts w:hint="eastAsia" w:hAnsi="仿宋" w:cs="仿宋"/>
          <w:spacing w:val="4"/>
          <w:highlight w:val="none"/>
          <w:lang w:val="en-US" w:eastAsia="zh-CN"/>
        </w:rPr>
        <w:t xml:space="preserve">9 </w:t>
      </w:r>
      <w:r>
        <w:rPr>
          <w:rFonts w:hint="eastAsia" w:ascii="仿宋" w:hAnsi="仿宋" w:eastAsia="仿宋" w:cs="仿宋"/>
          <w:spacing w:val="4"/>
          <w:highlight w:val="none"/>
        </w:rPr>
        <w:t>“服务”系指供应商中标后根据竞争性磋商文件和合同的规定承担有关的服务。</w:t>
      </w:r>
    </w:p>
    <w:p>
      <w:pPr>
        <w:pStyle w:val="8"/>
        <w:kinsoku w:val="0"/>
        <w:overflowPunct w:val="0"/>
        <w:spacing w:before="38"/>
        <w:rPr>
          <w:rFonts w:hint="eastAsia" w:ascii="仿宋" w:hAnsi="仿宋" w:eastAsia="仿宋" w:cs="仿宋"/>
          <w:highlight w:val="none"/>
        </w:rPr>
      </w:pPr>
      <w:r>
        <w:rPr>
          <w:rFonts w:hint="eastAsia" w:ascii="仿宋" w:hAnsi="仿宋" w:eastAsia="仿宋" w:cs="仿宋"/>
          <w:b/>
          <w:bCs/>
          <w:highlight w:val="none"/>
        </w:rPr>
        <w:t>4.合格的供应商</w:t>
      </w:r>
    </w:p>
    <w:p>
      <w:pPr>
        <w:pStyle w:val="8"/>
        <w:kinsoku w:val="0"/>
        <w:overflowPunct w:val="0"/>
        <w:spacing w:before="130" w:line="355" w:lineRule="auto"/>
        <w:ind w:right="7" w:firstLine="480"/>
        <w:rPr>
          <w:rFonts w:hint="eastAsia" w:ascii="仿宋" w:hAnsi="仿宋" w:eastAsia="仿宋" w:cs="仿宋"/>
          <w:spacing w:val="4"/>
          <w:highlight w:val="none"/>
        </w:rPr>
      </w:pPr>
      <w:r>
        <w:rPr>
          <w:rFonts w:hint="eastAsia" w:ascii="仿宋" w:hAnsi="仿宋" w:eastAsia="仿宋" w:cs="仿宋"/>
          <w:spacing w:val="4"/>
          <w:highlight w:val="none"/>
        </w:rPr>
        <w:t>4.1 具备“供应商须知前附表”第六款的基本条件；</w:t>
      </w:r>
    </w:p>
    <w:p>
      <w:pPr>
        <w:pStyle w:val="8"/>
        <w:kinsoku w:val="0"/>
        <w:overflowPunct w:val="0"/>
        <w:spacing w:before="130" w:line="355" w:lineRule="auto"/>
        <w:ind w:right="7" w:firstLine="480"/>
        <w:rPr>
          <w:rFonts w:hint="eastAsia" w:ascii="仿宋" w:hAnsi="仿宋" w:eastAsia="仿宋" w:cs="仿宋"/>
          <w:spacing w:val="4"/>
          <w:highlight w:val="none"/>
        </w:rPr>
      </w:pPr>
      <w:r>
        <w:rPr>
          <w:rFonts w:hint="eastAsia" w:ascii="仿宋" w:hAnsi="仿宋" w:eastAsia="仿宋" w:cs="仿宋"/>
          <w:spacing w:val="4"/>
          <w:highlight w:val="none"/>
        </w:rPr>
        <w:t>4.2 凡是符合国家工商行政管理部门登记审核，具有相应经营许可的，有一定技术实力和规模。</w:t>
      </w:r>
    </w:p>
    <w:p>
      <w:pPr>
        <w:pStyle w:val="8"/>
        <w:kinsoku w:val="0"/>
        <w:overflowPunct w:val="0"/>
        <w:spacing w:before="130" w:line="355" w:lineRule="auto"/>
        <w:ind w:right="7" w:firstLine="480"/>
        <w:rPr>
          <w:rFonts w:hint="eastAsia" w:ascii="仿宋" w:hAnsi="仿宋" w:eastAsia="仿宋" w:cs="仿宋"/>
          <w:spacing w:val="4"/>
          <w:highlight w:val="none"/>
        </w:rPr>
      </w:pPr>
      <w:r>
        <w:rPr>
          <w:rFonts w:hint="eastAsia" w:ascii="仿宋" w:hAnsi="仿宋" w:eastAsia="仿宋" w:cs="仿宋"/>
          <w:spacing w:val="4"/>
          <w:highlight w:val="none"/>
        </w:rPr>
        <w:t>4.3 投标单位不得直接或间接地与本次招标所委托的咨询公司或其附属机构有任何关联；</w:t>
      </w:r>
    </w:p>
    <w:p>
      <w:pPr>
        <w:pStyle w:val="8"/>
        <w:kinsoku w:val="0"/>
        <w:overflowPunct w:val="0"/>
        <w:spacing w:before="130" w:line="355" w:lineRule="auto"/>
        <w:ind w:right="7" w:firstLine="480"/>
        <w:rPr>
          <w:rFonts w:hint="eastAsia" w:ascii="仿宋" w:hAnsi="仿宋" w:eastAsia="仿宋" w:cs="仿宋"/>
          <w:spacing w:val="4"/>
          <w:highlight w:val="none"/>
        </w:rPr>
      </w:pPr>
      <w:r>
        <w:rPr>
          <w:rFonts w:hint="eastAsia" w:ascii="仿宋" w:hAnsi="仿宋" w:eastAsia="仿宋" w:cs="仿宋"/>
          <w:spacing w:val="4"/>
          <w:highlight w:val="none"/>
        </w:rPr>
        <w:t>4.4 投标单位与采购人存在利害关系可能影响招标公正性的法人、其他组织或个人，不得参加投标。单位负责人为同一人或者存在控股、管理关系的不同单位，不得参加同一标段投标或者未划分标段的同一招标项目投标；</w:t>
      </w:r>
    </w:p>
    <w:p>
      <w:pPr>
        <w:pStyle w:val="8"/>
        <w:kinsoku w:val="0"/>
        <w:overflowPunct w:val="0"/>
        <w:spacing w:before="130" w:line="355" w:lineRule="auto"/>
        <w:ind w:right="7" w:firstLine="480"/>
        <w:rPr>
          <w:rFonts w:hint="eastAsia" w:ascii="仿宋" w:hAnsi="仿宋" w:eastAsia="仿宋" w:cs="仿宋"/>
          <w:spacing w:val="4"/>
          <w:highlight w:val="none"/>
        </w:rPr>
      </w:pPr>
      <w:r>
        <w:rPr>
          <w:rFonts w:hint="eastAsia" w:ascii="仿宋" w:hAnsi="仿宋" w:eastAsia="仿宋" w:cs="仿宋"/>
          <w:spacing w:val="4"/>
          <w:highlight w:val="none"/>
        </w:rPr>
        <w:t>4.5 遵守国家有关的法律、法规和条例及《竞争性磋商文件》的规定。</w:t>
      </w:r>
    </w:p>
    <w:p>
      <w:pPr>
        <w:pStyle w:val="8"/>
        <w:kinsoku w:val="0"/>
        <w:overflowPunct w:val="0"/>
        <w:spacing w:before="151"/>
        <w:rPr>
          <w:rFonts w:hint="eastAsia" w:ascii="仿宋" w:hAnsi="仿宋" w:eastAsia="仿宋" w:cs="仿宋"/>
          <w:highlight w:val="none"/>
        </w:rPr>
      </w:pPr>
      <w:r>
        <w:rPr>
          <w:rFonts w:hint="eastAsia" w:ascii="仿宋" w:hAnsi="仿宋" w:eastAsia="仿宋" w:cs="仿宋"/>
          <w:b/>
          <w:bCs/>
          <w:highlight w:val="none"/>
        </w:rPr>
        <w:t>5.费用承担</w:t>
      </w:r>
    </w:p>
    <w:p>
      <w:pPr>
        <w:pStyle w:val="8"/>
        <w:kinsoku w:val="0"/>
        <w:overflowPunct w:val="0"/>
        <w:spacing w:before="130" w:line="355" w:lineRule="auto"/>
        <w:ind w:right="7" w:firstLine="480"/>
        <w:rPr>
          <w:rFonts w:hint="eastAsia" w:ascii="仿宋" w:hAnsi="仿宋" w:eastAsia="仿宋" w:cs="仿宋"/>
          <w:spacing w:val="4"/>
          <w:highlight w:val="none"/>
        </w:rPr>
      </w:pPr>
      <w:r>
        <w:rPr>
          <w:rFonts w:hint="eastAsia" w:ascii="仿宋" w:hAnsi="仿宋" w:eastAsia="仿宋" w:cs="仿宋"/>
          <w:spacing w:val="4"/>
          <w:highlight w:val="none"/>
        </w:rPr>
        <w:t>供应商应承担与招标代理活动有关的一切费用。不论招标的结果如何，招标代理机构和采购人在任何情况下均无义务和责任承担这些费用。</w:t>
      </w:r>
    </w:p>
    <w:p>
      <w:pPr>
        <w:pStyle w:val="8"/>
        <w:kinsoku w:val="0"/>
        <w:overflowPunct w:val="0"/>
        <w:spacing w:before="38"/>
        <w:rPr>
          <w:rFonts w:hint="eastAsia" w:ascii="仿宋" w:hAnsi="仿宋" w:eastAsia="仿宋" w:cs="仿宋"/>
          <w:highlight w:val="none"/>
        </w:rPr>
      </w:pPr>
      <w:r>
        <w:rPr>
          <w:rFonts w:hint="eastAsia" w:ascii="仿宋" w:hAnsi="仿宋" w:eastAsia="仿宋" w:cs="仿宋"/>
          <w:b/>
          <w:bCs/>
          <w:highlight w:val="none"/>
        </w:rPr>
        <w:t>6.</w:t>
      </w:r>
      <w:r>
        <w:rPr>
          <w:rFonts w:hint="eastAsia" w:ascii="仿宋" w:hAnsi="仿宋" w:eastAsia="仿宋" w:cs="仿宋"/>
          <w:spacing w:val="4"/>
          <w:kern w:val="2"/>
          <w:sz w:val="21"/>
          <w:szCs w:val="22"/>
          <w:highlight w:val="none"/>
        </w:rPr>
        <w:t xml:space="preserve"> </w:t>
      </w:r>
      <w:r>
        <w:rPr>
          <w:rFonts w:hint="eastAsia" w:ascii="仿宋" w:hAnsi="仿宋" w:eastAsia="仿宋" w:cs="仿宋"/>
          <w:b/>
          <w:bCs/>
          <w:highlight w:val="none"/>
        </w:rPr>
        <w:t>招标代理服务费</w:t>
      </w:r>
    </w:p>
    <w:p>
      <w:pPr>
        <w:pStyle w:val="8"/>
        <w:kinsoku w:val="0"/>
        <w:overflowPunct w:val="0"/>
        <w:spacing w:before="130" w:line="355" w:lineRule="auto"/>
        <w:ind w:right="7" w:firstLine="480"/>
        <w:rPr>
          <w:rFonts w:hint="eastAsia" w:ascii="仿宋" w:hAnsi="仿宋" w:eastAsia="仿宋" w:cs="仿宋"/>
          <w:spacing w:val="4"/>
          <w:highlight w:val="none"/>
        </w:rPr>
      </w:pPr>
      <w:r>
        <w:rPr>
          <w:rFonts w:hint="eastAsia" w:hAnsi="仿宋" w:cs="仿宋"/>
          <w:bCs/>
          <w:highlight w:val="none"/>
          <w:lang w:eastAsia="zh-CN"/>
        </w:rPr>
        <w:t>中标</w:t>
      </w:r>
      <w:r>
        <w:rPr>
          <w:rFonts w:hint="eastAsia" w:ascii="仿宋" w:hAnsi="仿宋" w:eastAsia="仿宋" w:cs="仿宋"/>
          <w:bCs/>
          <w:highlight w:val="none"/>
        </w:rPr>
        <w:t>供应商</w:t>
      </w:r>
      <w:r>
        <w:rPr>
          <w:rFonts w:hint="eastAsia" w:ascii="仿宋" w:hAnsi="仿宋" w:eastAsia="仿宋" w:cs="仿宋"/>
          <w:spacing w:val="4"/>
          <w:highlight w:val="none"/>
        </w:rPr>
        <w:t>应承担所有与准备和参加磋商有关的费用。不论磋商的结果如何，招标代理机构和采购人均无义务和责任承担这些费用；</w:t>
      </w:r>
    </w:p>
    <w:p>
      <w:pPr>
        <w:pStyle w:val="8"/>
        <w:kinsoku w:val="0"/>
        <w:overflowPunct w:val="0"/>
        <w:spacing w:before="130" w:line="355" w:lineRule="auto"/>
        <w:ind w:right="7" w:firstLine="480"/>
        <w:rPr>
          <w:rFonts w:hint="eastAsia" w:ascii="仿宋" w:hAnsi="仿宋" w:eastAsia="仿宋" w:cs="仿宋"/>
          <w:bCs/>
          <w:highlight w:val="none"/>
        </w:rPr>
      </w:pPr>
      <w:r>
        <w:rPr>
          <w:rFonts w:hint="eastAsia" w:hAnsi="仿宋" w:cs="仿宋"/>
          <w:bCs/>
          <w:highlight w:val="none"/>
          <w:lang w:eastAsia="zh-CN"/>
        </w:rPr>
        <w:t>中标</w:t>
      </w:r>
      <w:r>
        <w:rPr>
          <w:rFonts w:hint="eastAsia" w:ascii="仿宋" w:hAnsi="仿宋" w:eastAsia="仿宋" w:cs="仿宋"/>
          <w:bCs/>
          <w:highlight w:val="none"/>
        </w:rPr>
        <w:t>供应商在领取《</w:t>
      </w:r>
      <w:r>
        <w:rPr>
          <w:rFonts w:hint="eastAsia" w:hAnsi="仿宋" w:cs="仿宋"/>
          <w:bCs/>
          <w:highlight w:val="none"/>
          <w:lang w:val="en-US" w:eastAsia="zh-CN"/>
        </w:rPr>
        <w:t>中标</w:t>
      </w:r>
      <w:r>
        <w:rPr>
          <w:rFonts w:hint="eastAsia" w:ascii="仿宋" w:hAnsi="仿宋" w:eastAsia="仿宋" w:cs="仿宋"/>
          <w:bCs/>
          <w:highlight w:val="none"/>
        </w:rPr>
        <w:t>通知书》时须一次性付给采购代理单位采购代理服务费，招标代理服务费参照国家计委《招标代理服务收费管理暂行办法》(计价格﹝2002﹞1980 号)所规定取费。</w:t>
      </w:r>
    </w:p>
    <w:p>
      <w:pPr>
        <w:pStyle w:val="8"/>
        <w:kinsoku w:val="0"/>
        <w:overflowPunct w:val="0"/>
        <w:rPr>
          <w:rFonts w:hint="eastAsia" w:ascii="仿宋" w:hAnsi="仿宋" w:eastAsia="仿宋" w:cs="仿宋"/>
          <w:b/>
          <w:bCs/>
          <w:highlight w:val="none"/>
        </w:rPr>
      </w:pPr>
      <w:r>
        <w:rPr>
          <w:rFonts w:hint="eastAsia" w:ascii="仿宋" w:hAnsi="仿宋" w:eastAsia="仿宋" w:cs="仿宋"/>
          <w:b/>
          <w:bCs/>
          <w:spacing w:val="1"/>
          <w:highlight w:val="none"/>
        </w:rPr>
        <w:t>7.</w:t>
      </w:r>
      <w:r>
        <w:rPr>
          <w:rFonts w:hint="eastAsia" w:ascii="仿宋" w:hAnsi="仿宋" w:eastAsia="仿宋" w:cs="仿宋"/>
          <w:b/>
          <w:bCs/>
          <w:spacing w:val="-23"/>
          <w:highlight w:val="none"/>
        </w:rPr>
        <w:t xml:space="preserve"> </w:t>
      </w:r>
      <w:r>
        <w:rPr>
          <w:rFonts w:hint="eastAsia" w:ascii="仿宋" w:hAnsi="仿宋" w:eastAsia="仿宋" w:cs="仿宋"/>
          <w:b/>
          <w:bCs/>
          <w:highlight w:val="none"/>
        </w:rPr>
        <w:t>踏勘现场和答疑会</w:t>
      </w:r>
    </w:p>
    <w:p>
      <w:pPr>
        <w:pStyle w:val="8"/>
        <w:kinsoku w:val="0"/>
        <w:overflowPunct w:val="0"/>
        <w:spacing w:before="130" w:line="355" w:lineRule="auto"/>
        <w:ind w:right="7" w:firstLine="480"/>
        <w:rPr>
          <w:rFonts w:hint="eastAsia" w:ascii="仿宋" w:hAnsi="仿宋" w:eastAsia="仿宋" w:cs="仿宋"/>
          <w:spacing w:val="4"/>
          <w:highlight w:val="none"/>
        </w:rPr>
      </w:pPr>
      <w:r>
        <w:rPr>
          <w:rFonts w:hint="eastAsia" w:ascii="仿宋" w:hAnsi="仿宋" w:eastAsia="仿宋" w:cs="仿宋"/>
          <w:spacing w:val="4"/>
          <w:highlight w:val="none"/>
        </w:rPr>
        <w:t>不组织</w:t>
      </w:r>
    </w:p>
    <w:p>
      <w:pPr>
        <w:pStyle w:val="8"/>
        <w:kinsoku w:val="0"/>
        <w:overflowPunct w:val="0"/>
        <w:spacing w:before="151" w:line="357" w:lineRule="auto"/>
        <w:ind w:right="963"/>
        <w:rPr>
          <w:rFonts w:hint="eastAsia" w:ascii="仿宋" w:hAnsi="仿宋" w:eastAsia="仿宋" w:cs="仿宋"/>
          <w:highlight w:val="none"/>
        </w:rPr>
      </w:pPr>
      <w:r>
        <w:rPr>
          <w:rFonts w:hint="eastAsia" w:ascii="仿宋" w:hAnsi="仿宋" w:eastAsia="仿宋" w:cs="仿宋"/>
          <w:b/>
          <w:bCs/>
          <w:highlight w:val="none"/>
        </w:rPr>
        <w:t>8．保密</w:t>
      </w:r>
    </w:p>
    <w:p>
      <w:pPr>
        <w:pStyle w:val="8"/>
        <w:kinsoku w:val="0"/>
        <w:overflowPunct w:val="0"/>
        <w:spacing w:before="130" w:line="355" w:lineRule="auto"/>
        <w:ind w:right="7" w:firstLine="480"/>
        <w:rPr>
          <w:rFonts w:hint="eastAsia" w:ascii="仿宋" w:hAnsi="仿宋" w:eastAsia="仿宋" w:cs="仿宋"/>
          <w:spacing w:val="4"/>
          <w:highlight w:val="none"/>
        </w:rPr>
      </w:pPr>
      <w:r>
        <w:rPr>
          <w:rFonts w:hint="eastAsia" w:ascii="仿宋" w:hAnsi="仿宋" w:eastAsia="仿宋" w:cs="仿宋"/>
          <w:spacing w:val="4"/>
          <w:highlight w:val="none"/>
        </w:rPr>
        <w:t>参与招标投标活动的各方应对竞争性磋商文件和磋商响应性文件中的商业和技术等秘密保密，违者应对由此造成的后果承担法律责任。</w:t>
      </w:r>
    </w:p>
    <w:p>
      <w:pPr>
        <w:pStyle w:val="8"/>
        <w:kinsoku w:val="0"/>
        <w:overflowPunct w:val="0"/>
        <w:spacing w:before="38"/>
        <w:rPr>
          <w:rFonts w:hint="eastAsia" w:ascii="仿宋" w:hAnsi="仿宋" w:eastAsia="仿宋" w:cs="仿宋"/>
          <w:highlight w:val="none"/>
        </w:rPr>
      </w:pPr>
      <w:r>
        <w:rPr>
          <w:rFonts w:hint="eastAsia" w:ascii="仿宋" w:hAnsi="仿宋" w:eastAsia="仿宋" w:cs="仿宋"/>
          <w:b/>
          <w:bCs/>
          <w:highlight w:val="none"/>
        </w:rPr>
        <w:t>9.</w:t>
      </w:r>
      <w:r>
        <w:rPr>
          <w:rFonts w:hint="eastAsia" w:ascii="仿宋" w:hAnsi="仿宋" w:eastAsia="仿宋" w:cs="仿宋"/>
          <w:b/>
          <w:bCs/>
          <w:spacing w:val="-12"/>
          <w:highlight w:val="none"/>
        </w:rPr>
        <w:t xml:space="preserve"> </w:t>
      </w:r>
      <w:r>
        <w:rPr>
          <w:rFonts w:hint="eastAsia" w:ascii="仿宋" w:hAnsi="仿宋" w:eastAsia="仿宋" w:cs="仿宋"/>
          <w:b/>
          <w:bCs/>
          <w:highlight w:val="none"/>
        </w:rPr>
        <w:t>适用法律</w:t>
      </w:r>
    </w:p>
    <w:p>
      <w:pPr>
        <w:pStyle w:val="8"/>
        <w:kinsoku w:val="0"/>
        <w:overflowPunct w:val="0"/>
        <w:spacing w:before="130" w:line="355" w:lineRule="auto"/>
        <w:ind w:right="7" w:firstLine="480"/>
        <w:rPr>
          <w:rFonts w:hint="eastAsia" w:ascii="仿宋" w:hAnsi="仿宋" w:eastAsia="仿宋" w:cs="仿宋"/>
          <w:spacing w:val="4"/>
          <w:highlight w:val="none"/>
        </w:rPr>
      </w:pPr>
      <w:r>
        <w:rPr>
          <w:rFonts w:hint="eastAsia" w:ascii="仿宋" w:hAnsi="仿宋" w:eastAsia="仿宋" w:cs="仿宋"/>
          <w:spacing w:val="4"/>
          <w:highlight w:val="none"/>
        </w:rPr>
        <w:t>本次政府采购，招标采购单位、供应商、磋商小组的相关行为均受《《中华人民共和国政府采购法》、《中华人民共和国政府采购法实施条例》、《政府采购货物和服务招标投标管理办法》、《政府购买服务管理办法（暂行）》、《政府采购竞争性磋商采购方式管理暂行办法》和本项目采购人本级和上级财政部门政府采购有关规定的约束，其权利受到上述法律法规的保护。</w:t>
      </w:r>
    </w:p>
    <w:p>
      <w:pPr>
        <w:pStyle w:val="3"/>
        <w:rPr>
          <w:rFonts w:hint="eastAsia" w:ascii="仿宋" w:hAnsi="仿宋" w:eastAsia="仿宋" w:cs="仿宋"/>
          <w:highlight w:val="none"/>
        </w:rPr>
      </w:pPr>
      <w:bookmarkStart w:id="4" w:name="_Toc20516"/>
      <w:r>
        <w:rPr>
          <w:rFonts w:hint="eastAsia" w:ascii="仿宋" w:hAnsi="仿宋" w:eastAsia="仿宋" w:cs="仿宋"/>
          <w:highlight w:val="none"/>
        </w:rPr>
        <w:t>（三）《竞争性磋商文件》</w:t>
      </w:r>
      <w:bookmarkEnd w:id="4"/>
    </w:p>
    <w:p>
      <w:pPr>
        <w:pStyle w:val="8"/>
        <w:kinsoku w:val="0"/>
        <w:overflowPunct w:val="0"/>
        <w:spacing w:before="122" w:line="357" w:lineRule="auto"/>
        <w:ind w:left="598" w:hanging="480"/>
        <w:rPr>
          <w:rFonts w:hint="eastAsia" w:ascii="仿宋" w:hAnsi="仿宋" w:eastAsia="仿宋" w:cs="仿宋"/>
          <w:b/>
          <w:bCs/>
          <w:spacing w:val="27"/>
          <w:w w:val="99"/>
          <w:highlight w:val="none"/>
        </w:rPr>
      </w:pPr>
      <w:r>
        <w:rPr>
          <w:rFonts w:hint="eastAsia" w:ascii="仿宋" w:hAnsi="仿宋" w:eastAsia="仿宋" w:cs="仿宋"/>
          <w:b/>
          <w:bCs/>
          <w:highlight w:val="none"/>
        </w:rPr>
        <w:t>1.《竞争性磋商文件》的组成</w:t>
      </w:r>
      <w:r>
        <w:rPr>
          <w:rFonts w:hint="eastAsia" w:ascii="仿宋" w:hAnsi="仿宋" w:eastAsia="仿宋" w:cs="仿宋"/>
          <w:b/>
          <w:bCs/>
          <w:spacing w:val="27"/>
          <w:w w:val="99"/>
          <w:highlight w:val="none"/>
        </w:rPr>
        <w:t xml:space="preserve"> </w:t>
      </w:r>
    </w:p>
    <w:p>
      <w:pPr>
        <w:pStyle w:val="8"/>
        <w:kinsoku w:val="0"/>
        <w:overflowPunct w:val="0"/>
        <w:spacing w:before="130" w:line="355" w:lineRule="auto"/>
        <w:ind w:right="7" w:firstLine="480"/>
        <w:rPr>
          <w:rFonts w:hint="eastAsia" w:ascii="仿宋" w:hAnsi="仿宋" w:eastAsia="仿宋" w:cs="仿宋"/>
          <w:spacing w:val="4"/>
          <w:highlight w:val="none"/>
        </w:rPr>
      </w:pPr>
      <w:r>
        <w:rPr>
          <w:rFonts w:hint="eastAsia" w:ascii="仿宋" w:hAnsi="仿宋" w:eastAsia="仿宋" w:cs="仿宋"/>
          <w:spacing w:val="4"/>
          <w:highlight w:val="none"/>
        </w:rPr>
        <w:t>竞争性文件用以阐明招标项目所需的资质、技术、服务及报价等要求、招标投标程序、有关规定和注意事项以及合同主要条款等。本竞争性磋商文件包括以下内容,但不限于这些内容：</w:t>
      </w:r>
    </w:p>
    <w:p>
      <w:pPr>
        <w:pStyle w:val="8"/>
        <w:kinsoku w:val="0"/>
        <w:overflowPunct w:val="0"/>
        <w:spacing w:before="130" w:line="355" w:lineRule="auto"/>
        <w:ind w:right="7" w:firstLine="480"/>
        <w:rPr>
          <w:rFonts w:hint="eastAsia" w:ascii="仿宋" w:hAnsi="仿宋" w:eastAsia="仿宋" w:cs="仿宋"/>
          <w:spacing w:val="4"/>
          <w:highlight w:val="none"/>
        </w:rPr>
      </w:pPr>
      <w:r>
        <w:rPr>
          <w:rFonts w:hint="eastAsia" w:ascii="仿宋" w:hAnsi="仿宋" w:eastAsia="仿宋" w:cs="仿宋"/>
          <w:spacing w:val="4"/>
          <w:highlight w:val="none"/>
        </w:rPr>
        <w:t>1）竞争性磋商公告</w:t>
      </w:r>
    </w:p>
    <w:p>
      <w:pPr>
        <w:pStyle w:val="8"/>
        <w:kinsoku w:val="0"/>
        <w:overflowPunct w:val="0"/>
        <w:spacing w:before="130" w:line="355" w:lineRule="auto"/>
        <w:ind w:right="7" w:firstLine="480"/>
        <w:rPr>
          <w:rFonts w:hint="eastAsia" w:ascii="仿宋" w:hAnsi="仿宋" w:eastAsia="仿宋" w:cs="仿宋"/>
          <w:spacing w:val="4"/>
          <w:highlight w:val="none"/>
        </w:rPr>
      </w:pPr>
      <w:r>
        <w:rPr>
          <w:rFonts w:hint="eastAsia" w:ascii="仿宋" w:hAnsi="仿宋" w:eastAsia="仿宋" w:cs="仿宋"/>
          <w:spacing w:val="4"/>
          <w:highlight w:val="none"/>
        </w:rPr>
        <w:t>2）供应商须知及前附表</w:t>
      </w:r>
    </w:p>
    <w:p>
      <w:pPr>
        <w:pStyle w:val="8"/>
        <w:kinsoku w:val="0"/>
        <w:overflowPunct w:val="0"/>
        <w:spacing w:before="130" w:line="355" w:lineRule="auto"/>
        <w:ind w:right="7" w:firstLine="480"/>
        <w:rPr>
          <w:rFonts w:hint="eastAsia" w:ascii="仿宋" w:hAnsi="仿宋" w:eastAsia="仿宋" w:cs="仿宋"/>
          <w:spacing w:val="4"/>
          <w:highlight w:val="none"/>
        </w:rPr>
      </w:pPr>
      <w:r>
        <w:rPr>
          <w:rFonts w:hint="eastAsia" w:ascii="仿宋" w:hAnsi="仿宋" w:eastAsia="仿宋" w:cs="仿宋"/>
          <w:spacing w:val="4"/>
          <w:highlight w:val="none"/>
        </w:rPr>
        <w:t>3）评标办法</w:t>
      </w:r>
    </w:p>
    <w:p>
      <w:pPr>
        <w:pStyle w:val="8"/>
        <w:kinsoku w:val="0"/>
        <w:overflowPunct w:val="0"/>
        <w:spacing w:before="130" w:line="355" w:lineRule="auto"/>
        <w:ind w:right="7" w:firstLine="480"/>
        <w:rPr>
          <w:rFonts w:hint="eastAsia" w:ascii="仿宋" w:hAnsi="仿宋" w:eastAsia="仿宋" w:cs="仿宋"/>
          <w:spacing w:val="4"/>
          <w:highlight w:val="none"/>
        </w:rPr>
      </w:pPr>
      <w:r>
        <w:rPr>
          <w:rFonts w:hint="eastAsia" w:ascii="仿宋" w:hAnsi="仿宋" w:eastAsia="仿宋" w:cs="仿宋"/>
          <w:spacing w:val="4"/>
          <w:highlight w:val="none"/>
        </w:rPr>
        <w:t>4）磋商内容</w:t>
      </w:r>
    </w:p>
    <w:p>
      <w:pPr>
        <w:pStyle w:val="8"/>
        <w:kinsoku w:val="0"/>
        <w:overflowPunct w:val="0"/>
        <w:spacing w:before="130" w:line="355" w:lineRule="auto"/>
        <w:ind w:right="7" w:firstLine="480"/>
        <w:rPr>
          <w:rFonts w:hint="eastAsia" w:ascii="仿宋" w:hAnsi="仿宋" w:eastAsia="仿宋" w:cs="仿宋"/>
          <w:spacing w:val="4"/>
          <w:highlight w:val="none"/>
        </w:rPr>
      </w:pPr>
      <w:bookmarkStart w:id="5" w:name="（四）《磋商响应性文件》的编制"/>
      <w:bookmarkEnd w:id="5"/>
      <w:bookmarkStart w:id="6" w:name="bookmark5"/>
      <w:bookmarkEnd w:id="6"/>
      <w:r>
        <w:rPr>
          <w:rFonts w:hint="eastAsia" w:ascii="仿宋" w:hAnsi="仿宋" w:eastAsia="仿宋" w:cs="仿宋"/>
          <w:spacing w:val="4"/>
          <w:highlight w:val="none"/>
        </w:rPr>
        <w:t>5）合同条款及合同格式</w:t>
      </w:r>
      <w:r>
        <w:rPr>
          <w:rFonts w:hint="eastAsia" w:ascii="仿宋" w:hAnsi="仿宋" w:eastAsia="仿宋" w:cs="仿宋"/>
          <w:color w:val="auto"/>
          <w:spacing w:val="4"/>
          <w:highlight w:val="none"/>
          <w:lang w:eastAsia="zh-CN"/>
        </w:rPr>
        <w:t>（</w:t>
      </w:r>
      <w:r>
        <w:rPr>
          <w:rFonts w:hint="eastAsia" w:ascii="仿宋" w:hAnsi="仿宋" w:eastAsia="仿宋" w:cs="仿宋"/>
          <w:color w:val="auto"/>
          <w:spacing w:val="4"/>
          <w:highlight w:val="none"/>
          <w:lang w:val="en-US" w:eastAsia="zh-CN"/>
        </w:rPr>
        <w:t>范本</w:t>
      </w:r>
      <w:r>
        <w:rPr>
          <w:rFonts w:hint="eastAsia" w:ascii="仿宋" w:hAnsi="仿宋" w:eastAsia="仿宋" w:cs="仿宋"/>
          <w:color w:val="auto"/>
          <w:spacing w:val="4"/>
          <w:highlight w:val="none"/>
          <w:lang w:eastAsia="zh-CN"/>
        </w:rPr>
        <w:t>）</w:t>
      </w:r>
    </w:p>
    <w:p>
      <w:pPr>
        <w:pStyle w:val="8"/>
        <w:kinsoku w:val="0"/>
        <w:overflowPunct w:val="0"/>
        <w:spacing w:before="130" w:line="355" w:lineRule="auto"/>
        <w:ind w:right="7" w:firstLine="480"/>
        <w:rPr>
          <w:rFonts w:hint="eastAsia" w:ascii="仿宋" w:hAnsi="仿宋" w:eastAsia="仿宋" w:cs="仿宋"/>
          <w:spacing w:val="4"/>
          <w:highlight w:val="none"/>
        </w:rPr>
      </w:pPr>
      <w:r>
        <w:rPr>
          <w:rFonts w:hint="eastAsia" w:ascii="仿宋" w:hAnsi="仿宋" w:eastAsia="仿宋" w:cs="仿宋"/>
          <w:spacing w:val="4"/>
          <w:highlight w:val="none"/>
        </w:rPr>
        <w:t>6）《磋商响应性文件》格式</w:t>
      </w:r>
    </w:p>
    <w:p>
      <w:pPr>
        <w:pStyle w:val="8"/>
        <w:kinsoku w:val="0"/>
        <w:overflowPunct w:val="0"/>
        <w:spacing w:line="355" w:lineRule="auto"/>
        <w:ind w:left="598" w:right="50" w:hanging="480"/>
        <w:rPr>
          <w:rFonts w:hint="eastAsia" w:ascii="仿宋" w:hAnsi="仿宋" w:eastAsia="仿宋" w:cs="仿宋"/>
          <w:b/>
          <w:bCs/>
          <w:spacing w:val="27"/>
          <w:w w:val="99"/>
          <w:highlight w:val="none"/>
        </w:rPr>
      </w:pPr>
      <w:r>
        <w:rPr>
          <w:rFonts w:hint="eastAsia" w:ascii="仿宋" w:hAnsi="仿宋" w:eastAsia="仿宋" w:cs="仿宋"/>
          <w:b/>
          <w:bCs/>
          <w:highlight w:val="none"/>
        </w:rPr>
        <w:t>2.《竞争性磋商文件》的澄清</w:t>
      </w:r>
      <w:r>
        <w:rPr>
          <w:rFonts w:hint="eastAsia" w:ascii="仿宋" w:hAnsi="仿宋" w:eastAsia="仿宋" w:cs="仿宋"/>
          <w:b/>
          <w:bCs/>
          <w:spacing w:val="27"/>
          <w:w w:val="99"/>
          <w:highlight w:val="none"/>
        </w:rPr>
        <w:t xml:space="preserve"> </w:t>
      </w:r>
    </w:p>
    <w:p>
      <w:pPr>
        <w:pStyle w:val="8"/>
        <w:kinsoku w:val="0"/>
        <w:overflowPunct w:val="0"/>
        <w:spacing w:before="130" w:line="355" w:lineRule="auto"/>
        <w:ind w:right="7" w:firstLine="480"/>
        <w:rPr>
          <w:rFonts w:hint="eastAsia" w:ascii="仿宋" w:hAnsi="仿宋" w:eastAsia="仿宋" w:cs="仿宋"/>
          <w:spacing w:val="4"/>
          <w:highlight w:val="none"/>
        </w:rPr>
      </w:pPr>
      <w:r>
        <w:rPr>
          <w:rFonts w:hint="eastAsia" w:ascii="仿宋" w:hAnsi="仿宋" w:eastAsia="仿宋" w:cs="仿宋"/>
          <w:spacing w:val="4"/>
          <w:highlight w:val="none"/>
        </w:rPr>
        <w:t>供应商若对《竞争性磋商文件》有任何疑问，根据《政府采购货物和服务招标投标管理办法》相关规定，供应商应于投标截止日期 3 日前以书面形式向招标代理机构提出澄清要求，送至招标代理机构。如认为有必要，招标代理机构将以书面形式予以澄清，同时将书面澄清文件向所有供应商发送。供应商在收到该澄清文件后，应于 1 日内以书面形式（加盖公章）向招标代理机构予以确认，该答复作为《竞争性磋商文件》的组成部分，具有同《竞争性磋商文件》同样的约束作用。未确认情况应当视为对竞争性磋商文件修改的知晓，也将视为对修改内容接受的默认。对于未在磋商响应性文件中对修改内容做实质性响应的，对其产生的不利因素由未确认者自行承担。</w:t>
      </w:r>
    </w:p>
    <w:p>
      <w:pPr>
        <w:pStyle w:val="8"/>
        <w:kinsoku w:val="0"/>
        <w:overflowPunct w:val="0"/>
        <w:spacing w:before="151" w:line="356" w:lineRule="auto"/>
        <w:ind w:right="106"/>
        <w:jc w:val="both"/>
        <w:rPr>
          <w:rFonts w:hint="eastAsia" w:ascii="仿宋" w:hAnsi="仿宋" w:eastAsia="仿宋" w:cs="仿宋"/>
          <w:highlight w:val="none"/>
        </w:rPr>
      </w:pPr>
      <w:r>
        <w:rPr>
          <w:rFonts w:hint="eastAsia" w:ascii="仿宋" w:hAnsi="仿宋" w:eastAsia="仿宋" w:cs="仿宋"/>
          <w:highlight w:val="none"/>
        </w:rPr>
        <w:t xml:space="preserve"> </w:t>
      </w:r>
      <w:r>
        <w:rPr>
          <w:rFonts w:hint="eastAsia" w:ascii="仿宋" w:hAnsi="仿宋" w:eastAsia="仿宋" w:cs="仿宋"/>
          <w:b/>
          <w:bCs/>
          <w:highlight w:val="none"/>
        </w:rPr>
        <w:t>3.《竞争性磋商文件》的修改</w:t>
      </w:r>
    </w:p>
    <w:p>
      <w:pPr>
        <w:pStyle w:val="8"/>
        <w:kinsoku w:val="0"/>
        <w:overflowPunct w:val="0"/>
        <w:spacing w:before="130" w:line="355" w:lineRule="auto"/>
        <w:ind w:right="7" w:firstLine="480"/>
        <w:rPr>
          <w:rFonts w:hint="eastAsia" w:ascii="仿宋" w:hAnsi="仿宋" w:eastAsia="仿宋" w:cs="仿宋"/>
          <w:spacing w:val="4"/>
          <w:highlight w:val="none"/>
        </w:rPr>
      </w:pPr>
      <w:r>
        <w:rPr>
          <w:rFonts w:hint="eastAsia" w:ascii="仿宋" w:hAnsi="仿宋" w:eastAsia="仿宋" w:cs="仿宋"/>
          <w:spacing w:val="4"/>
          <w:highlight w:val="none"/>
        </w:rPr>
        <w:t>3.1 投标截止期3日前，无论出于何种原因，招标采购单位可主动地或在解答供应商提出的澄清问题时对《竞争性磋商文件》进行修改，《竞争性磋商文件》的修改书将构成《竞争性磋商文件》的组成部分。</w:t>
      </w:r>
    </w:p>
    <w:p>
      <w:pPr>
        <w:pStyle w:val="8"/>
        <w:kinsoku w:val="0"/>
        <w:overflowPunct w:val="0"/>
        <w:spacing w:before="130" w:line="355" w:lineRule="auto"/>
        <w:ind w:right="7" w:firstLine="480"/>
        <w:rPr>
          <w:rFonts w:hint="eastAsia" w:ascii="仿宋" w:hAnsi="仿宋" w:eastAsia="仿宋" w:cs="仿宋"/>
          <w:spacing w:val="4"/>
          <w:highlight w:val="none"/>
        </w:rPr>
      </w:pPr>
      <w:r>
        <w:rPr>
          <w:rFonts w:hint="eastAsia" w:ascii="仿宋" w:hAnsi="仿宋" w:eastAsia="仿宋" w:cs="仿宋"/>
          <w:spacing w:val="4"/>
          <w:highlight w:val="none"/>
        </w:rPr>
        <w:t>3.2《竞争性磋商文件》的修改将以书面形式通知所有领取《竞争性磋商文件》的投标单位，并对其具有约束力。供应商在收到上述通知后，应于1日内以书面形式（加盖公章）向招标代理机构予以确认。未确认情况应当视为对竞争性磋商文件修改的知晓，也将视为对修改内容接受的默认。</w:t>
      </w:r>
    </w:p>
    <w:p>
      <w:pPr>
        <w:pStyle w:val="8"/>
        <w:kinsoku w:val="0"/>
        <w:overflowPunct w:val="0"/>
        <w:spacing w:before="130" w:line="355" w:lineRule="auto"/>
        <w:ind w:right="7" w:firstLine="480"/>
        <w:rPr>
          <w:rFonts w:hint="eastAsia" w:ascii="仿宋" w:hAnsi="仿宋" w:eastAsia="仿宋" w:cs="仿宋"/>
          <w:spacing w:val="4"/>
          <w:highlight w:val="none"/>
        </w:rPr>
      </w:pPr>
      <w:r>
        <w:rPr>
          <w:rFonts w:hint="eastAsia" w:ascii="仿宋" w:hAnsi="仿宋" w:eastAsia="仿宋" w:cs="仿宋"/>
          <w:spacing w:val="4"/>
          <w:highlight w:val="none"/>
        </w:rPr>
        <w:t>3.3 为使供应商在编制《磋商响应性文件》时有充分时间对《竞争性磋商文件》的修改部分进行研究，招标代理机构可决定是否延长投标截止日期和推迟开标时间，并通知全部供应商。</w:t>
      </w:r>
    </w:p>
    <w:p>
      <w:pPr>
        <w:pStyle w:val="8"/>
        <w:kinsoku w:val="0"/>
        <w:overflowPunct w:val="0"/>
        <w:spacing w:before="130" w:line="355" w:lineRule="auto"/>
        <w:ind w:right="7" w:firstLine="480"/>
        <w:rPr>
          <w:rFonts w:hint="eastAsia" w:ascii="仿宋" w:hAnsi="仿宋" w:eastAsia="仿宋" w:cs="仿宋"/>
          <w:spacing w:val="4"/>
          <w:highlight w:val="none"/>
        </w:rPr>
      </w:pPr>
      <w:r>
        <w:rPr>
          <w:rFonts w:hint="eastAsia" w:ascii="仿宋" w:hAnsi="仿宋" w:eastAsia="仿宋" w:cs="仿宋"/>
          <w:spacing w:val="4"/>
          <w:highlight w:val="none"/>
        </w:rPr>
        <w:t>3.4 供应商在应当领取竞争性磋商文件的3日内可对竞争性磋商文件的内容提出质疑，招标采购单位按规定时间答复，超过时间的质疑将不予接受。</w:t>
      </w:r>
    </w:p>
    <w:p>
      <w:pPr>
        <w:pStyle w:val="3"/>
        <w:rPr>
          <w:rFonts w:hint="eastAsia" w:ascii="仿宋" w:hAnsi="仿宋" w:eastAsia="仿宋" w:cs="仿宋"/>
          <w:highlight w:val="none"/>
        </w:rPr>
      </w:pPr>
      <w:bookmarkStart w:id="7" w:name="_Toc8528"/>
      <w:r>
        <w:rPr>
          <w:rFonts w:hint="eastAsia" w:ascii="仿宋" w:hAnsi="仿宋" w:eastAsia="仿宋" w:cs="仿宋"/>
          <w:highlight w:val="none"/>
        </w:rPr>
        <w:t>（四）《磋商响应性文件》的编制</w:t>
      </w:r>
      <w:bookmarkEnd w:id="7"/>
    </w:p>
    <w:p>
      <w:pPr>
        <w:pStyle w:val="8"/>
        <w:kinsoku w:val="0"/>
        <w:overflowPunct w:val="0"/>
        <w:spacing w:before="124"/>
        <w:rPr>
          <w:rFonts w:hint="eastAsia" w:ascii="仿宋" w:hAnsi="仿宋" w:eastAsia="仿宋" w:cs="仿宋"/>
          <w:highlight w:val="none"/>
        </w:rPr>
      </w:pPr>
      <w:r>
        <w:rPr>
          <w:rFonts w:hint="eastAsia" w:ascii="仿宋" w:hAnsi="仿宋" w:eastAsia="仿宋" w:cs="仿宋"/>
          <w:b/>
          <w:bCs/>
          <w:spacing w:val="1"/>
          <w:highlight w:val="none"/>
        </w:rPr>
        <w:t>1.</w:t>
      </w:r>
      <w:r>
        <w:rPr>
          <w:rFonts w:hint="eastAsia" w:ascii="仿宋" w:hAnsi="仿宋" w:eastAsia="仿宋" w:cs="仿宋"/>
          <w:b/>
          <w:bCs/>
          <w:spacing w:val="-22"/>
          <w:highlight w:val="none"/>
        </w:rPr>
        <w:t xml:space="preserve"> </w:t>
      </w:r>
      <w:r>
        <w:rPr>
          <w:rFonts w:hint="eastAsia" w:ascii="仿宋" w:hAnsi="仿宋" w:eastAsia="仿宋" w:cs="仿宋"/>
          <w:b/>
          <w:bCs/>
          <w:highlight w:val="none"/>
        </w:rPr>
        <w:t>《磋商响应性文件》编制要求</w:t>
      </w:r>
    </w:p>
    <w:p>
      <w:pPr>
        <w:pStyle w:val="8"/>
        <w:kinsoku w:val="0"/>
        <w:overflowPunct w:val="0"/>
        <w:spacing w:before="130" w:line="355" w:lineRule="auto"/>
        <w:ind w:right="7" w:firstLine="480"/>
        <w:rPr>
          <w:rFonts w:hint="eastAsia" w:ascii="仿宋" w:hAnsi="仿宋" w:eastAsia="仿宋" w:cs="仿宋"/>
          <w:spacing w:val="4"/>
          <w:highlight w:val="none"/>
        </w:rPr>
      </w:pPr>
      <w:r>
        <w:rPr>
          <w:rFonts w:hint="eastAsia" w:ascii="仿宋" w:hAnsi="仿宋" w:eastAsia="仿宋" w:cs="仿宋"/>
          <w:spacing w:val="4"/>
          <w:highlight w:val="none"/>
        </w:rPr>
        <w:t>1.1 供应商应仔细阅读和充分理解《竞争性磋商文件》的所有内容，并按照《竞争性磋商文件》的“磋商响应性文件格式”规定及要求内容的格式提交完整的《磋商响应性文件》。磋商响应性文件应使用中文、编排有序，并按要求编制文件目录和页码，准确标明文件内容所在位置</w:t>
      </w:r>
      <w:r>
        <w:rPr>
          <w:rFonts w:hint="eastAsia" w:hAnsi="仿宋" w:cs="仿宋"/>
          <w:color w:val="auto"/>
          <w:spacing w:val="4"/>
          <w:highlight w:val="none"/>
          <w:lang w:eastAsia="zh-CN"/>
        </w:rPr>
        <w:t>，</w:t>
      </w:r>
      <w:r>
        <w:rPr>
          <w:rFonts w:hint="eastAsia" w:hAnsi="仿宋" w:cs="仿宋"/>
          <w:color w:val="auto"/>
          <w:spacing w:val="4"/>
          <w:highlight w:val="none"/>
          <w:lang w:val="en-US" w:eastAsia="zh-CN"/>
        </w:rPr>
        <w:t>逐页加盖公章</w:t>
      </w:r>
      <w:r>
        <w:rPr>
          <w:rFonts w:hint="eastAsia" w:ascii="仿宋" w:hAnsi="仿宋" w:eastAsia="仿宋" w:cs="仿宋"/>
          <w:spacing w:val="4"/>
          <w:highlight w:val="none"/>
        </w:rPr>
        <w:t xml:space="preserve">。供应商没有对竞争性磋商文件全面做出实质性响应是供应商的风险。没有按照竞争性磋商文件要求作出实质性响应的不利后果由供应商自行承担。 </w:t>
      </w:r>
    </w:p>
    <w:p>
      <w:pPr>
        <w:pStyle w:val="8"/>
        <w:kinsoku w:val="0"/>
        <w:overflowPunct w:val="0"/>
        <w:spacing w:before="130" w:line="355" w:lineRule="auto"/>
        <w:ind w:right="7" w:firstLine="480"/>
        <w:rPr>
          <w:rFonts w:hint="eastAsia" w:ascii="仿宋" w:hAnsi="仿宋" w:eastAsia="仿宋" w:cs="仿宋"/>
          <w:spacing w:val="4"/>
          <w:highlight w:val="none"/>
        </w:rPr>
      </w:pPr>
      <w:r>
        <w:rPr>
          <w:rFonts w:hint="eastAsia" w:ascii="仿宋" w:hAnsi="仿宋" w:eastAsia="仿宋" w:cs="仿宋"/>
          <w:spacing w:val="4"/>
          <w:highlight w:val="none"/>
        </w:rPr>
        <w:t>1.2 磋商响应性文件应字迹清楚，内容齐全，不得涂改和增删。如有修改错漏处，必须由供应商法定代表人或其授权代表签字。资格证明材料的复印件应是清晰可辨并加盖供应商</w:t>
      </w:r>
      <w:r>
        <w:rPr>
          <w:rFonts w:hint="eastAsia" w:hAnsi="仿宋" w:cs="仿宋"/>
          <w:spacing w:val="4"/>
          <w:highlight w:val="none"/>
          <w:lang w:val="en-US" w:eastAsia="zh-CN"/>
        </w:rPr>
        <w:t>公</w:t>
      </w:r>
      <w:r>
        <w:rPr>
          <w:rFonts w:hint="eastAsia" w:ascii="仿宋" w:hAnsi="仿宋" w:eastAsia="仿宋" w:cs="仿宋"/>
          <w:spacing w:val="4"/>
          <w:highlight w:val="none"/>
        </w:rPr>
        <w:t>章。</w:t>
      </w:r>
    </w:p>
    <w:p>
      <w:pPr>
        <w:pStyle w:val="8"/>
        <w:kinsoku w:val="0"/>
        <w:overflowPunct w:val="0"/>
        <w:spacing w:before="130" w:line="355" w:lineRule="auto"/>
        <w:ind w:right="7" w:firstLine="480"/>
        <w:rPr>
          <w:rFonts w:hint="eastAsia" w:ascii="仿宋" w:hAnsi="仿宋" w:eastAsia="仿宋" w:cs="仿宋"/>
          <w:spacing w:val="4"/>
          <w:highlight w:val="none"/>
        </w:rPr>
      </w:pPr>
      <w:r>
        <w:rPr>
          <w:rFonts w:hint="eastAsia" w:ascii="仿宋" w:hAnsi="仿宋" w:eastAsia="仿宋" w:cs="仿宋"/>
          <w:spacing w:val="4"/>
          <w:highlight w:val="none"/>
        </w:rPr>
        <w:t>1.3 磋商响应性文件所提供的全部资料必须真实可靠。若磋商响应性文件填报的内容资料不详，或提供了虚假资料，其磋商响应性文件为无效磋商响应性文件。</w:t>
      </w:r>
    </w:p>
    <w:p>
      <w:pPr>
        <w:pStyle w:val="8"/>
        <w:kinsoku w:val="0"/>
        <w:overflowPunct w:val="0"/>
        <w:spacing w:before="130" w:line="355" w:lineRule="auto"/>
        <w:ind w:right="7" w:firstLine="480"/>
        <w:rPr>
          <w:rFonts w:hint="eastAsia" w:ascii="仿宋" w:hAnsi="仿宋" w:eastAsia="仿宋" w:cs="仿宋"/>
          <w:spacing w:val="4"/>
          <w:highlight w:val="none"/>
        </w:rPr>
      </w:pPr>
      <w:r>
        <w:rPr>
          <w:rFonts w:hint="eastAsia" w:ascii="仿宋" w:hAnsi="仿宋" w:eastAsia="仿宋" w:cs="仿宋"/>
          <w:spacing w:val="4"/>
          <w:highlight w:val="none"/>
        </w:rPr>
        <w:t>1.4 磋商响应性文件应严格按照竞争性磋商文件格式的要求提交，并按规定的统一格式逐项填写，不准有空项；无相应内容可填的项应填写“无”、“没有相应指标”等明确的回答文字。</w:t>
      </w:r>
    </w:p>
    <w:p>
      <w:pPr>
        <w:pStyle w:val="8"/>
        <w:kinsoku w:val="0"/>
        <w:overflowPunct w:val="0"/>
        <w:spacing w:before="35"/>
        <w:rPr>
          <w:rFonts w:hint="eastAsia" w:ascii="仿宋" w:hAnsi="仿宋" w:eastAsia="仿宋" w:cs="仿宋"/>
          <w:highlight w:val="none"/>
        </w:rPr>
      </w:pPr>
      <w:r>
        <w:rPr>
          <w:rFonts w:hint="eastAsia" w:ascii="仿宋" w:hAnsi="仿宋" w:eastAsia="仿宋" w:cs="仿宋"/>
          <w:b/>
          <w:bCs/>
          <w:spacing w:val="1"/>
          <w:highlight w:val="none"/>
        </w:rPr>
        <w:t>2.</w:t>
      </w:r>
      <w:r>
        <w:rPr>
          <w:rFonts w:hint="eastAsia" w:ascii="仿宋" w:hAnsi="仿宋" w:eastAsia="仿宋" w:cs="仿宋"/>
          <w:b/>
          <w:bCs/>
          <w:spacing w:val="-19"/>
          <w:highlight w:val="none"/>
        </w:rPr>
        <w:t xml:space="preserve"> </w:t>
      </w:r>
      <w:r>
        <w:rPr>
          <w:rFonts w:hint="eastAsia" w:ascii="仿宋" w:hAnsi="仿宋" w:eastAsia="仿宋" w:cs="仿宋"/>
          <w:b/>
          <w:bCs/>
          <w:highlight w:val="none"/>
        </w:rPr>
        <w:t>投标语言：</w:t>
      </w:r>
    </w:p>
    <w:p>
      <w:pPr>
        <w:pStyle w:val="8"/>
        <w:kinsoku w:val="0"/>
        <w:overflowPunct w:val="0"/>
        <w:spacing w:before="130" w:line="355" w:lineRule="auto"/>
        <w:ind w:right="7" w:firstLine="480"/>
        <w:rPr>
          <w:rFonts w:hint="eastAsia" w:ascii="仿宋" w:hAnsi="仿宋" w:eastAsia="仿宋" w:cs="仿宋"/>
          <w:spacing w:val="4"/>
          <w:highlight w:val="none"/>
        </w:rPr>
      </w:pPr>
      <w:r>
        <w:rPr>
          <w:rFonts w:hint="eastAsia" w:ascii="仿宋" w:hAnsi="仿宋" w:eastAsia="仿宋" w:cs="仿宋"/>
          <w:spacing w:val="4"/>
          <w:highlight w:val="none"/>
        </w:rPr>
        <w:t>2.1 专用术语外，与招标投标有关的磋商响应性文件、投标交换的文件和往来信件应均使用中文，必要时专用术语应附有中文注释。</w:t>
      </w:r>
    </w:p>
    <w:p>
      <w:pPr>
        <w:pStyle w:val="8"/>
        <w:kinsoku w:val="0"/>
        <w:overflowPunct w:val="0"/>
        <w:spacing w:before="130" w:line="355" w:lineRule="auto"/>
        <w:ind w:right="7" w:firstLine="480"/>
        <w:rPr>
          <w:rFonts w:hint="eastAsia" w:ascii="仿宋" w:hAnsi="仿宋" w:eastAsia="仿宋" w:cs="仿宋"/>
          <w:spacing w:val="4"/>
          <w:highlight w:val="none"/>
        </w:rPr>
      </w:pPr>
      <w:r>
        <w:rPr>
          <w:rFonts w:hint="eastAsia" w:ascii="仿宋" w:hAnsi="仿宋" w:eastAsia="仿宋" w:cs="仿宋"/>
          <w:spacing w:val="4"/>
          <w:highlight w:val="none"/>
        </w:rPr>
        <w:t>2.2 磋商响应性文件中如附有外文资料，必须逐一对应翻译成中文并加盖供应商公章后附在相关外文资料后面，否则，供应商的磋商响应性文件将作为无效投标处理。</w:t>
      </w:r>
    </w:p>
    <w:p>
      <w:pPr>
        <w:pStyle w:val="8"/>
        <w:kinsoku w:val="0"/>
        <w:overflowPunct w:val="0"/>
        <w:spacing w:before="130" w:line="355" w:lineRule="auto"/>
        <w:ind w:right="7" w:firstLine="480"/>
        <w:rPr>
          <w:rFonts w:hint="eastAsia" w:ascii="仿宋" w:hAnsi="仿宋" w:eastAsia="仿宋" w:cs="仿宋"/>
          <w:spacing w:val="4"/>
          <w:highlight w:val="none"/>
        </w:rPr>
      </w:pPr>
      <w:r>
        <w:rPr>
          <w:rFonts w:hint="eastAsia" w:ascii="仿宋" w:hAnsi="仿宋" w:eastAsia="仿宋" w:cs="仿宋"/>
          <w:spacing w:val="4"/>
          <w:highlight w:val="none"/>
        </w:rPr>
        <w:t>2.3 翻译的中文资料与外文资料如果出现差异和矛盾时，以中文为准。但不能故意错误翻译，否则供应商的磋商响应性文件将作为无效投标处理。</w:t>
      </w:r>
    </w:p>
    <w:p>
      <w:pPr>
        <w:pStyle w:val="8"/>
        <w:kinsoku w:val="0"/>
        <w:overflowPunct w:val="0"/>
        <w:spacing w:before="34" w:line="356" w:lineRule="auto"/>
        <w:ind w:left="0" w:right="50"/>
        <w:rPr>
          <w:rFonts w:hint="eastAsia" w:ascii="仿宋" w:hAnsi="仿宋" w:eastAsia="仿宋" w:cs="仿宋"/>
          <w:b/>
          <w:bCs/>
          <w:spacing w:val="-2"/>
          <w:highlight w:val="none"/>
        </w:rPr>
      </w:pPr>
      <w:r>
        <w:rPr>
          <w:rFonts w:hint="eastAsia" w:ascii="仿宋" w:hAnsi="仿宋" w:eastAsia="仿宋" w:cs="仿宋"/>
          <w:highlight w:val="none"/>
        </w:rPr>
        <w:t xml:space="preserve"> </w:t>
      </w:r>
      <w:r>
        <w:rPr>
          <w:rFonts w:hint="eastAsia" w:ascii="仿宋" w:hAnsi="仿宋" w:eastAsia="仿宋" w:cs="仿宋"/>
          <w:b/>
          <w:bCs/>
          <w:spacing w:val="-2"/>
          <w:highlight w:val="none"/>
        </w:rPr>
        <w:t>3.计量单位：</w:t>
      </w:r>
    </w:p>
    <w:p>
      <w:pPr>
        <w:pStyle w:val="8"/>
        <w:kinsoku w:val="0"/>
        <w:overflowPunct w:val="0"/>
        <w:spacing w:before="130" w:line="355" w:lineRule="auto"/>
        <w:ind w:right="7" w:firstLine="480"/>
        <w:rPr>
          <w:rFonts w:hint="eastAsia" w:ascii="仿宋" w:hAnsi="仿宋" w:eastAsia="仿宋" w:cs="仿宋"/>
          <w:spacing w:val="4"/>
          <w:highlight w:val="none"/>
        </w:rPr>
      </w:pPr>
      <w:r>
        <w:rPr>
          <w:rFonts w:hint="eastAsia" w:ascii="仿宋" w:hAnsi="仿宋" w:eastAsia="仿宋" w:cs="仿宋"/>
          <w:spacing w:val="4"/>
          <w:highlight w:val="none"/>
        </w:rPr>
        <w:t>除工程规范中另有规定外，磋商响应性文件使用的度量衡单位，均应使用中华人民共和国法定计量单位。</w:t>
      </w:r>
    </w:p>
    <w:p>
      <w:pPr>
        <w:pStyle w:val="8"/>
        <w:kinsoku w:val="0"/>
        <w:overflowPunct w:val="0"/>
        <w:spacing w:before="37"/>
        <w:rPr>
          <w:rFonts w:hint="eastAsia" w:ascii="仿宋" w:hAnsi="仿宋" w:eastAsia="仿宋" w:cs="仿宋"/>
          <w:b/>
          <w:bCs/>
          <w:highlight w:val="none"/>
        </w:rPr>
      </w:pPr>
      <w:r>
        <w:rPr>
          <w:rFonts w:hint="eastAsia" w:ascii="仿宋" w:hAnsi="仿宋" w:eastAsia="仿宋" w:cs="仿宋"/>
          <w:b/>
          <w:bCs/>
          <w:highlight w:val="none"/>
        </w:rPr>
        <w:t>4.投标货币：</w:t>
      </w:r>
    </w:p>
    <w:p>
      <w:pPr>
        <w:pStyle w:val="8"/>
        <w:kinsoku w:val="0"/>
        <w:overflowPunct w:val="0"/>
        <w:spacing w:before="130" w:line="355" w:lineRule="auto"/>
        <w:ind w:right="7" w:firstLine="480"/>
        <w:rPr>
          <w:rFonts w:hint="eastAsia" w:ascii="仿宋" w:hAnsi="仿宋" w:eastAsia="仿宋" w:cs="仿宋"/>
          <w:spacing w:val="4"/>
          <w:highlight w:val="none"/>
        </w:rPr>
      </w:pPr>
      <w:r>
        <w:rPr>
          <w:rFonts w:hint="eastAsia" w:ascii="仿宋" w:hAnsi="仿宋" w:eastAsia="仿宋" w:cs="仿宋"/>
          <w:spacing w:val="4"/>
          <w:highlight w:val="none"/>
        </w:rPr>
        <w:t>本次招标项目的投标均以人民币报价。</w:t>
      </w:r>
    </w:p>
    <w:p>
      <w:pPr>
        <w:pStyle w:val="8"/>
        <w:kinsoku w:val="0"/>
        <w:overflowPunct w:val="0"/>
        <w:rPr>
          <w:rFonts w:hint="eastAsia" w:ascii="仿宋" w:hAnsi="仿宋" w:eastAsia="仿宋" w:cs="仿宋"/>
          <w:b/>
          <w:bCs/>
          <w:highlight w:val="none"/>
        </w:rPr>
      </w:pPr>
      <w:r>
        <w:rPr>
          <w:rFonts w:hint="eastAsia" w:ascii="仿宋" w:hAnsi="仿宋" w:eastAsia="仿宋" w:cs="仿宋"/>
          <w:b/>
          <w:bCs/>
          <w:highlight w:val="none"/>
        </w:rPr>
        <w:t>5.联合投标：</w:t>
      </w:r>
    </w:p>
    <w:p>
      <w:pPr>
        <w:pStyle w:val="8"/>
        <w:kinsoku w:val="0"/>
        <w:overflowPunct w:val="0"/>
        <w:spacing w:before="130" w:line="355" w:lineRule="auto"/>
        <w:ind w:right="7" w:firstLine="480"/>
        <w:rPr>
          <w:rFonts w:hint="eastAsia" w:ascii="仿宋" w:hAnsi="仿宋" w:eastAsia="仿宋" w:cs="仿宋"/>
          <w:spacing w:val="4"/>
          <w:highlight w:val="none"/>
        </w:rPr>
      </w:pPr>
      <w:r>
        <w:rPr>
          <w:rFonts w:hint="eastAsia" w:ascii="仿宋" w:hAnsi="仿宋" w:eastAsia="仿宋" w:cs="仿宋"/>
          <w:spacing w:val="4"/>
          <w:highlight w:val="none"/>
        </w:rPr>
        <w:t>本项目不接受联合体投标。</w:t>
      </w:r>
    </w:p>
    <w:p>
      <w:pPr>
        <w:pStyle w:val="8"/>
        <w:kinsoku w:val="0"/>
        <w:overflowPunct w:val="0"/>
        <w:spacing w:before="151"/>
        <w:rPr>
          <w:rFonts w:hint="eastAsia" w:ascii="仿宋" w:hAnsi="仿宋" w:eastAsia="仿宋" w:cs="仿宋"/>
          <w:highlight w:val="none"/>
        </w:rPr>
      </w:pPr>
      <w:r>
        <w:rPr>
          <w:rFonts w:hint="eastAsia" w:ascii="仿宋" w:hAnsi="仿宋" w:eastAsia="仿宋" w:cs="仿宋"/>
          <w:b/>
          <w:bCs/>
          <w:highlight w:val="none"/>
        </w:rPr>
        <w:t>6.知识产权</w:t>
      </w:r>
    </w:p>
    <w:p>
      <w:pPr>
        <w:pStyle w:val="8"/>
        <w:kinsoku w:val="0"/>
        <w:overflowPunct w:val="0"/>
        <w:spacing w:before="130" w:line="355" w:lineRule="auto"/>
        <w:ind w:right="7" w:firstLine="480"/>
        <w:rPr>
          <w:rFonts w:hint="eastAsia" w:ascii="仿宋" w:hAnsi="仿宋" w:eastAsia="仿宋" w:cs="仿宋"/>
          <w:spacing w:val="4"/>
          <w:highlight w:val="none"/>
        </w:rPr>
      </w:pPr>
      <w:r>
        <w:rPr>
          <w:rFonts w:hint="eastAsia" w:ascii="仿宋" w:hAnsi="仿宋" w:eastAsia="仿宋" w:cs="仿宋"/>
          <w:spacing w:val="4"/>
          <w:highlight w:val="none"/>
        </w:rPr>
        <w:t>6.1 供应商应保证在本项目使用的任何技术成果和服务（包括部分使用）时，不会产生因第三方提出侵犯其专利权、商标权或其它知识产权而引起的法律和经济纠纷，如因专利权、商标权或其它知识产权而引起法律和经济纠纷，由供应商承担所有相关责任。</w:t>
      </w:r>
    </w:p>
    <w:p>
      <w:pPr>
        <w:pStyle w:val="8"/>
        <w:kinsoku w:val="0"/>
        <w:overflowPunct w:val="0"/>
        <w:spacing w:before="130" w:line="355" w:lineRule="auto"/>
        <w:ind w:right="7" w:firstLine="480"/>
        <w:rPr>
          <w:rFonts w:hint="eastAsia" w:ascii="仿宋" w:hAnsi="仿宋" w:eastAsia="仿宋" w:cs="仿宋"/>
          <w:spacing w:val="4"/>
          <w:highlight w:val="none"/>
        </w:rPr>
      </w:pPr>
      <w:r>
        <w:rPr>
          <w:rFonts w:hint="eastAsia" w:ascii="仿宋" w:hAnsi="仿宋" w:eastAsia="仿宋" w:cs="仿宋"/>
          <w:spacing w:val="4"/>
          <w:highlight w:val="none"/>
        </w:rPr>
        <w:t>6.2 采购人享有本项目实施过程中产生的知识成果及知识产权。</w:t>
      </w:r>
    </w:p>
    <w:p>
      <w:pPr>
        <w:pStyle w:val="8"/>
        <w:kinsoku w:val="0"/>
        <w:overflowPunct w:val="0"/>
        <w:spacing w:before="130" w:line="355" w:lineRule="auto"/>
        <w:ind w:right="7" w:firstLine="480"/>
        <w:rPr>
          <w:rFonts w:hint="eastAsia" w:ascii="仿宋" w:hAnsi="仿宋" w:eastAsia="仿宋" w:cs="仿宋"/>
          <w:spacing w:val="4"/>
          <w:highlight w:val="none"/>
        </w:rPr>
      </w:pPr>
      <w:r>
        <w:rPr>
          <w:rFonts w:hint="eastAsia" w:ascii="仿宋" w:hAnsi="仿宋" w:eastAsia="仿宋" w:cs="仿宋"/>
          <w:spacing w:val="4"/>
          <w:highlight w:val="none"/>
        </w:rPr>
        <w:t>6.3 供应商如欲在项目实施过程中采用自有知识成果，需在磋商响应性文件中声明，并提供相关知识产权证明文件。使用该知识成果后，供应商需提供开发手册等技术文档，并承诺提供无限期技术支持，采购人享有永久使用权。</w:t>
      </w:r>
    </w:p>
    <w:p>
      <w:pPr>
        <w:pStyle w:val="8"/>
        <w:kinsoku w:val="0"/>
        <w:overflowPunct w:val="0"/>
        <w:spacing w:before="130" w:line="355" w:lineRule="auto"/>
        <w:ind w:right="7" w:firstLine="480"/>
        <w:rPr>
          <w:rFonts w:hint="eastAsia" w:ascii="仿宋" w:hAnsi="仿宋" w:eastAsia="仿宋" w:cs="仿宋"/>
          <w:spacing w:val="4"/>
          <w:highlight w:val="none"/>
        </w:rPr>
      </w:pPr>
      <w:r>
        <w:rPr>
          <w:rFonts w:hint="eastAsia" w:ascii="仿宋" w:hAnsi="仿宋" w:eastAsia="仿宋" w:cs="仿宋"/>
          <w:spacing w:val="4"/>
          <w:highlight w:val="none"/>
        </w:rPr>
        <w:t>6.4 如采用供应商所不拥有的知识产权，则在投标报价中必须包括合法获取该知识产权的相关费用。</w:t>
      </w:r>
    </w:p>
    <w:p>
      <w:pPr>
        <w:pStyle w:val="8"/>
        <w:kinsoku w:val="0"/>
        <w:overflowPunct w:val="0"/>
        <w:spacing w:before="26"/>
        <w:rPr>
          <w:rFonts w:hint="eastAsia" w:ascii="仿宋" w:hAnsi="仿宋" w:eastAsia="仿宋" w:cs="仿宋"/>
          <w:highlight w:val="none"/>
        </w:rPr>
      </w:pPr>
      <w:r>
        <w:rPr>
          <w:rFonts w:hint="eastAsia" w:ascii="仿宋" w:hAnsi="仿宋" w:eastAsia="仿宋" w:cs="仿宋"/>
          <w:b/>
          <w:bCs/>
          <w:highlight w:val="none"/>
        </w:rPr>
        <w:t>7.《磋商响应性文件》的组成</w:t>
      </w:r>
    </w:p>
    <w:p>
      <w:pPr>
        <w:pStyle w:val="8"/>
        <w:kinsoku w:val="0"/>
        <w:overflowPunct w:val="0"/>
        <w:spacing w:before="130" w:line="355" w:lineRule="auto"/>
        <w:ind w:right="7" w:firstLine="480"/>
        <w:rPr>
          <w:rFonts w:hint="eastAsia" w:ascii="仿宋" w:hAnsi="仿宋" w:eastAsia="仿宋" w:cs="仿宋"/>
          <w:color w:val="auto"/>
          <w:spacing w:val="4"/>
          <w:highlight w:val="none"/>
        </w:rPr>
      </w:pPr>
      <w:r>
        <w:rPr>
          <w:rFonts w:hint="eastAsia" w:ascii="仿宋" w:hAnsi="仿宋" w:eastAsia="仿宋" w:cs="仿宋"/>
          <w:color w:val="auto"/>
          <w:spacing w:val="4"/>
          <w:highlight w:val="none"/>
        </w:rPr>
        <w:t>《磋商响应性文件》应由资格证明</w:t>
      </w:r>
      <w:r>
        <w:rPr>
          <w:rFonts w:hint="eastAsia" w:ascii="仿宋" w:hAnsi="仿宋" w:eastAsia="仿宋" w:cs="仿宋"/>
          <w:color w:val="auto"/>
          <w:spacing w:val="4"/>
          <w:highlight w:val="none"/>
          <w:lang w:val="en-US" w:eastAsia="zh-CN"/>
        </w:rPr>
        <w:t>文件</w:t>
      </w:r>
      <w:r>
        <w:rPr>
          <w:rFonts w:hint="eastAsia" w:ascii="仿宋" w:hAnsi="仿宋" w:eastAsia="仿宋" w:cs="仿宋"/>
          <w:color w:val="auto"/>
          <w:spacing w:val="4"/>
          <w:highlight w:val="none"/>
        </w:rPr>
        <w:t>、技术文件部分（包括技术响应、服务方案等）、投标报价</w:t>
      </w:r>
      <w:r>
        <w:rPr>
          <w:rFonts w:hint="eastAsia" w:ascii="仿宋" w:hAnsi="仿宋" w:eastAsia="仿宋" w:cs="仿宋"/>
          <w:color w:val="auto"/>
          <w:spacing w:val="4"/>
          <w:highlight w:val="none"/>
          <w:lang w:val="en-US" w:eastAsia="zh-CN"/>
        </w:rPr>
        <w:t>文件</w:t>
      </w:r>
      <w:r>
        <w:rPr>
          <w:rFonts w:hint="eastAsia" w:ascii="仿宋" w:hAnsi="仿宋" w:eastAsia="仿宋" w:cs="仿宋"/>
          <w:color w:val="auto"/>
          <w:spacing w:val="4"/>
          <w:highlight w:val="none"/>
        </w:rPr>
        <w:t>及其它部分组成，所有复印件须加盖公章。按如下顺序编制：</w:t>
      </w:r>
    </w:p>
    <w:p>
      <w:pPr>
        <w:pStyle w:val="8"/>
        <w:kinsoku w:val="0"/>
        <w:overflowPunct w:val="0"/>
        <w:spacing w:before="130" w:line="355" w:lineRule="auto"/>
        <w:ind w:right="7" w:firstLine="480"/>
        <w:rPr>
          <w:rFonts w:hint="eastAsia" w:ascii="仿宋" w:hAnsi="仿宋" w:eastAsia="仿宋" w:cs="仿宋"/>
          <w:color w:val="auto"/>
          <w:spacing w:val="4"/>
          <w:highlight w:val="none"/>
        </w:rPr>
      </w:pPr>
      <w:r>
        <w:rPr>
          <w:rFonts w:hint="eastAsia" w:ascii="仿宋" w:hAnsi="仿宋" w:eastAsia="仿宋" w:cs="仿宋"/>
          <w:b/>
          <w:color w:val="auto"/>
          <w:spacing w:val="4"/>
          <w:highlight w:val="none"/>
        </w:rPr>
        <w:t xml:space="preserve">7.1  </w:t>
      </w:r>
      <w:r>
        <w:rPr>
          <w:rFonts w:hint="eastAsia" w:ascii="仿宋" w:hAnsi="仿宋" w:eastAsia="仿宋" w:cs="仿宋"/>
          <w:color w:val="auto"/>
          <w:spacing w:val="4"/>
          <w:highlight w:val="none"/>
        </w:rPr>
        <w:t>资格证明</w:t>
      </w:r>
      <w:r>
        <w:rPr>
          <w:rFonts w:hint="eastAsia" w:ascii="仿宋" w:hAnsi="仿宋" w:eastAsia="仿宋" w:cs="仿宋"/>
          <w:color w:val="auto"/>
          <w:spacing w:val="4"/>
          <w:highlight w:val="none"/>
          <w:lang w:val="en-US" w:eastAsia="zh-CN"/>
        </w:rPr>
        <w:t>文件</w:t>
      </w:r>
      <w:r>
        <w:rPr>
          <w:rFonts w:hint="eastAsia" w:ascii="仿宋" w:hAnsi="仿宋" w:eastAsia="仿宋" w:cs="仿宋"/>
          <w:color w:val="auto"/>
          <w:spacing w:val="4"/>
          <w:highlight w:val="none"/>
        </w:rPr>
        <w:t>包括：</w:t>
      </w:r>
    </w:p>
    <w:p>
      <w:pPr>
        <w:pStyle w:val="8"/>
        <w:kinsoku w:val="0"/>
        <w:overflowPunct w:val="0"/>
        <w:spacing w:before="130" w:line="355" w:lineRule="auto"/>
        <w:ind w:right="7" w:firstLine="480"/>
        <w:rPr>
          <w:rFonts w:hint="eastAsia" w:ascii="仿宋" w:hAnsi="仿宋" w:eastAsia="仿宋" w:cs="仿宋"/>
          <w:color w:val="auto"/>
          <w:kern w:val="0"/>
          <w:sz w:val="24"/>
          <w:szCs w:val="24"/>
          <w:highlight w:val="none"/>
          <w:lang w:val="zh-CN" w:eastAsia="zh-CN"/>
        </w:rPr>
      </w:pP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zh-CN" w:eastAsia="zh-CN"/>
        </w:rPr>
        <w:t>法定代表人参与开标全过程的须提供有效的法人身份证明及身份证；</w:t>
      </w:r>
    </w:p>
    <w:p>
      <w:pPr>
        <w:pStyle w:val="8"/>
        <w:kinsoku w:val="0"/>
        <w:overflowPunct w:val="0"/>
        <w:spacing w:before="130" w:line="355" w:lineRule="auto"/>
        <w:ind w:right="7" w:firstLine="48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zh-CN" w:eastAsia="zh-CN"/>
        </w:rPr>
        <w:t>2、法定代表人授权委托人参与开标全过程的授权委托代理人须提供有效的附有法定代表人身份证明的授权委托书及被委托人身份证；</w:t>
      </w:r>
    </w:p>
    <w:p>
      <w:pPr>
        <w:pStyle w:val="8"/>
        <w:kinsoku w:val="0"/>
        <w:overflowPunct w:val="0"/>
        <w:spacing w:before="130" w:line="355" w:lineRule="auto"/>
        <w:ind w:right="7" w:firstLine="480"/>
        <w:rPr>
          <w:rFonts w:hint="eastAsia" w:ascii="仿宋" w:hAnsi="仿宋" w:eastAsia="仿宋" w:cs="仿宋"/>
          <w:color w:val="auto"/>
          <w:kern w:val="0"/>
          <w:sz w:val="24"/>
          <w:szCs w:val="24"/>
          <w:highlight w:val="none"/>
          <w:lang w:val="zh-CN" w:eastAsia="zh-CN"/>
        </w:rPr>
      </w:pPr>
      <w:r>
        <w:rPr>
          <w:rFonts w:hint="eastAsia" w:ascii="仿宋" w:hAnsi="仿宋" w:eastAsia="仿宋" w:cs="仿宋"/>
          <w:color w:val="auto"/>
          <w:kern w:val="0"/>
          <w:sz w:val="24"/>
          <w:szCs w:val="24"/>
          <w:highlight w:val="none"/>
          <w:lang w:val="en-US" w:eastAsia="zh-CN"/>
        </w:rPr>
        <w:t>3、具有履行合同所必需的设备和专业技术能力；</w:t>
      </w:r>
    </w:p>
    <w:p>
      <w:pPr>
        <w:pStyle w:val="8"/>
        <w:kinsoku w:val="0"/>
        <w:overflowPunct w:val="0"/>
        <w:spacing w:before="130" w:line="355" w:lineRule="auto"/>
        <w:ind w:right="7" w:firstLine="48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4、参加政府采购活动前三年内，在经营活动中没有重大违法记录；</w:t>
      </w:r>
    </w:p>
    <w:p>
      <w:pPr>
        <w:pStyle w:val="8"/>
        <w:kinsoku w:val="0"/>
        <w:overflowPunct w:val="0"/>
        <w:spacing w:before="130" w:line="355" w:lineRule="auto"/>
        <w:ind w:right="7" w:firstLine="480"/>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lang w:val="zh-CN" w:eastAsia="zh-CN"/>
        </w:rPr>
        <w:t>20</w:t>
      </w:r>
      <w:r>
        <w:rPr>
          <w:rFonts w:hint="eastAsia" w:ascii="仿宋" w:hAnsi="仿宋" w:eastAsia="仿宋" w:cs="仿宋"/>
          <w:color w:val="auto"/>
          <w:kern w:val="0"/>
          <w:sz w:val="24"/>
          <w:szCs w:val="24"/>
          <w:highlight w:val="none"/>
          <w:lang w:val="en-US" w:eastAsia="zh-CN"/>
        </w:rPr>
        <w:t>22</w:t>
      </w:r>
      <w:r>
        <w:rPr>
          <w:rFonts w:hint="eastAsia" w:ascii="仿宋" w:hAnsi="仿宋" w:eastAsia="仿宋" w:cs="仿宋"/>
          <w:color w:val="auto"/>
          <w:kern w:val="0"/>
          <w:sz w:val="24"/>
          <w:szCs w:val="24"/>
          <w:highlight w:val="none"/>
          <w:lang w:val="zh-CN" w:eastAsia="zh-CN"/>
        </w:rPr>
        <w:t>年度完整的财务审计报告或财务报表；</w:t>
      </w:r>
    </w:p>
    <w:p>
      <w:pPr>
        <w:pStyle w:val="8"/>
        <w:kinsoku w:val="0"/>
        <w:overflowPunct w:val="0"/>
        <w:spacing w:before="130" w:line="355" w:lineRule="auto"/>
        <w:ind w:right="7" w:firstLine="480"/>
        <w:rPr>
          <w:rFonts w:hint="eastAsia" w:ascii="仿宋" w:hAnsi="仿宋" w:eastAsia="仿宋" w:cs="仿宋"/>
          <w:color w:val="auto"/>
          <w:kern w:val="0"/>
          <w:sz w:val="24"/>
          <w:szCs w:val="24"/>
          <w:highlight w:val="none"/>
          <w:lang w:val="en-US" w:eastAsia="zh-CN"/>
        </w:rPr>
      </w:pPr>
      <w:r>
        <w:rPr>
          <w:rFonts w:hint="eastAsia" w:hAnsi="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lang w:val="en-US" w:eastAsia="zh-CN"/>
        </w:rPr>
        <w:t>参加本次政府采购活动前三个月内任意一个月的税收和社保缴纳证明（含法定代表人或授权委托人社保明细，若法定代表人或授权委托人是退休人员需提供退休证明）；</w:t>
      </w:r>
    </w:p>
    <w:p>
      <w:pPr>
        <w:pStyle w:val="8"/>
        <w:kinsoku w:val="0"/>
        <w:overflowPunct w:val="0"/>
        <w:spacing w:before="130" w:line="355" w:lineRule="auto"/>
        <w:ind w:right="7" w:firstLine="480"/>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7、投标人在“信用中国”网站（www.creditchina.gov.cn）以“未被列入失信被执行人记录”、“重大税收违法案件当事人名单”且在中国政府采购网（www.ccgp.gov.cn）没有相关主体“政府采购严重违法失信行为记录”（被禁止在一定期限内参加政府采购活动但期限届满的除外）（查询日期为从采购文件发售之日起至投标截止日前），网页截图（需显示查询时间）加盖供应商公章为准</w:t>
      </w:r>
    </w:p>
    <w:p>
      <w:pPr>
        <w:pStyle w:val="8"/>
        <w:kinsoku w:val="0"/>
        <w:overflowPunct w:val="0"/>
        <w:spacing w:before="130" w:line="355" w:lineRule="auto"/>
        <w:ind w:right="7" w:firstLine="480"/>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8.投标人须具备水文、水资源调查评价资质乙级及以上相关资质。</w:t>
      </w:r>
    </w:p>
    <w:p>
      <w:pPr>
        <w:pStyle w:val="8"/>
        <w:kinsoku w:val="0"/>
        <w:overflowPunct w:val="0"/>
        <w:spacing w:before="130" w:line="355" w:lineRule="auto"/>
        <w:ind w:right="7" w:firstLine="480"/>
        <w:rPr>
          <w:rFonts w:hint="eastAsia" w:ascii="仿宋" w:hAnsi="仿宋" w:eastAsia="仿宋" w:cs="仿宋"/>
          <w:color w:val="auto"/>
          <w:spacing w:val="4"/>
          <w:highlight w:val="none"/>
          <w:lang w:val="en-US" w:eastAsia="zh-CN"/>
        </w:rPr>
      </w:pPr>
      <w:r>
        <w:rPr>
          <w:rFonts w:hint="eastAsia" w:ascii="仿宋" w:hAnsi="仿宋" w:eastAsia="仿宋" w:cs="仿宋"/>
          <w:b/>
          <w:color w:val="auto"/>
          <w:spacing w:val="4"/>
          <w:highlight w:val="none"/>
        </w:rPr>
        <w:t>7.2 技术文件部分应包括：</w:t>
      </w:r>
    </w:p>
    <w:p>
      <w:pPr>
        <w:pStyle w:val="8"/>
        <w:kinsoku w:val="0"/>
        <w:overflowPunct w:val="0"/>
        <w:spacing w:before="130" w:line="355" w:lineRule="auto"/>
        <w:ind w:right="7" w:firstLine="480"/>
        <w:rPr>
          <w:rFonts w:hint="eastAsia" w:ascii="仿宋" w:hAnsi="仿宋" w:eastAsia="仿宋" w:cs="仿宋"/>
          <w:color w:val="auto"/>
          <w:spacing w:val="4"/>
          <w:highlight w:val="none"/>
        </w:rPr>
      </w:pPr>
      <w:r>
        <w:rPr>
          <w:rFonts w:hint="eastAsia" w:ascii="仿宋" w:hAnsi="仿宋" w:eastAsia="仿宋" w:cs="仿宋"/>
          <w:color w:val="auto"/>
          <w:spacing w:val="4"/>
          <w:highlight w:val="none"/>
          <w:lang w:val="en-US" w:eastAsia="zh-CN"/>
        </w:rPr>
        <w:t>（1）</w:t>
      </w:r>
      <w:r>
        <w:rPr>
          <w:rFonts w:hint="eastAsia" w:ascii="仿宋" w:hAnsi="仿宋" w:eastAsia="仿宋" w:cs="仿宋"/>
          <w:color w:val="auto"/>
          <w:sz w:val="22"/>
          <w:szCs w:val="22"/>
          <w:highlight w:val="none"/>
          <w:lang w:val="en-US" w:eastAsia="zh-CN"/>
        </w:rPr>
        <w:t>投标函</w:t>
      </w:r>
      <w:r>
        <w:rPr>
          <w:rFonts w:hint="eastAsia" w:ascii="仿宋" w:hAnsi="仿宋" w:eastAsia="仿宋" w:cs="仿宋"/>
          <w:color w:val="auto"/>
          <w:spacing w:val="4"/>
          <w:highlight w:val="none"/>
        </w:rPr>
        <w:t xml:space="preserve"> </w:t>
      </w:r>
    </w:p>
    <w:p>
      <w:pPr>
        <w:pStyle w:val="8"/>
        <w:kinsoku w:val="0"/>
        <w:overflowPunct w:val="0"/>
        <w:spacing w:before="130" w:line="355" w:lineRule="auto"/>
        <w:ind w:right="7" w:firstLine="480"/>
        <w:rPr>
          <w:rFonts w:hint="eastAsia" w:ascii="仿宋" w:hAnsi="仿宋" w:eastAsia="仿宋" w:cs="仿宋"/>
          <w:color w:val="auto"/>
          <w:spacing w:val="4"/>
          <w:highlight w:val="none"/>
        </w:rPr>
      </w:pPr>
      <w:r>
        <w:rPr>
          <w:rFonts w:hint="eastAsia" w:ascii="仿宋" w:hAnsi="仿宋" w:eastAsia="仿宋" w:cs="仿宋"/>
          <w:color w:val="auto"/>
          <w:spacing w:val="4"/>
          <w:highlight w:val="none"/>
          <w:lang w:eastAsia="zh-CN"/>
        </w:rPr>
        <w:t>（</w:t>
      </w:r>
      <w:r>
        <w:rPr>
          <w:rFonts w:hint="eastAsia" w:ascii="仿宋" w:hAnsi="仿宋" w:eastAsia="仿宋" w:cs="仿宋"/>
          <w:color w:val="auto"/>
          <w:spacing w:val="4"/>
          <w:highlight w:val="none"/>
          <w:lang w:val="en-US" w:eastAsia="zh-CN"/>
        </w:rPr>
        <w:t>2</w:t>
      </w:r>
      <w:r>
        <w:rPr>
          <w:rFonts w:hint="eastAsia" w:ascii="仿宋" w:hAnsi="仿宋" w:eastAsia="仿宋" w:cs="仿宋"/>
          <w:color w:val="auto"/>
          <w:spacing w:val="4"/>
          <w:highlight w:val="none"/>
          <w:lang w:eastAsia="zh-CN"/>
        </w:rPr>
        <w:t>）</w:t>
      </w:r>
      <w:r>
        <w:rPr>
          <w:rFonts w:hint="eastAsia" w:ascii="仿宋" w:hAnsi="仿宋" w:eastAsia="仿宋" w:cs="仿宋"/>
          <w:color w:val="auto"/>
          <w:spacing w:val="4"/>
          <w:highlight w:val="none"/>
          <w:lang w:val="en-US" w:eastAsia="zh-CN"/>
        </w:rPr>
        <w:t>技术</w:t>
      </w:r>
      <w:r>
        <w:rPr>
          <w:rFonts w:hint="eastAsia" w:ascii="仿宋" w:hAnsi="仿宋" w:eastAsia="仿宋" w:cs="仿宋"/>
          <w:color w:val="auto"/>
          <w:spacing w:val="4"/>
          <w:highlight w:val="none"/>
        </w:rPr>
        <w:t>商务条款偏离表</w:t>
      </w:r>
    </w:p>
    <w:p>
      <w:pPr>
        <w:pStyle w:val="8"/>
        <w:kinsoku w:val="0"/>
        <w:overflowPunct w:val="0"/>
        <w:spacing w:before="130" w:line="355" w:lineRule="auto"/>
        <w:ind w:right="7" w:firstLine="480"/>
        <w:rPr>
          <w:rFonts w:hint="eastAsia" w:ascii="仿宋" w:hAnsi="仿宋" w:eastAsia="仿宋" w:cs="仿宋"/>
          <w:color w:val="auto"/>
          <w:spacing w:val="4"/>
          <w:highlight w:val="none"/>
        </w:rPr>
      </w:pPr>
      <w:r>
        <w:rPr>
          <w:rFonts w:hint="eastAsia" w:ascii="仿宋" w:hAnsi="仿宋" w:eastAsia="仿宋" w:cs="仿宋"/>
          <w:color w:val="auto"/>
          <w:spacing w:val="4"/>
          <w:kern w:val="0"/>
          <w:sz w:val="24"/>
          <w:szCs w:val="24"/>
          <w:highlight w:val="none"/>
          <w:lang w:val="en-US" w:eastAsia="zh-CN" w:bidi="ar-SA"/>
        </w:rPr>
        <w:t>（</w:t>
      </w:r>
      <w:r>
        <w:rPr>
          <w:rFonts w:hint="eastAsia" w:hAnsi="仿宋" w:cs="仿宋"/>
          <w:color w:val="auto"/>
          <w:spacing w:val="4"/>
          <w:kern w:val="0"/>
          <w:sz w:val="24"/>
          <w:szCs w:val="24"/>
          <w:highlight w:val="none"/>
          <w:lang w:val="en-US" w:eastAsia="zh-CN" w:bidi="ar-SA"/>
        </w:rPr>
        <w:t>3</w:t>
      </w:r>
      <w:r>
        <w:rPr>
          <w:rFonts w:hint="eastAsia" w:ascii="仿宋" w:hAnsi="仿宋" w:eastAsia="仿宋" w:cs="仿宋"/>
          <w:color w:val="auto"/>
          <w:spacing w:val="4"/>
          <w:kern w:val="0"/>
          <w:sz w:val="24"/>
          <w:szCs w:val="24"/>
          <w:highlight w:val="none"/>
          <w:lang w:val="en-US" w:eastAsia="zh-CN" w:bidi="ar-SA"/>
        </w:rPr>
        <w:t>）</w:t>
      </w:r>
      <w:r>
        <w:rPr>
          <w:rFonts w:hint="eastAsia" w:ascii="仿宋" w:hAnsi="仿宋" w:eastAsia="仿宋" w:cs="仿宋"/>
          <w:color w:val="auto"/>
          <w:spacing w:val="4"/>
          <w:highlight w:val="none"/>
        </w:rPr>
        <w:t>项目实施方案</w:t>
      </w:r>
    </w:p>
    <w:p>
      <w:pPr>
        <w:pStyle w:val="8"/>
        <w:kinsoku w:val="0"/>
        <w:overflowPunct w:val="0"/>
        <w:spacing w:before="130" w:line="355" w:lineRule="auto"/>
        <w:ind w:right="7" w:firstLine="480"/>
        <w:rPr>
          <w:rFonts w:hint="eastAsia" w:ascii="仿宋" w:hAnsi="仿宋" w:eastAsia="仿宋" w:cs="仿宋"/>
          <w:color w:val="auto"/>
          <w:spacing w:val="4"/>
          <w:highlight w:val="none"/>
        </w:rPr>
      </w:pPr>
      <w:r>
        <w:rPr>
          <w:rFonts w:hint="eastAsia" w:ascii="仿宋" w:hAnsi="仿宋" w:eastAsia="仿宋" w:cs="仿宋"/>
          <w:color w:val="auto"/>
          <w:spacing w:val="4"/>
          <w:highlight w:val="none"/>
          <w:lang w:eastAsia="zh-CN"/>
        </w:rPr>
        <w:t>（</w:t>
      </w:r>
      <w:r>
        <w:rPr>
          <w:rFonts w:hint="eastAsia" w:hAnsi="仿宋" w:cs="仿宋"/>
          <w:color w:val="auto"/>
          <w:spacing w:val="4"/>
          <w:highlight w:val="none"/>
          <w:lang w:val="en-US" w:eastAsia="zh-CN"/>
        </w:rPr>
        <w:t>4</w:t>
      </w:r>
      <w:r>
        <w:rPr>
          <w:rFonts w:hint="eastAsia" w:ascii="仿宋" w:hAnsi="仿宋" w:eastAsia="仿宋" w:cs="仿宋"/>
          <w:color w:val="auto"/>
          <w:spacing w:val="4"/>
          <w:highlight w:val="none"/>
          <w:lang w:eastAsia="zh-CN"/>
        </w:rPr>
        <w:t>）</w:t>
      </w:r>
      <w:r>
        <w:rPr>
          <w:rFonts w:hint="eastAsia" w:ascii="仿宋" w:hAnsi="仿宋" w:eastAsia="仿宋" w:cs="仿宋"/>
          <w:color w:val="auto"/>
          <w:spacing w:val="4"/>
          <w:highlight w:val="none"/>
        </w:rPr>
        <w:t>供应商认为需要提交的技术资料</w:t>
      </w:r>
    </w:p>
    <w:p>
      <w:pPr>
        <w:pStyle w:val="8"/>
        <w:kinsoku w:val="0"/>
        <w:overflowPunct w:val="0"/>
        <w:spacing w:before="130" w:line="355" w:lineRule="auto"/>
        <w:ind w:right="7" w:firstLine="480"/>
        <w:rPr>
          <w:rFonts w:hint="eastAsia" w:ascii="仿宋" w:hAnsi="仿宋" w:eastAsia="仿宋" w:cs="仿宋"/>
          <w:color w:val="auto"/>
          <w:spacing w:val="4"/>
          <w:highlight w:val="none"/>
          <w:lang w:val="en-US" w:eastAsia="zh-CN"/>
        </w:rPr>
      </w:pPr>
      <w:r>
        <w:rPr>
          <w:rFonts w:hint="eastAsia" w:ascii="仿宋" w:hAnsi="仿宋" w:eastAsia="仿宋" w:cs="仿宋"/>
          <w:b/>
          <w:color w:val="auto"/>
          <w:spacing w:val="4"/>
          <w:highlight w:val="none"/>
        </w:rPr>
        <w:t xml:space="preserve">7.3 </w:t>
      </w:r>
      <w:r>
        <w:rPr>
          <w:rFonts w:hint="eastAsia" w:ascii="仿宋" w:hAnsi="仿宋" w:eastAsia="仿宋" w:cs="仿宋"/>
          <w:color w:val="auto"/>
          <w:spacing w:val="4"/>
          <w:highlight w:val="none"/>
        </w:rPr>
        <w:t>投标报价</w:t>
      </w:r>
      <w:r>
        <w:rPr>
          <w:rFonts w:hint="eastAsia" w:ascii="仿宋" w:hAnsi="仿宋" w:eastAsia="仿宋" w:cs="仿宋"/>
          <w:color w:val="auto"/>
          <w:spacing w:val="4"/>
          <w:highlight w:val="none"/>
          <w:lang w:val="en-US" w:eastAsia="zh-CN"/>
        </w:rPr>
        <w:t>文件</w:t>
      </w:r>
    </w:p>
    <w:p>
      <w:pPr>
        <w:pStyle w:val="8"/>
        <w:kinsoku w:val="0"/>
        <w:overflowPunct w:val="0"/>
        <w:spacing w:before="130" w:line="355" w:lineRule="auto"/>
        <w:ind w:right="7" w:firstLine="480"/>
        <w:rPr>
          <w:rFonts w:hint="eastAsia" w:ascii="仿宋" w:hAnsi="仿宋" w:eastAsia="仿宋" w:cs="仿宋"/>
          <w:color w:val="auto"/>
          <w:spacing w:val="4"/>
          <w:highlight w:val="none"/>
          <w:lang w:val="en-US" w:eastAsia="zh-CN"/>
        </w:rPr>
      </w:pPr>
      <w:r>
        <w:rPr>
          <w:rFonts w:hint="eastAsia" w:ascii="仿宋" w:hAnsi="仿宋" w:eastAsia="仿宋" w:cs="仿宋"/>
          <w:color w:val="auto"/>
          <w:spacing w:val="4"/>
          <w:highlight w:val="none"/>
          <w:lang w:val="en-US" w:eastAsia="zh-CN"/>
        </w:rPr>
        <w:t>（1）开标一览表</w:t>
      </w:r>
    </w:p>
    <w:p>
      <w:pPr>
        <w:pStyle w:val="8"/>
        <w:kinsoku w:val="0"/>
        <w:overflowPunct w:val="0"/>
        <w:spacing w:before="130" w:line="355" w:lineRule="auto"/>
        <w:ind w:right="7" w:firstLine="480"/>
        <w:rPr>
          <w:rFonts w:hint="eastAsia" w:ascii="仿宋" w:hAnsi="仿宋" w:eastAsia="仿宋" w:cs="仿宋"/>
          <w:color w:val="auto"/>
          <w:spacing w:val="4"/>
          <w:highlight w:val="none"/>
          <w:lang w:val="en-US" w:eastAsia="zh-CN"/>
        </w:rPr>
      </w:pPr>
      <w:r>
        <w:rPr>
          <w:rFonts w:hint="eastAsia" w:ascii="仿宋" w:hAnsi="仿宋" w:eastAsia="仿宋" w:cs="仿宋"/>
          <w:color w:val="auto"/>
          <w:spacing w:val="4"/>
          <w:highlight w:val="none"/>
          <w:lang w:val="en-US" w:eastAsia="zh-CN"/>
        </w:rPr>
        <w:t>（2）磋商报价</w:t>
      </w:r>
      <w:r>
        <w:rPr>
          <w:rFonts w:hint="eastAsia" w:hAnsi="仿宋" w:cs="仿宋"/>
          <w:color w:val="auto"/>
          <w:spacing w:val="4"/>
          <w:highlight w:val="none"/>
          <w:lang w:val="en-US" w:eastAsia="zh-CN"/>
        </w:rPr>
        <w:t>明细</w:t>
      </w:r>
      <w:r>
        <w:rPr>
          <w:rFonts w:hint="eastAsia" w:ascii="仿宋" w:hAnsi="仿宋" w:eastAsia="仿宋" w:cs="仿宋"/>
          <w:color w:val="auto"/>
          <w:spacing w:val="4"/>
          <w:highlight w:val="none"/>
          <w:lang w:val="en-US" w:eastAsia="zh-CN"/>
        </w:rPr>
        <w:t>表</w:t>
      </w:r>
    </w:p>
    <w:p>
      <w:pPr>
        <w:pStyle w:val="8"/>
        <w:kinsoku w:val="0"/>
        <w:overflowPunct w:val="0"/>
        <w:spacing w:before="130" w:line="355" w:lineRule="auto"/>
        <w:ind w:right="7" w:firstLine="480"/>
        <w:rPr>
          <w:rFonts w:hint="eastAsia" w:ascii="仿宋" w:hAnsi="仿宋" w:eastAsia="仿宋" w:cs="仿宋"/>
          <w:color w:val="auto"/>
          <w:spacing w:val="4"/>
          <w:highlight w:val="none"/>
          <w:lang w:val="en-US" w:eastAsia="zh-CN"/>
        </w:rPr>
      </w:pPr>
      <w:r>
        <w:rPr>
          <w:rFonts w:hint="eastAsia" w:hAnsi="仿宋" w:cs="仿宋"/>
          <w:color w:val="auto"/>
          <w:spacing w:val="4"/>
          <w:highlight w:val="none"/>
          <w:lang w:val="en-US" w:eastAsia="zh-CN"/>
        </w:rPr>
        <w:t>（3）</w:t>
      </w:r>
      <w:r>
        <w:rPr>
          <w:rFonts w:hint="eastAsia" w:ascii="仿宋" w:hAnsi="仿宋" w:eastAsia="仿宋" w:cs="仿宋"/>
          <w:color w:val="auto"/>
          <w:spacing w:val="4"/>
          <w:highlight w:val="none"/>
          <w:lang w:val="en-US" w:eastAsia="zh-CN"/>
        </w:rPr>
        <w:t>近三年业绩一览表</w:t>
      </w:r>
    </w:p>
    <w:p>
      <w:pPr>
        <w:pStyle w:val="8"/>
        <w:kinsoku w:val="0"/>
        <w:overflowPunct w:val="0"/>
        <w:spacing w:before="130" w:line="355" w:lineRule="auto"/>
        <w:ind w:right="7" w:firstLine="480"/>
        <w:rPr>
          <w:rFonts w:hint="eastAsia" w:ascii="仿宋" w:hAnsi="仿宋" w:eastAsia="仿宋" w:cs="仿宋"/>
          <w:color w:val="auto"/>
          <w:spacing w:val="4"/>
          <w:highlight w:val="none"/>
          <w:lang w:val="en-US" w:eastAsia="zh-CN"/>
        </w:rPr>
      </w:pPr>
      <w:r>
        <w:rPr>
          <w:rFonts w:hint="eastAsia" w:hAnsi="仿宋" w:cs="仿宋"/>
          <w:color w:val="auto"/>
          <w:spacing w:val="4"/>
          <w:highlight w:val="none"/>
          <w:lang w:val="en-US" w:eastAsia="zh-CN"/>
        </w:rPr>
        <w:t>（4）</w:t>
      </w:r>
      <w:r>
        <w:rPr>
          <w:rFonts w:hint="eastAsia" w:ascii="仿宋" w:hAnsi="仿宋" w:eastAsia="仿宋" w:cs="仿宋"/>
          <w:color w:val="auto"/>
          <w:spacing w:val="4"/>
          <w:highlight w:val="none"/>
          <w:lang w:val="en-US" w:eastAsia="zh-CN"/>
        </w:rPr>
        <w:t>拟投入本项目人员一览表</w:t>
      </w:r>
    </w:p>
    <w:p>
      <w:pPr>
        <w:pStyle w:val="8"/>
        <w:kinsoku w:val="0"/>
        <w:overflowPunct w:val="0"/>
        <w:spacing w:before="130" w:line="355" w:lineRule="auto"/>
        <w:ind w:right="7" w:firstLine="480"/>
        <w:rPr>
          <w:rFonts w:hint="eastAsia" w:ascii="仿宋" w:hAnsi="仿宋" w:eastAsia="仿宋" w:cs="仿宋"/>
          <w:color w:val="auto"/>
          <w:spacing w:val="4"/>
          <w:highlight w:val="none"/>
          <w:lang w:val="en-US" w:eastAsia="zh-CN"/>
        </w:rPr>
      </w:pPr>
      <w:r>
        <w:rPr>
          <w:rFonts w:hint="eastAsia" w:hAnsi="仿宋" w:cs="仿宋"/>
          <w:color w:val="auto"/>
          <w:spacing w:val="4"/>
          <w:highlight w:val="none"/>
          <w:lang w:val="en-US" w:eastAsia="zh-CN"/>
        </w:rPr>
        <w:t>（5）</w:t>
      </w:r>
      <w:r>
        <w:rPr>
          <w:rFonts w:hint="eastAsia" w:ascii="仿宋" w:hAnsi="仿宋" w:eastAsia="仿宋" w:cs="仿宋"/>
          <w:color w:val="auto"/>
          <w:spacing w:val="4"/>
          <w:highlight w:val="none"/>
          <w:lang w:val="en-US" w:eastAsia="zh-CN"/>
        </w:rPr>
        <w:t>反商业贿赂承诺书</w:t>
      </w:r>
    </w:p>
    <w:p>
      <w:pPr>
        <w:pStyle w:val="8"/>
        <w:kinsoku w:val="0"/>
        <w:overflowPunct w:val="0"/>
        <w:spacing w:before="130" w:line="355" w:lineRule="auto"/>
        <w:ind w:right="7" w:firstLine="480"/>
        <w:rPr>
          <w:rFonts w:hint="eastAsia" w:ascii="仿宋" w:hAnsi="仿宋" w:eastAsia="仿宋" w:cs="仿宋"/>
          <w:color w:val="auto"/>
          <w:spacing w:val="4"/>
          <w:highlight w:val="none"/>
          <w:lang w:val="en-US" w:eastAsia="zh-CN"/>
        </w:rPr>
      </w:pPr>
      <w:r>
        <w:rPr>
          <w:rFonts w:hint="eastAsia" w:ascii="仿宋" w:hAnsi="仿宋" w:eastAsia="仿宋" w:cs="仿宋"/>
          <w:color w:val="auto"/>
          <w:spacing w:val="4"/>
          <w:highlight w:val="none"/>
          <w:lang w:val="en-US" w:eastAsia="zh-CN"/>
        </w:rPr>
        <w:t>（</w:t>
      </w:r>
      <w:r>
        <w:rPr>
          <w:rFonts w:hint="eastAsia" w:hAnsi="仿宋" w:cs="仿宋"/>
          <w:color w:val="auto"/>
          <w:spacing w:val="4"/>
          <w:highlight w:val="none"/>
          <w:lang w:val="en-US" w:eastAsia="zh-CN"/>
        </w:rPr>
        <w:t>6</w:t>
      </w:r>
      <w:r>
        <w:rPr>
          <w:rFonts w:hint="eastAsia" w:ascii="仿宋" w:hAnsi="仿宋" w:eastAsia="仿宋" w:cs="仿宋"/>
          <w:color w:val="auto"/>
          <w:spacing w:val="4"/>
          <w:highlight w:val="none"/>
          <w:lang w:val="en-US" w:eastAsia="zh-CN"/>
        </w:rPr>
        <w:t>）中小企业声明函（符合本声明函填写）</w:t>
      </w:r>
    </w:p>
    <w:p>
      <w:pPr>
        <w:pStyle w:val="8"/>
        <w:kinsoku w:val="0"/>
        <w:overflowPunct w:val="0"/>
        <w:spacing w:before="130" w:line="355" w:lineRule="auto"/>
        <w:ind w:right="7" w:firstLine="480"/>
        <w:rPr>
          <w:rFonts w:hint="eastAsia" w:ascii="仿宋" w:hAnsi="仿宋" w:eastAsia="仿宋" w:cs="仿宋"/>
          <w:color w:val="auto"/>
          <w:spacing w:val="4"/>
          <w:highlight w:val="yellow"/>
          <w:lang w:val="en-US" w:eastAsia="zh-CN"/>
        </w:rPr>
      </w:pPr>
      <w:r>
        <w:rPr>
          <w:rFonts w:hint="eastAsia" w:ascii="仿宋" w:hAnsi="仿宋" w:eastAsia="仿宋" w:cs="仿宋"/>
          <w:color w:val="auto"/>
          <w:spacing w:val="4"/>
          <w:highlight w:val="none"/>
          <w:lang w:val="en-US" w:eastAsia="zh-CN"/>
        </w:rPr>
        <w:t>（</w:t>
      </w:r>
      <w:r>
        <w:rPr>
          <w:rFonts w:hint="eastAsia" w:hAnsi="仿宋" w:cs="仿宋"/>
          <w:color w:val="auto"/>
          <w:spacing w:val="4"/>
          <w:highlight w:val="none"/>
          <w:lang w:val="en-US" w:eastAsia="zh-CN"/>
        </w:rPr>
        <w:t>7</w:t>
      </w:r>
      <w:r>
        <w:rPr>
          <w:rFonts w:hint="eastAsia" w:ascii="仿宋" w:hAnsi="仿宋" w:eastAsia="仿宋" w:cs="仿宋"/>
          <w:color w:val="auto"/>
          <w:spacing w:val="4"/>
          <w:highlight w:val="none"/>
          <w:lang w:val="en-US" w:eastAsia="zh-CN"/>
        </w:rPr>
        <w:t>）残疾人福利性单位声明函（符合本声明函填写）</w:t>
      </w:r>
    </w:p>
    <w:p>
      <w:pPr>
        <w:pStyle w:val="8"/>
        <w:kinsoku w:val="0"/>
        <w:overflowPunct w:val="0"/>
        <w:spacing w:before="130" w:line="355" w:lineRule="auto"/>
        <w:ind w:right="7" w:firstLine="480"/>
        <w:rPr>
          <w:rFonts w:hint="eastAsia" w:ascii="仿宋" w:hAnsi="仿宋" w:eastAsia="仿宋" w:cs="仿宋"/>
          <w:b/>
          <w:color w:val="auto"/>
          <w:spacing w:val="4"/>
          <w:highlight w:val="none"/>
        </w:rPr>
      </w:pPr>
      <w:r>
        <w:rPr>
          <w:rFonts w:hint="eastAsia" w:ascii="仿宋" w:hAnsi="仿宋" w:eastAsia="仿宋" w:cs="仿宋"/>
          <w:color w:val="auto"/>
          <w:spacing w:val="4"/>
          <w:highlight w:val="none"/>
          <w:lang w:val="en-US" w:eastAsia="zh-CN"/>
        </w:rPr>
        <w:t>7.4.</w:t>
      </w:r>
      <w:r>
        <w:rPr>
          <w:rFonts w:hint="eastAsia" w:ascii="仿宋" w:hAnsi="仿宋" w:eastAsia="仿宋" w:cs="仿宋"/>
          <w:b/>
          <w:color w:val="auto"/>
          <w:spacing w:val="4"/>
          <w:highlight w:val="none"/>
        </w:rPr>
        <w:t>本次投标报价要求：</w:t>
      </w:r>
    </w:p>
    <w:p>
      <w:pPr>
        <w:pStyle w:val="8"/>
        <w:kinsoku w:val="0"/>
        <w:overflowPunct w:val="0"/>
        <w:spacing w:before="130" w:line="355" w:lineRule="auto"/>
        <w:ind w:right="7" w:firstLine="480"/>
        <w:rPr>
          <w:rFonts w:hint="eastAsia" w:ascii="仿宋" w:hAnsi="仿宋" w:eastAsia="仿宋" w:cs="仿宋"/>
          <w:spacing w:val="4"/>
          <w:highlight w:val="none"/>
        </w:rPr>
      </w:pPr>
      <w:r>
        <w:rPr>
          <w:rFonts w:hint="eastAsia" w:ascii="仿宋" w:hAnsi="仿宋" w:eastAsia="仿宋" w:cs="仿宋"/>
          <w:spacing w:val="4"/>
          <w:highlight w:val="none"/>
        </w:rPr>
        <w:t>7.</w:t>
      </w:r>
      <w:r>
        <w:rPr>
          <w:rFonts w:hint="eastAsia" w:ascii="仿宋" w:hAnsi="仿宋" w:eastAsia="仿宋" w:cs="仿宋"/>
          <w:spacing w:val="4"/>
          <w:highlight w:val="none"/>
          <w:lang w:val="en-US" w:eastAsia="zh-CN"/>
        </w:rPr>
        <w:t>4</w:t>
      </w:r>
      <w:r>
        <w:rPr>
          <w:rFonts w:hint="eastAsia" w:ascii="仿宋" w:hAnsi="仿宋" w:eastAsia="仿宋" w:cs="仿宋"/>
          <w:spacing w:val="4"/>
          <w:highlight w:val="none"/>
        </w:rPr>
        <w:t>.1 总价格包括完成采购范围内全部内容采购及相关伴随服务全过程的全部费用。</w:t>
      </w:r>
    </w:p>
    <w:p>
      <w:pPr>
        <w:pStyle w:val="8"/>
        <w:kinsoku w:val="0"/>
        <w:overflowPunct w:val="0"/>
        <w:spacing w:before="130" w:line="355" w:lineRule="auto"/>
        <w:ind w:right="7" w:firstLine="480"/>
        <w:rPr>
          <w:rFonts w:hint="eastAsia" w:ascii="仿宋" w:hAnsi="仿宋" w:eastAsia="仿宋" w:cs="仿宋"/>
          <w:spacing w:val="4"/>
          <w:highlight w:val="none"/>
        </w:rPr>
      </w:pPr>
      <w:r>
        <w:rPr>
          <w:rFonts w:hint="eastAsia" w:ascii="仿宋" w:hAnsi="仿宋" w:eastAsia="仿宋" w:cs="仿宋"/>
          <w:spacing w:val="4"/>
          <w:highlight w:val="none"/>
        </w:rPr>
        <w:t>7.</w:t>
      </w:r>
      <w:r>
        <w:rPr>
          <w:rFonts w:hint="eastAsia" w:ascii="仿宋" w:hAnsi="仿宋" w:eastAsia="仿宋" w:cs="仿宋"/>
          <w:spacing w:val="4"/>
          <w:highlight w:val="none"/>
          <w:lang w:val="en-US" w:eastAsia="zh-CN"/>
        </w:rPr>
        <w:t>4</w:t>
      </w:r>
      <w:r>
        <w:rPr>
          <w:rFonts w:hint="eastAsia" w:ascii="仿宋" w:hAnsi="仿宋" w:eastAsia="仿宋" w:cs="仿宋"/>
          <w:spacing w:val="4"/>
          <w:highlight w:val="none"/>
        </w:rPr>
        <w:t>.2 供应商只允许在《磋商响应性文件》中有一个报价，并且在合同履行过程中是固定不变的，任何有选择或可调整的报价将不予接受，并按无效投标处理。</w:t>
      </w:r>
    </w:p>
    <w:p>
      <w:pPr>
        <w:pStyle w:val="8"/>
        <w:kinsoku w:val="0"/>
        <w:overflowPunct w:val="0"/>
        <w:spacing w:before="130" w:line="355" w:lineRule="auto"/>
        <w:ind w:right="7" w:firstLine="480"/>
        <w:rPr>
          <w:rFonts w:hint="eastAsia" w:ascii="仿宋" w:hAnsi="仿宋" w:eastAsia="仿宋" w:cs="仿宋"/>
          <w:spacing w:val="4"/>
          <w:highlight w:val="none"/>
        </w:rPr>
      </w:pPr>
      <w:r>
        <w:rPr>
          <w:rFonts w:hint="eastAsia" w:ascii="仿宋" w:hAnsi="仿宋" w:eastAsia="仿宋" w:cs="仿宋"/>
          <w:spacing w:val="4"/>
          <w:highlight w:val="none"/>
        </w:rPr>
        <w:t>7.</w:t>
      </w:r>
      <w:r>
        <w:rPr>
          <w:rFonts w:hint="eastAsia" w:ascii="仿宋" w:hAnsi="仿宋" w:eastAsia="仿宋" w:cs="仿宋"/>
          <w:spacing w:val="4"/>
          <w:highlight w:val="none"/>
          <w:lang w:val="en-US" w:eastAsia="zh-CN"/>
        </w:rPr>
        <w:t>4</w:t>
      </w:r>
      <w:r>
        <w:rPr>
          <w:rFonts w:hint="eastAsia" w:ascii="仿宋" w:hAnsi="仿宋" w:eastAsia="仿宋" w:cs="仿宋"/>
          <w:spacing w:val="4"/>
          <w:highlight w:val="none"/>
        </w:rPr>
        <w:t>.3 供应商的报价作为评标的重要依据之一，但并不是本项目采购人招标、评标确定中标供应商的唯一依据。拒绝不计成本的故意压低投标报价和恶意以低价投标的行为。</w:t>
      </w:r>
    </w:p>
    <w:p>
      <w:pPr>
        <w:pStyle w:val="8"/>
        <w:kinsoku w:val="0"/>
        <w:overflowPunct w:val="0"/>
        <w:spacing w:before="130" w:line="355" w:lineRule="auto"/>
        <w:ind w:right="7" w:firstLine="480"/>
        <w:rPr>
          <w:rFonts w:hint="eastAsia" w:ascii="仿宋" w:hAnsi="仿宋" w:eastAsia="仿宋" w:cs="仿宋"/>
          <w:spacing w:val="4"/>
          <w:highlight w:val="none"/>
        </w:rPr>
      </w:pPr>
      <w:r>
        <w:rPr>
          <w:rFonts w:hint="eastAsia" w:ascii="仿宋" w:hAnsi="仿宋" w:eastAsia="仿宋" w:cs="仿宋"/>
          <w:spacing w:val="4"/>
          <w:highlight w:val="none"/>
        </w:rPr>
        <w:t>7.</w:t>
      </w:r>
      <w:r>
        <w:rPr>
          <w:rFonts w:hint="eastAsia" w:ascii="仿宋" w:hAnsi="仿宋" w:eastAsia="仿宋" w:cs="仿宋"/>
          <w:spacing w:val="4"/>
          <w:highlight w:val="none"/>
          <w:lang w:val="en-US" w:eastAsia="zh-CN"/>
        </w:rPr>
        <w:t>4</w:t>
      </w:r>
      <w:r>
        <w:rPr>
          <w:rFonts w:hint="eastAsia" w:ascii="仿宋" w:hAnsi="仿宋" w:eastAsia="仿宋" w:cs="仿宋"/>
          <w:spacing w:val="4"/>
          <w:highlight w:val="none"/>
        </w:rPr>
        <w:t>.4 本项目投标报价是在符合竞争性磋商文件对项目相关要求的情况下，以最大限度的折扣价或优惠后价格的体现。</w:t>
      </w:r>
    </w:p>
    <w:p>
      <w:pPr>
        <w:pStyle w:val="8"/>
        <w:kinsoku w:val="0"/>
        <w:overflowPunct w:val="0"/>
        <w:spacing w:before="36"/>
        <w:rPr>
          <w:rFonts w:hint="eastAsia" w:ascii="仿宋" w:hAnsi="仿宋" w:eastAsia="仿宋" w:cs="仿宋"/>
          <w:highlight w:val="none"/>
        </w:rPr>
      </w:pPr>
      <w:r>
        <w:rPr>
          <w:rFonts w:hint="eastAsia" w:ascii="仿宋" w:hAnsi="仿宋" w:eastAsia="仿宋" w:cs="仿宋"/>
          <w:b/>
          <w:bCs/>
          <w:highlight w:val="none"/>
        </w:rPr>
        <w:t>8.磋商响应性文件格式</w:t>
      </w:r>
    </w:p>
    <w:p>
      <w:pPr>
        <w:pStyle w:val="8"/>
        <w:kinsoku w:val="0"/>
        <w:overflowPunct w:val="0"/>
        <w:spacing w:before="130" w:line="355" w:lineRule="auto"/>
        <w:ind w:right="7" w:firstLine="480"/>
        <w:rPr>
          <w:rFonts w:hint="eastAsia" w:ascii="仿宋" w:hAnsi="仿宋" w:eastAsia="仿宋" w:cs="仿宋"/>
          <w:spacing w:val="4"/>
          <w:highlight w:val="none"/>
        </w:rPr>
      </w:pPr>
      <w:r>
        <w:rPr>
          <w:rFonts w:hint="eastAsia" w:ascii="仿宋" w:hAnsi="仿宋" w:eastAsia="仿宋" w:cs="仿宋"/>
          <w:spacing w:val="4"/>
          <w:highlight w:val="none"/>
        </w:rPr>
        <w:t>8.1 供应商应按《竞争性磋商文件》的内容与要求和第六章提供的格式编写其《磋商响应性文件》，供应商不得空留或缺少任何《竞争性磋商文件》要求填写的表格或提交的资料，未列出格式的部分供应商可自行编制。</w:t>
      </w:r>
    </w:p>
    <w:p>
      <w:pPr>
        <w:pStyle w:val="8"/>
        <w:kinsoku w:val="0"/>
        <w:overflowPunct w:val="0"/>
        <w:spacing w:before="130" w:line="355" w:lineRule="auto"/>
        <w:ind w:right="7" w:firstLine="480"/>
        <w:rPr>
          <w:rFonts w:hint="eastAsia" w:ascii="仿宋" w:hAnsi="仿宋" w:eastAsia="仿宋" w:cs="仿宋"/>
          <w:spacing w:val="4"/>
          <w:highlight w:val="none"/>
        </w:rPr>
      </w:pPr>
      <w:r>
        <w:rPr>
          <w:rFonts w:hint="eastAsia" w:ascii="仿宋" w:hAnsi="仿宋" w:eastAsia="仿宋" w:cs="仿宋"/>
          <w:spacing w:val="4"/>
          <w:highlight w:val="none"/>
        </w:rPr>
        <w:t>8.2 供应商提交的《磋商响应性文件》中全部资料必须真实可靠，并接受采购人、招标代理机构对其中任何资料进一步审查的要求。</w:t>
      </w:r>
    </w:p>
    <w:p>
      <w:pPr>
        <w:pStyle w:val="8"/>
        <w:kinsoku w:val="0"/>
        <w:overflowPunct w:val="0"/>
        <w:spacing w:before="130" w:line="355" w:lineRule="auto"/>
        <w:ind w:right="7" w:firstLine="480"/>
        <w:rPr>
          <w:rFonts w:hint="eastAsia" w:ascii="仿宋" w:hAnsi="仿宋" w:eastAsia="仿宋" w:cs="仿宋"/>
          <w:spacing w:val="4"/>
          <w:highlight w:val="none"/>
        </w:rPr>
      </w:pPr>
      <w:r>
        <w:rPr>
          <w:rFonts w:hint="eastAsia" w:ascii="仿宋" w:hAnsi="仿宋" w:eastAsia="仿宋" w:cs="仿宋"/>
          <w:spacing w:val="4"/>
          <w:highlight w:val="none"/>
        </w:rPr>
        <w:t>8.3 《磋商响应性文件》的</w:t>
      </w:r>
      <w:r>
        <w:rPr>
          <w:rFonts w:hint="eastAsia" w:ascii="仿宋" w:hAnsi="仿宋" w:eastAsia="仿宋" w:cs="仿宋"/>
          <w:color w:val="auto"/>
          <w:spacing w:val="4"/>
          <w:highlight w:val="none"/>
        </w:rPr>
        <w:t>封面编制格式详见第六章</w:t>
      </w:r>
      <w:r>
        <w:rPr>
          <w:rFonts w:hint="eastAsia" w:hAnsi="仿宋" w:cs="仿宋"/>
          <w:color w:val="auto"/>
          <w:spacing w:val="4"/>
          <w:highlight w:val="none"/>
          <w:lang w:val="en-US" w:eastAsia="zh-CN"/>
        </w:rPr>
        <w:t>磋商响应性文件</w:t>
      </w:r>
      <w:r>
        <w:rPr>
          <w:rFonts w:hint="eastAsia" w:ascii="仿宋" w:hAnsi="仿宋" w:eastAsia="仿宋" w:cs="仿宋"/>
          <w:color w:val="auto"/>
          <w:spacing w:val="4"/>
          <w:highlight w:val="none"/>
        </w:rPr>
        <w:t>格式。</w:t>
      </w:r>
    </w:p>
    <w:p>
      <w:pPr>
        <w:pStyle w:val="8"/>
        <w:kinsoku w:val="0"/>
        <w:overflowPunct w:val="0"/>
        <w:spacing w:before="151"/>
        <w:rPr>
          <w:rFonts w:hint="eastAsia" w:ascii="仿宋" w:hAnsi="仿宋" w:eastAsia="仿宋" w:cs="仿宋"/>
          <w:highlight w:val="none"/>
        </w:rPr>
      </w:pPr>
      <w:r>
        <w:rPr>
          <w:rFonts w:hint="eastAsia" w:ascii="仿宋" w:hAnsi="仿宋" w:eastAsia="仿宋" w:cs="仿宋"/>
          <w:b/>
          <w:bCs/>
          <w:highlight w:val="none"/>
        </w:rPr>
        <w:t>9.投标有效期</w:t>
      </w:r>
    </w:p>
    <w:p>
      <w:pPr>
        <w:pStyle w:val="8"/>
        <w:kinsoku w:val="0"/>
        <w:overflowPunct w:val="0"/>
        <w:spacing w:before="130" w:line="355" w:lineRule="auto"/>
        <w:ind w:right="7" w:firstLine="480"/>
        <w:rPr>
          <w:rFonts w:hint="eastAsia" w:ascii="仿宋" w:hAnsi="仿宋" w:eastAsia="仿宋" w:cs="仿宋"/>
          <w:spacing w:val="4"/>
          <w:highlight w:val="none"/>
        </w:rPr>
      </w:pPr>
      <w:r>
        <w:rPr>
          <w:rFonts w:hint="eastAsia" w:ascii="仿宋" w:hAnsi="仿宋" w:eastAsia="仿宋" w:cs="仿宋"/>
          <w:spacing w:val="4"/>
          <w:highlight w:val="none"/>
        </w:rPr>
        <w:t>9.1 投标有效期见本须知前附表所规定的期限，在此期限内，供应商不得要求撤销或修改其磋商响应性文件。</w:t>
      </w:r>
    </w:p>
    <w:p>
      <w:pPr>
        <w:pStyle w:val="8"/>
        <w:kinsoku w:val="0"/>
        <w:overflowPunct w:val="0"/>
        <w:spacing w:before="130" w:line="355" w:lineRule="auto"/>
        <w:ind w:right="7" w:firstLine="480"/>
        <w:rPr>
          <w:rFonts w:hint="eastAsia" w:ascii="仿宋" w:hAnsi="仿宋" w:eastAsia="仿宋" w:cs="仿宋"/>
          <w:spacing w:val="4"/>
          <w:highlight w:val="none"/>
        </w:rPr>
      </w:pPr>
      <w:r>
        <w:rPr>
          <w:rFonts w:hint="eastAsia" w:ascii="仿宋" w:hAnsi="仿宋" w:eastAsia="仿宋" w:cs="仿宋"/>
          <w:spacing w:val="4"/>
          <w:highlight w:val="none"/>
        </w:rPr>
        <w:t>9.2 在特殊情况下，采购人在原定投标有效期内，可以根据需要以书面形式向供应商提出延长投标有效期的要求，对此要求供应商须以书面形式予以答复。同意延长投标有效期的供应商既不能要求也不允许修改其磋商响应性文件。</w:t>
      </w:r>
    </w:p>
    <w:p>
      <w:pPr>
        <w:pStyle w:val="8"/>
        <w:kinsoku w:val="0"/>
        <w:overflowPunct w:val="0"/>
        <w:spacing w:before="151"/>
        <w:jc w:val="both"/>
        <w:rPr>
          <w:rFonts w:hint="eastAsia" w:ascii="仿宋" w:hAnsi="仿宋" w:eastAsia="仿宋" w:cs="仿宋"/>
          <w:highlight w:val="none"/>
        </w:rPr>
      </w:pPr>
      <w:r>
        <w:rPr>
          <w:rFonts w:hint="eastAsia" w:ascii="仿宋" w:hAnsi="仿宋" w:eastAsia="仿宋" w:cs="仿宋"/>
          <w:b/>
          <w:bCs/>
          <w:highlight w:val="none"/>
        </w:rPr>
        <w:t>1</w:t>
      </w:r>
      <w:r>
        <w:rPr>
          <w:rFonts w:hint="eastAsia" w:hAnsi="仿宋" w:cs="仿宋"/>
          <w:b/>
          <w:bCs/>
          <w:highlight w:val="none"/>
          <w:lang w:val="en-US" w:eastAsia="zh-CN"/>
        </w:rPr>
        <w:t>0</w:t>
      </w:r>
      <w:r>
        <w:rPr>
          <w:rFonts w:hint="eastAsia" w:ascii="仿宋" w:hAnsi="仿宋" w:eastAsia="仿宋" w:cs="仿宋"/>
          <w:b/>
          <w:bCs/>
          <w:highlight w:val="none"/>
        </w:rPr>
        <w:t>.磋商响应性文件的印制和签署</w:t>
      </w:r>
    </w:p>
    <w:p>
      <w:pPr>
        <w:pStyle w:val="8"/>
        <w:kinsoku w:val="0"/>
        <w:overflowPunct w:val="0"/>
        <w:spacing w:line="355" w:lineRule="auto"/>
        <w:ind w:right="234" w:firstLine="480"/>
        <w:jc w:val="both"/>
        <w:rPr>
          <w:rFonts w:hint="eastAsia" w:ascii="仿宋" w:hAnsi="仿宋" w:eastAsia="仿宋" w:cs="仿宋"/>
          <w:highlight w:val="none"/>
        </w:rPr>
      </w:pPr>
      <w:r>
        <w:rPr>
          <w:rFonts w:hint="eastAsia" w:ascii="仿宋" w:hAnsi="仿宋" w:eastAsia="仿宋" w:cs="仿宋"/>
          <w:highlight w:val="none"/>
        </w:rPr>
        <w:t>1</w:t>
      </w:r>
      <w:r>
        <w:rPr>
          <w:rFonts w:hint="eastAsia" w:hAnsi="仿宋" w:cs="仿宋"/>
          <w:highlight w:val="none"/>
          <w:lang w:val="en-US" w:eastAsia="zh-CN"/>
        </w:rPr>
        <w:t>0</w:t>
      </w:r>
      <w:r>
        <w:rPr>
          <w:rFonts w:hint="eastAsia" w:ascii="仿宋" w:hAnsi="仿宋" w:eastAsia="仿宋" w:cs="仿宋"/>
          <w:highlight w:val="none"/>
        </w:rPr>
        <w:t>.1</w:t>
      </w:r>
      <w:r>
        <w:rPr>
          <w:rFonts w:hint="eastAsia" w:ascii="仿宋" w:hAnsi="仿宋" w:eastAsia="仿宋" w:cs="仿宋"/>
          <w:spacing w:val="-60"/>
          <w:highlight w:val="none"/>
        </w:rPr>
        <w:t xml:space="preserve"> </w:t>
      </w:r>
      <w:r>
        <w:rPr>
          <w:rFonts w:hint="eastAsia" w:ascii="仿宋" w:hAnsi="仿宋" w:eastAsia="仿宋" w:cs="仿宋"/>
          <w:highlight w:val="none"/>
        </w:rPr>
        <w:t>供应商应</w:t>
      </w:r>
      <w:r>
        <w:rPr>
          <w:rFonts w:hint="eastAsia" w:ascii="仿宋" w:hAnsi="仿宋" w:eastAsia="仿宋" w:cs="仿宋"/>
          <w:spacing w:val="-27"/>
          <w:highlight w:val="none"/>
        </w:rPr>
        <w:t>按</w:t>
      </w:r>
      <w:r>
        <w:rPr>
          <w:rFonts w:hint="eastAsia" w:ascii="仿宋" w:hAnsi="仿宋" w:eastAsia="仿宋" w:cs="仿宋"/>
          <w:highlight w:val="none"/>
        </w:rPr>
        <w:t>“供应商须知前附表</w:t>
      </w:r>
      <w:r>
        <w:rPr>
          <w:rFonts w:hint="eastAsia" w:ascii="仿宋" w:hAnsi="仿宋" w:eastAsia="仿宋" w:cs="仿宋"/>
          <w:spacing w:val="-27"/>
          <w:highlight w:val="none"/>
        </w:rPr>
        <w:t>”</w:t>
      </w:r>
      <w:r>
        <w:rPr>
          <w:rFonts w:hint="eastAsia" w:ascii="仿宋" w:hAnsi="仿宋" w:eastAsia="仿宋" w:cs="仿宋"/>
          <w:highlight w:val="none"/>
        </w:rPr>
        <w:t>规定的份数提</w:t>
      </w:r>
      <w:r>
        <w:rPr>
          <w:rFonts w:hint="eastAsia" w:ascii="仿宋" w:hAnsi="仿宋" w:eastAsia="仿宋" w:cs="仿宋"/>
          <w:spacing w:val="-29"/>
          <w:highlight w:val="none"/>
        </w:rPr>
        <w:t>交</w:t>
      </w:r>
      <w:r>
        <w:rPr>
          <w:rFonts w:hint="eastAsia" w:ascii="仿宋" w:hAnsi="仿宋" w:eastAsia="仿宋" w:cs="仿宋"/>
          <w:highlight w:val="none"/>
        </w:rPr>
        <w:t>《磋商响应性文</w:t>
      </w:r>
      <w:r>
        <w:rPr>
          <w:rFonts w:hint="eastAsia" w:ascii="仿宋" w:hAnsi="仿宋" w:eastAsia="仿宋" w:cs="仿宋"/>
          <w:spacing w:val="2"/>
          <w:highlight w:val="none"/>
        </w:rPr>
        <w:t>件</w:t>
      </w:r>
      <w:r>
        <w:rPr>
          <w:rFonts w:hint="eastAsia" w:ascii="仿宋" w:hAnsi="仿宋" w:eastAsia="仿宋" w:cs="仿宋"/>
          <w:spacing w:val="-29"/>
          <w:highlight w:val="none"/>
        </w:rPr>
        <w:t>》</w:t>
      </w:r>
      <w:r>
        <w:rPr>
          <w:rFonts w:hint="eastAsia" w:ascii="仿宋" w:hAnsi="仿宋" w:eastAsia="仿宋" w:cs="仿宋"/>
          <w:color w:val="auto"/>
          <w:highlight w:val="none"/>
        </w:rPr>
        <w:t>一正</w:t>
      </w:r>
      <w:r>
        <w:rPr>
          <w:rFonts w:hint="eastAsia" w:ascii="仿宋" w:hAnsi="仿宋" w:eastAsia="仿宋" w:cs="仿宋"/>
          <w:color w:val="auto"/>
          <w:highlight w:val="none"/>
          <w:lang w:val="en-US" w:eastAsia="zh-CN"/>
        </w:rPr>
        <w:t>三</w:t>
      </w:r>
      <w:r>
        <w:rPr>
          <w:rFonts w:hint="eastAsia" w:ascii="仿宋" w:hAnsi="仿宋" w:eastAsia="仿宋" w:cs="仿宋"/>
          <w:color w:val="auto"/>
          <w:highlight w:val="none"/>
        </w:rPr>
        <w:t>副，电子投标文件</w:t>
      </w: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lang w:eastAsia="zh-CN"/>
        </w:rPr>
        <w:t>份</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光盘或U盘</w:t>
      </w:r>
      <w:r>
        <w:rPr>
          <w:rFonts w:hint="eastAsia" w:ascii="仿宋" w:hAnsi="仿宋" w:eastAsia="仿宋" w:cs="仿宋"/>
          <w:color w:val="auto"/>
          <w:highlight w:val="none"/>
        </w:rPr>
        <w:t>，</w:t>
      </w:r>
      <w:r>
        <w:rPr>
          <w:rFonts w:hint="eastAsia" w:hAnsi="仿宋" w:cs="仿宋"/>
          <w:color w:val="auto"/>
          <w:highlight w:val="none"/>
          <w:lang w:val="en-US" w:eastAsia="zh-CN"/>
        </w:rPr>
        <w:t>单独</w:t>
      </w:r>
      <w:r>
        <w:rPr>
          <w:rFonts w:hint="eastAsia" w:ascii="仿宋" w:hAnsi="仿宋" w:eastAsia="仿宋" w:cs="仿宋"/>
          <w:color w:val="auto"/>
          <w:highlight w:val="none"/>
        </w:rPr>
        <w:t>密封）</w:t>
      </w:r>
      <w:r>
        <w:rPr>
          <w:rFonts w:hint="eastAsia" w:hAnsi="仿宋" w:cs="仿宋"/>
          <w:color w:val="auto"/>
          <w:highlight w:val="none"/>
          <w:lang w:eastAsia="zh-CN"/>
        </w:rPr>
        <w:t>。</w:t>
      </w:r>
    </w:p>
    <w:p>
      <w:pPr>
        <w:pStyle w:val="8"/>
        <w:kinsoku w:val="0"/>
        <w:overflowPunct w:val="0"/>
        <w:spacing w:before="38" w:line="356" w:lineRule="auto"/>
        <w:ind w:right="238" w:firstLine="480"/>
        <w:jc w:val="both"/>
        <w:rPr>
          <w:rFonts w:hint="eastAsia" w:ascii="仿宋" w:hAnsi="仿宋" w:eastAsia="仿宋" w:cs="仿宋"/>
          <w:highlight w:val="none"/>
          <w:lang w:eastAsia="zh-CN"/>
        </w:rPr>
      </w:pPr>
      <w:r>
        <w:rPr>
          <w:rFonts w:hint="eastAsia" w:ascii="仿宋" w:hAnsi="仿宋" w:eastAsia="仿宋" w:cs="仿宋"/>
          <w:highlight w:val="none"/>
        </w:rPr>
        <w:t>1</w:t>
      </w:r>
      <w:r>
        <w:rPr>
          <w:rFonts w:hint="eastAsia" w:hAnsi="仿宋" w:cs="仿宋"/>
          <w:highlight w:val="none"/>
          <w:lang w:val="en-US" w:eastAsia="zh-CN"/>
        </w:rPr>
        <w:t>0</w:t>
      </w:r>
      <w:r>
        <w:rPr>
          <w:rFonts w:hint="eastAsia" w:ascii="仿宋" w:hAnsi="仿宋" w:eastAsia="仿宋" w:cs="仿宋"/>
          <w:highlight w:val="none"/>
        </w:rPr>
        <w:t>.2 《磋商响应性文件》的正本和副本均需打印或使用不褪色墨水笔书写，字迹</w:t>
      </w:r>
      <w:r>
        <w:rPr>
          <w:rFonts w:hint="eastAsia" w:ascii="仿宋" w:hAnsi="仿宋" w:eastAsia="仿宋" w:cs="仿宋"/>
          <w:spacing w:val="-2"/>
          <w:highlight w:val="none"/>
        </w:rPr>
        <w:t>应清晰易于辨认，并应在《磋商响应性文件》封面的右上角清楚地注明“正本”或“副</w:t>
      </w:r>
      <w:r>
        <w:rPr>
          <w:rFonts w:hint="eastAsia" w:ascii="仿宋" w:hAnsi="仿宋" w:eastAsia="仿宋" w:cs="仿宋"/>
          <w:highlight w:val="none"/>
        </w:rPr>
        <w:t>本”。正本和副本如有不一致之处，以正本为准。</w:t>
      </w:r>
      <w:r>
        <w:rPr>
          <w:rFonts w:hint="eastAsia" w:hAnsi="仿宋" w:cs="仿宋"/>
          <w:highlight w:val="none"/>
          <w:lang w:eastAsia="zh-CN"/>
        </w:rPr>
        <w:t>副本可以是正本复印件。</w:t>
      </w:r>
    </w:p>
    <w:p>
      <w:pPr>
        <w:pStyle w:val="8"/>
        <w:kinsoku w:val="0"/>
        <w:overflowPunct w:val="0"/>
        <w:spacing w:before="37" w:line="355" w:lineRule="auto"/>
        <w:ind w:right="238" w:firstLine="480"/>
        <w:jc w:val="both"/>
        <w:rPr>
          <w:rFonts w:hint="eastAsia" w:ascii="仿宋" w:hAnsi="仿宋" w:eastAsia="仿宋" w:cs="仿宋"/>
          <w:highlight w:val="none"/>
        </w:rPr>
      </w:pPr>
      <w:r>
        <w:rPr>
          <w:rFonts w:hint="eastAsia" w:ascii="仿宋" w:hAnsi="仿宋" w:eastAsia="仿宋" w:cs="仿宋"/>
          <w:highlight w:val="none"/>
        </w:rPr>
        <w:t>1</w:t>
      </w:r>
      <w:r>
        <w:rPr>
          <w:rFonts w:hint="eastAsia" w:hAnsi="仿宋" w:cs="仿宋"/>
          <w:highlight w:val="none"/>
          <w:lang w:val="en-US" w:eastAsia="zh-CN"/>
        </w:rPr>
        <w:t>0</w:t>
      </w:r>
      <w:r>
        <w:rPr>
          <w:rFonts w:hint="eastAsia" w:ascii="仿宋" w:hAnsi="仿宋" w:eastAsia="仿宋" w:cs="仿宋"/>
          <w:highlight w:val="none"/>
        </w:rPr>
        <w:t>.3 《磋商响应性文件》的正本和副本均应在签字盖章处加盖投标单位公章，并</w:t>
      </w:r>
      <w:r>
        <w:rPr>
          <w:rFonts w:hint="eastAsia" w:ascii="仿宋" w:hAnsi="仿宋" w:eastAsia="仿宋" w:cs="仿宋"/>
          <w:spacing w:val="-2"/>
          <w:highlight w:val="none"/>
        </w:rPr>
        <w:t>经法定代表人或被授权人签字或盖章的《磋商响应性文件》，《磋商响应性文件》中</w:t>
      </w:r>
      <w:r>
        <w:rPr>
          <w:rFonts w:hint="eastAsia" w:ascii="仿宋" w:hAnsi="仿宋" w:eastAsia="仿宋" w:cs="仿宋"/>
          <w:highlight w:val="none"/>
        </w:rPr>
        <w:t>须同时提交“委托授权书”。</w:t>
      </w:r>
    </w:p>
    <w:p>
      <w:pPr>
        <w:pStyle w:val="8"/>
        <w:kinsoku w:val="0"/>
        <w:overflowPunct w:val="0"/>
        <w:spacing w:before="38" w:line="357" w:lineRule="auto"/>
        <w:ind w:right="238" w:firstLine="480"/>
        <w:jc w:val="both"/>
        <w:rPr>
          <w:rFonts w:hint="eastAsia" w:ascii="仿宋" w:hAnsi="仿宋" w:eastAsia="仿宋" w:cs="仿宋"/>
          <w:highlight w:val="none"/>
        </w:rPr>
      </w:pPr>
      <w:r>
        <w:rPr>
          <w:rFonts w:hint="eastAsia" w:ascii="仿宋" w:hAnsi="仿宋" w:eastAsia="仿宋" w:cs="仿宋"/>
          <w:highlight w:val="none"/>
        </w:rPr>
        <w:t>1</w:t>
      </w:r>
      <w:r>
        <w:rPr>
          <w:rFonts w:hint="eastAsia" w:hAnsi="仿宋" w:cs="仿宋"/>
          <w:highlight w:val="none"/>
          <w:lang w:val="en-US" w:eastAsia="zh-CN"/>
        </w:rPr>
        <w:t>0</w:t>
      </w:r>
      <w:r>
        <w:rPr>
          <w:rFonts w:hint="eastAsia" w:ascii="仿宋" w:hAnsi="仿宋" w:eastAsia="仿宋" w:cs="仿宋"/>
          <w:highlight w:val="none"/>
        </w:rPr>
        <w:t>.4 除供应商对错误处须修改外，全套《磋商响应性文件》应无涂改或行间插字</w:t>
      </w:r>
      <w:r>
        <w:rPr>
          <w:rFonts w:hint="eastAsia" w:ascii="仿宋" w:hAnsi="仿宋" w:eastAsia="仿宋" w:cs="仿宋"/>
          <w:spacing w:val="-2"/>
          <w:highlight w:val="none"/>
        </w:rPr>
        <w:t>和增删。如有修改，修改处应由供应商加盖投标单位的印章或由《磋商响应性文件》签</w:t>
      </w:r>
      <w:r>
        <w:rPr>
          <w:rFonts w:hint="eastAsia" w:ascii="仿宋" w:hAnsi="仿宋" w:eastAsia="仿宋" w:cs="仿宋"/>
          <w:highlight w:val="none"/>
        </w:rPr>
        <w:t>字人签字或盖章</w:t>
      </w:r>
      <w:r>
        <w:rPr>
          <w:rFonts w:hint="eastAsia" w:ascii="仿宋" w:hAnsi="仿宋" w:eastAsia="仿宋" w:cs="仿宋"/>
          <w:spacing w:val="-27"/>
          <w:highlight w:val="none"/>
        </w:rPr>
        <w:t>。</w:t>
      </w:r>
      <w:r>
        <w:rPr>
          <w:rFonts w:hint="eastAsia" w:ascii="仿宋" w:hAnsi="仿宋" w:eastAsia="仿宋" w:cs="仿宋"/>
          <w:highlight w:val="none"/>
        </w:rPr>
        <w:t>字迹潦草</w:t>
      </w:r>
      <w:r>
        <w:rPr>
          <w:rFonts w:hint="eastAsia" w:ascii="仿宋" w:hAnsi="仿宋" w:eastAsia="仿宋" w:cs="仿宋"/>
          <w:spacing w:val="-24"/>
          <w:highlight w:val="none"/>
        </w:rPr>
        <w:t>、</w:t>
      </w:r>
      <w:r>
        <w:rPr>
          <w:rFonts w:hint="eastAsia" w:ascii="仿宋" w:hAnsi="仿宋" w:eastAsia="仿宋" w:cs="仿宋"/>
          <w:highlight w:val="none"/>
        </w:rPr>
        <w:t>表达不清或可能导致非唯一理解的磋商响应性文件可能视为无效投标。</w:t>
      </w:r>
    </w:p>
    <w:p>
      <w:pPr>
        <w:pStyle w:val="8"/>
        <w:kinsoku w:val="0"/>
        <w:overflowPunct w:val="0"/>
        <w:spacing w:before="34" w:line="357" w:lineRule="auto"/>
        <w:ind w:right="306" w:firstLine="480"/>
        <w:jc w:val="both"/>
        <w:rPr>
          <w:rFonts w:hint="eastAsia" w:ascii="仿宋" w:hAnsi="仿宋" w:eastAsia="仿宋" w:cs="仿宋"/>
          <w:highlight w:val="none"/>
        </w:rPr>
      </w:pPr>
      <w:r>
        <w:rPr>
          <w:rFonts w:hint="eastAsia" w:ascii="仿宋" w:hAnsi="仿宋" w:eastAsia="仿宋" w:cs="仿宋"/>
          <w:highlight w:val="none"/>
        </w:rPr>
        <w:t>1</w:t>
      </w:r>
      <w:r>
        <w:rPr>
          <w:rFonts w:hint="eastAsia" w:hAnsi="仿宋" w:cs="仿宋"/>
          <w:highlight w:val="none"/>
          <w:lang w:val="en-US" w:eastAsia="zh-CN"/>
        </w:rPr>
        <w:t>0</w:t>
      </w:r>
      <w:r>
        <w:rPr>
          <w:rFonts w:hint="eastAsia" w:ascii="仿宋" w:hAnsi="仿宋" w:eastAsia="仿宋" w:cs="仿宋"/>
          <w:highlight w:val="none"/>
        </w:rPr>
        <w:t>.5 《磋商响应性文件》的印制应采用胶装方式装订，即不可抽取调换内页的书式平装方式，无脱落无散页，有目录、有页码。</w:t>
      </w:r>
    </w:p>
    <w:p>
      <w:pPr>
        <w:pStyle w:val="8"/>
        <w:kinsoku w:val="0"/>
        <w:overflowPunct w:val="0"/>
        <w:spacing w:before="34" w:line="357" w:lineRule="auto"/>
        <w:ind w:right="306" w:firstLine="480"/>
        <w:jc w:val="both"/>
        <w:rPr>
          <w:rFonts w:hint="eastAsia" w:ascii="仿宋" w:hAnsi="仿宋" w:eastAsia="仿宋" w:cs="仿宋"/>
          <w:highlight w:val="none"/>
        </w:rPr>
      </w:pPr>
      <w:r>
        <w:rPr>
          <w:rFonts w:hint="eastAsia" w:ascii="仿宋" w:hAnsi="仿宋" w:eastAsia="仿宋" w:cs="仿宋"/>
          <w:highlight w:val="none"/>
        </w:rPr>
        <w:t>1</w:t>
      </w:r>
      <w:r>
        <w:rPr>
          <w:rFonts w:hint="eastAsia" w:hAnsi="仿宋" w:cs="仿宋"/>
          <w:highlight w:val="none"/>
          <w:lang w:val="en-US" w:eastAsia="zh-CN"/>
        </w:rPr>
        <w:t>0</w:t>
      </w:r>
      <w:r>
        <w:rPr>
          <w:rFonts w:hint="eastAsia" w:ascii="仿宋" w:hAnsi="仿宋" w:eastAsia="仿宋" w:cs="仿宋"/>
          <w:highlight w:val="none"/>
        </w:rPr>
        <w:t>.6 《磋商响应性文件》应根据《竞争性磋商文件》的要求签署、盖章及密封，内容应完整详细，如有遗漏，将被视为无效投标。</w:t>
      </w:r>
    </w:p>
    <w:p>
      <w:pPr>
        <w:pStyle w:val="3"/>
        <w:rPr>
          <w:rFonts w:hint="eastAsia" w:ascii="仿宋" w:hAnsi="仿宋" w:eastAsia="仿宋" w:cs="仿宋"/>
          <w:highlight w:val="none"/>
        </w:rPr>
      </w:pPr>
      <w:bookmarkStart w:id="8" w:name="_Toc32099"/>
      <w:r>
        <w:rPr>
          <w:rFonts w:hint="eastAsia" w:ascii="仿宋" w:hAnsi="仿宋" w:eastAsia="仿宋" w:cs="仿宋"/>
          <w:highlight w:val="none"/>
        </w:rPr>
        <w:t>（五）磋商响应性文件的提交及相关事项</w:t>
      </w:r>
      <w:bookmarkEnd w:id="8"/>
    </w:p>
    <w:p>
      <w:pPr>
        <w:pStyle w:val="8"/>
        <w:kinsoku w:val="0"/>
        <w:overflowPunct w:val="0"/>
        <w:spacing w:before="34" w:line="357" w:lineRule="auto"/>
        <w:ind w:right="306"/>
        <w:jc w:val="both"/>
        <w:rPr>
          <w:rFonts w:hint="eastAsia" w:ascii="仿宋" w:hAnsi="仿宋" w:eastAsia="仿宋" w:cs="仿宋"/>
          <w:b/>
          <w:bCs/>
          <w:highlight w:val="none"/>
        </w:rPr>
      </w:pPr>
      <w:r>
        <w:rPr>
          <w:rFonts w:hint="eastAsia" w:ascii="仿宋" w:hAnsi="仿宋" w:eastAsia="仿宋" w:cs="仿宋"/>
          <w:b/>
          <w:bCs/>
          <w:highlight w:val="none"/>
        </w:rPr>
        <w:t>1.磋商响应性文件的提交</w:t>
      </w:r>
    </w:p>
    <w:p>
      <w:pPr>
        <w:pStyle w:val="8"/>
        <w:kinsoku w:val="0"/>
        <w:overflowPunct w:val="0"/>
        <w:spacing w:before="34" w:line="357" w:lineRule="auto"/>
        <w:ind w:right="126" w:firstLine="480"/>
        <w:jc w:val="both"/>
        <w:rPr>
          <w:rFonts w:hint="eastAsia" w:ascii="仿宋" w:hAnsi="仿宋" w:eastAsia="仿宋" w:cs="仿宋"/>
          <w:b/>
          <w:bCs/>
          <w:color w:val="auto"/>
          <w:highlight w:val="none"/>
          <w:lang w:eastAsia="zh-CN"/>
        </w:rPr>
      </w:pPr>
      <w:r>
        <w:rPr>
          <w:rFonts w:hint="eastAsia" w:hAnsi="仿宋" w:cs="仿宋"/>
          <w:b/>
          <w:bCs/>
          <w:color w:val="auto"/>
          <w:highlight w:val="none"/>
          <w:lang w:val="en-US" w:eastAsia="zh-CN"/>
        </w:rPr>
        <w:t>1</w:t>
      </w:r>
      <w:r>
        <w:rPr>
          <w:rFonts w:hint="eastAsia" w:ascii="仿宋" w:hAnsi="仿宋" w:eastAsia="仿宋" w:cs="仿宋"/>
          <w:b/>
          <w:bCs/>
          <w:color w:val="auto"/>
          <w:highlight w:val="none"/>
        </w:rPr>
        <w:t xml:space="preserve">.1 </w:t>
      </w:r>
      <w:r>
        <w:rPr>
          <w:rFonts w:hint="eastAsia" w:ascii="仿宋" w:hAnsi="仿宋" w:eastAsia="仿宋" w:cs="仿宋"/>
          <w:b/>
          <w:bCs/>
          <w:color w:val="auto"/>
          <w:highlight w:val="none"/>
          <w:lang w:val="en-US" w:eastAsia="zh-CN"/>
        </w:rPr>
        <w:t>本项目实行电子招投标，</w:t>
      </w:r>
      <w:r>
        <w:rPr>
          <w:rFonts w:hint="eastAsia" w:ascii="仿宋" w:hAnsi="仿宋" w:eastAsia="仿宋" w:cs="仿宋"/>
          <w:b/>
          <w:bCs/>
          <w:color w:val="auto"/>
          <w:highlight w:val="none"/>
          <w:lang w:val="zh-CN" w:eastAsia="zh-CN"/>
        </w:rPr>
        <w:t>投标人应</w:t>
      </w:r>
      <w:r>
        <w:rPr>
          <w:rFonts w:hint="eastAsia" w:hAnsi="仿宋" w:cs="仿宋"/>
          <w:b/>
          <w:bCs/>
          <w:color w:val="auto"/>
          <w:highlight w:val="none"/>
          <w:lang w:val="en-US" w:eastAsia="zh-CN"/>
        </w:rPr>
        <w:t>投</w:t>
      </w:r>
      <w:r>
        <w:rPr>
          <w:rFonts w:hint="eastAsia" w:ascii="仿宋" w:hAnsi="仿宋" w:eastAsia="仿宋" w:cs="仿宋"/>
          <w:b/>
          <w:bCs/>
          <w:color w:val="auto"/>
          <w:highlight w:val="none"/>
          <w:lang w:val="en-US" w:eastAsia="zh-CN"/>
        </w:rPr>
        <w:t>标时间截止</w:t>
      </w:r>
      <w:r>
        <w:rPr>
          <w:rFonts w:hint="eastAsia" w:ascii="仿宋" w:hAnsi="仿宋" w:eastAsia="仿宋" w:cs="仿宋"/>
          <w:b/>
          <w:bCs/>
          <w:color w:val="auto"/>
          <w:highlight w:val="none"/>
          <w:lang w:val="zh-CN" w:eastAsia="zh-CN"/>
        </w:rPr>
        <w:t>之前将电子投标文件上传到“政采云”平台。应按照本项目招标文件和政采云平台的要求编制、加密传输投标文件。</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hAnsi="仿宋" w:cs="仿宋"/>
          <w:highlight w:val="none"/>
          <w:lang w:val="en-US" w:eastAsia="zh-CN"/>
        </w:rPr>
        <w:t>1.2</w:t>
      </w:r>
      <w:r>
        <w:rPr>
          <w:rFonts w:hint="eastAsia" w:ascii="仿宋" w:hAnsi="仿宋" w:eastAsia="仿宋" w:cs="仿宋"/>
          <w:highlight w:val="none"/>
        </w:rPr>
        <w:t xml:space="preserve"> 到投标截止时间止，采购人收到的磋商响应性文件少于</w:t>
      </w:r>
      <w:r>
        <w:rPr>
          <w:rFonts w:hint="eastAsia" w:ascii="仿宋" w:hAnsi="仿宋" w:eastAsia="仿宋" w:cs="仿宋"/>
          <w:spacing w:val="4"/>
          <w:highlight w:val="none"/>
        </w:rPr>
        <w:t>《政府采购货物和服务招标投标管理办法》、《政府购买服务管理办法（暂行）》、《政府采购竞争性磋商采购方式管理暂行办法》、《财政部关于政府采购竞争性磋商采购方式管理暂行办法有关问题的补充通知》及相关法规</w:t>
      </w:r>
      <w:r>
        <w:rPr>
          <w:rFonts w:hint="eastAsia" w:ascii="仿宋" w:hAnsi="仿宋" w:eastAsia="仿宋" w:cs="仿宋"/>
          <w:highlight w:val="none"/>
        </w:rPr>
        <w:t>规定的家数，采购人将依法重新组织招标。</w:t>
      </w:r>
    </w:p>
    <w:p>
      <w:pPr>
        <w:pStyle w:val="8"/>
        <w:kinsoku w:val="0"/>
        <w:overflowPunct w:val="0"/>
        <w:spacing w:before="151"/>
        <w:jc w:val="both"/>
        <w:rPr>
          <w:rFonts w:hint="eastAsia" w:ascii="仿宋" w:hAnsi="仿宋" w:eastAsia="仿宋" w:cs="仿宋"/>
          <w:b/>
          <w:bCs/>
          <w:highlight w:val="none"/>
        </w:rPr>
      </w:pPr>
      <w:r>
        <w:rPr>
          <w:rFonts w:hint="eastAsia" w:hAnsi="仿宋" w:cs="仿宋"/>
          <w:b/>
          <w:bCs/>
          <w:highlight w:val="none"/>
          <w:lang w:val="en-US" w:eastAsia="zh-CN"/>
        </w:rPr>
        <w:t>2</w:t>
      </w:r>
      <w:r>
        <w:rPr>
          <w:rFonts w:hint="eastAsia" w:ascii="仿宋" w:hAnsi="仿宋" w:eastAsia="仿宋" w:cs="仿宋"/>
          <w:b/>
          <w:bCs/>
          <w:highlight w:val="none"/>
        </w:rPr>
        <w:t xml:space="preserve">.投标截止时间 </w:t>
      </w:r>
    </w:p>
    <w:p>
      <w:pPr>
        <w:pStyle w:val="8"/>
        <w:kinsoku w:val="0"/>
        <w:overflowPunct w:val="0"/>
        <w:spacing w:before="34" w:line="357" w:lineRule="auto"/>
        <w:ind w:right="306" w:firstLine="480"/>
        <w:jc w:val="both"/>
        <w:rPr>
          <w:rFonts w:hint="eastAsia" w:ascii="仿宋" w:hAnsi="仿宋" w:eastAsia="仿宋" w:cs="仿宋"/>
          <w:highlight w:val="none"/>
        </w:rPr>
      </w:pPr>
      <w:r>
        <w:rPr>
          <w:rFonts w:hint="eastAsia" w:ascii="仿宋" w:hAnsi="仿宋" w:eastAsia="仿宋" w:cs="仿宋"/>
          <w:highlight w:val="none"/>
        </w:rPr>
        <w:t>投标截止时间为“供应商须知前附表”中规定时间。</w:t>
      </w:r>
    </w:p>
    <w:p>
      <w:pPr>
        <w:pStyle w:val="8"/>
        <w:kinsoku w:val="0"/>
        <w:overflowPunct w:val="0"/>
        <w:spacing w:before="34" w:line="357" w:lineRule="auto"/>
        <w:ind w:left="598" w:right="101" w:hanging="480"/>
        <w:rPr>
          <w:rFonts w:hint="eastAsia" w:ascii="仿宋" w:hAnsi="仿宋" w:eastAsia="仿宋" w:cs="仿宋"/>
          <w:b/>
          <w:bCs/>
          <w:spacing w:val="27"/>
          <w:w w:val="99"/>
          <w:highlight w:val="none"/>
        </w:rPr>
      </w:pPr>
      <w:r>
        <w:rPr>
          <w:rFonts w:hint="eastAsia" w:hAnsi="仿宋" w:cs="仿宋"/>
          <w:b/>
          <w:bCs/>
          <w:highlight w:val="none"/>
          <w:lang w:val="en-US" w:eastAsia="zh-CN"/>
        </w:rPr>
        <w:t>3</w:t>
      </w:r>
      <w:r>
        <w:rPr>
          <w:rFonts w:hint="eastAsia" w:ascii="仿宋" w:hAnsi="仿宋" w:eastAsia="仿宋" w:cs="仿宋"/>
          <w:b/>
          <w:bCs/>
          <w:highlight w:val="none"/>
        </w:rPr>
        <w:t>.迟交的磋商响应性文件</w:t>
      </w:r>
      <w:r>
        <w:rPr>
          <w:rFonts w:hint="eastAsia" w:ascii="仿宋" w:hAnsi="仿宋" w:eastAsia="仿宋" w:cs="仿宋"/>
          <w:b/>
          <w:bCs/>
          <w:spacing w:val="27"/>
          <w:w w:val="99"/>
          <w:highlight w:val="none"/>
        </w:rPr>
        <w:t xml:space="preserve"> </w:t>
      </w:r>
    </w:p>
    <w:p>
      <w:pPr>
        <w:pStyle w:val="8"/>
        <w:kinsoku w:val="0"/>
        <w:overflowPunct w:val="0"/>
        <w:spacing w:before="34" w:line="357" w:lineRule="auto"/>
        <w:ind w:right="306" w:firstLine="480"/>
        <w:jc w:val="both"/>
        <w:rPr>
          <w:rFonts w:hint="eastAsia" w:ascii="仿宋" w:hAnsi="仿宋" w:eastAsia="仿宋" w:cs="仿宋"/>
          <w:highlight w:val="none"/>
        </w:rPr>
      </w:pPr>
      <w:r>
        <w:rPr>
          <w:rFonts w:hint="eastAsia" w:ascii="仿宋" w:hAnsi="仿宋" w:eastAsia="仿宋" w:cs="仿宋"/>
          <w:highlight w:val="none"/>
        </w:rPr>
        <w:t>采购人将拒绝并退回在其规定的截止时间后收到的任何磋商响应性文件。</w:t>
      </w:r>
    </w:p>
    <w:p>
      <w:pPr>
        <w:pStyle w:val="8"/>
        <w:kinsoku w:val="0"/>
        <w:overflowPunct w:val="0"/>
        <w:spacing w:before="34" w:line="357" w:lineRule="auto"/>
        <w:ind w:left="598" w:right="101" w:hanging="480"/>
        <w:rPr>
          <w:rFonts w:hint="eastAsia" w:ascii="仿宋" w:hAnsi="仿宋" w:eastAsia="仿宋" w:cs="仿宋"/>
          <w:b/>
          <w:bCs/>
          <w:highlight w:val="none"/>
        </w:rPr>
      </w:pPr>
      <w:r>
        <w:rPr>
          <w:rFonts w:hint="eastAsia" w:hAnsi="仿宋" w:cs="仿宋"/>
          <w:b/>
          <w:bCs/>
          <w:highlight w:val="none"/>
          <w:lang w:val="en-US" w:eastAsia="zh-CN"/>
        </w:rPr>
        <w:t>4</w:t>
      </w:r>
      <w:r>
        <w:rPr>
          <w:rFonts w:hint="eastAsia" w:ascii="仿宋" w:hAnsi="仿宋" w:eastAsia="仿宋" w:cs="仿宋"/>
          <w:b/>
          <w:bCs/>
          <w:highlight w:val="none"/>
        </w:rPr>
        <w:t>.磋商响应性文件的补充、修改与撤回</w:t>
      </w:r>
    </w:p>
    <w:p>
      <w:pPr>
        <w:pStyle w:val="8"/>
        <w:kinsoku w:val="0"/>
        <w:overflowPunct w:val="0"/>
        <w:spacing w:before="34" w:line="357" w:lineRule="auto"/>
        <w:ind w:right="306" w:firstLine="480"/>
        <w:jc w:val="both"/>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SA"/>
        </w:rPr>
        <w:t>投标人在递交投标文件后，可以</w:t>
      </w:r>
      <w:r>
        <w:rPr>
          <w:rFonts w:hint="eastAsia" w:ascii="仿宋" w:hAnsi="仿宋" w:cs="仿宋"/>
          <w:b w:val="0"/>
          <w:bCs w:val="0"/>
          <w:color w:val="auto"/>
          <w:kern w:val="0"/>
          <w:sz w:val="24"/>
          <w:szCs w:val="24"/>
          <w:highlight w:val="none"/>
          <w:lang w:val="en-US" w:eastAsia="zh-CN" w:bidi="ar-SA"/>
        </w:rPr>
        <w:t>补充、</w:t>
      </w:r>
      <w:r>
        <w:rPr>
          <w:rFonts w:hint="eastAsia" w:ascii="仿宋" w:hAnsi="仿宋" w:eastAsia="仿宋" w:cs="仿宋"/>
          <w:b w:val="0"/>
          <w:bCs w:val="0"/>
          <w:color w:val="auto"/>
          <w:kern w:val="0"/>
          <w:sz w:val="24"/>
          <w:szCs w:val="24"/>
          <w:highlight w:val="none"/>
          <w:lang w:val="en-US" w:eastAsia="zh-CN" w:bidi="ar-SA"/>
        </w:rPr>
        <w:t>修改或撤回其投标，但这种</w:t>
      </w:r>
      <w:r>
        <w:rPr>
          <w:rFonts w:hint="eastAsia" w:ascii="仿宋" w:hAnsi="仿宋" w:cs="仿宋"/>
          <w:b w:val="0"/>
          <w:bCs w:val="0"/>
          <w:color w:val="auto"/>
          <w:kern w:val="0"/>
          <w:sz w:val="24"/>
          <w:szCs w:val="24"/>
          <w:highlight w:val="none"/>
          <w:lang w:val="en-US" w:eastAsia="zh-CN" w:bidi="ar-SA"/>
        </w:rPr>
        <w:t>补充、</w:t>
      </w:r>
      <w:r>
        <w:rPr>
          <w:rFonts w:hint="eastAsia" w:ascii="仿宋" w:hAnsi="仿宋" w:eastAsia="仿宋" w:cs="仿宋"/>
          <w:b w:val="0"/>
          <w:bCs w:val="0"/>
          <w:color w:val="auto"/>
          <w:kern w:val="0"/>
          <w:sz w:val="24"/>
          <w:szCs w:val="24"/>
          <w:highlight w:val="none"/>
          <w:lang w:val="en-US" w:eastAsia="zh-CN" w:bidi="ar-SA"/>
        </w:rPr>
        <w:t>修改和撤回，必须在规定的投标截止时间前。在投标截止时间后，投标人不得要求</w:t>
      </w:r>
      <w:r>
        <w:rPr>
          <w:rFonts w:hint="eastAsia" w:ascii="仿宋" w:hAnsi="仿宋" w:cs="仿宋"/>
          <w:b w:val="0"/>
          <w:bCs w:val="0"/>
          <w:color w:val="auto"/>
          <w:kern w:val="0"/>
          <w:sz w:val="24"/>
          <w:szCs w:val="24"/>
          <w:highlight w:val="none"/>
          <w:lang w:val="en-US" w:eastAsia="zh-CN" w:bidi="ar-SA"/>
        </w:rPr>
        <w:t>补充、</w:t>
      </w:r>
      <w:r>
        <w:rPr>
          <w:rFonts w:hint="eastAsia" w:ascii="仿宋" w:hAnsi="仿宋" w:eastAsia="仿宋" w:cs="仿宋"/>
          <w:b w:val="0"/>
          <w:bCs w:val="0"/>
          <w:color w:val="auto"/>
          <w:kern w:val="0"/>
          <w:sz w:val="24"/>
          <w:szCs w:val="24"/>
          <w:highlight w:val="none"/>
          <w:lang w:val="en-US" w:eastAsia="zh-CN" w:bidi="ar-SA"/>
        </w:rPr>
        <w:t>修改或撤回其投标文件。</w:t>
      </w:r>
    </w:p>
    <w:p>
      <w:pPr>
        <w:pStyle w:val="8"/>
        <w:numPr>
          <w:ilvl w:val="0"/>
          <w:numId w:val="0"/>
        </w:numPr>
        <w:kinsoku w:val="0"/>
        <w:overflowPunct w:val="0"/>
        <w:spacing w:before="34" w:line="357" w:lineRule="auto"/>
        <w:ind w:left="118" w:leftChars="0" w:right="101" w:rightChars="0"/>
        <w:rPr>
          <w:rFonts w:hint="eastAsia" w:ascii="仿宋" w:hAnsi="仿宋" w:eastAsia="仿宋" w:cs="仿宋"/>
          <w:b/>
          <w:bCs/>
          <w:color w:val="auto"/>
          <w:highlight w:val="none"/>
          <w:lang w:val="en-US" w:eastAsia="zh-CN"/>
        </w:rPr>
      </w:pPr>
      <w:r>
        <w:rPr>
          <w:rFonts w:hint="eastAsia" w:hAnsi="仿宋" w:cs="仿宋"/>
          <w:b/>
          <w:bCs/>
          <w:color w:val="auto"/>
          <w:highlight w:val="none"/>
          <w:lang w:val="en-US" w:eastAsia="zh-CN"/>
        </w:rPr>
        <w:t>5.</w:t>
      </w:r>
      <w:r>
        <w:rPr>
          <w:rFonts w:hint="eastAsia" w:ascii="仿宋" w:hAnsi="仿宋" w:eastAsia="仿宋" w:cs="仿宋"/>
          <w:b/>
          <w:bCs/>
          <w:color w:val="auto"/>
          <w:highlight w:val="none"/>
          <w:lang w:val="en-US" w:eastAsia="zh-CN"/>
        </w:rPr>
        <w:t>开标</w:t>
      </w:r>
    </w:p>
    <w:p>
      <w:pPr>
        <w:spacing w:line="360" w:lineRule="auto"/>
        <w:ind w:firstLine="480" w:firstLineChars="200"/>
        <w:rPr>
          <w:rFonts w:hint="eastAsia" w:ascii="仿宋" w:hAnsi="仿宋" w:eastAsia="仿宋" w:cs="仿宋"/>
          <w:b w:val="0"/>
          <w:bCs w:val="0"/>
          <w:color w:val="auto"/>
          <w:kern w:val="0"/>
          <w:sz w:val="24"/>
          <w:szCs w:val="24"/>
          <w:highlight w:val="none"/>
          <w:lang w:val="en-US" w:eastAsia="zh-CN" w:bidi="ar-SA"/>
        </w:rPr>
      </w:pPr>
      <w:bookmarkStart w:id="9" w:name="_Toc520356165"/>
      <w:r>
        <w:rPr>
          <w:rFonts w:hint="eastAsia" w:ascii="仿宋" w:hAnsi="仿宋" w:eastAsia="仿宋" w:cs="仿宋"/>
          <w:b w:val="0"/>
          <w:bCs w:val="0"/>
          <w:color w:val="auto"/>
          <w:kern w:val="0"/>
          <w:sz w:val="24"/>
          <w:szCs w:val="24"/>
          <w:highlight w:val="none"/>
          <w:lang w:val="en-US" w:eastAsia="zh-CN" w:bidi="ar-SA"/>
        </w:rPr>
        <w:t>5.1招标代理机构将于《投标人须知前附表》规定的时间和地点举行开标会议。</w:t>
      </w:r>
    </w:p>
    <w:p>
      <w:pPr>
        <w:spacing w:line="360" w:lineRule="auto"/>
        <w:ind w:firstLine="480" w:firstLineChars="200"/>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SA"/>
        </w:rPr>
        <w:t>5.2 开标会议由招标代理机构和招标人主持，有关行政监督部门监督。</w:t>
      </w:r>
    </w:p>
    <w:p>
      <w:pPr>
        <w:spacing w:line="360" w:lineRule="auto"/>
        <w:ind w:firstLine="480" w:firstLineChars="200"/>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SA"/>
        </w:rPr>
        <w:t>5.3（1）供应商在开标前，提前登录政采云平台做好准备，并保证设备正常。供应商应于提交投标文件截止时间之前将电子响应文件上传到“政采云”平台。应按照本项目招标文件和政采云平台的要求编制、加密传输响应文件。</w:t>
      </w:r>
    </w:p>
    <w:p>
      <w:pPr>
        <w:spacing w:line="360" w:lineRule="auto"/>
        <w:ind w:firstLine="480" w:firstLineChars="200"/>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SA"/>
        </w:rPr>
        <w:t>注：如供应商在开标时遗失CA或其他原因导致解密失败等后果，由供应商自行承担。</w:t>
      </w:r>
    </w:p>
    <w:p>
      <w:pPr>
        <w:spacing w:line="360" w:lineRule="auto"/>
        <w:ind w:firstLine="480" w:firstLineChars="200"/>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SA"/>
        </w:rPr>
        <w:t>（3）开标时将检查所有响应文件（加密电子标书上传）情况，并在确认无误后，供应商在政采云平台解密响应文件（30分钟），对响应文件进行唱标。唱标以供应商提交的响应文件中“开标一览表”的内容为准，并对唱标内容作以记录。电子开标系统开标后需供应商在线确认报价时，各供应商应在规定的时间内确认报价，若超出时间未进行确认报价的供应商，系统将自动默认该供应商已经确认报价。</w:t>
      </w:r>
    </w:p>
    <w:p>
      <w:pPr>
        <w:spacing w:line="360" w:lineRule="auto"/>
        <w:ind w:firstLine="480" w:firstLineChars="200"/>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SA"/>
        </w:rPr>
        <w:t>（4）开标时，由采购代理机构向评标小组介绍项目基本情况并宣布有关纪律和招标程序。</w:t>
      </w:r>
    </w:p>
    <w:p>
      <w:pPr>
        <w:spacing w:line="360" w:lineRule="auto"/>
        <w:ind w:firstLine="480" w:firstLineChars="200"/>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SA"/>
        </w:rPr>
        <w:t>（5）采购人代表及采购代理机构依据法律法规和招标文件中规定的内容，对供应商进行资格审查。未通过资格审查的供应商不得进入详细评审，其响应文件将被拒绝。</w:t>
      </w:r>
    </w:p>
    <w:p>
      <w:pPr>
        <w:spacing w:line="360" w:lineRule="auto"/>
        <w:ind w:firstLine="480" w:firstLineChars="200"/>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SA"/>
        </w:rPr>
        <w:t>（6）评标小组开启供应商首次报价并进行初步审查和详细评审（只有初步审查合格的供应商，其投标文件方可进入下一阶段。）</w:t>
      </w:r>
    </w:p>
    <w:p>
      <w:pPr>
        <w:spacing w:line="360" w:lineRule="auto"/>
        <w:ind w:firstLine="480" w:firstLineChars="200"/>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SA"/>
        </w:rPr>
        <w:t>（7）采购人或采购代理机构将对开标过程进行记录，并存档备查。</w:t>
      </w:r>
    </w:p>
    <w:p>
      <w:pPr>
        <w:spacing w:line="360" w:lineRule="auto"/>
        <w:ind w:firstLine="480" w:firstLineChars="200"/>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SA"/>
        </w:rPr>
        <w:t>（8）供应商代表对招标过程和招标记录有疑义，以及认为采购人、采购代理机构相关工作人员有需要回避的情形的，应当场提出询问或者回避申请。</w:t>
      </w:r>
    </w:p>
    <w:bookmarkEnd w:id="9"/>
    <w:p>
      <w:pPr>
        <w:rPr>
          <w:rFonts w:hint="eastAsia"/>
          <w:lang w:val="en-US" w:eastAsia="zh-CN"/>
        </w:rPr>
      </w:pPr>
    </w:p>
    <w:p>
      <w:pPr>
        <w:pStyle w:val="3"/>
        <w:rPr>
          <w:rFonts w:hint="eastAsia" w:ascii="仿宋" w:hAnsi="仿宋" w:eastAsia="仿宋" w:cs="仿宋"/>
          <w:highlight w:val="none"/>
        </w:rPr>
      </w:pPr>
      <w:bookmarkStart w:id="10" w:name="_Toc1690"/>
      <w:r>
        <w:rPr>
          <w:rFonts w:hint="eastAsia" w:ascii="仿宋" w:hAnsi="仿宋" w:eastAsia="仿宋" w:cs="仿宋"/>
          <w:highlight w:val="none"/>
        </w:rPr>
        <w:t>（六）磋商</w:t>
      </w:r>
      <w:bookmarkEnd w:id="10"/>
    </w:p>
    <w:p>
      <w:pPr>
        <w:pStyle w:val="8"/>
        <w:kinsoku w:val="0"/>
        <w:overflowPunct w:val="0"/>
        <w:spacing w:before="35"/>
        <w:rPr>
          <w:rFonts w:hint="eastAsia" w:ascii="仿宋" w:hAnsi="仿宋" w:eastAsia="仿宋" w:cs="仿宋"/>
          <w:b/>
          <w:bCs/>
          <w:spacing w:val="1"/>
          <w:highlight w:val="none"/>
        </w:rPr>
      </w:pPr>
      <w:r>
        <w:rPr>
          <w:rFonts w:hint="eastAsia" w:ascii="仿宋" w:hAnsi="仿宋" w:eastAsia="仿宋" w:cs="仿宋"/>
          <w:b/>
          <w:bCs/>
          <w:spacing w:val="1"/>
          <w:highlight w:val="none"/>
        </w:rPr>
        <w:t>1.磋商小组</w:t>
      </w:r>
    </w:p>
    <w:p>
      <w:pPr>
        <w:pStyle w:val="8"/>
        <w:tabs>
          <w:tab w:val="left" w:pos="1080"/>
        </w:tabs>
        <w:kinsoku w:val="0"/>
        <w:overflowPunct w:val="0"/>
        <w:spacing w:before="26" w:line="355" w:lineRule="auto"/>
        <w:ind w:right="234" w:firstLine="480"/>
        <w:rPr>
          <w:rFonts w:hint="eastAsia" w:ascii="仿宋" w:hAnsi="仿宋" w:eastAsia="仿宋" w:cs="仿宋"/>
          <w:highlight w:val="none"/>
        </w:rPr>
      </w:pPr>
      <w:r>
        <w:rPr>
          <w:rFonts w:hint="eastAsia" w:ascii="仿宋" w:hAnsi="仿宋" w:eastAsia="仿宋" w:cs="仿宋"/>
          <w:highlight w:val="none"/>
        </w:rPr>
        <w:t>1.1</w:t>
      </w:r>
      <w:r>
        <w:rPr>
          <w:rFonts w:hint="eastAsia" w:ascii="仿宋" w:hAnsi="仿宋" w:eastAsia="仿宋" w:cs="仿宋"/>
          <w:highlight w:val="none"/>
        </w:rPr>
        <w:tab/>
      </w:r>
      <w:r>
        <w:rPr>
          <w:rFonts w:hint="eastAsia" w:ascii="仿宋" w:hAnsi="仿宋" w:eastAsia="仿宋" w:cs="仿宋"/>
          <w:spacing w:val="1"/>
          <w:highlight w:val="none"/>
        </w:rPr>
        <w:t>评标由采购人依法组建的磋商小组负责。磋商小组由</w:t>
      </w:r>
      <w:r>
        <w:rPr>
          <w:rFonts w:hint="eastAsia" w:ascii="仿宋" w:hAnsi="仿宋" w:eastAsia="仿宋" w:cs="仿宋"/>
          <w:highlight w:val="none"/>
        </w:rPr>
        <w:t>有关技术、经济等方面的专家三人的单数组成。</w:t>
      </w:r>
    </w:p>
    <w:p>
      <w:pPr>
        <w:pStyle w:val="8"/>
        <w:tabs>
          <w:tab w:val="left" w:pos="1438"/>
        </w:tabs>
        <w:kinsoku w:val="0"/>
        <w:overflowPunct w:val="0"/>
        <w:spacing w:before="36"/>
        <w:ind w:left="598"/>
        <w:rPr>
          <w:rFonts w:hint="eastAsia" w:ascii="仿宋" w:hAnsi="仿宋" w:eastAsia="仿宋" w:cs="仿宋"/>
          <w:highlight w:val="none"/>
        </w:rPr>
      </w:pPr>
      <w:r>
        <w:rPr>
          <w:rFonts w:hint="eastAsia" w:ascii="仿宋" w:hAnsi="仿宋" w:eastAsia="仿宋" w:cs="仿宋"/>
          <w:highlight w:val="none"/>
        </w:rPr>
        <w:t>1.2 磋商小组成员有下列情形之一的，应当回避；</w:t>
      </w:r>
    </w:p>
    <w:p>
      <w:pPr>
        <w:pStyle w:val="8"/>
        <w:kinsoku w:val="0"/>
        <w:overflowPunct w:val="0"/>
        <w:ind w:left="598"/>
        <w:rPr>
          <w:rFonts w:hint="eastAsia" w:ascii="仿宋" w:hAnsi="仿宋" w:eastAsia="仿宋" w:cs="仿宋"/>
          <w:highlight w:val="none"/>
        </w:rPr>
      </w:pPr>
      <w:r>
        <w:rPr>
          <w:rFonts w:hint="eastAsia" w:ascii="仿宋" w:hAnsi="仿宋" w:eastAsia="仿宋" w:cs="仿宋"/>
          <w:highlight w:val="none"/>
        </w:rPr>
        <w:t>（1）采购人或供应商的主要负责人的近亲属。</w:t>
      </w:r>
    </w:p>
    <w:p>
      <w:pPr>
        <w:pStyle w:val="8"/>
        <w:kinsoku w:val="0"/>
        <w:overflowPunct w:val="0"/>
        <w:ind w:left="598"/>
        <w:rPr>
          <w:rFonts w:hint="eastAsia" w:ascii="仿宋" w:hAnsi="仿宋" w:eastAsia="仿宋" w:cs="仿宋"/>
          <w:highlight w:val="none"/>
        </w:rPr>
      </w:pPr>
      <w:r>
        <w:rPr>
          <w:rFonts w:hint="eastAsia" w:ascii="仿宋" w:hAnsi="仿宋" w:eastAsia="仿宋" w:cs="仿宋"/>
          <w:highlight w:val="none"/>
        </w:rPr>
        <w:t>（2）项目主管部门或者行政监督部门的人员。</w:t>
      </w:r>
    </w:p>
    <w:p>
      <w:pPr>
        <w:pStyle w:val="8"/>
        <w:kinsoku w:val="0"/>
        <w:overflowPunct w:val="0"/>
        <w:spacing w:before="151"/>
        <w:ind w:left="598"/>
        <w:rPr>
          <w:rFonts w:hint="eastAsia" w:ascii="仿宋" w:hAnsi="仿宋" w:eastAsia="仿宋" w:cs="仿宋"/>
          <w:highlight w:val="none"/>
        </w:rPr>
      </w:pPr>
      <w:r>
        <w:rPr>
          <w:rFonts w:hint="eastAsia" w:ascii="仿宋" w:hAnsi="仿宋" w:eastAsia="仿宋" w:cs="仿宋"/>
          <w:highlight w:val="none"/>
        </w:rPr>
        <w:t>（3）与供应商有经济利益关系，可能影响对投标公正评审的。</w:t>
      </w:r>
    </w:p>
    <w:p>
      <w:pPr>
        <w:pStyle w:val="8"/>
        <w:kinsoku w:val="0"/>
        <w:overflowPunct w:val="0"/>
        <w:spacing w:line="355" w:lineRule="auto"/>
        <w:ind w:right="50" w:firstLine="480"/>
        <w:rPr>
          <w:rFonts w:hint="eastAsia" w:ascii="仿宋" w:hAnsi="仿宋" w:eastAsia="仿宋" w:cs="仿宋"/>
          <w:highlight w:val="none"/>
        </w:rPr>
      </w:pPr>
      <w:r>
        <w:rPr>
          <w:rFonts w:hint="eastAsia" w:ascii="仿宋" w:hAnsi="仿宋" w:eastAsia="仿宋" w:cs="仿宋"/>
          <w:spacing w:val="1"/>
          <w:highlight w:val="none"/>
        </w:rPr>
        <w:t>（4）曾因在招标、评标以及其他与招标投标有关活动中从事违法行为而受过行政</w:t>
      </w:r>
      <w:r>
        <w:rPr>
          <w:rFonts w:hint="eastAsia" w:ascii="仿宋" w:hAnsi="仿宋" w:eastAsia="仿宋" w:cs="仿宋"/>
          <w:highlight w:val="none"/>
        </w:rPr>
        <w:t>处罚或刑事处罚的。</w:t>
      </w:r>
    </w:p>
    <w:p>
      <w:pPr>
        <w:pStyle w:val="8"/>
        <w:kinsoku w:val="0"/>
        <w:overflowPunct w:val="0"/>
        <w:spacing w:before="34" w:line="357" w:lineRule="auto"/>
        <w:ind w:right="306" w:firstLine="480"/>
        <w:jc w:val="both"/>
        <w:rPr>
          <w:rFonts w:hint="eastAsia" w:ascii="仿宋" w:hAnsi="仿宋" w:eastAsia="仿宋" w:cs="仿宋"/>
          <w:highlight w:val="none"/>
        </w:rPr>
      </w:pPr>
      <w:r>
        <w:rPr>
          <w:rFonts w:hint="eastAsia" w:ascii="仿宋" w:hAnsi="仿宋" w:eastAsia="仿宋" w:cs="仿宋"/>
          <w:highlight w:val="none"/>
        </w:rPr>
        <w:t>（5）其它可能影响公正评标的情形。</w:t>
      </w:r>
    </w:p>
    <w:p>
      <w:pPr>
        <w:pStyle w:val="8"/>
        <w:kinsoku w:val="0"/>
        <w:overflowPunct w:val="0"/>
        <w:spacing w:before="35"/>
        <w:rPr>
          <w:rFonts w:hint="eastAsia" w:ascii="仿宋" w:hAnsi="仿宋" w:eastAsia="仿宋" w:cs="仿宋"/>
          <w:b/>
          <w:bCs/>
          <w:spacing w:val="1"/>
          <w:highlight w:val="none"/>
        </w:rPr>
      </w:pPr>
      <w:r>
        <w:rPr>
          <w:rFonts w:hint="eastAsia" w:ascii="仿宋" w:hAnsi="仿宋" w:eastAsia="仿宋" w:cs="仿宋"/>
          <w:b/>
          <w:bCs/>
          <w:spacing w:val="1"/>
          <w:highlight w:val="none"/>
        </w:rPr>
        <w:t>2.评标原则</w:t>
      </w:r>
    </w:p>
    <w:p>
      <w:pPr>
        <w:pStyle w:val="8"/>
        <w:tabs>
          <w:tab w:val="left" w:pos="1080"/>
        </w:tabs>
        <w:kinsoku w:val="0"/>
        <w:overflowPunct w:val="0"/>
        <w:spacing w:before="26" w:line="355" w:lineRule="auto"/>
        <w:ind w:right="234" w:firstLine="480"/>
        <w:rPr>
          <w:rFonts w:hint="eastAsia" w:ascii="仿宋" w:hAnsi="仿宋" w:eastAsia="仿宋" w:cs="仿宋"/>
          <w:highlight w:val="none"/>
        </w:rPr>
      </w:pPr>
      <w:r>
        <w:rPr>
          <w:rFonts w:hint="eastAsia" w:ascii="仿宋" w:hAnsi="仿宋" w:eastAsia="仿宋" w:cs="仿宋"/>
          <w:highlight w:val="none"/>
        </w:rPr>
        <w:t>2.1 本次磋商遵循公开透明、公平竞争、公正和诚实信用的原则。磋商小组成员按照客观、公正、审慎的原则，根据磋商文件规定的评审程序、评审方法和评审标准进行独立评审。未实质性响应磋商文件的响应文件按无效响应处理，并告知提交响应文件的供应商。</w:t>
      </w:r>
    </w:p>
    <w:p>
      <w:pPr>
        <w:pStyle w:val="8"/>
        <w:tabs>
          <w:tab w:val="left" w:pos="1080"/>
        </w:tabs>
        <w:kinsoku w:val="0"/>
        <w:overflowPunct w:val="0"/>
        <w:spacing w:before="26" w:line="355" w:lineRule="auto"/>
        <w:ind w:right="234" w:firstLine="480"/>
        <w:rPr>
          <w:rFonts w:hint="eastAsia" w:ascii="仿宋" w:hAnsi="仿宋" w:eastAsia="仿宋" w:cs="仿宋"/>
          <w:highlight w:val="none"/>
        </w:rPr>
      </w:pPr>
      <w:r>
        <w:rPr>
          <w:rFonts w:hint="eastAsia" w:ascii="仿宋" w:hAnsi="仿宋" w:eastAsia="仿宋" w:cs="仿宋"/>
          <w:highlight w:val="none"/>
        </w:rPr>
        <w:t>2.2 项目实施机构成立磋商小组，负责本次项目采购的磋商工作，磋商小组由</w:t>
      </w:r>
      <w:r>
        <w:rPr>
          <w:rFonts w:hint="eastAsia" w:hAnsi="仿宋" w:cs="仿宋"/>
          <w:highlight w:val="none"/>
          <w:lang w:eastAsia="zh-CN"/>
        </w:rPr>
        <w:t>采购人专家代表及</w:t>
      </w:r>
      <w:r>
        <w:rPr>
          <w:rFonts w:hint="eastAsia" w:ascii="仿宋" w:hAnsi="仿宋" w:eastAsia="仿宋" w:cs="仿宋"/>
          <w:highlight w:val="none"/>
        </w:rPr>
        <w:t>技术、经济等方面专家组成共3人以上组成，其中评审专家人数不得少于磋商小组成员总数的2/3。评审专家应当从政府采购评审</w:t>
      </w:r>
      <w:r>
        <w:rPr>
          <w:rFonts w:hint="eastAsia" w:hAnsi="仿宋" w:cs="仿宋"/>
          <w:highlight w:val="none"/>
          <w:lang w:val="en-US" w:eastAsia="zh-CN"/>
        </w:rPr>
        <w:t>专</w:t>
      </w:r>
      <w:r>
        <w:rPr>
          <w:rFonts w:hint="eastAsia" w:ascii="仿宋" w:hAnsi="仿宋" w:eastAsia="仿宋" w:cs="仿宋"/>
          <w:highlight w:val="none"/>
        </w:rPr>
        <w:t>家库内相关专业的专家名单中随机抽取，符合本办法（财库214号文）第三条第四项规定情形的项目，以及特殊情况。磋商小组应当根据综合评分情况，按照评审得分由高到低顺序推荐3名成交候选供应商，并编写评审报告。评审得分相同的，按照最后报价由低到高的顺序推荐；评审得分且最后报价相同的，按照技术指标优劣顺序推荐。</w:t>
      </w:r>
    </w:p>
    <w:p>
      <w:pPr>
        <w:pStyle w:val="8"/>
        <w:tabs>
          <w:tab w:val="left" w:pos="1080"/>
        </w:tabs>
        <w:kinsoku w:val="0"/>
        <w:overflowPunct w:val="0"/>
        <w:spacing w:before="26" w:line="355" w:lineRule="auto"/>
        <w:ind w:right="234" w:firstLine="480"/>
        <w:rPr>
          <w:rFonts w:hint="eastAsia" w:ascii="仿宋" w:hAnsi="仿宋" w:eastAsia="仿宋" w:cs="仿宋"/>
          <w:highlight w:val="none"/>
        </w:rPr>
      </w:pPr>
      <w:r>
        <w:rPr>
          <w:rFonts w:hint="eastAsia" w:ascii="仿宋" w:hAnsi="仿宋" w:eastAsia="仿宋" w:cs="仿宋"/>
          <w:highlight w:val="none"/>
        </w:rPr>
        <w:t>2.3 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Style w:val="8"/>
        <w:kinsoku w:val="0"/>
        <w:overflowPunct w:val="0"/>
        <w:spacing w:before="35" w:line="357" w:lineRule="auto"/>
        <w:ind w:left="598" w:right="238" w:hanging="480"/>
        <w:rPr>
          <w:rFonts w:hint="eastAsia" w:ascii="仿宋" w:hAnsi="仿宋" w:eastAsia="仿宋" w:cs="仿宋"/>
          <w:b/>
          <w:bCs/>
          <w:spacing w:val="22"/>
          <w:w w:val="99"/>
          <w:highlight w:val="none"/>
        </w:rPr>
      </w:pPr>
      <w:r>
        <w:rPr>
          <w:rFonts w:hint="eastAsia" w:ascii="仿宋" w:hAnsi="仿宋" w:eastAsia="仿宋" w:cs="仿宋"/>
          <w:b/>
          <w:bCs/>
          <w:w w:val="95"/>
          <w:highlight w:val="none"/>
        </w:rPr>
        <w:t>3.</w:t>
      </w:r>
      <w:r>
        <w:rPr>
          <w:rFonts w:hint="eastAsia" w:ascii="仿宋" w:hAnsi="仿宋" w:eastAsia="仿宋" w:cs="仿宋"/>
          <w:b/>
          <w:bCs/>
          <w:highlight w:val="none"/>
        </w:rPr>
        <w:t>评标</w:t>
      </w:r>
      <w:r>
        <w:rPr>
          <w:rFonts w:hint="eastAsia" w:ascii="仿宋" w:hAnsi="仿宋" w:eastAsia="仿宋" w:cs="仿宋"/>
          <w:b/>
          <w:bCs/>
          <w:spacing w:val="22"/>
          <w:w w:val="99"/>
          <w:highlight w:val="none"/>
        </w:rPr>
        <w:t xml:space="preserve"> </w:t>
      </w:r>
    </w:p>
    <w:p>
      <w:pPr>
        <w:pStyle w:val="8"/>
        <w:tabs>
          <w:tab w:val="left" w:pos="1080"/>
        </w:tabs>
        <w:kinsoku w:val="0"/>
        <w:overflowPunct w:val="0"/>
        <w:spacing w:before="26" w:line="355" w:lineRule="auto"/>
        <w:ind w:right="234" w:firstLine="480"/>
        <w:rPr>
          <w:rFonts w:hint="eastAsia" w:ascii="仿宋" w:hAnsi="仿宋" w:eastAsia="仿宋" w:cs="仿宋"/>
          <w:highlight w:val="none"/>
        </w:rPr>
      </w:pPr>
      <w:r>
        <w:rPr>
          <w:rFonts w:hint="eastAsia" w:ascii="仿宋" w:hAnsi="仿宋" w:eastAsia="仿宋" w:cs="仿宋"/>
          <w:highlight w:val="none"/>
        </w:rPr>
        <w:t>3.1磋商小组按照竞争性磋商文件中规定的方法、评审因素、标准和程序对磋商</w:t>
      </w:r>
      <w:r>
        <w:rPr>
          <w:rFonts w:hint="eastAsia" w:hAnsi="仿宋" w:cs="仿宋"/>
          <w:highlight w:val="none"/>
          <w:lang w:val="en-US" w:eastAsia="zh-CN"/>
        </w:rPr>
        <w:t>响</w:t>
      </w:r>
      <w:r>
        <w:rPr>
          <w:rFonts w:hint="eastAsia" w:ascii="仿宋" w:hAnsi="仿宋" w:eastAsia="仿宋" w:cs="仿宋"/>
          <w:highlight w:val="none"/>
        </w:rPr>
        <w:t>应性文件进行评审。竞争性磋商文件中没有规定的方法、评审因素和标准，不作为评标依据。详见“评标办法”内容。</w:t>
      </w:r>
    </w:p>
    <w:p>
      <w:pPr>
        <w:pStyle w:val="8"/>
        <w:tabs>
          <w:tab w:val="left" w:pos="1080"/>
        </w:tabs>
        <w:kinsoku w:val="0"/>
        <w:overflowPunct w:val="0"/>
        <w:spacing w:before="26" w:line="355" w:lineRule="auto"/>
        <w:ind w:right="234" w:firstLine="480"/>
        <w:rPr>
          <w:rFonts w:hint="eastAsia" w:ascii="仿宋" w:hAnsi="仿宋" w:eastAsia="仿宋" w:cs="仿宋"/>
          <w:highlight w:val="none"/>
        </w:rPr>
      </w:pPr>
      <w:r>
        <w:rPr>
          <w:rFonts w:hint="eastAsia" w:ascii="仿宋" w:hAnsi="仿宋" w:eastAsia="仿宋" w:cs="仿宋"/>
          <w:highlight w:val="none"/>
        </w:rPr>
        <w:t>3.2评标过程严格保密。供应商对评委会的评标过程或合同授予决定施加影响的任何行为都可能导致其投标被拒绝。</w:t>
      </w:r>
    </w:p>
    <w:p>
      <w:pPr>
        <w:pStyle w:val="8"/>
        <w:tabs>
          <w:tab w:val="left" w:pos="1080"/>
        </w:tabs>
        <w:kinsoku w:val="0"/>
        <w:overflowPunct w:val="0"/>
        <w:spacing w:before="26" w:line="355" w:lineRule="auto"/>
        <w:ind w:right="234" w:firstLine="480"/>
        <w:rPr>
          <w:rFonts w:hint="eastAsia" w:ascii="仿宋" w:hAnsi="仿宋" w:eastAsia="仿宋" w:cs="仿宋"/>
          <w:highlight w:val="none"/>
        </w:rPr>
      </w:pPr>
      <w:r>
        <w:rPr>
          <w:rFonts w:hint="eastAsia" w:ascii="仿宋" w:hAnsi="仿宋" w:eastAsia="仿宋" w:cs="仿宋"/>
          <w:highlight w:val="none"/>
        </w:rPr>
        <w:t>3.3 在评标期间，评委会可要求供应商对其磋商响应性文件中非实质性的有关问题进行澄清、说明或者补正。有关澄清、说明或者补正的要求和答复应以书面形式提交。供应商的澄清、说明或者补正不得超出磋商响应性文件的范围或者改变磋商响应性文件的实质性内容。</w:t>
      </w:r>
    </w:p>
    <w:p>
      <w:pPr>
        <w:pStyle w:val="8"/>
        <w:tabs>
          <w:tab w:val="left" w:pos="1080"/>
        </w:tabs>
        <w:kinsoku w:val="0"/>
        <w:overflowPunct w:val="0"/>
        <w:spacing w:before="26" w:line="355" w:lineRule="auto"/>
        <w:ind w:right="234" w:firstLine="480"/>
        <w:rPr>
          <w:rFonts w:hint="eastAsia" w:ascii="仿宋" w:hAnsi="仿宋" w:eastAsia="仿宋" w:cs="仿宋"/>
          <w:highlight w:val="none"/>
        </w:rPr>
      </w:pPr>
      <w:r>
        <w:rPr>
          <w:rFonts w:hint="eastAsia" w:ascii="仿宋" w:hAnsi="仿宋" w:eastAsia="仿宋" w:cs="仿宋"/>
          <w:highlight w:val="none"/>
        </w:rPr>
        <w:t>3.4 评委会认定实质性响应竞争性磋商文件的投标是磋商响应性文件与竞争性磋商文件要求的全部条款、条件和规格相符，没有实质性负偏离。评委会评审磋商响应性文件的响应性依据是磋商响应性文件本身的内容，而不寻求外部的证据。</w:t>
      </w:r>
    </w:p>
    <w:p>
      <w:pPr>
        <w:pStyle w:val="8"/>
        <w:tabs>
          <w:tab w:val="left" w:pos="1080"/>
        </w:tabs>
        <w:kinsoku w:val="0"/>
        <w:overflowPunct w:val="0"/>
        <w:spacing w:before="26" w:line="355" w:lineRule="auto"/>
        <w:ind w:right="234" w:firstLine="480"/>
        <w:rPr>
          <w:rFonts w:hint="eastAsia" w:ascii="仿宋" w:hAnsi="仿宋" w:eastAsia="仿宋" w:cs="仿宋"/>
          <w:highlight w:val="none"/>
        </w:rPr>
      </w:pPr>
      <w:r>
        <w:rPr>
          <w:rFonts w:hint="eastAsia" w:ascii="仿宋" w:hAnsi="仿宋" w:eastAsia="仿宋" w:cs="仿宋"/>
          <w:highlight w:val="none"/>
        </w:rPr>
        <w:t>3.5 如果磋商响应性文件没有实质性响应竞争性磋商文件的要求，评委会将予以拒绝。供应商不得通过修正或撤消不合要求的偏离或保留从而使其投标成为实质性响应的投标。</w:t>
      </w:r>
    </w:p>
    <w:p>
      <w:pPr>
        <w:pStyle w:val="8"/>
        <w:tabs>
          <w:tab w:val="left" w:pos="1080"/>
        </w:tabs>
        <w:kinsoku w:val="0"/>
        <w:overflowPunct w:val="0"/>
        <w:spacing w:before="26" w:line="355" w:lineRule="auto"/>
        <w:ind w:right="234" w:firstLine="480"/>
        <w:rPr>
          <w:rFonts w:hint="eastAsia" w:ascii="仿宋" w:hAnsi="仿宋" w:eastAsia="仿宋" w:cs="仿宋"/>
          <w:highlight w:val="none"/>
        </w:rPr>
      </w:pPr>
      <w:r>
        <w:rPr>
          <w:rFonts w:hint="eastAsia" w:ascii="仿宋" w:hAnsi="仿宋" w:eastAsia="仿宋" w:cs="仿宋"/>
          <w:highlight w:val="none"/>
        </w:rPr>
        <w:t>3.6 评委会只对确定为实质性响应竞争性磋商文件要求的磋商响应性文件，根据竞争性磋商文件的评审标准采用相同的评标程序、评分办法进行评价和比较。</w:t>
      </w:r>
    </w:p>
    <w:p>
      <w:pPr>
        <w:rPr>
          <w:rFonts w:hint="eastAsia"/>
        </w:rPr>
      </w:pPr>
    </w:p>
    <w:p>
      <w:pPr>
        <w:pStyle w:val="3"/>
        <w:rPr>
          <w:rFonts w:hint="eastAsia" w:ascii="仿宋" w:hAnsi="仿宋" w:eastAsia="仿宋" w:cs="仿宋"/>
          <w:highlight w:val="none"/>
        </w:rPr>
      </w:pPr>
      <w:bookmarkStart w:id="11" w:name="_Toc11796"/>
      <w:r>
        <w:rPr>
          <w:rFonts w:hint="eastAsia" w:ascii="仿宋" w:hAnsi="仿宋" w:eastAsia="仿宋" w:cs="仿宋"/>
          <w:highlight w:val="none"/>
        </w:rPr>
        <w:t>（七）定标</w:t>
      </w:r>
      <w:bookmarkEnd w:id="11"/>
    </w:p>
    <w:p>
      <w:pPr>
        <w:pStyle w:val="8"/>
        <w:kinsoku w:val="0"/>
        <w:overflowPunct w:val="0"/>
        <w:spacing w:before="35" w:line="357" w:lineRule="auto"/>
        <w:ind w:left="598" w:right="238" w:hanging="480"/>
        <w:rPr>
          <w:rFonts w:hint="eastAsia" w:ascii="仿宋" w:hAnsi="仿宋" w:eastAsia="仿宋" w:cs="仿宋"/>
          <w:b/>
          <w:bCs/>
          <w:w w:val="95"/>
          <w:highlight w:val="none"/>
        </w:rPr>
      </w:pPr>
      <w:r>
        <w:rPr>
          <w:rFonts w:hint="eastAsia" w:ascii="仿宋" w:hAnsi="仿宋" w:eastAsia="仿宋" w:cs="仿宋"/>
          <w:b/>
          <w:bCs/>
          <w:w w:val="95"/>
          <w:highlight w:val="none"/>
        </w:rPr>
        <w:t>1.定标</w:t>
      </w:r>
    </w:p>
    <w:p>
      <w:pPr>
        <w:spacing w:line="360" w:lineRule="auto"/>
        <w:ind w:firstLine="480" w:firstLineChars="200"/>
        <w:rPr>
          <w:rFonts w:hint="eastAsia" w:ascii="仿宋" w:hAnsi="仿宋" w:eastAsia="仿宋" w:cs="仿宋"/>
          <w:b/>
          <w:bCs/>
          <w:w w:val="95"/>
          <w:kern w:val="0"/>
          <w:sz w:val="24"/>
          <w:szCs w:val="24"/>
          <w:highlight w:val="none"/>
        </w:rPr>
      </w:pPr>
      <w:r>
        <w:rPr>
          <w:rFonts w:hint="eastAsia" w:ascii="仿宋" w:hAnsi="仿宋" w:eastAsia="仿宋" w:cs="仿宋"/>
          <w:sz w:val="24"/>
          <w:szCs w:val="24"/>
          <w:highlight w:val="none"/>
        </w:rPr>
        <w:t>1.1 定标原则：磋商小组按照公开、公平、公正、诚实信用的原则对待参与磋商的供应商的响应文件；经磋商确定最终采购需求和提交最后报价的供应商后，由磋商小组采用综合评分法对提交最后报价的供应商的响应文件和最后报价进行综合评分。</w:t>
      </w:r>
      <w:r>
        <w:rPr>
          <w:rFonts w:hint="eastAsia" w:ascii="仿宋" w:hAnsi="仿宋" w:eastAsia="仿宋" w:cs="仿宋"/>
          <w:kern w:val="0"/>
          <w:sz w:val="24"/>
          <w:szCs w:val="24"/>
          <w:highlight w:val="none"/>
        </w:rPr>
        <w:t xml:space="preserve">能够最大限度满足竞争性磋商文件中规定的各项综合评价标准且得分最高（但投标价格低于成本价的除外）。 </w:t>
      </w:r>
    </w:p>
    <w:p>
      <w:pPr>
        <w:pStyle w:val="8"/>
        <w:tabs>
          <w:tab w:val="left" w:pos="1080"/>
        </w:tabs>
        <w:kinsoku w:val="0"/>
        <w:overflowPunct w:val="0"/>
        <w:spacing w:before="26" w:line="355" w:lineRule="auto"/>
        <w:ind w:right="234" w:firstLine="480"/>
        <w:rPr>
          <w:rFonts w:hint="eastAsia" w:ascii="仿宋" w:hAnsi="仿宋" w:eastAsia="仿宋" w:cs="仿宋"/>
          <w:highlight w:val="none"/>
        </w:rPr>
      </w:pPr>
      <w:r>
        <w:rPr>
          <w:rFonts w:hint="eastAsia" w:ascii="仿宋" w:hAnsi="仿宋" w:eastAsia="仿宋" w:cs="仿宋"/>
          <w:highlight w:val="none"/>
        </w:rPr>
        <w:t>1.2 定标方法：综合评分法。</w:t>
      </w:r>
    </w:p>
    <w:p>
      <w:pPr>
        <w:pStyle w:val="8"/>
        <w:tabs>
          <w:tab w:val="left" w:pos="1080"/>
        </w:tabs>
        <w:kinsoku w:val="0"/>
        <w:overflowPunct w:val="0"/>
        <w:spacing w:before="26" w:line="355" w:lineRule="auto"/>
        <w:ind w:right="234" w:firstLine="480"/>
        <w:rPr>
          <w:rFonts w:hint="eastAsia" w:ascii="仿宋" w:hAnsi="仿宋" w:eastAsia="仿宋" w:cs="仿宋"/>
          <w:highlight w:val="none"/>
        </w:rPr>
      </w:pPr>
      <w:r>
        <w:rPr>
          <w:rFonts w:hint="eastAsia" w:ascii="仿宋" w:hAnsi="仿宋" w:eastAsia="仿宋" w:cs="仿宋"/>
          <w:highlight w:val="none"/>
        </w:rPr>
        <w:t>1.3 定标方式：根据评委会推荐的中标候选人名单，采购人确定中标人。</w:t>
      </w:r>
    </w:p>
    <w:p>
      <w:pPr>
        <w:pStyle w:val="8"/>
        <w:kinsoku w:val="0"/>
        <w:overflowPunct w:val="0"/>
        <w:spacing w:before="35" w:line="357" w:lineRule="auto"/>
        <w:ind w:left="598" w:right="238" w:hanging="480"/>
        <w:rPr>
          <w:rFonts w:hint="eastAsia" w:ascii="仿宋" w:hAnsi="仿宋" w:eastAsia="仿宋" w:cs="仿宋"/>
          <w:b/>
          <w:bCs/>
          <w:w w:val="95"/>
          <w:highlight w:val="none"/>
        </w:rPr>
      </w:pPr>
      <w:r>
        <w:rPr>
          <w:rFonts w:hint="eastAsia" w:ascii="仿宋" w:hAnsi="仿宋" w:eastAsia="仿宋" w:cs="仿宋"/>
          <w:b/>
          <w:bCs/>
          <w:w w:val="95"/>
          <w:highlight w:val="none"/>
        </w:rPr>
        <w:t>2.定标程序</w:t>
      </w:r>
    </w:p>
    <w:p>
      <w:pPr>
        <w:pStyle w:val="8"/>
        <w:tabs>
          <w:tab w:val="left" w:pos="1080"/>
        </w:tabs>
        <w:kinsoku w:val="0"/>
        <w:overflowPunct w:val="0"/>
        <w:spacing w:before="26" w:line="355" w:lineRule="auto"/>
        <w:ind w:right="234" w:firstLine="480"/>
        <w:rPr>
          <w:rFonts w:hint="eastAsia" w:ascii="仿宋" w:hAnsi="仿宋" w:eastAsia="仿宋" w:cs="仿宋"/>
          <w:highlight w:val="none"/>
        </w:rPr>
      </w:pPr>
      <w:r>
        <w:rPr>
          <w:rFonts w:hint="eastAsia" w:ascii="仿宋" w:hAnsi="仿宋" w:eastAsia="仿宋" w:cs="仿宋"/>
          <w:highlight w:val="none"/>
        </w:rPr>
        <w:t>2.1 磋商小组按照综合评审打分结果由高到低排列顺序。综合得分相同的，按投标报价由低到高顺序排列。得分且投标报价相同的，按技术指标优劣顺序排列。前三名的供应商为拟中标候选人。</w:t>
      </w:r>
    </w:p>
    <w:p>
      <w:pPr>
        <w:pStyle w:val="8"/>
        <w:tabs>
          <w:tab w:val="left" w:pos="1080"/>
        </w:tabs>
        <w:kinsoku w:val="0"/>
        <w:overflowPunct w:val="0"/>
        <w:spacing w:before="26" w:line="355" w:lineRule="auto"/>
        <w:ind w:right="234" w:firstLine="480"/>
        <w:rPr>
          <w:rFonts w:hint="eastAsia" w:ascii="仿宋" w:hAnsi="仿宋" w:eastAsia="仿宋" w:cs="仿宋"/>
          <w:highlight w:val="none"/>
        </w:rPr>
      </w:pPr>
      <w:r>
        <w:rPr>
          <w:rFonts w:hint="eastAsia" w:ascii="仿宋" w:hAnsi="仿宋" w:eastAsia="仿宋" w:cs="仿宋"/>
          <w:highlight w:val="none"/>
        </w:rPr>
        <w:t>2.2 采购人根据书面评标报告和被推荐的中标候选人，确定得分最高的供应商为拟中标供单位。</w:t>
      </w:r>
    </w:p>
    <w:p>
      <w:pPr>
        <w:spacing w:line="360" w:lineRule="auto"/>
        <w:ind w:left="105" w:leftChars="50" w:firstLine="525" w:firstLineChars="250"/>
        <w:rPr>
          <w:rFonts w:hint="eastAsia" w:ascii="仿宋" w:hAnsi="仿宋" w:eastAsia="仿宋" w:cs="仿宋"/>
          <w:sz w:val="24"/>
          <w:szCs w:val="24"/>
          <w:highlight w:val="none"/>
        </w:rPr>
      </w:pPr>
      <w:r>
        <w:rPr>
          <w:rFonts w:hint="eastAsia" w:ascii="仿宋" w:hAnsi="仿宋" w:eastAsia="仿宋" w:cs="仿宋"/>
          <w:highlight w:val="none"/>
        </w:rPr>
        <w:t xml:space="preserve">2.3 </w:t>
      </w:r>
      <w:r>
        <w:rPr>
          <w:rFonts w:hint="eastAsia" w:ascii="仿宋" w:hAnsi="仿宋" w:eastAsia="仿宋" w:cs="仿宋"/>
          <w:sz w:val="24"/>
          <w:szCs w:val="24"/>
          <w:highlight w:val="none"/>
        </w:rPr>
        <w:t>中标结果在“</w:t>
      </w:r>
      <w:r>
        <w:rPr>
          <w:rFonts w:hint="eastAsia" w:ascii="仿宋" w:hAnsi="仿宋" w:eastAsia="仿宋" w:cs="仿宋"/>
          <w:color w:val="000000" w:themeColor="text1"/>
          <w:sz w:val="24"/>
          <w:szCs w:val="24"/>
          <w:highlight w:val="none"/>
          <w:lang w:val="en-US" w:eastAsia="zh-CN"/>
          <w14:textFill>
            <w14:solidFill>
              <w14:schemeClr w14:val="tx1"/>
            </w14:solidFill>
          </w14:textFill>
        </w:rPr>
        <w:t>新疆</w:t>
      </w:r>
      <w:r>
        <w:rPr>
          <w:rFonts w:hint="eastAsia" w:ascii="仿宋" w:hAnsi="仿宋" w:eastAsia="仿宋" w:cs="仿宋"/>
          <w:color w:val="000000" w:themeColor="text1"/>
          <w:sz w:val="24"/>
          <w:szCs w:val="24"/>
          <w:highlight w:val="none"/>
          <w14:textFill>
            <w14:solidFill>
              <w14:schemeClr w14:val="tx1"/>
            </w14:solidFill>
          </w14:textFill>
        </w:rPr>
        <w:t>政府采购网</w:t>
      </w:r>
      <w:r>
        <w:rPr>
          <w:rFonts w:hint="eastAsia" w:ascii="仿宋" w:hAnsi="仿宋" w:eastAsia="仿宋" w:cs="仿宋"/>
          <w:sz w:val="24"/>
          <w:szCs w:val="24"/>
          <w:highlight w:val="none"/>
        </w:rPr>
        <w:t>”上予以公告。</w:t>
      </w:r>
      <w:r>
        <w:rPr>
          <w:rFonts w:hint="eastAsia" w:ascii="仿宋" w:hAnsi="仿宋" w:eastAsia="仿宋" w:cs="仿宋"/>
          <w:color w:val="000000" w:themeColor="text1"/>
          <w:sz w:val="24"/>
          <w:szCs w:val="24"/>
          <w:highlight w:val="none"/>
          <w:lang w:val="en-US" w:eastAsia="zh-CN"/>
          <w14:textFill>
            <w14:solidFill>
              <w14:schemeClr w14:val="tx1"/>
            </w14:solidFill>
          </w14:textFill>
        </w:rPr>
        <w:t>公示后</w:t>
      </w:r>
      <w:r>
        <w:rPr>
          <w:rFonts w:hint="eastAsia" w:ascii="仿宋" w:hAnsi="仿宋" w:eastAsia="仿宋" w:cs="仿宋"/>
          <w:color w:val="000000" w:themeColor="text1"/>
          <w:sz w:val="24"/>
          <w:szCs w:val="24"/>
          <w:highlight w:val="none"/>
          <w14:textFill>
            <w14:solidFill>
              <w14:schemeClr w14:val="tx1"/>
            </w14:solidFill>
          </w14:textFill>
        </w:rPr>
        <w:t>向中</w:t>
      </w:r>
      <w:r>
        <w:rPr>
          <w:rFonts w:hint="eastAsia" w:ascii="仿宋" w:hAnsi="仿宋" w:eastAsia="仿宋" w:cs="仿宋"/>
          <w:sz w:val="24"/>
          <w:szCs w:val="24"/>
          <w:highlight w:val="none"/>
        </w:rPr>
        <w:t>标人发出中标通知书。</w:t>
      </w:r>
    </w:p>
    <w:p>
      <w:pPr>
        <w:pStyle w:val="8"/>
        <w:kinsoku w:val="0"/>
        <w:overflowPunct w:val="0"/>
        <w:spacing w:before="151"/>
        <w:rPr>
          <w:rFonts w:hint="eastAsia" w:ascii="仿宋" w:hAnsi="仿宋" w:eastAsia="仿宋" w:cs="仿宋"/>
          <w:highlight w:val="none"/>
        </w:rPr>
      </w:pPr>
      <w:r>
        <w:rPr>
          <w:rFonts w:hint="eastAsia" w:ascii="仿宋" w:hAnsi="仿宋" w:eastAsia="仿宋" w:cs="仿宋"/>
          <w:b/>
          <w:bCs/>
          <w:highlight w:val="none"/>
        </w:rPr>
        <w:t>3.中标通知书</w:t>
      </w:r>
    </w:p>
    <w:p>
      <w:pPr>
        <w:pStyle w:val="8"/>
        <w:tabs>
          <w:tab w:val="left" w:pos="1080"/>
        </w:tabs>
        <w:kinsoku w:val="0"/>
        <w:overflowPunct w:val="0"/>
        <w:spacing w:before="26" w:line="355" w:lineRule="auto"/>
        <w:ind w:right="234" w:firstLine="480"/>
        <w:rPr>
          <w:rFonts w:hint="eastAsia" w:ascii="仿宋" w:hAnsi="仿宋" w:eastAsia="仿宋" w:cs="仿宋"/>
          <w:highlight w:val="none"/>
        </w:rPr>
      </w:pPr>
      <w:r>
        <w:rPr>
          <w:rFonts w:hint="eastAsia" w:ascii="仿宋" w:hAnsi="仿宋" w:eastAsia="仿宋" w:cs="仿宋"/>
          <w:highlight w:val="none"/>
        </w:rPr>
        <w:t>3.1 中标结果在公示期满无质疑或投诉后，该结果将作为正式中标或签订《采购合同》的凭据。招标代理机构将以书面形式《中标通知书》通知中标的供应商其投标被接受。在该通知书发出三十日内，中标单位应与采购人签订采购合同。</w:t>
      </w:r>
    </w:p>
    <w:p>
      <w:pPr>
        <w:pStyle w:val="8"/>
        <w:tabs>
          <w:tab w:val="left" w:pos="1080"/>
        </w:tabs>
        <w:kinsoku w:val="0"/>
        <w:overflowPunct w:val="0"/>
        <w:spacing w:before="26" w:line="355" w:lineRule="auto"/>
        <w:ind w:right="234" w:firstLine="480"/>
        <w:rPr>
          <w:rFonts w:hint="eastAsia" w:ascii="仿宋" w:hAnsi="仿宋" w:eastAsia="仿宋" w:cs="仿宋"/>
          <w:highlight w:val="none"/>
        </w:rPr>
      </w:pPr>
      <w:r>
        <w:rPr>
          <w:rFonts w:hint="eastAsia" w:ascii="仿宋" w:hAnsi="仿宋" w:eastAsia="仿宋" w:cs="仿宋"/>
          <w:highlight w:val="none"/>
        </w:rPr>
        <w:t>3.2 中标通知书为签订政府采购合同的依据，是合同的有效组成部分。</w:t>
      </w:r>
    </w:p>
    <w:p>
      <w:pPr>
        <w:pStyle w:val="8"/>
        <w:tabs>
          <w:tab w:val="left" w:pos="1080"/>
        </w:tabs>
        <w:kinsoku w:val="0"/>
        <w:overflowPunct w:val="0"/>
        <w:spacing w:before="26" w:line="355" w:lineRule="auto"/>
        <w:ind w:right="234" w:firstLine="480"/>
        <w:rPr>
          <w:rFonts w:hint="eastAsia" w:ascii="仿宋" w:hAnsi="仿宋" w:eastAsia="仿宋" w:cs="仿宋"/>
          <w:highlight w:val="none"/>
        </w:rPr>
      </w:pPr>
      <w:r>
        <w:rPr>
          <w:rFonts w:hint="eastAsia" w:ascii="仿宋" w:hAnsi="仿宋" w:eastAsia="仿宋" w:cs="仿宋"/>
          <w:highlight w:val="none"/>
        </w:rPr>
        <w:t>3.3 中标通知书对采购人和中标人均具有法律效力。中标通知书发出后，采购人改变中标结果，或者中标人无正当理由放弃中标的，应当承担相应的法律责任。</w:t>
      </w:r>
    </w:p>
    <w:p>
      <w:pPr>
        <w:rPr>
          <w:rFonts w:hint="eastAsia"/>
        </w:rPr>
      </w:pPr>
    </w:p>
    <w:p>
      <w:pPr>
        <w:pStyle w:val="3"/>
        <w:ind w:firstLine="321" w:firstLineChars="100"/>
        <w:jc w:val="center"/>
        <w:rPr>
          <w:rFonts w:hint="eastAsia" w:ascii="仿宋" w:hAnsi="仿宋" w:eastAsia="仿宋" w:cs="仿宋"/>
          <w:highlight w:val="none"/>
        </w:rPr>
      </w:pPr>
      <w:bookmarkStart w:id="12" w:name="_Toc23542"/>
      <w:r>
        <w:rPr>
          <w:rFonts w:hint="eastAsia" w:ascii="仿宋" w:hAnsi="仿宋" w:eastAsia="仿宋" w:cs="仿宋"/>
          <w:highlight w:val="none"/>
        </w:rPr>
        <w:t>（八）合同签订及履行</w:t>
      </w:r>
      <w:bookmarkEnd w:id="12"/>
    </w:p>
    <w:p>
      <w:pPr>
        <w:pStyle w:val="8"/>
        <w:kinsoku w:val="0"/>
        <w:overflowPunct w:val="0"/>
        <w:spacing w:before="151"/>
        <w:rPr>
          <w:rFonts w:hint="eastAsia" w:ascii="仿宋" w:hAnsi="仿宋" w:eastAsia="仿宋" w:cs="仿宋"/>
          <w:b/>
          <w:bCs/>
          <w:highlight w:val="none"/>
        </w:rPr>
      </w:pPr>
      <w:r>
        <w:rPr>
          <w:rFonts w:hint="eastAsia" w:ascii="仿宋" w:hAnsi="仿宋" w:eastAsia="仿宋" w:cs="仿宋"/>
          <w:b/>
          <w:bCs/>
          <w:highlight w:val="none"/>
        </w:rPr>
        <w:t>1.合同授予原则</w:t>
      </w:r>
    </w:p>
    <w:p>
      <w:pPr>
        <w:pStyle w:val="8"/>
        <w:tabs>
          <w:tab w:val="left" w:pos="1080"/>
        </w:tabs>
        <w:kinsoku w:val="0"/>
        <w:overflowPunct w:val="0"/>
        <w:spacing w:before="26" w:line="355" w:lineRule="auto"/>
        <w:ind w:right="234" w:firstLine="480"/>
        <w:rPr>
          <w:rFonts w:hint="eastAsia" w:ascii="仿宋" w:hAnsi="仿宋" w:eastAsia="仿宋" w:cs="仿宋"/>
          <w:highlight w:val="none"/>
        </w:rPr>
      </w:pPr>
      <w:r>
        <w:rPr>
          <w:rFonts w:hint="eastAsia" w:ascii="仿宋" w:hAnsi="仿宋" w:eastAsia="仿宋" w:cs="仿宋"/>
          <w:highlight w:val="none"/>
        </w:rPr>
        <w:t>1.1 采购人将把合同授予经磋商小组评议推荐，在公示时间后，收到《中标通知书》的投标单位。若因中标单位违约或因不可抗力等原因不能被授予合同，则合同将授予排序在该中标单位之后的下一个供应商，以此类推。</w:t>
      </w:r>
    </w:p>
    <w:p>
      <w:pPr>
        <w:pStyle w:val="8"/>
        <w:tabs>
          <w:tab w:val="left" w:pos="1080"/>
        </w:tabs>
        <w:kinsoku w:val="0"/>
        <w:overflowPunct w:val="0"/>
        <w:spacing w:before="26" w:line="355" w:lineRule="auto"/>
        <w:ind w:right="234" w:firstLine="480"/>
        <w:rPr>
          <w:rFonts w:hint="eastAsia" w:ascii="仿宋" w:hAnsi="仿宋" w:eastAsia="仿宋" w:cs="仿宋"/>
          <w:highlight w:val="none"/>
        </w:rPr>
      </w:pPr>
      <w:r>
        <w:rPr>
          <w:rFonts w:hint="eastAsia" w:ascii="仿宋" w:hAnsi="仿宋" w:eastAsia="仿宋" w:cs="仿宋"/>
          <w:highlight w:val="none"/>
        </w:rPr>
        <w:t>1.2 采购人保留在签订合同时调整方案需求和变动所购服务内容的权力。</w:t>
      </w:r>
    </w:p>
    <w:p>
      <w:pPr>
        <w:pStyle w:val="8"/>
        <w:tabs>
          <w:tab w:val="left" w:pos="1080"/>
        </w:tabs>
        <w:kinsoku w:val="0"/>
        <w:overflowPunct w:val="0"/>
        <w:spacing w:before="26" w:line="355" w:lineRule="auto"/>
        <w:ind w:right="234" w:firstLine="480"/>
        <w:rPr>
          <w:rFonts w:hint="eastAsia" w:ascii="仿宋" w:hAnsi="仿宋" w:eastAsia="仿宋" w:cs="仿宋"/>
          <w:highlight w:val="none"/>
        </w:rPr>
      </w:pPr>
      <w:r>
        <w:rPr>
          <w:rFonts w:hint="eastAsia" w:ascii="仿宋" w:hAnsi="仿宋" w:eastAsia="仿宋" w:cs="仿宋"/>
          <w:highlight w:val="none"/>
        </w:rPr>
        <w:t>1.3 采购人不得向中标人提出任何不合理的要求，作为签订合同的条件，不得与中标人私下订立背离合同实质性内容的任何协议，所签订的合同不得对竞争性磋商文件和中标人磋商响应性文件作实质性修改。</w:t>
      </w:r>
    </w:p>
    <w:p>
      <w:pPr>
        <w:pStyle w:val="8"/>
        <w:tabs>
          <w:tab w:val="left" w:pos="1080"/>
        </w:tabs>
        <w:kinsoku w:val="0"/>
        <w:overflowPunct w:val="0"/>
        <w:spacing w:before="26" w:line="355" w:lineRule="auto"/>
        <w:ind w:right="234" w:firstLine="480"/>
        <w:rPr>
          <w:rFonts w:hint="eastAsia" w:ascii="仿宋" w:hAnsi="仿宋" w:eastAsia="仿宋" w:cs="仿宋"/>
          <w:highlight w:val="none"/>
        </w:rPr>
      </w:pPr>
      <w:r>
        <w:rPr>
          <w:rFonts w:hint="eastAsia" w:ascii="仿宋" w:hAnsi="仿宋" w:eastAsia="仿宋" w:cs="仿宋"/>
          <w:highlight w:val="none"/>
        </w:rPr>
        <w:t>1.4 中标人应当按照合同约定履行义务，完成中标项目的</w:t>
      </w:r>
      <w:r>
        <w:rPr>
          <w:rFonts w:hint="eastAsia" w:hAnsi="仿宋" w:cs="仿宋"/>
          <w:highlight w:val="none"/>
          <w:lang w:eastAsia="zh-CN"/>
        </w:rPr>
        <w:t>设计</w:t>
      </w:r>
      <w:r>
        <w:rPr>
          <w:rFonts w:hint="eastAsia" w:ascii="仿宋" w:hAnsi="仿宋" w:eastAsia="仿宋" w:cs="仿宋"/>
          <w:highlight w:val="none"/>
        </w:rPr>
        <w:t>任务，不得将中标项目的转让（转包）给他人。</w:t>
      </w:r>
    </w:p>
    <w:p>
      <w:pPr>
        <w:pStyle w:val="8"/>
        <w:kinsoku w:val="0"/>
        <w:overflowPunct w:val="0"/>
        <w:spacing w:before="34"/>
        <w:rPr>
          <w:rFonts w:hint="eastAsia" w:ascii="仿宋" w:hAnsi="仿宋" w:eastAsia="仿宋" w:cs="仿宋"/>
          <w:highlight w:val="none"/>
        </w:rPr>
      </w:pPr>
      <w:r>
        <w:rPr>
          <w:rFonts w:hint="eastAsia" w:ascii="仿宋" w:hAnsi="仿宋" w:eastAsia="仿宋" w:cs="仿宋"/>
          <w:b/>
          <w:bCs/>
          <w:highlight w:val="none"/>
        </w:rPr>
        <w:t>2.合同的签署</w:t>
      </w:r>
    </w:p>
    <w:p>
      <w:pPr>
        <w:pStyle w:val="8"/>
        <w:tabs>
          <w:tab w:val="left" w:pos="1080"/>
        </w:tabs>
        <w:kinsoku w:val="0"/>
        <w:overflowPunct w:val="0"/>
        <w:spacing w:before="26" w:line="355" w:lineRule="auto"/>
        <w:ind w:right="234" w:firstLine="480"/>
        <w:rPr>
          <w:rFonts w:hint="eastAsia" w:ascii="仿宋" w:hAnsi="仿宋" w:eastAsia="仿宋" w:cs="仿宋"/>
          <w:highlight w:val="none"/>
        </w:rPr>
      </w:pPr>
      <w:r>
        <w:rPr>
          <w:rFonts w:hint="eastAsia" w:ascii="仿宋" w:hAnsi="仿宋" w:eastAsia="仿宋" w:cs="仿宋"/>
          <w:highlight w:val="none"/>
        </w:rPr>
        <w:t>2.1 中标人依据《中标通知书》与采购人签订合同，签订时间为《中标通知书》发出之日起三十日内。</w:t>
      </w:r>
    </w:p>
    <w:p>
      <w:pPr>
        <w:pStyle w:val="8"/>
        <w:tabs>
          <w:tab w:val="left" w:pos="1080"/>
        </w:tabs>
        <w:kinsoku w:val="0"/>
        <w:overflowPunct w:val="0"/>
        <w:spacing w:before="26" w:line="355" w:lineRule="auto"/>
        <w:ind w:right="234" w:firstLine="480"/>
        <w:rPr>
          <w:rFonts w:hint="eastAsia" w:ascii="仿宋" w:hAnsi="仿宋" w:eastAsia="仿宋" w:cs="仿宋"/>
          <w:highlight w:val="none"/>
        </w:rPr>
      </w:pPr>
      <w:r>
        <w:rPr>
          <w:rFonts w:hint="eastAsia" w:ascii="仿宋" w:hAnsi="仿宋" w:eastAsia="仿宋" w:cs="仿宋"/>
          <w:highlight w:val="none"/>
        </w:rPr>
        <w:t>2.2 中标单位按《中标通知书》中规定的时间和地点，在招标代理机构监督下，由法定代表人或授权代表与采购人签订合同。采购人与中标单位是合同权利与义务的直接全部责任承担人。所发出的《中标通知书》对采购人和中标单位具有同等法律效力。</w:t>
      </w:r>
    </w:p>
    <w:p>
      <w:pPr>
        <w:pStyle w:val="8"/>
        <w:tabs>
          <w:tab w:val="left" w:pos="1080"/>
        </w:tabs>
        <w:kinsoku w:val="0"/>
        <w:overflowPunct w:val="0"/>
        <w:spacing w:before="26" w:line="355" w:lineRule="auto"/>
        <w:ind w:right="234" w:firstLine="480"/>
        <w:rPr>
          <w:rFonts w:hint="eastAsia" w:ascii="仿宋" w:hAnsi="仿宋" w:eastAsia="仿宋" w:cs="仿宋"/>
          <w:highlight w:val="none"/>
        </w:rPr>
      </w:pPr>
      <w:r>
        <w:rPr>
          <w:rFonts w:hint="eastAsia" w:ascii="仿宋" w:hAnsi="仿宋" w:eastAsia="仿宋" w:cs="仿宋"/>
          <w:highlight w:val="none"/>
        </w:rPr>
        <w:t>2.3《中标通知书》发出后，采购人拒绝签订《采购合同》或擅自改变中标内容，按照《中华人民共和国合同法》定金罚则及损害赔偿的原则处罚并办理。若由于中标单位的原因逾期未与采购人签订采购合同的，将视为放弃中标，取消其中标资格并将按照《中华人民共和国政府采购法》相关规定进行处理。</w:t>
      </w:r>
    </w:p>
    <w:p>
      <w:pPr>
        <w:pStyle w:val="8"/>
        <w:kinsoku w:val="0"/>
        <w:overflowPunct w:val="0"/>
        <w:spacing w:before="37" w:line="357" w:lineRule="auto"/>
        <w:ind w:right="2481"/>
        <w:rPr>
          <w:rFonts w:hint="eastAsia" w:ascii="仿宋" w:hAnsi="仿宋" w:eastAsia="仿宋" w:cs="仿宋"/>
          <w:highlight w:val="none"/>
        </w:rPr>
      </w:pPr>
      <w:r>
        <w:rPr>
          <w:rFonts w:hint="eastAsia" w:ascii="仿宋" w:hAnsi="仿宋" w:eastAsia="仿宋" w:cs="仿宋"/>
          <w:b/>
          <w:bCs/>
          <w:highlight w:val="none"/>
        </w:rPr>
        <w:t>3.履行合同</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ascii="仿宋" w:hAnsi="仿宋" w:eastAsia="仿宋" w:cs="仿宋"/>
          <w:highlight w:val="none"/>
        </w:rPr>
        <w:t>3.1 中标人与采购人签订合同后，合同双方应严格执行合同条款，履行合同规定的义务，保证合同的顺利完成。</w:t>
      </w:r>
    </w:p>
    <w:p>
      <w:pPr>
        <w:pStyle w:val="8"/>
        <w:kinsoku w:val="0"/>
        <w:overflowPunct w:val="0"/>
        <w:spacing w:before="34" w:line="355" w:lineRule="auto"/>
        <w:ind w:right="126" w:firstLine="480"/>
        <w:jc w:val="both"/>
        <w:rPr>
          <w:rFonts w:hint="eastAsia" w:ascii="仿宋" w:hAnsi="仿宋" w:eastAsia="仿宋" w:cs="仿宋"/>
          <w:highlight w:val="none"/>
        </w:rPr>
      </w:pPr>
      <w:r>
        <w:rPr>
          <w:rFonts w:hint="eastAsia" w:ascii="仿宋" w:hAnsi="仿宋" w:eastAsia="仿宋" w:cs="仿宋"/>
          <w:highlight w:val="none"/>
        </w:rPr>
        <w:t>3.2 在合同履行过程中，如发生合同纠纷，合同双方应按照《合同法》的有关规定进行处理。</w:t>
      </w:r>
    </w:p>
    <w:p>
      <w:pPr>
        <w:rPr>
          <w:rFonts w:hint="eastAsia"/>
        </w:rPr>
      </w:pPr>
    </w:p>
    <w:p>
      <w:pPr>
        <w:pStyle w:val="3"/>
        <w:rPr>
          <w:rFonts w:hint="eastAsia" w:ascii="仿宋" w:hAnsi="仿宋" w:eastAsia="仿宋" w:cs="仿宋"/>
          <w:highlight w:val="none"/>
        </w:rPr>
      </w:pPr>
      <w:bookmarkStart w:id="13" w:name="_Toc23631"/>
      <w:r>
        <w:rPr>
          <w:rFonts w:hint="eastAsia" w:ascii="仿宋" w:hAnsi="仿宋" w:eastAsia="仿宋" w:cs="仿宋"/>
          <w:highlight w:val="none"/>
        </w:rPr>
        <w:t>（九）重新招标和不再招标</w:t>
      </w:r>
      <w:bookmarkEnd w:id="13"/>
    </w:p>
    <w:p>
      <w:pPr>
        <w:pStyle w:val="8"/>
        <w:kinsoku w:val="0"/>
        <w:overflowPunct w:val="0"/>
        <w:spacing w:before="37" w:line="357" w:lineRule="auto"/>
        <w:ind w:right="2481"/>
        <w:rPr>
          <w:rFonts w:hint="eastAsia" w:ascii="仿宋" w:hAnsi="仿宋" w:eastAsia="仿宋" w:cs="仿宋"/>
          <w:b/>
          <w:bCs/>
          <w:highlight w:val="none"/>
        </w:rPr>
      </w:pPr>
      <w:r>
        <w:rPr>
          <w:rFonts w:hint="eastAsia" w:ascii="仿宋" w:hAnsi="仿宋" w:eastAsia="仿宋" w:cs="仿宋"/>
          <w:b/>
          <w:bCs/>
          <w:highlight w:val="none"/>
        </w:rPr>
        <w:t>1．重新招标</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ascii="仿宋" w:hAnsi="仿宋" w:eastAsia="仿宋" w:cs="仿宋"/>
          <w:highlight w:val="none"/>
        </w:rPr>
        <w:t>有下列情形之一的，采购人将重新招标：</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ascii="仿宋" w:hAnsi="仿宋" w:eastAsia="仿宋" w:cs="仿宋"/>
          <w:highlight w:val="none"/>
        </w:rPr>
        <w:t>（1）投标截止时间止，供应商少于</w:t>
      </w:r>
      <w:r>
        <w:rPr>
          <w:rFonts w:hint="eastAsia" w:ascii="仿宋" w:hAnsi="仿宋" w:eastAsia="仿宋" w:cs="仿宋"/>
          <w:spacing w:val="4"/>
          <w:highlight w:val="none"/>
        </w:rPr>
        <w:t>《政府采购货物和服务招标投标管理办法》、《政府购买服务管理办法（暂行）》、《政府采购竞争性磋商采购方式管理暂行办法》、《财政部关于政府采购竞争性磋商采购方式管理暂行办法有关问题的补充通知》及相关法规</w:t>
      </w:r>
      <w:r>
        <w:rPr>
          <w:rFonts w:hint="eastAsia" w:ascii="仿宋" w:hAnsi="仿宋" w:eastAsia="仿宋" w:cs="仿宋"/>
          <w:highlight w:val="none"/>
        </w:rPr>
        <w:t>规定的家数。</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ascii="仿宋" w:hAnsi="仿宋" w:eastAsia="仿宋" w:cs="仿宋"/>
          <w:highlight w:val="none"/>
        </w:rPr>
        <w:t xml:space="preserve">（2）经磋商小组评审后否决所有投标的。 </w:t>
      </w:r>
    </w:p>
    <w:p>
      <w:pPr>
        <w:pStyle w:val="8"/>
        <w:kinsoku w:val="0"/>
        <w:overflowPunct w:val="0"/>
        <w:spacing w:line="357" w:lineRule="auto"/>
        <w:ind w:right="4044" w:firstLine="24"/>
        <w:rPr>
          <w:rFonts w:hint="eastAsia" w:ascii="仿宋" w:hAnsi="仿宋" w:eastAsia="仿宋" w:cs="仿宋"/>
          <w:highlight w:val="none"/>
        </w:rPr>
      </w:pPr>
      <w:r>
        <w:rPr>
          <w:rFonts w:hint="eastAsia" w:ascii="仿宋" w:hAnsi="仿宋" w:eastAsia="仿宋" w:cs="仿宋"/>
          <w:b/>
          <w:bCs/>
          <w:highlight w:val="none"/>
        </w:rPr>
        <w:t>2．不再招标</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ascii="仿宋" w:hAnsi="仿宋" w:eastAsia="仿宋" w:cs="仿宋"/>
          <w:highlight w:val="none"/>
        </w:rPr>
        <w:t>重新招标后供应商仍少于</w:t>
      </w:r>
      <w:r>
        <w:rPr>
          <w:rFonts w:hint="eastAsia" w:ascii="仿宋" w:hAnsi="仿宋" w:eastAsia="仿宋" w:cs="仿宋"/>
          <w:spacing w:val="4"/>
          <w:highlight w:val="none"/>
        </w:rPr>
        <w:t>《政府采购货物和服务招标投标管理办法》、《政府购买服务管理办法（暂行）》、《政府采购竞争性磋商采购方式管理暂行办法》、《财政部关于政府采购竞争性磋商采购方式管理暂行办法有关问题的补充通知》及相关法规</w:t>
      </w:r>
      <w:r>
        <w:rPr>
          <w:rFonts w:hint="eastAsia" w:ascii="仿宋" w:hAnsi="仿宋" w:eastAsia="仿宋" w:cs="仿宋"/>
          <w:highlight w:val="none"/>
        </w:rPr>
        <w:t>规定的家数，或者所有投标被否决的，属于必须审批或核准的工程建设、货物、服务项目，经原审批或核准部门批准后不再进行招标。</w:t>
      </w:r>
    </w:p>
    <w:p>
      <w:pPr>
        <w:pStyle w:val="3"/>
        <w:rPr>
          <w:rFonts w:hint="eastAsia" w:ascii="仿宋" w:hAnsi="仿宋" w:eastAsia="仿宋" w:cs="仿宋"/>
          <w:highlight w:val="none"/>
        </w:rPr>
      </w:pPr>
      <w:bookmarkStart w:id="14" w:name="_Toc6269"/>
      <w:r>
        <w:rPr>
          <w:rFonts w:hint="eastAsia" w:ascii="仿宋" w:hAnsi="仿宋" w:eastAsia="仿宋" w:cs="仿宋"/>
          <w:highlight w:val="none"/>
        </w:rPr>
        <w:t>（十）纪律和监督</w:t>
      </w:r>
      <w:bookmarkEnd w:id="14"/>
    </w:p>
    <w:p>
      <w:pPr>
        <w:pStyle w:val="8"/>
        <w:kinsoku w:val="0"/>
        <w:overflowPunct w:val="0"/>
        <w:spacing w:line="357" w:lineRule="auto"/>
        <w:ind w:right="4044" w:firstLine="24"/>
        <w:rPr>
          <w:rFonts w:hint="eastAsia" w:ascii="仿宋" w:hAnsi="仿宋" w:eastAsia="仿宋" w:cs="仿宋"/>
          <w:b/>
          <w:bCs/>
          <w:highlight w:val="none"/>
        </w:rPr>
      </w:pPr>
      <w:r>
        <w:rPr>
          <w:rFonts w:hint="eastAsia" w:ascii="仿宋" w:hAnsi="仿宋" w:eastAsia="仿宋" w:cs="仿宋"/>
          <w:b/>
          <w:bCs/>
          <w:highlight w:val="none"/>
        </w:rPr>
        <w:t>1．对采购人的纪律要求</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ascii="仿宋" w:hAnsi="仿宋" w:eastAsia="仿宋" w:cs="仿宋"/>
          <w:highlight w:val="none"/>
        </w:rPr>
        <w:t>采购人不得泄漏招标投标活动中应当保密的情况和资料，不得与供应商串通损害国家利益、社会公共利益或者他人合法权益。下列行为视为采购人与供应商串通投标：</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ascii="仿宋" w:hAnsi="仿宋" w:eastAsia="仿宋" w:cs="仿宋"/>
          <w:highlight w:val="none"/>
        </w:rPr>
        <w:t>(1）采购人在开标前开启磋商响应性文件，并将投标情况告知其它供应商，或者协助供应商撤换磋商响应性文件，更改报价；</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ascii="仿宋" w:hAnsi="仿宋" w:eastAsia="仿宋" w:cs="仿宋"/>
          <w:highlight w:val="none"/>
        </w:rPr>
        <w:t>(2）采购人向供应商泄露标底；</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ascii="仿宋" w:hAnsi="仿宋" w:eastAsia="仿宋" w:cs="仿宋"/>
          <w:highlight w:val="none"/>
        </w:rPr>
        <w:t>(3）采购人与供应商商定，投标时压低或抬高标价，中标后再给供应商或采购人额外补偿；</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ascii="仿宋" w:hAnsi="仿宋" w:eastAsia="仿宋" w:cs="仿宋"/>
          <w:highlight w:val="none"/>
        </w:rPr>
        <w:t>(4）采购人预先内定中标人；</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ascii="仿宋" w:hAnsi="仿宋" w:eastAsia="仿宋" w:cs="仿宋"/>
          <w:highlight w:val="none"/>
        </w:rPr>
        <w:t>(5）其它串通投标行为。</w:t>
      </w:r>
    </w:p>
    <w:p>
      <w:pPr>
        <w:pStyle w:val="8"/>
        <w:kinsoku w:val="0"/>
        <w:overflowPunct w:val="0"/>
        <w:spacing w:before="34" w:line="357" w:lineRule="auto"/>
        <w:ind w:left="598" w:right="178" w:hanging="480"/>
        <w:rPr>
          <w:rFonts w:hint="eastAsia" w:ascii="仿宋" w:hAnsi="仿宋" w:eastAsia="仿宋" w:cs="仿宋"/>
          <w:b/>
          <w:bCs/>
          <w:spacing w:val="25"/>
          <w:w w:val="99"/>
          <w:highlight w:val="none"/>
        </w:rPr>
      </w:pPr>
      <w:r>
        <w:rPr>
          <w:rFonts w:hint="eastAsia" w:ascii="仿宋" w:hAnsi="仿宋" w:eastAsia="仿宋" w:cs="仿宋"/>
          <w:b/>
          <w:bCs/>
          <w:highlight w:val="none"/>
        </w:rPr>
        <w:t>2.对供应商的纪律要求</w:t>
      </w:r>
      <w:r>
        <w:rPr>
          <w:rFonts w:hint="eastAsia" w:ascii="仿宋" w:hAnsi="仿宋" w:eastAsia="仿宋" w:cs="仿宋"/>
          <w:b/>
          <w:bCs/>
          <w:spacing w:val="25"/>
          <w:w w:val="99"/>
          <w:highlight w:val="none"/>
        </w:rPr>
        <w:t xml:space="preserve"> </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ascii="仿宋" w:hAnsi="仿宋" w:eastAsia="仿宋" w:cs="仿宋"/>
          <w:highlight w:val="none"/>
        </w:rPr>
        <w:t>供应商不得相互串通投标或者与采购人串通投标，不得向采购人或者磋商小组成员行贿谋取中标，不得以他人名义投标或者以其他方式弄虚作假骗取中标；供应商不得以任何方式干扰、影响评标工作；不得诋毁、排挤其他供应商；不得在招标过程中与招标采购单位进行协商谈判；不得拒绝有关部门的监督检查或者向监督检查部门提供虚假情况。</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ascii="仿宋" w:hAnsi="仿宋" w:eastAsia="仿宋" w:cs="仿宋"/>
          <w:highlight w:val="none"/>
        </w:rPr>
        <w:t>2.1 下列行为视为以他人名义投标：</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ascii="仿宋" w:hAnsi="仿宋" w:eastAsia="仿宋" w:cs="仿宋"/>
          <w:highlight w:val="none"/>
        </w:rPr>
        <w:t>（1）供应商挂靠其他单位；</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ascii="仿宋" w:hAnsi="仿宋" w:eastAsia="仿宋" w:cs="仿宋"/>
          <w:highlight w:val="none"/>
        </w:rPr>
        <w:t>（2）供应商从其它单位通过转让或租借的方式获取资格或资质证书；</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ascii="仿宋" w:hAnsi="仿宋" w:eastAsia="仿宋" w:cs="仿宋"/>
          <w:highlight w:val="none"/>
        </w:rPr>
        <w:t>（3）由其它单位及法定代表人在自己编制的磋商响应性文件上加盖印章或签字；</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ascii="仿宋" w:hAnsi="仿宋" w:eastAsia="仿宋" w:cs="仿宋"/>
          <w:highlight w:val="none"/>
        </w:rPr>
        <w:t>（4）法律法规规定的其它情形。</w:t>
      </w:r>
    </w:p>
    <w:p>
      <w:pPr>
        <w:pStyle w:val="8"/>
        <w:kinsoku w:val="0"/>
        <w:overflowPunct w:val="0"/>
        <w:spacing w:before="34" w:line="357" w:lineRule="auto"/>
        <w:ind w:right="126" w:firstLine="480"/>
        <w:jc w:val="both"/>
        <w:rPr>
          <w:rFonts w:hint="eastAsia" w:ascii="仿宋" w:hAnsi="仿宋" w:eastAsia="仿宋" w:cs="仿宋"/>
          <w:highlight w:val="none"/>
          <w:lang w:eastAsia="zh-CN"/>
        </w:rPr>
      </w:pPr>
      <w:r>
        <w:rPr>
          <w:rFonts w:hint="eastAsia" w:ascii="仿宋" w:hAnsi="仿宋" w:eastAsia="仿宋" w:cs="仿宋"/>
          <w:highlight w:val="none"/>
        </w:rPr>
        <w:t>2.2 下列行为，视为允许他人以本单位名义承揽工程</w:t>
      </w:r>
      <w:r>
        <w:rPr>
          <w:rFonts w:hint="eastAsia" w:hAnsi="仿宋" w:cs="仿宋"/>
          <w:highlight w:val="none"/>
          <w:lang w:eastAsia="zh-CN"/>
        </w:rPr>
        <w:t>；</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ascii="仿宋" w:hAnsi="仿宋" w:eastAsia="仿宋" w:cs="仿宋"/>
          <w:highlight w:val="none"/>
        </w:rPr>
        <w:t>a) 供应商的法定代表人的委托代理人不是供应商本单位人员；</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ascii="仿宋" w:hAnsi="仿宋" w:eastAsia="仿宋" w:cs="仿宋"/>
          <w:highlight w:val="none"/>
        </w:rPr>
        <w:t>b) 供应商拟在担任本项目的项目负责人或主要技术人员等不是本单位人员；</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ascii="仿宋" w:hAnsi="仿宋" w:eastAsia="仿宋" w:cs="仿宋"/>
          <w:highlight w:val="none"/>
        </w:rPr>
        <w:t>c) 通过出租、出借资质证书或者收取管理费等方式允许他人以本单位名义承接工程；</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hAnsi="仿宋" w:cs="仿宋"/>
          <w:highlight w:val="none"/>
          <w:lang w:val="en-US" w:eastAsia="zh-CN"/>
        </w:rPr>
        <w:t>d</w:t>
      </w:r>
      <w:r>
        <w:rPr>
          <w:rFonts w:hint="eastAsia" w:ascii="仿宋" w:hAnsi="仿宋" w:eastAsia="仿宋" w:cs="仿宋"/>
          <w:highlight w:val="none"/>
        </w:rPr>
        <w:t>) 项目资金未实行项目资金专户分账管理或独立核算制度的；财务管理人员（财务主管和出纳）非本单位人员，或项目资金的使用未经项目经理本人签字、审批的；</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hAnsi="仿宋" w:cs="仿宋"/>
          <w:highlight w:val="none"/>
          <w:lang w:val="en-US" w:eastAsia="zh-CN"/>
        </w:rPr>
        <w:t>e</w:t>
      </w:r>
      <w:r>
        <w:rPr>
          <w:rFonts w:hint="eastAsia" w:ascii="仿宋" w:hAnsi="仿宋" w:eastAsia="仿宋" w:cs="仿宋"/>
          <w:highlight w:val="none"/>
        </w:rPr>
        <w:t>) 中标后，实际由他人履行职责且他人非本单位人员的(项目负责人换为非本单位人员，或其他主要技术人员有 2 个及以上换为非本单位人员)；</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hAnsi="仿宋" w:cs="仿宋"/>
          <w:highlight w:val="none"/>
          <w:lang w:val="en-US" w:eastAsia="zh-CN"/>
        </w:rPr>
        <w:t>f</w:t>
      </w:r>
      <w:r>
        <w:rPr>
          <w:rFonts w:hint="eastAsia" w:ascii="仿宋" w:hAnsi="仿宋" w:eastAsia="仿宋" w:cs="仿宋"/>
          <w:highlight w:val="none"/>
        </w:rPr>
        <w:t>) 法律法规规定的其它情形。上述条件中，供应商本单位人员，必须同时满足以下条件：</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ascii="仿宋" w:hAnsi="仿宋" w:eastAsia="仿宋" w:cs="仿宋"/>
          <w:highlight w:val="none"/>
        </w:rPr>
        <w:t>（1）聘任合同必须由供应商单位与之签订，项目负责人的聘任合同投标前已执行合同一年以上；</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ascii="仿宋" w:hAnsi="仿宋" w:eastAsia="仿宋" w:cs="仿宋"/>
          <w:highlight w:val="none"/>
        </w:rPr>
        <w:t>（2）与供应商单位有合法的工资关系，且投标前已连续支付工资一年以上；</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ascii="仿宋" w:hAnsi="仿宋" w:eastAsia="仿宋" w:cs="仿宋"/>
          <w:highlight w:val="none"/>
        </w:rPr>
        <w:t>（3）供应商单位为其办理社会保险关系，政府人事或社保管理部门出具的有效证明其为本单位人员身份的文件。</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ascii="仿宋" w:hAnsi="仿宋" w:eastAsia="仿宋" w:cs="仿宋"/>
          <w:highlight w:val="none"/>
        </w:rPr>
        <w:t>2.3 下列行为均视为供应商串通投标：</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ascii="仿宋" w:hAnsi="仿宋" w:eastAsia="仿宋" w:cs="仿宋"/>
          <w:highlight w:val="none"/>
        </w:rPr>
        <w:t xml:space="preserve">2.3.1 供应商串通投标报价： </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ascii="仿宋" w:hAnsi="仿宋" w:eastAsia="仿宋" w:cs="仿宋"/>
          <w:highlight w:val="none"/>
        </w:rPr>
        <w:t>a）供应商之间相互约定抬高或压低投标报价；</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ascii="仿宋" w:hAnsi="仿宋" w:eastAsia="仿宋" w:cs="仿宋"/>
          <w:highlight w:val="none"/>
        </w:rPr>
        <w:t xml:space="preserve">b）供应商之间相互约定，在招标项目中分别以高、中、低价位报价； </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ascii="仿宋" w:hAnsi="仿宋" w:eastAsia="仿宋" w:cs="仿宋"/>
          <w:highlight w:val="none"/>
        </w:rPr>
        <w:t xml:space="preserve">c）供应商之间先进行内部竞价，内定中标人，然后再参加投标； </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ascii="仿宋" w:hAnsi="仿宋" w:eastAsia="仿宋" w:cs="仿宋"/>
          <w:highlight w:val="none"/>
        </w:rPr>
        <w:t xml:space="preserve">d）不同供应商的投标报价或报价组成异常一致的； </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ascii="仿宋" w:hAnsi="仿宋" w:eastAsia="仿宋" w:cs="仿宋"/>
          <w:highlight w:val="none"/>
        </w:rPr>
        <w:t>e）供应商之间其它串通投标报价的行为。</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ascii="仿宋" w:hAnsi="仿宋" w:eastAsia="仿宋" w:cs="仿宋"/>
          <w:highlight w:val="none"/>
        </w:rPr>
        <w:t>2.3.2 不同供应商磋商响应性文件的编制人或审核人为同一人或同一单位人员的；</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ascii="仿宋" w:hAnsi="仿宋" w:eastAsia="仿宋" w:cs="仿宋"/>
          <w:highlight w:val="none"/>
        </w:rPr>
        <w:t>2.3.3 不同供应商磋商响应性文件的授权签署人为同一人或同一单位人员的；</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ascii="仿宋" w:hAnsi="仿宋" w:eastAsia="仿宋" w:cs="仿宋"/>
          <w:highlight w:val="none"/>
        </w:rPr>
        <w:t>2.3.4 不同供应商委托同一人办理投标事宜的；</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ascii="仿宋" w:hAnsi="仿宋" w:eastAsia="仿宋" w:cs="仿宋"/>
          <w:highlight w:val="none"/>
        </w:rPr>
        <w:t>2.3.5 不同供应商的磋商响应性文件相互混装的；</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ascii="仿宋" w:hAnsi="仿宋" w:eastAsia="仿宋" w:cs="仿宋"/>
          <w:highlight w:val="none"/>
        </w:rPr>
        <w:t>2.3.6 不同供应商的磋商响应性文件载明的项目成员出现相同人员的；</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ascii="仿宋" w:hAnsi="仿宋" w:eastAsia="仿宋" w:cs="仿宋"/>
          <w:highlight w:val="none"/>
        </w:rPr>
        <w:t>2.3.</w:t>
      </w:r>
      <w:r>
        <w:rPr>
          <w:rFonts w:hint="eastAsia" w:hAnsi="仿宋" w:cs="仿宋"/>
          <w:highlight w:val="none"/>
          <w:lang w:val="en-US" w:eastAsia="zh-CN"/>
        </w:rPr>
        <w:t>7</w:t>
      </w:r>
      <w:r>
        <w:rPr>
          <w:rFonts w:hint="eastAsia" w:ascii="仿宋" w:hAnsi="仿宋" w:eastAsia="仿宋" w:cs="仿宋"/>
          <w:highlight w:val="none"/>
        </w:rPr>
        <w:t xml:space="preserve"> 不同供应商的磋商响应性文件内容存在非正常一致的；</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ascii="仿宋" w:hAnsi="仿宋" w:eastAsia="仿宋" w:cs="仿宋"/>
          <w:highlight w:val="none"/>
        </w:rPr>
        <w:t>2.3.</w:t>
      </w:r>
      <w:r>
        <w:rPr>
          <w:rFonts w:hint="eastAsia" w:hAnsi="仿宋" w:cs="仿宋"/>
          <w:highlight w:val="none"/>
          <w:lang w:val="en-US" w:eastAsia="zh-CN"/>
        </w:rPr>
        <w:t>8</w:t>
      </w:r>
      <w:r>
        <w:rPr>
          <w:rFonts w:hint="eastAsia" w:ascii="仿宋" w:hAnsi="仿宋" w:eastAsia="仿宋" w:cs="仿宋"/>
          <w:highlight w:val="none"/>
        </w:rPr>
        <w:t xml:space="preserve"> 不同供应商的服务方案中专门针对本项目的内容基本雷同的；</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ascii="仿宋" w:hAnsi="仿宋" w:eastAsia="仿宋" w:cs="仿宋"/>
          <w:highlight w:val="none"/>
        </w:rPr>
        <w:t>2.3.</w:t>
      </w:r>
      <w:r>
        <w:rPr>
          <w:rFonts w:hint="eastAsia" w:hAnsi="仿宋" w:cs="仿宋"/>
          <w:highlight w:val="none"/>
          <w:lang w:val="en-US" w:eastAsia="zh-CN"/>
        </w:rPr>
        <w:t>9</w:t>
      </w:r>
      <w:r>
        <w:rPr>
          <w:rFonts w:hint="eastAsia" w:ascii="仿宋" w:hAnsi="仿宋" w:eastAsia="仿宋" w:cs="仿宋"/>
          <w:highlight w:val="none"/>
        </w:rPr>
        <w:t xml:space="preserve"> 不同供应商的磋商响应性文件出现磋商小组认为不应当雷同的情况的；</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ascii="仿宋" w:hAnsi="仿宋" w:eastAsia="仿宋" w:cs="仿宋"/>
          <w:highlight w:val="none"/>
        </w:rPr>
        <w:t>2.3.1</w:t>
      </w:r>
      <w:r>
        <w:rPr>
          <w:rFonts w:hint="eastAsia" w:hAnsi="仿宋" w:cs="仿宋"/>
          <w:highlight w:val="none"/>
          <w:lang w:val="en-US" w:eastAsia="zh-CN"/>
        </w:rPr>
        <w:t>0</w:t>
      </w:r>
      <w:r>
        <w:rPr>
          <w:rFonts w:hint="eastAsia" w:ascii="仿宋" w:hAnsi="仿宋" w:eastAsia="仿宋" w:cs="仿宋"/>
          <w:highlight w:val="none"/>
        </w:rPr>
        <w:t xml:space="preserve"> 法律法规规章规定的其他围标串标行为。</w:t>
      </w:r>
    </w:p>
    <w:p>
      <w:pPr>
        <w:pStyle w:val="8"/>
        <w:kinsoku w:val="0"/>
        <w:overflowPunct w:val="0"/>
        <w:spacing w:before="26" w:line="355" w:lineRule="auto"/>
        <w:ind w:right="50"/>
        <w:rPr>
          <w:rFonts w:hint="eastAsia" w:ascii="仿宋" w:hAnsi="仿宋" w:eastAsia="仿宋" w:cs="仿宋"/>
          <w:highlight w:val="none"/>
        </w:rPr>
      </w:pPr>
      <w:r>
        <w:rPr>
          <w:rFonts w:hint="eastAsia" w:ascii="仿宋" w:hAnsi="仿宋" w:eastAsia="仿宋" w:cs="仿宋"/>
          <w:b/>
          <w:bCs/>
          <w:highlight w:val="none"/>
        </w:rPr>
        <w:t>3.对磋商小组成员的纪律要求</w:t>
      </w:r>
      <w:r>
        <w:rPr>
          <w:rFonts w:hint="eastAsia" w:ascii="仿宋" w:hAnsi="仿宋" w:eastAsia="仿宋" w:cs="仿宋"/>
          <w:highlight w:val="none"/>
        </w:rPr>
        <w:t xml:space="preserve"> </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ascii="仿宋" w:hAnsi="仿宋" w:eastAsia="仿宋" w:cs="仿宋"/>
          <w:highlight w:val="none"/>
        </w:rPr>
        <w:t>磋商小组成员不得收受他人的财物或者其他好处，不得向他人透漏对磋商响应性文件的评审和比较、中标候选人的推荐情况以及评标有关的其他情况。在评标活动中，磋商小组成员不得擅离职守，</w:t>
      </w:r>
      <w:bookmarkStart w:id="15" w:name="（十二）无效投标"/>
      <w:bookmarkEnd w:id="15"/>
      <w:bookmarkStart w:id="16" w:name="bookmark14"/>
      <w:bookmarkEnd w:id="16"/>
      <w:bookmarkStart w:id="17" w:name="bookmark13"/>
      <w:bookmarkEnd w:id="17"/>
      <w:bookmarkStart w:id="18" w:name="（十三）废标"/>
      <w:bookmarkEnd w:id="18"/>
      <w:r>
        <w:rPr>
          <w:rFonts w:hint="eastAsia" w:ascii="仿宋" w:hAnsi="仿宋" w:eastAsia="仿宋" w:cs="仿宋"/>
          <w:highlight w:val="none"/>
        </w:rPr>
        <w:t>影响评标程序正常进行，不得使用“评标办法”没有规定的 评审因素和标准进行评标。</w:t>
      </w:r>
    </w:p>
    <w:p>
      <w:pPr>
        <w:pStyle w:val="8"/>
        <w:kinsoku w:val="0"/>
        <w:overflowPunct w:val="0"/>
        <w:spacing w:before="38" w:line="357" w:lineRule="auto"/>
        <w:ind w:left="598" w:right="50" w:hanging="480"/>
        <w:rPr>
          <w:rFonts w:hint="eastAsia" w:ascii="仿宋" w:hAnsi="仿宋" w:eastAsia="仿宋" w:cs="仿宋"/>
          <w:b/>
          <w:bCs/>
          <w:spacing w:val="26"/>
          <w:w w:val="99"/>
          <w:highlight w:val="none"/>
        </w:rPr>
      </w:pPr>
      <w:r>
        <w:rPr>
          <w:rFonts w:hint="eastAsia" w:ascii="仿宋" w:hAnsi="仿宋" w:eastAsia="仿宋" w:cs="仿宋"/>
          <w:b/>
          <w:bCs/>
          <w:highlight w:val="none"/>
        </w:rPr>
        <w:t>4.对与评标活动有关的工作人员的纪律要求</w:t>
      </w:r>
      <w:r>
        <w:rPr>
          <w:rFonts w:hint="eastAsia" w:ascii="仿宋" w:hAnsi="仿宋" w:eastAsia="仿宋" w:cs="仿宋"/>
          <w:b/>
          <w:bCs/>
          <w:spacing w:val="26"/>
          <w:w w:val="99"/>
          <w:highlight w:val="none"/>
        </w:rPr>
        <w:t xml:space="preserve"> </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ascii="仿宋" w:hAnsi="仿宋" w:eastAsia="仿宋" w:cs="仿宋"/>
          <w:highlight w:val="none"/>
        </w:rPr>
        <w:t>与评标活动有关的工作人员不得收受他人的财物或者其他好处，不得向他人透漏对标文件的评审和比较、中标候选人的推荐情况以及评标有关的其他情况。在评标活动中，与评标活动有关的工作人员不得擅离职守，影响评标程序正常进行。</w:t>
      </w:r>
    </w:p>
    <w:p>
      <w:pPr>
        <w:pStyle w:val="3"/>
        <w:rPr>
          <w:rFonts w:hint="eastAsia" w:ascii="仿宋" w:hAnsi="仿宋" w:eastAsia="仿宋" w:cs="仿宋"/>
          <w:highlight w:val="none"/>
        </w:rPr>
      </w:pPr>
      <w:bookmarkStart w:id="19" w:name="_Toc23224"/>
      <w:r>
        <w:rPr>
          <w:rFonts w:hint="eastAsia" w:ascii="仿宋" w:hAnsi="仿宋" w:eastAsia="仿宋" w:cs="仿宋"/>
          <w:highlight w:val="none"/>
        </w:rPr>
        <w:t>（十一）无效投标</w:t>
      </w:r>
      <w:bookmarkEnd w:id="19"/>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ascii="仿宋" w:hAnsi="仿宋" w:eastAsia="仿宋" w:cs="仿宋"/>
          <w:highlight w:val="none"/>
        </w:rPr>
        <w:t xml:space="preserve">遇到下列情况之一时, 供应商的投标将被视为无效投标: </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hAnsi="仿宋" w:cs="仿宋"/>
          <w:highlight w:val="none"/>
          <w:lang w:val="en-US" w:eastAsia="zh-CN"/>
        </w:rPr>
        <w:t>1</w:t>
      </w:r>
      <w:r>
        <w:rPr>
          <w:rFonts w:hint="eastAsia" w:ascii="仿宋" w:hAnsi="仿宋" w:eastAsia="仿宋" w:cs="仿宋"/>
          <w:highlight w:val="none"/>
        </w:rPr>
        <w:t>)投标文件未按招标文件要求签署、盖章的；</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hAnsi="仿宋" w:cs="仿宋"/>
          <w:highlight w:val="none"/>
          <w:lang w:val="en-US" w:eastAsia="zh-CN"/>
        </w:rPr>
        <w:t>2</w:t>
      </w:r>
      <w:r>
        <w:rPr>
          <w:rFonts w:hint="eastAsia" w:ascii="仿宋" w:hAnsi="仿宋" w:eastAsia="仿宋" w:cs="仿宋"/>
          <w:highlight w:val="none"/>
        </w:rPr>
        <w:t>)不具备招标文件中规定的资格要求的；</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hAnsi="仿宋" w:cs="仿宋"/>
          <w:highlight w:val="none"/>
          <w:lang w:val="en-US" w:eastAsia="zh-CN"/>
        </w:rPr>
        <w:t>3</w:t>
      </w:r>
      <w:r>
        <w:rPr>
          <w:rFonts w:hint="eastAsia" w:ascii="仿宋" w:hAnsi="仿宋" w:eastAsia="仿宋" w:cs="仿宋"/>
          <w:highlight w:val="none"/>
        </w:rPr>
        <w:t>) 报价超过招标文件中规定的预算金额或者最高限价的；</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hAnsi="仿宋" w:cs="仿宋"/>
          <w:highlight w:val="none"/>
          <w:lang w:val="en-US" w:eastAsia="zh-CN"/>
        </w:rPr>
        <w:t>4</w:t>
      </w:r>
      <w:r>
        <w:rPr>
          <w:rFonts w:hint="eastAsia" w:ascii="仿宋" w:hAnsi="仿宋" w:eastAsia="仿宋" w:cs="仿宋"/>
          <w:highlight w:val="none"/>
        </w:rPr>
        <w:t>) 投标文件含有采购人不能接受的附加条件的；</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hAnsi="仿宋" w:cs="仿宋"/>
          <w:highlight w:val="none"/>
          <w:lang w:val="en-US" w:eastAsia="zh-CN"/>
        </w:rPr>
        <w:t>5</w:t>
      </w:r>
      <w:r>
        <w:rPr>
          <w:rFonts w:hint="eastAsia" w:ascii="仿宋" w:hAnsi="仿宋" w:eastAsia="仿宋" w:cs="仿宋"/>
          <w:highlight w:val="none"/>
        </w:rPr>
        <w:t>)法律、法规和招标文件规定的其他无效情形；</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hAnsi="仿宋" w:cs="仿宋"/>
          <w:highlight w:val="none"/>
          <w:lang w:val="en-US" w:eastAsia="zh-CN"/>
        </w:rPr>
        <w:t>6</w:t>
      </w:r>
      <w:r>
        <w:rPr>
          <w:rFonts w:hint="eastAsia" w:ascii="仿宋" w:hAnsi="仿宋" w:eastAsia="仿宋" w:cs="仿宋"/>
          <w:highlight w:val="none"/>
        </w:rPr>
        <w:t xml:space="preserve">)有下列情形之一的，视为供应商串通投标，其投标无效： </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ascii="仿宋" w:hAnsi="仿宋" w:eastAsia="仿宋" w:cs="仿宋"/>
          <w:highlight w:val="none"/>
        </w:rPr>
        <w:t xml:space="preserve">A、不同供应商的投标文件由同一单位或者个人编制； </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ascii="仿宋" w:hAnsi="仿宋" w:eastAsia="仿宋" w:cs="仿宋"/>
          <w:highlight w:val="none"/>
        </w:rPr>
        <w:t xml:space="preserve">B、不同供应商委托同一单位或者个人办理投标事宜； </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ascii="仿宋" w:hAnsi="仿宋" w:eastAsia="仿宋" w:cs="仿宋"/>
          <w:highlight w:val="none"/>
        </w:rPr>
        <w:t xml:space="preserve">C、不同供应商的投标文件载明的项目管理成员或者联系人员为同一人； </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ascii="仿宋" w:hAnsi="仿宋" w:eastAsia="仿宋" w:cs="仿宋"/>
          <w:highlight w:val="none"/>
        </w:rPr>
        <w:t xml:space="preserve">D、不同供应商的投标文件异常一致或者投标报价呈规律性差异； </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ascii="仿宋" w:hAnsi="仿宋" w:eastAsia="仿宋" w:cs="仿宋"/>
          <w:highlight w:val="none"/>
        </w:rPr>
        <w:t xml:space="preserve">E、不同供应商的投标文件相互混装； </w:t>
      </w:r>
    </w:p>
    <w:p>
      <w:pPr>
        <w:pStyle w:val="3"/>
        <w:rPr>
          <w:rFonts w:hint="eastAsia" w:ascii="仿宋" w:hAnsi="仿宋" w:eastAsia="仿宋" w:cs="仿宋"/>
          <w:highlight w:val="none"/>
        </w:rPr>
      </w:pPr>
      <w:bookmarkStart w:id="20" w:name="_Toc25703"/>
      <w:r>
        <w:rPr>
          <w:rFonts w:hint="eastAsia" w:ascii="仿宋" w:hAnsi="仿宋" w:eastAsia="仿宋" w:cs="仿宋"/>
          <w:highlight w:val="none"/>
        </w:rPr>
        <w:t>（十二）废标</w:t>
      </w:r>
      <w:bookmarkEnd w:id="20"/>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ascii="仿宋" w:hAnsi="仿宋" w:eastAsia="仿宋" w:cs="仿宋"/>
          <w:highlight w:val="none"/>
        </w:rPr>
        <w:t>招标采购中，出现下列情形之一的，予以废标：</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ascii="仿宋" w:hAnsi="仿宋" w:eastAsia="仿宋" w:cs="仿宋"/>
          <w:highlight w:val="none"/>
        </w:rPr>
        <w:t>（1）符合专业条件的投标单位或者对竞争性磋商文件作实质响应的投标单位不足</w:t>
      </w:r>
      <w:r>
        <w:rPr>
          <w:rFonts w:hint="eastAsia" w:ascii="仿宋" w:hAnsi="仿宋" w:eastAsia="仿宋" w:cs="仿宋"/>
          <w:spacing w:val="4"/>
          <w:highlight w:val="none"/>
        </w:rPr>
        <w:t>《政府采购货物和服务招标投标管理办法》、《政府购买服务管理办法（暂行）》、《政府采购竞争性磋商采购方式管理暂行办法》、《财政部关于政府采购竞争性磋商采购方式管理暂行办法有关问题的补充通知》及相关法规</w:t>
      </w:r>
      <w:r>
        <w:rPr>
          <w:rFonts w:hint="eastAsia" w:ascii="仿宋" w:hAnsi="仿宋" w:eastAsia="仿宋" w:cs="仿宋"/>
          <w:highlight w:val="none"/>
        </w:rPr>
        <w:t>规定的家数；</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ascii="仿宋" w:hAnsi="仿宋" w:eastAsia="仿宋" w:cs="仿宋"/>
          <w:highlight w:val="none"/>
        </w:rPr>
        <w:t>（2）出现影响采购公正的违法、违规行为的；</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ascii="仿宋" w:hAnsi="仿宋" w:eastAsia="仿宋" w:cs="仿宋"/>
          <w:highlight w:val="none"/>
        </w:rPr>
        <w:t>（3）供应商的报价均超过了采购预算，采购人不能支付的；</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ascii="仿宋" w:hAnsi="仿宋" w:eastAsia="仿宋" w:cs="仿宋"/>
          <w:highlight w:val="none"/>
        </w:rPr>
        <w:t>（4）因重大变故，采购任务取消的。废标后，招标代理机构应在发布公告相同的网站上公告，并公告废标的详细理由。</w:t>
      </w:r>
    </w:p>
    <w:p>
      <w:pPr>
        <w:pStyle w:val="3"/>
        <w:rPr>
          <w:rFonts w:hint="eastAsia" w:ascii="仿宋" w:hAnsi="仿宋" w:eastAsia="仿宋" w:cs="仿宋"/>
          <w:highlight w:val="none"/>
        </w:rPr>
      </w:pPr>
      <w:bookmarkStart w:id="21" w:name="_Toc30761"/>
      <w:r>
        <w:rPr>
          <w:rFonts w:hint="eastAsia" w:ascii="仿宋" w:hAnsi="仿宋" w:eastAsia="仿宋" w:cs="仿宋"/>
          <w:highlight w:val="none"/>
        </w:rPr>
        <w:t>（十三）质疑和投诉</w:t>
      </w:r>
      <w:bookmarkEnd w:id="21"/>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ascii="仿宋" w:hAnsi="仿宋" w:eastAsia="仿宋" w:cs="仿宋"/>
          <w:highlight w:val="none"/>
        </w:rPr>
        <w:t>1.供应商对政府采购活动事项有疑问的，可以向采购人提出询问，采购人应当及时作出答复，但答复的内容不得涉及商业秘密。</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ascii="仿宋" w:hAnsi="仿宋" w:eastAsia="仿宋" w:cs="仿宋"/>
          <w:highlight w:val="none"/>
        </w:rPr>
        <w:t>2.供应商认为竞争性磋商文件、采购过程和中标、中标结果使自己的权益受到损害的，可以在知道或者应知其权益受到损害之日起七个工作日内，以规范的格式，详实的证明材料以书面形式向采购人提出质疑。</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ascii="仿宋" w:hAnsi="仿宋" w:eastAsia="仿宋" w:cs="仿宋"/>
          <w:highlight w:val="none"/>
        </w:rPr>
        <w:t>3.采购人应当在收到供应商的书面质疑后七个工作日内作出答复，并以书面形式通知质疑供应商和其他有关供应商，但答复的内容不得涉及商业秘密。</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ascii="仿宋" w:hAnsi="仿宋" w:eastAsia="仿宋" w:cs="仿宋"/>
          <w:highlight w:val="none"/>
        </w:rPr>
        <w:t>4.采购人委托采购代理机构采购的，供应商可以向采购代理机构提出询问或者质疑，采购代理机构应当依照《中华人民共和国政府采购法》第五十一条、第五十三条的规定就采购人委托授权范围内的事项作出答复。</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ascii="仿宋" w:hAnsi="仿宋" w:eastAsia="仿宋" w:cs="仿宋"/>
          <w:highlight w:val="none"/>
        </w:rPr>
        <w:t>5.质疑供应商对采购人、采购代理机构的答复不满意或者采购人、采购代理机构未在规定的时间内作出答复的，可以在答复期满后十五个工作日内向同级政府采购监督管理部门投诉。</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ascii="仿宋" w:hAnsi="仿宋" w:eastAsia="仿宋" w:cs="仿宋"/>
          <w:highlight w:val="none"/>
        </w:rPr>
        <w:t>6.政府采购监督管理部门应当在收到投诉后三十个工作日内，对投诉事项作出处理决定，并以书面形式通知投诉人和与投诉事项有关的当事人。</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ascii="仿宋" w:hAnsi="仿宋" w:eastAsia="仿宋" w:cs="仿宋"/>
          <w:highlight w:val="none"/>
        </w:rPr>
        <w:t>7.政府采购监督管理部门在处理投诉事项期间，可以视具体情况书面通知采购人暂停采购活动，但暂停时间最长不得超过三十日。</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ascii="仿宋" w:hAnsi="仿宋" w:eastAsia="仿宋" w:cs="仿宋"/>
          <w:highlight w:val="none"/>
        </w:rPr>
        <w:t>8.投诉人对政府采购监督管理部门的投诉处理决定不服或者政府采购监督管理部门逾期未作处理的，可以依法申请行政复议或者向人民法院提起行政诉讼。</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ascii="仿宋" w:hAnsi="仿宋" w:eastAsia="仿宋" w:cs="仿宋"/>
          <w:highlight w:val="none"/>
        </w:rPr>
        <w:t>9.质疑、投诉书应当包括下列主要内容：</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ascii="仿宋" w:hAnsi="仿宋" w:eastAsia="仿宋" w:cs="仿宋"/>
          <w:highlight w:val="none"/>
        </w:rPr>
        <w:t>（1）投诉人和被投诉人的名称、地址、电话等；</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ascii="仿宋" w:hAnsi="仿宋" w:eastAsia="仿宋" w:cs="仿宋"/>
          <w:highlight w:val="none"/>
        </w:rPr>
        <w:t>（2）具体的投诉事项及事实依据；</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ascii="仿宋" w:hAnsi="仿宋" w:eastAsia="仿宋" w:cs="仿宋"/>
          <w:highlight w:val="none"/>
        </w:rPr>
        <w:t>（3）提供有关质疑事项真实可靠的书面证明材料；</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ascii="仿宋" w:hAnsi="仿宋" w:eastAsia="仿宋" w:cs="仿宋"/>
          <w:highlight w:val="none"/>
        </w:rPr>
        <w:t>（4）提起投诉的日期。 质疑、投诉书应当署名。质疑、投诉人为自然人的，应当由本人签字；质疑、投诉人为法人或者其他组织的，应当由法定代表人签字并加盖公章；质疑、投诉人为委托授 权人的应该出具针对本质疑、投诉事项的法人委托授权书。</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ascii="仿宋" w:hAnsi="仿宋" w:eastAsia="仿宋" w:cs="仿宋"/>
          <w:highlight w:val="none"/>
        </w:rPr>
        <w:t>10.投诉人有下列情形之一的，属于虚假、恶意投诉，财政部门应当驳回投诉，将其列入不良行为记录名单，并依法予以处罚：</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ascii="仿宋" w:hAnsi="仿宋" w:eastAsia="仿宋" w:cs="仿宋"/>
          <w:highlight w:val="none"/>
        </w:rPr>
        <w:t>（1）1 年内 3 次以上投诉均查无实据的；</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ascii="仿宋" w:hAnsi="仿宋" w:eastAsia="仿宋" w:cs="仿宋"/>
          <w:highlight w:val="none"/>
        </w:rPr>
        <w:t xml:space="preserve">（2）捏造事实或者提供虚假投诉材料的。 </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ascii="仿宋" w:hAnsi="仿宋" w:eastAsia="仿宋" w:cs="仿宋"/>
          <w:highlight w:val="none"/>
        </w:rPr>
        <w:t>11.澄清或质疑不予受理的情况有下列情形之一的，属于无效质疑，被质疑人不予受理，由此产生的影响由供应商自行承担：</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ascii="仿宋" w:hAnsi="仿宋" w:eastAsia="仿宋" w:cs="仿宋"/>
          <w:highlight w:val="none"/>
        </w:rPr>
        <w:t>（1）不是参与该政府采购项目活动供应商的；</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ascii="仿宋" w:hAnsi="仿宋" w:eastAsia="仿宋" w:cs="仿宋"/>
          <w:highlight w:val="none"/>
        </w:rPr>
        <w:t>（2）被质疑人为采购人或政府采购代理机构之外的；</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ascii="仿宋" w:hAnsi="仿宋" w:eastAsia="仿宋" w:cs="仿宋"/>
          <w:highlight w:val="none"/>
        </w:rPr>
        <w:t>（3）所有质疑事项超过质疑有效期的；</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ascii="仿宋" w:hAnsi="仿宋" w:eastAsia="仿宋" w:cs="仿宋"/>
          <w:highlight w:val="none"/>
        </w:rPr>
        <w:t>（4）以具有法律效力的文书送达之外方式提出的；</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ascii="仿宋" w:hAnsi="仿宋" w:eastAsia="仿宋" w:cs="仿宋"/>
          <w:highlight w:val="none"/>
        </w:rPr>
        <w:t>（5）未按上述规定递交澄清或质疑函的；</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ascii="仿宋" w:hAnsi="仿宋" w:eastAsia="仿宋" w:cs="仿宋"/>
          <w:highlight w:val="none"/>
        </w:rPr>
        <w:t>（6）其它不符合受理条件的情形。</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ascii="仿宋" w:hAnsi="仿宋" w:eastAsia="仿宋" w:cs="仿宋"/>
          <w:highlight w:val="none"/>
        </w:rPr>
        <w:t xml:space="preserve"> 12.腐败和欺诈行为</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ascii="仿宋" w:hAnsi="仿宋" w:eastAsia="仿宋" w:cs="仿宋"/>
          <w:highlight w:val="none"/>
        </w:rPr>
        <w:t>（1）定义 “腐败行为”系指提供、给予、接受或索取任何有价值的物品来影响招标代理机构和/或采购人在采购过程或合同实施过程中的行为。 “欺诈行为”系指为了影响采购过程或合同实施过程而谎报事实，损害招标代理机构和采购人的利益，包括供应商之间串通投标（递交《磋商响应性文件》之前和之后）， 人为地使投标丧失竞争性，剥夺采购人从自由公开竞争所能获得的权益。</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ascii="仿宋" w:hAnsi="仿宋" w:eastAsia="仿宋" w:cs="仿宋"/>
          <w:highlight w:val="none"/>
        </w:rPr>
        <w:t>（2）如果招标代理机构和采购人认为供应商在本项目的竞争中有腐败或欺诈行为， 其投标将被拒绝。</w:t>
      </w:r>
    </w:p>
    <w:p>
      <w:pPr>
        <w:pStyle w:val="2"/>
        <w:rPr>
          <w:rFonts w:hint="eastAsia" w:ascii="仿宋" w:hAnsi="仿宋" w:eastAsia="仿宋" w:cs="仿宋"/>
          <w:spacing w:val="1"/>
          <w:highlight w:val="none"/>
        </w:rPr>
      </w:pPr>
      <w:r>
        <w:rPr>
          <w:rFonts w:hint="eastAsia" w:ascii="仿宋" w:hAnsi="仿宋" w:eastAsia="仿宋" w:cs="仿宋"/>
          <w:highlight w:val="none"/>
        </w:rPr>
        <w:br w:type="page"/>
      </w:r>
      <w:bookmarkStart w:id="22" w:name="_Toc1184"/>
      <w:r>
        <w:rPr>
          <w:rFonts w:hint="eastAsia" w:ascii="仿宋" w:hAnsi="仿宋" w:eastAsia="仿宋" w:cs="仿宋"/>
          <w:w w:val="95"/>
          <w:highlight w:val="none"/>
        </w:rPr>
        <w:t>第三章</w:t>
      </w:r>
      <w:r>
        <w:rPr>
          <w:rFonts w:hint="eastAsia" w:ascii="仿宋" w:hAnsi="仿宋" w:cs="仿宋"/>
          <w:w w:val="95"/>
          <w:highlight w:val="none"/>
          <w:lang w:val="en-US" w:eastAsia="zh-CN"/>
        </w:rPr>
        <w:t xml:space="preserve"> </w:t>
      </w:r>
      <w:r>
        <w:rPr>
          <w:rFonts w:hint="eastAsia" w:ascii="仿宋" w:hAnsi="仿宋" w:eastAsia="仿宋" w:cs="仿宋"/>
          <w:spacing w:val="1"/>
          <w:highlight w:val="none"/>
        </w:rPr>
        <w:t>评标办法</w:t>
      </w:r>
      <w:bookmarkEnd w:id="22"/>
    </w:p>
    <w:p>
      <w:pPr>
        <w:rPr>
          <w:rFonts w:hint="eastAsia" w:ascii="仿宋" w:hAnsi="仿宋" w:eastAsia="仿宋" w:cs="仿宋"/>
          <w:b/>
          <w:bCs/>
          <w:highlight w:val="none"/>
        </w:rPr>
      </w:pPr>
      <w:r>
        <w:rPr>
          <w:rFonts w:hint="eastAsia" w:ascii="仿宋" w:hAnsi="仿宋" w:eastAsia="仿宋" w:cs="仿宋"/>
          <w:b/>
          <w:bCs/>
          <w:highlight w:val="none"/>
        </w:rPr>
        <w:t>一、总则</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ascii="仿宋" w:hAnsi="仿宋" w:eastAsia="仿宋" w:cs="仿宋"/>
          <w:highlight w:val="none"/>
        </w:rPr>
        <w:t>1.根据《中华人民共和国政府采购法》、《中华人民共和国政府采购法实施条例》、《政府购买服务管理办法（暂行）》、《政府采购竞争性磋商采购方式管理暂行办法》等法律规章，结合采购项目特点制定本评标办法。</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ascii="仿宋" w:hAnsi="仿宋" w:eastAsia="仿宋" w:cs="仿宋"/>
          <w:highlight w:val="none"/>
        </w:rPr>
        <w:t>2.评标工作由招标代理机构负责组织，具体评标事务由招标代理机构依法组建的磋商小组负责。磋商小组成员人数不少于 3 人，为单数，其中技术、经济等方面的专家不少于成员总数的三分之二。磋商小组由技术、经济等方面的专家组成。</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ascii="仿宋" w:hAnsi="仿宋" w:eastAsia="仿宋" w:cs="仿宋"/>
          <w:highlight w:val="none"/>
        </w:rPr>
        <w:t>3.评标工作应遵循公平、公正、科学及择优的原则，并以相同的评标程序和标准对待所有的供应商。</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ascii="仿宋" w:hAnsi="仿宋" w:eastAsia="仿宋" w:cs="仿宋"/>
          <w:highlight w:val="none"/>
        </w:rPr>
        <w:t>4.磋商小组按照竞争性磋商文件规定的评标方法和标准进行评标，并独立履行下列职责：</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ascii="仿宋" w:hAnsi="仿宋" w:eastAsia="仿宋" w:cs="仿宋"/>
          <w:highlight w:val="none"/>
        </w:rPr>
        <w:t>（1）审查磋商响应性文件是否符合竞争性磋商文件要求，并做出评价；</w:t>
      </w:r>
    </w:p>
    <w:p>
      <w:pPr>
        <w:pStyle w:val="8"/>
        <w:kinsoku w:val="0"/>
        <w:overflowPunct w:val="0"/>
        <w:spacing w:before="34" w:line="357" w:lineRule="auto"/>
        <w:ind w:left="598" w:right="126"/>
        <w:jc w:val="both"/>
        <w:rPr>
          <w:rFonts w:hint="eastAsia" w:ascii="仿宋" w:hAnsi="仿宋" w:eastAsia="仿宋" w:cs="仿宋"/>
          <w:highlight w:val="none"/>
        </w:rPr>
      </w:pPr>
      <w:r>
        <w:rPr>
          <w:rFonts w:hint="eastAsia" w:ascii="仿宋" w:hAnsi="仿宋" w:eastAsia="仿宋" w:cs="仿宋"/>
          <w:highlight w:val="none"/>
        </w:rPr>
        <w:t>★（2）要求投标供应商对磋商响应性文件有关事项做出解释或者澄清；</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ascii="仿宋" w:hAnsi="仿宋" w:eastAsia="仿宋" w:cs="仿宋"/>
          <w:highlight w:val="none"/>
        </w:rPr>
        <w:t>（3）推荐中标候选供应商名单，或者受采购人委托按照事先确定的办法直接确定中标单位；</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ascii="仿宋" w:hAnsi="仿宋" w:eastAsia="仿宋" w:cs="仿宋"/>
          <w:highlight w:val="none"/>
        </w:rPr>
        <w:t>（4）向招标采购单位或者有关部门报告非法干预评标工作的行为。</w:t>
      </w:r>
    </w:p>
    <w:p>
      <w:pPr>
        <w:pStyle w:val="8"/>
        <w:kinsoku w:val="0"/>
        <w:overflowPunct w:val="0"/>
        <w:spacing w:before="38" w:line="357" w:lineRule="auto"/>
        <w:ind w:left="598" w:right="50" w:hanging="480"/>
        <w:rPr>
          <w:rFonts w:hint="eastAsia" w:ascii="仿宋" w:hAnsi="仿宋" w:eastAsia="仿宋" w:cs="仿宋"/>
          <w:b/>
          <w:bCs/>
          <w:highlight w:val="none"/>
        </w:rPr>
      </w:pPr>
      <w:r>
        <w:rPr>
          <w:rFonts w:hint="eastAsia" w:ascii="仿宋" w:hAnsi="仿宋" w:eastAsia="仿宋" w:cs="仿宋"/>
          <w:b/>
          <w:bCs/>
          <w:highlight w:val="none"/>
        </w:rPr>
        <w:t>二、评标、定标组织</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ascii="仿宋" w:hAnsi="仿宋" w:eastAsia="仿宋" w:cs="仿宋"/>
          <w:highlight w:val="none"/>
        </w:rPr>
        <w:t>1.由磋商小组组织进行评标。</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ascii="仿宋" w:hAnsi="仿宋" w:eastAsia="仿宋" w:cs="仿宋"/>
          <w:highlight w:val="none"/>
        </w:rPr>
        <w:t>2.磋商小组由专家库随机抽取的专家共 3 人组成，磋商小组组长由磋商小组成员共同推举产生，磋商小组组长主持整个评标工作，与磋商小组的其他成员有同等的表决权。</w:t>
      </w:r>
    </w:p>
    <w:p>
      <w:pPr>
        <w:pStyle w:val="8"/>
        <w:kinsoku w:val="0"/>
        <w:overflowPunct w:val="0"/>
        <w:spacing w:before="38" w:line="357" w:lineRule="auto"/>
        <w:ind w:left="598" w:right="50" w:hanging="480"/>
        <w:rPr>
          <w:rFonts w:hint="eastAsia" w:ascii="仿宋" w:hAnsi="仿宋" w:eastAsia="仿宋" w:cs="仿宋"/>
          <w:b/>
          <w:bCs/>
          <w:highlight w:val="none"/>
        </w:rPr>
      </w:pPr>
      <w:r>
        <w:rPr>
          <w:rFonts w:hint="eastAsia" w:ascii="仿宋" w:hAnsi="仿宋" w:eastAsia="仿宋" w:cs="仿宋"/>
          <w:b/>
          <w:bCs/>
          <w:highlight w:val="none"/>
        </w:rPr>
        <w:t>三、评标原则</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ascii="仿宋" w:hAnsi="仿宋" w:eastAsia="仿宋" w:cs="仿宋"/>
          <w:highlight w:val="none"/>
        </w:rPr>
        <w:t>1.磋商小组按照公平、公正、科学、择优的原则对待所有的供应商；</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ascii="仿宋" w:hAnsi="仿宋" w:eastAsia="仿宋" w:cs="仿宋"/>
          <w:highlight w:val="none"/>
        </w:rPr>
        <w:t>2.磋商小组成员应当客观、公正地履行职责，遵守职业道德，对所提出的评审意见承担个人责任；磋商小组成员实行主动回避制度；磋商小组成员及工作人员对整个评标活动保密。</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ascii="仿宋" w:hAnsi="仿宋" w:eastAsia="仿宋" w:cs="仿宋"/>
          <w:highlight w:val="none"/>
        </w:rPr>
        <w:t>3.磋商小组审查磋商响应性文件是否符合竞争性磋商文件的所有条款、条件和规定。</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ascii="仿宋" w:hAnsi="仿宋" w:eastAsia="仿宋" w:cs="仿宋"/>
          <w:highlight w:val="none"/>
        </w:rPr>
        <w:t xml:space="preserve">4.评标只对实质上响应竞争性磋商文件要求的有效磋商响应性文件进行评审，响应的依据是磋商响应性文件本身的内容，而不寻求其它证据。 </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ascii="仿宋" w:hAnsi="仿宋" w:eastAsia="仿宋" w:cs="仿宋"/>
          <w:highlight w:val="none"/>
        </w:rPr>
        <w:t xml:space="preserve">5.评标将依据竞争性磋商文件确定的标准和方法，结合磋商响应性文件及其补充文件进行，不得忽视磋商响应性文件的实质性内容进行评标。 </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ascii="仿宋" w:hAnsi="仿宋" w:eastAsia="仿宋" w:cs="仿宋"/>
          <w:highlight w:val="none"/>
        </w:rPr>
        <w:t>6.评标活动依法进行，任何单位和个人不得非法干预、阻挠采购人采购代理机构的正常工作或者影响评标过程和结果。</w:t>
      </w:r>
    </w:p>
    <w:p>
      <w:pPr>
        <w:pStyle w:val="8"/>
        <w:kinsoku w:val="0"/>
        <w:overflowPunct w:val="0"/>
        <w:spacing w:before="38" w:line="357" w:lineRule="auto"/>
        <w:ind w:left="598" w:right="50" w:hanging="480"/>
        <w:rPr>
          <w:rFonts w:hint="eastAsia" w:ascii="仿宋" w:hAnsi="仿宋" w:eastAsia="仿宋" w:cs="仿宋"/>
          <w:b/>
          <w:bCs/>
          <w:highlight w:val="none"/>
        </w:rPr>
      </w:pPr>
      <w:r>
        <w:rPr>
          <w:rFonts w:hint="eastAsia" w:ascii="仿宋" w:hAnsi="仿宋" w:eastAsia="仿宋" w:cs="仿宋"/>
          <w:b/>
          <w:bCs/>
          <w:highlight w:val="none"/>
        </w:rPr>
        <w:t>四、评标方法</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ascii="仿宋" w:hAnsi="仿宋" w:eastAsia="仿宋" w:cs="仿宋"/>
          <w:highlight w:val="none"/>
        </w:rPr>
        <w:t>1.本次采购项目定标采用“综合评分法”。“综合评分法”是指在最大限度地满足竞争性磋商文件实质性要求前提下，以投标报价、技术响应程度、</w:t>
      </w:r>
      <w:r>
        <w:rPr>
          <w:rFonts w:hint="eastAsia" w:hAnsi="仿宋" w:cs="仿宋"/>
          <w:highlight w:val="none"/>
          <w:lang w:val="en-US" w:eastAsia="zh-CN"/>
        </w:rPr>
        <w:t>后续</w:t>
      </w:r>
      <w:r>
        <w:rPr>
          <w:rFonts w:hint="eastAsia" w:ascii="仿宋" w:hAnsi="仿宋" w:eastAsia="仿宋" w:cs="仿宋"/>
          <w:highlight w:val="none"/>
        </w:rPr>
        <w:t>服务、商务等综合实力多个因素作为评审指标，全面比较各磋商响应性文件质量、价格、</w:t>
      </w:r>
      <w:r>
        <w:rPr>
          <w:rFonts w:hint="eastAsia" w:hAnsi="仿宋" w:cs="仿宋"/>
          <w:highlight w:val="none"/>
          <w:lang w:val="en-US" w:eastAsia="zh-CN"/>
        </w:rPr>
        <w:t>后续</w:t>
      </w:r>
      <w:r>
        <w:rPr>
          <w:rFonts w:hint="eastAsia" w:ascii="仿宋" w:hAnsi="仿宋" w:eastAsia="仿宋" w:cs="仿宋"/>
          <w:highlight w:val="none"/>
        </w:rPr>
        <w:t>服务、资信情况等因素客观地进行评审，使评审的结果能准确地反映供应商的实际情况，并将各指标量化计分，按总得分排列顺序，确定中标人的方法。总得分最高的供应商作为拟中标单位。</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ascii="仿宋" w:hAnsi="仿宋" w:eastAsia="仿宋" w:cs="仿宋"/>
          <w:highlight w:val="none"/>
        </w:rPr>
        <w:t>2.采购人、招标代理机构不向供应商承诺最低价中标，不解释中标或落标原因，不退还磋商响应性文件。</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ascii="仿宋" w:hAnsi="仿宋" w:eastAsia="仿宋" w:cs="仿宋"/>
          <w:highlight w:val="none"/>
        </w:rPr>
        <w:t>3.供应商申报的关于资质、业绩等文件和材料必须真实准确，不得弄虚作假。</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ascii="仿宋" w:hAnsi="仿宋" w:eastAsia="仿宋" w:cs="仿宋"/>
          <w:highlight w:val="none"/>
        </w:rPr>
        <w:t>4.供应商不得以任何形式搜集评标机密，不得以任何形式干扰评标或授标工作。</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ascii="仿宋" w:hAnsi="仿宋" w:eastAsia="仿宋" w:cs="仿宋"/>
          <w:highlight w:val="none"/>
        </w:rPr>
        <w:t>5.供应商在磋商响应性文件的评审、澄清、比较以及授予合同过程中对评标人员施加影响的任何行为，都将导致被取消投标资格。</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ascii="仿宋" w:hAnsi="仿宋" w:eastAsia="仿宋" w:cs="仿宋"/>
          <w:highlight w:val="none"/>
        </w:rPr>
        <w:t>6.供应商应具备较强的技术力量及综合实力，并能确保本次招标采购的长远</w:t>
      </w:r>
      <w:r>
        <w:rPr>
          <w:rFonts w:hint="eastAsia" w:hAnsi="仿宋" w:cs="仿宋"/>
          <w:highlight w:val="none"/>
          <w:lang w:val="en-US" w:eastAsia="zh-CN"/>
        </w:rPr>
        <w:t>后续</w:t>
      </w:r>
      <w:r>
        <w:rPr>
          <w:rFonts w:hint="eastAsia" w:ascii="仿宋" w:hAnsi="仿宋" w:eastAsia="仿宋" w:cs="仿宋"/>
          <w:highlight w:val="none"/>
        </w:rPr>
        <w:t>服务。</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ascii="仿宋" w:hAnsi="仿宋" w:eastAsia="仿宋" w:cs="仿宋"/>
          <w:highlight w:val="none"/>
        </w:rPr>
        <w:t>7.磋商小组成员对需要共同认定的事项存在争议的，应当按照少数服从多数的原则作出结论。持不同意见的磋商小组成员应当在评标报告上签署不同意见及理由，否则视为同意评标报告。</w:t>
      </w:r>
    </w:p>
    <w:p>
      <w:pPr>
        <w:pStyle w:val="8"/>
        <w:kinsoku w:val="0"/>
        <w:overflowPunct w:val="0"/>
        <w:spacing w:before="38" w:line="357" w:lineRule="auto"/>
        <w:ind w:left="598" w:right="50" w:hanging="480"/>
        <w:rPr>
          <w:rFonts w:hint="eastAsia" w:ascii="仿宋" w:hAnsi="仿宋" w:eastAsia="仿宋" w:cs="仿宋"/>
          <w:b/>
          <w:bCs/>
          <w:highlight w:val="none"/>
        </w:rPr>
      </w:pPr>
      <w:r>
        <w:rPr>
          <w:rFonts w:hint="eastAsia" w:ascii="仿宋" w:hAnsi="仿宋" w:eastAsia="仿宋" w:cs="仿宋"/>
          <w:b/>
          <w:bCs/>
          <w:highlight w:val="none"/>
        </w:rPr>
        <w:t xml:space="preserve">五、评标过程的保密性 </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ascii="仿宋" w:hAnsi="仿宋" w:eastAsia="仿宋" w:cs="仿宋"/>
          <w:highlight w:val="none"/>
        </w:rPr>
        <w:t xml:space="preserve">1.开标后，至到向中标人授予合同时止，凡与审查、澄清、评价和比较投标的有关资料以及授标意见等，均不得向供应商及与评标无关的其他人透露。 </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ascii="仿宋" w:hAnsi="仿宋" w:eastAsia="仿宋" w:cs="仿宋"/>
          <w:highlight w:val="none"/>
        </w:rPr>
        <w:t xml:space="preserve">2.在评标过程中，如果供应商试图在磋商响应性文件审查、澄清、比较及授予合同方面向采购人施加任何影响，其投标将被拒绝。 </w:t>
      </w:r>
    </w:p>
    <w:p>
      <w:pPr>
        <w:pStyle w:val="8"/>
        <w:kinsoku w:val="0"/>
        <w:overflowPunct w:val="0"/>
        <w:spacing w:before="34" w:line="357" w:lineRule="auto"/>
        <w:ind w:right="126" w:firstLine="480"/>
        <w:jc w:val="both"/>
        <w:rPr>
          <w:rFonts w:hint="eastAsia" w:ascii="仿宋" w:hAnsi="仿宋" w:eastAsia="仿宋" w:cs="仿宋"/>
          <w:highlight w:val="none"/>
        </w:rPr>
      </w:pPr>
      <w:r>
        <w:rPr>
          <w:rFonts w:hint="eastAsia" w:ascii="仿宋" w:hAnsi="仿宋" w:eastAsia="仿宋" w:cs="仿宋"/>
          <w:highlight w:val="none"/>
        </w:rPr>
        <w:t>3.评标人员严格遵守国家的有关保密法律、法规的规定，严格自律，同时接受有关部门的监督、审查。</w:t>
      </w:r>
    </w:p>
    <w:p>
      <w:pPr>
        <w:pStyle w:val="8"/>
        <w:kinsoku w:val="0"/>
        <w:overflowPunct w:val="0"/>
        <w:spacing w:before="38" w:line="357" w:lineRule="auto"/>
        <w:ind w:left="598" w:right="50" w:hanging="480"/>
        <w:rPr>
          <w:rFonts w:hint="eastAsia" w:ascii="仿宋" w:hAnsi="仿宋" w:eastAsia="仿宋" w:cs="仿宋"/>
          <w:b/>
          <w:bCs/>
          <w:highlight w:val="none"/>
        </w:rPr>
      </w:pPr>
      <w:r>
        <w:rPr>
          <w:rFonts w:hint="eastAsia" w:ascii="仿宋" w:hAnsi="仿宋" w:eastAsia="仿宋" w:cs="仿宋"/>
          <w:b/>
          <w:bCs/>
          <w:highlight w:val="none"/>
        </w:rPr>
        <w:t>六、评标过程中磋商响应性文件的澄清</w:t>
      </w:r>
    </w:p>
    <w:p>
      <w:pPr>
        <w:pStyle w:val="8"/>
        <w:kinsoku w:val="0"/>
        <w:overflowPunct w:val="0"/>
        <w:spacing w:before="34" w:line="357" w:lineRule="auto"/>
        <w:ind w:right="126" w:firstLine="480"/>
        <w:rPr>
          <w:rFonts w:hint="eastAsia" w:ascii="仿宋" w:hAnsi="仿宋" w:eastAsia="仿宋" w:cs="仿宋"/>
          <w:highlight w:val="none"/>
        </w:rPr>
      </w:pPr>
      <w:r>
        <w:rPr>
          <w:rFonts w:hint="eastAsia" w:ascii="仿宋" w:hAnsi="仿宋" w:eastAsia="仿宋" w:cs="仿宋"/>
          <w:highlight w:val="none"/>
        </w:rPr>
        <w:t>1.为了公平、公正的对《磋商响应性文件》进行审查、评估和比较，磋商小组可以向投标供应商质疑，请供应商对有关情况作必要说明。供应商有责任按照磋商小组提出的质疑，指派专人进行答疑。重要问题供应商应以书面形式解答。但是澄清或者说明不得超过磋商响应性文件的范围或修改磋商响应性文件的实质性内容，解答文件作为《磋商响应性文件》的组成部分。《竞争性磋商文件》、《磋商响应性文件》及其澄清文件等，均作为签订合同的依据。若供应商对磋商小组提出的质疑不予答复，其不利后果由供应商自行承担。</w:t>
      </w:r>
    </w:p>
    <w:p>
      <w:pPr>
        <w:pStyle w:val="8"/>
        <w:kinsoku w:val="0"/>
        <w:overflowPunct w:val="0"/>
        <w:spacing w:before="34" w:line="357" w:lineRule="auto"/>
        <w:ind w:right="126" w:firstLine="480"/>
        <w:rPr>
          <w:rFonts w:hint="eastAsia" w:ascii="仿宋" w:hAnsi="仿宋" w:eastAsia="仿宋" w:cs="仿宋"/>
          <w:highlight w:val="none"/>
        </w:rPr>
      </w:pPr>
      <w:r>
        <w:rPr>
          <w:rFonts w:hint="eastAsia" w:ascii="仿宋" w:hAnsi="仿宋" w:eastAsia="仿宋" w:cs="仿宋"/>
          <w:highlight w:val="none"/>
        </w:rPr>
        <w:t>2.若磋商小组发现供应商的投标报价或主要单项报价明显低于同标段其它供应商投标报价或者在设有参考标底时明显低于参考标底价，使得其投标报价可能低于其个别成本的，应该要求该供应商作出书面说明并提供相关证明材料。如果供应商不能提供材料证明该项报价有效，磋商小组应当认定低于成本价竞标，否决其投标。如果供应商提供了证明材料，且磋商小组无法证明其无效的，磋商小组应当接受该项投标报价。</w:t>
      </w:r>
    </w:p>
    <w:p>
      <w:pPr>
        <w:pStyle w:val="8"/>
        <w:kinsoku w:val="0"/>
        <w:overflowPunct w:val="0"/>
        <w:spacing w:before="34" w:line="357" w:lineRule="auto"/>
        <w:ind w:right="126" w:firstLine="480"/>
        <w:rPr>
          <w:rFonts w:hint="eastAsia" w:ascii="仿宋" w:hAnsi="仿宋" w:eastAsia="仿宋" w:cs="仿宋"/>
          <w:highlight w:val="none"/>
        </w:rPr>
      </w:pPr>
      <w:r>
        <w:rPr>
          <w:rFonts w:hint="eastAsia" w:ascii="仿宋" w:hAnsi="仿宋" w:eastAsia="仿宋" w:cs="仿宋"/>
          <w:highlight w:val="none"/>
        </w:rPr>
        <w:t>★3.磋商小组认为供应商的报价明显低于其他通过符合性审查供应商的报价，有可能影响产品质量或者不能诚信履约的，磋商小组有权要求其在评标现场合理的时间内提供书面说明，必要时提交相关证明材料；供应商如不能证明其报价合理性的，磋商小组应当将其作为无效投标处理。</w:t>
      </w:r>
    </w:p>
    <w:p>
      <w:pPr>
        <w:pStyle w:val="8"/>
        <w:kinsoku w:val="0"/>
        <w:overflowPunct w:val="0"/>
        <w:spacing w:before="38" w:line="357" w:lineRule="auto"/>
        <w:ind w:left="598" w:right="50" w:hanging="480"/>
        <w:rPr>
          <w:rFonts w:hint="eastAsia" w:ascii="仿宋" w:hAnsi="仿宋" w:eastAsia="仿宋" w:cs="仿宋"/>
          <w:b/>
          <w:bCs/>
          <w:highlight w:val="none"/>
        </w:rPr>
      </w:pPr>
      <w:r>
        <w:rPr>
          <w:rFonts w:hint="eastAsia" w:ascii="仿宋" w:hAnsi="仿宋" w:eastAsia="仿宋" w:cs="仿宋"/>
          <w:b/>
          <w:bCs/>
          <w:highlight w:val="none"/>
        </w:rPr>
        <w:t xml:space="preserve">七、会议组成成员的职责 </w:t>
      </w:r>
    </w:p>
    <w:p>
      <w:pPr>
        <w:pStyle w:val="8"/>
        <w:kinsoku w:val="0"/>
        <w:overflowPunct w:val="0"/>
        <w:spacing w:before="34" w:line="357" w:lineRule="auto"/>
        <w:ind w:right="126" w:firstLine="480"/>
        <w:rPr>
          <w:rFonts w:hint="eastAsia" w:ascii="仿宋" w:hAnsi="仿宋" w:eastAsia="仿宋" w:cs="仿宋"/>
          <w:highlight w:val="none"/>
        </w:rPr>
      </w:pPr>
      <w:r>
        <w:rPr>
          <w:rFonts w:hint="eastAsia" w:ascii="仿宋" w:hAnsi="仿宋" w:eastAsia="仿宋" w:cs="仿宋"/>
          <w:highlight w:val="none"/>
        </w:rPr>
        <w:t>1.采购人：在监督部门监督下，根据《中华人民共和国政府采购法》、《政府购买服务管理办法（暂行）》、《政府采购竞争性磋商采购方式管理暂行办法》规定构成磋商小组成员之一。</w:t>
      </w:r>
    </w:p>
    <w:p>
      <w:pPr>
        <w:pStyle w:val="8"/>
        <w:kinsoku w:val="0"/>
        <w:overflowPunct w:val="0"/>
        <w:spacing w:before="34" w:line="357" w:lineRule="auto"/>
        <w:ind w:right="126" w:firstLine="480"/>
        <w:rPr>
          <w:rFonts w:hint="eastAsia" w:ascii="仿宋" w:hAnsi="仿宋" w:eastAsia="仿宋" w:cs="仿宋"/>
          <w:highlight w:val="none"/>
        </w:rPr>
      </w:pPr>
      <w:r>
        <w:rPr>
          <w:rFonts w:hint="eastAsia" w:ascii="仿宋" w:hAnsi="仿宋" w:eastAsia="仿宋" w:cs="仿宋"/>
          <w:highlight w:val="none"/>
        </w:rPr>
        <w:t>2.招标代理机构：根据《中华人民共和国政府采购法》、《中华人民共和国政府采购法实施条例》、《政府购买服务管理办法（暂行）》等文件的规定，由代理机构工作人员组成，负责《竞争性磋商文件》的制作，对外联系，开标、评标的会务工作,整理并向磋商小组成员分发招标资料和《磋商响应性文件》；做好开标和评标会议记录；对评标过程中的原始文件进行归档；随时印发需要的文件资料,对各种咨询函件及档案文件的统收统发；负责对磋商小组推荐的拟中标结果进行审核。</w:t>
      </w:r>
    </w:p>
    <w:p>
      <w:pPr>
        <w:pStyle w:val="8"/>
        <w:kinsoku w:val="0"/>
        <w:overflowPunct w:val="0"/>
        <w:spacing w:before="34" w:line="357" w:lineRule="auto"/>
        <w:ind w:right="126" w:firstLine="480"/>
        <w:rPr>
          <w:rFonts w:hint="eastAsia" w:ascii="仿宋" w:hAnsi="仿宋" w:eastAsia="仿宋" w:cs="仿宋"/>
          <w:highlight w:val="none"/>
        </w:rPr>
      </w:pPr>
      <w:r>
        <w:rPr>
          <w:rFonts w:hint="eastAsia" w:ascii="仿宋" w:hAnsi="仿宋" w:eastAsia="仿宋" w:cs="仿宋"/>
          <w:highlight w:val="none"/>
        </w:rPr>
        <w:t>3.监督部门：根据国家有关法律、法规规定由规定部门对整个开标评标过程进行监督, 其他任何单位和个人不得参与或非法干预正常的评审工作和评审结果，保证评标的公正性,防止违法行为的产生。</w:t>
      </w:r>
    </w:p>
    <w:p>
      <w:pPr>
        <w:pStyle w:val="8"/>
        <w:kinsoku w:val="0"/>
        <w:overflowPunct w:val="0"/>
        <w:spacing w:before="34" w:line="357" w:lineRule="auto"/>
        <w:ind w:right="126" w:firstLine="480"/>
        <w:rPr>
          <w:rFonts w:hint="eastAsia" w:ascii="仿宋" w:hAnsi="仿宋" w:eastAsia="仿宋" w:cs="仿宋"/>
          <w:highlight w:val="none"/>
        </w:rPr>
      </w:pPr>
      <w:r>
        <w:rPr>
          <w:rFonts w:hint="eastAsia" w:ascii="仿宋" w:hAnsi="仿宋" w:eastAsia="仿宋" w:cs="仿宋"/>
          <w:highlight w:val="none"/>
        </w:rPr>
        <w:t>4.审核小组</w:t>
      </w:r>
      <w:r>
        <w:rPr>
          <w:rFonts w:hint="eastAsia" w:ascii="仿宋" w:hAnsi="仿宋" w:eastAsia="仿宋" w:cs="仿宋"/>
          <w:spacing w:val="-27"/>
          <w:highlight w:val="none"/>
        </w:rPr>
        <w:t>：</w:t>
      </w:r>
      <w:r>
        <w:rPr>
          <w:rFonts w:hint="eastAsia" w:ascii="仿宋" w:hAnsi="仿宋" w:eastAsia="仿宋" w:cs="仿宋"/>
          <w:highlight w:val="none"/>
        </w:rPr>
        <w:t>由监督部门和代理机构项目负责人共同组</w:t>
      </w:r>
      <w:r>
        <w:rPr>
          <w:rFonts w:hint="eastAsia" w:ascii="仿宋" w:hAnsi="仿宋" w:eastAsia="仿宋" w:cs="仿宋"/>
          <w:spacing w:val="2"/>
          <w:highlight w:val="none"/>
        </w:rPr>
        <w:t>成</w:t>
      </w:r>
      <w:r>
        <w:rPr>
          <w:rFonts w:hint="eastAsia" w:ascii="仿宋" w:hAnsi="仿宋" w:eastAsia="仿宋" w:cs="仿宋"/>
          <w:spacing w:val="-27"/>
          <w:highlight w:val="none"/>
        </w:rPr>
        <w:t>，</w:t>
      </w:r>
      <w:r>
        <w:rPr>
          <w:rFonts w:hint="eastAsia" w:ascii="仿宋" w:hAnsi="仿宋" w:eastAsia="仿宋" w:cs="仿宋"/>
          <w:highlight w:val="none"/>
        </w:rPr>
        <w:t>负责对磋商小组填写的商务打分表和技术打分表最终统计结果进行审核，审核无误后由磋商小组签字确认。</w:t>
      </w:r>
    </w:p>
    <w:p>
      <w:pPr>
        <w:pStyle w:val="8"/>
        <w:kinsoku w:val="0"/>
        <w:overflowPunct w:val="0"/>
        <w:spacing w:before="38" w:line="357" w:lineRule="auto"/>
        <w:ind w:left="598" w:right="50" w:hanging="480"/>
        <w:rPr>
          <w:rFonts w:hint="eastAsia" w:ascii="仿宋" w:hAnsi="仿宋" w:eastAsia="仿宋" w:cs="仿宋"/>
          <w:b/>
          <w:bCs/>
          <w:highlight w:val="none"/>
        </w:rPr>
      </w:pPr>
      <w:r>
        <w:rPr>
          <w:rFonts w:hint="eastAsia" w:ascii="仿宋" w:hAnsi="仿宋" w:eastAsia="仿宋" w:cs="仿宋"/>
          <w:b/>
          <w:bCs/>
          <w:highlight w:val="none"/>
        </w:rPr>
        <w:t>八、定标方法：</w:t>
      </w:r>
    </w:p>
    <w:p>
      <w:pPr>
        <w:pStyle w:val="8"/>
        <w:kinsoku w:val="0"/>
        <w:overflowPunct w:val="0"/>
        <w:spacing w:before="34" w:line="357" w:lineRule="auto"/>
        <w:ind w:right="126" w:firstLine="480"/>
        <w:rPr>
          <w:rFonts w:hint="eastAsia" w:ascii="仿宋" w:hAnsi="仿宋" w:eastAsia="仿宋" w:cs="仿宋"/>
          <w:highlight w:val="none"/>
        </w:rPr>
      </w:pPr>
      <w:r>
        <w:rPr>
          <w:rFonts w:hint="eastAsia" w:ascii="仿宋" w:hAnsi="仿宋" w:eastAsia="仿宋" w:cs="仿宋"/>
          <w:highlight w:val="none"/>
        </w:rPr>
        <w:t>1.磋商小组以开标、评标情况为基本依据，对符合条件的《磋商响应性文件》及供应商进行综合评审打分，总分值设定为 100 分。</w:t>
      </w:r>
    </w:p>
    <w:p>
      <w:pPr>
        <w:pStyle w:val="8"/>
        <w:kinsoku w:val="0"/>
        <w:overflowPunct w:val="0"/>
        <w:spacing w:before="34" w:line="357" w:lineRule="auto"/>
        <w:ind w:right="126" w:firstLine="480"/>
        <w:rPr>
          <w:rFonts w:hint="eastAsia" w:ascii="仿宋" w:hAnsi="仿宋" w:eastAsia="仿宋" w:cs="仿宋"/>
          <w:highlight w:val="none"/>
        </w:rPr>
      </w:pPr>
      <w:r>
        <w:rPr>
          <w:rFonts w:hint="eastAsia" w:ascii="仿宋" w:hAnsi="仿宋" w:eastAsia="仿宋" w:cs="仿宋"/>
          <w:highlight w:val="none"/>
        </w:rPr>
        <w:t>2.投标报价得分由磋商小组按照价格分计算公式计算分值。</w:t>
      </w:r>
    </w:p>
    <w:p>
      <w:pPr>
        <w:pStyle w:val="8"/>
        <w:kinsoku w:val="0"/>
        <w:overflowPunct w:val="0"/>
        <w:spacing w:before="34" w:line="357" w:lineRule="auto"/>
        <w:ind w:right="126" w:firstLine="480"/>
        <w:rPr>
          <w:rFonts w:hint="eastAsia" w:ascii="仿宋" w:hAnsi="仿宋" w:eastAsia="仿宋" w:cs="仿宋"/>
          <w:highlight w:val="none"/>
        </w:rPr>
      </w:pPr>
      <w:r>
        <w:rPr>
          <w:rFonts w:hint="eastAsia" w:ascii="仿宋" w:hAnsi="仿宋" w:eastAsia="仿宋" w:cs="仿宋"/>
          <w:highlight w:val="none"/>
        </w:rPr>
        <w:t>3.商务部分由磋商小组共同评定唯一的得分。</w:t>
      </w:r>
    </w:p>
    <w:p>
      <w:pPr>
        <w:pStyle w:val="8"/>
        <w:kinsoku w:val="0"/>
        <w:overflowPunct w:val="0"/>
        <w:spacing w:before="34" w:line="357" w:lineRule="auto"/>
        <w:ind w:right="126" w:firstLine="480"/>
        <w:rPr>
          <w:rFonts w:hint="eastAsia" w:ascii="仿宋" w:hAnsi="仿宋" w:eastAsia="仿宋" w:cs="仿宋"/>
          <w:highlight w:val="none"/>
        </w:rPr>
      </w:pPr>
      <w:r>
        <w:rPr>
          <w:rFonts w:hint="eastAsia" w:ascii="仿宋" w:hAnsi="仿宋" w:eastAsia="仿宋" w:cs="仿宋"/>
          <w:highlight w:val="none"/>
        </w:rPr>
        <w:t>4.技术部分由磋商小组专家分别打分后，取平均分作为技术分最后得分。</w:t>
      </w:r>
    </w:p>
    <w:p>
      <w:pPr>
        <w:pStyle w:val="8"/>
        <w:kinsoku w:val="0"/>
        <w:overflowPunct w:val="0"/>
        <w:spacing w:before="34" w:line="357" w:lineRule="auto"/>
        <w:ind w:right="126" w:firstLine="480"/>
        <w:rPr>
          <w:rFonts w:hint="eastAsia" w:ascii="仿宋" w:hAnsi="仿宋" w:eastAsia="仿宋" w:cs="仿宋"/>
          <w:highlight w:val="none"/>
        </w:rPr>
      </w:pPr>
      <w:r>
        <w:rPr>
          <w:rFonts w:hint="eastAsia" w:ascii="仿宋" w:hAnsi="仿宋" w:eastAsia="仿宋" w:cs="仿宋"/>
          <w:highlight w:val="none"/>
        </w:rPr>
        <w:t>5.供应商综合评分最终总分值为商务部分、技术部分和投标报价三部分得分总和。</w:t>
      </w:r>
    </w:p>
    <w:p>
      <w:pPr>
        <w:pStyle w:val="8"/>
        <w:kinsoku w:val="0"/>
        <w:overflowPunct w:val="0"/>
        <w:spacing w:before="38" w:line="357" w:lineRule="auto"/>
        <w:ind w:left="598" w:right="50" w:hanging="480"/>
        <w:rPr>
          <w:rFonts w:hint="eastAsia" w:ascii="仿宋" w:hAnsi="仿宋" w:eastAsia="仿宋" w:cs="仿宋"/>
          <w:b/>
          <w:bCs/>
          <w:highlight w:val="none"/>
        </w:rPr>
      </w:pPr>
      <w:r>
        <w:rPr>
          <w:rFonts w:hint="eastAsia" w:ascii="仿宋" w:hAnsi="仿宋" w:eastAsia="仿宋" w:cs="仿宋"/>
          <w:b/>
          <w:bCs/>
          <w:highlight w:val="none"/>
        </w:rPr>
        <w:t>九、评标程序及标准（综合评分法）</w:t>
      </w:r>
    </w:p>
    <w:p>
      <w:pPr>
        <w:pStyle w:val="16"/>
        <w:spacing w:line="500" w:lineRule="exact"/>
        <w:ind w:left="0" w:leftChars="0" w:firstLine="496"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按照竞争性磋商响应文件初审、澄清有关问题、分别磋商、二次报价、比较与评审、推荐成交候选人名单。在上一步评审中被认定为无效磋商者，不进入下一步的评审。</w:t>
      </w:r>
    </w:p>
    <w:p>
      <w:pPr>
        <w:rPr>
          <w:rFonts w:hint="eastAsia" w:ascii="仿宋" w:hAnsi="仿宋" w:eastAsia="仿宋" w:cs="仿宋"/>
          <w:highlight w:val="none"/>
        </w:rPr>
      </w:pPr>
    </w:p>
    <w:p>
      <w:pPr>
        <w:pStyle w:val="8"/>
        <w:rPr>
          <w:rFonts w:hint="eastAsia" w:ascii="仿宋" w:hAnsi="仿宋" w:eastAsia="仿宋" w:cs="仿宋"/>
          <w:highlight w:val="none"/>
        </w:rPr>
      </w:pPr>
    </w:p>
    <w:p>
      <w:pPr>
        <w:rPr>
          <w:rFonts w:hint="eastAsia" w:ascii="仿宋" w:hAnsi="仿宋" w:eastAsia="仿宋" w:cs="仿宋"/>
          <w:highlight w:val="none"/>
        </w:rPr>
      </w:pPr>
    </w:p>
    <w:p>
      <w:pPr>
        <w:pStyle w:val="8"/>
        <w:rPr>
          <w:rFonts w:hint="eastAsia" w:ascii="仿宋" w:hAnsi="仿宋" w:eastAsia="仿宋" w:cs="仿宋"/>
          <w:highlight w:val="none"/>
        </w:rPr>
      </w:pPr>
    </w:p>
    <w:p>
      <w:pPr>
        <w:rPr>
          <w:rFonts w:hint="eastAsia" w:ascii="仿宋" w:hAnsi="仿宋" w:eastAsia="仿宋" w:cs="仿宋"/>
          <w:highlight w:val="none"/>
        </w:rPr>
      </w:pPr>
    </w:p>
    <w:p>
      <w:pPr>
        <w:pStyle w:val="8"/>
        <w:rPr>
          <w:rFonts w:hint="eastAsia"/>
        </w:rPr>
      </w:pPr>
    </w:p>
    <w:p>
      <w:pPr>
        <w:rPr>
          <w:rFonts w:hint="eastAsia" w:ascii="仿宋" w:hAnsi="仿宋" w:eastAsia="仿宋" w:cs="仿宋"/>
          <w:highlight w:val="none"/>
        </w:rPr>
      </w:pPr>
    </w:p>
    <w:p>
      <w:pPr>
        <w:pStyle w:val="8"/>
        <w:rPr>
          <w:rFonts w:hint="eastAsia"/>
        </w:rPr>
      </w:pPr>
    </w:p>
    <w:p>
      <w:pPr>
        <w:pStyle w:val="8"/>
        <w:numPr>
          <w:ilvl w:val="0"/>
          <w:numId w:val="6"/>
        </w:numPr>
        <w:kinsoku w:val="0"/>
        <w:overflowPunct w:val="0"/>
        <w:spacing w:before="38" w:line="357" w:lineRule="auto"/>
        <w:ind w:left="586" w:leftChars="248" w:right="50" w:hanging="65" w:hangingChars="27"/>
        <w:rPr>
          <w:rFonts w:hint="eastAsia" w:ascii="仿宋" w:hAnsi="仿宋" w:eastAsia="仿宋" w:cs="仿宋"/>
          <w:b/>
          <w:bCs/>
          <w:highlight w:val="none"/>
        </w:rPr>
      </w:pPr>
      <w:r>
        <w:rPr>
          <w:rFonts w:hint="eastAsia" w:ascii="仿宋" w:hAnsi="仿宋" w:eastAsia="仿宋" w:cs="仿宋"/>
          <w:b/>
          <w:bCs/>
          <w:highlight w:val="none"/>
        </w:rPr>
        <w:t>初步评审（</w:t>
      </w:r>
      <w:r>
        <w:rPr>
          <w:rFonts w:hint="eastAsia" w:hAnsi="仿宋" w:cs="仿宋"/>
          <w:b/>
          <w:bCs/>
          <w:highlight w:val="none"/>
          <w:lang w:val="en-US" w:eastAsia="zh-CN"/>
        </w:rPr>
        <w:t>初步评审表</w:t>
      </w:r>
      <w:r>
        <w:rPr>
          <w:rFonts w:hint="eastAsia" w:ascii="仿宋" w:hAnsi="仿宋" w:eastAsia="仿宋" w:cs="仿宋"/>
          <w:b/>
          <w:bCs/>
          <w:highlight w:val="none"/>
        </w:rPr>
        <w:t>）：</w:t>
      </w:r>
    </w:p>
    <w:tbl>
      <w:tblPr>
        <w:tblStyle w:val="21"/>
        <w:tblW w:w="9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20"/>
        <w:gridCol w:w="900"/>
        <w:gridCol w:w="2431"/>
        <w:gridCol w:w="3914"/>
        <w:gridCol w:w="797"/>
        <w:gridCol w:w="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1" w:hRule="atLeast"/>
          <w:jc w:val="center"/>
        </w:trPr>
        <w:tc>
          <w:tcPr>
            <w:tcW w:w="1420" w:type="dxa"/>
            <w:gridSpan w:val="2"/>
            <w:vMerge w:val="restart"/>
            <w:noWrap w:val="0"/>
            <w:vAlign w:val="center"/>
          </w:tcPr>
          <w:p>
            <w:pPr>
              <w:adjustRightInd/>
              <w:spacing w:line="240" w:lineRule="auto"/>
              <w:jc w:val="center"/>
              <w:textAlignment w:val="auto"/>
              <w:rPr>
                <w:rFonts w:hint="eastAsia" w:ascii="仿宋" w:hAnsi="仿宋" w:eastAsia="仿宋" w:cs="仿宋"/>
                <w:b/>
                <w:kern w:val="2"/>
                <w:sz w:val="24"/>
                <w:szCs w:val="24"/>
              </w:rPr>
            </w:pPr>
            <w:r>
              <w:rPr>
                <w:rFonts w:hint="eastAsia" w:ascii="仿宋" w:hAnsi="仿宋" w:eastAsia="仿宋" w:cs="仿宋"/>
                <w:b/>
                <w:kern w:val="2"/>
                <w:sz w:val="24"/>
                <w:szCs w:val="24"/>
              </w:rPr>
              <w:t>评分因素</w:t>
            </w:r>
          </w:p>
        </w:tc>
        <w:tc>
          <w:tcPr>
            <w:tcW w:w="2431" w:type="dxa"/>
            <w:vMerge w:val="restart"/>
            <w:noWrap w:val="0"/>
            <w:vAlign w:val="center"/>
          </w:tcPr>
          <w:p>
            <w:pPr>
              <w:adjustRightInd/>
              <w:spacing w:line="240" w:lineRule="auto"/>
              <w:jc w:val="center"/>
              <w:textAlignment w:val="auto"/>
              <w:rPr>
                <w:rFonts w:hint="eastAsia" w:ascii="仿宋" w:hAnsi="仿宋" w:eastAsia="仿宋" w:cs="仿宋"/>
                <w:b/>
                <w:kern w:val="2"/>
                <w:sz w:val="24"/>
                <w:szCs w:val="24"/>
                <w:lang w:eastAsia="zh-CN"/>
              </w:rPr>
            </w:pPr>
            <w:r>
              <w:rPr>
                <w:rFonts w:hint="eastAsia" w:ascii="仿宋" w:hAnsi="仿宋" w:eastAsia="仿宋" w:cs="仿宋"/>
                <w:b/>
                <w:kern w:val="2"/>
                <w:sz w:val="24"/>
                <w:szCs w:val="24"/>
              </w:rPr>
              <w:t>评分</w:t>
            </w:r>
            <w:r>
              <w:rPr>
                <w:rFonts w:hint="eastAsia" w:ascii="仿宋" w:hAnsi="仿宋" w:eastAsia="仿宋" w:cs="仿宋"/>
                <w:b/>
                <w:kern w:val="2"/>
                <w:sz w:val="24"/>
                <w:szCs w:val="24"/>
                <w:lang w:val="en-US" w:eastAsia="zh-CN"/>
              </w:rPr>
              <w:t>内容</w:t>
            </w:r>
          </w:p>
        </w:tc>
        <w:tc>
          <w:tcPr>
            <w:tcW w:w="3914" w:type="dxa"/>
            <w:vMerge w:val="restart"/>
            <w:noWrap w:val="0"/>
            <w:vAlign w:val="center"/>
          </w:tcPr>
          <w:p>
            <w:pPr>
              <w:adjustRightInd/>
              <w:spacing w:line="240" w:lineRule="auto"/>
              <w:jc w:val="center"/>
              <w:textAlignment w:val="auto"/>
              <w:rPr>
                <w:rFonts w:hint="eastAsia" w:ascii="仿宋" w:hAnsi="仿宋" w:eastAsia="仿宋" w:cs="仿宋"/>
                <w:b/>
                <w:kern w:val="2"/>
                <w:sz w:val="24"/>
                <w:szCs w:val="24"/>
              </w:rPr>
            </w:pPr>
            <w:r>
              <w:rPr>
                <w:rFonts w:hint="eastAsia" w:ascii="仿宋" w:hAnsi="仿宋" w:eastAsia="仿宋" w:cs="仿宋"/>
                <w:b/>
                <w:kern w:val="2"/>
                <w:sz w:val="24"/>
                <w:szCs w:val="24"/>
              </w:rPr>
              <w:t>评分标准</w:t>
            </w:r>
          </w:p>
        </w:tc>
        <w:tc>
          <w:tcPr>
            <w:tcW w:w="1593" w:type="dxa"/>
            <w:gridSpan w:val="2"/>
            <w:noWrap w:val="0"/>
            <w:vAlign w:val="top"/>
          </w:tcPr>
          <w:p>
            <w:pPr>
              <w:adjustRightInd/>
              <w:spacing w:line="240" w:lineRule="auto"/>
              <w:jc w:val="center"/>
              <w:textAlignment w:val="auto"/>
              <w:rPr>
                <w:rFonts w:hint="eastAsia" w:ascii="仿宋" w:hAnsi="仿宋" w:eastAsia="仿宋" w:cs="仿宋"/>
                <w:b/>
                <w:kern w:val="2"/>
                <w:sz w:val="24"/>
                <w:szCs w:val="24"/>
              </w:rPr>
            </w:pPr>
            <w:r>
              <w:rPr>
                <w:rFonts w:hint="eastAsia" w:ascii="仿宋" w:hAnsi="仿宋" w:eastAsia="仿宋" w:cs="仿宋"/>
                <w:b/>
                <w:kern w:val="2"/>
                <w:sz w:val="24"/>
                <w:szCs w:val="24"/>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1" w:hRule="atLeast"/>
          <w:jc w:val="center"/>
        </w:trPr>
        <w:tc>
          <w:tcPr>
            <w:tcW w:w="1420" w:type="dxa"/>
            <w:gridSpan w:val="2"/>
            <w:vMerge w:val="continue"/>
            <w:noWrap w:val="0"/>
            <w:vAlign w:val="top"/>
          </w:tcPr>
          <w:p>
            <w:pPr>
              <w:adjustRightInd/>
              <w:spacing w:line="240" w:lineRule="auto"/>
              <w:jc w:val="center"/>
              <w:textAlignment w:val="auto"/>
              <w:rPr>
                <w:rFonts w:hint="eastAsia" w:ascii="仿宋" w:hAnsi="仿宋" w:eastAsia="仿宋" w:cs="仿宋"/>
                <w:b/>
                <w:kern w:val="2"/>
                <w:sz w:val="24"/>
                <w:szCs w:val="24"/>
              </w:rPr>
            </w:pPr>
          </w:p>
        </w:tc>
        <w:tc>
          <w:tcPr>
            <w:tcW w:w="2431" w:type="dxa"/>
            <w:vMerge w:val="continue"/>
            <w:noWrap w:val="0"/>
            <w:vAlign w:val="center"/>
          </w:tcPr>
          <w:p>
            <w:pPr>
              <w:adjustRightInd/>
              <w:spacing w:line="240" w:lineRule="auto"/>
              <w:jc w:val="center"/>
              <w:textAlignment w:val="auto"/>
              <w:rPr>
                <w:rFonts w:hint="eastAsia" w:ascii="仿宋" w:hAnsi="仿宋" w:eastAsia="仿宋" w:cs="仿宋"/>
                <w:b/>
                <w:kern w:val="2"/>
                <w:sz w:val="24"/>
                <w:szCs w:val="24"/>
              </w:rPr>
            </w:pPr>
          </w:p>
        </w:tc>
        <w:tc>
          <w:tcPr>
            <w:tcW w:w="3914" w:type="dxa"/>
            <w:vMerge w:val="continue"/>
            <w:noWrap w:val="0"/>
            <w:vAlign w:val="center"/>
          </w:tcPr>
          <w:p>
            <w:pPr>
              <w:adjustRightInd/>
              <w:spacing w:line="240" w:lineRule="auto"/>
              <w:jc w:val="center"/>
              <w:textAlignment w:val="auto"/>
              <w:rPr>
                <w:rFonts w:hint="eastAsia" w:ascii="仿宋" w:hAnsi="仿宋" w:eastAsia="仿宋" w:cs="仿宋"/>
                <w:b/>
                <w:kern w:val="2"/>
                <w:sz w:val="24"/>
                <w:szCs w:val="24"/>
              </w:rPr>
            </w:pPr>
          </w:p>
        </w:tc>
        <w:tc>
          <w:tcPr>
            <w:tcW w:w="797" w:type="dxa"/>
            <w:noWrap w:val="0"/>
            <w:vAlign w:val="top"/>
          </w:tcPr>
          <w:p>
            <w:pPr>
              <w:adjustRightInd/>
              <w:spacing w:line="240" w:lineRule="auto"/>
              <w:jc w:val="center"/>
              <w:textAlignment w:val="auto"/>
              <w:rPr>
                <w:rFonts w:hint="eastAsia" w:ascii="仿宋" w:hAnsi="仿宋" w:eastAsia="仿宋" w:cs="仿宋"/>
                <w:b/>
                <w:kern w:val="2"/>
                <w:sz w:val="24"/>
                <w:szCs w:val="24"/>
              </w:rPr>
            </w:pPr>
            <w:r>
              <w:rPr>
                <w:rFonts w:hint="eastAsia" w:ascii="仿宋" w:hAnsi="仿宋" w:eastAsia="仿宋" w:cs="仿宋"/>
                <w:b/>
                <w:kern w:val="2"/>
                <w:sz w:val="24"/>
                <w:szCs w:val="24"/>
              </w:rPr>
              <w:t>是</w:t>
            </w:r>
          </w:p>
        </w:tc>
        <w:tc>
          <w:tcPr>
            <w:tcW w:w="796" w:type="dxa"/>
            <w:noWrap w:val="0"/>
            <w:vAlign w:val="top"/>
          </w:tcPr>
          <w:p>
            <w:pPr>
              <w:adjustRightInd/>
              <w:spacing w:line="240" w:lineRule="auto"/>
              <w:jc w:val="center"/>
              <w:textAlignment w:val="auto"/>
              <w:rPr>
                <w:rFonts w:hint="eastAsia" w:ascii="仿宋" w:hAnsi="仿宋" w:eastAsia="仿宋" w:cs="仿宋"/>
                <w:b/>
                <w:kern w:val="2"/>
                <w:sz w:val="24"/>
                <w:szCs w:val="24"/>
              </w:rPr>
            </w:pPr>
            <w:r>
              <w:rPr>
                <w:rFonts w:hint="eastAsia" w:ascii="仿宋" w:hAnsi="仿宋" w:eastAsia="仿宋" w:cs="仿宋"/>
                <w:b/>
                <w:kern w:val="2"/>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5" w:hRule="atLeast"/>
          <w:jc w:val="center"/>
        </w:trPr>
        <w:tc>
          <w:tcPr>
            <w:tcW w:w="520" w:type="dxa"/>
            <w:vMerge w:val="restart"/>
            <w:noWrap w:val="0"/>
            <w:vAlign w:val="top"/>
          </w:tcPr>
          <w:p>
            <w:pPr>
              <w:adjustRightInd/>
              <w:spacing w:line="240" w:lineRule="auto"/>
              <w:textAlignment w:val="auto"/>
              <w:rPr>
                <w:rFonts w:hint="eastAsia" w:ascii="仿宋" w:hAnsi="仿宋" w:eastAsia="仿宋" w:cs="仿宋"/>
                <w:kern w:val="2"/>
                <w:sz w:val="24"/>
                <w:szCs w:val="24"/>
              </w:rPr>
            </w:pPr>
          </w:p>
          <w:p>
            <w:pPr>
              <w:adjustRightInd/>
              <w:spacing w:line="240" w:lineRule="auto"/>
              <w:textAlignment w:val="auto"/>
              <w:rPr>
                <w:rFonts w:hint="eastAsia" w:ascii="仿宋" w:hAnsi="仿宋" w:eastAsia="仿宋" w:cs="仿宋"/>
                <w:kern w:val="2"/>
                <w:sz w:val="24"/>
                <w:szCs w:val="24"/>
              </w:rPr>
            </w:pPr>
          </w:p>
          <w:p>
            <w:pPr>
              <w:adjustRightInd/>
              <w:spacing w:line="240" w:lineRule="auto"/>
              <w:textAlignment w:val="auto"/>
              <w:rPr>
                <w:rFonts w:hint="eastAsia" w:ascii="仿宋" w:hAnsi="仿宋" w:eastAsia="仿宋" w:cs="仿宋"/>
                <w:kern w:val="2"/>
                <w:sz w:val="24"/>
                <w:szCs w:val="24"/>
              </w:rPr>
            </w:pPr>
          </w:p>
          <w:p>
            <w:pPr>
              <w:adjustRightInd/>
              <w:spacing w:line="240" w:lineRule="auto"/>
              <w:ind w:firstLine="120" w:firstLineChars="50"/>
              <w:jc w:val="center"/>
              <w:textAlignment w:val="auto"/>
              <w:rPr>
                <w:rFonts w:hint="eastAsia" w:ascii="仿宋" w:hAnsi="仿宋" w:eastAsia="仿宋" w:cs="仿宋"/>
                <w:kern w:val="2"/>
                <w:sz w:val="24"/>
                <w:szCs w:val="24"/>
              </w:rPr>
            </w:pPr>
          </w:p>
          <w:p>
            <w:pPr>
              <w:adjustRightInd/>
              <w:spacing w:line="240" w:lineRule="auto"/>
              <w:ind w:firstLine="120" w:firstLineChars="50"/>
              <w:jc w:val="center"/>
              <w:textAlignment w:val="auto"/>
              <w:rPr>
                <w:rFonts w:hint="eastAsia" w:ascii="仿宋" w:hAnsi="仿宋" w:eastAsia="仿宋" w:cs="仿宋"/>
                <w:kern w:val="2"/>
                <w:sz w:val="24"/>
                <w:szCs w:val="24"/>
              </w:rPr>
            </w:pPr>
          </w:p>
          <w:p>
            <w:pPr>
              <w:adjustRightInd/>
              <w:spacing w:line="240" w:lineRule="auto"/>
              <w:ind w:firstLine="120" w:firstLineChars="50"/>
              <w:jc w:val="center"/>
              <w:textAlignment w:val="auto"/>
              <w:rPr>
                <w:rFonts w:hint="eastAsia" w:ascii="仿宋" w:hAnsi="仿宋" w:eastAsia="仿宋" w:cs="仿宋"/>
                <w:kern w:val="2"/>
                <w:sz w:val="24"/>
                <w:szCs w:val="24"/>
              </w:rPr>
            </w:pPr>
          </w:p>
          <w:p>
            <w:pPr>
              <w:adjustRightInd/>
              <w:spacing w:line="240" w:lineRule="auto"/>
              <w:ind w:firstLine="120" w:firstLineChars="50"/>
              <w:jc w:val="center"/>
              <w:textAlignment w:val="auto"/>
              <w:rPr>
                <w:rFonts w:hint="eastAsia" w:ascii="仿宋" w:hAnsi="仿宋" w:eastAsia="仿宋" w:cs="仿宋"/>
                <w:kern w:val="2"/>
                <w:sz w:val="24"/>
                <w:szCs w:val="24"/>
              </w:rPr>
            </w:pPr>
          </w:p>
          <w:p>
            <w:pPr>
              <w:adjustRightInd/>
              <w:spacing w:line="240" w:lineRule="auto"/>
              <w:ind w:firstLine="120" w:firstLineChars="50"/>
              <w:jc w:val="center"/>
              <w:textAlignment w:val="auto"/>
              <w:rPr>
                <w:rFonts w:hint="eastAsia" w:ascii="仿宋" w:hAnsi="仿宋" w:eastAsia="仿宋" w:cs="仿宋"/>
                <w:kern w:val="2"/>
                <w:sz w:val="24"/>
                <w:szCs w:val="24"/>
              </w:rPr>
            </w:pPr>
          </w:p>
          <w:p>
            <w:pPr>
              <w:adjustRightInd/>
              <w:spacing w:line="240" w:lineRule="auto"/>
              <w:ind w:firstLine="120" w:firstLineChars="50"/>
              <w:jc w:val="center"/>
              <w:textAlignment w:val="auto"/>
              <w:rPr>
                <w:rFonts w:hint="eastAsia" w:ascii="仿宋" w:hAnsi="仿宋" w:eastAsia="仿宋" w:cs="仿宋"/>
                <w:kern w:val="2"/>
                <w:sz w:val="24"/>
                <w:szCs w:val="24"/>
              </w:rPr>
            </w:pPr>
          </w:p>
          <w:p>
            <w:pPr>
              <w:adjustRightInd/>
              <w:spacing w:line="240" w:lineRule="auto"/>
              <w:ind w:firstLine="120" w:firstLineChars="50"/>
              <w:jc w:val="center"/>
              <w:textAlignment w:val="auto"/>
              <w:rPr>
                <w:rFonts w:hint="eastAsia" w:ascii="仿宋" w:hAnsi="仿宋" w:eastAsia="仿宋" w:cs="仿宋"/>
                <w:kern w:val="2"/>
                <w:sz w:val="24"/>
                <w:szCs w:val="24"/>
              </w:rPr>
            </w:pPr>
          </w:p>
          <w:p>
            <w:pPr>
              <w:adjustRightInd/>
              <w:spacing w:line="240" w:lineRule="auto"/>
              <w:ind w:firstLine="120" w:firstLineChars="50"/>
              <w:jc w:val="center"/>
              <w:textAlignment w:val="auto"/>
              <w:rPr>
                <w:rFonts w:hint="eastAsia" w:ascii="仿宋" w:hAnsi="仿宋" w:eastAsia="仿宋" w:cs="仿宋"/>
                <w:kern w:val="2"/>
                <w:sz w:val="24"/>
                <w:szCs w:val="24"/>
              </w:rPr>
            </w:pPr>
          </w:p>
          <w:p>
            <w:pPr>
              <w:adjustRightInd/>
              <w:spacing w:line="240" w:lineRule="auto"/>
              <w:ind w:firstLine="120" w:firstLineChars="50"/>
              <w:jc w:val="center"/>
              <w:textAlignment w:val="auto"/>
              <w:rPr>
                <w:rFonts w:hint="eastAsia" w:ascii="仿宋" w:hAnsi="仿宋" w:eastAsia="仿宋" w:cs="仿宋"/>
                <w:kern w:val="2"/>
                <w:sz w:val="24"/>
                <w:szCs w:val="24"/>
              </w:rPr>
            </w:pPr>
            <w:r>
              <w:rPr>
                <w:rFonts w:hint="eastAsia" w:ascii="仿宋" w:hAnsi="仿宋" w:eastAsia="仿宋" w:cs="仿宋"/>
                <w:kern w:val="2"/>
                <w:sz w:val="24"/>
                <w:szCs w:val="24"/>
              </w:rPr>
              <w:t>初</w:t>
            </w:r>
          </w:p>
          <w:p>
            <w:pPr>
              <w:adjustRightInd/>
              <w:spacing w:line="240" w:lineRule="auto"/>
              <w:ind w:firstLine="120" w:firstLineChars="50"/>
              <w:jc w:val="center"/>
              <w:textAlignment w:val="auto"/>
              <w:rPr>
                <w:rFonts w:hint="eastAsia" w:ascii="仿宋" w:hAnsi="仿宋" w:eastAsia="仿宋" w:cs="仿宋"/>
                <w:kern w:val="2"/>
                <w:sz w:val="24"/>
                <w:szCs w:val="24"/>
              </w:rPr>
            </w:pPr>
            <w:r>
              <w:rPr>
                <w:rFonts w:hint="eastAsia" w:ascii="仿宋" w:hAnsi="仿宋" w:eastAsia="仿宋" w:cs="仿宋"/>
                <w:kern w:val="2"/>
                <w:sz w:val="24"/>
                <w:szCs w:val="24"/>
              </w:rPr>
              <w:t>步</w:t>
            </w:r>
          </w:p>
          <w:p>
            <w:pPr>
              <w:adjustRightInd/>
              <w:spacing w:line="240" w:lineRule="auto"/>
              <w:ind w:firstLine="120" w:firstLineChars="50"/>
              <w:jc w:val="center"/>
              <w:textAlignment w:val="auto"/>
              <w:rPr>
                <w:rFonts w:hint="eastAsia" w:ascii="仿宋" w:hAnsi="仿宋" w:eastAsia="仿宋" w:cs="仿宋"/>
                <w:kern w:val="2"/>
                <w:sz w:val="24"/>
                <w:szCs w:val="24"/>
              </w:rPr>
            </w:pPr>
            <w:r>
              <w:rPr>
                <w:rFonts w:hint="eastAsia" w:ascii="仿宋" w:hAnsi="仿宋" w:eastAsia="仿宋" w:cs="仿宋"/>
                <w:kern w:val="2"/>
                <w:sz w:val="24"/>
                <w:szCs w:val="24"/>
              </w:rPr>
              <w:t>评</w:t>
            </w:r>
          </w:p>
          <w:p>
            <w:pPr>
              <w:adjustRightInd/>
              <w:spacing w:line="240" w:lineRule="auto"/>
              <w:ind w:firstLine="120" w:firstLineChars="50"/>
              <w:jc w:val="center"/>
              <w:textAlignment w:val="auto"/>
              <w:rPr>
                <w:rFonts w:hint="eastAsia" w:ascii="仿宋" w:hAnsi="仿宋" w:eastAsia="仿宋" w:cs="仿宋"/>
                <w:kern w:val="2"/>
                <w:sz w:val="24"/>
                <w:szCs w:val="24"/>
              </w:rPr>
            </w:pPr>
            <w:r>
              <w:rPr>
                <w:rFonts w:hint="eastAsia" w:ascii="仿宋" w:hAnsi="仿宋" w:eastAsia="仿宋" w:cs="仿宋"/>
                <w:kern w:val="2"/>
                <w:sz w:val="24"/>
                <w:szCs w:val="24"/>
              </w:rPr>
              <w:t>审</w:t>
            </w:r>
          </w:p>
          <w:p>
            <w:pPr>
              <w:adjustRightInd/>
              <w:spacing w:line="240" w:lineRule="auto"/>
              <w:jc w:val="center"/>
              <w:textAlignment w:val="auto"/>
              <w:rPr>
                <w:rFonts w:hint="eastAsia" w:ascii="仿宋" w:hAnsi="仿宋" w:eastAsia="仿宋" w:cs="仿宋"/>
                <w:kern w:val="2"/>
                <w:sz w:val="21"/>
                <w:szCs w:val="22"/>
              </w:rPr>
            </w:pPr>
          </w:p>
          <w:p>
            <w:pPr>
              <w:widowControl w:val="0"/>
              <w:adjustRightInd w:val="0"/>
              <w:spacing w:line="240" w:lineRule="auto"/>
              <w:ind w:left="0" w:leftChars="0" w:firstLine="1126" w:firstLineChars="352"/>
              <w:jc w:val="both"/>
              <w:textAlignment w:val="baseline"/>
              <w:rPr>
                <w:rFonts w:hint="eastAsia" w:ascii="仿宋" w:hAnsi="仿宋" w:eastAsia="仿宋" w:cs="仿宋"/>
                <w:kern w:val="2"/>
                <w:sz w:val="32"/>
                <w:szCs w:val="20"/>
                <w:lang w:val="en-US" w:eastAsia="zh-CN" w:bidi="ar-SA"/>
              </w:rPr>
            </w:pPr>
          </w:p>
        </w:tc>
        <w:tc>
          <w:tcPr>
            <w:tcW w:w="900" w:type="dxa"/>
            <w:vMerge w:val="restart"/>
            <w:noWrap w:val="0"/>
            <w:vAlign w:val="center"/>
          </w:tcPr>
          <w:p>
            <w:pPr>
              <w:adjustRightInd/>
              <w:spacing w:line="240" w:lineRule="auto"/>
              <w:ind w:firstLine="120" w:firstLineChars="50"/>
              <w:jc w:val="center"/>
              <w:textAlignment w:val="auto"/>
              <w:rPr>
                <w:rFonts w:hint="eastAsia" w:ascii="仿宋" w:hAnsi="仿宋" w:eastAsia="仿宋" w:cs="仿宋"/>
                <w:kern w:val="2"/>
                <w:sz w:val="24"/>
                <w:szCs w:val="24"/>
              </w:rPr>
            </w:pPr>
            <w:r>
              <w:rPr>
                <w:rFonts w:hint="eastAsia" w:ascii="仿宋" w:hAnsi="仿宋" w:eastAsia="仿宋" w:cs="仿宋"/>
                <w:kern w:val="2"/>
                <w:sz w:val="24"/>
                <w:szCs w:val="24"/>
              </w:rPr>
              <w:t>资</w:t>
            </w:r>
          </w:p>
          <w:p>
            <w:pPr>
              <w:adjustRightInd/>
              <w:spacing w:line="240" w:lineRule="auto"/>
              <w:ind w:firstLine="120" w:firstLineChars="50"/>
              <w:jc w:val="center"/>
              <w:textAlignment w:val="auto"/>
              <w:rPr>
                <w:rFonts w:hint="eastAsia" w:ascii="仿宋" w:hAnsi="仿宋" w:eastAsia="仿宋" w:cs="仿宋"/>
                <w:kern w:val="2"/>
                <w:sz w:val="24"/>
                <w:szCs w:val="24"/>
              </w:rPr>
            </w:pPr>
            <w:r>
              <w:rPr>
                <w:rFonts w:hint="eastAsia" w:ascii="仿宋" w:hAnsi="仿宋" w:eastAsia="仿宋" w:cs="仿宋"/>
                <w:kern w:val="2"/>
                <w:sz w:val="24"/>
                <w:szCs w:val="24"/>
              </w:rPr>
              <w:t>格</w:t>
            </w:r>
          </w:p>
          <w:p>
            <w:pPr>
              <w:adjustRightInd/>
              <w:spacing w:line="240" w:lineRule="auto"/>
              <w:ind w:firstLine="120" w:firstLineChars="50"/>
              <w:jc w:val="center"/>
              <w:textAlignment w:val="auto"/>
              <w:rPr>
                <w:rFonts w:hint="eastAsia" w:ascii="仿宋" w:hAnsi="仿宋" w:eastAsia="仿宋" w:cs="仿宋"/>
                <w:kern w:val="2"/>
                <w:sz w:val="24"/>
                <w:szCs w:val="24"/>
              </w:rPr>
            </w:pPr>
            <w:r>
              <w:rPr>
                <w:rFonts w:hint="eastAsia" w:ascii="仿宋" w:hAnsi="仿宋" w:eastAsia="仿宋" w:cs="仿宋"/>
                <w:kern w:val="2"/>
                <w:sz w:val="24"/>
                <w:szCs w:val="24"/>
              </w:rPr>
              <w:t>检</w:t>
            </w:r>
          </w:p>
          <w:p>
            <w:pPr>
              <w:adjustRightInd/>
              <w:spacing w:line="240" w:lineRule="auto"/>
              <w:ind w:firstLine="120" w:firstLineChars="50"/>
              <w:jc w:val="center"/>
              <w:textAlignment w:val="auto"/>
              <w:rPr>
                <w:rFonts w:hint="eastAsia" w:ascii="仿宋" w:hAnsi="仿宋" w:eastAsia="仿宋" w:cs="仿宋"/>
                <w:b/>
                <w:kern w:val="2"/>
                <w:sz w:val="24"/>
                <w:szCs w:val="24"/>
              </w:rPr>
            </w:pPr>
            <w:r>
              <w:rPr>
                <w:rFonts w:hint="eastAsia" w:ascii="仿宋" w:hAnsi="仿宋" w:eastAsia="仿宋" w:cs="仿宋"/>
                <w:kern w:val="2"/>
                <w:sz w:val="24"/>
                <w:szCs w:val="24"/>
              </w:rPr>
              <w:t>查</w:t>
            </w:r>
          </w:p>
        </w:tc>
        <w:tc>
          <w:tcPr>
            <w:tcW w:w="2431" w:type="dxa"/>
            <w:noWrap w:val="0"/>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kern w:val="2"/>
                <w:sz w:val="24"/>
                <w:szCs w:val="24"/>
                <w:lang w:eastAsia="zh-CN"/>
              </w:rPr>
            </w:pPr>
            <w:r>
              <w:rPr>
                <w:rFonts w:hint="eastAsia" w:ascii="仿宋" w:hAnsi="仿宋" w:eastAsia="仿宋" w:cs="仿宋"/>
                <w:b w:val="0"/>
                <w:bCs/>
                <w:kern w:val="2"/>
                <w:sz w:val="24"/>
                <w:szCs w:val="24"/>
                <w:lang w:eastAsia="zh-CN"/>
              </w:rPr>
              <w:t>具有独立承担民事责任的能力</w:t>
            </w:r>
          </w:p>
        </w:tc>
        <w:tc>
          <w:tcPr>
            <w:tcW w:w="3914" w:type="dxa"/>
            <w:noWrap w:val="0"/>
            <w:vAlign w:val="center"/>
          </w:tcPr>
          <w:p>
            <w:pPr>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rPr>
              <w:t>提供</w:t>
            </w:r>
            <w:r>
              <w:rPr>
                <w:rFonts w:hint="eastAsia" w:ascii="仿宋" w:hAnsi="仿宋" w:eastAsia="仿宋" w:cs="仿宋"/>
                <w:kern w:val="2"/>
                <w:sz w:val="24"/>
                <w:szCs w:val="24"/>
                <w:lang w:eastAsia="zh-CN"/>
              </w:rPr>
              <w:t>有效的</w:t>
            </w:r>
            <w:r>
              <w:rPr>
                <w:rFonts w:hint="eastAsia" w:ascii="仿宋" w:hAnsi="仿宋" w:eastAsia="仿宋" w:cs="仿宋"/>
                <w:kern w:val="2"/>
                <w:sz w:val="24"/>
                <w:szCs w:val="24"/>
              </w:rPr>
              <w:t>营业执照</w:t>
            </w:r>
            <w:r>
              <w:rPr>
                <w:rFonts w:hint="eastAsia" w:ascii="仿宋" w:hAnsi="仿宋" w:eastAsia="仿宋" w:cs="仿宋"/>
                <w:kern w:val="2"/>
                <w:sz w:val="24"/>
                <w:szCs w:val="24"/>
                <w:lang w:eastAsia="zh-CN"/>
              </w:rPr>
              <w:t>。</w:t>
            </w:r>
          </w:p>
        </w:tc>
        <w:tc>
          <w:tcPr>
            <w:tcW w:w="797" w:type="dxa"/>
            <w:noWrap w:val="0"/>
            <w:vAlign w:val="top"/>
          </w:tcPr>
          <w:p>
            <w:pPr>
              <w:adjustRightInd/>
              <w:spacing w:line="240" w:lineRule="auto"/>
              <w:jc w:val="center"/>
              <w:textAlignment w:val="auto"/>
              <w:rPr>
                <w:rFonts w:hint="eastAsia" w:ascii="仿宋" w:hAnsi="仿宋" w:eastAsia="仿宋" w:cs="仿宋"/>
                <w:kern w:val="2"/>
                <w:sz w:val="24"/>
                <w:szCs w:val="24"/>
              </w:rPr>
            </w:pPr>
          </w:p>
        </w:tc>
        <w:tc>
          <w:tcPr>
            <w:tcW w:w="796" w:type="dxa"/>
            <w:noWrap w:val="0"/>
            <w:vAlign w:val="center"/>
          </w:tcPr>
          <w:p>
            <w:pPr>
              <w:adjustRightInd/>
              <w:spacing w:line="240" w:lineRule="auto"/>
              <w:jc w:val="center"/>
              <w:textAlignment w:val="auto"/>
              <w:rPr>
                <w:rFonts w:hint="eastAsia"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04" w:hRule="atLeast"/>
          <w:jc w:val="center"/>
        </w:trPr>
        <w:tc>
          <w:tcPr>
            <w:tcW w:w="520" w:type="dxa"/>
            <w:vMerge w:val="continue"/>
            <w:noWrap w:val="0"/>
            <w:vAlign w:val="top"/>
          </w:tcPr>
          <w:p>
            <w:pPr>
              <w:adjustRightInd/>
              <w:spacing w:line="240" w:lineRule="auto"/>
              <w:jc w:val="center"/>
              <w:textAlignment w:val="auto"/>
              <w:rPr>
                <w:rFonts w:hint="eastAsia" w:ascii="仿宋" w:hAnsi="仿宋" w:eastAsia="仿宋" w:cs="仿宋"/>
                <w:kern w:val="2"/>
                <w:sz w:val="24"/>
                <w:szCs w:val="24"/>
              </w:rPr>
            </w:pPr>
          </w:p>
        </w:tc>
        <w:tc>
          <w:tcPr>
            <w:tcW w:w="900" w:type="dxa"/>
            <w:vMerge w:val="continue"/>
            <w:noWrap w:val="0"/>
            <w:vAlign w:val="center"/>
          </w:tcPr>
          <w:p>
            <w:pPr>
              <w:adjustRightInd/>
              <w:spacing w:line="240" w:lineRule="auto"/>
              <w:jc w:val="center"/>
              <w:textAlignment w:val="auto"/>
              <w:rPr>
                <w:rFonts w:hint="eastAsia" w:ascii="仿宋" w:hAnsi="仿宋" w:eastAsia="仿宋" w:cs="仿宋"/>
                <w:kern w:val="2"/>
                <w:sz w:val="24"/>
                <w:szCs w:val="24"/>
              </w:rPr>
            </w:pPr>
          </w:p>
        </w:tc>
        <w:tc>
          <w:tcPr>
            <w:tcW w:w="2431" w:type="dxa"/>
            <w:noWrap w:val="0"/>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具有良好和健全的财务会计制度</w:t>
            </w:r>
          </w:p>
        </w:tc>
        <w:tc>
          <w:tcPr>
            <w:tcW w:w="391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kern w:val="2"/>
                <w:sz w:val="24"/>
                <w:szCs w:val="24"/>
                <w:lang w:val="en-US" w:eastAsia="zh-CN" w:bidi="ar-SA"/>
              </w:rPr>
            </w:pPr>
            <w:r>
              <w:rPr>
                <w:rStyle w:val="29"/>
                <w:rFonts w:hint="eastAsia" w:ascii="仿宋" w:hAnsi="仿宋" w:eastAsia="仿宋" w:cs="仿宋"/>
                <w:b w:val="0"/>
                <w:i w:val="0"/>
                <w:caps w:val="0"/>
                <w:color w:val="auto"/>
                <w:spacing w:val="0"/>
                <w:w w:val="100"/>
                <w:sz w:val="24"/>
                <w:szCs w:val="24"/>
                <w:highlight w:val="none"/>
              </w:rPr>
              <w:t>20</w:t>
            </w:r>
            <w:r>
              <w:rPr>
                <w:rStyle w:val="29"/>
                <w:rFonts w:hint="eastAsia" w:ascii="仿宋" w:hAnsi="仿宋" w:eastAsia="仿宋" w:cs="仿宋"/>
                <w:b w:val="0"/>
                <w:i w:val="0"/>
                <w:caps w:val="0"/>
                <w:color w:val="auto"/>
                <w:spacing w:val="0"/>
                <w:w w:val="100"/>
                <w:sz w:val="24"/>
                <w:szCs w:val="24"/>
                <w:highlight w:val="none"/>
                <w:lang w:val="en-US" w:eastAsia="zh-CN"/>
              </w:rPr>
              <w:t>22</w:t>
            </w:r>
            <w:r>
              <w:rPr>
                <w:rStyle w:val="29"/>
                <w:rFonts w:hint="eastAsia" w:ascii="仿宋" w:hAnsi="仿宋" w:eastAsia="仿宋" w:cs="仿宋"/>
                <w:b w:val="0"/>
                <w:i w:val="0"/>
                <w:caps w:val="0"/>
                <w:color w:val="auto"/>
                <w:spacing w:val="0"/>
                <w:w w:val="100"/>
                <w:sz w:val="24"/>
                <w:szCs w:val="24"/>
                <w:highlight w:val="none"/>
              </w:rPr>
              <w:t>年度</w:t>
            </w:r>
            <w:r>
              <w:rPr>
                <w:rStyle w:val="29"/>
                <w:rFonts w:hint="eastAsia" w:ascii="仿宋" w:hAnsi="仿宋" w:eastAsia="仿宋" w:cs="仿宋"/>
                <w:b w:val="0"/>
                <w:i w:val="0"/>
                <w:caps w:val="0"/>
                <w:color w:val="auto"/>
                <w:spacing w:val="0"/>
                <w:w w:val="100"/>
                <w:sz w:val="24"/>
                <w:szCs w:val="24"/>
                <w:highlight w:val="none"/>
                <w:lang w:eastAsia="zh-CN"/>
              </w:rPr>
              <w:t>完整的</w:t>
            </w:r>
            <w:r>
              <w:rPr>
                <w:rStyle w:val="29"/>
                <w:rFonts w:hint="eastAsia" w:ascii="仿宋" w:hAnsi="仿宋" w:eastAsia="仿宋" w:cs="仿宋"/>
                <w:b w:val="0"/>
                <w:i w:val="0"/>
                <w:caps w:val="0"/>
                <w:color w:val="auto"/>
                <w:spacing w:val="0"/>
                <w:w w:val="100"/>
                <w:sz w:val="24"/>
                <w:szCs w:val="24"/>
                <w:highlight w:val="none"/>
              </w:rPr>
              <w:t>财务审计报告或财务报表</w:t>
            </w:r>
          </w:p>
        </w:tc>
        <w:tc>
          <w:tcPr>
            <w:tcW w:w="797" w:type="dxa"/>
            <w:noWrap w:val="0"/>
            <w:vAlign w:val="top"/>
          </w:tcPr>
          <w:p>
            <w:pPr>
              <w:adjustRightInd/>
              <w:spacing w:line="240" w:lineRule="auto"/>
              <w:jc w:val="center"/>
              <w:textAlignment w:val="auto"/>
              <w:rPr>
                <w:rFonts w:hint="eastAsia" w:ascii="仿宋" w:hAnsi="仿宋" w:eastAsia="仿宋" w:cs="仿宋"/>
                <w:kern w:val="2"/>
                <w:sz w:val="24"/>
                <w:szCs w:val="24"/>
              </w:rPr>
            </w:pPr>
          </w:p>
        </w:tc>
        <w:tc>
          <w:tcPr>
            <w:tcW w:w="796" w:type="dxa"/>
            <w:noWrap w:val="0"/>
            <w:vAlign w:val="center"/>
          </w:tcPr>
          <w:p>
            <w:pPr>
              <w:adjustRightInd/>
              <w:spacing w:line="240" w:lineRule="auto"/>
              <w:jc w:val="center"/>
              <w:textAlignment w:val="auto"/>
              <w:rPr>
                <w:rFonts w:hint="eastAsia"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2" w:hRule="atLeast"/>
          <w:jc w:val="center"/>
        </w:trPr>
        <w:tc>
          <w:tcPr>
            <w:tcW w:w="520" w:type="dxa"/>
            <w:vMerge w:val="continue"/>
            <w:noWrap w:val="0"/>
            <w:vAlign w:val="top"/>
          </w:tcPr>
          <w:p>
            <w:pPr>
              <w:adjustRightInd/>
              <w:spacing w:line="240" w:lineRule="auto"/>
              <w:jc w:val="center"/>
              <w:textAlignment w:val="auto"/>
              <w:rPr>
                <w:rFonts w:hint="eastAsia" w:ascii="仿宋" w:hAnsi="仿宋" w:eastAsia="仿宋" w:cs="仿宋"/>
                <w:kern w:val="2"/>
                <w:sz w:val="24"/>
                <w:szCs w:val="24"/>
              </w:rPr>
            </w:pPr>
          </w:p>
        </w:tc>
        <w:tc>
          <w:tcPr>
            <w:tcW w:w="900" w:type="dxa"/>
            <w:vMerge w:val="continue"/>
            <w:noWrap w:val="0"/>
            <w:vAlign w:val="center"/>
          </w:tcPr>
          <w:p>
            <w:pPr>
              <w:adjustRightInd/>
              <w:spacing w:line="240" w:lineRule="auto"/>
              <w:jc w:val="center"/>
              <w:textAlignment w:val="auto"/>
              <w:rPr>
                <w:rFonts w:hint="eastAsia" w:ascii="仿宋" w:hAnsi="仿宋" w:eastAsia="仿宋" w:cs="仿宋"/>
                <w:kern w:val="2"/>
                <w:sz w:val="24"/>
                <w:szCs w:val="24"/>
              </w:rPr>
            </w:pPr>
          </w:p>
        </w:tc>
        <w:tc>
          <w:tcPr>
            <w:tcW w:w="2431" w:type="dxa"/>
            <w:noWrap w:val="0"/>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有依法缴纳税收和社会保障资金的良好记录</w:t>
            </w:r>
          </w:p>
        </w:tc>
        <w:tc>
          <w:tcPr>
            <w:tcW w:w="3914" w:type="dxa"/>
            <w:noWrap w:val="0"/>
            <w:vAlign w:val="center"/>
          </w:tcPr>
          <w:p>
            <w:pPr>
              <w:numPr>
                <w:ilvl w:val="0"/>
                <w:numId w:val="0"/>
              </w:numPr>
              <w:snapToGrid/>
              <w:spacing w:before="0" w:beforeAutospacing="0" w:after="0" w:afterAutospacing="0" w:line="240" w:lineRule="auto"/>
              <w:jc w:val="left"/>
              <w:textAlignment w:val="baseline"/>
              <w:rPr>
                <w:rFonts w:hint="eastAsia" w:ascii="仿宋" w:hAnsi="仿宋" w:eastAsia="仿宋" w:cs="仿宋"/>
                <w:color w:val="auto"/>
                <w:kern w:val="2"/>
                <w:sz w:val="24"/>
                <w:szCs w:val="24"/>
                <w:lang w:val="en-US"/>
              </w:rPr>
            </w:pPr>
            <w:r>
              <w:rPr>
                <w:rFonts w:hint="eastAsia" w:ascii="仿宋" w:hAnsi="仿宋" w:eastAsia="仿宋" w:cs="仿宋"/>
                <w:color w:val="auto"/>
                <w:kern w:val="0"/>
                <w:sz w:val="24"/>
                <w:szCs w:val="24"/>
                <w:highlight w:val="none"/>
                <w:lang w:val="en-US" w:eastAsia="zh-CN"/>
              </w:rPr>
              <w:t>参加本次政府采购活动前三个月内任意一个月的税收和社保缴纳证明（含法定代表人或授权委托人社保明细，若法定代表人或授权委托人是退休人员需提供退休证明）</w:t>
            </w:r>
            <w:r>
              <w:rPr>
                <w:rStyle w:val="29"/>
                <w:rFonts w:hint="eastAsia" w:ascii="仿宋" w:hAnsi="仿宋" w:eastAsia="仿宋" w:cs="仿宋"/>
                <w:b w:val="0"/>
                <w:i w:val="0"/>
                <w:caps w:val="0"/>
                <w:color w:val="auto"/>
                <w:spacing w:val="0"/>
                <w:w w:val="100"/>
                <w:kern w:val="2"/>
                <w:sz w:val="24"/>
                <w:szCs w:val="24"/>
                <w:highlight w:val="none"/>
                <w:lang w:val="en-US" w:eastAsia="zh-CN" w:bidi="ar-SA"/>
              </w:rPr>
              <w:t>；</w:t>
            </w:r>
          </w:p>
        </w:tc>
        <w:tc>
          <w:tcPr>
            <w:tcW w:w="797" w:type="dxa"/>
            <w:noWrap w:val="0"/>
            <w:vAlign w:val="top"/>
          </w:tcPr>
          <w:p>
            <w:pPr>
              <w:adjustRightInd/>
              <w:spacing w:line="240" w:lineRule="auto"/>
              <w:jc w:val="center"/>
              <w:textAlignment w:val="auto"/>
              <w:rPr>
                <w:rFonts w:hint="eastAsia" w:ascii="仿宋" w:hAnsi="仿宋" w:eastAsia="仿宋" w:cs="仿宋"/>
                <w:kern w:val="2"/>
                <w:sz w:val="24"/>
                <w:szCs w:val="24"/>
              </w:rPr>
            </w:pPr>
          </w:p>
        </w:tc>
        <w:tc>
          <w:tcPr>
            <w:tcW w:w="796" w:type="dxa"/>
            <w:noWrap w:val="0"/>
            <w:vAlign w:val="center"/>
          </w:tcPr>
          <w:p>
            <w:pPr>
              <w:adjustRightInd/>
              <w:spacing w:line="240" w:lineRule="auto"/>
              <w:jc w:val="center"/>
              <w:textAlignment w:val="auto"/>
              <w:rPr>
                <w:rFonts w:hint="eastAsia"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32" w:hRule="atLeast"/>
          <w:jc w:val="center"/>
        </w:trPr>
        <w:tc>
          <w:tcPr>
            <w:tcW w:w="520" w:type="dxa"/>
            <w:vMerge w:val="continue"/>
            <w:noWrap w:val="0"/>
            <w:vAlign w:val="top"/>
          </w:tcPr>
          <w:p>
            <w:pPr>
              <w:adjustRightInd/>
              <w:spacing w:line="240" w:lineRule="auto"/>
              <w:jc w:val="center"/>
              <w:textAlignment w:val="auto"/>
              <w:rPr>
                <w:rFonts w:hint="eastAsia" w:ascii="仿宋" w:hAnsi="仿宋" w:eastAsia="仿宋" w:cs="仿宋"/>
                <w:kern w:val="2"/>
                <w:sz w:val="24"/>
                <w:szCs w:val="24"/>
              </w:rPr>
            </w:pPr>
          </w:p>
        </w:tc>
        <w:tc>
          <w:tcPr>
            <w:tcW w:w="900" w:type="dxa"/>
            <w:vMerge w:val="continue"/>
            <w:noWrap w:val="0"/>
            <w:vAlign w:val="center"/>
          </w:tcPr>
          <w:p>
            <w:pPr>
              <w:adjustRightInd/>
              <w:spacing w:line="240" w:lineRule="auto"/>
              <w:jc w:val="center"/>
              <w:textAlignment w:val="auto"/>
              <w:rPr>
                <w:rFonts w:hint="eastAsia" w:ascii="仿宋" w:hAnsi="仿宋" w:eastAsia="仿宋" w:cs="仿宋"/>
                <w:kern w:val="2"/>
                <w:sz w:val="24"/>
                <w:szCs w:val="24"/>
              </w:rPr>
            </w:pPr>
          </w:p>
        </w:tc>
        <w:tc>
          <w:tcPr>
            <w:tcW w:w="2431" w:type="dxa"/>
            <w:noWrap w:val="0"/>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val="en-US" w:eastAsia="zh-CN"/>
              </w:rPr>
              <w:t>参加政府采购活动前三年内，在经营活动中没有重大违法记录</w:t>
            </w:r>
          </w:p>
        </w:tc>
        <w:tc>
          <w:tcPr>
            <w:tcW w:w="3914" w:type="dxa"/>
            <w:noWrap w:val="0"/>
            <w:vAlign w:val="center"/>
          </w:tcPr>
          <w:p>
            <w:pPr>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提供近三年经营活动中没有重大违法记录声明函。</w:t>
            </w:r>
          </w:p>
        </w:tc>
        <w:tc>
          <w:tcPr>
            <w:tcW w:w="797" w:type="dxa"/>
            <w:noWrap w:val="0"/>
            <w:vAlign w:val="top"/>
          </w:tcPr>
          <w:p>
            <w:pPr>
              <w:adjustRightInd/>
              <w:spacing w:line="240" w:lineRule="auto"/>
              <w:jc w:val="center"/>
              <w:textAlignment w:val="auto"/>
              <w:rPr>
                <w:rFonts w:hint="eastAsia" w:ascii="仿宋" w:hAnsi="仿宋" w:eastAsia="仿宋" w:cs="仿宋"/>
                <w:kern w:val="2"/>
                <w:sz w:val="24"/>
                <w:szCs w:val="24"/>
              </w:rPr>
            </w:pPr>
          </w:p>
        </w:tc>
        <w:tc>
          <w:tcPr>
            <w:tcW w:w="796" w:type="dxa"/>
            <w:noWrap w:val="0"/>
            <w:vAlign w:val="center"/>
          </w:tcPr>
          <w:p>
            <w:pPr>
              <w:adjustRightInd/>
              <w:spacing w:line="240" w:lineRule="auto"/>
              <w:jc w:val="center"/>
              <w:textAlignment w:val="auto"/>
              <w:rPr>
                <w:rFonts w:hint="eastAsia"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32" w:hRule="atLeast"/>
          <w:jc w:val="center"/>
        </w:trPr>
        <w:tc>
          <w:tcPr>
            <w:tcW w:w="520" w:type="dxa"/>
            <w:vMerge w:val="continue"/>
            <w:noWrap w:val="0"/>
            <w:vAlign w:val="top"/>
          </w:tcPr>
          <w:p>
            <w:pPr>
              <w:adjustRightInd/>
              <w:spacing w:line="240" w:lineRule="auto"/>
              <w:jc w:val="center"/>
              <w:textAlignment w:val="auto"/>
              <w:rPr>
                <w:rFonts w:hint="eastAsia" w:ascii="仿宋" w:hAnsi="仿宋" w:eastAsia="仿宋" w:cs="仿宋"/>
                <w:kern w:val="2"/>
                <w:sz w:val="24"/>
                <w:szCs w:val="24"/>
              </w:rPr>
            </w:pPr>
          </w:p>
        </w:tc>
        <w:tc>
          <w:tcPr>
            <w:tcW w:w="900" w:type="dxa"/>
            <w:vMerge w:val="continue"/>
            <w:noWrap w:val="0"/>
            <w:vAlign w:val="center"/>
          </w:tcPr>
          <w:p>
            <w:pPr>
              <w:adjustRightInd/>
              <w:spacing w:line="240" w:lineRule="auto"/>
              <w:jc w:val="center"/>
              <w:textAlignment w:val="auto"/>
              <w:rPr>
                <w:rFonts w:hint="eastAsia" w:ascii="仿宋" w:hAnsi="仿宋" w:eastAsia="仿宋" w:cs="仿宋"/>
                <w:kern w:val="2"/>
                <w:sz w:val="24"/>
                <w:szCs w:val="24"/>
              </w:rPr>
            </w:pPr>
          </w:p>
        </w:tc>
        <w:tc>
          <w:tcPr>
            <w:tcW w:w="2431" w:type="dxa"/>
            <w:noWrap w:val="0"/>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具有履行合同所必需的设备和专业技术能力</w:t>
            </w:r>
          </w:p>
        </w:tc>
        <w:tc>
          <w:tcPr>
            <w:tcW w:w="3914" w:type="dxa"/>
            <w:noWrap w:val="0"/>
            <w:vAlign w:val="center"/>
          </w:tcPr>
          <w:p>
            <w:pPr>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提供具有</w:t>
            </w:r>
            <w:r>
              <w:rPr>
                <w:rFonts w:hint="eastAsia" w:ascii="仿宋" w:hAnsi="仿宋" w:eastAsia="仿宋" w:cs="仿宋"/>
                <w:kern w:val="2"/>
                <w:sz w:val="24"/>
                <w:szCs w:val="24"/>
                <w:lang w:eastAsia="zh-CN"/>
              </w:rPr>
              <w:t>履行合同所必需的设备和专业技术能力</w:t>
            </w:r>
            <w:r>
              <w:rPr>
                <w:rFonts w:hint="eastAsia" w:ascii="仿宋" w:hAnsi="仿宋" w:eastAsia="仿宋" w:cs="仿宋"/>
                <w:kern w:val="2"/>
                <w:sz w:val="24"/>
                <w:szCs w:val="24"/>
                <w:lang w:val="en-US" w:eastAsia="zh-CN"/>
              </w:rPr>
              <w:t>承诺函。</w:t>
            </w:r>
          </w:p>
        </w:tc>
        <w:tc>
          <w:tcPr>
            <w:tcW w:w="797" w:type="dxa"/>
            <w:noWrap w:val="0"/>
            <w:vAlign w:val="top"/>
          </w:tcPr>
          <w:p>
            <w:pPr>
              <w:adjustRightInd/>
              <w:spacing w:line="240" w:lineRule="auto"/>
              <w:jc w:val="center"/>
              <w:textAlignment w:val="auto"/>
              <w:rPr>
                <w:rFonts w:hint="eastAsia" w:ascii="仿宋" w:hAnsi="仿宋" w:eastAsia="仿宋" w:cs="仿宋"/>
                <w:kern w:val="2"/>
                <w:sz w:val="24"/>
                <w:szCs w:val="24"/>
              </w:rPr>
            </w:pPr>
          </w:p>
        </w:tc>
        <w:tc>
          <w:tcPr>
            <w:tcW w:w="796" w:type="dxa"/>
            <w:noWrap w:val="0"/>
            <w:vAlign w:val="center"/>
          </w:tcPr>
          <w:p>
            <w:pPr>
              <w:adjustRightInd/>
              <w:spacing w:line="240" w:lineRule="auto"/>
              <w:jc w:val="center"/>
              <w:textAlignment w:val="auto"/>
              <w:rPr>
                <w:rFonts w:hint="eastAsia"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78" w:hRule="atLeast"/>
          <w:jc w:val="center"/>
        </w:trPr>
        <w:tc>
          <w:tcPr>
            <w:tcW w:w="520" w:type="dxa"/>
            <w:vMerge w:val="continue"/>
            <w:noWrap w:val="0"/>
            <w:vAlign w:val="top"/>
          </w:tcPr>
          <w:p>
            <w:pPr>
              <w:adjustRightInd/>
              <w:spacing w:line="240" w:lineRule="auto"/>
              <w:jc w:val="center"/>
              <w:textAlignment w:val="auto"/>
              <w:rPr>
                <w:rFonts w:hint="eastAsia" w:ascii="仿宋" w:hAnsi="仿宋" w:eastAsia="仿宋" w:cs="仿宋"/>
                <w:kern w:val="2"/>
                <w:sz w:val="24"/>
                <w:szCs w:val="24"/>
              </w:rPr>
            </w:pPr>
          </w:p>
        </w:tc>
        <w:tc>
          <w:tcPr>
            <w:tcW w:w="900" w:type="dxa"/>
            <w:vMerge w:val="continue"/>
            <w:noWrap w:val="0"/>
            <w:vAlign w:val="center"/>
          </w:tcPr>
          <w:p>
            <w:pPr>
              <w:adjustRightInd/>
              <w:spacing w:line="240" w:lineRule="auto"/>
              <w:jc w:val="center"/>
              <w:textAlignment w:val="auto"/>
              <w:rPr>
                <w:rFonts w:hint="eastAsia" w:ascii="仿宋" w:hAnsi="仿宋" w:eastAsia="仿宋" w:cs="仿宋"/>
                <w:kern w:val="2"/>
                <w:sz w:val="24"/>
                <w:szCs w:val="24"/>
              </w:rPr>
            </w:pPr>
          </w:p>
        </w:tc>
        <w:tc>
          <w:tcPr>
            <w:tcW w:w="2431" w:type="dxa"/>
            <w:noWrap w:val="0"/>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信用信息查询记录</w:t>
            </w:r>
          </w:p>
        </w:tc>
        <w:tc>
          <w:tcPr>
            <w:tcW w:w="3914" w:type="dxa"/>
            <w:noWrap w:val="0"/>
            <w:vAlign w:val="center"/>
          </w:tcPr>
          <w:p>
            <w:pPr>
              <w:pageBreakBefore w:val="0"/>
              <w:widowControl w:val="0"/>
              <w:numPr>
                <w:ilvl w:val="0"/>
                <w:numId w:val="7"/>
              </w:numPr>
              <w:kinsoku/>
              <w:wordWrap/>
              <w:overflowPunct/>
              <w:topLinePunct w:val="0"/>
              <w:autoSpaceDE/>
              <w:autoSpaceDN/>
              <w:bidi w:val="0"/>
              <w:adjustRightInd/>
              <w:snapToGrid/>
              <w:spacing w:line="240" w:lineRule="auto"/>
              <w:jc w:val="left"/>
              <w:textAlignment w:val="auto"/>
              <w:rPr>
                <w:rStyle w:val="29"/>
                <w:rFonts w:hint="eastAsia" w:ascii="仿宋" w:hAnsi="仿宋" w:eastAsia="仿宋" w:cs="仿宋"/>
                <w:b w:val="0"/>
                <w:i w:val="0"/>
                <w:caps w:val="0"/>
                <w:color w:val="auto"/>
                <w:spacing w:val="0"/>
                <w:w w:val="100"/>
                <w:kern w:val="2"/>
                <w:sz w:val="24"/>
                <w:szCs w:val="24"/>
                <w:highlight w:val="none"/>
                <w:lang w:val="en-US" w:eastAsia="zh-CN" w:bidi="ar-SA"/>
              </w:rPr>
            </w:pPr>
            <w:r>
              <w:rPr>
                <w:rStyle w:val="29"/>
                <w:rFonts w:hint="eastAsia" w:ascii="仿宋" w:hAnsi="仿宋" w:eastAsia="仿宋" w:cs="仿宋"/>
                <w:b w:val="0"/>
                <w:i w:val="0"/>
                <w:caps w:val="0"/>
                <w:color w:val="auto"/>
                <w:spacing w:val="0"/>
                <w:w w:val="100"/>
                <w:kern w:val="2"/>
                <w:sz w:val="24"/>
                <w:szCs w:val="24"/>
                <w:highlight w:val="none"/>
                <w:lang w:val="en-US" w:eastAsia="zh-CN" w:bidi="ar-SA"/>
              </w:rPr>
              <w:t>投标人在“信用中国”网站（www.creditchina.gov.cn）以“未被列入失信被执行人记录”、“重大税收违法案件当事人名单”且在中国政府采购网（www.ccgp.gov.cn）没有相关主体“政府采购严重违法失信行为记录”（被禁止在一定期限内参加政府采购活动但期限届满的除外）（查询日期为从采购文件发售之日起至投标截止日前），网页截图（需显示查询时间）加盖供应商公章为准；</w:t>
            </w:r>
          </w:p>
          <w:p>
            <w:pPr>
              <w:pageBreakBefore w:val="0"/>
              <w:widowControl w:val="0"/>
              <w:numPr>
                <w:ilvl w:val="0"/>
                <w:numId w:val="7"/>
              </w:numPr>
              <w:kinsoku/>
              <w:wordWrap/>
              <w:overflowPunct/>
              <w:topLinePunct w:val="0"/>
              <w:autoSpaceDE/>
              <w:autoSpaceDN/>
              <w:bidi w:val="0"/>
              <w:adjustRightInd/>
              <w:snapToGrid/>
              <w:spacing w:line="240" w:lineRule="auto"/>
              <w:jc w:val="left"/>
              <w:textAlignment w:val="auto"/>
              <w:rPr>
                <w:rFonts w:hint="eastAsia" w:ascii="仿宋" w:hAnsi="仿宋" w:eastAsia="仿宋" w:cs="仿宋"/>
                <w:kern w:val="2"/>
                <w:sz w:val="24"/>
                <w:szCs w:val="22"/>
                <w:u w:val="none"/>
                <w:lang w:val="en-US" w:eastAsia="zh-CN" w:bidi="ar-SA"/>
              </w:rPr>
            </w:pPr>
            <w:r>
              <w:rPr>
                <w:rStyle w:val="29"/>
                <w:rFonts w:hint="eastAsia" w:ascii="仿宋" w:hAnsi="仿宋" w:eastAsia="仿宋" w:cs="仿宋"/>
                <w:b w:val="0"/>
                <w:i w:val="0"/>
                <w:caps w:val="0"/>
                <w:color w:val="auto"/>
                <w:spacing w:val="0"/>
                <w:w w:val="100"/>
                <w:kern w:val="2"/>
                <w:sz w:val="24"/>
                <w:szCs w:val="24"/>
                <w:highlight w:val="none"/>
                <w:lang w:val="en-US" w:eastAsia="zh-CN" w:bidi="ar-SA"/>
              </w:rPr>
              <w:t>本项目只面向中小微企业，需提交《中小企业声明函》。</w:t>
            </w:r>
          </w:p>
        </w:tc>
        <w:tc>
          <w:tcPr>
            <w:tcW w:w="797" w:type="dxa"/>
            <w:noWrap w:val="0"/>
            <w:vAlign w:val="top"/>
          </w:tcPr>
          <w:p>
            <w:pPr>
              <w:adjustRightInd/>
              <w:spacing w:line="240" w:lineRule="auto"/>
              <w:jc w:val="center"/>
              <w:textAlignment w:val="auto"/>
              <w:rPr>
                <w:rFonts w:hint="eastAsia" w:ascii="仿宋" w:hAnsi="仿宋" w:eastAsia="仿宋" w:cs="仿宋"/>
                <w:kern w:val="2"/>
                <w:sz w:val="24"/>
                <w:szCs w:val="24"/>
              </w:rPr>
            </w:pPr>
          </w:p>
        </w:tc>
        <w:tc>
          <w:tcPr>
            <w:tcW w:w="796" w:type="dxa"/>
            <w:noWrap w:val="0"/>
            <w:vAlign w:val="center"/>
          </w:tcPr>
          <w:p>
            <w:pPr>
              <w:adjustRightInd/>
              <w:spacing w:line="240" w:lineRule="auto"/>
              <w:jc w:val="center"/>
              <w:textAlignment w:val="auto"/>
              <w:rPr>
                <w:rFonts w:hint="eastAsia"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18" w:hRule="atLeast"/>
          <w:jc w:val="center"/>
        </w:trPr>
        <w:tc>
          <w:tcPr>
            <w:tcW w:w="520" w:type="dxa"/>
            <w:vMerge w:val="continue"/>
            <w:noWrap w:val="0"/>
            <w:vAlign w:val="top"/>
          </w:tcPr>
          <w:p>
            <w:pPr>
              <w:adjustRightInd/>
              <w:spacing w:line="240" w:lineRule="auto"/>
              <w:jc w:val="center"/>
              <w:textAlignment w:val="auto"/>
              <w:rPr>
                <w:rFonts w:hint="eastAsia" w:ascii="仿宋" w:hAnsi="仿宋" w:eastAsia="仿宋" w:cs="仿宋"/>
                <w:kern w:val="2"/>
                <w:sz w:val="24"/>
                <w:szCs w:val="24"/>
              </w:rPr>
            </w:pPr>
          </w:p>
        </w:tc>
        <w:tc>
          <w:tcPr>
            <w:tcW w:w="900" w:type="dxa"/>
            <w:vMerge w:val="continue"/>
            <w:noWrap w:val="0"/>
            <w:vAlign w:val="center"/>
          </w:tcPr>
          <w:p>
            <w:pPr>
              <w:adjustRightInd/>
              <w:spacing w:line="240" w:lineRule="auto"/>
              <w:jc w:val="center"/>
              <w:textAlignment w:val="auto"/>
              <w:rPr>
                <w:rFonts w:hint="eastAsia" w:ascii="仿宋" w:hAnsi="仿宋" w:eastAsia="仿宋" w:cs="仿宋"/>
                <w:kern w:val="2"/>
                <w:sz w:val="24"/>
                <w:szCs w:val="24"/>
              </w:rPr>
            </w:pPr>
          </w:p>
        </w:tc>
        <w:tc>
          <w:tcPr>
            <w:tcW w:w="2431" w:type="dxa"/>
            <w:noWrap w:val="0"/>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en-US" w:eastAsia="zh-CN"/>
              </w:rPr>
              <w:t>资质证书</w:t>
            </w:r>
          </w:p>
        </w:tc>
        <w:tc>
          <w:tcPr>
            <w:tcW w:w="3914" w:type="dxa"/>
            <w:noWrap w:val="0"/>
            <w:vAlign w:val="center"/>
          </w:tcPr>
          <w:p>
            <w:pPr>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kern w:val="2"/>
                <w:sz w:val="24"/>
                <w:szCs w:val="24"/>
                <w:lang w:val="en-US" w:eastAsia="zh-CN"/>
              </w:rPr>
            </w:pPr>
            <w:r>
              <w:rPr>
                <w:rStyle w:val="29"/>
                <w:rFonts w:hint="eastAsia" w:ascii="仿宋" w:hAnsi="仿宋" w:eastAsia="仿宋" w:cs="仿宋"/>
                <w:b w:val="0"/>
                <w:i w:val="0"/>
                <w:caps w:val="0"/>
                <w:color w:val="auto"/>
                <w:spacing w:val="0"/>
                <w:w w:val="100"/>
                <w:sz w:val="24"/>
                <w:szCs w:val="24"/>
                <w:highlight w:val="none"/>
                <w:lang w:val="en-US" w:eastAsia="zh-CN"/>
              </w:rPr>
              <w:t>投标人须</w:t>
            </w:r>
            <w:r>
              <w:rPr>
                <w:rFonts w:hint="eastAsia" w:ascii="仿宋" w:hAnsi="仿宋" w:eastAsia="仿宋" w:cs="仿宋"/>
                <w:color w:val="auto"/>
                <w:kern w:val="2"/>
                <w:sz w:val="24"/>
                <w:szCs w:val="24"/>
                <w:lang w:val="en-US" w:eastAsia="zh-CN"/>
              </w:rPr>
              <w:t>提供水文、水资源调查评价资质乙级</w:t>
            </w:r>
            <w:r>
              <w:rPr>
                <w:rStyle w:val="29"/>
                <w:rFonts w:hint="eastAsia" w:ascii="仿宋" w:hAnsi="仿宋" w:eastAsia="仿宋" w:cs="仿宋"/>
                <w:b w:val="0"/>
                <w:i w:val="0"/>
                <w:caps w:val="0"/>
                <w:color w:val="auto"/>
                <w:spacing w:val="0"/>
                <w:w w:val="100"/>
                <w:sz w:val="24"/>
                <w:szCs w:val="24"/>
                <w:highlight w:val="none"/>
                <w:lang w:val="en-US" w:eastAsia="zh-CN"/>
              </w:rPr>
              <w:t>及以上相关资质</w:t>
            </w:r>
            <w:r>
              <w:rPr>
                <w:rFonts w:hint="eastAsia" w:ascii="仿宋" w:hAnsi="仿宋" w:eastAsia="仿宋" w:cs="仿宋"/>
                <w:color w:val="auto"/>
                <w:kern w:val="2"/>
                <w:sz w:val="24"/>
                <w:szCs w:val="24"/>
                <w:lang w:val="en-US" w:eastAsia="zh-CN"/>
              </w:rPr>
              <w:t>证书。</w:t>
            </w:r>
          </w:p>
        </w:tc>
        <w:tc>
          <w:tcPr>
            <w:tcW w:w="797" w:type="dxa"/>
            <w:noWrap w:val="0"/>
            <w:vAlign w:val="top"/>
          </w:tcPr>
          <w:p>
            <w:pPr>
              <w:adjustRightInd/>
              <w:spacing w:line="240" w:lineRule="auto"/>
              <w:jc w:val="center"/>
              <w:textAlignment w:val="auto"/>
              <w:rPr>
                <w:rFonts w:hint="eastAsia" w:ascii="仿宋" w:hAnsi="仿宋" w:eastAsia="仿宋" w:cs="仿宋"/>
                <w:kern w:val="2"/>
                <w:sz w:val="24"/>
                <w:szCs w:val="24"/>
              </w:rPr>
            </w:pPr>
          </w:p>
        </w:tc>
        <w:tc>
          <w:tcPr>
            <w:tcW w:w="796" w:type="dxa"/>
            <w:noWrap w:val="0"/>
            <w:vAlign w:val="center"/>
          </w:tcPr>
          <w:p>
            <w:pPr>
              <w:adjustRightInd/>
              <w:spacing w:line="240" w:lineRule="auto"/>
              <w:jc w:val="center"/>
              <w:textAlignment w:val="auto"/>
              <w:rPr>
                <w:rFonts w:hint="eastAsia"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520" w:type="dxa"/>
            <w:vMerge w:val="continue"/>
            <w:noWrap w:val="0"/>
            <w:vAlign w:val="top"/>
          </w:tcPr>
          <w:p>
            <w:pPr>
              <w:widowControl w:val="0"/>
              <w:adjustRightInd w:val="0"/>
              <w:spacing w:line="240" w:lineRule="auto"/>
              <w:ind w:left="0" w:leftChars="0" w:firstLine="1126" w:firstLineChars="352"/>
              <w:jc w:val="both"/>
              <w:textAlignment w:val="baseline"/>
              <w:rPr>
                <w:rFonts w:hint="eastAsia" w:ascii="仿宋" w:hAnsi="仿宋" w:eastAsia="仿宋" w:cs="仿宋"/>
                <w:kern w:val="2"/>
                <w:sz w:val="32"/>
                <w:szCs w:val="20"/>
                <w:lang w:val="en-US" w:eastAsia="zh-CN" w:bidi="ar-SA"/>
              </w:rPr>
            </w:pPr>
          </w:p>
        </w:tc>
        <w:tc>
          <w:tcPr>
            <w:tcW w:w="900" w:type="dxa"/>
            <w:vMerge w:val="restart"/>
            <w:noWrap w:val="0"/>
            <w:vAlign w:val="center"/>
          </w:tcPr>
          <w:p>
            <w:pPr>
              <w:adjustRightInd/>
              <w:spacing w:line="240" w:lineRule="auto"/>
              <w:jc w:val="center"/>
              <w:textAlignment w:val="auto"/>
              <w:rPr>
                <w:rFonts w:hint="eastAsia" w:ascii="仿宋" w:hAnsi="仿宋" w:eastAsia="仿宋" w:cs="仿宋"/>
                <w:kern w:val="2"/>
                <w:sz w:val="24"/>
                <w:szCs w:val="24"/>
              </w:rPr>
            </w:pPr>
            <w:r>
              <w:rPr>
                <w:rFonts w:hint="eastAsia" w:ascii="仿宋" w:hAnsi="仿宋" w:eastAsia="仿宋" w:cs="仿宋"/>
                <w:kern w:val="2"/>
                <w:sz w:val="24"/>
                <w:szCs w:val="24"/>
              </w:rPr>
              <w:t>符</w:t>
            </w:r>
          </w:p>
          <w:p>
            <w:pPr>
              <w:adjustRightInd/>
              <w:spacing w:line="240" w:lineRule="auto"/>
              <w:jc w:val="center"/>
              <w:textAlignment w:val="auto"/>
              <w:rPr>
                <w:rFonts w:hint="eastAsia" w:ascii="仿宋" w:hAnsi="仿宋" w:eastAsia="仿宋" w:cs="仿宋"/>
                <w:kern w:val="2"/>
                <w:sz w:val="24"/>
                <w:szCs w:val="24"/>
              </w:rPr>
            </w:pPr>
            <w:r>
              <w:rPr>
                <w:rFonts w:hint="eastAsia" w:ascii="仿宋" w:hAnsi="仿宋" w:eastAsia="仿宋" w:cs="仿宋"/>
                <w:kern w:val="2"/>
                <w:sz w:val="24"/>
                <w:szCs w:val="24"/>
              </w:rPr>
              <w:t>合</w:t>
            </w:r>
          </w:p>
          <w:p>
            <w:pPr>
              <w:adjustRightInd/>
              <w:spacing w:line="240" w:lineRule="auto"/>
              <w:jc w:val="center"/>
              <w:textAlignment w:val="auto"/>
              <w:rPr>
                <w:rFonts w:hint="eastAsia" w:ascii="仿宋" w:hAnsi="仿宋" w:eastAsia="仿宋" w:cs="仿宋"/>
                <w:kern w:val="2"/>
                <w:sz w:val="24"/>
                <w:szCs w:val="24"/>
              </w:rPr>
            </w:pPr>
            <w:r>
              <w:rPr>
                <w:rFonts w:hint="eastAsia" w:ascii="仿宋" w:hAnsi="仿宋" w:eastAsia="仿宋" w:cs="仿宋"/>
                <w:kern w:val="2"/>
                <w:sz w:val="24"/>
                <w:szCs w:val="24"/>
              </w:rPr>
              <w:t>性</w:t>
            </w:r>
          </w:p>
          <w:p>
            <w:pPr>
              <w:adjustRightInd/>
              <w:spacing w:line="240" w:lineRule="auto"/>
              <w:jc w:val="center"/>
              <w:textAlignment w:val="auto"/>
              <w:rPr>
                <w:rFonts w:hint="eastAsia" w:ascii="仿宋" w:hAnsi="仿宋" w:eastAsia="仿宋" w:cs="仿宋"/>
                <w:kern w:val="2"/>
                <w:sz w:val="24"/>
                <w:szCs w:val="24"/>
              </w:rPr>
            </w:pPr>
            <w:r>
              <w:rPr>
                <w:rFonts w:hint="eastAsia" w:ascii="仿宋" w:hAnsi="仿宋" w:eastAsia="仿宋" w:cs="仿宋"/>
                <w:kern w:val="2"/>
                <w:sz w:val="24"/>
                <w:szCs w:val="24"/>
              </w:rPr>
              <w:t>检</w:t>
            </w:r>
          </w:p>
          <w:p>
            <w:pPr>
              <w:adjustRightInd/>
              <w:spacing w:line="240" w:lineRule="auto"/>
              <w:jc w:val="center"/>
              <w:textAlignment w:val="auto"/>
              <w:rPr>
                <w:rFonts w:hint="eastAsia" w:ascii="仿宋" w:hAnsi="仿宋" w:eastAsia="仿宋" w:cs="仿宋"/>
                <w:kern w:val="2"/>
                <w:sz w:val="24"/>
                <w:szCs w:val="24"/>
              </w:rPr>
            </w:pPr>
            <w:r>
              <w:rPr>
                <w:rFonts w:hint="eastAsia" w:ascii="仿宋" w:hAnsi="仿宋" w:eastAsia="仿宋" w:cs="仿宋"/>
                <w:kern w:val="2"/>
                <w:sz w:val="24"/>
                <w:szCs w:val="24"/>
              </w:rPr>
              <w:t>查</w:t>
            </w:r>
          </w:p>
        </w:tc>
        <w:tc>
          <w:tcPr>
            <w:tcW w:w="6345" w:type="dxa"/>
            <w:gridSpan w:val="2"/>
            <w:noWrap w:val="0"/>
            <w:vAlign w:val="center"/>
          </w:tcPr>
          <w:p>
            <w:pPr>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kern w:val="2"/>
                <w:sz w:val="24"/>
                <w:szCs w:val="24"/>
                <w:lang w:val="en-US" w:eastAsia="zh-CN"/>
              </w:rPr>
            </w:pPr>
            <w:r>
              <w:rPr>
                <w:rFonts w:hint="eastAsia" w:ascii="仿宋" w:hAnsi="仿宋" w:eastAsia="仿宋" w:cs="仿宋"/>
                <w:sz w:val="24"/>
                <w:szCs w:val="24"/>
              </w:rPr>
              <w:t>投标</w:t>
            </w:r>
            <w:r>
              <w:rPr>
                <w:rFonts w:hint="eastAsia" w:ascii="仿宋" w:hAnsi="仿宋" w:eastAsia="仿宋" w:cs="仿宋"/>
                <w:sz w:val="24"/>
                <w:szCs w:val="24"/>
                <w:lang w:eastAsia="zh-CN"/>
              </w:rPr>
              <w:t>文件格式符合招标文件要求；</w:t>
            </w:r>
          </w:p>
        </w:tc>
        <w:tc>
          <w:tcPr>
            <w:tcW w:w="797" w:type="dxa"/>
            <w:noWrap w:val="0"/>
            <w:vAlign w:val="top"/>
          </w:tcPr>
          <w:p>
            <w:pPr>
              <w:adjustRightInd/>
              <w:spacing w:line="240" w:lineRule="auto"/>
              <w:jc w:val="center"/>
              <w:textAlignment w:val="auto"/>
              <w:rPr>
                <w:rFonts w:hint="eastAsia" w:ascii="仿宋" w:hAnsi="仿宋" w:eastAsia="仿宋" w:cs="仿宋"/>
                <w:kern w:val="2"/>
                <w:sz w:val="24"/>
                <w:szCs w:val="24"/>
              </w:rPr>
            </w:pPr>
          </w:p>
        </w:tc>
        <w:tc>
          <w:tcPr>
            <w:tcW w:w="796" w:type="dxa"/>
            <w:noWrap w:val="0"/>
            <w:vAlign w:val="center"/>
          </w:tcPr>
          <w:p>
            <w:pPr>
              <w:adjustRightInd/>
              <w:spacing w:line="240" w:lineRule="auto"/>
              <w:jc w:val="center"/>
              <w:textAlignment w:val="auto"/>
              <w:rPr>
                <w:rFonts w:hint="eastAsia"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1" w:hRule="atLeast"/>
          <w:jc w:val="center"/>
        </w:trPr>
        <w:tc>
          <w:tcPr>
            <w:tcW w:w="520" w:type="dxa"/>
            <w:vMerge w:val="continue"/>
            <w:noWrap w:val="0"/>
            <w:vAlign w:val="top"/>
          </w:tcPr>
          <w:p>
            <w:pPr>
              <w:adjustRightInd/>
              <w:spacing w:line="240" w:lineRule="auto"/>
              <w:jc w:val="center"/>
              <w:textAlignment w:val="auto"/>
              <w:rPr>
                <w:rFonts w:hint="eastAsia" w:ascii="仿宋" w:hAnsi="仿宋" w:eastAsia="仿宋" w:cs="仿宋"/>
                <w:kern w:val="2"/>
                <w:sz w:val="24"/>
                <w:szCs w:val="24"/>
              </w:rPr>
            </w:pPr>
          </w:p>
        </w:tc>
        <w:tc>
          <w:tcPr>
            <w:tcW w:w="900" w:type="dxa"/>
            <w:vMerge w:val="continue"/>
            <w:noWrap w:val="0"/>
            <w:vAlign w:val="center"/>
          </w:tcPr>
          <w:p>
            <w:pPr>
              <w:adjustRightInd/>
              <w:spacing w:line="240" w:lineRule="auto"/>
              <w:jc w:val="center"/>
              <w:textAlignment w:val="auto"/>
              <w:rPr>
                <w:rFonts w:hint="eastAsia" w:ascii="仿宋" w:hAnsi="仿宋" w:eastAsia="仿宋" w:cs="仿宋"/>
                <w:kern w:val="2"/>
                <w:sz w:val="24"/>
                <w:szCs w:val="24"/>
              </w:rPr>
            </w:pPr>
          </w:p>
        </w:tc>
        <w:tc>
          <w:tcPr>
            <w:tcW w:w="6345" w:type="dxa"/>
            <w:gridSpan w:val="2"/>
            <w:noWrap w:val="0"/>
            <w:vAlign w:val="center"/>
          </w:tcPr>
          <w:p>
            <w:pPr>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kern w:val="2"/>
                <w:sz w:val="24"/>
                <w:szCs w:val="24"/>
                <w:lang w:val="en-US"/>
              </w:rPr>
            </w:pPr>
            <w:r>
              <w:rPr>
                <w:rFonts w:hint="eastAsia" w:ascii="仿宋" w:hAnsi="仿宋" w:eastAsia="仿宋" w:cs="仿宋"/>
                <w:kern w:val="2"/>
                <w:sz w:val="24"/>
                <w:szCs w:val="24"/>
                <w:lang w:val="en-US" w:eastAsia="zh-CN"/>
              </w:rPr>
              <w:t>投标文件中签名签章符合招标文件要求；</w:t>
            </w:r>
          </w:p>
        </w:tc>
        <w:tc>
          <w:tcPr>
            <w:tcW w:w="797" w:type="dxa"/>
            <w:noWrap w:val="0"/>
            <w:vAlign w:val="top"/>
          </w:tcPr>
          <w:p>
            <w:pPr>
              <w:adjustRightInd/>
              <w:spacing w:line="240" w:lineRule="auto"/>
              <w:jc w:val="center"/>
              <w:textAlignment w:val="auto"/>
              <w:rPr>
                <w:rFonts w:hint="eastAsia" w:ascii="仿宋" w:hAnsi="仿宋" w:eastAsia="仿宋" w:cs="仿宋"/>
                <w:kern w:val="2"/>
                <w:sz w:val="24"/>
                <w:szCs w:val="24"/>
              </w:rPr>
            </w:pPr>
          </w:p>
        </w:tc>
        <w:tc>
          <w:tcPr>
            <w:tcW w:w="796" w:type="dxa"/>
            <w:noWrap w:val="0"/>
            <w:vAlign w:val="center"/>
          </w:tcPr>
          <w:p>
            <w:pPr>
              <w:adjustRightInd/>
              <w:spacing w:line="240" w:lineRule="auto"/>
              <w:jc w:val="center"/>
              <w:textAlignment w:val="auto"/>
              <w:rPr>
                <w:rFonts w:hint="eastAsia"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4" w:hRule="atLeast"/>
          <w:jc w:val="center"/>
        </w:trPr>
        <w:tc>
          <w:tcPr>
            <w:tcW w:w="520" w:type="dxa"/>
            <w:vMerge w:val="continue"/>
            <w:noWrap w:val="0"/>
            <w:vAlign w:val="top"/>
          </w:tcPr>
          <w:p>
            <w:pPr>
              <w:adjustRightInd/>
              <w:spacing w:line="240" w:lineRule="auto"/>
              <w:jc w:val="center"/>
              <w:textAlignment w:val="auto"/>
              <w:rPr>
                <w:rFonts w:hint="eastAsia" w:ascii="仿宋" w:hAnsi="仿宋" w:eastAsia="仿宋" w:cs="仿宋"/>
                <w:kern w:val="2"/>
                <w:sz w:val="24"/>
                <w:szCs w:val="24"/>
              </w:rPr>
            </w:pPr>
          </w:p>
        </w:tc>
        <w:tc>
          <w:tcPr>
            <w:tcW w:w="900" w:type="dxa"/>
            <w:vMerge w:val="continue"/>
            <w:noWrap w:val="0"/>
            <w:vAlign w:val="center"/>
          </w:tcPr>
          <w:p>
            <w:pPr>
              <w:adjustRightInd/>
              <w:spacing w:line="240" w:lineRule="auto"/>
              <w:jc w:val="center"/>
              <w:textAlignment w:val="auto"/>
              <w:rPr>
                <w:rFonts w:hint="eastAsia" w:ascii="仿宋" w:hAnsi="仿宋" w:eastAsia="仿宋" w:cs="仿宋"/>
                <w:kern w:val="2"/>
                <w:sz w:val="24"/>
                <w:szCs w:val="24"/>
              </w:rPr>
            </w:pPr>
          </w:p>
        </w:tc>
        <w:tc>
          <w:tcPr>
            <w:tcW w:w="6345" w:type="dxa"/>
            <w:gridSpan w:val="2"/>
            <w:noWrap w:val="0"/>
            <w:vAlign w:val="center"/>
          </w:tcPr>
          <w:p>
            <w:pPr>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kern w:val="2"/>
                <w:sz w:val="24"/>
                <w:szCs w:val="24"/>
                <w:highlight w:val="none"/>
                <w:lang w:eastAsia="zh-CN"/>
              </w:rPr>
            </w:pPr>
            <w:r>
              <w:rPr>
                <w:rFonts w:hint="eastAsia" w:ascii="仿宋" w:hAnsi="仿宋" w:eastAsia="仿宋" w:cs="仿宋"/>
                <w:sz w:val="24"/>
                <w:szCs w:val="24"/>
                <w:highlight w:val="none"/>
              </w:rPr>
              <w:t>投标报价</w:t>
            </w:r>
            <w:r>
              <w:rPr>
                <w:rFonts w:hint="eastAsia" w:ascii="仿宋" w:hAnsi="仿宋" w:eastAsia="仿宋" w:cs="仿宋"/>
                <w:sz w:val="24"/>
                <w:szCs w:val="24"/>
                <w:highlight w:val="none"/>
                <w:lang w:eastAsia="zh-CN"/>
              </w:rPr>
              <w:t>是否</w:t>
            </w:r>
            <w:r>
              <w:rPr>
                <w:rFonts w:hint="eastAsia" w:ascii="仿宋" w:hAnsi="仿宋" w:eastAsia="仿宋" w:cs="仿宋"/>
                <w:sz w:val="24"/>
                <w:szCs w:val="24"/>
                <w:highlight w:val="none"/>
              </w:rPr>
              <w:t>只有一个有效报价且未超过</w:t>
            </w:r>
            <w:r>
              <w:rPr>
                <w:rFonts w:hint="eastAsia" w:ascii="仿宋" w:hAnsi="仿宋" w:eastAsia="仿宋" w:cs="仿宋"/>
                <w:sz w:val="24"/>
                <w:szCs w:val="24"/>
                <w:highlight w:val="none"/>
                <w:lang w:val="en-US" w:eastAsia="zh-CN"/>
              </w:rPr>
              <w:t>最高限价</w:t>
            </w:r>
            <w:r>
              <w:rPr>
                <w:rFonts w:hint="eastAsia" w:ascii="仿宋" w:hAnsi="仿宋" w:eastAsia="仿宋" w:cs="仿宋"/>
                <w:sz w:val="24"/>
                <w:szCs w:val="24"/>
                <w:highlight w:val="none"/>
                <w:lang w:eastAsia="zh-CN"/>
              </w:rPr>
              <w:t>；</w:t>
            </w:r>
          </w:p>
        </w:tc>
        <w:tc>
          <w:tcPr>
            <w:tcW w:w="797" w:type="dxa"/>
            <w:noWrap w:val="0"/>
            <w:vAlign w:val="top"/>
          </w:tcPr>
          <w:p>
            <w:pPr>
              <w:adjustRightInd/>
              <w:spacing w:line="240" w:lineRule="auto"/>
              <w:jc w:val="center"/>
              <w:textAlignment w:val="auto"/>
              <w:rPr>
                <w:rFonts w:hint="eastAsia" w:ascii="仿宋" w:hAnsi="仿宋" w:eastAsia="仿宋" w:cs="仿宋"/>
                <w:kern w:val="2"/>
                <w:sz w:val="24"/>
                <w:szCs w:val="24"/>
              </w:rPr>
            </w:pPr>
          </w:p>
        </w:tc>
        <w:tc>
          <w:tcPr>
            <w:tcW w:w="796" w:type="dxa"/>
            <w:noWrap w:val="0"/>
            <w:vAlign w:val="center"/>
          </w:tcPr>
          <w:p>
            <w:pPr>
              <w:adjustRightInd/>
              <w:spacing w:line="240" w:lineRule="auto"/>
              <w:jc w:val="center"/>
              <w:textAlignment w:val="auto"/>
              <w:rPr>
                <w:rFonts w:hint="eastAsia"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0" w:hRule="atLeast"/>
          <w:jc w:val="center"/>
        </w:trPr>
        <w:tc>
          <w:tcPr>
            <w:tcW w:w="520" w:type="dxa"/>
            <w:vMerge w:val="continue"/>
            <w:noWrap w:val="0"/>
            <w:vAlign w:val="top"/>
          </w:tcPr>
          <w:p>
            <w:pPr>
              <w:adjustRightInd/>
              <w:spacing w:line="240" w:lineRule="auto"/>
              <w:jc w:val="center"/>
              <w:textAlignment w:val="auto"/>
              <w:rPr>
                <w:rFonts w:hint="eastAsia" w:ascii="仿宋" w:hAnsi="仿宋" w:eastAsia="仿宋" w:cs="仿宋"/>
                <w:kern w:val="2"/>
                <w:sz w:val="24"/>
                <w:szCs w:val="24"/>
              </w:rPr>
            </w:pPr>
          </w:p>
        </w:tc>
        <w:tc>
          <w:tcPr>
            <w:tcW w:w="900" w:type="dxa"/>
            <w:vMerge w:val="continue"/>
            <w:noWrap w:val="0"/>
            <w:vAlign w:val="center"/>
          </w:tcPr>
          <w:p>
            <w:pPr>
              <w:adjustRightInd/>
              <w:spacing w:line="240" w:lineRule="auto"/>
              <w:jc w:val="center"/>
              <w:textAlignment w:val="auto"/>
              <w:rPr>
                <w:rFonts w:hint="eastAsia" w:ascii="仿宋" w:hAnsi="仿宋" w:eastAsia="仿宋" w:cs="仿宋"/>
                <w:kern w:val="2"/>
                <w:sz w:val="24"/>
                <w:szCs w:val="24"/>
              </w:rPr>
            </w:pPr>
          </w:p>
        </w:tc>
        <w:tc>
          <w:tcPr>
            <w:tcW w:w="6345" w:type="dxa"/>
            <w:gridSpan w:val="2"/>
            <w:noWrap w:val="0"/>
            <w:vAlign w:val="center"/>
          </w:tcPr>
          <w:p>
            <w:pPr>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kern w:val="2"/>
                <w:sz w:val="24"/>
                <w:szCs w:val="24"/>
                <w:highlight w:val="none"/>
              </w:rPr>
            </w:pPr>
            <w:r>
              <w:rPr>
                <w:rFonts w:hint="eastAsia" w:ascii="仿宋" w:hAnsi="仿宋" w:eastAsia="仿宋" w:cs="仿宋"/>
                <w:sz w:val="24"/>
                <w:szCs w:val="24"/>
                <w:highlight w:val="none"/>
                <w:lang w:eastAsia="zh-CN"/>
              </w:rPr>
              <w:t>投标有效期符合招标文件规定；</w:t>
            </w:r>
          </w:p>
        </w:tc>
        <w:tc>
          <w:tcPr>
            <w:tcW w:w="797" w:type="dxa"/>
            <w:noWrap w:val="0"/>
            <w:vAlign w:val="top"/>
          </w:tcPr>
          <w:p>
            <w:pPr>
              <w:adjustRightInd/>
              <w:spacing w:line="240" w:lineRule="auto"/>
              <w:jc w:val="center"/>
              <w:textAlignment w:val="auto"/>
              <w:rPr>
                <w:rFonts w:hint="eastAsia" w:ascii="仿宋" w:hAnsi="仿宋" w:eastAsia="仿宋" w:cs="仿宋"/>
                <w:kern w:val="2"/>
                <w:sz w:val="24"/>
                <w:szCs w:val="24"/>
              </w:rPr>
            </w:pPr>
          </w:p>
        </w:tc>
        <w:tc>
          <w:tcPr>
            <w:tcW w:w="796" w:type="dxa"/>
            <w:noWrap w:val="0"/>
            <w:vAlign w:val="center"/>
          </w:tcPr>
          <w:p>
            <w:pPr>
              <w:adjustRightInd/>
              <w:spacing w:line="240" w:lineRule="auto"/>
              <w:jc w:val="center"/>
              <w:textAlignment w:val="auto"/>
              <w:rPr>
                <w:rFonts w:hint="eastAsia"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7" w:hRule="atLeast"/>
          <w:jc w:val="center"/>
        </w:trPr>
        <w:tc>
          <w:tcPr>
            <w:tcW w:w="520" w:type="dxa"/>
            <w:vMerge w:val="continue"/>
            <w:noWrap w:val="0"/>
            <w:vAlign w:val="top"/>
          </w:tcPr>
          <w:p>
            <w:pPr>
              <w:adjustRightInd/>
              <w:spacing w:line="240" w:lineRule="auto"/>
              <w:jc w:val="center"/>
              <w:textAlignment w:val="auto"/>
              <w:rPr>
                <w:rFonts w:hint="eastAsia" w:ascii="仿宋" w:hAnsi="仿宋" w:eastAsia="仿宋" w:cs="仿宋"/>
                <w:kern w:val="2"/>
                <w:sz w:val="24"/>
                <w:szCs w:val="24"/>
              </w:rPr>
            </w:pPr>
          </w:p>
        </w:tc>
        <w:tc>
          <w:tcPr>
            <w:tcW w:w="900" w:type="dxa"/>
            <w:vMerge w:val="continue"/>
            <w:noWrap w:val="0"/>
            <w:vAlign w:val="center"/>
          </w:tcPr>
          <w:p>
            <w:pPr>
              <w:adjustRightInd/>
              <w:spacing w:line="240" w:lineRule="auto"/>
              <w:jc w:val="center"/>
              <w:textAlignment w:val="auto"/>
              <w:rPr>
                <w:rFonts w:hint="eastAsia" w:ascii="仿宋" w:hAnsi="仿宋" w:eastAsia="仿宋" w:cs="仿宋"/>
                <w:kern w:val="2"/>
                <w:sz w:val="24"/>
                <w:szCs w:val="24"/>
              </w:rPr>
            </w:pPr>
          </w:p>
        </w:tc>
        <w:tc>
          <w:tcPr>
            <w:tcW w:w="6345" w:type="dxa"/>
            <w:gridSpan w:val="2"/>
            <w:noWrap w:val="0"/>
            <w:vAlign w:val="center"/>
          </w:tcPr>
          <w:p>
            <w:pPr>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投标服务期限符合招标文件规定；</w:t>
            </w:r>
          </w:p>
        </w:tc>
        <w:tc>
          <w:tcPr>
            <w:tcW w:w="797" w:type="dxa"/>
            <w:noWrap w:val="0"/>
            <w:vAlign w:val="top"/>
          </w:tcPr>
          <w:p>
            <w:pPr>
              <w:adjustRightInd/>
              <w:spacing w:line="240" w:lineRule="auto"/>
              <w:jc w:val="center"/>
              <w:textAlignment w:val="auto"/>
              <w:rPr>
                <w:rFonts w:hint="eastAsia" w:ascii="仿宋" w:hAnsi="仿宋" w:eastAsia="仿宋" w:cs="仿宋"/>
                <w:kern w:val="2"/>
                <w:sz w:val="24"/>
                <w:szCs w:val="24"/>
              </w:rPr>
            </w:pPr>
          </w:p>
        </w:tc>
        <w:tc>
          <w:tcPr>
            <w:tcW w:w="796" w:type="dxa"/>
            <w:noWrap w:val="0"/>
            <w:vAlign w:val="center"/>
          </w:tcPr>
          <w:p>
            <w:pPr>
              <w:adjustRightInd/>
              <w:spacing w:line="240" w:lineRule="auto"/>
              <w:jc w:val="center"/>
              <w:textAlignment w:val="auto"/>
              <w:rPr>
                <w:rFonts w:hint="eastAsia"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7" w:hRule="atLeast"/>
          <w:jc w:val="center"/>
        </w:trPr>
        <w:tc>
          <w:tcPr>
            <w:tcW w:w="520" w:type="dxa"/>
            <w:vMerge w:val="continue"/>
            <w:noWrap w:val="0"/>
            <w:vAlign w:val="top"/>
          </w:tcPr>
          <w:p>
            <w:pPr>
              <w:adjustRightInd/>
              <w:spacing w:line="240" w:lineRule="auto"/>
              <w:jc w:val="center"/>
              <w:textAlignment w:val="auto"/>
              <w:rPr>
                <w:rFonts w:hint="eastAsia" w:ascii="仿宋" w:hAnsi="仿宋" w:eastAsia="仿宋" w:cs="仿宋"/>
                <w:kern w:val="2"/>
                <w:sz w:val="24"/>
                <w:szCs w:val="24"/>
              </w:rPr>
            </w:pPr>
          </w:p>
        </w:tc>
        <w:tc>
          <w:tcPr>
            <w:tcW w:w="900" w:type="dxa"/>
            <w:vMerge w:val="continue"/>
            <w:noWrap w:val="0"/>
            <w:vAlign w:val="center"/>
          </w:tcPr>
          <w:p>
            <w:pPr>
              <w:adjustRightInd/>
              <w:spacing w:line="240" w:lineRule="auto"/>
              <w:jc w:val="center"/>
              <w:textAlignment w:val="auto"/>
              <w:rPr>
                <w:rFonts w:hint="eastAsia" w:ascii="仿宋" w:hAnsi="仿宋" w:eastAsia="仿宋" w:cs="仿宋"/>
                <w:kern w:val="2"/>
                <w:sz w:val="24"/>
                <w:szCs w:val="24"/>
              </w:rPr>
            </w:pPr>
          </w:p>
        </w:tc>
        <w:tc>
          <w:tcPr>
            <w:tcW w:w="6345" w:type="dxa"/>
            <w:gridSpan w:val="2"/>
            <w:noWrap w:val="0"/>
            <w:vAlign w:val="center"/>
          </w:tcPr>
          <w:p>
            <w:pPr>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投标质量标准符合招标文件规定；</w:t>
            </w:r>
          </w:p>
        </w:tc>
        <w:tc>
          <w:tcPr>
            <w:tcW w:w="797" w:type="dxa"/>
            <w:noWrap w:val="0"/>
            <w:vAlign w:val="top"/>
          </w:tcPr>
          <w:p>
            <w:pPr>
              <w:adjustRightInd/>
              <w:spacing w:line="240" w:lineRule="auto"/>
              <w:jc w:val="center"/>
              <w:textAlignment w:val="auto"/>
              <w:rPr>
                <w:rFonts w:hint="eastAsia" w:ascii="仿宋" w:hAnsi="仿宋" w:eastAsia="仿宋" w:cs="仿宋"/>
                <w:kern w:val="2"/>
                <w:sz w:val="24"/>
                <w:szCs w:val="24"/>
              </w:rPr>
            </w:pPr>
          </w:p>
        </w:tc>
        <w:tc>
          <w:tcPr>
            <w:tcW w:w="796" w:type="dxa"/>
            <w:noWrap w:val="0"/>
            <w:vAlign w:val="center"/>
          </w:tcPr>
          <w:p>
            <w:pPr>
              <w:adjustRightInd/>
              <w:spacing w:line="240" w:lineRule="auto"/>
              <w:jc w:val="center"/>
              <w:textAlignment w:val="auto"/>
              <w:rPr>
                <w:rFonts w:hint="eastAsia"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1" w:hRule="atLeast"/>
          <w:jc w:val="center"/>
        </w:trPr>
        <w:tc>
          <w:tcPr>
            <w:tcW w:w="520" w:type="dxa"/>
            <w:vMerge w:val="continue"/>
            <w:noWrap w:val="0"/>
            <w:vAlign w:val="top"/>
          </w:tcPr>
          <w:p>
            <w:pPr>
              <w:adjustRightInd/>
              <w:spacing w:line="240" w:lineRule="auto"/>
              <w:jc w:val="center"/>
              <w:textAlignment w:val="auto"/>
              <w:rPr>
                <w:rFonts w:hint="eastAsia" w:ascii="仿宋" w:hAnsi="仿宋" w:eastAsia="仿宋" w:cs="仿宋"/>
                <w:kern w:val="2"/>
                <w:sz w:val="24"/>
                <w:szCs w:val="24"/>
              </w:rPr>
            </w:pPr>
          </w:p>
        </w:tc>
        <w:tc>
          <w:tcPr>
            <w:tcW w:w="900" w:type="dxa"/>
            <w:vMerge w:val="continue"/>
            <w:noWrap w:val="0"/>
            <w:vAlign w:val="center"/>
          </w:tcPr>
          <w:p>
            <w:pPr>
              <w:adjustRightInd/>
              <w:spacing w:line="240" w:lineRule="auto"/>
              <w:jc w:val="center"/>
              <w:textAlignment w:val="auto"/>
              <w:rPr>
                <w:rFonts w:hint="eastAsia" w:ascii="仿宋" w:hAnsi="仿宋" w:eastAsia="仿宋" w:cs="仿宋"/>
                <w:kern w:val="2"/>
                <w:sz w:val="24"/>
                <w:szCs w:val="24"/>
              </w:rPr>
            </w:pPr>
          </w:p>
        </w:tc>
        <w:tc>
          <w:tcPr>
            <w:tcW w:w="6345" w:type="dxa"/>
            <w:gridSpan w:val="2"/>
            <w:noWrap w:val="0"/>
            <w:vAlign w:val="center"/>
          </w:tcPr>
          <w:p>
            <w:pPr>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eastAsia="zh-CN"/>
              </w:rPr>
              <w:t>无其他不符合招标文件中规定的实质性要求和条件的；</w:t>
            </w:r>
          </w:p>
        </w:tc>
        <w:tc>
          <w:tcPr>
            <w:tcW w:w="797" w:type="dxa"/>
            <w:noWrap w:val="0"/>
            <w:vAlign w:val="top"/>
          </w:tcPr>
          <w:p>
            <w:pPr>
              <w:adjustRightInd/>
              <w:spacing w:line="240" w:lineRule="auto"/>
              <w:jc w:val="center"/>
              <w:textAlignment w:val="auto"/>
              <w:rPr>
                <w:rFonts w:hint="eastAsia" w:ascii="仿宋" w:hAnsi="仿宋" w:eastAsia="仿宋" w:cs="仿宋"/>
                <w:kern w:val="2"/>
                <w:sz w:val="24"/>
                <w:szCs w:val="24"/>
              </w:rPr>
            </w:pPr>
          </w:p>
        </w:tc>
        <w:tc>
          <w:tcPr>
            <w:tcW w:w="796" w:type="dxa"/>
            <w:noWrap w:val="0"/>
            <w:vAlign w:val="center"/>
          </w:tcPr>
          <w:p>
            <w:pPr>
              <w:adjustRightInd/>
              <w:spacing w:line="240" w:lineRule="auto"/>
              <w:jc w:val="center"/>
              <w:textAlignment w:val="auto"/>
              <w:rPr>
                <w:rFonts w:hint="eastAsia"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1" w:hRule="atLeast"/>
          <w:jc w:val="center"/>
        </w:trPr>
        <w:tc>
          <w:tcPr>
            <w:tcW w:w="520" w:type="dxa"/>
            <w:vMerge w:val="continue"/>
            <w:noWrap w:val="0"/>
            <w:vAlign w:val="top"/>
          </w:tcPr>
          <w:p>
            <w:pPr>
              <w:adjustRightInd/>
              <w:spacing w:line="240" w:lineRule="auto"/>
              <w:jc w:val="center"/>
              <w:textAlignment w:val="auto"/>
              <w:rPr>
                <w:rFonts w:hint="eastAsia" w:ascii="仿宋" w:hAnsi="仿宋" w:eastAsia="仿宋" w:cs="仿宋"/>
                <w:kern w:val="2"/>
                <w:sz w:val="24"/>
                <w:szCs w:val="24"/>
              </w:rPr>
            </w:pPr>
          </w:p>
        </w:tc>
        <w:tc>
          <w:tcPr>
            <w:tcW w:w="900" w:type="dxa"/>
            <w:vMerge w:val="continue"/>
            <w:noWrap w:val="0"/>
            <w:vAlign w:val="center"/>
          </w:tcPr>
          <w:p>
            <w:pPr>
              <w:adjustRightInd/>
              <w:spacing w:line="240" w:lineRule="auto"/>
              <w:jc w:val="center"/>
              <w:textAlignment w:val="auto"/>
              <w:rPr>
                <w:rFonts w:hint="eastAsia" w:ascii="仿宋" w:hAnsi="仿宋" w:eastAsia="仿宋" w:cs="仿宋"/>
                <w:kern w:val="2"/>
                <w:sz w:val="24"/>
                <w:szCs w:val="24"/>
              </w:rPr>
            </w:pPr>
          </w:p>
        </w:tc>
        <w:tc>
          <w:tcPr>
            <w:tcW w:w="6345" w:type="dxa"/>
            <w:gridSpan w:val="2"/>
            <w:noWrap w:val="0"/>
            <w:vAlign w:val="center"/>
          </w:tcPr>
          <w:p>
            <w:pPr>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kern w:val="2"/>
                <w:sz w:val="24"/>
                <w:szCs w:val="24"/>
                <w:highlight w:val="none"/>
                <w:lang w:eastAsia="zh-CN"/>
              </w:rPr>
            </w:pPr>
            <w:r>
              <w:rPr>
                <w:rFonts w:hint="eastAsia" w:ascii="仿宋" w:hAnsi="仿宋" w:eastAsia="仿宋" w:cs="仿宋"/>
                <w:kern w:val="2"/>
                <w:sz w:val="24"/>
                <w:szCs w:val="24"/>
                <w:highlight w:val="none"/>
                <w:lang w:eastAsia="zh-CN"/>
              </w:rPr>
              <w:t>不存在不符合法律、法规及本磋商文件规定的其他情形。</w:t>
            </w:r>
          </w:p>
        </w:tc>
        <w:tc>
          <w:tcPr>
            <w:tcW w:w="797" w:type="dxa"/>
            <w:noWrap w:val="0"/>
            <w:vAlign w:val="top"/>
          </w:tcPr>
          <w:p>
            <w:pPr>
              <w:adjustRightInd/>
              <w:spacing w:line="240" w:lineRule="auto"/>
              <w:jc w:val="center"/>
              <w:textAlignment w:val="auto"/>
              <w:rPr>
                <w:rFonts w:hint="eastAsia" w:ascii="仿宋" w:hAnsi="仿宋" w:eastAsia="仿宋" w:cs="仿宋"/>
                <w:kern w:val="2"/>
                <w:sz w:val="24"/>
                <w:szCs w:val="24"/>
              </w:rPr>
            </w:pPr>
          </w:p>
        </w:tc>
        <w:tc>
          <w:tcPr>
            <w:tcW w:w="796" w:type="dxa"/>
            <w:noWrap w:val="0"/>
            <w:vAlign w:val="center"/>
          </w:tcPr>
          <w:p>
            <w:pPr>
              <w:adjustRightInd/>
              <w:spacing w:line="240" w:lineRule="auto"/>
              <w:jc w:val="center"/>
              <w:textAlignment w:val="auto"/>
              <w:rPr>
                <w:rFonts w:hint="eastAsia"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5" w:hRule="atLeast"/>
          <w:jc w:val="center"/>
        </w:trPr>
        <w:tc>
          <w:tcPr>
            <w:tcW w:w="9358" w:type="dxa"/>
            <w:gridSpan w:val="6"/>
            <w:noWrap w:val="0"/>
            <w:vAlign w:val="center"/>
          </w:tcPr>
          <w:p>
            <w:pPr>
              <w:adjustRightInd/>
              <w:spacing w:line="240" w:lineRule="auto"/>
              <w:jc w:val="left"/>
              <w:textAlignment w:val="auto"/>
              <w:rPr>
                <w:rFonts w:hint="eastAsia" w:ascii="仿宋" w:hAnsi="仿宋" w:eastAsia="仿宋" w:cs="仿宋"/>
                <w:b/>
                <w:kern w:val="2"/>
                <w:sz w:val="24"/>
                <w:szCs w:val="24"/>
              </w:rPr>
            </w:pPr>
            <w:r>
              <w:rPr>
                <w:rFonts w:hint="eastAsia" w:ascii="仿宋" w:hAnsi="仿宋" w:eastAsia="仿宋" w:cs="仿宋"/>
                <w:b/>
                <w:kern w:val="2"/>
                <w:sz w:val="24"/>
                <w:szCs w:val="24"/>
              </w:rPr>
              <w:t>注：以上检查内容必须全部符合检查标准，否则为无效标</w:t>
            </w:r>
          </w:p>
        </w:tc>
      </w:tr>
    </w:tbl>
    <w:p>
      <w:pPr>
        <w:numPr>
          <w:ilvl w:val="0"/>
          <w:numId w:val="0"/>
        </w:numPr>
        <w:rPr>
          <w:rFonts w:hint="eastAsia"/>
          <w:highlight w:val="none"/>
        </w:rPr>
      </w:pPr>
    </w:p>
    <w:p>
      <w:pPr>
        <w:pStyle w:val="8"/>
        <w:kinsoku w:val="0"/>
        <w:overflowPunct w:val="0"/>
        <w:spacing w:before="34" w:line="357" w:lineRule="auto"/>
        <w:ind w:right="126" w:firstLine="480"/>
        <w:rPr>
          <w:rFonts w:hint="eastAsia" w:ascii="仿宋" w:hAnsi="仿宋" w:eastAsia="仿宋" w:cs="仿宋"/>
          <w:highlight w:val="none"/>
        </w:rPr>
      </w:pPr>
      <w:r>
        <w:rPr>
          <w:rFonts w:hint="eastAsia" w:hAnsi="仿宋" w:cs="仿宋"/>
          <w:highlight w:val="none"/>
          <w:lang w:val="en-US" w:eastAsia="zh-CN"/>
        </w:rPr>
        <w:t>1、</w:t>
      </w:r>
      <w:r>
        <w:rPr>
          <w:rFonts w:hint="eastAsia" w:ascii="仿宋" w:hAnsi="仿宋" w:eastAsia="仿宋" w:cs="仿宋"/>
          <w:highlight w:val="none"/>
        </w:rPr>
        <w:t xml:space="preserve"> 实质上没有响应《竞争性磋商文件》要求的《磋商响应性文件》将被拒绝。</w:t>
      </w:r>
    </w:p>
    <w:p>
      <w:pPr>
        <w:pStyle w:val="8"/>
        <w:kinsoku w:val="0"/>
        <w:overflowPunct w:val="0"/>
        <w:spacing w:before="34" w:line="357" w:lineRule="auto"/>
        <w:ind w:right="126" w:firstLine="480"/>
        <w:rPr>
          <w:rFonts w:hint="eastAsia" w:ascii="仿宋" w:hAnsi="仿宋" w:eastAsia="仿宋" w:cs="仿宋"/>
          <w:highlight w:val="none"/>
        </w:rPr>
      </w:pPr>
      <w:r>
        <w:rPr>
          <w:rFonts w:hint="eastAsia" w:hAnsi="仿宋" w:cs="仿宋"/>
          <w:highlight w:val="none"/>
          <w:lang w:val="en-US" w:eastAsia="zh-CN"/>
        </w:rPr>
        <w:t>2、</w:t>
      </w:r>
      <w:r>
        <w:rPr>
          <w:rFonts w:hint="eastAsia" w:ascii="仿宋" w:hAnsi="仿宋" w:eastAsia="仿宋" w:cs="仿宋"/>
          <w:highlight w:val="none"/>
        </w:rPr>
        <w:t xml:space="preserve"> 供应商不得通过修正或撤销不符合要求的偏离或保留从而使其《磋商响应性文件》成为实质上响应的《磋商响应性文件》。</w:t>
      </w:r>
    </w:p>
    <w:p>
      <w:pPr>
        <w:pStyle w:val="8"/>
        <w:kinsoku w:val="0"/>
        <w:overflowPunct w:val="0"/>
        <w:spacing w:before="34" w:line="357" w:lineRule="auto"/>
        <w:ind w:right="126" w:firstLine="480"/>
        <w:rPr>
          <w:rFonts w:hint="eastAsia" w:ascii="仿宋" w:hAnsi="仿宋" w:eastAsia="仿宋" w:cs="仿宋"/>
          <w:b/>
          <w:bCs/>
          <w:highlight w:val="none"/>
        </w:rPr>
      </w:pPr>
      <w:r>
        <w:rPr>
          <w:rFonts w:hint="eastAsia" w:hAnsi="仿宋" w:cs="仿宋"/>
          <w:highlight w:val="none"/>
          <w:lang w:val="en-US" w:eastAsia="zh-CN"/>
        </w:rPr>
        <w:t>3、</w:t>
      </w:r>
      <w:r>
        <w:rPr>
          <w:rFonts w:hint="eastAsia" w:ascii="仿宋" w:hAnsi="仿宋" w:eastAsia="仿宋" w:cs="仿宋"/>
          <w:highlight w:val="none"/>
        </w:rPr>
        <w:t>通过</w:t>
      </w:r>
      <w:r>
        <w:rPr>
          <w:rFonts w:hint="eastAsia" w:hAnsi="仿宋" w:cs="仿宋"/>
          <w:highlight w:val="none"/>
          <w:lang w:val="en-US" w:eastAsia="zh-CN"/>
        </w:rPr>
        <w:t>初步评审</w:t>
      </w:r>
      <w:r>
        <w:rPr>
          <w:rFonts w:hint="eastAsia" w:ascii="仿宋" w:hAnsi="仿宋" w:eastAsia="仿宋" w:cs="仿宋"/>
          <w:highlight w:val="none"/>
        </w:rPr>
        <w:t>且无实质性背离采购人要求的响应文件，即可进行下一步评审。未通过</w:t>
      </w:r>
      <w:r>
        <w:rPr>
          <w:rFonts w:hint="eastAsia" w:hAnsi="仿宋" w:cs="仿宋"/>
          <w:highlight w:val="none"/>
          <w:lang w:val="en-US" w:eastAsia="zh-CN"/>
        </w:rPr>
        <w:t>初步评审</w:t>
      </w:r>
      <w:r>
        <w:rPr>
          <w:rFonts w:hint="eastAsia" w:ascii="仿宋" w:hAnsi="仿宋" w:eastAsia="仿宋" w:cs="仿宋"/>
          <w:highlight w:val="none"/>
        </w:rPr>
        <w:t>的响应文件按无效投标处理。</w:t>
      </w:r>
    </w:p>
    <w:p>
      <w:pPr>
        <w:pStyle w:val="8"/>
        <w:kinsoku w:val="0"/>
        <w:overflowPunct w:val="0"/>
        <w:spacing w:before="34"/>
        <w:jc w:val="both"/>
        <w:rPr>
          <w:rFonts w:hint="eastAsia" w:ascii="仿宋" w:hAnsi="仿宋" w:eastAsia="仿宋" w:cs="仿宋"/>
          <w:b/>
          <w:bCs/>
          <w:highlight w:val="none"/>
        </w:rPr>
      </w:pPr>
      <w:r>
        <w:rPr>
          <w:rFonts w:hint="eastAsia" w:ascii="仿宋" w:hAnsi="仿宋" w:eastAsia="仿宋" w:cs="仿宋"/>
          <w:b/>
          <w:bCs/>
          <w:highlight w:val="none"/>
        </w:rPr>
        <w:t>2.磋商及详细评审：</w:t>
      </w:r>
    </w:p>
    <w:p>
      <w:pPr>
        <w:pStyle w:val="8"/>
        <w:kinsoku w:val="0"/>
        <w:overflowPunct w:val="0"/>
        <w:spacing w:before="34" w:line="357" w:lineRule="auto"/>
        <w:ind w:right="126" w:firstLine="480"/>
        <w:rPr>
          <w:rFonts w:hint="eastAsia" w:ascii="仿宋" w:hAnsi="仿宋" w:eastAsia="仿宋" w:cs="仿宋"/>
          <w:highlight w:val="none"/>
        </w:rPr>
      </w:pPr>
      <w:r>
        <w:rPr>
          <w:rFonts w:hint="eastAsia" w:ascii="仿宋" w:hAnsi="仿宋" w:eastAsia="仿宋" w:cs="仿宋"/>
          <w:highlight w:val="none"/>
        </w:rPr>
        <w:t>2.1 磋商小组审阅响应文件：以确定是否对磋商文件的要求做出实质性响应。未对磋商文件做实质性响应的供应商，不得进入具体磋商程序。</w:t>
      </w:r>
    </w:p>
    <w:p>
      <w:pPr>
        <w:pStyle w:val="8"/>
        <w:kinsoku w:val="0"/>
        <w:overflowPunct w:val="0"/>
        <w:spacing w:before="34" w:line="357" w:lineRule="auto"/>
        <w:ind w:right="126" w:firstLine="480"/>
        <w:rPr>
          <w:rFonts w:hint="eastAsia" w:ascii="仿宋" w:hAnsi="仿宋" w:eastAsia="仿宋" w:cs="仿宋"/>
          <w:highlight w:val="none"/>
        </w:rPr>
      </w:pPr>
      <w:r>
        <w:rPr>
          <w:rFonts w:hint="eastAsia" w:ascii="仿宋" w:hAnsi="仿宋" w:eastAsia="仿宋" w:cs="仿宋"/>
          <w:highlight w:val="none"/>
        </w:rPr>
        <w:t>2.2 开始磋商，磋商小组所有成员集中与单一供应商分别进行磋商。磋商小组可根据供应商的报价，响应内容及磋商的情况，给予每个正在参加磋商的供应商相同的机会。先依据供应商制定的方案进行审查，经过磋商小组所有成员集中讨论及磋商讨论，再给予每个合格的供应商二次报价资格。</w:t>
      </w:r>
    </w:p>
    <w:p>
      <w:pPr>
        <w:pStyle w:val="8"/>
        <w:kinsoku w:val="0"/>
        <w:overflowPunct w:val="0"/>
        <w:spacing w:before="34" w:line="357" w:lineRule="auto"/>
        <w:ind w:right="126" w:firstLine="480"/>
        <w:rPr>
          <w:rFonts w:hint="eastAsia" w:ascii="仿宋" w:hAnsi="仿宋" w:eastAsia="仿宋" w:cs="仿宋"/>
          <w:highlight w:val="none"/>
        </w:rPr>
      </w:pPr>
      <w:r>
        <w:rPr>
          <w:rFonts w:hint="eastAsia" w:ascii="仿宋" w:hAnsi="仿宋" w:eastAsia="仿宋" w:cs="仿宋"/>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pPr>
        <w:pStyle w:val="8"/>
        <w:kinsoku w:val="0"/>
        <w:overflowPunct w:val="0"/>
        <w:spacing w:before="34" w:line="357" w:lineRule="auto"/>
        <w:ind w:right="126" w:firstLine="480"/>
        <w:rPr>
          <w:rFonts w:hint="eastAsia" w:ascii="仿宋" w:hAnsi="仿宋" w:eastAsia="仿宋" w:cs="仿宋"/>
          <w:highlight w:val="none"/>
        </w:rPr>
      </w:pPr>
      <w:r>
        <w:rPr>
          <w:rFonts w:hint="eastAsia" w:ascii="仿宋" w:hAnsi="仿宋" w:eastAsia="仿宋" w:cs="仿宋"/>
          <w:highlight w:val="none"/>
        </w:rPr>
        <w:t>对磋商文件作出的实质性变动是磋商文件的有效组成部分，磋商小组应当及时以书面形式同时通知所有参加磋商的供应商。</w:t>
      </w:r>
    </w:p>
    <w:p>
      <w:pPr>
        <w:pStyle w:val="8"/>
        <w:kinsoku w:val="0"/>
        <w:overflowPunct w:val="0"/>
        <w:spacing w:before="34" w:line="357" w:lineRule="auto"/>
        <w:ind w:right="126" w:firstLine="480"/>
        <w:rPr>
          <w:rFonts w:hint="eastAsia" w:ascii="仿宋" w:hAnsi="仿宋" w:eastAsia="仿宋" w:cs="仿宋"/>
          <w:highlight w:val="none"/>
        </w:rPr>
      </w:pPr>
      <w:r>
        <w:rPr>
          <w:rFonts w:hint="eastAsia" w:ascii="仿宋" w:hAnsi="仿宋" w:eastAsia="仿宋" w:cs="仿宋"/>
          <w:highlight w:val="none"/>
        </w:rPr>
        <w:t>供应商应当按照磋商文件的变动情况和磋商小组的要求重新提交响应文件，并由其全权代表签章。</w:t>
      </w:r>
    </w:p>
    <w:p>
      <w:pPr>
        <w:pStyle w:val="8"/>
        <w:kinsoku w:val="0"/>
        <w:overflowPunct w:val="0"/>
        <w:spacing w:before="34" w:line="357" w:lineRule="auto"/>
        <w:ind w:right="126" w:firstLine="480"/>
        <w:rPr>
          <w:rFonts w:hint="eastAsia" w:ascii="仿宋" w:hAnsi="仿宋" w:eastAsia="仿宋" w:cs="仿宋"/>
          <w:highlight w:val="none"/>
        </w:rPr>
      </w:pPr>
      <w:r>
        <w:rPr>
          <w:rFonts w:hint="eastAsia" w:ascii="仿宋" w:hAnsi="仿宋" w:eastAsia="仿宋" w:cs="仿宋"/>
          <w:highlight w:val="none"/>
        </w:rPr>
        <w:t>2.3 磋商结束后，参加磋商的供应商应当对磋商的承诺和最后报价以书面形式确认，并由授权委托人签章。各供应商对本项目进行二次（最终）报价。</w:t>
      </w:r>
    </w:p>
    <w:p>
      <w:pPr>
        <w:pStyle w:val="8"/>
        <w:kinsoku w:val="0"/>
        <w:overflowPunct w:val="0"/>
        <w:spacing w:before="34" w:line="357" w:lineRule="auto"/>
        <w:ind w:right="126" w:firstLine="480"/>
        <w:rPr>
          <w:rFonts w:hint="eastAsia" w:ascii="仿宋" w:hAnsi="仿宋" w:eastAsia="仿宋" w:cs="仿宋"/>
          <w:highlight w:val="none"/>
        </w:rPr>
      </w:pPr>
      <w:r>
        <w:rPr>
          <w:rFonts w:hint="eastAsia" w:ascii="仿宋" w:hAnsi="仿宋" w:eastAsia="仿宋" w:cs="仿宋"/>
          <w:highlight w:val="none"/>
        </w:rPr>
        <w:t>2.4 由磋商小组采用综合评分法对提交最终报价的供应商的响应文件和最终报价进行打分；</w:t>
      </w:r>
    </w:p>
    <w:p>
      <w:pPr>
        <w:pStyle w:val="8"/>
        <w:kinsoku w:val="0"/>
        <w:overflowPunct w:val="0"/>
        <w:spacing w:before="34" w:line="357" w:lineRule="auto"/>
        <w:ind w:right="126" w:firstLine="480"/>
        <w:rPr>
          <w:rFonts w:hint="eastAsia" w:ascii="仿宋" w:hAnsi="仿宋" w:eastAsia="仿宋" w:cs="仿宋"/>
          <w:highlight w:val="none"/>
        </w:rPr>
      </w:pPr>
      <w:r>
        <w:rPr>
          <w:rFonts w:hint="eastAsia" w:ascii="仿宋" w:hAnsi="仿宋" w:eastAsia="仿宋" w:cs="仿宋"/>
          <w:highlight w:val="none"/>
        </w:rPr>
        <w:t>2.5 磋商小组可以对确定为实质上响应竞争性磋商文件要求的磋商响应性文件进行校对、审核，对出现的算术错误，由磋商小组予以改正，并让供应商澄清确认。修正计算错误按如下原则进行：</w:t>
      </w:r>
    </w:p>
    <w:p>
      <w:pPr>
        <w:pStyle w:val="8"/>
        <w:kinsoku w:val="0"/>
        <w:overflowPunct w:val="0"/>
        <w:spacing w:before="34" w:line="357" w:lineRule="auto"/>
        <w:ind w:right="126" w:firstLine="480"/>
        <w:rPr>
          <w:rFonts w:hint="eastAsia" w:ascii="仿宋" w:hAnsi="仿宋" w:eastAsia="仿宋" w:cs="仿宋"/>
          <w:highlight w:val="none"/>
        </w:rPr>
      </w:pPr>
      <w:r>
        <w:rPr>
          <w:rFonts w:hint="eastAsia" w:ascii="仿宋" w:hAnsi="仿宋" w:eastAsia="仿宋" w:cs="仿宋"/>
          <w:highlight w:val="none"/>
        </w:rPr>
        <w:t>2.6《磋商响应性文件》的大写金额和小写金额不一致的，以大写金额为准；总价金额与单项单价汇总金额不一致的，以单价金额计算结果为准；单价金额小数点有明显错位的，应以总价为准，并修改单价；对不同文字文本《磋商响应性文件》的解释发生异议的，以中文文本为准。</w:t>
      </w:r>
    </w:p>
    <w:p>
      <w:pPr>
        <w:pStyle w:val="8"/>
        <w:kinsoku w:val="0"/>
        <w:overflowPunct w:val="0"/>
        <w:spacing w:before="34" w:line="357" w:lineRule="auto"/>
        <w:ind w:right="126" w:firstLine="480"/>
        <w:rPr>
          <w:rFonts w:hint="eastAsia" w:ascii="仿宋" w:hAnsi="仿宋" w:eastAsia="仿宋" w:cs="仿宋"/>
          <w:highlight w:val="none"/>
        </w:rPr>
      </w:pPr>
      <w:r>
        <w:rPr>
          <w:rFonts w:hint="eastAsia" w:ascii="仿宋" w:hAnsi="仿宋" w:eastAsia="仿宋" w:cs="仿宋"/>
          <w:highlight w:val="none"/>
        </w:rPr>
        <w:t>2.7 若供应商不接受对其错误的更正，其投标将被视为无效投标。</w:t>
      </w:r>
    </w:p>
    <w:p>
      <w:pPr>
        <w:pStyle w:val="8"/>
        <w:kinsoku w:val="0"/>
        <w:overflowPunct w:val="0"/>
        <w:spacing w:before="34"/>
        <w:jc w:val="both"/>
        <w:rPr>
          <w:rFonts w:hint="eastAsia" w:ascii="仿宋" w:hAnsi="仿宋" w:eastAsia="仿宋" w:cs="仿宋"/>
          <w:b/>
          <w:bCs/>
          <w:color w:val="FF0000"/>
          <w:highlight w:val="none"/>
        </w:rPr>
      </w:pPr>
      <w:r>
        <w:rPr>
          <w:rFonts w:hint="eastAsia" w:ascii="仿宋" w:hAnsi="仿宋" w:eastAsia="仿宋" w:cs="仿宋"/>
          <w:b/>
          <w:bCs/>
          <w:highlight w:val="none"/>
        </w:rPr>
        <w:br w:type="page"/>
      </w:r>
      <w:r>
        <w:rPr>
          <w:rFonts w:hint="eastAsia" w:ascii="仿宋" w:hAnsi="仿宋" w:eastAsia="仿宋" w:cs="仿宋"/>
          <w:b/>
          <w:bCs/>
          <w:highlight w:val="none"/>
        </w:rPr>
        <w:t>3. 综合评分表</w:t>
      </w:r>
    </w:p>
    <w:tbl>
      <w:tblPr>
        <w:tblStyle w:val="21"/>
        <w:tblW w:w="903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7"/>
        <w:gridCol w:w="1168"/>
        <w:gridCol w:w="6331"/>
        <w:gridCol w:w="6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trPr>
        <w:tc>
          <w:tcPr>
            <w:tcW w:w="2025" w:type="dxa"/>
            <w:gridSpan w:val="2"/>
            <w:noWrap w:val="0"/>
            <w:vAlign w:val="top"/>
          </w:tcPr>
          <w:p>
            <w:pPr>
              <w:pStyle w:val="30"/>
              <w:spacing w:before="123"/>
              <w:jc w:val="center"/>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评审因素</w:t>
            </w:r>
          </w:p>
        </w:tc>
        <w:tc>
          <w:tcPr>
            <w:tcW w:w="6331" w:type="dxa"/>
            <w:noWrap w:val="0"/>
            <w:vAlign w:val="top"/>
          </w:tcPr>
          <w:p>
            <w:pPr>
              <w:pStyle w:val="30"/>
              <w:spacing w:before="123"/>
              <w:ind w:left="856"/>
              <w:jc w:val="center"/>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评审标准</w:t>
            </w:r>
          </w:p>
        </w:tc>
        <w:tc>
          <w:tcPr>
            <w:tcW w:w="682" w:type="dxa"/>
            <w:noWrap w:val="0"/>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2025" w:type="dxa"/>
            <w:gridSpan w:val="2"/>
            <w:vMerge w:val="restart"/>
            <w:noWrap w:val="0"/>
            <w:vAlign w:val="top"/>
          </w:tcPr>
          <w:p>
            <w:pPr>
              <w:pStyle w:val="30"/>
              <w:spacing w:before="10"/>
              <w:rPr>
                <w:rFonts w:hint="eastAsia" w:ascii="仿宋" w:hAnsi="仿宋" w:eastAsia="仿宋" w:cs="仿宋"/>
                <w:b/>
                <w:bCs/>
                <w:color w:val="000000" w:themeColor="text1"/>
                <w:highlight w:val="none"/>
                <w14:textFill>
                  <w14:solidFill>
                    <w14:schemeClr w14:val="tx1"/>
                  </w14:solidFill>
                </w14:textFill>
              </w:rPr>
            </w:pPr>
          </w:p>
          <w:p>
            <w:pPr>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分值构成</w:t>
            </w:r>
          </w:p>
          <w:p>
            <w:pPr>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（总分100分)</w:t>
            </w:r>
          </w:p>
        </w:tc>
        <w:tc>
          <w:tcPr>
            <w:tcW w:w="6331" w:type="dxa"/>
            <w:noWrap w:val="0"/>
            <w:vAlign w:val="top"/>
          </w:tcPr>
          <w:p>
            <w:pPr>
              <w:pStyle w:val="30"/>
              <w:spacing w:before="65"/>
              <w:ind w:left="4"/>
              <w:rPr>
                <w:rFonts w:hint="eastAsia"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报价得分：</w:t>
            </w:r>
            <w:r>
              <w:rPr>
                <w:rFonts w:hint="eastAsia" w:ascii="仿宋" w:hAnsi="仿宋" w:eastAsia="仿宋" w:cs="仿宋"/>
                <w:b/>
                <w:bCs/>
                <w:color w:val="000000" w:themeColor="text1"/>
                <w:highlight w:val="none"/>
                <w:lang w:val="en-US" w:eastAsia="zh-CN"/>
                <w14:textFill>
                  <w14:solidFill>
                    <w14:schemeClr w14:val="tx1"/>
                  </w14:solidFill>
                </w14:textFill>
              </w:rPr>
              <w:t>1</w:t>
            </w:r>
            <w:r>
              <w:rPr>
                <w:rFonts w:hint="eastAsia" w:ascii="仿宋" w:hAnsi="仿宋" w:eastAsia="仿宋" w:cs="仿宋"/>
                <w:b/>
                <w:bCs/>
                <w:color w:val="000000" w:themeColor="text1"/>
                <w:highlight w:val="none"/>
                <w14:textFill>
                  <w14:solidFill>
                    <w14:schemeClr w14:val="tx1"/>
                  </w14:solidFill>
                </w14:textFill>
              </w:rPr>
              <w:t xml:space="preserve">0分 </w:t>
            </w:r>
          </w:p>
        </w:tc>
        <w:tc>
          <w:tcPr>
            <w:tcW w:w="682" w:type="dxa"/>
            <w:vMerge w:val="restart"/>
            <w:noWrap w:val="0"/>
            <w:vAlign w:val="center"/>
          </w:tcPr>
          <w:p>
            <w:pPr>
              <w:pStyle w:val="30"/>
              <w:spacing w:before="65"/>
              <w:ind w:left="4"/>
              <w:jc w:val="center"/>
              <w:rPr>
                <w:rFonts w:hint="eastAsia"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2025" w:type="dxa"/>
            <w:gridSpan w:val="2"/>
            <w:vMerge w:val="continue"/>
            <w:tcBorders>
              <w:top w:val="nil"/>
            </w:tcBorders>
            <w:noWrap w:val="0"/>
            <w:vAlign w:val="top"/>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6331" w:type="dxa"/>
            <w:noWrap w:val="0"/>
            <w:vAlign w:val="top"/>
          </w:tcPr>
          <w:p>
            <w:pPr>
              <w:pStyle w:val="30"/>
              <w:spacing w:before="87"/>
              <w:ind w:left="4"/>
              <w:rPr>
                <w:rFonts w:hint="eastAsia"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商务部分评分：</w:t>
            </w:r>
            <w:r>
              <w:rPr>
                <w:rFonts w:hint="eastAsia" w:ascii="仿宋" w:hAnsi="仿宋" w:eastAsia="仿宋" w:cs="仿宋"/>
                <w:b/>
                <w:bCs/>
                <w:color w:val="000000" w:themeColor="text1"/>
                <w:highlight w:val="none"/>
                <w:lang w:val="en-US" w:eastAsia="zh-CN"/>
                <w14:textFill>
                  <w14:solidFill>
                    <w14:schemeClr w14:val="tx1"/>
                  </w14:solidFill>
                </w14:textFill>
              </w:rPr>
              <w:t>25</w:t>
            </w:r>
            <w:r>
              <w:rPr>
                <w:rFonts w:hint="eastAsia" w:ascii="仿宋" w:hAnsi="仿宋" w:eastAsia="仿宋" w:cs="仿宋"/>
                <w:b/>
                <w:bCs/>
                <w:color w:val="000000" w:themeColor="text1"/>
                <w:highlight w:val="none"/>
                <w14:textFill>
                  <w14:solidFill>
                    <w14:schemeClr w14:val="tx1"/>
                  </w14:solidFill>
                </w14:textFill>
              </w:rPr>
              <w:t xml:space="preserve">分 </w:t>
            </w:r>
          </w:p>
        </w:tc>
        <w:tc>
          <w:tcPr>
            <w:tcW w:w="682" w:type="dxa"/>
            <w:vMerge w:val="continue"/>
            <w:noWrap w:val="0"/>
            <w:vAlign w:val="top"/>
          </w:tcPr>
          <w:p>
            <w:pPr>
              <w:pStyle w:val="30"/>
              <w:spacing w:before="87"/>
              <w:ind w:left="4"/>
              <w:rPr>
                <w:rFonts w:hint="eastAsia" w:ascii="仿宋" w:hAnsi="仿宋" w:eastAsia="仿宋" w:cs="仿宋"/>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2025" w:type="dxa"/>
            <w:gridSpan w:val="2"/>
            <w:vMerge w:val="continue"/>
            <w:tcBorders>
              <w:top w:val="nil"/>
            </w:tcBorders>
            <w:noWrap w:val="0"/>
            <w:vAlign w:val="top"/>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6331" w:type="dxa"/>
            <w:noWrap w:val="0"/>
            <w:vAlign w:val="top"/>
          </w:tcPr>
          <w:p>
            <w:pPr>
              <w:pStyle w:val="30"/>
              <w:spacing w:before="65"/>
              <w:ind w:left="4"/>
              <w:rPr>
                <w:rFonts w:hint="eastAsia"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技术部分方案：</w:t>
            </w:r>
            <w:r>
              <w:rPr>
                <w:rFonts w:hint="eastAsia" w:ascii="仿宋" w:hAnsi="仿宋" w:eastAsia="仿宋" w:cs="仿宋"/>
                <w:b/>
                <w:bCs/>
                <w:color w:val="000000" w:themeColor="text1"/>
                <w:highlight w:val="none"/>
                <w:lang w:val="en-US" w:eastAsia="zh-CN"/>
                <w14:textFill>
                  <w14:solidFill>
                    <w14:schemeClr w14:val="tx1"/>
                  </w14:solidFill>
                </w14:textFill>
              </w:rPr>
              <w:t>65</w:t>
            </w:r>
            <w:r>
              <w:rPr>
                <w:rFonts w:hint="eastAsia" w:ascii="仿宋" w:hAnsi="仿宋" w:eastAsia="仿宋" w:cs="仿宋"/>
                <w:b/>
                <w:bCs/>
                <w:color w:val="000000" w:themeColor="text1"/>
                <w:highlight w:val="none"/>
                <w14:textFill>
                  <w14:solidFill>
                    <w14:schemeClr w14:val="tx1"/>
                  </w14:solidFill>
                </w14:textFill>
              </w:rPr>
              <w:t xml:space="preserve">分 </w:t>
            </w:r>
          </w:p>
        </w:tc>
        <w:tc>
          <w:tcPr>
            <w:tcW w:w="682" w:type="dxa"/>
            <w:vMerge w:val="continue"/>
            <w:noWrap w:val="0"/>
            <w:vAlign w:val="top"/>
          </w:tcPr>
          <w:p>
            <w:pPr>
              <w:pStyle w:val="30"/>
              <w:spacing w:before="65"/>
              <w:ind w:left="4"/>
              <w:rPr>
                <w:rFonts w:hint="eastAsia" w:ascii="仿宋" w:hAnsi="仿宋" w:eastAsia="仿宋" w:cs="仿宋"/>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6" w:hRule="atLeast"/>
        </w:trPr>
        <w:tc>
          <w:tcPr>
            <w:tcW w:w="2025" w:type="dxa"/>
            <w:gridSpan w:val="2"/>
            <w:noWrap w:val="0"/>
            <w:vAlign w:val="top"/>
          </w:tcPr>
          <w:p>
            <w:pPr>
              <w:pStyle w:val="30"/>
              <w:rPr>
                <w:rFonts w:hint="eastAsia" w:ascii="仿宋" w:hAnsi="仿宋" w:eastAsia="仿宋" w:cs="仿宋"/>
                <w:color w:val="000000" w:themeColor="text1"/>
                <w:highlight w:val="none"/>
                <w14:textFill>
                  <w14:solidFill>
                    <w14:schemeClr w14:val="tx1"/>
                  </w14:solidFill>
                </w14:textFill>
              </w:rPr>
            </w:pPr>
          </w:p>
          <w:p>
            <w:pPr>
              <w:pStyle w:val="30"/>
              <w:spacing w:before="10"/>
              <w:rPr>
                <w:rFonts w:hint="eastAsia" w:ascii="仿宋" w:hAnsi="仿宋" w:eastAsia="仿宋" w:cs="仿宋"/>
                <w:color w:val="000000" w:themeColor="text1"/>
                <w:highlight w:val="none"/>
                <w14:textFill>
                  <w14:solidFill>
                    <w14:schemeClr w14:val="tx1"/>
                  </w14:solidFill>
                </w14:textFill>
              </w:rPr>
            </w:pPr>
          </w:p>
          <w:p>
            <w:pPr>
              <w:pStyle w:val="30"/>
              <w:ind w:left="438"/>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评审价格</w:t>
            </w:r>
          </w:p>
          <w:p>
            <w:pPr>
              <w:pStyle w:val="30"/>
              <w:ind w:left="438"/>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（10分） </w:t>
            </w:r>
          </w:p>
        </w:tc>
        <w:tc>
          <w:tcPr>
            <w:tcW w:w="6331" w:type="dxa"/>
            <w:noWrap w:val="0"/>
            <w:vAlign w:val="center"/>
          </w:tcPr>
          <w:p>
            <w:pPr>
              <w:pStyle w:val="30"/>
              <w:spacing w:before="49" w:line="319" w:lineRule="auto"/>
              <w:ind w:left="4" w:right="-15"/>
              <w:jc w:val="both"/>
              <w:rPr>
                <w:rFonts w:hint="eastAsia" w:ascii="仿宋" w:hAnsi="仿宋" w:eastAsia="仿宋" w:cs="仿宋"/>
                <w:color w:val="000000" w:themeColor="text1"/>
                <w:spacing w:val="-12"/>
                <w:highlight w:val="none"/>
                <w14:textFill>
                  <w14:solidFill>
                    <w14:schemeClr w14:val="tx1"/>
                  </w14:solidFill>
                </w14:textFill>
              </w:rPr>
            </w:pPr>
            <w:r>
              <w:rPr>
                <w:rFonts w:hint="eastAsia" w:ascii="仿宋" w:hAnsi="仿宋" w:eastAsia="仿宋" w:cs="仿宋"/>
                <w:color w:val="000000" w:themeColor="text1"/>
                <w:spacing w:val="-6"/>
                <w:highlight w:val="none"/>
                <w14:textFill>
                  <w14:solidFill>
                    <w14:schemeClr w14:val="tx1"/>
                  </w14:solidFill>
                </w14:textFill>
              </w:rPr>
              <w:t>满足磋商文件要求且最终报价最低的报价为</w:t>
            </w:r>
            <w:r>
              <w:rPr>
                <w:rFonts w:hint="eastAsia" w:ascii="仿宋" w:hAnsi="仿宋" w:eastAsia="仿宋" w:cs="仿宋"/>
                <w:color w:val="000000" w:themeColor="text1"/>
                <w:spacing w:val="-6"/>
                <w:highlight w:val="none"/>
                <w:lang w:val="en-US" w:eastAsia="zh-CN"/>
                <w14:textFill>
                  <w14:solidFill>
                    <w14:schemeClr w14:val="tx1"/>
                  </w14:solidFill>
                </w14:textFill>
              </w:rPr>
              <w:t>磋商</w:t>
            </w:r>
            <w:r>
              <w:rPr>
                <w:rFonts w:hint="eastAsia" w:ascii="仿宋" w:hAnsi="仿宋" w:eastAsia="仿宋" w:cs="仿宋"/>
                <w:color w:val="000000" w:themeColor="text1"/>
                <w:spacing w:val="-6"/>
                <w:highlight w:val="none"/>
                <w14:textFill>
                  <w14:solidFill>
                    <w14:schemeClr w14:val="tx1"/>
                  </w14:solidFill>
                </w14:textFill>
              </w:rPr>
              <w:t>基准价，其价格分为</w:t>
            </w:r>
            <w:r>
              <w:rPr>
                <w:rFonts w:hint="eastAsia" w:ascii="仿宋" w:hAnsi="仿宋" w:eastAsia="仿宋" w:cs="仿宋"/>
                <w:color w:val="000000" w:themeColor="text1"/>
                <w:spacing w:val="-12"/>
                <w:highlight w:val="none"/>
                <w14:textFill>
                  <w14:solidFill>
                    <w14:schemeClr w14:val="tx1"/>
                  </w14:solidFill>
                </w14:textFill>
              </w:rPr>
              <w:t>满分。其他满足磋商文件要求-----------------的供应商的价格分统一按照下列公式计算：</w:t>
            </w:r>
          </w:p>
          <w:p>
            <w:pPr>
              <w:pStyle w:val="30"/>
              <w:spacing w:before="49" w:line="319" w:lineRule="auto"/>
              <w:ind w:left="4" w:right="-15"/>
              <w:jc w:val="both"/>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12"/>
                <w:highlight w:val="none"/>
                <w:lang w:val="en-US" w:eastAsia="zh-CN"/>
                <w14:textFill>
                  <w14:solidFill>
                    <w14:schemeClr w14:val="tx1"/>
                  </w14:solidFill>
                </w14:textFill>
              </w:rPr>
              <w:t>磋商报价得分</w:t>
            </w:r>
            <w:r>
              <w:rPr>
                <w:rFonts w:hint="eastAsia" w:ascii="仿宋" w:hAnsi="仿宋" w:eastAsia="仿宋" w:cs="仿宋"/>
                <w:color w:val="000000" w:themeColor="text1"/>
                <w:spacing w:val="-12"/>
                <w:highlight w:val="none"/>
                <w14:textFill>
                  <w14:solidFill>
                    <w14:schemeClr w14:val="tx1"/>
                  </w14:solidFill>
                </w14:textFill>
              </w:rPr>
              <w:t>=（</w:t>
            </w:r>
            <w:r>
              <w:rPr>
                <w:rFonts w:hint="eastAsia" w:ascii="仿宋" w:hAnsi="仿宋" w:eastAsia="仿宋" w:cs="仿宋"/>
                <w:color w:val="000000" w:themeColor="text1"/>
                <w:spacing w:val="-12"/>
                <w:highlight w:val="none"/>
                <w:lang w:val="en-US" w:eastAsia="zh-CN"/>
                <w14:textFill>
                  <w14:solidFill>
                    <w14:schemeClr w14:val="tx1"/>
                  </w14:solidFill>
                </w14:textFill>
              </w:rPr>
              <w:t>磋商</w:t>
            </w:r>
            <w:r>
              <w:rPr>
                <w:rFonts w:hint="eastAsia" w:ascii="仿宋" w:hAnsi="仿宋" w:eastAsia="仿宋" w:cs="仿宋"/>
                <w:color w:val="000000" w:themeColor="text1"/>
                <w:spacing w:val="-12"/>
                <w:highlight w:val="none"/>
                <w14:textFill>
                  <w14:solidFill>
                    <w14:schemeClr w14:val="tx1"/>
                  </w14:solidFill>
                </w14:textFill>
              </w:rPr>
              <w:t>基准价/</w:t>
            </w:r>
            <w:r>
              <w:rPr>
                <w:rFonts w:hint="eastAsia" w:ascii="仿宋" w:hAnsi="仿宋" w:eastAsia="仿宋" w:cs="仿宋"/>
                <w:color w:val="000000" w:themeColor="text1"/>
                <w:spacing w:val="-12"/>
                <w:highlight w:val="none"/>
                <w:lang w:val="en-US" w:eastAsia="zh-CN"/>
                <w14:textFill>
                  <w14:solidFill>
                    <w14:schemeClr w14:val="tx1"/>
                  </w14:solidFill>
                </w14:textFill>
              </w:rPr>
              <w:t>最终磋商</w:t>
            </w:r>
            <w:r>
              <w:rPr>
                <w:rFonts w:hint="eastAsia" w:ascii="仿宋" w:hAnsi="仿宋" w:eastAsia="仿宋" w:cs="仿宋"/>
                <w:color w:val="000000" w:themeColor="text1"/>
                <w:spacing w:val="-12"/>
                <w:highlight w:val="none"/>
                <w14:textFill>
                  <w14:solidFill>
                    <w14:schemeClr w14:val="tx1"/>
                  </w14:solidFill>
                </w14:textFill>
              </w:rPr>
              <w:t>报价）×价格权重</w:t>
            </w:r>
            <w:r>
              <w:rPr>
                <w:rFonts w:hint="eastAsia" w:ascii="仿宋" w:hAnsi="仿宋" w:eastAsia="仿宋" w:cs="仿宋"/>
                <w:color w:val="000000" w:themeColor="text1"/>
                <w:spacing w:val="-3"/>
                <w:highlight w:val="none"/>
                <w14:textFill>
                  <w14:solidFill>
                    <w14:schemeClr w14:val="tx1"/>
                  </w14:solidFill>
                </w14:textFill>
              </w:rPr>
              <w:t>（10%）×1</w:t>
            </w:r>
            <w:r>
              <w:rPr>
                <w:rFonts w:hint="eastAsia" w:ascii="仿宋" w:hAnsi="仿宋" w:eastAsia="仿宋" w:cs="仿宋"/>
                <w:color w:val="000000" w:themeColor="text1"/>
                <w:highlight w:val="none"/>
                <w14:textFill>
                  <w14:solidFill>
                    <w14:schemeClr w14:val="tx1"/>
                  </w14:solidFill>
                </w14:textFill>
              </w:rPr>
              <w:t xml:space="preserve">00 </w:t>
            </w:r>
          </w:p>
          <w:p>
            <w:pPr>
              <w:pStyle w:val="30"/>
              <w:spacing w:before="49" w:line="319" w:lineRule="auto"/>
              <w:ind w:left="4" w:right="-15"/>
              <w:jc w:val="both"/>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注：</w:t>
            </w:r>
            <w:r>
              <w:rPr>
                <w:rStyle w:val="31"/>
                <w:rFonts w:hint="eastAsia" w:ascii="仿宋" w:hAnsi="仿宋" w:eastAsia="仿宋" w:cs="仿宋"/>
                <w:color w:val="000000" w:themeColor="text1"/>
                <w:highlight w:val="none"/>
                <w14:textFill>
                  <w14:solidFill>
                    <w14:schemeClr w14:val="tx1"/>
                  </w14:solidFill>
                </w14:textFill>
              </w:rPr>
              <w:t>本项目对小型和微型企业产品的价格、残疾人福利性单位投标的价格给予</w:t>
            </w:r>
            <w:r>
              <w:rPr>
                <w:rStyle w:val="31"/>
                <w:rFonts w:hint="eastAsia" w:ascii="仿宋" w:hAnsi="仿宋" w:eastAsia="仿宋" w:cs="仿宋"/>
                <w:color w:val="000000" w:themeColor="text1"/>
                <w:highlight w:val="none"/>
                <w:lang w:val="en-US" w:eastAsia="zh-CN"/>
                <w14:textFill>
                  <w14:solidFill>
                    <w14:schemeClr w14:val="tx1"/>
                  </w14:solidFill>
                </w14:textFill>
              </w:rPr>
              <w:t>10</w:t>
            </w:r>
            <w:r>
              <w:rPr>
                <w:rStyle w:val="31"/>
                <w:rFonts w:hint="eastAsia" w:ascii="仿宋" w:hAnsi="仿宋" w:eastAsia="仿宋" w:cs="仿宋"/>
                <w:color w:val="000000" w:themeColor="text1"/>
                <w:highlight w:val="none"/>
                <w14:textFill>
                  <w14:solidFill>
                    <w14:schemeClr w14:val="tx1"/>
                  </w14:solidFill>
                </w14:textFill>
              </w:rPr>
              <w:t>%的扣除，用扣除后的价格参与评审</w:t>
            </w:r>
            <w:r>
              <w:rPr>
                <w:rFonts w:hint="eastAsia" w:ascii="仿宋" w:hAnsi="仿宋" w:eastAsia="仿宋" w:cs="仿宋"/>
                <w:color w:val="000000" w:themeColor="text1"/>
                <w:highlight w:val="none"/>
                <w14:textFill>
                  <w14:solidFill>
                    <w14:schemeClr w14:val="tx1"/>
                  </w14:solidFill>
                </w14:textFill>
              </w:rPr>
              <w:t>。</w:t>
            </w:r>
          </w:p>
        </w:tc>
        <w:tc>
          <w:tcPr>
            <w:tcW w:w="682" w:type="dxa"/>
            <w:noWrap w:val="0"/>
            <w:vAlign w:val="center"/>
          </w:tcPr>
          <w:p>
            <w:pPr>
              <w:pStyle w:val="30"/>
              <w:spacing w:before="2"/>
              <w:ind w:left="4"/>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1" w:hRule="atLeast"/>
        </w:trPr>
        <w:tc>
          <w:tcPr>
            <w:tcW w:w="857" w:type="dxa"/>
            <w:vMerge w:val="restart"/>
            <w:noWrap w:val="0"/>
            <w:vAlign w:val="center"/>
          </w:tcPr>
          <w:p>
            <w:pPr>
              <w:pStyle w:val="30"/>
              <w:tabs>
                <w:tab w:val="left" w:pos="313"/>
              </w:tabs>
              <w:spacing w:before="2"/>
              <w:ind w:right="96"/>
              <w:jc w:val="center"/>
              <w:rPr>
                <w:rFonts w:hint="eastAsia" w:ascii="仿宋" w:hAnsi="仿宋" w:eastAsia="仿宋" w:cs="仿宋"/>
                <w:color w:val="000000" w:themeColor="text1"/>
                <w:spacing w:val="-2"/>
                <w:highlight w:val="none"/>
                <w:lang w:eastAsia="zh-CN"/>
                <w14:textFill>
                  <w14:solidFill>
                    <w14:schemeClr w14:val="tx1"/>
                  </w14:solidFill>
                </w14:textFill>
              </w:rPr>
            </w:pPr>
            <w:r>
              <w:rPr>
                <w:rFonts w:hint="eastAsia" w:ascii="仿宋" w:hAnsi="仿宋" w:eastAsia="仿宋" w:cs="仿宋"/>
                <w:color w:val="000000" w:themeColor="text1"/>
                <w:spacing w:val="-2"/>
                <w:highlight w:val="none"/>
                <w:lang w:eastAsia="zh-CN"/>
                <w14:textFill>
                  <w14:solidFill>
                    <w14:schemeClr w14:val="tx1"/>
                  </w14:solidFill>
                </w14:textFill>
              </w:rPr>
              <w:t>商务</w:t>
            </w:r>
            <w:r>
              <w:rPr>
                <w:rFonts w:hint="eastAsia" w:ascii="仿宋" w:hAnsi="仿宋" w:eastAsia="仿宋" w:cs="仿宋"/>
                <w:color w:val="000000" w:themeColor="text1"/>
                <w:spacing w:val="-2"/>
                <w:highlight w:val="none"/>
                <w:lang w:val="en-US" w:eastAsia="zh-CN"/>
                <w14:textFill>
                  <w14:solidFill>
                    <w14:schemeClr w14:val="tx1"/>
                  </w14:solidFill>
                </w14:textFill>
              </w:rPr>
              <w:t xml:space="preserve"> </w:t>
            </w:r>
            <w:r>
              <w:rPr>
                <w:rFonts w:hint="eastAsia" w:ascii="仿宋" w:hAnsi="仿宋" w:eastAsia="仿宋" w:cs="仿宋"/>
                <w:color w:val="000000" w:themeColor="text1"/>
                <w:spacing w:val="-2"/>
                <w:highlight w:val="none"/>
                <w:lang w:eastAsia="zh-CN"/>
                <w14:textFill>
                  <w14:solidFill>
                    <w14:schemeClr w14:val="tx1"/>
                  </w14:solidFill>
                </w14:textFill>
              </w:rPr>
              <w:t>部分</w:t>
            </w:r>
          </w:p>
          <w:p>
            <w:pPr>
              <w:pStyle w:val="30"/>
              <w:tabs>
                <w:tab w:val="left" w:pos="313"/>
              </w:tabs>
              <w:spacing w:before="2"/>
              <w:ind w:right="96"/>
              <w:jc w:val="center"/>
              <w:rPr>
                <w:rFonts w:hint="default" w:ascii="仿宋" w:hAnsi="仿宋" w:eastAsia="仿宋" w:cs="仿宋"/>
                <w:color w:val="FF0000"/>
                <w:highlight w:val="none"/>
                <w:lang w:val="en-US" w:eastAsia="zh-CN"/>
              </w:rPr>
            </w:pPr>
            <w:r>
              <w:rPr>
                <w:rFonts w:hint="eastAsia" w:ascii="仿宋" w:hAnsi="仿宋" w:eastAsia="仿宋" w:cs="仿宋"/>
                <w:color w:val="000000" w:themeColor="text1"/>
                <w:spacing w:val="-2"/>
                <w:highlight w:val="none"/>
                <w:lang w:val="en-US" w:eastAsia="zh-CN"/>
                <w14:textFill>
                  <w14:solidFill>
                    <w14:schemeClr w14:val="tx1"/>
                  </w14:solidFill>
                </w14:textFill>
              </w:rPr>
              <w:t>(25分)</w:t>
            </w:r>
          </w:p>
        </w:tc>
        <w:tc>
          <w:tcPr>
            <w:tcW w:w="1168" w:type="dxa"/>
            <w:noWrap w:val="0"/>
            <w:vAlign w:val="center"/>
          </w:tcPr>
          <w:p>
            <w:pPr>
              <w:pStyle w:val="30"/>
              <w:spacing w:before="6" w:line="358" w:lineRule="exact"/>
              <w:ind w:right="79"/>
              <w:jc w:val="center"/>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企业综合实力</w:t>
            </w:r>
          </w:p>
        </w:tc>
        <w:tc>
          <w:tcPr>
            <w:tcW w:w="6331" w:type="dxa"/>
            <w:noWrap w:val="0"/>
            <w:vAlign w:val="center"/>
          </w:tcPr>
          <w:p>
            <w:pPr>
              <w:pStyle w:val="30"/>
              <w:spacing w:before="121" w:line="321" w:lineRule="auto"/>
              <w:ind w:left="4" w:right="127"/>
              <w:jc w:val="both"/>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default" w:ascii="仿宋" w:hAnsi="仿宋" w:eastAsia="仿宋" w:cs="仿宋"/>
                <w:color w:val="000000" w:themeColor="text1"/>
                <w:sz w:val="24"/>
                <w:szCs w:val="24"/>
                <w:highlight w:val="none"/>
                <w:lang w:val="en-US" w:eastAsia="zh-CN"/>
                <w14:textFill>
                  <w14:solidFill>
                    <w14:schemeClr w14:val="tx1"/>
                  </w14:solidFill>
                </w14:textFill>
              </w:rPr>
              <w:t>公司管理及人员体系管理制度完善得</w:t>
            </w:r>
            <w:r>
              <w:rPr>
                <w:rFonts w:hint="eastAsia" w:ascii="仿宋" w:hAnsi="仿宋" w:eastAsia="仿宋" w:cs="仿宋"/>
                <w:color w:val="000000" w:themeColor="text1"/>
                <w:sz w:val="24"/>
                <w:szCs w:val="24"/>
                <w:highlight w:val="none"/>
                <w:lang w:val="en-US" w:eastAsia="zh-CN"/>
                <w14:textFill>
                  <w14:solidFill>
                    <w14:schemeClr w14:val="tx1"/>
                  </w14:solidFill>
                </w14:textFill>
              </w:rPr>
              <w:t>4-5</w:t>
            </w:r>
            <w:r>
              <w:rPr>
                <w:rFonts w:hint="default" w:ascii="仿宋" w:hAnsi="仿宋" w:eastAsia="仿宋" w:cs="仿宋"/>
                <w:color w:val="000000" w:themeColor="text1"/>
                <w:sz w:val="24"/>
                <w:szCs w:val="24"/>
                <w:highlight w:val="none"/>
                <w:lang w:val="en-US" w:eastAsia="zh-CN"/>
                <w14:textFill>
                  <w14:solidFill>
                    <w14:schemeClr w14:val="tx1"/>
                  </w14:solidFill>
                </w14:textFill>
              </w:rPr>
              <w:t>分；</w:t>
            </w:r>
          </w:p>
          <w:p>
            <w:pPr>
              <w:pStyle w:val="30"/>
              <w:spacing w:before="121" w:line="321" w:lineRule="auto"/>
              <w:ind w:left="4" w:right="127"/>
              <w:jc w:val="both"/>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default" w:ascii="仿宋" w:hAnsi="仿宋" w:eastAsia="仿宋" w:cs="仿宋"/>
                <w:color w:val="000000" w:themeColor="text1"/>
                <w:sz w:val="24"/>
                <w:szCs w:val="24"/>
                <w:highlight w:val="none"/>
                <w:lang w:val="en-US" w:eastAsia="zh-CN"/>
                <w14:textFill>
                  <w14:solidFill>
                    <w14:schemeClr w14:val="tx1"/>
                  </w14:solidFill>
                </w14:textFill>
              </w:rPr>
              <w:t>公司管理及人员体系管理制度基本完善</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default" w:ascii="仿宋" w:hAnsi="仿宋" w:eastAsia="仿宋" w:cs="仿宋"/>
                <w:color w:val="000000" w:themeColor="text1"/>
                <w:sz w:val="24"/>
                <w:szCs w:val="24"/>
                <w:highlight w:val="none"/>
                <w:lang w:val="en-US" w:eastAsia="zh-CN"/>
                <w14:textFill>
                  <w14:solidFill>
                    <w14:schemeClr w14:val="tx1"/>
                  </w14:solidFill>
                </w14:textFill>
              </w:rPr>
              <w:t>得</w:t>
            </w:r>
            <w:r>
              <w:rPr>
                <w:rFonts w:hint="eastAsia" w:ascii="仿宋" w:hAnsi="仿宋" w:eastAsia="仿宋" w:cs="仿宋"/>
                <w:color w:val="000000" w:themeColor="text1"/>
                <w:sz w:val="24"/>
                <w:szCs w:val="24"/>
                <w:highlight w:val="none"/>
                <w:lang w:val="en-US" w:eastAsia="zh-CN"/>
                <w14:textFill>
                  <w14:solidFill>
                    <w14:schemeClr w14:val="tx1"/>
                  </w14:solidFill>
                </w14:textFill>
              </w:rPr>
              <w:t>1-3</w:t>
            </w:r>
            <w:r>
              <w:rPr>
                <w:rFonts w:hint="default" w:ascii="仿宋" w:hAnsi="仿宋" w:eastAsia="仿宋" w:cs="仿宋"/>
                <w:color w:val="000000" w:themeColor="text1"/>
                <w:sz w:val="24"/>
                <w:szCs w:val="24"/>
                <w:highlight w:val="none"/>
                <w:lang w:val="en-US" w:eastAsia="zh-CN"/>
                <w14:textFill>
                  <w14:solidFill>
                    <w14:schemeClr w14:val="tx1"/>
                  </w14:solidFill>
                </w14:textFill>
              </w:rPr>
              <w:t>分；</w:t>
            </w:r>
          </w:p>
          <w:p>
            <w:pPr>
              <w:pStyle w:val="30"/>
              <w:spacing w:before="121" w:line="321" w:lineRule="auto"/>
              <w:ind w:left="4" w:right="127"/>
              <w:jc w:val="both"/>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default" w:ascii="仿宋" w:hAnsi="仿宋" w:eastAsia="仿宋" w:cs="仿宋"/>
                <w:color w:val="000000" w:themeColor="text1"/>
                <w:sz w:val="24"/>
                <w:szCs w:val="24"/>
                <w:highlight w:val="none"/>
                <w:lang w:val="en-US" w:eastAsia="zh-CN"/>
                <w14:textFill>
                  <w14:solidFill>
                    <w14:schemeClr w14:val="tx1"/>
                  </w14:solidFill>
                </w14:textFill>
              </w:rPr>
              <w:t>公司管理及人员体系管理制度不完善或不全面得0分。</w:t>
            </w:r>
          </w:p>
        </w:tc>
        <w:tc>
          <w:tcPr>
            <w:tcW w:w="682" w:type="dxa"/>
            <w:noWrap w:val="0"/>
            <w:vAlign w:val="center"/>
          </w:tcPr>
          <w:p>
            <w:pPr>
              <w:pStyle w:val="30"/>
              <w:spacing w:before="121" w:line="321" w:lineRule="auto"/>
              <w:ind w:left="4" w:right="127"/>
              <w:jc w:val="center"/>
              <w:rPr>
                <w:rFonts w:hint="default"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0-</w:t>
            </w:r>
            <w:r>
              <w:rPr>
                <w:rFonts w:hint="eastAsia" w:ascii="仿宋" w:hAnsi="仿宋" w:eastAsia="仿宋" w:cs="仿宋"/>
                <w:color w:val="000000" w:themeColor="text1"/>
                <w:highlight w:val="none"/>
                <w:lang w:val="en-US" w:eastAsia="zh-CN"/>
                <w14:textFill>
                  <w14:solidFill>
                    <w14:schemeClr w14:val="tx1"/>
                  </w14:solidFill>
                </w14:textFill>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8" w:hRule="atLeast"/>
        </w:trPr>
        <w:tc>
          <w:tcPr>
            <w:tcW w:w="857" w:type="dxa"/>
            <w:vMerge w:val="continue"/>
            <w:noWrap w:val="0"/>
            <w:vAlign w:val="center"/>
          </w:tcPr>
          <w:p>
            <w:pPr>
              <w:pStyle w:val="30"/>
              <w:spacing w:before="2"/>
              <w:ind w:right="96"/>
              <w:jc w:val="center"/>
              <w:rPr>
                <w:rFonts w:hint="eastAsia" w:ascii="仿宋" w:hAnsi="仿宋" w:eastAsia="仿宋" w:cs="仿宋"/>
                <w:color w:val="FF0000"/>
                <w:highlight w:val="none"/>
              </w:rPr>
            </w:pPr>
          </w:p>
        </w:tc>
        <w:tc>
          <w:tcPr>
            <w:tcW w:w="1168" w:type="dxa"/>
            <w:noWrap w:val="0"/>
            <w:vAlign w:val="center"/>
          </w:tcPr>
          <w:p>
            <w:pPr>
              <w:pStyle w:val="28"/>
              <w:ind w:firstLine="0" w:firstLineChars="0"/>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后续服务</w:t>
            </w:r>
          </w:p>
        </w:tc>
        <w:tc>
          <w:tcPr>
            <w:tcW w:w="6331" w:type="dxa"/>
            <w:noWrap w:val="0"/>
            <w:vAlign w:val="center"/>
          </w:tcPr>
          <w:p>
            <w:pPr>
              <w:pStyle w:val="28"/>
              <w:numPr>
                <w:ilvl w:val="0"/>
                <w:numId w:val="0"/>
              </w:numPr>
              <w:spacing w:line="360" w:lineRule="auto"/>
              <w:ind w:left="0" w:leftChars="0" w:firstLine="0" w:firstLineChars="0"/>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后续服务措施合理完善，满足相关规范、标准，且提供全面的服务承诺，得10-15分；</w:t>
            </w:r>
          </w:p>
          <w:p>
            <w:pPr>
              <w:pStyle w:val="28"/>
              <w:numPr>
                <w:ilvl w:val="0"/>
                <w:numId w:val="0"/>
              </w:numPr>
              <w:spacing w:line="360" w:lineRule="auto"/>
              <w:ind w:left="0" w:leftChars="0" w:firstLine="0" w:firstLineChars="0"/>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后续服务措施比较合理完善，比较满足相关规范、标准，且提供比较全面的服务承诺，得6-11分；</w:t>
            </w:r>
          </w:p>
          <w:p>
            <w:pPr>
              <w:pStyle w:val="28"/>
              <w:numPr>
                <w:ilvl w:val="0"/>
                <w:numId w:val="0"/>
              </w:numPr>
              <w:spacing w:line="360" w:lineRule="auto"/>
              <w:ind w:left="0" w:leftChars="0" w:firstLine="0" w:firstLineChars="0"/>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后续服务措施基本合理完善，基本满足相关规范、标准，且提供一般的服务承诺，得1-5分；</w:t>
            </w:r>
          </w:p>
          <w:p>
            <w:pPr>
              <w:pStyle w:val="28"/>
              <w:numPr>
                <w:ilvl w:val="0"/>
                <w:numId w:val="0"/>
              </w:numPr>
              <w:spacing w:line="360" w:lineRule="auto"/>
              <w:ind w:left="0" w:leftChars="0" w:firstLine="0" w:firstLineChars="0"/>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后续服务措施不合理或不完善，不能满足相关规范、标准，未提供服务承诺，得0分。</w:t>
            </w:r>
          </w:p>
        </w:tc>
        <w:tc>
          <w:tcPr>
            <w:tcW w:w="682" w:type="dxa"/>
            <w:noWrap w:val="0"/>
            <w:vAlign w:val="center"/>
          </w:tcPr>
          <w:p>
            <w:pPr>
              <w:pStyle w:val="30"/>
              <w:spacing w:before="121" w:line="321" w:lineRule="auto"/>
              <w:ind w:left="4" w:leftChars="0" w:right="127" w:rightChars="0"/>
              <w:jc w:val="center"/>
              <w:rPr>
                <w:rFonts w:hint="default"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0-15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5" w:hRule="atLeast"/>
        </w:trPr>
        <w:tc>
          <w:tcPr>
            <w:tcW w:w="857" w:type="dxa"/>
            <w:vMerge w:val="continue"/>
            <w:noWrap w:val="0"/>
            <w:vAlign w:val="top"/>
          </w:tcPr>
          <w:p>
            <w:pPr>
              <w:pStyle w:val="30"/>
              <w:spacing w:line="266" w:lineRule="exact"/>
              <w:ind w:right="96"/>
              <w:jc w:val="right"/>
              <w:rPr>
                <w:rFonts w:hint="eastAsia" w:ascii="仿宋" w:hAnsi="仿宋" w:eastAsia="仿宋" w:cs="仿宋"/>
                <w:color w:val="FF0000"/>
                <w:highlight w:val="none"/>
              </w:rPr>
            </w:pPr>
          </w:p>
        </w:tc>
        <w:tc>
          <w:tcPr>
            <w:tcW w:w="1168" w:type="dxa"/>
            <w:noWrap w:val="0"/>
            <w:vAlign w:val="center"/>
          </w:tcPr>
          <w:p>
            <w:pPr>
              <w:pStyle w:val="28"/>
              <w:ind w:firstLine="0" w:firstLineChars="0"/>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default" w:ascii="仿宋" w:hAnsi="仿宋" w:eastAsia="仿宋" w:cs="仿宋"/>
                <w:color w:val="000000" w:themeColor="text1"/>
                <w:sz w:val="24"/>
                <w:szCs w:val="24"/>
                <w:highlight w:val="none"/>
                <w:lang w:val="en-US" w:eastAsia="zh-CN"/>
                <w14:textFill>
                  <w14:solidFill>
                    <w14:schemeClr w14:val="tx1"/>
                  </w14:solidFill>
                </w14:textFill>
              </w:rPr>
              <w:t>投标文件编制</w:t>
            </w:r>
          </w:p>
        </w:tc>
        <w:tc>
          <w:tcPr>
            <w:tcW w:w="6331" w:type="dxa"/>
            <w:noWrap w:val="0"/>
            <w:vAlign w:val="center"/>
          </w:tcPr>
          <w:p>
            <w:pPr>
              <w:pStyle w:val="28"/>
              <w:spacing w:line="360" w:lineRule="auto"/>
              <w:ind w:firstLine="0" w:firstLineChars="0"/>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根据投标文件编制是否完整，格式规范、编制条理清晰，进行综合打分，最高计</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lang w:val="en-US" w:eastAsia="zh-CN"/>
                <w14:textFill>
                  <w14:solidFill>
                    <w14:schemeClr w14:val="tx1"/>
                  </w14:solidFill>
                </w14:textFill>
              </w:rPr>
              <w:t>分；</w:t>
            </w:r>
          </w:p>
          <w:p>
            <w:pPr>
              <w:pStyle w:val="28"/>
              <w:spacing w:line="360" w:lineRule="auto"/>
              <w:ind w:firstLine="0" w:firstLineChars="0"/>
              <w:jc w:val="left"/>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有缺漏项或欠合理的扣1分，扣完为止。</w:t>
            </w:r>
          </w:p>
        </w:tc>
        <w:tc>
          <w:tcPr>
            <w:tcW w:w="682" w:type="dxa"/>
            <w:noWrap w:val="0"/>
            <w:vAlign w:val="center"/>
          </w:tcPr>
          <w:p>
            <w:pPr>
              <w:pStyle w:val="30"/>
              <w:spacing w:line="266" w:lineRule="exact"/>
              <w:ind w:left="4"/>
              <w:jc w:val="center"/>
              <w:rPr>
                <w:rFonts w:hint="default"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6" w:hRule="atLeast"/>
        </w:trPr>
        <w:tc>
          <w:tcPr>
            <w:tcW w:w="857" w:type="dxa"/>
            <w:vMerge w:val="restart"/>
            <w:noWrap w:val="0"/>
            <w:vAlign w:val="center"/>
          </w:tcPr>
          <w:p>
            <w:pPr>
              <w:pStyle w:val="30"/>
              <w:tabs>
                <w:tab w:val="left" w:pos="313"/>
              </w:tabs>
              <w:spacing w:before="2"/>
              <w:ind w:right="96"/>
              <w:jc w:val="center"/>
              <w:rPr>
                <w:rFonts w:hint="eastAsia" w:ascii="仿宋" w:hAnsi="仿宋" w:eastAsia="仿宋" w:cs="仿宋"/>
                <w:color w:val="000000" w:themeColor="text1"/>
                <w:spacing w:val="-2"/>
                <w:highlight w:val="none"/>
                <w:lang w:eastAsia="zh-CN"/>
                <w14:textFill>
                  <w14:solidFill>
                    <w14:schemeClr w14:val="tx1"/>
                  </w14:solidFill>
                </w14:textFill>
              </w:rPr>
            </w:pPr>
            <w:r>
              <w:rPr>
                <w:rFonts w:hint="eastAsia" w:ascii="仿宋" w:hAnsi="仿宋" w:eastAsia="仿宋" w:cs="仿宋"/>
                <w:color w:val="000000" w:themeColor="text1"/>
                <w:spacing w:val="-2"/>
                <w:highlight w:val="none"/>
                <w:lang w:eastAsia="zh-CN"/>
                <w14:textFill>
                  <w14:solidFill>
                    <w14:schemeClr w14:val="tx1"/>
                  </w14:solidFill>
                </w14:textFill>
              </w:rPr>
              <w:t>技术</w:t>
            </w:r>
            <w:r>
              <w:rPr>
                <w:rFonts w:hint="eastAsia" w:ascii="仿宋" w:hAnsi="仿宋" w:eastAsia="仿宋" w:cs="仿宋"/>
                <w:color w:val="000000" w:themeColor="text1"/>
                <w:spacing w:val="-2"/>
                <w:highlight w:val="none"/>
                <w:lang w:val="en-US" w:eastAsia="zh-CN"/>
                <w14:textFill>
                  <w14:solidFill>
                    <w14:schemeClr w14:val="tx1"/>
                  </w14:solidFill>
                </w14:textFill>
              </w:rPr>
              <w:t xml:space="preserve"> </w:t>
            </w:r>
            <w:r>
              <w:rPr>
                <w:rFonts w:hint="eastAsia" w:ascii="仿宋" w:hAnsi="仿宋" w:eastAsia="仿宋" w:cs="仿宋"/>
                <w:color w:val="000000" w:themeColor="text1"/>
                <w:spacing w:val="-2"/>
                <w:highlight w:val="none"/>
                <w:lang w:eastAsia="zh-CN"/>
                <w14:textFill>
                  <w14:solidFill>
                    <w14:schemeClr w14:val="tx1"/>
                  </w14:solidFill>
                </w14:textFill>
              </w:rPr>
              <w:t>部分</w:t>
            </w:r>
          </w:p>
          <w:p>
            <w:pPr>
              <w:pStyle w:val="30"/>
              <w:tabs>
                <w:tab w:val="left" w:pos="313"/>
              </w:tabs>
              <w:spacing w:before="2"/>
              <w:ind w:right="96"/>
              <w:jc w:val="center"/>
              <w:rPr>
                <w:rFonts w:hint="default" w:ascii="仿宋" w:hAnsi="仿宋" w:eastAsia="仿宋" w:cs="仿宋"/>
                <w:color w:val="FF0000"/>
                <w:highlight w:val="none"/>
                <w:lang w:val="en-US" w:eastAsia="zh-CN"/>
              </w:rPr>
            </w:pPr>
            <w:r>
              <w:rPr>
                <w:rFonts w:hint="eastAsia" w:ascii="仿宋" w:hAnsi="仿宋" w:eastAsia="仿宋" w:cs="仿宋"/>
                <w:color w:val="000000" w:themeColor="text1"/>
                <w:spacing w:val="-2"/>
                <w:highlight w:val="none"/>
                <w:lang w:val="en-US" w:eastAsia="zh-CN"/>
                <w14:textFill>
                  <w14:solidFill>
                    <w14:schemeClr w14:val="tx1"/>
                  </w14:solidFill>
                </w14:textFill>
              </w:rPr>
              <w:t>(65分)</w:t>
            </w:r>
          </w:p>
        </w:tc>
        <w:tc>
          <w:tcPr>
            <w:tcW w:w="1168" w:type="dxa"/>
            <w:noWrap w:val="0"/>
            <w:vAlign w:val="center"/>
          </w:tcPr>
          <w:p>
            <w:pPr>
              <w:jc w:val="center"/>
              <w:rPr>
                <w:rFonts w:hint="default" w:ascii="仿宋" w:hAnsi="仿宋" w:eastAsia="仿宋" w:cs="仿宋"/>
                <w:color w:val="FF0000"/>
                <w:sz w:val="24"/>
                <w:szCs w:val="24"/>
                <w:highlight w:val="none"/>
                <w:lang w:val="en-US" w:eastAsia="zh-CN"/>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项目实施方案</w:t>
            </w:r>
          </w:p>
        </w:tc>
        <w:tc>
          <w:tcPr>
            <w:tcW w:w="6331" w:type="dxa"/>
            <w:noWrap w:val="0"/>
            <w:vAlign w:val="center"/>
          </w:tcPr>
          <w:p>
            <w:pPr>
              <w:pStyle w:val="30"/>
              <w:spacing w:before="6" w:line="358" w:lineRule="exact"/>
              <w:ind w:left="4" w:leftChars="0" w:right="24" w:rightChars="0"/>
              <w:rPr>
                <w:rFonts w:hint="default" w:ascii="仿宋" w:hAnsi="仿宋" w:eastAsia="仿宋" w:cs="仿宋"/>
                <w:color w:val="000000" w:themeColor="text1"/>
                <w:highlight w:val="none"/>
                <w:lang w:val="en-US" w:eastAsia="zh-CN"/>
                <w14:textFill>
                  <w14:solidFill>
                    <w14:schemeClr w14:val="tx1"/>
                  </w14:solidFill>
                </w14:textFill>
              </w:rPr>
            </w:pPr>
            <w:r>
              <w:rPr>
                <w:rFonts w:hint="default" w:ascii="仿宋" w:hAnsi="仿宋" w:eastAsia="仿宋" w:cs="仿宋"/>
                <w:color w:val="000000" w:themeColor="text1"/>
                <w:highlight w:val="none"/>
                <w:lang w:val="en-US" w:eastAsia="zh-CN"/>
                <w14:textFill>
                  <w14:solidFill>
                    <w14:schemeClr w14:val="tx1"/>
                  </w14:solidFill>
                </w14:textFill>
              </w:rPr>
              <w:t>根据投标人针对本项目拟定的</w:t>
            </w:r>
            <w:r>
              <w:rPr>
                <w:rFonts w:hint="eastAsia" w:ascii="仿宋" w:hAnsi="仿宋" w:eastAsia="仿宋" w:cs="仿宋"/>
                <w:color w:val="000000" w:themeColor="text1"/>
                <w:highlight w:val="none"/>
                <w:lang w:val="en-US" w:eastAsia="zh-CN"/>
                <w14:textFill>
                  <w14:solidFill>
                    <w14:schemeClr w14:val="tx1"/>
                  </w14:solidFill>
                </w14:textFill>
              </w:rPr>
              <w:t>项目</w:t>
            </w:r>
            <w:r>
              <w:rPr>
                <w:rFonts w:hint="default" w:ascii="仿宋" w:hAnsi="仿宋" w:eastAsia="仿宋" w:cs="仿宋"/>
                <w:color w:val="000000" w:themeColor="text1"/>
                <w:highlight w:val="none"/>
                <w:lang w:val="en-US" w:eastAsia="zh-CN"/>
                <w14:textFill>
                  <w14:solidFill>
                    <w14:schemeClr w14:val="tx1"/>
                  </w14:solidFill>
                </w14:textFill>
              </w:rPr>
              <w:t>方案进行综合评价：</w:t>
            </w:r>
          </w:p>
          <w:p>
            <w:pPr>
              <w:pStyle w:val="30"/>
              <w:spacing w:before="6" w:line="358" w:lineRule="exact"/>
              <w:ind w:left="4" w:leftChars="0" w:right="24" w:rightChars="0"/>
              <w:rPr>
                <w:rFonts w:hint="default"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项目</w:t>
            </w:r>
            <w:r>
              <w:rPr>
                <w:rFonts w:hint="default" w:ascii="仿宋" w:hAnsi="仿宋" w:eastAsia="仿宋" w:cs="仿宋"/>
                <w:color w:val="000000" w:themeColor="text1"/>
                <w:highlight w:val="none"/>
                <w:lang w:val="en-US" w:eastAsia="zh-CN"/>
                <w14:textFill>
                  <w14:solidFill>
                    <w14:schemeClr w14:val="tx1"/>
                  </w14:solidFill>
                </w14:textFill>
              </w:rPr>
              <w:t>实施方案全面，可实施性强，</w:t>
            </w:r>
            <w:r>
              <w:rPr>
                <w:rFonts w:hint="eastAsia" w:ascii="仿宋" w:hAnsi="仿宋" w:eastAsia="仿宋" w:cs="仿宋"/>
                <w:color w:val="000000" w:themeColor="text1"/>
                <w:highlight w:val="none"/>
                <w:lang w:val="en-US" w:eastAsia="zh-CN"/>
                <w14:textFill>
                  <w14:solidFill>
                    <w14:schemeClr w14:val="tx1"/>
                  </w14:solidFill>
                </w14:textFill>
              </w:rPr>
              <w:t>项目</w:t>
            </w:r>
            <w:r>
              <w:rPr>
                <w:rFonts w:hint="default" w:ascii="仿宋" w:hAnsi="仿宋" w:eastAsia="仿宋" w:cs="仿宋"/>
                <w:color w:val="000000" w:themeColor="text1"/>
                <w:highlight w:val="none"/>
                <w:lang w:val="en-US" w:eastAsia="zh-CN"/>
                <w14:textFill>
                  <w14:solidFill>
                    <w14:schemeClr w14:val="tx1"/>
                  </w14:solidFill>
                </w14:textFill>
              </w:rPr>
              <w:t>思路清晰，技术路线科学可行的，整体</w:t>
            </w:r>
            <w:r>
              <w:rPr>
                <w:rFonts w:hint="eastAsia" w:ascii="仿宋" w:hAnsi="仿宋" w:eastAsia="仿宋" w:cs="仿宋"/>
                <w:color w:val="000000" w:themeColor="text1"/>
                <w:highlight w:val="none"/>
                <w:lang w:val="en-US" w:eastAsia="zh-CN"/>
                <w14:textFill>
                  <w14:solidFill>
                    <w14:schemeClr w14:val="tx1"/>
                  </w14:solidFill>
                </w14:textFill>
              </w:rPr>
              <w:t>项目</w:t>
            </w:r>
            <w:r>
              <w:rPr>
                <w:rFonts w:hint="default" w:ascii="仿宋" w:hAnsi="仿宋" w:eastAsia="仿宋" w:cs="仿宋"/>
                <w:color w:val="000000" w:themeColor="text1"/>
                <w:highlight w:val="none"/>
                <w:lang w:val="en-US" w:eastAsia="zh-CN"/>
                <w14:textFill>
                  <w14:solidFill>
                    <w14:schemeClr w14:val="tx1"/>
                  </w14:solidFill>
                </w14:textFill>
              </w:rPr>
              <w:t>实施阶段及任务划分及进度控制合理，得15-20分；</w:t>
            </w:r>
          </w:p>
          <w:p>
            <w:pPr>
              <w:pStyle w:val="30"/>
              <w:spacing w:before="6" w:line="358" w:lineRule="exact"/>
              <w:ind w:left="4" w:leftChars="0" w:right="24" w:rightChars="0"/>
              <w:rPr>
                <w:rFonts w:hint="default"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项目</w:t>
            </w:r>
            <w:r>
              <w:rPr>
                <w:rFonts w:hint="default" w:ascii="仿宋" w:hAnsi="仿宋" w:eastAsia="仿宋" w:cs="仿宋"/>
                <w:color w:val="000000" w:themeColor="text1"/>
                <w:highlight w:val="none"/>
                <w:lang w:val="en-US" w:eastAsia="zh-CN"/>
                <w14:textFill>
                  <w14:solidFill>
                    <w14:schemeClr w14:val="tx1"/>
                  </w14:solidFill>
                </w14:textFill>
              </w:rPr>
              <w:t>实施方案较全面，可实施性较强，</w:t>
            </w:r>
            <w:r>
              <w:rPr>
                <w:rFonts w:hint="eastAsia" w:ascii="仿宋" w:hAnsi="仿宋" w:eastAsia="仿宋" w:cs="仿宋"/>
                <w:color w:val="000000" w:themeColor="text1"/>
                <w:highlight w:val="none"/>
                <w:lang w:val="en-US" w:eastAsia="zh-CN"/>
                <w14:textFill>
                  <w14:solidFill>
                    <w14:schemeClr w14:val="tx1"/>
                  </w14:solidFill>
                </w14:textFill>
              </w:rPr>
              <w:t>项目</w:t>
            </w:r>
            <w:r>
              <w:rPr>
                <w:rFonts w:hint="default" w:ascii="仿宋" w:hAnsi="仿宋" w:eastAsia="仿宋" w:cs="仿宋"/>
                <w:color w:val="000000" w:themeColor="text1"/>
                <w:highlight w:val="none"/>
                <w:lang w:val="en-US" w:eastAsia="zh-CN"/>
                <w14:textFill>
                  <w14:solidFill>
                    <w14:schemeClr w14:val="tx1"/>
                  </w14:solidFill>
                </w14:textFill>
              </w:rPr>
              <w:t>思路比较清晰，技术路线比较科学可行，整体</w:t>
            </w:r>
            <w:r>
              <w:rPr>
                <w:rFonts w:hint="eastAsia" w:ascii="仿宋" w:hAnsi="仿宋" w:eastAsia="仿宋" w:cs="仿宋"/>
                <w:color w:val="000000" w:themeColor="text1"/>
                <w:highlight w:val="none"/>
                <w:lang w:val="en-US" w:eastAsia="zh-CN"/>
                <w14:textFill>
                  <w14:solidFill>
                    <w14:schemeClr w14:val="tx1"/>
                  </w14:solidFill>
                </w14:textFill>
              </w:rPr>
              <w:t>项目</w:t>
            </w:r>
            <w:r>
              <w:rPr>
                <w:rFonts w:hint="default" w:ascii="仿宋" w:hAnsi="仿宋" w:eastAsia="仿宋" w:cs="仿宋"/>
                <w:color w:val="000000" w:themeColor="text1"/>
                <w:highlight w:val="none"/>
                <w:lang w:val="en-US" w:eastAsia="zh-CN"/>
                <w14:textFill>
                  <w14:solidFill>
                    <w14:schemeClr w14:val="tx1"/>
                  </w14:solidFill>
                </w14:textFill>
              </w:rPr>
              <w:t>实施阶段及任务划分及进度控制比较合理的，得9-14分；</w:t>
            </w:r>
          </w:p>
          <w:p>
            <w:pPr>
              <w:pStyle w:val="30"/>
              <w:spacing w:before="6" w:line="358" w:lineRule="exact"/>
              <w:ind w:left="4" w:leftChars="0" w:right="24" w:rightChars="0"/>
              <w:rPr>
                <w:rFonts w:hint="default" w:ascii="仿宋" w:hAnsi="仿宋" w:eastAsia="仿宋" w:cs="仿宋"/>
                <w:color w:val="FF0000"/>
                <w:highlight w:val="none"/>
                <w:lang w:val="en-US" w:eastAsia="zh-CN"/>
              </w:rPr>
            </w:pPr>
            <w:r>
              <w:rPr>
                <w:rFonts w:hint="eastAsia" w:ascii="仿宋" w:hAnsi="仿宋" w:eastAsia="仿宋" w:cs="仿宋"/>
                <w:color w:val="000000" w:themeColor="text1"/>
                <w:highlight w:val="none"/>
                <w:lang w:val="en-US" w:eastAsia="zh-CN"/>
                <w14:textFill>
                  <w14:solidFill>
                    <w14:schemeClr w14:val="tx1"/>
                  </w14:solidFill>
                </w14:textFill>
              </w:rPr>
              <w:t>项目</w:t>
            </w:r>
            <w:r>
              <w:rPr>
                <w:rFonts w:hint="default" w:ascii="仿宋" w:hAnsi="仿宋" w:eastAsia="仿宋" w:cs="仿宋"/>
                <w:color w:val="000000" w:themeColor="text1"/>
                <w:highlight w:val="none"/>
                <w:lang w:val="en-US" w:eastAsia="zh-CN"/>
                <w14:textFill>
                  <w14:solidFill>
                    <w14:schemeClr w14:val="tx1"/>
                  </w14:solidFill>
                </w14:textFill>
              </w:rPr>
              <w:t>实施方案基本全面，具有可实施性和工作思路，技术路线基本具有的科学性和可行性的，整体</w:t>
            </w:r>
            <w:r>
              <w:rPr>
                <w:rFonts w:hint="eastAsia" w:ascii="仿宋" w:hAnsi="仿宋" w:eastAsia="仿宋" w:cs="仿宋"/>
                <w:color w:val="000000" w:themeColor="text1"/>
                <w:highlight w:val="none"/>
                <w:lang w:val="en-US" w:eastAsia="zh-CN"/>
                <w14:textFill>
                  <w14:solidFill>
                    <w14:schemeClr w14:val="tx1"/>
                  </w14:solidFill>
                </w14:textFill>
              </w:rPr>
              <w:t>项目</w:t>
            </w:r>
            <w:r>
              <w:rPr>
                <w:rFonts w:hint="default" w:ascii="仿宋" w:hAnsi="仿宋" w:eastAsia="仿宋" w:cs="仿宋"/>
                <w:color w:val="000000" w:themeColor="text1"/>
                <w:highlight w:val="none"/>
                <w:lang w:val="en-US" w:eastAsia="zh-CN"/>
                <w14:textFill>
                  <w14:solidFill>
                    <w14:schemeClr w14:val="tx1"/>
                  </w14:solidFill>
                </w14:textFill>
              </w:rPr>
              <w:t>实施阶段及任务划分及进度控制基本合理的，得0-8分</w:t>
            </w:r>
            <w:r>
              <w:rPr>
                <w:rFonts w:hint="eastAsia" w:ascii="仿宋" w:hAnsi="仿宋" w:eastAsia="仿宋" w:cs="仿宋"/>
                <w:color w:val="000000" w:themeColor="text1"/>
                <w:highlight w:val="none"/>
                <w:lang w:val="en-US" w:eastAsia="zh-CN"/>
                <w14:textFill>
                  <w14:solidFill>
                    <w14:schemeClr w14:val="tx1"/>
                  </w14:solidFill>
                </w14:textFill>
              </w:rPr>
              <w:t>。</w:t>
            </w:r>
            <w:r>
              <w:rPr>
                <w:rFonts w:hint="default" w:ascii="仿宋" w:hAnsi="仿宋" w:eastAsia="仿宋" w:cs="仿宋"/>
                <w:color w:val="FF0000"/>
                <w:highlight w:val="none"/>
                <w:lang w:val="en-US" w:eastAsia="zh-CN"/>
              </w:rPr>
              <w:t xml:space="preserve"> </w:t>
            </w:r>
          </w:p>
        </w:tc>
        <w:tc>
          <w:tcPr>
            <w:tcW w:w="682" w:type="dxa"/>
            <w:tcBorders>
              <w:bottom w:val="single" w:color="auto" w:sz="4" w:space="0"/>
            </w:tcBorders>
            <w:noWrap w:val="0"/>
            <w:vAlign w:val="center"/>
          </w:tcPr>
          <w:p>
            <w:pPr>
              <w:pStyle w:val="30"/>
              <w:spacing w:before="6" w:line="358" w:lineRule="exact"/>
              <w:ind w:left="4" w:right="24"/>
              <w:jc w:val="center"/>
              <w:rPr>
                <w:rFonts w:hint="default" w:ascii="仿宋" w:hAnsi="仿宋" w:eastAsia="仿宋" w:cs="仿宋"/>
                <w:color w:val="FF0000"/>
                <w:highlight w:val="none"/>
                <w:lang w:val="en-US" w:eastAsia="zh-CN"/>
              </w:rPr>
            </w:pPr>
            <w:r>
              <w:rPr>
                <w:rFonts w:hint="eastAsia" w:ascii="仿宋" w:hAnsi="仿宋" w:eastAsia="仿宋" w:cs="仿宋"/>
                <w:color w:val="000000" w:themeColor="text1"/>
                <w:highlight w:val="none"/>
                <w:lang w:val="en-US" w:eastAsia="zh-CN"/>
                <w14:textFill>
                  <w14:solidFill>
                    <w14:schemeClr w14:val="tx1"/>
                  </w14:solidFill>
                </w14:textFill>
              </w:rPr>
              <w:t>0-20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7" w:hRule="atLeast"/>
        </w:trPr>
        <w:tc>
          <w:tcPr>
            <w:tcW w:w="857" w:type="dxa"/>
            <w:vMerge w:val="continue"/>
            <w:noWrap w:val="0"/>
            <w:vAlign w:val="top"/>
          </w:tcPr>
          <w:p>
            <w:pPr>
              <w:pStyle w:val="7"/>
              <w:jc w:val="center"/>
              <w:rPr>
                <w:rFonts w:hint="eastAsia" w:ascii="仿宋" w:hAnsi="仿宋" w:eastAsia="仿宋" w:cs="仿宋"/>
                <w:color w:val="FF0000"/>
                <w:kern w:val="0"/>
                <w:highlight w:val="none"/>
              </w:rPr>
            </w:pPr>
          </w:p>
        </w:tc>
        <w:tc>
          <w:tcPr>
            <w:tcW w:w="1168" w:type="dxa"/>
            <w:noWrap w:val="0"/>
            <w:vAlign w:val="center"/>
          </w:tcPr>
          <w:p>
            <w:pPr>
              <w:pStyle w:val="32"/>
              <w:spacing w:after="140"/>
              <w:jc w:val="center"/>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项目理解</w:t>
            </w:r>
          </w:p>
        </w:tc>
        <w:tc>
          <w:tcPr>
            <w:tcW w:w="6331" w:type="dxa"/>
            <w:noWrap w:val="0"/>
            <w:vAlign w:val="center"/>
          </w:tcPr>
          <w:p>
            <w:pPr>
              <w:pStyle w:val="30"/>
              <w:spacing w:before="6" w:line="358" w:lineRule="exact"/>
              <w:ind w:left="4" w:leftChars="0" w:right="24" w:rightChars="0"/>
              <w:jc w:val="both"/>
              <w:rPr>
                <w:rFonts w:hint="default" w:ascii="仿宋" w:hAnsi="仿宋" w:eastAsia="仿宋" w:cs="仿宋"/>
                <w:color w:val="000000" w:themeColor="text1"/>
                <w:highlight w:val="none"/>
                <w:lang w:val="en-US" w:eastAsia="zh-CN"/>
                <w14:textFill>
                  <w14:solidFill>
                    <w14:schemeClr w14:val="tx1"/>
                  </w14:solidFill>
                </w14:textFill>
              </w:rPr>
            </w:pPr>
            <w:r>
              <w:rPr>
                <w:rFonts w:hint="default" w:ascii="仿宋" w:hAnsi="仿宋" w:eastAsia="仿宋" w:cs="仿宋"/>
                <w:color w:val="000000" w:themeColor="text1"/>
                <w:highlight w:val="none"/>
                <w:lang w:val="en-US" w:eastAsia="zh-CN"/>
                <w14:textFill>
                  <w14:solidFill>
                    <w14:schemeClr w14:val="tx1"/>
                  </w14:solidFill>
                </w14:textFill>
              </w:rPr>
              <w:t>对本项目的理解全面、认识程度深刻及项目需求分析明确，得</w:t>
            </w:r>
            <w:r>
              <w:rPr>
                <w:rFonts w:hint="eastAsia" w:ascii="仿宋" w:hAnsi="仿宋" w:eastAsia="仿宋" w:cs="仿宋"/>
                <w:color w:val="000000" w:themeColor="text1"/>
                <w:highlight w:val="none"/>
                <w:lang w:val="en-US" w:eastAsia="zh-CN"/>
                <w14:textFill>
                  <w14:solidFill>
                    <w14:schemeClr w14:val="tx1"/>
                  </w14:solidFill>
                </w14:textFill>
              </w:rPr>
              <w:t>10</w:t>
            </w:r>
            <w:r>
              <w:rPr>
                <w:rFonts w:hint="default" w:ascii="仿宋" w:hAnsi="仿宋" w:eastAsia="仿宋" w:cs="仿宋"/>
                <w:color w:val="000000" w:themeColor="text1"/>
                <w:highlight w:val="none"/>
                <w:lang w:val="en-US" w:eastAsia="zh-CN"/>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15</w:t>
            </w:r>
            <w:r>
              <w:rPr>
                <w:rFonts w:hint="default" w:ascii="仿宋" w:hAnsi="仿宋" w:eastAsia="仿宋" w:cs="仿宋"/>
                <w:color w:val="000000" w:themeColor="text1"/>
                <w:highlight w:val="none"/>
                <w:lang w:val="en-US" w:eastAsia="zh-CN"/>
                <w14:textFill>
                  <w14:solidFill>
                    <w14:schemeClr w14:val="tx1"/>
                  </w14:solidFill>
                </w14:textFill>
              </w:rPr>
              <w:t>分；</w:t>
            </w:r>
          </w:p>
          <w:p>
            <w:pPr>
              <w:pStyle w:val="30"/>
              <w:spacing w:before="6" w:line="358" w:lineRule="exact"/>
              <w:ind w:left="4" w:leftChars="0" w:right="24" w:rightChars="0"/>
              <w:jc w:val="both"/>
              <w:rPr>
                <w:rFonts w:hint="default" w:ascii="仿宋" w:hAnsi="仿宋" w:eastAsia="仿宋" w:cs="仿宋"/>
                <w:color w:val="000000" w:themeColor="text1"/>
                <w:highlight w:val="none"/>
                <w:lang w:val="en-US" w:eastAsia="zh-CN"/>
                <w14:textFill>
                  <w14:solidFill>
                    <w14:schemeClr w14:val="tx1"/>
                  </w14:solidFill>
                </w14:textFill>
              </w:rPr>
            </w:pPr>
            <w:r>
              <w:rPr>
                <w:rFonts w:hint="default" w:ascii="仿宋" w:hAnsi="仿宋" w:eastAsia="仿宋" w:cs="仿宋"/>
                <w:color w:val="000000" w:themeColor="text1"/>
                <w:highlight w:val="none"/>
                <w:lang w:val="en-US" w:eastAsia="zh-CN"/>
                <w14:textFill>
                  <w14:solidFill>
                    <w14:schemeClr w14:val="tx1"/>
                  </w14:solidFill>
                </w14:textFill>
              </w:rPr>
              <w:t>对本项目的理解比较全面、认识程度一般及项目需求分析比较明确，得</w:t>
            </w:r>
            <w:r>
              <w:rPr>
                <w:rFonts w:hint="eastAsia" w:ascii="仿宋" w:hAnsi="仿宋" w:eastAsia="仿宋" w:cs="仿宋"/>
                <w:color w:val="000000" w:themeColor="text1"/>
                <w:highlight w:val="none"/>
                <w:lang w:val="en-US" w:eastAsia="zh-CN"/>
                <w14:textFill>
                  <w14:solidFill>
                    <w14:schemeClr w14:val="tx1"/>
                  </w14:solidFill>
                </w14:textFill>
              </w:rPr>
              <w:t>6</w:t>
            </w:r>
            <w:r>
              <w:rPr>
                <w:rFonts w:hint="default" w:ascii="仿宋" w:hAnsi="仿宋" w:eastAsia="仿宋" w:cs="仿宋"/>
                <w:color w:val="000000" w:themeColor="text1"/>
                <w:highlight w:val="none"/>
                <w:lang w:val="en-US" w:eastAsia="zh-CN"/>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11</w:t>
            </w:r>
            <w:r>
              <w:rPr>
                <w:rFonts w:hint="default" w:ascii="仿宋" w:hAnsi="仿宋" w:eastAsia="仿宋" w:cs="仿宋"/>
                <w:color w:val="000000" w:themeColor="text1"/>
                <w:highlight w:val="none"/>
                <w:lang w:val="en-US" w:eastAsia="zh-CN"/>
                <w14:textFill>
                  <w14:solidFill>
                    <w14:schemeClr w14:val="tx1"/>
                  </w14:solidFill>
                </w14:textFill>
              </w:rPr>
              <w:t>分</w:t>
            </w:r>
            <w:r>
              <w:rPr>
                <w:rFonts w:hint="eastAsia" w:ascii="仿宋" w:hAnsi="仿宋" w:eastAsia="仿宋" w:cs="仿宋"/>
                <w:color w:val="000000" w:themeColor="text1"/>
                <w:highlight w:val="none"/>
                <w:lang w:val="en-US" w:eastAsia="zh-CN"/>
                <w14:textFill>
                  <w14:solidFill>
                    <w14:schemeClr w14:val="tx1"/>
                  </w14:solidFill>
                </w14:textFill>
              </w:rPr>
              <w:t>；</w:t>
            </w:r>
          </w:p>
          <w:p>
            <w:pPr>
              <w:pStyle w:val="30"/>
              <w:spacing w:before="6" w:line="358" w:lineRule="exact"/>
              <w:ind w:left="4" w:leftChars="0" w:right="24" w:rightChars="0"/>
              <w:jc w:val="both"/>
              <w:rPr>
                <w:rFonts w:hint="default" w:ascii="仿宋" w:hAnsi="仿宋" w:eastAsia="仿宋" w:cs="仿宋"/>
                <w:color w:val="000000" w:themeColor="text1"/>
                <w:highlight w:val="none"/>
                <w:lang w:val="en-US" w:eastAsia="zh-CN"/>
                <w14:textFill>
                  <w14:solidFill>
                    <w14:schemeClr w14:val="tx1"/>
                  </w14:solidFill>
                </w14:textFill>
              </w:rPr>
            </w:pPr>
            <w:r>
              <w:rPr>
                <w:rFonts w:hint="default" w:ascii="仿宋" w:hAnsi="仿宋" w:eastAsia="仿宋" w:cs="仿宋"/>
                <w:color w:val="000000" w:themeColor="text1"/>
                <w:highlight w:val="none"/>
                <w:lang w:val="en-US" w:eastAsia="zh-CN"/>
                <w14:textFill>
                  <w14:solidFill>
                    <w14:schemeClr w14:val="tx1"/>
                  </w14:solidFill>
                </w14:textFill>
              </w:rPr>
              <w:t>对本项目的理解一般、认识程度一般及项目需求分析不太明确，得0-</w:t>
            </w:r>
            <w:r>
              <w:rPr>
                <w:rFonts w:hint="eastAsia" w:ascii="仿宋" w:hAnsi="仿宋" w:eastAsia="仿宋" w:cs="仿宋"/>
                <w:color w:val="000000" w:themeColor="text1"/>
                <w:highlight w:val="none"/>
                <w:lang w:val="en-US" w:eastAsia="zh-CN"/>
                <w14:textFill>
                  <w14:solidFill>
                    <w14:schemeClr w14:val="tx1"/>
                  </w14:solidFill>
                </w14:textFill>
              </w:rPr>
              <w:t>5</w:t>
            </w:r>
            <w:r>
              <w:rPr>
                <w:rFonts w:hint="default" w:ascii="仿宋" w:hAnsi="仿宋" w:eastAsia="仿宋" w:cs="仿宋"/>
                <w:color w:val="000000" w:themeColor="text1"/>
                <w:highlight w:val="none"/>
                <w:lang w:val="en-US" w:eastAsia="zh-CN"/>
                <w14:textFill>
                  <w14:solidFill>
                    <w14:schemeClr w14:val="tx1"/>
                  </w14:solidFill>
                </w14:textFill>
              </w:rPr>
              <w:t>分。</w:t>
            </w:r>
          </w:p>
        </w:tc>
        <w:tc>
          <w:tcPr>
            <w:tcW w:w="682" w:type="dxa"/>
            <w:tcBorders>
              <w:bottom w:val="single" w:color="auto" w:sz="4" w:space="0"/>
            </w:tcBorders>
            <w:noWrap w:val="0"/>
            <w:vAlign w:val="center"/>
          </w:tcPr>
          <w:p>
            <w:pPr>
              <w:pStyle w:val="30"/>
              <w:spacing w:before="6" w:line="358" w:lineRule="exact"/>
              <w:ind w:left="4" w:right="24"/>
              <w:jc w:val="center"/>
              <w:rPr>
                <w:rFonts w:hint="default" w:ascii="仿宋" w:hAnsi="仿宋" w:eastAsia="仿宋" w:cs="仿宋"/>
                <w:color w:val="FF0000"/>
                <w:highlight w:val="none"/>
                <w:lang w:val="en-US" w:eastAsia="zh-CN"/>
              </w:rPr>
            </w:pPr>
            <w:r>
              <w:rPr>
                <w:rFonts w:hint="eastAsia" w:ascii="仿宋" w:hAnsi="仿宋" w:eastAsia="仿宋" w:cs="仿宋"/>
                <w:color w:val="000000" w:themeColor="text1"/>
                <w:highlight w:val="none"/>
                <w:lang w:val="en-US" w:eastAsia="zh-CN"/>
                <w14:textFill>
                  <w14:solidFill>
                    <w14:schemeClr w14:val="tx1"/>
                  </w14:solidFill>
                </w14:textFill>
              </w:rPr>
              <w:t>0-15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6" w:hRule="atLeast"/>
        </w:trPr>
        <w:tc>
          <w:tcPr>
            <w:tcW w:w="857" w:type="dxa"/>
            <w:vMerge w:val="continue"/>
            <w:noWrap w:val="0"/>
            <w:vAlign w:val="top"/>
          </w:tcPr>
          <w:p>
            <w:pPr>
              <w:rPr>
                <w:rFonts w:hint="eastAsia" w:ascii="仿宋" w:hAnsi="仿宋" w:eastAsia="仿宋" w:cs="仿宋"/>
                <w:color w:val="FF0000"/>
                <w:sz w:val="24"/>
                <w:szCs w:val="24"/>
                <w:highlight w:val="none"/>
              </w:rPr>
            </w:pPr>
          </w:p>
        </w:tc>
        <w:tc>
          <w:tcPr>
            <w:tcW w:w="1168" w:type="dxa"/>
            <w:noWrap w:val="0"/>
            <w:vAlign w:val="center"/>
          </w:tcPr>
          <w:p>
            <w:pPr>
              <w:pStyle w:val="32"/>
              <w:spacing w:after="140"/>
              <w:jc w:val="center"/>
              <w:rPr>
                <w:rFonts w:hint="default" w:ascii="仿宋" w:hAnsi="仿宋" w:eastAsia="仿宋" w:cs="仿宋"/>
                <w:color w:val="FF0000"/>
                <w:sz w:val="24"/>
                <w:szCs w:val="24"/>
                <w:highlight w:val="none"/>
                <w:lang w:val="en-US" w:eastAsia="zh-CN"/>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质量保证体系</w:t>
            </w:r>
          </w:p>
        </w:tc>
        <w:tc>
          <w:tcPr>
            <w:tcW w:w="6331" w:type="dxa"/>
            <w:noWrap w:val="0"/>
            <w:vAlign w:val="center"/>
          </w:tcPr>
          <w:p>
            <w:pPr>
              <w:pStyle w:val="30"/>
              <w:spacing w:before="6" w:line="358" w:lineRule="exact"/>
              <w:ind w:left="4" w:leftChars="0" w:right="24" w:rightChars="0"/>
              <w:jc w:val="both"/>
              <w:rPr>
                <w:rFonts w:hint="default" w:ascii="仿宋" w:hAnsi="仿宋" w:eastAsia="仿宋" w:cs="仿宋"/>
                <w:color w:val="000000" w:themeColor="text1"/>
                <w:highlight w:val="none"/>
                <w:lang w:val="en-US" w:eastAsia="zh-CN"/>
                <w14:textFill>
                  <w14:solidFill>
                    <w14:schemeClr w14:val="tx1"/>
                  </w14:solidFill>
                </w14:textFill>
              </w:rPr>
            </w:pPr>
            <w:r>
              <w:rPr>
                <w:rFonts w:hint="default" w:ascii="仿宋" w:hAnsi="仿宋" w:eastAsia="仿宋" w:cs="仿宋"/>
                <w:color w:val="000000" w:themeColor="text1"/>
                <w:highlight w:val="none"/>
                <w:lang w:val="en-US" w:eastAsia="zh-CN"/>
                <w14:textFill>
                  <w14:solidFill>
                    <w14:schemeClr w14:val="tx1"/>
                  </w14:solidFill>
                </w14:textFill>
              </w:rPr>
              <w:t>质量保证措施的完整、可行性及合理性好，得</w:t>
            </w:r>
            <w:r>
              <w:rPr>
                <w:rFonts w:hint="eastAsia" w:ascii="仿宋" w:hAnsi="仿宋" w:eastAsia="仿宋" w:cs="仿宋"/>
                <w:color w:val="000000" w:themeColor="text1"/>
                <w:highlight w:val="none"/>
                <w:lang w:val="en-US" w:eastAsia="zh-CN"/>
                <w14:textFill>
                  <w14:solidFill>
                    <w14:schemeClr w14:val="tx1"/>
                  </w14:solidFill>
                </w14:textFill>
              </w:rPr>
              <w:t>10</w:t>
            </w:r>
            <w:r>
              <w:rPr>
                <w:rFonts w:hint="default" w:ascii="仿宋" w:hAnsi="仿宋" w:eastAsia="仿宋" w:cs="仿宋"/>
                <w:color w:val="000000" w:themeColor="text1"/>
                <w:highlight w:val="none"/>
                <w:lang w:val="en-US" w:eastAsia="zh-CN"/>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15</w:t>
            </w:r>
            <w:r>
              <w:rPr>
                <w:rFonts w:hint="default" w:ascii="仿宋" w:hAnsi="仿宋" w:eastAsia="仿宋" w:cs="仿宋"/>
                <w:color w:val="000000" w:themeColor="text1"/>
                <w:highlight w:val="none"/>
                <w:lang w:val="en-US" w:eastAsia="zh-CN"/>
                <w14:textFill>
                  <w14:solidFill>
                    <w14:schemeClr w14:val="tx1"/>
                  </w14:solidFill>
                </w14:textFill>
              </w:rPr>
              <w:t>分；</w:t>
            </w:r>
          </w:p>
          <w:p>
            <w:pPr>
              <w:pStyle w:val="30"/>
              <w:spacing w:before="6" w:line="358" w:lineRule="exact"/>
              <w:ind w:left="4" w:leftChars="0" w:right="24" w:rightChars="0"/>
              <w:jc w:val="both"/>
              <w:rPr>
                <w:rFonts w:hint="default" w:ascii="仿宋" w:hAnsi="仿宋" w:eastAsia="仿宋" w:cs="仿宋"/>
                <w:color w:val="FF0000"/>
                <w:highlight w:val="none"/>
                <w:lang w:val="en-US" w:eastAsia="zh-CN"/>
              </w:rPr>
            </w:pPr>
            <w:r>
              <w:rPr>
                <w:rFonts w:hint="default" w:ascii="仿宋" w:hAnsi="仿宋" w:eastAsia="仿宋" w:cs="仿宋"/>
                <w:color w:val="000000" w:themeColor="text1"/>
                <w:highlight w:val="none"/>
                <w:lang w:val="en-US" w:eastAsia="zh-CN"/>
                <w14:textFill>
                  <w14:solidFill>
                    <w14:schemeClr w14:val="tx1"/>
                  </w14:solidFill>
                </w14:textFill>
              </w:rPr>
              <w:t>质量保证措施的比较完整、可行性及合理性一般，得</w:t>
            </w:r>
            <w:r>
              <w:rPr>
                <w:rFonts w:hint="eastAsia" w:ascii="仿宋" w:hAnsi="仿宋" w:eastAsia="仿宋" w:cs="仿宋"/>
                <w:color w:val="000000" w:themeColor="text1"/>
                <w:highlight w:val="none"/>
                <w:lang w:val="en-US" w:eastAsia="zh-CN"/>
                <w14:textFill>
                  <w14:solidFill>
                    <w14:schemeClr w14:val="tx1"/>
                  </w14:solidFill>
                </w14:textFill>
              </w:rPr>
              <w:t>6</w:t>
            </w:r>
            <w:r>
              <w:rPr>
                <w:rFonts w:hint="default" w:ascii="仿宋" w:hAnsi="仿宋" w:eastAsia="仿宋" w:cs="仿宋"/>
                <w:color w:val="000000" w:themeColor="text1"/>
                <w:highlight w:val="none"/>
                <w:lang w:val="en-US" w:eastAsia="zh-CN"/>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11</w:t>
            </w:r>
            <w:r>
              <w:rPr>
                <w:rFonts w:hint="default" w:ascii="仿宋" w:hAnsi="仿宋" w:eastAsia="仿宋" w:cs="仿宋"/>
                <w:color w:val="000000" w:themeColor="text1"/>
                <w:highlight w:val="none"/>
                <w:lang w:val="en-US" w:eastAsia="zh-CN"/>
                <w14:textFill>
                  <w14:solidFill>
                    <w14:schemeClr w14:val="tx1"/>
                  </w14:solidFill>
                </w14:textFill>
              </w:rPr>
              <w:t>分；质量保证措施一般、可行性及合理性较差，得0-</w:t>
            </w:r>
            <w:r>
              <w:rPr>
                <w:rFonts w:hint="eastAsia" w:ascii="仿宋" w:hAnsi="仿宋" w:eastAsia="仿宋" w:cs="仿宋"/>
                <w:color w:val="000000" w:themeColor="text1"/>
                <w:highlight w:val="none"/>
                <w:lang w:val="en-US" w:eastAsia="zh-CN"/>
                <w14:textFill>
                  <w14:solidFill>
                    <w14:schemeClr w14:val="tx1"/>
                  </w14:solidFill>
                </w14:textFill>
              </w:rPr>
              <w:t>5</w:t>
            </w:r>
            <w:r>
              <w:rPr>
                <w:rFonts w:hint="default" w:ascii="仿宋" w:hAnsi="仿宋" w:eastAsia="仿宋" w:cs="仿宋"/>
                <w:color w:val="000000" w:themeColor="text1"/>
                <w:highlight w:val="none"/>
                <w:lang w:val="en-US" w:eastAsia="zh-CN"/>
                <w14:textFill>
                  <w14:solidFill>
                    <w14:schemeClr w14:val="tx1"/>
                  </w14:solidFill>
                </w14:textFill>
              </w:rPr>
              <w:t>分。</w:t>
            </w:r>
          </w:p>
        </w:tc>
        <w:tc>
          <w:tcPr>
            <w:tcW w:w="682" w:type="dxa"/>
            <w:noWrap w:val="0"/>
            <w:vAlign w:val="center"/>
          </w:tcPr>
          <w:p>
            <w:pPr>
              <w:widowControl/>
              <w:jc w:val="center"/>
              <w:textAlignment w:val="center"/>
              <w:rPr>
                <w:rFonts w:hint="default" w:ascii="仿宋" w:hAnsi="仿宋" w:eastAsia="仿宋" w:cs="仿宋"/>
                <w:color w:val="FF0000"/>
                <w:sz w:val="24"/>
                <w:szCs w:val="24"/>
                <w:highlight w:val="none"/>
                <w:lang w:val="en-US" w:eastAsia="zh-CN"/>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0-15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1" w:hRule="atLeast"/>
        </w:trPr>
        <w:tc>
          <w:tcPr>
            <w:tcW w:w="857" w:type="dxa"/>
            <w:vMerge w:val="continue"/>
            <w:noWrap w:val="0"/>
            <w:vAlign w:val="top"/>
          </w:tcPr>
          <w:p>
            <w:pPr>
              <w:rPr>
                <w:rFonts w:hint="eastAsia" w:ascii="仿宋" w:hAnsi="仿宋" w:eastAsia="仿宋" w:cs="仿宋"/>
                <w:color w:val="FF0000"/>
                <w:sz w:val="24"/>
                <w:szCs w:val="24"/>
                <w:highlight w:val="none"/>
              </w:rPr>
            </w:pPr>
          </w:p>
        </w:tc>
        <w:tc>
          <w:tcPr>
            <w:tcW w:w="1168" w:type="dxa"/>
            <w:noWrap w:val="0"/>
            <w:vAlign w:val="center"/>
          </w:tcPr>
          <w:p>
            <w:pPr>
              <w:pStyle w:val="32"/>
              <w:spacing w:after="140"/>
              <w:jc w:val="center"/>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项目重点难点分析、应对措施及合理化</w:t>
            </w:r>
          </w:p>
        </w:tc>
        <w:tc>
          <w:tcPr>
            <w:tcW w:w="6331" w:type="dxa"/>
            <w:noWrap w:val="0"/>
            <w:vAlign w:val="center"/>
          </w:tcPr>
          <w:p>
            <w:pPr>
              <w:pStyle w:val="30"/>
              <w:spacing w:before="6" w:line="358" w:lineRule="exact"/>
              <w:ind w:left="4" w:leftChars="0" w:right="24" w:rightChars="0"/>
              <w:jc w:val="both"/>
              <w:rPr>
                <w:rFonts w:hint="default" w:ascii="仿宋" w:hAnsi="仿宋" w:eastAsia="仿宋" w:cs="仿宋"/>
                <w:color w:val="000000" w:themeColor="text1"/>
                <w:highlight w:val="none"/>
                <w:lang w:val="en-US" w:eastAsia="zh-CN"/>
                <w14:textFill>
                  <w14:solidFill>
                    <w14:schemeClr w14:val="tx1"/>
                  </w14:solidFill>
                </w14:textFill>
              </w:rPr>
            </w:pPr>
            <w:r>
              <w:rPr>
                <w:rFonts w:hint="default" w:ascii="仿宋" w:hAnsi="仿宋" w:eastAsia="仿宋" w:cs="仿宋"/>
                <w:color w:val="000000" w:themeColor="text1"/>
                <w:highlight w:val="none"/>
                <w:lang w:val="en-US" w:eastAsia="zh-CN"/>
                <w14:textFill>
                  <w14:solidFill>
                    <w14:schemeClr w14:val="tx1"/>
                  </w14:solidFill>
                </w14:textFill>
              </w:rPr>
              <w:t>结合本项目的工作，提出具体的重点难点分析、应对措施及相关合理性建议、突发事件处理能力及措施：</w:t>
            </w:r>
          </w:p>
          <w:p>
            <w:pPr>
              <w:pStyle w:val="30"/>
              <w:spacing w:before="6" w:line="358" w:lineRule="exact"/>
              <w:ind w:left="4" w:leftChars="0" w:right="24" w:rightChars="0"/>
              <w:jc w:val="both"/>
              <w:rPr>
                <w:rFonts w:hint="default" w:ascii="仿宋" w:hAnsi="仿宋" w:eastAsia="仿宋" w:cs="仿宋"/>
                <w:color w:val="000000" w:themeColor="text1"/>
                <w:highlight w:val="none"/>
                <w:lang w:val="en-US" w:eastAsia="zh-CN"/>
                <w14:textFill>
                  <w14:solidFill>
                    <w14:schemeClr w14:val="tx1"/>
                  </w14:solidFill>
                </w14:textFill>
              </w:rPr>
            </w:pPr>
            <w:r>
              <w:rPr>
                <w:rFonts w:hint="default" w:ascii="仿宋" w:hAnsi="仿宋" w:eastAsia="仿宋" w:cs="仿宋"/>
                <w:color w:val="000000" w:themeColor="text1"/>
                <w:highlight w:val="none"/>
                <w:lang w:val="en-US" w:eastAsia="zh-CN"/>
                <w14:textFill>
                  <w14:solidFill>
                    <w14:schemeClr w14:val="tx1"/>
                  </w14:solidFill>
                </w14:textFill>
              </w:rPr>
              <w:t>措施科学合理，切实可行性强，得</w:t>
            </w:r>
            <w:r>
              <w:rPr>
                <w:rFonts w:hint="eastAsia" w:ascii="仿宋" w:hAnsi="仿宋" w:eastAsia="仿宋" w:cs="仿宋"/>
                <w:color w:val="000000" w:themeColor="text1"/>
                <w:highlight w:val="none"/>
                <w:lang w:val="en-US" w:eastAsia="zh-CN"/>
                <w14:textFill>
                  <w14:solidFill>
                    <w14:schemeClr w14:val="tx1"/>
                  </w14:solidFill>
                </w14:textFill>
              </w:rPr>
              <w:t>10</w:t>
            </w:r>
            <w:r>
              <w:rPr>
                <w:rFonts w:hint="default" w:ascii="仿宋" w:hAnsi="仿宋" w:eastAsia="仿宋" w:cs="仿宋"/>
                <w:color w:val="000000" w:themeColor="text1"/>
                <w:highlight w:val="none"/>
                <w:lang w:val="en-US" w:eastAsia="zh-CN"/>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15</w:t>
            </w:r>
            <w:r>
              <w:rPr>
                <w:rFonts w:hint="default" w:ascii="仿宋" w:hAnsi="仿宋" w:eastAsia="仿宋" w:cs="仿宋"/>
                <w:color w:val="000000" w:themeColor="text1"/>
                <w:highlight w:val="none"/>
                <w:lang w:val="en-US" w:eastAsia="zh-CN"/>
                <w14:textFill>
                  <w14:solidFill>
                    <w14:schemeClr w14:val="tx1"/>
                  </w14:solidFill>
                </w14:textFill>
              </w:rPr>
              <w:t>分；</w:t>
            </w:r>
          </w:p>
          <w:p>
            <w:pPr>
              <w:pStyle w:val="30"/>
              <w:spacing w:before="6" w:line="358" w:lineRule="exact"/>
              <w:ind w:left="4" w:leftChars="0" w:right="24" w:rightChars="0"/>
              <w:jc w:val="both"/>
              <w:rPr>
                <w:rFonts w:hint="default" w:ascii="仿宋" w:hAnsi="仿宋" w:eastAsia="仿宋" w:cs="仿宋"/>
                <w:color w:val="000000" w:themeColor="text1"/>
                <w:highlight w:val="none"/>
                <w:lang w:val="en-US" w:eastAsia="zh-CN"/>
                <w14:textFill>
                  <w14:solidFill>
                    <w14:schemeClr w14:val="tx1"/>
                  </w14:solidFill>
                </w14:textFill>
              </w:rPr>
            </w:pPr>
            <w:r>
              <w:rPr>
                <w:rFonts w:hint="default" w:ascii="仿宋" w:hAnsi="仿宋" w:eastAsia="仿宋" w:cs="仿宋"/>
                <w:color w:val="000000" w:themeColor="text1"/>
                <w:highlight w:val="none"/>
                <w:lang w:val="en-US" w:eastAsia="zh-CN"/>
                <w14:textFill>
                  <w14:solidFill>
                    <w14:schemeClr w14:val="tx1"/>
                  </w14:solidFill>
                </w14:textFill>
              </w:rPr>
              <w:t>措施比较合理，可行性一般的，得</w:t>
            </w:r>
            <w:r>
              <w:rPr>
                <w:rFonts w:hint="eastAsia" w:ascii="仿宋" w:hAnsi="仿宋" w:eastAsia="仿宋" w:cs="仿宋"/>
                <w:color w:val="000000" w:themeColor="text1"/>
                <w:highlight w:val="none"/>
                <w:lang w:val="en-US" w:eastAsia="zh-CN"/>
                <w14:textFill>
                  <w14:solidFill>
                    <w14:schemeClr w14:val="tx1"/>
                  </w14:solidFill>
                </w14:textFill>
              </w:rPr>
              <w:t>6</w:t>
            </w:r>
            <w:r>
              <w:rPr>
                <w:rFonts w:hint="default" w:ascii="仿宋" w:hAnsi="仿宋" w:eastAsia="仿宋" w:cs="仿宋"/>
                <w:color w:val="000000" w:themeColor="text1"/>
                <w:highlight w:val="none"/>
                <w:lang w:val="en-US" w:eastAsia="zh-CN"/>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11</w:t>
            </w:r>
            <w:r>
              <w:rPr>
                <w:rFonts w:hint="default" w:ascii="仿宋" w:hAnsi="仿宋" w:eastAsia="仿宋" w:cs="仿宋"/>
                <w:color w:val="000000" w:themeColor="text1"/>
                <w:highlight w:val="none"/>
                <w:lang w:val="en-US" w:eastAsia="zh-CN"/>
                <w14:textFill>
                  <w14:solidFill>
                    <w14:schemeClr w14:val="tx1"/>
                  </w14:solidFill>
                </w14:textFill>
              </w:rPr>
              <w:t>分；</w:t>
            </w:r>
          </w:p>
          <w:p>
            <w:pPr>
              <w:pStyle w:val="30"/>
              <w:spacing w:before="6" w:line="358" w:lineRule="exact"/>
              <w:ind w:left="4" w:leftChars="0" w:right="24" w:rightChars="0"/>
              <w:jc w:val="both"/>
              <w:rPr>
                <w:rFonts w:hint="default" w:ascii="仿宋" w:hAnsi="仿宋" w:eastAsia="仿宋" w:cs="仿宋"/>
                <w:color w:val="000000" w:themeColor="text1"/>
                <w:highlight w:val="none"/>
                <w:lang w:val="en-US" w:eastAsia="zh-CN"/>
                <w14:textFill>
                  <w14:solidFill>
                    <w14:schemeClr w14:val="tx1"/>
                  </w14:solidFill>
                </w14:textFill>
              </w:rPr>
            </w:pPr>
            <w:r>
              <w:rPr>
                <w:rFonts w:hint="default" w:ascii="仿宋" w:hAnsi="仿宋" w:eastAsia="仿宋" w:cs="仿宋"/>
                <w:color w:val="000000" w:themeColor="text1"/>
                <w:highlight w:val="none"/>
                <w:lang w:val="en-US" w:eastAsia="zh-CN"/>
                <w14:textFill>
                  <w14:solidFill>
                    <w14:schemeClr w14:val="tx1"/>
                  </w14:solidFill>
                </w14:textFill>
              </w:rPr>
              <w:t>措施较一般，可行性差的，得</w:t>
            </w:r>
            <w:r>
              <w:rPr>
                <w:rFonts w:hint="eastAsia" w:ascii="仿宋" w:hAnsi="仿宋" w:eastAsia="仿宋" w:cs="仿宋"/>
                <w:color w:val="000000" w:themeColor="text1"/>
                <w:highlight w:val="none"/>
                <w:lang w:val="en-US" w:eastAsia="zh-CN"/>
                <w14:textFill>
                  <w14:solidFill>
                    <w14:schemeClr w14:val="tx1"/>
                  </w14:solidFill>
                </w14:textFill>
              </w:rPr>
              <w:t>0-5</w:t>
            </w:r>
            <w:r>
              <w:rPr>
                <w:rFonts w:hint="default" w:ascii="仿宋" w:hAnsi="仿宋" w:eastAsia="仿宋" w:cs="仿宋"/>
                <w:color w:val="000000" w:themeColor="text1"/>
                <w:highlight w:val="none"/>
                <w:lang w:val="en-US" w:eastAsia="zh-CN"/>
                <w14:textFill>
                  <w14:solidFill>
                    <w14:schemeClr w14:val="tx1"/>
                  </w14:solidFill>
                </w14:textFill>
              </w:rPr>
              <w:t>分。</w:t>
            </w:r>
          </w:p>
        </w:tc>
        <w:tc>
          <w:tcPr>
            <w:tcW w:w="682" w:type="dxa"/>
            <w:noWrap w:val="0"/>
            <w:vAlign w:val="center"/>
          </w:tcPr>
          <w:p>
            <w:pPr>
              <w:widowControl/>
              <w:jc w:val="center"/>
              <w:textAlignment w:val="center"/>
              <w:rPr>
                <w:rFonts w:hint="default" w:ascii="仿宋" w:hAnsi="仿宋" w:eastAsia="仿宋" w:cs="仿宋"/>
                <w:color w:val="FF0000"/>
                <w:sz w:val="24"/>
                <w:szCs w:val="24"/>
                <w:highlight w:val="none"/>
                <w:lang w:val="en-US" w:eastAsia="zh-CN"/>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0-15</w:t>
            </w:r>
          </w:p>
        </w:tc>
      </w:tr>
    </w:tbl>
    <w:p>
      <w:pPr>
        <w:rPr>
          <w:rFonts w:hint="eastAsia"/>
          <w:lang w:val="en-US" w:eastAsia="zh-CN"/>
        </w:rPr>
      </w:pPr>
    </w:p>
    <w:p>
      <w:pPr>
        <w:pStyle w:val="8"/>
        <w:kinsoku w:val="0"/>
        <w:overflowPunct w:val="0"/>
        <w:spacing w:before="34"/>
        <w:ind w:left="0"/>
        <w:jc w:val="both"/>
        <w:rPr>
          <w:rFonts w:hint="eastAsia" w:ascii="仿宋" w:hAnsi="仿宋" w:eastAsia="仿宋" w:cs="仿宋"/>
          <w:highlight w:val="none"/>
        </w:rPr>
      </w:pPr>
      <w:r>
        <w:rPr>
          <w:rFonts w:hint="eastAsia" w:ascii="仿宋" w:hAnsi="仿宋" w:eastAsia="仿宋" w:cs="仿宋"/>
          <w:b/>
          <w:bCs/>
          <w:highlight w:val="none"/>
        </w:rPr>
        <w:t>投标报价计算备注：</w:t>
      </w:r>
    </w:p>
    <w:p>
      <w:pPr>
        <w:pStyle w:val="8"/>
        <w:numPr>
          <w:ilvl w:val="0"/>
          <w:numId w:val="8"/>
        </w:numPr>
        <w:kinsoku w:val="0"/>
        <w:overflowPunct w:val="0"/>
        <w:spacing w:before="34" w:line="357" w:lineRule="auto"/>
        <w:ind w:left="18" w:leftChars="0" w:right="126" w:rightChars="0" w:firstLine="578" w:firstLineChars="241"/>
        <w:rPr>
          <w:rFonts w:hint="eastAsia" w:hAnsi="仿宋" w:cs="仿宋"/>
          <w:color w:val="auto"/>
          <w:highlight w:val="none"/>
          <w:lang w:val="en-US" w:eastAsia="zh-CN"/>
        </w:rPr>
      </w:pPr>
      <w:r>
        <w:rPr>
          <w:rFonts w:hint="eastAsia" w:hAnsi="仿宋" w:cs="仿宋"/>
          <w:color w:val="auto"/>
          <w:highlight w:val="none"/>
          <w:lang w:val="en-US" w:eastAsia="zh-CN"/>
        </w:rPr>
        <w:t>根据《政府采购促进中小企业展暂行办法》（财库[2020]46号）文件规定，对小型和微型企业产品的价格给予10%的扣除，用扣除后的价格参与评审。</w:t>
      </w:r>
    </w:p>
    <w:p>
      <w:pPr>
        <w:pStyle w:val="8"/>
        <w:numPr>
          <w:ilvl w:val="0"/>
          <w:numId w:val="8"/>
        </w:numPr>
        <w:kinsoku w:val="0"/>
        <w:overflowPunct w:val="0"/>
        <w:spacing w:before="34" w:line="357" w:lineRule="auto"/>
        <w:ind w:left="18" w:leftChars="0" w:right="126" w:rightChars="0" w:firstLine="578" w:firstLineChars="241"/>
        <w:rPr>
          <w:rFonts w:hint="eastAsia" w:hAnsi="仿宋" w:cs="仿宋"/>
          <w:color w:val="auto"/>
          <w:highlight w:val="none"/>
          <w:lang w:eastAsia="zh-CN"/>
        </w:rPr>
      </w:pPr>
      <w:r>
        <w:rPr>
          <w:rFonts w:hint="eastAsia" w:hAnsi="仿宋" w:cs="仿宋"/>
          <w:color w:val="auto"/>
          <w:highlight w:val="none"/>
          <w:lang w:val="en-US" w:eastAsia="zh-CN"/>
        </w:rPr>
        <w:t>根据《财政部民政部中国残疾人联合会关于促进残疾人就业政府采购政策的通知》（财库【2017】141号）文件规定，对满足价格扣除条件且在投标文件中提交了《残疾人福利性单位声明函》等证明文件的供应商，其投标报价扣除10%后参与评审。</w:t>
      </w:r>
    </w:p>
    <w:p>
      <w:pPr>
        <w:pStyle w:val="8"/>
        <w:kinsoku w:val="0"/>
        <w:overflowPunct w:val="0"/>
        <w:spacing w:before="34" w:line="357" w:lineRule="auto"/>
        <w:ind w:right="126"/>
        <w:rPr>
          <w:rFonts w:hint="eastAsia" w:ascii="仿宋" w:hAnsi="仿宋" w:eastAsia="仿宋" w:cs="仿宋"/>
          <w:highlight w:val="none"/>
        </w:rPr>
      </w:pPr>
      <w:r>
        <w:rPr>
          <w:rFonts w:hint="eastAsia" w:ascii="仿宋" w:hAnsi="仿宋" w:eastAsia="仿宋" w:cs="仿宋"/>
          <w:b/>
          <w:bCs/>
          <w:highlight w:val="none"/>
        </w:rPr>
        <w:t>计分原则：</w:t>
      </w:r>
      <w:r>
        <w:rPr>
          <w:rFonts w:hint="eastAsia" w:ascii="仿宋" w:hAnsi="仿宋" w:eastAsia="仿宋" w:cs="仿宋"/>
          <w:highlight w:val="none"/>
        </w:rPr>
        <w:t>1、投标报价得分由磋商小组按照价格分计算公式计算分值。</w:t>
      </w:r>
    </w:p>
    <w:p>
      <w:pPr>
        <w:pStyle w:val="8"/>
        <w:kinsoku w:val="0"/>
        <w:overflowPunct w:val="0"/>
        <w:spacing w:before="34" w:line="357" w:lineRule="auto"/>
        <w:ind w:right="126" w:firstLine="1262" w:firstLineChars="526"/>
        <w:rPr>
          <w:rFonts w:hint="eastAsia" w:ascii="仿宋" w:hAnsi="仿宋" w:eastAsia="仿宋" w:cs="仿宋"/>
          <w:highlight w:val="none"/>
        </w:rPr>
      </w:pPr>
      <w:r>
        <w:rPr>
          <w:rFonts w:hint="eastAsia" w:ascii="仿宋" w:hAnsi="仿宋" w:eastAsia="仿宋" w:cs="仿宋"/>
          <w:highlight w:val="none"/>
        </w:rPr>
        <w:t>2、商务部分由磋商小组共同评定唯一的得分。</w:t>
      </w:r>
    </w:p>
    <w:p>
      <w:pPr>
        <w:pStyle w:val="8"/>
        <w:kinsoku w:val="0"/>
        <w:overflowPunct w:val="0"/>
        <w:spacing w:before="34" w:line="357" w:lineRule="auto"/>
        <w:ind w:right="126" w:firstLine="1262" w:firstLineChars="526"/>
        <w:rPr>
          <w:rFonts w:hint="eastAsia" w:ascii="仿宋" w:hAnsi="仿宋" w:eastAsia="仿宋" w:cs="仿宋"/>
          <w:highlight w:val="none"/>
        </w:rPr>
      </w:pPr>
      <w:r>
        <w:rPr>
          <w:rFonts w:hint="eastAsia" w:ascii="仿宋" w:hAnsi="仿宋" w:eastAsia="仿宋" w:cs="仿宋"/>
          <w:highlight w:val="none"/>
        </w:rPr>
        <w:t>3、技术部分由磋商小组专家分别打分后，取平均分作为技术分最后得分。</w:t>
      </w:r>
    </w:p>
    <w:p>
      <w:pPr>
        <w:pStyle w:val="8"/>
        <w:kinsoku w:val="0"/>
        <w:overflowPunct w:val="0"/>
        <w:spacing w:before="34" w:line="357" w:lineRule="auto"/>
        <w:ind w:left="836" w:leftChars="398" w:right="126" w:firstLine="540" w:firstLineChars="225"/>
        <w:rPr>
          <w:rFonts w:hint="eastAsia" w:ascii="仿宋" w:hAnsi="仿宋" w:eastAsia="仿宋" w:cs="仿宋"/>
          <w:highlight w:val="none"/>
        </w:rPr>
      </w:pPr>
      <w:r>
        <w:rPr>
          <w:rFonts w:hint="eastAsia" w:ascii="仿宋" w:hAnsi="仿宋" w:eastAsia="仿宋" w:cs="仿宋"/>
          <w:highlight w:val="none"/>
        </w:rPr>
        <w:t>4、供应商综合评分最终总分值为投标报价、商务部分和技术部分三部分得分总和。评分计算保留 2 位小数，第三位小数四舍五入。</w:t>
      </w:r>
    </w:p>
    <w:p>
      <w:pPr>
        <w:pStyle w:val="8"/>
        <w:kinsoku w:val="0"/>
        <w:overflowPunct w:val="0"/>
        <w:spacing w:before="34" w:line="357" w:lineRule="auto"/>
        <w:ind w:left="836" w:leftChars="398" w:right="126" w:firstLine="540" w:firstLineChars="225"/>
        <w:rPr>
          <w:rFonts w:hint="eastAsia" w:ascii="仿宋" w:hAnsi="仿宋" w:eastAsia="仿宋" w:cs="仿宋"/>
          <w:highlight w:val="none"/>
        </w:rPr>
      </w:pPr>
      <w:r>
        <w:rPr>
          <w:rFonts w:hint="eastAsia" w:ascii="仿宋" w:hAnsi="仿宋" w:eastAsia="仿宋" w:cs="仿宋"/>
          <w:highlight w:val="none"/>
        </w:rPr>
        <w:t>5、得分相同的，按投标报价由低到高顺序排列。得分且投标报价相同的，按技术指标优劣顺序排列。</w:t>
      </w:r>
    </w:p>
    <w:p>
      <w:pPr>
        <w:pStyle w:val="8"/>
        <w:kinsoku w:val="0"/>
        <w:overflowPunct w:val="0"/>
        <w:spacing w:before="34" w:line="357" w:lineRule="auto"/>
        <w:ind w:left="836" w:leftChars="398" w:right="126" w:firstLine="540" w:firstLineChars="225"/>
        <w:rPr>
          <w:rFonts w:hint="eastAsia" w:ascii="仿宋" w:hAnsi="仿宋" w:eastAsia="仿宋" w:cs="仿宋"/>
          <w:highlight w:val="none"/>
        </w:rPr>
      </w:pPr>
      <w:r>
        <w:rPr>
          <w:rFonts w:hint="eastAsia" w:ascii="仿宋" w:hAnsi="仿宋" w:eastAsia="仿宋" w:cs="仿宋"/>
          <w:highlight w:val="none"/>
        </w:rPr>
        <w:t>6、磋商小组按评分排序确定中标人，同时提交评标报告，由磋商小组成员集体签名。第一中标候选人放弃中标后，由第二名作为中标候选人，依次类推。</w:t>
      </w:r>
    </w:p>
    <w:p>
      <w:pPr>
        <w:pStyle w:val="8"/>
        <w:kinsoku w:val="0"/>
        <w:overflowPunct w:val="0"/>
        <w:spacing w:before="34" w:line="357" w:lineRule="auto"/>
        <w:ind w:right="126" w:firstLine="1262" w:firstLineChars="526"/>
        <w:rPr>
          <w:rFonts w:hint="eastAsia" w:ascii="仿宋" w:hAnsi="仿宋" w:eastAsia="仿宋" w:cs="仿宋"/>
          <w:highlight w:val="none"/>
        </w:rPr>
      </w:pPr>
      <w:r>
        <w:rPr>
          <w:rFonts w:hint="eastAsia" w:ascii="仿宋" w:hAnsi="仿宋" w:eastAsia="仿宋" w:cs="仿宋"/>
          <w:highlight w:val="none"/>
        </w:rPr>
        <w:t>7、评标中如遇未考虑到的问题，由磋商小组成员集体研究处理决定。</w:t>
      </w:r>
    </w:p>
    <w:p>
      <w:pPr>
        <w:pStyle w:val="8"/>
        <w:kinsoku w:val="0"/>
        <w:overflowPunct w:val="0"/>
        <w:spacing w:before="34"/>
        <w:jc w:val="both"/>
        <w:rPr>
          <w:rFonts w:hint="eastAsia" w:ascii="仿宋" w:hAnsi="仿宋" w:eastAsia="仿宋" w:cs="仿宋"/>
          <w:b/>
          <w:bCs/>
          <w:highlight w:val="none"/>
        </w:rPr>
      </w:pPr>
      <w:r>
        <w:rPr>
          <w:rFonts w:hint="eastAsia" w:ascii="仿宋" w:hAnsi="仿宋" w:eastAsia="仿宋" w:cs="仿宋"/>
          <w:b/>
          <w:bCs/>
          <w:highlight w:val="none"/>
        </w:rPr>
        <w:t xml:space="preserve"> 其他注意事项：</w:t>
      </w:r>
    </w:p>
    <w:p>
      <w:pPr>
        <w:pStyle w:val="8"/>
        <w:kinsoku w:val="0"/>
        <w:overflowPunct w:val="0"/>
        <w:spacing w:before="34" w:line="357" w:lineRule="auto"/>
        <w:ind w:right="126" w:firstLine="480"/>
        <w:rPr>
          <w:rFonts w:hint="eastAsia" w:ascii="仿宋" w:hAnsi="仿宋" w:eastAsia="仿宋" w:cs="仿宋"/>
          <w:highlight w:val="none"/>
        </w:rPr>
      </w:pPr>
      <w:r>
        <w:rPr>
          <w:rFonts w:hint="eastAsia" w:ascii="仿宋" w:hAnsi="仿宋" w:eastAsia="仿宋" w:cs="仿宋"/>
          <w:highlight w:val="none"/>
        </w:rPr>
        <w:t>（1）评审工作在磋商小组内独立进行。</w:t>
      </w:r>
    </w:p>
    <w:p>
      <w:pPr>
        <w:pStyle w:val="8"/>
        <w:kinsoku w:val="0"/>
        <w:overflowPunct w:val="0"/>
        <w:spacing w:before="34" w:line="357" w:lineRule="auto"/>
        <w:ind w:right="126" w:firstLine="480"/>
        <w:rPr>
          <w:rFonts w:hint="eastAsia" w:ascii="仿宋" w:hAnsi="仿宋" w:eastAsia="仿宋" w:cs="仿宋"/>
          <w:highlight w:val="none"/>
        </w:rPr>
      </w:pPr>
      <w:r>
        <w:rPr>
          <w:rFonts w:hint="eastAsia" w:ascii="仿宋" w:hAnsi="仿宋" w:eastAsia="仿宋" w:cs="仿宋"/>
          <w:highlight w:val="none"/>
        </w:rPr>
        <w:t>（2）为了有助于对投标进行审查、评估和比较，磋商小组有权向供应商质疑、查看有关资质原件、供应商解释投标内容。供应商有责任按照磋商小组通知的时间、地点指派专人进行答疑、澄清、提供有关资质原件。</w:t>
      </w:r>
    </w:p>
    <w:p>
      <w:pPr>
        <w:pStyle w:val="8"/>
        <w:kinsoku w:val="0"/>
        <w:overflowPunct w:val="0"/>
        <w:spacing w:before="34" w:line="357" w:lineRule="auto"/>
        <w:ind w:right="126" w:firstLine="480"/>
        <w:rPr>
          <w:rFonts w:hint="eastAsia" w:ascii="仿宋" w:hAnsi="仿宋" w:eastAsia="仿宋" w:cs="仿宋"/>
          <w:highlight w:val="none"/>
        </w:rPr>
      </w:pPr>
      <w:r>
        <w:rPr>
          <w:rFonts w:hint="eastAsia" w:ascii="仿宋" w:hAnsi="仿宋" w:eastAsia="仿宋" w:cs="仿宋"/>
          <w:highlight w:val="none"/>
        </w:rPr>
        <w:t>（3）在开标、评标期间，供应商不得向磋商小组成员询问情况，不得进行影响评标结果的活动。</w:t>
      </w:r>
    </w:p>
    <w:p>
      <w:pPr>
        <w:pStyle w:val="8"/>
        <w:kinsoku w:val="0"/>
        <w:overflowPunct w:val="0"/>
        <w:spacing w:before="34" w:line="357" w:lineRule="auto"/>
        <w:ind w:right="126" w:firstLine="480"/>
        <w:rPr>
          <w:rFonts w:hint="eastAsia" w:ascii="仿宋" w:hAnsi="仿宋" w:eastAsia="仿宋" w:cs="仿宋"/>
          <w:highlight w:val="none"/>
        </w:rPr>
      </w:pPr>
      <w:r>
        <w:rPr>
          <w:rFonts w:hint="eastAsia" w:ascii="仿宋" w:hAnsi="仿宋" w:eastAsia="仿宋" w:cs="仿宋"/>
          <w:highlight w:val="none"/>
        </w:rPr>
        <w:t>（4）采购人、招标机构及磋商小组不向落标方解释原因，不保证最低价中标，不退还磋商响应性文件。</w:t>
      </w:r>
    </w:p>
    <w:p>
      <w:pPr>
        <w:pStyle w:val="8"/>
        <w:kinsoku w:val="0"/>
        <w:overflowPunct w:val="0"/>
        <w:spacing w:before="34" w:line="357" w:lineRule="auto"/>
        <w:ind w:right="126" w:firstLine="480"/>
        <w:rPr>
          <w:rFonts w:hint="eastAsia" w:ascii="仿宋" w:hAnsi="仿宋" w:eastAsia="仿宋" w:cs="仿宋"/>
          <w:highlight w:val="none"/>
        </w:rPr>
      </w:pPr>
      <w:r>
        <w:rPr>
          <w:rFonts w:hint="eastAsia" w:ascii="仿宋" w:hAnsi="仿宋" w:eastAsia="仿宋" w:cs="仿宋"/>
          <w:highlight w:val="none"/>
        </w:rPr>
        <w:t>（5）在招标过程中如供应商有不正当行为时，磋商小组有权中止其投标资格。</w:t>
      </w:r>
    </w:p>
    <w:p>
      <w:pPr>
        <w:pStyle w:val="8"/>
        <w:kinsoku w:val="0"/>
        <w:overflowPunct w:val="0"/>
        <w:spacing w:before="34" w:line="357" w:lineRule="auto"/>
        <w:ind w:left="598"/>
        <w:rPr>
          <w:rFonts w:hint="eastAsia" w:ascii="仿宋" w:hAnsi="仿宋" w:eastAsia="仿宋" w:cs="仿宋"/>
          <w:highlight w:val="none"/>
        </w:rPr>
      </w:pPr>
      <w:r>
        <w:rPr>
          <w:rFonts w:hint="eastAsia" w:ascii="仿宋" w:hAnsi="仿宋" w:eastAsia="仿宋" w:cs="仿宋"/>
          <w:b/>
          <w:bCs/>
          <w:highlight w:val="none"/>
        </w:rPr>
        <w:t>本评标办法解释权归采购人。</w:t>
      </w:r>
    </w:p>
    <w:p>
      <w:pPr>
        <w:pStyle w:val="33"/>
        <w:numPr>
          <w:ilvl w:val="0"/>
          <w:numId w:val="0"/>
        </w:numPr>
        <w:spacing w:before="0" w:after="0"/>
        <w:jc w:val="center"/>
        <w:rPr>
          <w:rFonts w:hint="eastAsia" w:ascii="仿宋" w:hAnsi="仿宋" w:eastAsia="仿宋" w:cs="仿宋"/>
          <w:highlight w:val="none"/>
        </w:rPr>
      </w:pPr>
      <w:r>
        <w:rPr>
          <w:rFonts w:hint="eastAsia" w:ascii="仿宋" w:hAnsi="仿宋" w:eastAsia="仿宋" w:cs="仿宋"/>
          <w:highlight w:val="none"/>
        </w:rPr>
        <w:br w:type="page"/>
      </w:r>
      <w:bookmarkStart w:id="23" w:name="_Toc14707"/>
      <w:r>
        <w:rPr>
          <w:rFonts w:hint="eastAsia" w:ascii="仿宋" w:hAnsi="仿宋" w:eastAsia="仿宋" w:cs="仿宋"/>
          <w:b/>
          <w:bCs/>
          <w:color w:val="auto"/>
          <w:kern w:val="44"/>
          <w:sz w:val="32"/>
          <w:szCs w:val="44"/>
          <w:highlight w:val="none"/>
          <w:lang w:val="en-US" w:eastAsia="zh-CN" w:bidi="ar-SA"/>
        </w:rPr>
        <w:t>第四章 磋商内容</w:t>
      </w:r>
      <w:bookmarkEnd w:id="23"/>
      <w:bookmarkStart w:id="24" w:name="_Toc14342"/>
    </w:p>
    <w:p>
      <w:pPr>
        <w:pStyle w:val="33"/>
        <w:numPr>
          <w:ilvl w:val="0"/>
          <w:numId w:val="0"/>
        </w:numPr>
        <w:spacing w:before="0" w:after="0"/>
        <w:jc w:val="both"/>
        <w:rPr>
          <w:rFonts w:hint="eastAsia" w:ascii="仿宋" w:hAnsi="仿宋" w:eastAsia="仿宋" w:cs="仿宋"/>
          <w:b w:val="0"/>
          <w:bCs w:val="0"/>
          <w:color w:val="auto"/>
          <w:kern w:val="44"/>
          <w:sz w:val="24"/>
          <w:szCs w:val="24"/>
          <w:highlight w:val="none"/>
          <w:lang w:val="en-US" w:eastAsia="zh-CN" w:bidi="ar-SA"/>
        </w:rPr>
      </w:pPr>
      <w:r>
        <w:rPr>
          <w:rFonts w:hint="eastAsia" w:ascii="仿宋" w:hAnsi="仿宋" w:eastAsia="仿宋" w:cs="仿宋"/>
          <w:b w:val="0"/>
          <w:bCs w:val="0"/>
          <w:color w:val="auto"/>
          <w:kern w:val="44"/>
          <w:sz w:val="24"/>
          <w:szCs w:val="24"/>
          <w:highlight w:val="none"/>
          <w:lang w:val="en-US" w:eastAsia="zh-CN" w:bidi="ar-SA"/>
        </w:rPr>
        <w:t>1、项目名称</w:t>
      </w:r>
    </w:p>
    <w:p>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ind w:firstLine="480" w:firstLineChars="200"/>
        <w:jc w:val="left"/>
        <w:textAlignment w:val="auto"/>
        <w:rPr>
          <w:rFonts w:hint="eastAsia" w:ascii="仿宋" w:hAnsi="仿宋" w:eastAsia="仿宋" w:cs="仿宋"/>
          <w:b w:val="0"/>
          <w:bCs w:val="0"/>
          <w:color w:val="auto"/>
          <w:kern w:val="44"/>
          <w:sz w:val="24"/>
          <w:szCs w:val="24"/>
          <w:highlight w:val="none"/>
          <w:lang w:val="en-US" w:eastAsia="zh-CN" w:bidi="ar-SA"/>
        </w:rPr>
      </w:pPr>
      <w:r>
        <w:rPr>
          <w:rFonts w:hint="eastAsia" w:ascii="仿宋" w:hAnsi="仿宋" w:eastAsia="仿宋" w:cs="仿宋"/>
          <w:b w:val="0"/>
          <w:bCs w:val="0"/>
          <w:color w:val="auto"/>
          <w:kern w:val="44"/>
          <w:sz w:val="24"/>
          <w:szCs w:val="24"/>
          <w:highlight w:val="none"/>
          <w:lang w:val="en-US" w:eastAsia="zh-CN" w:bidi="ar-SA"/>
        </w:rPr>
        <w:t>拜城县域内农村公路上涉河湖桥梁洪水影响评价复核报告编制</w:t>
      </w:r>
    </w:p>
    <w:p>
      <w:pPr>
        <w:pStyle w:val="33"/>
        <w:numPr>
          <w:ilvl w:val="0"/>
          <w:numId w:val="0"/>
        </w:numPr>
        <w:spacing w:before="0" w:after="0"/>
        <w:jc w:val="both"/>
        <w:rPr>
          <w:rFonts w:hint="eastAsia" w:ascii="仿宋" w:hAnsi="仿宋" w:eastAsia="仿宋" w:cs="仿宋"/>
          <w:b w:val="0"/>
          <w:bCs w:val="0"/>
          <w:color w:val="auto"/>
          <w:kern w:val="44"/>
          <w:sz w:val="24"/>
          <w:szCs w:val="24"/>
          <w:highlight w:val="none"/>
          <w:lang w:val="en-US" w:eastAsia="zh-CN" w:bidi="ar-SA"/>
        </w:rPr>
      </w:pPr>
      <w:r>
        <w:rPr>
          <w:rFonts w:hint="eastAsia" w:ascii="仿宋" w:hAnsi="仿宋" w:eastAsia="仿宋" w:cs="仿宋"/>
          <w:b w:val="0"/>
          <w:bCs w:val="0"/>
          <w:color w:val="auto"/>
          <w:kern w:val="44"/>
          <w:sz w:val="24"/>
          <w:szCs w:val="24"/>
          <w:highlight w:val="none"/>
          <w:lang w:val="en-US" w:eastAsia="zh-CN" w:bidi="ar-SA"/>
        </w:rPr>
        <w:t>2、磋商内容</w:t>
      </w:r>
    </w:p>
    <w:p>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ind w:firstLine="480" w:firstLineChars="200"/>
        <w:jc w:val="left"/>
        <w:textAlignment w:val="auto"/>
        <w:rPr>
          <w:rFonts w:hint="eastAsia" w:ascii="仿宋" w:hAnsi="仿宋" w:eastAsia="仿宋" w:cs="仿宋"/>
          <w:b w:val="0"/>
          <w:bCs w:val="0"/>
          <w:color w:val="auto"/>
          <w:kern w:val="44"/>
          <w:sz w:val="24"/>
          <w:szCs w:val="24"/>
          <w:highlight w:val="none"/>
          <w:lang w:val="en-US" w:eastAsia="zh-CN" w:bidi="ar-SA"/>
        </w:rPr>
      </w:pPr>
      <w:r>
        <w:rPr>
          <w:rFonts w:hint="eastAsia" w:ascii="仿宋" w:hAnsi="仿宋" w:eastAsia="仿宋" w:cs="仿宋"/>
          <w:b w:val="0"/>
          <w:bCs w:val="0"/>
          <w:color w:val="auto"/>
          <w:kern w:val="44"/>
          <w:sz w:val="24"/>
          <w:szCs w:val="24"/>
          <w:highlight w:val="none"/>
          <w:lang w:val="en-US" w:eastAsia="zh-CN" w:bidi="ar-SA"/>
        </w:rPr>
        <w:t>负责拜城县域内32座涉河湖桥梁洪水影响评价复核报告编制所有工作，对相关部门的审查意见进行回复、修改，根据编制规范要求深度进行编写，报告复核要求。</w:t>
      </w:r>
    </w:p>
    <w:p>
      <w:pPr>
        <w:pStyle w:val="33"/>
        <w:numPr>
          <w:ilvl w:val="0"/>
          <w:numId w:val="0"/>
        </w:numPr>
        <w:spacing w:before="0" w:after="0"/>
        <w:jc w:val="both"/>
        <w:rPr>
          <w:rFonts w:hint="eastAsia" w:ascii="仿宋" w:hAnsi="仿宋" w:eastAsia="仿宋" w:cs="仿宋"/>
          <w:b w:val="0"/>
          <w:bCs w:val="0"/>
          <w:color w:val="auto"/>
          <w:kern w:val="44"/>
          <w:sz w:val="24"/>
          <w:szCs w:val="24"/>
          <w:highlight w:val="none"/>
          <w:lang w:val="en-US" w:eastAsia="zh-CN" w:bidi="ar-SA"/>
        </w:rPr>
      </w:pPr>
      <w:r>
        <w:rPr>
          <w:rFonts w:hint="eastAsia" w:ascii="仿宋" w:hAnsi="仿宋" w:eastAsia="仿宋" w:cs="仿宋"/>
          <w:b w:val="0"/>
          <w:bCs w:val="0"/>
          <w:color w:val="auto"/>
          <w:kern w:val="44"/>
          <w:sz w:val="24"/>
          <w:szCs w:val="24"/>
          <w:highlight w:val="none"/>
          <w:lang w:val="en-US" w:eastAsia="zh-CN" w:bidi="ar-SA"/>
        </w:rPr>
        <w:t>3、服务期</w:t>
      </w:r>
    </w:p>
    <w:p>
      <w:pPr>
        <w:pStyle w:val="33"/>
        <w:numPr>
          <w:ilvl w:val="0"/>
          <w:numId w:val="0"/>
        </w:numPr>
        <w:spacing w:before="0" w:after="0"/>
        <w:ind w:firstLine="480" w:firstLineChars="200"/>
        <w:jc w:val="both"/>
        <w:rPr>
          <w:rFonts w:hint="default" w:ascii="仿宋" w:hAnsi="仿宋" w:eastAsia="仿宋" w:cs="仿宋"/>
          <w:b w:val="0"/>
          <w:bCs w:val="0"/>
          <w:color w:val="FF0000"/>
          <w:kern w:val="44"/>
          <w:sz w:val="24"/>
          <w:szCs w:val="24"/>
          <w:highlight w:val="none"/>
          <w:lang w:val="en-US" w:eastAsia="zh-CN" w:bidi="ar-SA"/>
        </w:rPr>
      </w:pPr>
      <w:r>
        <w:rPr>
          <w:rFonts w:hint="eastAsia" w:ascii="仿宋" w:hAnsi="仿宋" w:eastAsia="仿宋" w:cs="仿宋"/>
          <w:b w:val="0"/>
          <w:bCs w:val="0"/>
          <w:color w:val="000000" w:themeColor="text1"/>
          <w:kern w:val="44"/>
          <w:sz w:val="24"/>
          <w:szCs w:val="24"/>
          <w:highlight w:val="none"/>
          <w:lang w:val="en-US" w:eastAsia="zh-CN" w:bidi="ar-SA"/>
          <w14:textFill>
            <w14:solidFill>
              <w14:schemeClr w14:val="tx1"/>
            </w14:solidFill>
          </w14:textFill>
        </w:rPr>
        <w:t>从签订合同日期15个工作日内编制完成报告书并上报上级水利部门审查，以及合同条款、技术规范及标准、项目采购需求、本采购文件约定的全部内容并配合采购人完成与此服务相关的全部工作责任和义务。</w:t>
      </w:r>
    </w:p>
    <w:p>
      <w:pPr>
        <w:pStyle w:val="33"/>
        <w:numPr>
          <w:ilvl w:val="0"/>
          <w:numId w:val="0"/>
        </w:numPr>
        <w:spacing w:before="0" w:after="0"/>
        <w:jc w:val="both"/>
        <w:rPr>
          <w:rFonts w:hint="eastAsia" w:ascii="仿宋" w:hAnsi="仿宋" w:eastAsia="仿宋" w:cs="仿宋"/>
          <w:b w:val="0"/>
          <w:bCs w:val="0"/>
          <w:color w:val="auto"/>
          <w:kern w:val="44"/>
          <w:sz w:val="24"/>
          <w:szCs w:val="24"/>
          <w:highlight w:val="none"/>
          <w:lang w:val="en-US" w:eastAsia="zh-CN" w:bidi="ar-SA"/>
        </w:rPr>
      </w:pPr>
      <w:r>
        <w:rPr>
          <w:rFonts w:hint="eastAsia" w:ascii="仿宋" w:hAnsi="仿宋" w:eastAsia="仿宋" w:cs="仿宋"/>
          <w:b w:val="0"/>
          <w:bCs w:val="0"/>
          <w:color w:val="auto"/>
          <w:kern w:val="44"/>
          <w:sz w:val="24"/>
          <w:szCs w:val="24"/>
          <w:highlight w:val="none"/>
          <w:lang w:val="en-US" w:eastAsia="zh-CN" w:bidi="ar-SA"/>
        </w:rPr>
        <w:t>4、质量标准</w:t>
      </w:r>
    </w:p>
    <w:p>
      <w:pPr>
        <w:pStyle w:val="33"/>
        <w:numPr>
          <w:ilvl w:val="0"/>
          <w:numId w:val="0"/>
        </w:numPr>
        <w:spacing w:before="0" w:after="0"/>
        <w:ind w:firstLine="480" w:firstLineChars="200"/>
        <w:jc w:val="both"/>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符合国家及行业规范标准。</w:t>
      </w:r>
    </w:p>
    <w:p>
      <w:pPr>
        <w:pStyle w:val="33"/>
        <w:numPr>
          <w:ilvl w:val="0"/>
          <w:numId w:val="0"/>
        </w:numPr>
        <w:spacing w:before="0" w:after="0"/>
        <w:jc w:val="both"/>
        <w:rPr>
          <w:rFonts w:hint="eastAsia" w:ascii="仿宋" w:hAnsi="仿宋" w:eastAsia="仿宋" w:cs="仿宋"/>
          <w:b w:val="0"/>
          <w:bCs w:val="0"/>
          <w:color w:val="auto"/>
          <w:kern w:val="44"/>
          <w:sz w:val="24"/>
          <w:szCs w:val="24"/>
          <w:highlight w:val="none"/>
          <w:lang w:val="en-US" w:eastAsia="zh-CN" w:bidi="ar-SA"/>
        </w:rPr>
      </w:pPr>
      <w:r>
        <w:rPr>
          <w:rFonts w:hint="eastAsia" w:ascii="仿宋" w:hAnsi="仿宋" w:eastAsia="仿宋" w:cs="仿宋"/>
          <w:b w:val="0"/>
          <w:bCs w:val="0"/>
          <w:color w:val="auto"/>
          <w:kern w:val="44"/>
          <w:sz w:val="24"/>
          <w:szCs w:val="24"/>
          <w:highlight w:val="none"/>
          <w:lang w:val="en-US" w:eastAsia="zh-CN" w:bidi="ar-SA"/>
        </w:rPr>
        <w:t>5、质量保证：</w:t>
      </w:r>
    </w:p>
    <w:p>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ind w:firstLine="480" w:firstLineChars="200"/>
        <w:jc w:val="left"/>
        <w:textAlignment w:val="auto"/>
        <w:rPr>
          <w:rFonts w:hint="eastAsia" w:ascii="仿宋" w:hAnsi="仿宋" w:eastAsia="仿宋" w:cs="仿宋"/>
          <w:b w:val="0"/>
          <w:bCs w:val="0"/>
          <w:color w:val="000000" w:themeColor="text1"/>
          <w:kern w:val="44"/>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kern w:val="44"/>
          <w:sz w:val="24"/>
          <w:szCs w:val="24"/>
          <w:highlight w:val="none"/>
          <w:lang w:val="en-US" w:eastAsia="zh-CN" w:bidi="ar-SA"/>
          <w14:textFill>
            <w14:solidFill>
              <w14:schemeClr w14:val="tx1"/>
            </w14:solidFill>
          </w14:textFill>
        </w:rPr>
        <w:t>自验收合格之日起，投标单位应对本项目编制的专项报告提供相应年限免费咨询期。</w:t>
      </w:r>
    </w:p>
    <w:p>
      <w:pPr>
        <w:pStyle w:val="33"/>
        <w:numPr>
          <w:ilvl w:val="0"/>
          <w:numId w:val="0"/>
        </w:numPr>
        <w:spacing w:before="0" w:after="0"/>
        <w:jc w:val="both"/>
        <w:rPr>
          <w:rFonts w:hint="eastAsia" w:ascii="仿宋" w:hAnsi="仿宋" w:eastAsia="仿宋" w:cs="仿宋"/>
          <w:b w:val="0"/>
          <w:bCs w:val="0"/>
          <w:color w:val="auto"/>
          <w:kern w:val="44"/>
          <w:sz w:val="24"/>
          <w:szCs w:val="24"/>
          <w:highlight w:val="none"/>
          <w:lang w:val="en-US" w:eastAsia="zh-CN" w:bidi="ar-SA"/>
        </w:rPr>
      </w:pPr>
      <w:r>
        <w:rPr>
          <w:rFonts w:hint="eastAsia" w:ascii="仿宋" w:hAnsi="仿宋" w:eastAsia="仿宋" w:cs="仿宋"/>
          <w:b w:val="0"/>
          <w:bCs w:val="0"/>
          <w:color w:val="auto"/>
          <w:kern w:val="44"/>
          <w:sz w:val="24"/>
          <w:szCs w:val="24"/>
          <w:highlight w:val="none"/>
          <w:lang w:val="en-US" w:eastAsia="zh-CN" w:bidi="ar-SA"/>
        </w:rPr>
        <w:t>6、付款方式</w:t>
      </w:r>
    </w:p>
    <w:p>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ind w:firstLine="480" w:firstLineChars="200"/>
        <w:jc w:val="left"/>
        <w:textAlignment w:val="auto"/>
        <w:rPr>
          <w:rFonts w:hint="eastAsia" w:ascii="仿宋" w:hAnsi="仿宋" w:eastAsia="仿宋" w:cs="仿宋"/>
          <w:b w:val="0"/>
          <w:bCs w:val="0"/>
          <w:color w:val="auto"/>
          <w:kern w:val="44"/>
          <w:sz w:val="24"/>
          <w:szCs w:val="24"/>
          <w:highlight w:val="none"/>
          <w:lang w:val="en-US" w:eastAsia="zh-CN" w:bidi="ar-SA"/>
        </w:rPr>
      </w:pPr>
      <w:r>
        <w:rPr>
          <w:rFonts w:hint="eastAsia" w:ascii="仿宋" w:hAnsi="仿宋" w:eastAsia="仿宋" w:cs="仿宋"/>
          <w:b w:val="0"/>
          <w:bCs w:val="0"/>
          <w:color w:val="auto"/>
          <w:kern w:val="44"/>
          <w:sz w:val="24"/>
          <w:szCs w:val="24"/>
          <w:highlight w:val="none"/>
          <w:lang w:val="en-US" w:eastAsia="zh-CN" w:bidi="ar-SA"/>
        </w:rPr>
        <w:t>合同中约定。</w:t>
      </w:r>
    </w:p>
    <w:p>
      <w:pPr>
        <w:jc w:val="left"/>
        <w:rPr>
          <w:rFonts w:hint="eastAsia" w:ascii="仿宋" w:hAnsi="仿宋" w:eastAsia="仿宋" w:cs="宋体"/>
          <w:b/>
          <w:color w:val="FF0000"/>
          <w:kern w:val="0"/>
          <w:sz w:val="24"/>
        </w:rPr>
      </w:pPr>
    </w:p>
    <w:p>
      <w:pPr>
        <w:pStyle w:val="20"/>
        <w:rPr>
          <w:rFonts w:hint="eastAsia"/>
        </w:rPr>
      </w:pPr>
    </w:p>
    <w:p>
      <w:pPr>
        <w:pStyle w:val="20"/>
        <w:rPr>
          <w:rFonts w:hint="eastAsia"/>
        </w:rPr>
      </w:pPr>
    </w:p>
    <w:p>
      <w:pPr>
        <w:pStyle w:val="20"/>
        <w:rPr>
          <w:rFonts w:hint="eastAsia"/>
        </w:rPr>
      </w:pPr>
    </w:p>
    <w:p>
      <w:pPr>
        <w:pStyle w:val="20"/>
        <w:rPr>
          <w:rFonts w:hint="eastAsia"/>
        </w:rPr>
      </w:pPr>
    </w:p>
    <w:p>
      <w:pPr>
        <w:pStyle w:val="20"/>
        <w:rPr>
          <w:rFonts w:hint="eastAsia"/>
        </w:rPr>
      </w:pPr>
    </w:p>
    <w:p>
      <w:pPr>
        <w:pStyle w:val="20"/>
        <w:rPr>
          <w:rFonts w:hint="eastAsia"/>
        </w:rPr>
      </w:pPr>
    </w:p>
    <w:p>
      <w:pPr>
        <w:pStyle w:val="20"/>
        <w:rPr>
          <w:rFonts w:hint="eastAsia"/>
        </w:rPr>
      </w:pPr>
    </w:p>
    <w:p>
      <w:pPr>
        <w:pStyle w:val="20"/>
        <w:rPr>
          <w:rFonts w:hint="eastAsia"/>
        </w:rPr>
      </w:pPr>
    </w:p>
    <w:p>
      <w:pPr>
        <w:pStyle w:val="20"/>
        <w:rPr>
          <w:rFonts w:hint="eastAsia"/>
        </w:rPr>
      </w:pPr>
    </w:p>
    <w:p>
      <w:pPr>
        <w:pStyle w:val="20"/>
        <w:rPr>
          <w:rFonts w:hint="eastAsia"/>
        </w:rPr>
      </w:pPr>
    </w:p>
    <w:p>
      <w:pPr>
        <w:pStyle w:val="20"/>
        <w:rPr>
          <w:rFonts w:hint="eastAsia"/>
        </w:rPr>
      </w:pPr>
    </w:p>
    <w:p>
      <w:pPr>
        <w:pStyle w:val="20"/>
        <w:rPr>
          <w:rFonts w:hint="eastAsia"/>
        </w:rPr>
      </w:pPr>
    </w:p>
    <w:p>
      <w:pPr>
        <w:pStyle w:val="20"/>
        <w:rPr>
          <w:rFonts w:hint="eastAsia"/>
        </w:rPr>
      </w:pPr>
    </w:p>
    <w:p>
      <w:pPr>
        <w:pStyle w:val="20"/>
        <w:rPr>
          <w:rFonts w:hint="eastAsia"/>
        </w:rPr>
      </w:pPr>
    </w:p>
    <w:p>
      <w:pPr>
        <w:pStyle w:val="20"/>
        <w:ind w:left="0" w:leftChars="0" w:firstLine="0" w:firstLineChars="0"/>
        <w:rPr>
          <w:rFonts w:hint="eastAsia"/>
        </w:rPr>
      </w:pPr>
    </w:p>
    <w:p>
      <w:pPr>
        <w:pStyle w:val="2"/>
        <w:rPr>
          <w:rFonts w:hint="eastAsia" w:ascii="仿宋" w:hAnsi="仿宋" w:eastAsia="仿宋" w:cs="仿宋"/>
          <w:highlight w:val="none"/>
          <w:lang w:eastAsia="zh-CN"/>
        </w:rPr>
      </w:pPr>
      <w:r>
        <w:rPr>
          <w:rFonts w:hint="eastAsia" w:ascii="仿宋" w:hAnsi="仿宋" w:eastAsia="仿宋" w:cs="仿宋"/>
          <w:highlight w:val="none"/>
        </w:rPr>
        <w:t>第五章</w:t>
      </w:r>
      <w:r>
        <w:rPr>
          <w:rFonts w:hint="eastAsia" w:ascii="仿宋" w:hAnsi="仿宋" w:eastAsia="仿宋" w:cs="仿宋"/>
          <w:highlight w:val="none"/>
        </w:rPr>
        <w:tab/>
      </w:r>
      <w:r>
        <w:rPr>
          <w:rFonts w:hint="eastAsia" w:ascii="仿宋" w:hAnsi="仿宋" w:eastAsia="仿宋" w:cs="仿宋"/>
          <w:highlight w:val="none"/>
        </w:rPr>
        <w:t>合同条款及合同格式</w:t>
      </w:r>
      <w:bookmarkEnd w:id="24"/>
      <w:r>
        <w:rPr>
          <w:rFonts w:hint="eastAsia" w:ascii="仿宋" w:hAnsi="仿宋" w:cs="仿宋"/>
          <w:highlight w:val="none"/>
          <w:lang w:eastAsia="zh-CN"/>
        </w:rPr>
        <w:t>（</w:t>
      </w:r>
      <w:r>
        <w:rPr>
          <w:rFonts w:hint="eastAsia" w:ascii="仿宋" w:hAnsi="仿宋" w:cs="仿宋"/>
          <w:highlight w:val="none"/>
          <w:lang w:val="en-US" w:eastAsia="zh-CN"/>
        </w:rPr>
        <w:t>范本</w:t>
      </w:r>
      <w:r>
        <w:rPr>
          <w:rFonts w:hint="eastAsia" w:ascii="仿宋" w:hAnsi="仿宋" w:cs="仿宋"/>
          <w:highlight w:val="none"/>
          <w:lang w:eastAsia="zh-CN"/>
        </w:rPr>
        <w:t>）</w:t>
      </w:r>
    </w:p>
    <w:p>
      <w:pPr>
        <w:jc w:val="center"/>
        <w:rPr>
          <w:rFonts w:hint="eastAsia" w:ascii="仿宋" w:hAnsi="仿宋" w:eastAsia="仿宋" w:cs="仿宋"/>
          <w:highlight w:val="none"/>
        </w:rPr>
      </w:pPr>
      <w:r>
        <w:rPr>
          <w:rFonts w:hint="eastAsia" w:ascii="仿宋" w:hAnsi="仿宋" w:eastAsia="仿宋" w:cs="仿宋"/>
          <w:highlight w:val="none"/>
        </w:rPr>
        <w:t>此合同格式为参考模板，以实际签订合同为准</w:t>
      </w:r>
    </w:p>
    <w:p>
      <w:pPr>
        <w:pStyle w:val="28"/>
        <w:rPr>
          <w:rFonts w:hint="eastAsia" w:ascii="仿宋" w:hAnsi="仿宋" w:eastAsia="仿宋" w:cs="仿宋"/>
          <w:highlight w:val="none"/>
        </w:rPr>
      </w:pPr>
    </w:p>
    <w:p>
      <w:pPr>
        <w:pStyle w:val="28"/>
        <w:rPr>
          <w:rFonts w:hint="eastAsia" w:ascii="仿宋" w:hAnsi="仿宋" w:eastAsia="仿宋" w:cs="仿宋"/>
          <w:highlight w:val="none"/>
        </w:rPr>
      </w:pPr>
    </w:p>
    <w:p>
      <w:pPr>
        <w:pStyle w:val="8"/>
        <w:spacing w:before="41" w:line="364" w:lineRule="auto"/>
        <w:ind w:right="677"/>
        <w:rPr>
          <w:rFonts w:hint="eastAsia" w:ascii="仿宋" w:hAnsi="仿宋" w:eastAsia="仿宋" w:cs="仿宋"/>
          <w:highlight w:val="none"/>
        </w:rPr>
      </w:pPr>
      <w:r>
        <w:rPr>
          <w:rFonts w:hint="eastAsia" w:ascii="仿宋" w:hAnsi="仿宋" w:eastAsia="仿宋" w:cs="仿宋"/>
          <w:spacing w:val="-7"/>
          <w:highlight w:val="none"/>
        </w:rPr>
        <w:t>本合同条款将作为中标合同的基础，具体合同内容在签订合同时由甲乙双方协商</w:t>
      </w:r>
      <w:r>
        <w:rPr>
          <w:rFonts w:hint="eastAsia" w:ascii="仿宋" w:hAnsi="仿宋" w:eastAsia="仿宋" w:cs="仿宋"/>
          <w:highlight w:val="none"/>
        </w:rPr>
        <w:t xml:space="preserve">确定。 </w:t>
      </w:r>
    </w:p>
    <w:p>
      <w:pPr>
        <w:pStyle w:val="8"/>
        <w:spacing w:before="1"/>
        <w:ind w:left="460"/>
        <w:rPr>
          <w:rFonts w:hint="eastAsia" w:ascii="仿宋" w:hAnsi="仿宋" w:eastAsia="仿宋" w:cs="仿宋"/>
          <w:highlight w:val="none"/>
        </w:rPr>
      </w:pPr>
      <w:r>
        <w:rPr>
          <w:rFonts w:hint="eastAsia" w:ascii="仿宋" w:hAnsi="仿宋" w:eastAsia="仿宋" w:cs="仿宋"/>
          <w:highlight w:val="none"/>
        </w:rPr>
        <w:t xml:space="preserve"> </w:t>
      </w:r>
    </w:p>
    <w:p>
      <w:pPr>
        <w:pStyle w:val="11"/>
        <w:spacing w:line="360" w:lineRule="auto"/>
        <w:ind w:firstLine="4800" w:firstLineChars="2000"/>
        <w:rPr>
          <w:rFonts w:hint="eastAsia" w:ascii="仿宋" w:hAnsi="仿宋" w:eastAsia="仿宋" w:cs="仿宋"/>
          <w:bCs/>
          <w:sz w:val="24"/>
          <w:highlight w:val="none"/>
          <w:u w:val="single"/>
        </w:rPr>
      </w:pPr>
      <w:r>
        <w:rPr>
          <w:rFonts w:hint="eastAsia" w:ascii="仿宋" w:hAnsi="仿宋" w:eastAsia="仿宋" w:cs="仿宋"/>
          <w:sz w:val="24"/>
          <w:highlight w:val="none"/>
        </w:rPr>
        <w:t>合同编号：</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审批编号：</w:t>
      </w:r>
    </w:p>
    <w:p>
      <w:pPr>
        <w:pStyle w:val="11"/>
        <w:spacing w:line="360" w:lineRule="auto"/>
        <w:rPr>
          <w:rFonts w:hint="eastAsia" w:ascii="仿宋" w:hAnsi="仿宋" w:eastAsia="仿宋" w:cs="仿宋"/>
          <w:sz w:val="24"/>
          <w:highlight w:val="none"/>
        </w:rPr>
      </w:pPr>
    </w:p>
    <w:p>
      <w:pPr>
        <w:pStyle w:val="11"/>
        <w:spacing w:line="360" w:lineRule="auto"/>
        <w:rPr>
          <w:rFonts w:hint="eastAsia" w:ascii="仿宋" w:hAnsi="仿宋" w:eastAsia="仿宋" w:cs="仿宋"/>
          <w:sz w:val="24"/>
          <w:highlight w:val="none"/>
        </w:rPr>
      </w:pPr>
      <w:r>
        <w:rPr>
          <w:rFonts w:hint="eastAsia" w:ascii="仿宋" w:hAnsi="仿宋" w:eastAsia="仿宋" w:cs="仿宋"/>
          <w:sz w:val="24"/>
          <w:highlight w:val="none"/>
        </w:rPr>
        <w:t>合同名称：</w:t>
      </w:r>
      <w:r>
        <w:rPr>
          <w:rFonts w:hint="eastAsia" w:ascii="仿宋" w:hAnsi="仿宋" w:eastAsia="仿宋" w:cs="仿宋"/>
          <w:sz w:val="24"/>
          <w:highlight w:val="none"/>
          <w:u w:val="single"/>
        </w:rPr>
        <w:t xml:space="preserve">                                                                      </w:t>
      </w:r>
    </w:p>
    <w:p>
      <w:pPr>
        <w:pStyle w:val="11"/>
        <w:spacing w:line="360" w:lineRule="auto"/>
        <w:rPr>
          <w:rFonts w:hint="eastAsia" w:ascii="仿宋" w:hAnsi="仿宋" w:eastAsia="仿宋" w:cs="仿宋"/>
          <w:sz w:val="24"/>
          <w:highlight w:val="none"/>
          <w:u w:val="single"/>
        </w:rPr>
      </w:pPr>
      <w:r>
        <w:rPr>
          <w:rFonts w:hint="eastAsia" w:ascii="仿宋" w:hAnsi="仿宋" w:eastAsia="仿宋" w:cs="仿宋"/>
          <w:sz w:val="24"/>
          <w:highlight w:val="none"/>
        </w:rPr>
        <w:t>合同编号：</w:t>
      </w:r>
      <w:r>
        <w:rPr>
          <w:rFonts w:hint="eastAsia" w:ascii="仿宋" w:hAnsi="仿宋" w:eastAsia="仿宋" w:cs="仿宋"/>
          <w:sz w:val="24"/>
          <w:highlight w:val="none"/>
          <w:u w:val="single"/>
        </w:rPr>
        <w:t xml:space="preserve">                                     </w:t>
      </w:r>
    </w:p>
    <w:p>
      <w:pPr>
        <w:pStyle w:val="11"/>
        <w:spacing w:line="360" w:lineRule="auto"/>
        <w:rPr>
          <w:rFonts w:hint="eastAsia" w:ascii="仿宋" w:hAnsi="仿宋" w:eastAsia="仿宋" w:cs="仿宋"/>
          <w:sz w:val="24"/>
          <w:highlight w:val="none"/>
        </w:rPr>
      </w:pPr>
      <w:r>
        <w:rPr>
          <w:rFonts w:hint="eastAsia" w:ascii="仿宋" w:hAnsi="仿宋" w:eastAsia="仿宋" w:cs="仿宋"/>
          <w:sz w:val="24"/>
          <w:highlight w:val="none"/>
        </w:rPr>
        <w:t>分标号（有分标时填写）：</w:t>
      </w:r>
      <w:r>
        <w:rPr>
          <w:rFonts w:hint="eastAsia" w:ascii="仿宋" w:hAnsi="仿宋" w:eastAsia="仿宋" w:cs="仿宋"/>
          <w:sz w:val="24"/>
          <w:highlight w:val="none"/>
          <w:u w:val="single"/>
        </w:rPr>
        <w:t xml:space="preserve">                        </w:t>
      </w:r>
    </w:p>
    <w:p>
      <w:pPr>
        <w:pStyle w:val="11"/>
        <w:spacing w:line="360" w:lineRule="auto"/>
        <w:rPr>
          <w:rFonts w:hint="eastAsia" w:ascii="仿宋" w:hAnsi="仿宋" w:eastAsia="仿宋" w:cs="仿宋"/>
          <w:sz w:val="24"/>
          <w:highlight w:val="none"/>
        </w:rPr>
      </w:pPr>
    </w:p>
    <w:p>
      <w:pPr>
        <w:pStyle w:val="11"/>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采购人（甲方）： </w:t>
      </w:r>
      <w:r>
        <w:rPr>
          <w:rFonts w:hint="eastAsia" w:ascii="仿宋" w:hAnsi="仿宋" w:eastAsia="仿宋" w:cs="仿宋"/>
          <w:sz w:val="24"/>
          <w:highlight w:val="none"/>
          <w:u w:val="single"/>
        </w:rPr>
        <w:t xml:space="preserve">                                                                     </w:t>
      </w:r>
    </w:p>
    <w:p>
      <w:pPr>
        <w:pStyle w:val="11"/>
        <w:spacing w:line="360" w:lineRule="auto"/>
        <w:rPr>
          <w:rFonts w:hint="eastAsia" w:ascii="仿宋" w:hAnsi="仿宋" w:eastAsia="仿宋" w:cs="仿宋"/>
          <w:sz w:val="24"/>
          <w:highlight w:val="none"/>
        </w:rPr>
      </w:pPr>
      <w:r>
        <w:rPr>
          <w:rFonts w:hint="eastAsia" w:ascii="仿宋" w:hAnsi="仿宋" w:eastAsia="仿宋" w:cs="仿宋"/>
          <w:sz w:val="24"/>
          <w:highlight w:val="none"/>
        </w:rPr>
        <w:t>成交供应商（乙方）：</w:t>
      </w:r>
      <w:r>
        <w:rPr>
          <w:rFonts w:hint="eastAsia" w:ascii="仿宋" w:hAnsi="仿宋" w:eastAsia="仿宋" w:cs="仿宋"/>
          <w:b/>
          <w:sz w:val="24"/>
          <w:highlight w:val="none"/>
        </w:rPr>
        <w:t xml:space="preserve"> </w:t>
      </w:r>
      <w:r>
        <w:rPr>
          <w:rFonts w:hint="eastAsia" w:ascii="仿宋" w:hAnsi="仿宋" w:eastAsia="仿宋" w:cs="仿宋"/>
          <w:sz w:val="24"/>
          <w:highlight w:val="none"/>
          <w:u w:val="single"/>
        </w:rPr>
        <w:t xml:space="preserve">                                                                 </w:t>
      </w:r>
    </w:p>
    <w:p>
      <w:pPr>
        <w:pStyle w:val="11"/>
        <w:spacing w:line="360" w:lineRule="auto"/>
        <w:rPr>
          <w:rFonts w:hint="eastAsia" w:ascii="仿宋" w:hAnsi="仿宋" w:eastAsia="仿宋" w:cs="仿宋"/>
          <w:b/>
          <w:sz w:val="24"/>
          <w:highlight w:val="none"/>
        </w:rPr>
      </w:pPr>
      <w:r>
        <w:rPr>
          <w:rFonts w:hint="eastAsia" w:ascii="仿宋" w:hAnsi="仿宋" w:eastAsia="仿宋" w:cs="仿宋"/>
          <w:b/>
          <w:sz w:val="24"/>
          <w:highlight w:val="none"/>
        </w:rPr>
        <w:t xml:space="preserve">   </w:t>
      </w:r>
    </w:p>
    <w:p>
      <w:pPr>
        <w:pStyle w:val="11"/>
        <w:spacing w:line="360" w:lineRule="auto"/>
        <w:rPr>
          <w:rFonts w:hint="eastAsia" w:ascii="仿宋" w:hAnsi="仿宋" w:eastAsia="仿宋" w:cs="仿宋"/>
          <w:b/>
          <w:sz w:val="24"/>
          <w:highlight w:val="none"/>
        </w:rPr>
      </w:pPr>
      <w:r>
        <w:rPr>
          <w:rFonts w:hint="eastAsia" w:ascii="仿宋" w:hAnsi="仿宋" w:eastAsia="仿宋" w:cs="仿宋"/>
          <w:sz w:val="24"/>
          <w:highlight w:val="none"/>
        </w:rPr>
        <w:t xml:space="preserve">    根据</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r>
        <w:rPr>
          <w:rFonts w:hint="eastAsia" w:ascii="仿宋" w:hAnsi="仿宋" w:eastAsia="仿宋" w:cs="仿宋"/>
          <w:sz w:val="24"/>
          <w:highlight w:val="none"/>
          <w:lang w:val="en-US" w:eastAsia="zh-CN"/>
        </w:rPr>
        <w:t>拜城县2022年高素质农民培训项目</w:t>
      </w:r>
      <w:r>
        <w:rPr>
          <w:rFonts w:hint="eastAsia" w:ascii="仿宋" w:hAnsi="仿宋" w:eastAsia="仿宋" w:cs="仿宋"/>
          <w:sz w:val="24"/>
          <w:highlight w:val="none"/>
        </w:rPr>
        <w:t>的采购结果，甲方接受乙方对本项目的竞标，甲、乙双方同意签署本合同（以下简称合同）。</w:t>
      </w:r>
    </w:p>
    <w:p>
      <w:pPr>
        <w:pStyle w:val="11"/>
        <w:spacing w:line="360" w:lineRule="auto"/>
        <w:rPr>
          <w:rFonts w:hint="eastAsia" w:ascii="仿宋" w:hAnsi="仿宋" w:eastAsia="仿宋" w:cs="仿宋"/>
          <w:b/>
          <w:sz w:val="24"/>
          <w:highlight w:val="none"/>
        </w:rPr>
      </w:pPr>
    </w:p>
    <w:p>
      <w:pPr>
        <w:pStyle w:val="11"/>
        <w:spacing w:line="360" w:lineRule="auto"/>
        <w:rPr>
          <w:rFonts w:hint="eastAsia" w:ascii="仿宋" w:hAnsi="仿宋" w:eastAsia="仿宋" w:cs="仿宋"/>
          <w:b/>
          <w:bCs/>
          <w:sz w:val="24"/>
          <w:highlight w:val="none"/>
        </w:rPr>
      </w:pPr>
      <w:r>
        <w:rPr>
          <w:rFonts w:hint="eastAsia" w:ascii="仿宋" w:hAnsi="仿宋" w:eastAsia="仿宋" w:cs="仿宋"/>
          <w:b/>
          <w:bCs/>
          <w:sz w:val="24"/>
          <w:highlight w:val="none"/>
        </w:rPr>
        <w:t>1.  成交内容</w:t>
      </w:r>
    </w:p>
    <w:p>
      <w:pPr>
        <w:pStyle w:val="11"/>
        <w:tabs>
          <w:tab w:val="left" w:pos="5220"/>
        </w:tabs>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1.1 服务名称：</w:t>
      </w:r>
      <w:r>
        <w:rPr>
          <w:rFonts w:hint="eastAsia" w:ascii="仿宋" w:hAnsi="仿宋" w:eastAsia="仿宋" w:cs="仿宋"/>
          <w:sz w:val="24"/>
          <w:highlight w:val="none"/>
          <w:u w:val="single"/>
        </w:rPr>
        <w:t xml:space="preserve">　　　　　                 </w:t>
      </w:r>
    </w:p>
    <w:p>
      <w:pPr>
        <w:pStyle w:val="11"/>
        <w:tabs>
          <w:tab w:val="left" w:pos="522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1.2 数量：</w:t>
      </w:r>
      <w:r>
        <w:rPr>
          <w:rFonts w:hint="eastAsia" w:ascii="仿宋" w:hAnsi="仿宋" w:eastAsia="仿宋" w:cs="仿宋"/>
          <w:sz w:val="24"/>
          <w:highlight w:val="none"/>
          <w:u w:val="single"/>
        </w:rPr>
        <w:t xml:space="preserve">　　　　　                  </w:t>
      </w:r>
    </w:p>
    <w:p>
      <w:pPr>
        <w:pStyle w:val="11"/>
        <w:spacing w:line="360" w:lineRule="auto"/>
        <w:ind w:firstLine="530" w:firstLineChars="221"/>
        <w:rPr>
          <w:rFonts w:hint="eastAsia" w:ascii="仿宋" w:hAnsi="仿宋" w:eastAsia="仿宋" w:cs="仿宋"/>
          <w:sz w:val="24"/>
          <w:highlight w:val="none"/>
          <w:u w:val="single"/>
        </w:rPr>
      </w:pPr>
      <w:r>
        <w:rPr>
          <w:rFonts w:hint="eastAsia" w:ascii="仿宋" w:hAnsi="仿宋" w:eastAsia="仿宋" w:cs="仿宋"/>
          <w:sz w:val="24"/>
          <w:highlight w:val="none"/>
        </w:rPr>
        <w:t>1.3 技术参数：</w:t>
      </w:r>
      <w:r>
        <w:rPr>
          <w:rFonts w:hint="eastAsia" w:ascii="仿宋" w:hAnsi="仿宋" w:eastAsia="仿宋" w:cs="仿宋"/>
          <w:sz w:val="24"/>
          <w:highlight w:val="none"/>
          <w:u w:val="single"/>
        </w:rPr>
        <w:t xml:space="preserve">详见合同附件中报价服务资料表及澄清函（报价服务资料表与澄清函不一致的以澄清函为准） </w:t>
      </w:r>
    </w:p>
    <w:p>
      <w:pPr>
        <w:pStyle w:val="11"/>
        <w:spacing w:line="360" w:lineRule="auto"/>
        <w:rPr>
          <w:rFonts w:hint="eastAsia" w:ascii="仿宋" w:hAnsi="仿宋" w:eastAsia="仿宋" w:cs="仿宋"/>
          <w:b/>
          <w:bCs/>
          <w:sz w:val="24"/>
          <w:highlight w:val="none"/>
        </w:rPr>
      </w:pPr>
      <w:r>
        <w:rPr>
          <w:rFonts w:hint="eastAsia" w:ascii="仿宋" w:hAnsi="仿宋" w:eastAsia="仿宋" w:cs="仿宋"/>
          <w:b/>
          <w:bCs/>
          <w:sz w:val="24"/>
          <w:highlight w:val="none"/>
        </w:rPr>
        <w:t>2.  合同金额</w:t>
      </w:r>
    </w:p>
    <w:p>
      <w:pPr>
        <w:pStyle w:val="11"/>
        <w:spacing w:line="360" w:lineRule="auto"/>
        <w:ind w:firstLine="470" w:firstLineChars="196"/>
        <w:rPr>
          <w:rFonts w:hint="eastAsia" w:ascii="仿宋" w:hAnsi="仿宋" w:eastAsia="仿宋" w:cs="仿宋"/>
          <w:b/>
          <w:bCs/>
          <w:sz w:val="24"/>
          <w:highlight w:val="none"/>
        </w:rPr>
      </w:pPr>
      <w:r>
        <w:rPr>
          <w:rFonts w:hint="eastAsia" w:ascii="仿宋" w:hAnsi="仿宋" w:eastAsia="仿宋" w:cs="仿宋"/>
          <w:sz w:val="24"/>
          <w:highlight w:val="none"/>
        </w:rPr>
        <w:t>2.1 本合同金额为（大写）人民币</w:t>
      </w:r>
      <w:r>
        <w:rPr>
          <w:rFonts w:hint="eastAsia" w:ascii="仿宋" w:hAnsi="仿宋" w:eastAsia="仿宋" w:cs="仿宋"/>
          <w:sz w:val="24"/>
          <w:highlight w:val="none"/>
          <w:u w:val="single"/>
        </w:rPr>
        <w:t xml:space="preserve">　　　　　　                                         </w:t>
      </w:r>
    </w:p>
    <w:p>
      <w:pPr>
        <w:pStyle w:val="11"/>
        <w:spacing w:line="360" w:lineRule="auto"/>
        <w:ind w:left="2" w:firstLine="410" w:firstLineChars="171"/>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sz w:val="24"/>
          <w:highlight w:val="none"/>
          <w:u w:val="single"/>
        </w:rPr>
        <w:t>　　　　　　</w:t>
      </w:r>
      <w:r>
        <w:rPr>
          <w:rFonts w:hint="eastAsia" w:ascii="仿宋" w:hAnsi="仿宋" w:eastAsia="仿宋" w:cs="仿宋"/>
          <w:sz w:val="24"/>
          <w:highlight w:val="none"/>
        </w:rPr>
        <w:t>）。（详见最终报价）</w:t>
      </w:r>
    </w:p>
    <w:p>
      <w:pPr>
        <w:pStyle w:val="11"/>
        <w:tabs>
          <w:tab w:val="left" w:pos="5940"/>
        </w:tabs>
        <w:spacing w:line="360" w:lineRule="auto"/>
        <w:rPr>
          <w:rFonts w:hint="eastAsia" w:ascii="仿宋" w:hAnsi="仿宋" w:eastAsia="仿宋" w:cs="仿宋"/>
          <w:b/>
          <w:bCs/>
          <w:sz w:val="24"/>
          <w:highlight w:val="none"/>
        </w:rPr>
      </w:pPr>
      <w:r>
        <w:rPr>
          <w:rFonts w:hint="eastAsia" w:ascii="仿宋" w:hAnsi="仿宋" w:eastAsia="仿宋" w:cs="仿宋"/>
          <w:b/>
          <w:bCs/>
          <w:sz w:val="24"/>
          <w:highlight w:val="none"/>
        </w:rPr>
        <w:t>3.  提交服务成果要求</w:t>
      </w:r>
    </w:p>
    <w:p>
      <w:pPr>
        <w:pStyle w:val="11"/>
        <w:tabs>
          <w:tab w:val="left" w:pos="5220"/>
        </w:tabs>
        <w:spacing w:line="360" w:lineRule="auto"/>
        <w:ind w:firstLine="360"/>
        <w:rPr>
          <w:rFonts w:hint="eastAsia" w:ascii="仿宋" w:hAnsi="仿宋" w:eastAsia="仿宋" w:cs="仿宋"/>
          <w:sz w:val="24"/>
          <w:highlight w:val="none"/>
          <w:u w:val="single"/>
        </w:rPr>
      </w:pPr>
      <w:r>
        <w:rPr>
          <w:rFonts w:hint="eastAsia" w:ascii="仿宋" w:hAnsi="仿宋" w:eastAsia="仿宋" w:cs="仿宋"/>
          <w:bCs/>
          <w:sz w:val="24"/>
          <w:highlight w:val="none"/>
        </w:rPr>
        <w:t>3.1 提交服务成果时间及服务期：</w:t>
      </w:r>
      <w:r>
        <w:rPr>
          <w:rFonts w:hint="eastAsia" w:ascii="仿宋" w:hAnsi="仿宋" w:eastAsia="仿宋" w:cs="仿宋"/>
          <w:sz w:val="24"/>
          <w:highlight w:val="none"/>
          <w:u w:val="single"/>
        </w:rPr>
        <w:t xml:space="preserve">                                                                        </w:t>
      </w:r>
    </w:p>
    <w:p>
      <w:pPr>
        <w:pStyle w:val="11"/>
        <w:tabs>
          <w:tab w:val="left" w:pos="5220"/>
        </w:tabs>
        <w:spacing w:line="360" w:lineRule="auto"/>
        <w:ind w:firstLine="360"/>
        <w:rPr>
          <w:rFonts w:hint="eastAsia" w:ascii="仿宋" w:hAnsi="仿宋" w:eastAsia="仿宋" w:cs="仿宋"/>
          <w:bCs/>
          <w:sz w:val="24"/>
          <w:highlight w:val="none"/>
          <w:u w:val="single"/>
        </w:rPr>
      </w:pPr>
      <w:r>
        <w:rPr>
          <w:rFonts w:hint="eastAsia" w:ascii="仿宋" w:hAnsi="仿宋" w:eastAsia="仿宋" w:cs="仿宋"/>
          <w:sz w:val="24"/>
          <w:highlight w:val="none"/>
          <w:u w:val="single"/>
        </w:rPr>
        <w:t xml:space="preserve">                                                                                    </w:t>
      </w:r>
    </w:p>
    <w:p>
      <w:pPr>
        <w:pStyle w:val="11"/>
        <w:spacing w:line="360" w:lineRule="auto"/>
        <w:ind w:firstLine="360"/>
        <w:rPr>
          <w:rFonts w:hint="eastAsia" w:ascii="仿宋" w:hAnsi="仿宋" w:eastAsia="仿宋" w:cs="仿宋"/>
          <w:bCs/>
          <w:sz w:val="24"/>
          <w:highlight w:val="none"/>
        </w:rPr>
      </w:pPr>
      <w:r>
        <w:rPr>
          <w:rFonts w:hint="eastAsia" w:ascii="仿宋" w:hAnsi="仿宋" w:eastAsia="仿宋" w:cs="仿宋"/>
          <w:bCs/>
          <w:sz w:val="24"/>
          <w:highlight w:val="none"/>
        </w:rPr>
        <w:t>3.2 提交服务成果地点（或服务地点）：</w:t>
      </w:r>
      <w:r>
        <w:rPr>
          <w:rFonts w:hint="eastAsia" w:ascii="仿宋" w:hAnsi="仿宋" w:eastAsia="仿宋" w:cs="仿宋"/>
          <w:sz w:val="24"/>
          <w:highlight w:val="none"/>
          <w:u w:val="single"/>
        </w:rPr>
        <w:t xml:space="preserve">                                                 </w:t>
      </w:r>
    </w:p>
    <w:p>
      <w:pPr>
        <w:pStyle w:val="11"/>
        <w:spacing w:line="360" w:lineRule="auto"/>
        <w:ind w:firstLine="360"/>
        <w:rPr>
          <w:rFonts w:hint="eastAsia" w:ascii="仿宋" w:hAnsi="仿宋" w:eastAsia="仿宋" w:cs="仿宋"/>
          <w:b/>
          <w:sz w:val="24"/>
          <w:highlight w:val="none"/>
        </w:rPr>
      </w:pPr>
      <w:r>
        <w:rPr>
          <w:rFonts w:hint="eastAsia" w:ascii="仿宋" w:hAnsi="仿宋" w:eastAsia="仿宋" w:cs="仿宋"/>
          <w:bCs/>
          <w:sz w:val="24"/>
          <w:highlight w:val="none"/>
        </w:rPr>
        <w:t xml:space="preserve">3.3 </w:t>
      </w:r>
      <w:r>
        <w:rPr>
          <w:rFonts w:hint="eastAsia" w:ascii="仿宋" w:hAnsi="仿宋" w:eastAsia="仿宋" w:cs="仿宋"/>
          <w:sz w:val="24"/>
          <w:highlight w:val="none"/>
        </w:rPr>
        <w:t>乙方必须按报价文件承诺的服务响应条款向甲方提供服务。</w:t>
      </w:r>
    </w:p>
    <w:p>
      <w:pPr>
        <w:pStyle w:val="11"/>
        <w:spacing w:line="360" w:lineRule="auto"/>
        <w:ind w:left="412" w:hanging="412" w:hangingChars="171"/>
        <w:rPr>
          <w:rFonts w:hint="eastAsia" w:ascii="仿宋" w:hAnsi="仿宋" w:eastAsia="仿宋" w:cs="仿宋"/>
          <w:b/>
          <w:sz w:val="24"/>
          <w:highlight w:val="none"/>
        </w:rPr>
      </w:pPr>
      <w:r>
        <w:rPr>
          <w:rFonts w:hint="eastAsia" w:ascii="仿宋" w:hAnsi="仿宋" w:eastAsia="仿宋" w:cs="仿宋"/>
          <w:b/>
          <w:bCs/>
          <w:sz w:val="24"/>
          <w:highlight w:val="none"/>
        </w:rPr>
        <w:t>4.  产权</w:t>
      </w:r>
    </w:p>
    <w:p>
      <w:pPr>
        <w:pStyle w:val="11"/>
        <w:spacing w:line="360" w:lineRule="auto"/>
        <w:ind w:firstLine="480" w:firstLineChars="200"/>
        <w:rPr>
          <w:rFonts w:hint="eastAsia" w:ascii="仿宋" w:hAnsi="仿宋" w:eastAsia="仿宋" w:cs="仿宋"/>
          <w:b/>
          <w:sz w:val="24"/>
          <w:highlight w:val="none"/>
        </w:rPr>
      </w:pPr>
      <w:r>
        <w:rPr>
          <w:rFonts w:hint="eastAsia" w:ascii="仿宋" w:hAnsi="仿宋" w:eastAsia="仿宋" w:cs="仿宋"/>
          <w:sz w:val="24"/>
          <w:highlight w:val="none"/>
        </w:rPr>
        <w:t>5.1 乙方应保证所提供的服务或其任何一部分均不会侵犯任何第三方的专利权、商标权或著作权</w:t>
      </w:r>
      <w:r>
        <w:rPr>
          <w:rFonts w:hint="eastAsia" w:ascii="仿宋" w:hAnsi="仿宋" w:eastAsia="仿宋" w:cs="仿宋"/>
          <w:bCs/>
          <w:sz w:val="24"/>
          <w:highlight w:val="none"/>
        </w:rPr>
        <w:t>。</w:t>
      </w:r>
    </w:p>
    <w:p>
      <w:pPr>
        <w:pStyle w:val="11"/>
        <w:spacing w:line="360" w:lineRule="auto"/>
        <w:ind w:firstLine="480" w:firstLineChars="200"/>
        <w:rPr>
          <w:rFonts w:hint="eastAsia" w:ascii="仿宋" w:hAnsi="仿宋" w:eastAsia="仿宋" w:cs="仿宋"/>
          <w:b/>
          <w:sz w:val="24"/>
          <w:highlight w:val="none"/>
        </w:rPr>
      </w:pPr>
      <w:r>
        <w:rPr>
          <w:rFonts w:hint="eastAsia" w:ascii="仿宋" w:hAnsi="仿宋" w:eastAsia="仿宋" w:cs="仿宋"/>
          <w:sz w:val="24"/>
          <w:highlight w:val="none"/>
        </w:rPr>
        <w:t>5.2 乙方保证所交付服务的所有权完全属于乙方且无任何抵押、查封等产权瑕疵。如乙方所交付服务有产权瑕疵的，视为乙方违约，按照本合同第9.3项的约定处理。但在已经全部支付完合同款后才发现有产权瑕疵的，乙方除了支付违约金，还应赔偿甲方由此产生的一切损失，并承担因产权瑕疵而侵犯任何第三方的专利权、商标权或著作权所产生的一切法律责任。</w:t>
      </w:r>
    </w:p>
    <w:p>
      <w:pPr>
        <w:pStyle w:val="11"/>
        <w:spacing w:line="360" w:lineRule="auto"/>
        <w:rPr>
          <w:rFonts w:hint="eastAsia" w:ascii="仿宋" w:hAnsi="仿宋" w:eastAsia="仿宋" w:cs="仿宋"/>
          <w:b/>
          <w:sz w:val="24"/>
          <w:highlight w:val="none"/>
        </w:rPr>
      </w:pPr>
      <w:r>
        <w:rPr>
          <w:rFonts w:hint="eastAsia" w:ascii="仿宋" w:hAnsi="仿宋" w:eastAsia="仿宋" w:cs="仿宋"/>
          <w:b/>
          <w:bCs/>
          <w:sz w:val="24"/>
          <w:highlight w:val="none"/>
        </w:rPr>
        <w:t>5.  技术资料</w:t>
      </w:r>
    </w:p>
    <w:p>
      <w:pPr>
        <w:pStyle w:val="11"/>
        <w:tabs>
          <w:tab w:val="left" w:pos="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5.1 甲方应向乙方提供甲方自身现有或掌握的、提交服务成果所必需的有关数据、资料等。但甲方没有义务负责向乙方提供自身不掌握的相关数据、资料等。</w:t>
      </w:r>
    </w:p>
    <w:p>
      <w:pPr>
        <w:pStyle w:val="11"/>
        <w:tabs>
          <w:tab w:val="left" w:pos="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1"/>
        <w:spacing w:line="360" w:lineRule="auto"/>
        <w:rPr>
          <w:rFonts w:hint="eastAsia" w:ascii="仿宋" w:hAnsi="仿宋" w:eastAsia="仿宋" w:cs="仿宋"/>
          <w:b/>
          <w:bCs/>
          <w:sz w:val="24"/>
          <w:highlight w:val="none"/>
        </w:rPr>
      </w:pPr>
      <w:r>
        <w:rPr>
          <w:rFonts w:hint="eastAsia" w:ascii="仿宋" w:hAnsi="仿宋" w:eastAsia="仿宋" w:cs="仿宋"/>
          <w:b/>
          <w:bCs/>
          <w:sz w:val="24"/>
          <w:highlight w:val="none"/>
        </w:rPr>
        <w:t>6.  验收</w:t>
      </w:r>
    </w:p>
    <w:p>
      <w:pPr>
        <w:pStyle w:val="11"/>
        <w:tabs>
          <w:tab w:val="left" w:pos="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6.1 乙方应对提交的服务成果作出全面检查和整理，并列出清单，作为甲方验收和使用的技术条件依据，清单应随提交的服务成果交给甲方。</w:t>
      </w:r>
    </w:p>
    <w:p>
      <w:pPr>
        <w:pStyle w:val="11"/>
        <w:tabs>
          <w:tab w:val="left" w:pos="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6.2 乙方在指定地点提交服务成果后，甲方应组织专家进行评审。</w:t>
      </w:r>
    </w:p>
    <w:p>
      <w:pPr>
        <w:pStyle w:val="11"/>
        <w:tabs>
          <w:tab w:val="left" w:pos="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6.3 甲方组织专家评审会对乙方提交的服务成果进行评审，评审通过后，上报市政府审定。在上述验收过程中，需对服务成果进行修改完善的，乙方要提供服务直至市政府审定通过方为验收合格。  </w:t>
      </w:r>
    </w:p>
    <w:p>
      <w:pPr>
        <w:pStyle w:val="11"/>
        <w:tabs>
          <w:tab w:val="left" w:pos="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6.4 对复杂的服务，甲方可请国家认可的专业机构参与验收，并由其出具验收报告，相关费用由甲方承担。</w:t>
      </w:r>
    </w:p>
    <w:p>
      <w:pPr>
        <w:pStyle w:val="11"/>
        <w:spacing w:line="360" w:lineRule="auto"/>
        <w:rPr>
          <w:rFonts w:hint="eastAsia" w:ascii="仿宋" w:hAnsi="仿宋" w:eastAsia="仿宋" w:cs="仿宋"/>
          <w:b/>
          <w:bCs/>
          <w:sz w:val="24"/>
          <w:highlight w:val="none"/>
        </w:rPr>
      </w:pPr>
      <w:r>
        <w:rPr>
          <w:rFonts w:hint="eastAsia" w:ascii="仿宋" w:hAnsi="仿宋" w:eastAsia="仿宋" w:cs="仿宋"/>
          <w:b/>
          <w:bCs/>
          <w:sz w:val="24"/>
          <w:highlight w:val="none"/>
        </w:rPr>
        <w:t>7.  合同款支付</w:t>
      </w:r>
    </w:p>
    <w:p>
      <w:pPr>
        <w:pStyle w:val="11"/>
        <w:tabs>
          <w:tab w:val="left" w:pos="5145"/>
          <w:tab w:val="left" w:pos="5355"/>
          <w:tab w:val="left" w:pos="6195"/>
        </w:tabs>
        <w:spacing w:line="360" w:lineRule="auto"/>
        <w:ind w:firstLine="480" w:firstLineChars="200"/>
        <w:rPr>
          <w:rFonts w:hint="eastAsia" w:ascii="仿宋" w:hAnsi="仿宋" w:eastAsia="仿宋" w:cs="仿宋"/>
          <w:bCs/>
          <w:sz w:val="24"/>
          <w:highlight w:val="none"/>
          <w:u w:val="single"/>
        </w:rPr>
      </w:pPr>
      <w:r>
        <w:rPr>
          <w:rFonts w:hint="eastAsia" w:ascii="仿宋" w:hAnsi="仿宋" w:eastAsia="仿宋" w:cs="仿宋"/>
          <w:bCs/>
          <w:sz w:val="24"/>
          <w:highlight w:val="none"/>
        </w:rPr>
        <w:t>7.1 付款方式：</w:t>
      </w:r>
      <w:r>
        <w:rPr>
          <w:rFonts w:hint="eastAsia" w:ascii="仿宋" w:hAnsi="仿宋" w:eastAsia="仿宋" w:cs="仿宋"/>
          <w:bCs/>
          <w:sz w:val="24"/>
          <w:highlight w:val="none"/>
          <w:u w:val="single"/>
        </w:rPr>
        <w:t xml:space="preserve">                                                                       </w:t>
      </w:r>
    </w:p>
    <w:p>
      <w:pPr>
        <w:pStyle w:val="11"/>
        <w:tabs>
          <w:tab w:val="left" w:pos="5145"/>
          <w:tab w:val="left" w:pos="5355"/>
          <w:tab w:val="left" w:pos="6195"/>
        </w:tabs>
        <w:spacing w:line="360" w:lineRule="auto"/>
        <w:ind w:firstLine="480" w:firstLineChars="200"/>
        <w:rPr>
          <w:rFonts w:hint="eastAsia" w:ascii="仿宋" w:hAnsi="仿宋" w:eastAsia="仿宋" w:cs="仿宋"/>
          <w:bCs/>
          <w:sz w:val="24"/>
          <w:highlight w:val="none"/>
          <w:u w:val="single"/>
        </w:rPr>
      </w:pPr>
      <w:r>
        <w:rPr>
          <w:rFonts w:hint="eastAsia" w:ascii="仿宋" w:hAnsi="仿宋" w:eastAsia="仿宋" w:cs="仿宋"/>
          <w:bCs/>
          <w:sz w:val="24"/>
          <w:highlight w:val="none"/>
          <w:u w:val="single"/>
        </w:rPr>
        <w:t xml:space="preserve">                                                                                     </w:t>
      </w:r>
    </w:p>
    <w:p>
      <w:pPr>
        <w:pStyle w:val="11"/>
        <w:tabs>
          <w:tab w:val="left" w:pos="5145"/>
          <w:tab w:val="left" w:pos="5355"/>
          <w:tab w:val="left" w:pos="6195"/>
        </w:tabs>
        <w:spacing w:line="360" w:lineRule="auto"/>
        <w:ind w:firstLine="480" w:firstLineChars="200"/>
        <w:rPr>
          <w:rFonts w:hint="eastAsia" w:ascii="仿宋" w:hAnsi="仿宋" w:eastAsia="仿宋" w:cs="仿宋"/>
          <w:bCs/>
          <w:sz w:val="24"/>
          <w:highlight w:val="none"/>
          <w:u w:val="single"/>
        </w:rPr>
      </w:pPr>
      <w:r>
        <w:rPr>
          <w:rFonts w:hint="eastAsia" w:ascii="仿宋" w:hAnsi="仿宋" w:eastAsia="仿宋" w:cs="仿宋"/>
          <w:sz w:val="24"/>
          <w:highlight w:val="none"/>
        </w:rPr>
        <w:t>7.2 支付合同款时，采购人对服务验收合格后直接支付给供应商。</w:t>
      </w:r>
    </w:p>
    <w:p>
      <w:pPr>
        <w:pStyle w:val="11"/>
        <w:tabs>
          <w:tab w:val="left" w:pos="5145"/>
          <w:tab w:val="left" w:pos="5355"/>
          <w:tab w:val="left" w:pos="6195"/>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7.3 政府采购监督管理部门在处理投诉事项期间，可以视具体情况书面通知采购人暂停采购活动</w:t>
      </w:r>
      <w:r>
        <w:rPr>
          <w:rFonts w:hint="eastAsia" w:ascii="仿宋" w:hAnsi="仿宋" w:eastAsia="仿宋" w:cs="仿宋"/>
          <w:bCs/>
          <w:sz w:val="24"/>
          <w:highlight w:val="none"/>
        </w:rPr>
        <w:t>，并延期支付合同款。</w:t>
      </w:r>
    </w:p>
    <w:p>
      <w:pPr>
        <w:pStyle w:val="11"/>
        <w:spacing w:line="360" w:lineRule="auto"/>
        <w:rPr>
          <w:rFonts w:hint="eastAsia" w:ascii="仿宋" w:hAnsi="仿宋" w:eastAsia="仿宋" w:cs="仿宋"/>
          <w:sz w:val="24"/>
          <w:highlight w:val="none"/>
        </w:rPr>
      </w:pPr>
      <w:r>
        <w:rPr>
          <w:rFonts w:hint="eastAsia" w:ascii="仿宋" w:hAnsi="仿宋" w:eastAsia="仿宋" w:cs="仿宋"/>
          <w:b/>
          <w:bCs/>
          <w:sz w:val="24"/>
          <w:highlight w:val="none"/>
        </w:rPr>
        <w:t>8.  违约责任</w:t>
      </w:r>
    </w:p>
    <w:p>
      <w:pPr>
        <w:pStyle w:val="11"/>
        <w:spacing w:line="360" w:lineRule="auto"/>
        <w:ind w:firstLine="410" w:firstLineChars="171"/>
        <w:rPr>
          <w:rFonts w:hint="eastAsia" w:ascii="仿宋" w:hAnsi="仿宋" w:eastAsia="仿宋" w:cs="仿宋"/>
          <w:sz w:val="24"/>
          <w:highlight w:val="none"/>
        </w:rPr>
      </w:pPr>
      <w:r>
        <w:rPr>
          <w:rFonts w:hint="eastAsia" w:ascii="仿宋" w:hAnsi="仿宋" w:eastAsia="仿宋" w:cs="仿宋"/>
          <w:sz w:val="24"/>
          <w:highlight w:val="none"/>
        </w:rPr>
        <w:t>8.1 乙方逾期交付服务的，乙方应按逾期提供服务总额每日千分之六向甲方支付违约金，由甲方从待付服务费中扣除。逾期超过约定日期10个工作日不能提供服务的，甲方可解除本合同。乙方因逾期提供服务或因其他违约行为导致甲方解除合同的，乙方应向甲方支付合同总值5%的违约金，如造成甲方损失超过违约金的，超出部分由乙方继续承担赔偿责任。</w:t>
      </w:r>
    </w:p>
    <w:p>
      <w:pPr>
        <w:pStyle w:val="11"/>
        <w:spacing w:line="360" w:lineRule="auto"/>
        <w:rPr>
          <w:rFonts w:hint="eastAsia" w:ascii="仿宋" w:hAnsi="仿宋" w:eastAsia="仿宋" w:cs="仿宋"/>
          <w:b/>
          <w:bCs/>
          <w:sz w:val="24"/>
          <w:highlight w:val="none"/>
        </w:rPr>
      </w:pPr>
      <w:r>
        <w:rPr>
          <w:rFonts w:hint="eastAsia" w:ascii="仿宋" w:hAnsi="仿宋" w:eastAsia="仿宋" w:cs="仿宋"/>
          <w:b/>
          <w:bCs/>
          <w:sz w:val="24"/>
          <w:highlight w:val="none"/>
        </w:rPr>
        <w:t>9.  不可抗力事件处理</w:t>
      </w:r>
    </w:p>
    <w:p>
      <w:pPr>
        <w:pStyle w:val="11"/>
        <w:spacing w:line="360" w:lineRule="auto"/>
        <w:ind w:firstLine="410" w:firstLineChars="171"/>
        <w:rPr>
          <w:rFonts w:hint="eastAsia" w:ascii="仿宋" w:hAnsi="仿宋" w:eastAsia="仿宋" w:cs="仿宋"/>
          <w:sz w:val="24"/>
          <w:highlight w:val="none"/>
        </w:rPr>
      </w:pPr>
      <w:r>
        <w:rPr>
          <w:rFonts w:hint="eastAsia" w:ascii="仿宋" w:hAnsi="仿宋" w:eastAsia="仿宋" w:cs="仿宋"/>
          <w:sz w:val="24"/>
          <w:highlight w:val="none"/>
        </w:rPr>
        <w:t>9.1 在合同有效期内，任何一方因不可抗力事件导致不能履行合同，则合同履行期可延长，其延长期与不可抗力影响期相同。</w:t>
      </w:r>
    </w:p>
    <w:p>
      <w:pPr>
        <w:pStyle w:val="11"/>
        <w:spacing w:line="360" w:lineRule="auto"/>
        <w:ind w:firstLine="410" w:firstLineChars="171"/>
        <w:rPr>
          <w:rFonts w:hint="eastAsia" w:ascii="仿宋" w:hAnsi="仿宋" w:eastAsia="仿宋" w:cs="仿宋"/>
          <w:sz w:val="24"/>
          <w:highlight w:val="none"/>
        </w:rPr>
      </w:pPr>
      <w:r>
        <w:rPr>
          <w:rFonts w:hint="eastAsia" w:ascii="仿宋" w:hAnsi="仿宋" w:eastAsia="仿宋" w:cs="仿宋"/>
          <w:sz w:val="24"/>
          <w:highlight w:val="none"/>
        </w:rPr>
        <w:t>9.2 不可抗力事件发生后，不能履行合同的一方应以书面形式通知对方，并寄送有关权威机构出具的证明。</w:t>
      </w:r>
    </w:p>
    <w:p>
      <w:pPr>
        <w:pStyle w:val="11"/>
        <w:spacing w:line="360" w:lineRule="auto"/>
        <w:ind w:firstLine="410" w:firstLineChars="171"/>
        <w:rPr>
          <w:rFonts w:hint="eastAsia" w:ascii="仿宋" w:hAnsi="仿宋" w:eastAsia="仿宋" w:cs="仿宋"/>
          <w:sz w:val="24"/>
          <w:highlight w:val="none"/>
        </w:rPr>
      </w:pPr>
      <w:r>
        <w:rPr>
          <w:rFonts w:hint="eastAsia" w:ascii="仿宋" w:hAnsi="仿宋" w:eastAsia="仿宋" w:cs="仿宋"/>
          <w:sz w:val="24"/>
          <w:highlight w:val="none"/>
        </w:rPr>
        <w:t>9.3 不可抗力事件延续120天以上，双方应通过友好协商，确定是否继续履行合同。</w:t>
      </w:r>
    </w:p>
    <w:p>
      <w:pPr>
        <w:pStyle w:val="11"/>
        <w:spacing w:line="360" w:lineRule="auto"/>
        <w:rPr>
          <w:rFonts w:hint="eastAsia" w:ascii="仿宋" w:hAnsi="仿宋" w:eastAsia="仿宋" w:cs="仿宋"/>
          <w:b/>
          <w:bCs/>
          <w:sz w:val="24"/>
          <w:highlight w:val="none"/>
        </w:rPr>
      </w:pPr>
      <w:r>
        <w:rPr>
          <w:rFonts w:hint="eastAsia" w:ascii="仿宋" w:hAnsi="仿宋" w:eastAsia="仿宋" w:cs="仿宋"/>
          <w:b/>
          <w:bCs/>
          <w:sz w:val="24"/>
          <w:highlight w:val="none"/>
        </w:rPr>
        <w:t>10.  合同争议的解决</w:t>
      </w:r>
    </w:p>
    <w:p>
      <w:pPr>
        <w:pStyle w:val="11"/>
        <w:tabs>
          <w:tab w:val="left" w:pos="0"/>
        </w:tabs>
        <w:spacing w:line="360" w:lineRule="auto"/>
        <w:ind w:firstLine="410" w:firstLineChars="171"/>
        <w:rPr>
          <w:rFonts w:hint="eastAsia" w:ascii="仿宋" w:hAnsi="仿宋" w:eastAsia="仿宋" w:cs="仿宋"/>
          <w:sz w:val="24"/>
          <w:highlight w:val="none"/>
        </w:rPr>
      </w:pPr>
      <w:r>
        <w:rPr>
          <w:rFonts w:hint="eastAsia" w:ascii="仿宋" w:hAnsi="仿宋" w:eastAsia="仿宋" w:cs="仿宋"/>
          <w:sz w:val="24"/>
          <w:highlight w:val="none"/>
        </w:rPr>
        <w:t>10.1 双方在执行合同中所发生的一切争议，应通过协商解决。如协商不成，可向合同签订地法院起诉，合同签订地在此约定为新疆乌鲁木齐。</w:t>
      </w:r>
    </w:p>
    <w:p>
      <w:pPr>
        <w:pStyle w:val="11"/>
        <w:spacing w:line="360" w:lineRule="auto"/>
        <w:rPr>
          <w:rFonts w:hint="eastAsia" w:ascii="仿宋" w:hAnsi="仿宋" w:eastAsia="仿宋" w:cs="仿宋"/>
          <w:b/>
          <w:bCs/>
          <w:sz w:val="24"/>
          <w:highlight w:val="none"/>
        </w:rPr>
      </w:pPr>
      <w:r>
        <w:rPr>
          <w:rFonts w:hint="eastAsia" w:ascii="仿宋" w:hAnsi="仿宋" w:eastAsia="仿宋" w:cs="仿宋"/>
          <w:b/>
          <w:bCs/>
          <w:sz w:val="24"/>
          <w:highlight w:val="none"/>
        </w:rPr>
        <w:t>11.  合同生效及其它</w:t>
      </w:r>
    </w:p>
    <w:p>
      <w:pPr>
        <w:pStyle w:val="11"/>
        <w:spacing w:line="360" w:lineRule="auto"/>
        <w:ind w:firstLine="360"/>
        <w:rPr>
          <w:rFonts w:hint="eastAsia" w:ascii="仿宋" w:hAnsi="仿宋" w:eastAsia="仿宋" w:cs="仿宋"/>
          <w:sz w:val="24"/>
          <w:highlight w:val="none"/>
        </w:rPr>
      </w:pPr>
      <w:r>
        <w:rPr>
          <w:rFonts w:hint="eastAsia" w:ascii="仿宋" w:hAnsi="仿宋" w:eastAsia="仿宋" w:cs="仿宋"/>
          <w:sz w:val="24"/>
          <w:highlight w:val="none"/>
        </w:rPr>
        <w:t>11.1 合同经双方法定代表人或授权委托代理人签字并加盖单位公章后生效。</w:t>
      </w:r>
    </w:p>
    <w:p>
      <w:pPr>
        <w:pStyle w:val="11"/>
        <w:spacing w:line="460" w:lineRule="exact"/>
        <w:ind w:firstLine="357"/>
        <w:rPr>
          <w:rFonts w:hint="eastAsia" w:ascii="仿宋" w:hAnsi="仿宋" w:eastAsia="仿宋" w:cs="仿宋"/>
          <w:sz w:val="24"/>
          <w:highlight w:val="none"/>
        </w:rPr>
      </w:pPr>
      <w:r>
        <w:rPr>
          <w:rFonts w:hint="eastAsia" w:ascii="仿宋" w:hAnsi="仿宋" w:eastAsia="仿宋" w:cs="仿宋"/>
          <w:sz w:val="24"/>
          <w:highlight w:val="none"/>
        </w:rPr>
        <w:t>11.2 合同执行中涉及采购资金和采购内容修改或补充的，须经市财政部门审批，并签书面补充协议报自治区政府采购监督管理部门备案，补充协议方可生效并作为主合同不可分割的一部分。</w:t>
      </w:r>
    </w:p>
    <w:p>
      <w:pPr>
        <w:pStyle w:val="11"/>
        <w:spacing w:line="460" w:lineRule="exact"/>
        <w:ind w:firstLine="357"/>
        <w:rPr>
          <w:rFonts w:hint="eastAsia" w:ascii="仿宋" w:hAnsi="仿宋" w:eastAsia="仿宋" w:cs="仿宋"/>
          <w:sz w:val="24"/>
          <w:highlight w:val="none"/>
        </w:rPr>
      </w:pPr>
      <w:r>
        <w:rPr>
          <w:rFonts w:hint="eastAsia" w:ascii="仿宋" w:hAnsi="仿宋" w:eastAsia="仿宋" w:cs="仿宋"/>
          <w:sz w:val="24"/>
          <w:highlight w:val="none"/>
        </w:rPr>
        <w:t>11.3 下述合同附件为本合同不可分割的部分并与本合同具有同等效力：</w:t>
      </w:r>
    </w:p>
    <w:p>
      <w:pPr>
        <w:pStyle w:val="11"/>
        <w:spacing w:line="460" w:lineRule="exact"/>
        <w:ind w:firstLine="357"/>
        <w:rPr>
          <w:rFonts w:hint="eastAsia" w:ascii="仿宋" w:hAnsi="仿宋" w:eastAsia="仿宋" w:cs="仿宋"/>
          <w:sz w:val="24"/>
          <w:highlight w:val="none"/>
        </w:rPr>
      </w:pPr>
      <w:r>
        <w:rPr>
          <w:rFonts w:hint="eastAsia" w:ascii="仿宋" w:hAnsi="仿宋" w:eastAsia="仿宋" w:cs="仿宋"/>
          <w:sz w:val="24"/>
          <w:highlight w:val="none"/>
        </w:rPr>
        <w:t>（1）成交通知书</w:t>
      </w:r>
    </w:p>
    <w:p>
      <w:pPr>
        <w:pStyle w:val="11"/>
        <w:spacing w:line="460" w:lineRule="exact"/>
        <w:ind w:firstLine="357"/>
        <w:rPr>
          <w:rFonts w:hint="eastAsia" w:ascii="仿宋" w:hAnsi="仿宋" w:eastAsia="仿宋" w:cs="仿宋"/>
          <w:sz w:val="24"/>
          <w:highlight w:val="none"/>
        </w:rPr>
      </w:pPr>
      <w:r>
        <w:rPr>
          <w:rFonts w:hint="eastAsia" w:ascii="仿宋" w:hAnsi="仿宋" w:eastAsia="仿宋" w:cs="仿宋"/>
          <w:sz w:val="24"/>
          <w:highlight w:val="none"/>
        </w:rPr>
        <w:t>（2）竞争性磋商采购文件服务需求一览表</w:t>
      </w:r>
    </w:p>
    <w:p>
      <w:pPr>
        <w:pStyle w:val="11"/>
        <w:spacing w:line="460" w:lineRule="exact"/>
        <w:ind w:firstLine="357"/>
        <w:rPr>
          <w:rFonts w:hint="eastAsia" w:ascii="仿宋" w:hAnsi="仿宋" w:eastAsia="仿宋" w:cs="仿宋"/>
          <w:sz w:val="24"/>
          <w:highlight w:val="none"/>
        </w:rPr>
      </w:pPr>
      <w:r>
        <w:rPr>
          <w:rFonts w:hint="eastAsia" w:ascii="仿宋" w:hAnsi="仿宋" w:eastAsia="仿宋" w:cs="仿宋"/>
          <w:sz w:val="24"/>
          <w:highlight w:val="none"/>
        </w:rPr>
        <w:t>（3）竞争性磋商采购文件的更改通知（如有请提供）</w:t>
      </w:r>
    </w:p>
    <w:p>
      <w:pPr>
        <w:pStyle w:val="11"/>
        <w:spacing w:line="460" w:lineRule="exact"/>
        <w:ind w:firstLine="357"/>
        <w:rPr>
          <w:rFonts w:hint="eastAsia" w:ascii="仿宋" w:hAnsi="仿宋" w:eastAsia="仿宋" w:cs="仿宋"/>
          <w:sz w:val="24"/>
          <w:highlight w:val="none"/>
        </w:rPr>
      </w:pPr>
      <w:r>
        <w:rPr>
          <w:rFonts w:hint="eastAsia" w:ascii="仿宋" w:hAnsi="仿宋" w:eastAsia="仿宋" w:cs="仿宋"/>
          <w:sz w:val="24"/>
          <w:highlight w:val="none"/>
        </w:rPr>
        <w:t>（4）竞标函</w:t>
      </w:r>
    </w:p>
    <w:p>
      <w:pPr>
        <w:pStyle w:val="11"/>
        <w:spacing w:line="460" w:lineRule="exact"/>
        <w:ind w:firstLine="357"/>
        <w:rPr>
          <w:rFonts w:hint="eastAsia" w:ascii="仿宋" w:hAnsi="仿宋" w:eastAsia="仿宋" w:cs="仿宋"/>
          <w:sz w:val="24"/>
          <w:highlight w:val="none"/>
        </w:rPr>
      </w:pPr>
      <w:r>
        <w:rPr>
          <w:rFonts w:hint="eastAsia" w:ascii="仿宋" w:hAnsi="仿宋" w:eastAsia="仿宋" w:cs="仿宋"/>
          <w:sz w:val="24"/>
          <w:highlight w:val="none"/>
        </w:rPr>
        <w:t>（5）竞标报价表</w:t>
      </w:r>
    </w:p>
    <w:p>
      <w:pPr>
        <w:pStyle w:val="11"/>
        <w:spacing w:line="460" w:lineRule="exact"/>
        <w:ind w:firstLine="357"/>
        <w:rPr>
          <w:rFonts w:hint="eastAsia" w:ascii="仿宋" w:hAnsi="仿宋" w:eastAsia="仿宋" w:cs="仿宋"/>
          <w:sz w:val="24"/>
          <w:highlight w:val="none"/>
        </w:rPr>
      </w:pPr>
      <w:r>
        <w:rPr>
          <w:rFonts w:hint="eastAsia" w:ascii="仿宋" w:hAnsi="仿宋" w:eastAsia="仿宋" w:cs="仿宋"/>
          <w:sz w:val="24"/>
          <w:highlight w:val="none"/>
        </w:rPr>
        <w:t>（6）竞标服务资料表</w:t>
      </w:r>
    </w:p>
    <w:p>
      <w:pPr>
        <w:pStyle w:val="11"/>
        <w:spacing w:line="460" w:lineRule="exact"/>
        <w:ind w:firstLine="357"/>
        <w:rPr>
          <w:rFonts w:hint="eastAsia" w:ascii="仿宋" w:hAnsi="仿宋" w:eastAsia="仿宋" w:cs="仿宋"/>
          <w:sz w:val="24"/>
          <w:highlight w:val="none"/>
        </w:rPr>
      </w:pPr>
      <w:r>
        <w:rPr>
          <w:rFonts w:hint="eastAsia" w:ascii="仿宋" w:hAnsi="仿宋" w:eastAsia="仿宋" w:cs="仿宋"/>
          <w:sz w:val="24"/>
          <w:highlight w:val="none"/>
        </w:rPr>
        <w:t>（7）商务条款偏离表</w:t>
      </w:r>
    </w:p>
    <w:p>
      <w:pPr>
        <w:pStyle w:val="11"/>
        <w:spacing w:line="460" w:lineRule="exact"/>
        <w:ind w:firstLine="357"/>
        <w:rPr>
          <w:rFonts w:hint="eastAsia" w:ascii="仿宋" w:hAnsi="仿宋" w:eastAsia="仿宋" w:cs="仿宋"/>
          <w:sz w:val="24"/>
          <w:highlight w:val="none"/>
        </w:rPr>
      </w:pPr>
      <w:r>
        <w:rPr>
          <w:rFonts w:hint="eastAsia" w:ascii="仿宋" w:hAnsi="仿宋" w:eastAsia="仿宋" w:cs="仿宋"/>
          <w:sz w:val="24"/>
          <w:highlight w:val="none"/>
        </w:rPr>
        <w:t>（8）成交供应商澄清函（如有请提供）</w:t>
      </w:r>
    </w:p>
    <w:p>
      <w:pPr>
        <w:pStyle w:val="11"/>
        <w:spacing w:line="460" w:lineRule="exact"/>
        <w:ind w:firstLine="357"/>
        <w:rPr>
          <w:rFonts w:hint="eastAsia" w:ascii="仿宋" w:hAnsi="仿宋" w:eastAsia="仿宋" w:cs="仿宋"/>
          <w:sz w:val="24"/>
          <w:highlight w:val="none"/>
        </w:rPr>
      </w:pPr>
      <w:r>
        <w:rPr>
          <w:rFonts w:hint="eastAsia" w:ascii="仿宋" w:hAnsi="仿宋" w:eastAsia="仿宋" w:cs="仿宋"/>
          <w:sz w:val="24"/>
          <w:highlight w:val="none"/>
        </w:rPr>
        <w:t>（9）其他与本合同相关的资料（如有请提供）</w:t>
      </w:r>
    </w:p>
    <w:p>
      <w:pPr>
        <w:pStyle w:val="11"/>
        <w:spacing w:line="460" w:lineRule="exact"/>
        <w:ind w:firstLine="357"/>
        <w:rPr>
          <w:rFonts w:hint="eastAsia" w:ascii="仿宋" w:hAnsi="仿宋" w:eastAsia="仿宋" w:cs="仿宋"/>
          <w:sz w:val="24"/>
          <w:highlight w:val="none"/>
        </w:rPr>
      </w:pPr>
      <w:r>
        <w:rPr>
          <w:rFonts w:hint="eastAsia" w:ascii="仿宋" w:hAnsi="仿宋" w:eastAsia="仿宋" w:cs="仿宋"/>
          <w:sz w:val="24"/>
          <w:highlight w:val="none"/>
        </w:rPr>
        <w:t>（10）乙方根据甲方的委托服务事项制定出本服务分项标准，与甲方协商同意后作为本合同的必备附件</w:t>
      </w:r>
    </w:p>
    <w:p>
      <w:pPr>
        <w:pStyle w:val="11"/>
        <w:spacing w:line="460" w:lineRule="exact"/>
        <w:ind w:firstLine="357"/>
        <w:rPr>
          <w:rFonts w:hint="eastAsia" w:ascii="仿宋" w:hAnsi="仿宋" w:eastAsia="仿宋" w:cs="仿宋"/>
          <w:sz w:val="24"/>
          <w:highlight w:val="none"/>
        </w:rPr>
      </w:pPr>
      <w:r>
        <w:rPr>
          <w:rFonts w:hint="eastAsia" w:ascii="仿宋" w:hAnsi="仿宋" w:eastAsia="仿宋" w:cs="仿宋"/>
          <w:sz w:val="24"/>
          <w:highlight w:val="none"/>
        </w:rPr>
        <w:t>（11）双方可对本合同的条款进行修订更改或补充，但应书面签订补充协议，补充协议与本合同具有同等效力并作为本合同不可分割的一部分</w:t>
      </w:r>
    </w:p>
    <w:p>
      <w:pPr>
        <w:pStyle w:val="11"/>
        <w:spacing w:line="460" w:lineRule="exact"/>
        <w:ind w:firstLine="357"/>
        <w:rPr>
          <w:rFonts w:hint="eastAsia" w:ascii="仿宋" w:hAnsi="仿宋" w:eastAsia="仿宋" w:cs="仿宋"/>
          <w:sz w:val="24"/>
          <w:highlight w:val="none"/>
        </w:rPr>
      </w:pPr>
      <w:r>
        <w:rPr>
          <w:rFonts w:hint="eastAsia" w:ascii="仿宋" w:hAnsi="仿宋" w:eastAsia="仿宋" w:cs="仿宋"/>
          <w:sz w:val="24"/>
          <w:highlight w:val="none"/>
        </w:rPr>
        <w:t>11.4 本合同未尽事宜，遵照《中华人民共和国合同法》有关条文执行。</w:t>
      </w:r>
    </w:p>
    <w:p>
      <w:pPr>
        <w:pStyle w:val="11"/>
        <w:spacing w:line="460" w:lineRule="exact"/>
        <w:ind w:firstLine="357"/>
        <w:rPr>
          <w:rFonts w:hint="eastAsia" w:ascii="仿宋" w:hAnsi="仿宋" w:eastAsia="仿宋" w:cs="仿宋"/>
          <w:sz w:val="24"/>
          <w:highlight w:val="none"/>
        </w:rPr>
      </w:pPr>
      <w:r>
        <w:rPr>
          <w:rFonts w:hint="eastAsia" w:ascii="仿宋" w:hAnsi="仿宋" w:eastAsia="仿宋" w:cs="仿宋"/>
          <w:sz w:val="24"/>
          <w:highlight w:val="none"/>
        </w:rPr>
        <w:t>11.5本合同一式五份，具有同等法律效力，甲乙各执两份，采购代理机构执一份。</w:t>
      </w:r>
    </w:p>
    <w:p>
      <w:pPr>
        <w:pStyle w:val="11"/>
        <w:spacing w:line="360" w:lineRule="auto"/>
        <w:ind w:firstLine="360"/>
        <w:rPr>
          <w:rFonts w:hint="eastAsia" w:ascii="仿宋" w:hAnsi="仿宋" w:eastAsia="仿宋" w:cs="仿宋"/>
          <w:highlight w:val="none"/>
        </w:rPr>
      </w:pPr>
    </w:p>
    <w:p>
      <w:pPr>
        <w:pStyle w:val="8"/>
        <w:spacing w:before="2"/>
        <w:ind w:left="940"/>
        <w:rPr>
          <w:rFonts w:hint="eastAsia" w:ascii="仿宋" w:hAnsi="仿宋" w:eastAsia="仿宋" w:cs="仿宋"/>
          <w:highlight w:val="none"/>
        </w:rPr>
      </w:pPr>
      <w:r>
        <w:rPr>
          <w:rFonts w:hint="eastAsia" w:ascii="仿宋" w:hAnsi="仿宋" w:eastAsia="仿宋" w:cs="仿宋"/>
          <w:highlight w:val="none"/>
        </w:rPr>
        <w:t xml:space="preserve"> </w:t>
      </w:r>
    </w:p>
    <w:p>
      <w:pPr>
        <w:pStyle w:val="8"/>
        <w:spacing w:before="161"/>
        <w:ind w:left="460"/>
        <w:rPr>
          <w:rFonts w:hint="eastAsia" w:ascii="仿宋" w:hAnsi="仿宋" w:eastAsia="仿宋" w:cs="仿宋"/>
          <w:highlight w:val="none"/>
        </w:rPr>
      </w:pPr>
      <w:r>
        <w:rPr>
          <w:rFonts w:hint="eastAsia" w:ascii="仿宋" w:hAnsi="仿宋" w:eastAsia="仿宋" w:cs="仿宋"/>
          <w:highlight w:val="none"/>
        </w:rPr>
        <w:t xml:space="preserve">[以下无正文，供双方签字盖章] </w:t>
      </w:r>
    </w:p>
    <w:p>
      <w:pPr>
        <w:pStyle w:val="8"/>
        <w:spacing w:before="160"/>
        <w:ind w:left="460"/>
        <w:rPr>
          <w:rFonts w:hint="eastAsia" w:ascii="仿宋" w:hAnsi="仿宋" w:eastAsia="仿宋" w:cs="仿宋"/>
          <w:highlight w:val="none"/>
        </w:rPr>
      </w:pPr>
      <w:r>
        <w:rPr>
          <w:rFonts w:hint="eastAsia" w:ascii="仿宋" w:hAnsi="仿宋" w:eastAsia="仿宋" w:cs="仿宋"/>
          <w:highlight w:val="none"/>
        </w:rPr>
        <w:t xml:space="preserve"> </w:t>
      </w:r>
    </w:p>
    <w:p>
      <w:pPr>
        <w:pStyle w:val="8"/>
        <w:spacing w:before="161"/>
        <w:ind w:left="460"/>
        <w:rPr>
          <w:rFonts w:hint="eastAsia" w:ascii="仿宋" w:hAnsi="仿宋" w:eastAsia="仿宋" w:cs="仿宋"/>
          <w:highlight w:val="none"/>
        </w:rPr>
      </w:pPr>
      <w:r>
        <w:rPr>
          <w:rFonts w:hint="eastAsia" w:ascii="仿宋" w:hAnsi="仿宋" w:eastAsia="仿宋" w:cs="仿宋"/>
          <w:highlight w:val="none"/>
        </w:rPr>
        <w:t>甲方（公章</w:t>
      </w:r>
      <w:r>
        <w:rPr>
          <w:rFonts w:hint="eastAsia" w:ascii="仿宋" w:hAnsi="仿宋" w:eastAsia="仿宋" w:cs="仿宋"/>
          <w:spacing w:val="-120"/>
          <w:highlight w:val="none"/>
        </w:rPr>
        <w:t>）</w:t>
      </w:r>
      <w:r>
        <w:rPr>
          <w:rFonts w:hint="eastAsia" w:ascii="仿宋" w:hAnsi="仿宋" w:eastAsia="仿宋" w:cs="仿宋"/>
          <w:spacing w:val="-1"/>
          <w:highlight w:val="none"/>
        </w:rPr>
        <w:t>：                             乙方</w:t>
      </w:r>
      <w:r>
        <w:rPr>
          <w:rFonts w:hint="eastAsia" w:ascii="仿宋" w:hAnsi="仿宋" w:eastAsia="仿宋" w:cs="仿宋"/>
          <w:highlight w:val="none"/>
        </w:rPr>
        <w:t>（公章</w:t>
      </w:r>
      <w:r>
        <w:rPr>
          <w:rFonts w:hint="eastAsia" w:ascii="仿宋" w:hAnsi="仿宋" w:eastAsia="仿宋" w:cs="仿宋"/>
          <w:spacing w:val="-120"/>
          <w:highlight w:val="none"/>
        </w:rPr>
        <w:t>）</w:t>
      </w:r>
      <w:r>
        <w:rPr>
          <w:rFonts w:hint="eastAsia" w:ascii="仿宋" w:hAnsi="仿宋" w:eastAsia="仿宋" w:cs="仿宋"/>
          <w:highlight w:val="none"/>
        </w:rPr>
        <w:t xml:space="preserve">： </w:t>
      </w:r>
    </w:p>
    <w:p>
      <w:pPr>
        <w:pStyle w:val="8"/>
        <w:spacing w:before="160"/>
        <w:ind w:left="460"/>
        <w:rPr>
          <w:rFonts w:hint="eastAsia" w:ascii="仿宋" w:hAnsi="仿宋" w:eastAsia="仿宋" w:cs="仿宋"/>
          <w:highlight w:val="none"/>
        </w:rPr>
      </w:pPr>
      <w:r>
        <w:rPr>
          <w:rFonts w:hint="eastAsia" w:ascii="仿宋" w:hAnsi="仿宋" w:eastAsia="仿宋" w:cs="仿宋"/>
          <w:highlight w:val="none"/>
        </w:rPr>
        <w:t xml:space="preserve"> </w:t>
      </w:r>
    </w:p>
    <w:p>
      <w:pPr>
        <w:pStyle w:val="8"/>
        <w:spacing w:before="160"/>
        <w:ind w:left="460"/>
        <w:rPr>
          <w:rFonts w:hint="eastAsia" w:ascii="仿宋" w:hAnsi="仿宋" w:eastAsia="仿宋" w:cs="仿宋"/>
          <w:highlight w:val="none"/>
        </w:rPr>
      </w:pPr>
      <w:r>
        <w:rPr>
          <w:rFonts w:hint="eastAsia" w:ascii="仿宋" w:hAnsi="仿宋" w:eastAsia="仿宋" w:cs="仿宋"/>
          <w:highlight w:val="none"/>
        </w:rPr>
        <w:t xml:space="preserve">法 定 代 表 人 ：                       法 定 代 表 人 ： </w:t>
      </w:r>
    </w:p>
    <w:p>
      <w:pPr>
        <w:pStyle w:val="8"/>
        <w:spacing w:before="161"/>
        <w:ind w:left="460"/>
        <w:rPr>
          <w:rFonts w:hint="eastAsia" w:ascii="仿宋" w:hAnsi="仿宋" w:eastAsia="仿宋" w:cs="仿宋"/>
          <w:highlight w:val="none"/>
        </w:rPr>
      </w:pPr>
      <w:r>
        <w:rPr>
          <w:rFonts w:hint="eastAsia" w:ascii="仿宋" w:hAnsi="仿宋" w:eastAsia="仿宋" w:cs="仿宋"/>
          <w:highlight w:val="none"/>
        </w:rPr>
        <w:t xml:space="preserve"> </w:t>
      </w:r>
    </w:p>
    <w:p>
      <w:pPr>
        <w:pStyle w:val="8"/>
        <w:spacing w:before="161"/>
        <w:ind w:left="460"/>
        <w:rPr>
          <w:rFonts w:hint="eastAsia" w:ascii="仿宋" w:hAnsi="仿宋" w:eastAsia="仿宋" w:cs="仿宋"/>
          <w:highlight w:val="none"/>
        </w:rPr>
      </w:pPr>
      <w:r>
        <w:rPr>
          <w:rFonts w:hint="eastAsia" w:ascii="仿宋" w:hAnsi="仿宋" w:eastAsia="仿宋" w:cs="仿宋"/>
          <w:highlight w:val="none"/>
        </w:rPr>
        <w:t xml:space="preserve">(或授权代表人)签字：                   (或授权代表)签字： </w:t>
      </w:r>
    </w:p>
    <w:p>
      <w:pPr>
        <w:pStyle w:val="8"/>
        <w:spacing w:before="161"/>
        <w:ind w:left="460"/>
        <w:rPr>
          <w:rFonts w:hint="eastAsia" w:ascii="仿宋" w:hAnsi="仿宋" w:eastAsia="仿宋" w:cs="仿宋"/>
          <w:highlight w:val="none"/>
        </w:rPr>
      </w:pPr>
      <w:r>
        <w:rPr>
          <w:rFonts w:hint="eastAsia" w:ascii="仿宋" w:hAnsi="仿宋" w:eastAsia="仿宋" w:cs="仿宋"/>
          <w:highlight w:val="none"/>
        </w:rPr>
        <w:t xml:space="preserve"> </w:t>
      </w:r>
    </w:p>
    <w:p>
      <w:pPr>
        <w:pStyle w:val="8"/>
        <w:tabs>
          <w:tab w:val="left" w:pos="3820"/>
        </w:tabs>
        <w:spacing w:before="160"/>
        <w:ind w:left="460"/>
        <w:jc w:val="center"/>
        <w:outlineLvl w:val="0"/>
        <w:rPr>
          <w:rFonts w:hint="eastAsia" w:ascii="仿宋" w:hAnsi="仿宋" w:eastAsia="仿宋" w:cs="仿宋"/>
          <w:highlight w:val="none"/>
        </w:rPr>
      </w:pPr>
      <w:r>
        <w:rPr>
          <w:rFonts w:hint="eastAsia" w:ascii="仿宋" w:hAnsi="仿宋" w:eastAsia="仿宋" w:cs="仿宋"/>
          <w:highlight w:val="none"/>
        </w:rPr>
        <w:t>日 期 ：</w:t>
      </w:r>
      <w:r>
        <w:rPr>
          <w:rFonts w:hint="eastAsia" w:hAnsi="仿宋" w:cs="仿宋"/>
          <w:highlight w:val="none"/>
          <w:lang w:val="en-US" w:eastAsia="zh-CN"/>
        </w:rPr>
        <w:t xml:space="preserve">  </w:t>
      </w:r>
      <w:r>
        <w:rPr>
          <w:rFonts w:hint="eastAsia" w:ascii="仿宋" w:hAnsi="仿宋" w:eastAsia="仿宋" w:cs="仿宋"/>
          <w:highlight w:val="none"/>
        </w:rPr>
        <w:t>年</w:t>
      </w:r>
      <w:r>
        <w:rPr>
          <w:rFonts w:hint="eastAsia" w:ascii="仿宋" w:hAnsi="仿宋" w:eastAsia="仿宋" w:cs="仿宋"/>
          <w:spacing w:val="59"/>
          <w:highlight w:val="none"/>
        </w:rPr>
        <w:t xml:space="preserve"> </w:t>
      </w:r>
      <w:r>
        <w:rPr>
          <w:rFonts w:hint="eastAsia" w:ascii="仿宋" w:hAnsi="仿宋" w:eastAsia="仿宋" w:cs="仿宋"/>
          <w:highlight w:val="none"/>
        </w:rPr>
        <w:t>月  日</w:t>
      </w:r>
      <w:r>
        <w:rPr>
          <w:rFonts w:hint="eastAsia" w:ascii="仿宋" w:hAnsi="仿宋" w:eastAsia="仿宋" w:cs="仿宋"/>
          <w:highlight w:val="none"/>
        </w:rPr>
        <w:tab/>
      </w:r>
      <w:r>
        <w:rPr>
          <w:rFonts w:hint="eastAsia" w:ascii="仿宋" w:hAnsi="仿宋" w:eastAsia="仿宋" w:cs="仿宋"/>
          <w:highlight w:val="none"/>
        </w:rPr>
        <w:t xml:space="preserve">            日 期 ：</w:t>
      </w:r>
      <w:r>
        <w:rPr>
          <w:rFonts w:hint="eastAsia" w:hAnsi="仿宋" w:cs="仿宋"/>
          <w:highlight w:val="none"/>
          <w:lang w:val="en-US" w:eastAsia="zh-CN"/>
        </w:rPr>
        <w:t xml:space="preserve"> </w:t>
      </w:r>
      <w:r>
        <w:rPr>
          <w:rFonts w:hint="eastAsia" w:ascii="仿宋" w:hAnsi="仿宋" w:eastAsia="仿宋" w:cs="仿宋"/>
          <w:highlight w:val="none"/>
        </w:rPr>
        <w:t xml:space="preserve">年 </w:t>
      </w:r>
      <w:r>
        <w:rPr>
          <w:rFonts w:hint="eastAsia" w:hAnsi="仿宋" w:cs="仿宋"/>
          <w:highlight w:val="none"/>
          <w:lang w:val="en-US" w:eastAsia="zh-CN"/>
        </w:rPr>
        <w:t xml:space="preserve"> </w:t>
      </w:r>
      <w:r>
        <w:rPr>
          <w:rFonts w:hint="eastAsia" w:ascii="仿宋" w:hAnsi="仿宋" w:eastAsia="仿宋" w:cs="仿宋"/>
          <w:highlight w:val="none"/>
        </w:rPr>
        <w:t>月</w:t>
      </w:r>
      <w:r>
        <w:rPr>
          <w:rFonts w:hint="eastAsia" w:ascii="仿宋" w:hAnsi="仿宋" w:eastAsia="仿宋" w:cs="仿宋"/>
          <w:spacing w:val="60"/>
          <w:highlight w:val="none"/>
        </w:rPr>
        <w:t xml:space="preserve"> </w:t>
      </w:r>
      <w:r>
        <w:rPr>
          <w:rFonts w:hint="eastAsia" w:ascii="仿宋" w:hAnsi="仿宋" w:eastAsia="仿宋" w:cs="仿宋"/>
          <w:highlight w:val="none"/>
        </w:rPr>
        <w:t>日</w:t>
      </w:r>
      <w:r>
        <w:rPr>
          <w:rFonts w:hint="eastAsia" w:ascii="仿宋" w:hAnsi="仿宋" w:eastAsia="仿宋" w:cs="仿宋"/>
          <w:highlight w:val="none"/>
        </w:rPr>
        <w:br w:type="page"/>
      </w:r>
      <w:r>
        <w:rPr>
          <w:rFonts w:hint="eastAsia" w:ascii="仿宋" w:hAnsi="仿宋" w:eastAsia="仿宋" w:cs="仿宋"/>
          <w:b/>
          <w:bCs/>
          <w:w w:val="95"/>
          <w:sz w:val="32"/>
          <w:szCs w:val="32"/>
          <w:highlight w:val="none"/>
        </w:rPr>
        <w:t>第六章</w:t>
      </w:r>
      <w:r>
        <w:rPr>
          <w:rFonts w:hint="eastAsia" w:hAnsi="仿宋" w:cs="仿宋"/>
          <w:b/>
          <w:bCs/>
          <w:w w:val="95"/>
          <w:sz w:val="32"/>
          <w:szCs w:val="32"/>
          <w:highlight w:val="none"/>
          <w:lang w:val="en-US" w:eastAsia="zh-CN"/>
        </w:rPr>
        <w:t xml:space="preserve"> </w:t>
      </w:r>
      <w:r>
        <w:rPr>
          <w:rFonts w:hint="eastAsia" w:ascii="仿宋" w:hAnsi="仿宋" w:eastAsia="仿宋" w:cs="仿宋"/>
          <w:b/>
          <w:bCs/>
          <w:sz w:val="32"/>
          <w:szCs w:val="32"/>
          <w:highlight w:val="none"/>
        </w:rPr>
        <w:t>磋商响应性文件格式</w:t>
      </w:r>
    </w:p>
    <w:p>
      <w:pPr>
        <w:rPr>
          <w:rFonts w:hint="eastAsia" w:ascii="仿宋" w:hAnsi="仿宋" w:eastAsia="仿宋" w:cs="仿宋"/>
          <w:highlight w:val="none"/>
        </w:rPr>
      </w:pPr>
    </w:p>
    <w:p>
      <w:pPr>
        <w:widowControl/>
        <w:spacing w:line="460" w:lineRule="exact"/>
        <w:jc w:val="right"/>
        <w:rPr>
          <w:rFonts w:hint="eastAsia" w:ascii="仿宋" w:hAnsi="仿宋" w:eastAsia="仿宋" w:cs="仿宋"/>
          <w:sz w:val="36"/>
          <w:szCs w:val="36"/>
          <w:highlight w:val="none"/>
        </w:rPr>
      </w:pPr>
      <w:r>
        <w:rPr>
          <w:rFonts w:hint="eastAsia" w:ascii="仿宋" w:hAnsi="仿宋" w:eastAsia="仿宋" w:cs="仿宋"/>
          <w:sz w:val="36"/>
          <w:szCs w:val="36"/>
          <w:highlight w:val="none"/>
        </w:rPr>
        <w:t xml:space="preserve"> 正/副本 </w:t>
      </w:r>
    </w:p>
    <w:p>
      <w:pPr>
        <w:widowControl/>
        <w:spacing w:line="460" w:lineRule="exact"/>
        <w:jc w:val="center"/>
        <w:rPr>
          <w:rFonts w:hint="eastAsia" w:ascii="仿宋" w:hAnsi="仿宋" w:eastAsia="仿宋" w:cs="仿宋"/>
          <w:sz w:val="36"/>
          <w:szCs w:val="36"/>
          <w:highlight w:val="none"/>
        </w:rPr>
      </w:pPr>
    </w:p>
    <w:p>
      <w:pPr>
        <w:widowControl/>
        <w:spacing w:line="460" w:lineRule="exact"/>
        <w:jc w:val="center"/>
        <w:rPr>
          <w:rFonts w:hint="eastAsia" w:ascii="仿宋" w:hAnsi="仿宋" w:eastAsia="仿宋" w:cs="仿宋"/>
          <w:sz w:val="36"/>
          <w:szCs w:val="36"/>
          <w:highlight w:val="none"/>
        </w:rPr>
      </w:pPr>
    </w:p>
    <w:p>
      <w:pPr>
        <w:widowControl/>
        <w:spacing w:line="460" w:lineRule="exact"/>
        <w:jc w:val="center"/>
        <w:rPr>
          <w:rFonts w:hint="eastAsia" w:ascii="仿宋" w:hAnsi="仿宋" w:eastAsia="仿宋" w:cs="仿宋"/>
          <w:sz w:val="36"/>
          <w:szCs w:val="36"/>
          <w:highlight w:val="none"/>
        </w:rPr>
      </w:pPr>
    </w:p>
    <w:p>
      <w:pPr>
        <w:widowControl/>
        <w:spacing w:line="460" w:lineRule="exact"/>
        <w:jc w:val="center"/>
        <w:rPr>
          <w:rFonts w:hint="eastAsia" w:ascii="仿宋" w:hAnsi="仿宋" w:eastAsia="仿宋" w:cs="仿宋"/>
          <w:sz w:val="36"/>
          <w:szCs w:val="36"/>
          <w:highlight w:val="none"/>
        </w:rPr>
      </w:pPr>
    </w:p>
    <w:p>
      <w:pPr>
        <w:widowControl/>
        <w:spacing w:line="460" w:lineRule="exact"/>
        <w:jc w:val="center"/>
        <w:rPr>
          <w:rFonts w:hint="eastAsia" w:ascii="仿宋" w:hAnsi="仿宋" w:eastAsia="仿宋" w:cs="仿宋"/>
          <w:sz w:val="36"/>
          <w:szCs w:val="36"/>
          <w:highlight w:val="none"/>
        </w:rPr>
      </w:pPr>
    </w:p>
    <w:p>
      <w:pPr>
        <w:widowControl/>
        <w:spacing w:line="460" w:lineRule="exact"/>
        <w:jc w:val="center"/>
        <w:rPr>
          <w:rFonts w:hint="eastAsia" w:ascii="仿宋" w:hAnsi="仿宋" w:eastAsia="仿宋" w:cs="仿宋"/>
          <w:sz w:val="36"/>
          <w:szCs w:val="36"/>
          <w:highlight w:val="none"/>
        </w:rPr>
      </w:pPr>
    </w:p>
    <w:p>
      <w:pPr>
        <w:widowControl/>
        <w:spacing w:line="480" w:lineRule="auto"/>
        <w:jc w:val="center"/>
        <w:rPr>
          <w:rFonts w:hint="eastAsia" w:ascii="仿宋" w:hAnsi="仿宋" w:eastAsia="仿宋" w:cs="仿宋"/>
          <w:b/>
          <w:sz w:val="84"/>
          <w:szCs w:val="84"/>
          <w:highlight w:val="none"/>
        </w:rPr>
      </w:pPr>
      <w:r>
        <w:rPr>
          <w:rFonts w:hint="eastAsia" w:ascii="仿宋" w:hAnsi="仿宋" w:eastAsia="仿宋" w:cs="仿宋"/>
          <w:b/>
          <w:bCs/>
          <w:spacing w:val="2"/>
          <w:sz w:val="96"/>
          <w:szCs w:val="96"/>
          <w:highlight w:val="none"/>
        </w:rPr>
        <w:t>磋商响应性文件</w:t>
      </w:r>
    </w:p>
    <w:p>
      <w:pPr>
        <w:widowControl/>
        <w:spacing w:line="460" w:lineRule="exact"/>
        <w:jc w:val="center"/>
        <w:rPr>
          <w:rFonts w:hint="eastAsia" w:ascii="仿宋" w:hAnsi="仿宋" w:eastAsia="仿宋" w:cs="仿宋"/>
          <w:sz w:val="36"/>
          <w:szCs w:val="36"/>
          <w:highlight w:val="none"/>
        </w:rPr>
      </w:pPr>
    </w:p>
    <w:p>
      <w:pPr>
        <w:pStyle w:val="34"/>
        <w:spacing w:line="460" w:lineRule="exact"/>
        <w:rPr>
          <w:rFonts w:hint="eastAsia" w:ascii="仿宋" w:hAnsi="仿宋" w:eastAsia="仿宋" w:cs="仿宋"/>
          <w:highlight w:val="none"/>
        </w:rPr>
      </w:pPr>
    </w:p>
    <w:p>
      <w:pPr>
        <w:widowControl/>
        <w:spacing w:line="460" w:lineRule="exact"/>
        <w:ind w:firstLine="1792" w:firstLineChars="850"/>
        <w:rPr>
          <w:rFonts w:hint="eastAsia" w:ascii="仿宋" w:hAnsi="仿宋" w:eastAsia="仿宋" w:cs="仿宋"/>
          <w:b/>
          <w:szCs w:val="30"/>
          <w:highlight w:val="none"/>
        </w:rPr>
      </w:pPr>
    </w:p>
    <w:p>
      <w:pPr>
        <w:widowControl/>
        <w:spacing w:line="460" w:lineRule="exact"/>
        <w:rPr>
          <w:rFonts w:hint="eastAsia" w:ascii="仿宋" w:hAnsi="仿宋" w:eastAsia="仿宋" w:cs="仿宋"/>
          <w:b/>
          <w:szCs w:val="30"/>
          <w:highlight w:val="none"/>
        </w:rPr>
      </w:pPr>
      <w:r>
        <w:rPr>
          <w:rFonts w:hint="eastAsia" w:ascii="仿宋" w:hAnsi="仿宋" w:eastAsia="仿宋" w:cs="仿宋"/>
          <w:b/>
          <w:sz w:val="30"/>
          <w:szCs w:val="30"/>
          <w:highlight w:val="none"/>
          <w:lang w:bidi="ar"/>
        </w:rPr>
        <w:t xml:space="preserve">    项目名称：</w:t>
      </w:r>
    </w:p>
    <w:p>
      <w:pPr>
        <w:widowControl/>
        <w:spacing w:line="460" w:lineRule="exact"/>
        <w:ind w:firstLine="600"/>
        <w:rPr>
          <w:rFonts w:hint="eastAsia" w:ascii="仿宋" w:hAnsi="仿宋" w:eastAsia="仿宋" w:cs="仿宋"/>
          <w:b/>
          <w:sz w:val="30"/>
          <w:szCs w:val="30"/>
          <w:highlight w:val="none"/>
          <w:lang w:bidi="ar"/>
        </w:rPr>
      </w:pPr>
      <w:r>
        <w:rPr>
          <w:rFonts w:hint="eastAsia" w:ascii="仿宋" w:hAnsi="仿宋" w:eastAsia="仿宋" w:cs="仿宋"/>
          <w:b/>
          <w:sz w:val="30"/>
          <w:szCs w:val="30"/>
          <w:highlight w:val="none"/>
          <w:lang w:bidi="ar"/>
        </w:rPr>
        <w:t>项目编号：</w:t>
      </w:r>
    </w:p>
    <w:p>
      <w:pPr>
        <w:widowControl/>
        <w:spacing w:line="460" w:lineRule="exact"/>
        <w:ind w:firstLine="600"/>
        <w:rPr>
          <w:rFonts w:hint="eastAsia" w:ascii="仿宋" w:hAnsi="仿宋" w:eastAsia="仿宋" w:cs="仿宋"/>
          <w:b/>
          <w:sz w:val="30"/>
          <w:szCs w:val="30"/>
          <w:highlight w:val="none"/>
          <w:lang w:bidi="ar"/>
        </w:rPr>
      </w:pPr>
    </w:p>
    <w:p>
      <w:pPr>
        <w:widowControl/>
        <w:spacing w:line="460" w:lineRule="exact"/>
        <w:jc w:val="center"/>
        <w:rPr>
          <w:rFonts w:hint="eastAsia" w:ascii="仿宋" w:hAnsi="仿宋" w:eastAsia="仿宋" w:cs="仿宋"/>
          <w:sz w:val="36"/>
          <w:szCs w:val="36"/>
          <w:highlight w:val="none"/>
        </w:rPr>
      </w:pPr>
    </w:p>
    <w:p>
      <w:pPr>
        <w:pStyle w:val="34"/>
        <w:spacing w:line="460" w:lineRule="exact"/>
        <w:rPr>
          <w:rFonts w:hint="eastAsia" w:ascii="仿宋" w:hAnsi="仿宋" w:eastAsia="仿宋" w:cs="仿宋"/>
          <w:highlight w:val="none"/>
        </w:rPr>
      </w:pPr>
    </w:p>
    <w:p>
      <w:pPr>
        <w:widowControl/>
        <w:spacing w:line="460" w:lineRule="exact"/>
        <w:ind w:firstLine="562" w:firstLineChars="200"/>
        <w:rPr>
          <w:rFonts w:hint="eastAsia" w:ascii="仿宋" w:hAnsi="仿宋" w:eastAsia="仿宋" w:cs="仿宋"/>
          <w:b/>
          <w:sz w:val="28"/>
          <w:szCs w:val="28"/>
          <w:highlight w:val="none"/>
          <w:lang w:bidi="ar"/>
        </w:rPr>
      </w:pPr>
      <w:r>
        <w:rPr>
          <w:rFonts w:hint="eastAsia" w:ascii="仿宋" w:hAnsi="仿宋" w:eastAsia="仿宋" w:cs="仿宋"/>
          <w:b/>
          <w:sz w:val="28"/>
          <w:szCs w:val="28"/>
          <w:highlight w:val="none"/>
          <w:lang w:bidi="ar"/>
        </w:rPr>
        <w:t>供应商（加盖公章）：</w:t>
      </w:r>
    </w:p>
    <w:p>
      <w:pPr>
        <w:widowControl/>
        <w:spacing w:line="460" w:lineRule="exact"/>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lang w:bidi="ar"/>
        </w:rPr>
        <w:t>法定代表人（或授权委托人）：</w:t>
      </w:r>
      <w:r>
        <w:rPr>
          <w:rFonts w:hint="eastAsia" w:ascii="仿宋" w:hAnsi="仿宋" w:eastAsia="仿宋" w:cs="仿宋"/>
          <w:spacing w:val="-1"/>
          <w:sz w:val="30"/>
          <w:szCs w:val="30"/>
          <w:highlight w:val="none"/>
          <w:u w:val="single"/>
        </w:rPr>
        <w:tab/>
      </w:r>
      <w:r>
        <w:rPr>
          <w:rFonts w:hint="eastAsia" w:ascii="仿宋" w:hAnsi="仿宋" w:eastAsia="仿宋" w:cs="仿宋"/>
          <w:sz w:val="30"/>
          <w:szCs w:val="30"/>
          <w:highlight w:val="none"/>
          <w:u w:val="single"/>
        </w:rPr>
        <w:t>（签字）</w:t>
      </w:r>
      <w:r>
        <w:rPr>
          <w:rFonts w:hint="eastAsia" w:ascii="仿宋" w:hAnsi="仿宋" w:eastAsia="仿宋" w:cs="仿宋"/>
          <w:b/>
          <w:sz w:val="28"/>
          <w:szCs w:val="28"/>
          <w:highlight w:val="none"/>
          <w:lang w:bidi="ar"/>
        </w:rPr>
        <w:t xml:space="preserve">                 </w:t>
      </w:r>
    </w:p>
    <w:p>
      <w:pPr>
        <w:widowControl/>
        <w:spacing w:line="460" w:lineRule="exact"/>
        <w:ind w:firstLine="422" w:firstLineChars="150"/>
        <w:rPr>
          <w:rFonts w:hint="eastAsia" w:ascii="仿宋" w:hAnsi="仿宋" w:eastAsia="仿宋" w:cs="仿宋"/>
          <w:b/>
          <w:sz w:val="28"/>
          <w:szCs w:val="28"/>
          <w:highlight w:val="none"/>
        </w:rPr>
      </w:pPr>
      <w:r>
        <w:rPr>
          <w:rFonts w:hint="eastAsia" w:ascii="仿宋" w:hAnsi="仿宋" w:eastAsia="仿宋" w:cs="仿宋"/>
          <w:b/>
          <w:sz w:val="28"/>
          <w:szCs w:val="28"/>
          <w:highlight w:val="none"/>
          <w:lang w:bidi="ar"/>
        </w:rPr>
        <w:t xml:space="preserve"> 电    话：</w:t>
      </w:r>
    </w:p>
    <w:p>
      <w:pPr>
        <w:widowControl/>
        <w:spacing w:line="460" w:lineRule="exact"/>
        <w:ind w:firstLine="422" w:firstLineChars="150"/>
        <w:rPr>
          <w:rFonts w:hint="eastAsia" w:ascii="仿宋" w:hAnsi="仿宋" w:eastAsia="仿宋" w:cs="仿宋"/>
          <w:b/>
          <w:sz w:val="28"/>
          <w:szCs w:val="28"/>
          <w:highlight w:val="none"/>
        </w:rPr>
      </w:pPr>
      <w:r>
        <w:rPr>
          <w:rFonts w:hint="eastAsia" w:ascii="仿宋" w:hAnsi="仿宋" w:eastAsia="仿宋" w:cs="仿宋"/>
          <w:b/>
          <w:sz w:val="28"/>
          <w:szCs w:val="28"/>
          <w:highlight w:val="none"/>
          <w:lang w:bidi="ar"/>
        </w:rPr>
        <w:t xml:space="preserve"> 日    期：</w:t>
      </w:r>
    </w:p>
    <w:p>
      <w:pPr>
        <w:pStyle w:val="8"/>
        <w:kinsoku w:val="0"/>
        <w:overflowPunct w:val="0"/>
        <w:spacing w:before="4"/>
        <w:ind w:left="0"/>
        <w:jc w:val="center"/>
        <w:rPr>
          <w:rFonts w:hint="eastAsia" w:ascii="仿宋" w:hAnsi="仿宋" w:eastAsia="仿宋" w:cs="仿宋"/>
          <w:b/>
          <w:sz w:val="36"/>
          <w:szCs w:val="36"/>
          <w:highlight w:val="none"/>
        </w:rPr>
      </w:pPr>
    </w:p>
    <w:p>
      <w:pPr>
        <w:rPr>
          <w:rFonts w:hint="eastAsia" w:ascii="仿宋" w:hAnsi="仿宋" w:eastAsia="仿宋" w:cs="仿宋"/>
          <w:highlight w:val="none"/>
        </w:rPr>
      </w:pPr>
      <w:r>
        <w:rPr>
          <w:rFonts w:hint="eastAsia" w:ascii="仿宋" w:hAnsi="仿宋" w:eastAsia="仿宋" w:cs="仿宋"/>
          <w:highlight w:val="none"/>
        </w:rPr>
        <w:br w:type="page"/>
      </w:r>
    </w:p>
    <w:p>
      <w:pPr>
        <w:pStyle w:val="8"/>
        <w:kinsoku w:val="0"/>
        <w:overflowPunct w:val="0"/>
        <w:spacing w:before="130" w:line="355" w:lineRule="auto"/>
        <w:ind w:right="7" w:firstLine="480"/>
        <w:jc w:val="center"/>
        <w:rPr>
          <w:rFonts w:hint="eastAsia" w:ascii="仿宋" w:hAnsi="仿宋" w:eastAsia="仿宋" w:cs="仿宋"/>
          <w:highlight w:val="none"/>
        </w:rPr>
      </w:pPr>
      <w:r>
        <w:rPr>
          <w:rFonts w:hint="eastAsia" w:ascii="仿宋" w:hAnsi="仿宋" w:eastAsia="仿宋" w:cs="仿宋"/>
          <w:b/>
          <w:spacing w:val="4"/>
          <w:highlight w:val="none"/>
        </w:rPr>
        <w:t>目录</w:t>
      </w:r>
    </w:p>
    <w:p>
      <w:pPr>
        <w:pStyle w:val="8"/>
        <w:numPr>
          <w:ilvl w:val="0"/>
          <w:numId w:val="9"/>
        </w:numPr>
        <w:kinsoku w:val="0"/>
        <w:overflowPunct w:val="0"/>
        <w:spacing w:before="130" w:line="355" w:lineRule="auto"/>
        <w:ind w:right="7" w:firstLine="480"/>
        <w:rPr>
          <w:rFonts w:hint="eastAsia" w:ascii="仿宋" w:hAnsi="仿宋" w:eastAsia="仿宋" w:cs="仿宋"/>
          <w:color w:val="000000" w:themeColor="text1"/>
          <w:ker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highlight w:val="none"/>
          <w14:textFill>
            <w14:solidFill>
              <w14:schemeClr w14:val="tx1"/>
            </w14:solidFill>
          </w14:textFill>
        </w:rPr>
        <w:t>资格证明</w:t>
      </w:r>
      <w:r>
        <w:rPr>
          <w:rFonts w:hint="eastAsia" w:ascii="仿宋" w:hAnsi="仿宋" w:eastAsia="仿宋" w:cs="仿宋"/>
          <w:color w:val="000000" w:themeColor="text1"/>
          <w:spacing w:val="4"/>
          <w:highlight w:val="none"/>
          <w:lang w:val="en-US" w:eastAsia="zh-CN"/>
          <w14:textFill>
            <w14:solidFill>
              <w14:schemeClr w14:val="tx1"/>
            </w14:solidFill>
          </w14:textFill>
        </w:rPr>
        <w:t>文件</w:t>
      </w:r>
    </w:p>
    <w:p>
      <w:pPr>
        <w:pStyle w:val="8"/>
        <w:kinsoku w:val="0"/>
        <w:overflowPunct w:val="0"/>
        <w:spacing w:before="130" w:line="355" w:lineRule="auto"/>
        <w:ind w:right="7" w:firstLine="480"/>
        <w:rPr>
          <w:rFonts w:hint="eastAsia" w:hAnsi="仿宋" w:cs="仿宋"/>
          <w:color w:val="000000" w:themeColor="text1"/>
          <w:kern w:val="0"/>
          <w:sz w:val="24"/>
          <w:szCs w:val="24"/>
          <w:highlight w:val="none"/>
          <w:lang w:val="en-US" w:eastAsia="zh-CN"/>
          <w14:textFill>
            <w14:solidFill>
              <w14:schemeClr w14:val="tx1"/>
            </w14:solidFill>
          </w14:textFill>
        </w:rPr>
      </w:pPr>
      <w:r>
        <w:rPr>
          <w:rFonts w:hint="eastAsia" w:hAnsi="仿宋" w:cs="仿宋"/>
          <w:color w:val="000000" w:themeColor="text1"/>
          <w:kern w:val="0"/>
          <w:sz w:val="24"/>
          <w:szCs w:val="24"/>
          <w:highlight w:val="none"/>
          <w:lang w:val="en-US" w:eastAsia="zh-CN"/>
          <w14:textFill>
            <w14:solidFill>
              <w14:schemeClr w14:val="tx1"/>
            </w14:solidFill>
          </w14:textFill>
        </w:rPr>
        <w:t>1、法定代表人参与开标全过程的须提供有效的法人身份证明及身份证；</w:t>
      </w:r>
    </w:p>
    <w:p>
      <w:pPr>
        <w:pStyle w:val="8"/>
        <w:kinsoku w:val="0"/>
        <w:overflowPunct w:val="0"/>
        <w:spacing w:before="130" w:line="355" w:lineRule="auto"/>
        <w:ind w:right="7" w:firstLine="480"/>
        <w:rPr>
          <w:rFonts w:hint="eastAsia" w:hAnsi="仿宋" w:cs="仿宋"/>
          <w:color w:val="000000" w:themeColor="text1"/>
          <w:kern w:val="0"/>
          <w:sz w:val="24"/>
          <w:szCs w:val="24"/>
          <w:highlight w:val="none"/>
          <w:lang w:val="en-US" w:eastAsia="zh-CN"/>
          <w14:textFill>
            <w14:solidFill>
              <w14:schemeClr w14:val="tx1"/>
            </w14:solidFill>
          </w14:textFill>
        </w:rPr>
      </w:pPr>
      <w:r>
        <w:rPr>
          <w:rFonts w:hint="eastAsia" w:hAnsi="仿宋" w:cs="仿宋"/>
          <w:color w:val="000000" w:themeColor="text1"/>
          <w:kern w:val="0"/>
          <w:sz w:val="24"/>
          <w:szCs w:val="24"/>
          <w:highlight w:val="none"/>
          <w:lang w:val="en-US" w:eastAsia="zh-CN"/>
          <w14:textFill>
            <w14:solidFill>
              <w14:schemeClr w14:val="tx1"/>
            </w14:solidFill>
          </w14:textFill>
        </w:rPr>
        <w:t>2、法定代表人授权委托人参与开标全过程的授权委托代理人须提供有效的附有法定代表人身份证明的授权委托书及被委托人身份证；</w:t>
      </w:r>
    </w:p>
    <w:p>
      <w:pPr>
        <w:pStyle w:val="8"/>
        <w:kinsoku w:val="0"/>
        <w:overflowPunct w:val="0"/>
        <w:spacing w:before="130" w:line="355" w:lineRule="auto"/>
        <w:ind w:right="7" w:firstLine="480"/>
        <w:rPr>
          <w:rFonts w:hint="eastAsia" w:hAnsi="仿宋" w:cs="仿宋"/>
          <w:color w:val="000000" w:themeColor="text1"/>
          <w:kern w:val="0"/>
          <w:sz w:val="24"/>
          <w:szCs w:val="24"/>
          <w:highlight w:val="none"/>
          <w:lang w:val="en-US" w:eastAsia="zh-CN"/>
          <w14:textFill>
            <w14:solidFill>
              <w14:schemeClr w14:val="tx1"/>
            </w14:solidFill>
          </w14:textFill>
        </w:rPr>
      </w:pPr>
      <w:r>
        <w:rPr>
          <w:rFonts w:hint="eastAsia" w:hAnsi="仿宋" w:cs="仿宋"/>
          <w:color w:val="000000" w:themeColor="text1"/>
          <w:kern w:val="0"/>
          <w:sz w:val="24"/>
          <w:szCs w:val="24"/>
          <w:highlight w:val="none"/>
          <w:lang w:val="en-US" w:eastAsia="zh-CN"/>
          <w14:textFill>
            <w14:solidFill>
              <w14:schemeClr w14:val="tx1"/>
            </w14:solidFill>
          </w14:textFill>
        </w:rPr>
        <w:t>3、《营业执照》；</w:t>
      </w:r>
    </w:p>
    <w:p>
      <w:pPr>
        <w:pStyle w:val="8"/>
        <w:kinsoku w:val="0"/>
        <w:overflowPunct w:val="0"/>
        <w:spacing w:before="130" w:line="355" w:lineRule="auto"/>
        <w:ind w:right="7" w:firstLine="480"/>
        <w:rPr>
          <w:rFonts w:hint="eastAsia" w:hAnsi="仿宋" w:cs="仿宋"/>
          <w:color w:val="000000" w:themeColor="text1"/>
          <w:kern w:val="0"/>
          <w:sz w:val="24"/>
          <w:szCs w:val="24"/>
          <w:highlight w:val="none"/>
          <w:lang w:val="en-US" w:eastAsia="zh-CN"/>
          <w14:textFill>
            <w14:solidFill>
              <w14:schemeClr w14:val="tx1"/>
            </w14:solidFill>
          </w14:textFill>
        </w:rPr>
      </w:pPr>
      <w:r>
        <w:rPr>
          <w:rFonts w:hint="eastAsia" w:hAnsi="仿宋" w:cs="仿宋"/>
          <w:color w:val="000000" w:themeColor="text1"/>
          <w:kern w:val="0"/>
          <w:sz w:val="24"/>
          <w:szCs w:val="24"/>
          <w:highlight w:val="none"/>
          <w:lang w:val="en-US" w:eastAsia="zh-CN"/>
          <w14:textFill>
            <w14:solidFill>
              <w14:schemeClr w14:val="tx1"/>
            </w14:solidFill>
          </w14:textFill>
        </w:rPr>
        <w:t>4、具有履行合同所必需的设备和专业技术能力（承诺函）;</w:t>
      </w:r>
    </w:p>
    <w:p>
      <w:pPr>
        <w:pStyle w:val="8"/>
        <w:kinsoku w:val="0"/>
        <w:overflowPunct w:val="0"/>
        <w:spacing w:before="130" w:line="355" w:lineRule="auto"/>
        <w:ind w:right="7" w:firstLine="480"/>
        <w:rPr>
          <w:rFonts w:hint="eastAsia" w:hAnsi="仿宋" w:cs="仿宋"/>
          <w:color w:val="000000" w:themeColor="text1"/>
          <w:kern w:val="0"/>
          <w:sz w:val="24"/>
          <w:szCs w:val="24"/>
          <w:highlight w:val="none"/>
          <w:lang w:val="en-US" w:eastAsia="zh-CN"/>
          <w14:textFill>
            <w14:solidFill>
              <w14:schemeClr w14:val="tx1"/>
            </w14:solidFill>
          </w14:textFill>
        </w:rPr>
      </w:pPr>
      <w:r>
        <w:rPr>
          <w:rFonts w:hint="eastAsia" w:hAnsi="仿宋" w:cs="仿宋"/>
          <w:color w:val="000000" w:themeColor="text1"/>
          <w:kern w:val="0"/>
          <w:sz w:val="24"/>
          <w:szCs w:val="24"/>
          <w:highlight w:val="none"/>
          <w:lang w:val="en-US" w:eastAsia="zh-CN"/>
          <w14:textFill>
            <w14:solidFill>
              <w14:schemeClr w14:val="tx1"/>
            </w14:solidFill>
          </w14:textFill>
        </w:rPr>
        <w:t>5、参加政府采购活动前三年内，在经营活动中没有重大违法记录（近三年经营活动中没有重大违法记录声明函）；</w:t>
      </w:r>
    </w:p>
    <w:p>
      <w:pPr>
        <w:pStyle w:val="8"/>
        <w:kinsoku w:val="0"/>
        <w:overflowPunct w:val="0"/>
        <w:spacing w:before="130" w:line="355" w:lineRule="auto"/>
        <w:ind w:right="7" w:firstLine="480"/>
        <w:rPr>
          <w:rFonts w:hint="eastAsia" w:hAnsi="仿宋" w:cs="仿宋"/>
          <w:color w:val="000000" w:themeColor="text1"/>
          <w:kern w:val="0"/>
          <w:sz w:val="24"/>
          <w:szCs w:val="24"/>
          <w:highlight w:val="none"/>
          <w:lang w:val="en-US" w:eastAsia="zh-CN"/>
          <w14:textFill>
            <w14:solidFill>
              <w14:schemeClr w14:val="tx1"/>
            </w14:solidFill>
          </w14:textFill>
        </w:rPr>
      </w:pPr>
      <w:r>
        <w:rPr>
          <w:rFonts w:hint="eastAsia" w:hAnsi="仿宋" w:cs="仿宋"/>
          <w:color w:val="000000" w:themeColor="text1"/>
          <w:kern w:val="0"/>
          <w:sz w:val="24"/>
          <w:szCs w:val="24"/>
          <w:highlight w:val="none"/>
          <w:lang w:val="en-US" w:eastAsia="zh-CN"/>
          <w14:textFill>
            <w14:solidFill>
              <w14:schemeClr w14:val="tx1"/>
            </w14:solidFill>
          </w14:textFill>
        </w:rPr>
        <w:t>6、</w:t>
      </w:r>
      <w:r>
        <w:rPr>
          <w:rFonts w:hint="eastAsia" w:ascii="仿宋" w:hAnsi="仿宋" w:eastAsia="仿宋" w:cs="仿宋"/>
          <w:color w:val="auto"/>
          <w:kern w:val="0"/>
          <w:sz w:val="24"/>
          <w:szCs w:val="24"/>
          <w:highlight w:val="none"/>
          <w:lang w:val="zh-CN" w:eastAsia="zh-CN"/>
        </w:rPr>
        <w:t>20</w:t>
      </w:r>
      <w:r>
        <w:rPr>
          <w:rFonts w:hint="eastAsia" w:ascii="仿宋" w:hAnsi="仿宋" w:eastAsia="仿宋" w:cs="仿宋"/>
          <w:color w:val="auto"/>
          <w:kern w:val="0"/>
          <w:sz w:val="24"/>
          <w:szCs w:val="24"/>
          <w:highlight w:val="none"/>
          <w:lang w:val="en-US" w:eastAsia="zh-CN"/>
        </w:rPr>
        <w:t>22</w:t>
      </w:r>
      <w:r>
        <w:rPr>
          <w:rFonts w:hint="eastAsia" w:ascii="仿宋" w:hAnsi="仿宋" w:eastAsia="仿宋" w:cs="仿宋"/>
          <w:color w:val="auto"/>
          <w:kern w:val="0"/>
          <w:sz w:val="24"/>
          <w:szCs w:val="24"/>
          <w:highlight w:val="none"/>
          <w:lang w:val="zh-CN" w:eastAsia="zh-CN"/>
        </w:rPr>
        <w:t>年度完整的财务审计报告或财务报表；</w:t>
      </w:r>
    </w:p>
    <w:p>
      <w:pPr>
        <w:pStyle w:val="8"/>
        <w:kinsoku w:val="0"/>
        <w:overflowPunct w:val="0"/>
        <w:spacing w:before="130" w:line="355" w:lineRule="auto"/>
        <w:ind w:right="7" w:firstLine="480"/>
        <w:rPr>
          <w:rFonts w:hint="eastAsia" w:hAnsi="仿宋" w:cs="仿宋"/>
          <w:color w:val="000000" w:themeColor="text1"/>
          <w:kern w:val="0"/>
          <w:sz w:val="24"/>
          <w:szCs w:val="24"/>
          <w:highlight w:val="none"/>
          <w:lang w:val="en-US" w:eastAsia="zh-CN"/>
          <w14:textFill>
            <w14:solidFill>
              <w14:schemeClr w14:val="tx1"/>
            </w14:solidFill>
          </w14:textFill>
        </w:rPr>
      </w:pPr>
      <w:r>
        <w:rPr>
          <w:rFonts w:hint="eastAsia" w:hAnsi="仿宋" w:cs="仿宋"/>
          <w:color w:val="000000" w:themeColor="text1"/>
          <w:kern w:val="0"/>
          <w:sz w:val="24"/>
          <w:szCs w:val="24"/>
          <w:highlight w:val="none"/>
          <w:lang w:val="en-US" w:eastAsia="zh-CN"/>
          <w14:textFill>
            <w14:solidFill>
              <w14:schemeClr w14:val="tx1"/>
            </w14:solidFill>
          </w14:textFill>
        </w:rPr>
        <w:t>7、</w:t>
      </w:r>
      <w:r>
        <w:rPr>
          <w:rFonts w:hint="eastAsia" w:ascii="仿宋" w:hAnsi="仿宋" w:eastAsia="仿宋" w:cs="仿宋"/>
          <w:color w:val="auto"/>
          <w:kern w:val="0"/>
          <w:sz w:val="24"/>
          <w:szCs w:val="24"/>
          <w:highlight w:val="none"/>
          <w:lang w:val="en-US" w:eastAsia="zh-CN"/>
        </w:rPr>
        <w:t>参加本次政府采购活动前三个月内任意一个月的税收和社保缴纳证明（含法定代表人或授权委托人社保明细，若法定代表人或授权委托人是退休人员需提供退休证明）；</w:t>
      </w:r>
    </w:p>
    <w:p>
      <w:pPr>
        <w:pStyle w:val="8"/>
        <w:kinsoku w:val="0"/>
        <w:overflowPunct w:val="0"/>
        <w:spacing w:before="130" w:line="355" w:lineRule="auto"/>
        <w:ind w:right="7" w:firstLine="480"/>
        <w:rPr>
          <w:rFonts w:hint="eastAsia" w:hAnsi="仿宋" w:cs="仿宋"/>
          <w:color w:val="000000" w:themeColor="text1"/>
          <w:kern w:val="0"/>
          <w:sz w:val="24"/>
          <w:szCs w:val="24"/>
          <w:highlight w:val="none"/>
          <w:lang w:val="en-US" w:eastAsia="zh-CN"/>
          <w14:textFill>
            <w14:solidFill>
              <w14:schemeClr w14:val="tx1"/>
            </w14:solidFill>
          </w14:textFill>
        </w:rPr>
      </w:pPr>
      <w:r>
        <w:rPr>
          <w:rFonts w:hint="eastAsia" w:hAnsi="仿宋" w:cs="仿宋"/>
          <w:color w:val="000000" w:themeColor="text1"/>
          <w:kern w:val="0"/>
          <w:sz w:val="24"/>
          <w:szCs w:val="24"/>
          <w:highlight w:val="none"/>
          <w:lang w:val="en-US" w:eastAsia="zh-CN"/>
          <w14:textFill>
            <w14:solidFill>
              <w14:schemeClr w14:val="tx1"/>
            </w14:solidFill>
          </w14:textFill>
        </w:rPr>
        <w:t>8、投标人在“信用中国”网站（www.creditchina.gov.cn）以“未被列入失信被执行人记录”、“重大税收违法案件当事人名单”且在中国政府采购网（www.ccgp.gov.cn）没有相关主体“政府采购严重违法失信行为记录”（被禁止在一定期限内参加政府采购活动但期限届满的除外）（查询日期为从采购文件发售之日起至投标截止日前），网页截图（需显示查询时间）加盖供应商公章为准；</w:t>
      </w:r>
    </w:p>
    <w:p>
      <w:pPr>
        <w:pStyle w:val="8"/>
        <w:kinsoku w:val="0"/>
        <w:overflowPunct w:val="0"/>
        <w:spacing w:before="130" w:line="355" w:lineRule="auto"/>
        <w:ind w:right="7" w:firstLine="480"/>
        <w:rPr>
          <w:rFonts w:hint="eastAsia" w:hAnsi="仿宋" w:cs="仿宋"/>
          <w:color w:val="000000" w:themeColor="text1"/>
          <w:kern w:val="0"/>
          <w:sz w:val="24"/>
          <w:szCs w:val="24"/>
          <w:highlight w:val="none"/>
          <w:lang w:val="en-US" w:eastAsia="zh-CN"/>
          <w14:textFill>
            <w14:solidFill>
              <w14:schemeClr w14:val="tx1"/>
            </w14:solidFill>
          </w14:textFill>
        </w:rPr>
      </w:pPr>
      <w:r>
        <w:rPr>
          <w:rFonts w:hint="eastAsia" w:hAnsi="仿宋" w:cs="仿宋"/>
          <w:color w:val="000000" w:themeColor="text1"/>
          <w:kern w:val="0"/>
          <w:sz w:val="24"/>
          <w:szCs w:val="24"/>
          <w:highlight w:val="none"/>
          <w:lang w:val="en-US" w:eastAsia="zh-CN"/>
          <w14:textFill>
            <w14:solidFill>
              <w14:schemeClr w14:val="tx1"/>
            </w14:solidFill>
          </w14:textFill>
        </w:rPr>
        <w:t>9、</w:t>
      </w:r>
      <w:r>
        <w:rPr>
          <w:rStyle w:val="29"/>
          <w:rFonts w:hint="eastAsia" w:ascii="仿宋" w:hAnsi="仿宋" w:eastAsia="仿宋" w:cs="仿宋"/>
          <w:b w:val="0"/>
          <w:i w:val="0"/>
          <w:caps w:val="0"/>
          <w:color w:val="000000" w:themeColor="text1"/>
          <w:spacing w:val="0"/>
          <w:w w:val="100"/>
          <w:sz w:val="24"/>
          <w:szCs w:val="24"/>
          <w:highlight w:val="none"/>
          <w:lang w:val="en-US" w:eastAsia="zh-CN"/>
          <w14:textFill>
            <w14:solidFill>
              <w14:schemeClr w14:val="tx1"/>
            </w14:solidFill>
          </w14:textFill>
        </w:rPr>
        <w:t>投标人须具备水文、水资源调查评价资质乙级及以上相关资质</w:t>
      </w:r>
      <w:r>
        <w:rPr>
          <w:rFonts w:hint="eastAsia" w:hAnsi="仿宋" w:cs="仿宋"/>
          <w:color w:val="000000" w:themeColor="text1"/>
          <w:kern w:val="0"/>
          <w:sz w:val="24"/>
          <w:szCs w:val="24"/>
          <w:highlight w:val="none"/>
          <w:lang w:val="en-US" w:eastAsia="zh-CN"/>
          <w14:textFill>
            <w14:solidFill>
              <w14:schemeClr w14:val="tx1"/>
            </w14:solidFill>
          </w14:textFill>
        </w:rPr>
        <w:t>。</w:t>
      </w:r>
    </w:p>
    <w:p>
      <w:pPr>
        <w:pStyle w:val="8"/>
        <w:kinsoku w:val="0"/>
        <w:overflowPunct w:val="0"/>
        <w:spacing w:before="130" w:line="355" w:lineRule="auto"/>
        <w:ind w:right="7" w:firstLine="480"/>
        <w:rPr>
          <w:rFonts w:hint="eastAsia" w:ascii="仿宋" w:hAnsi="仿宋" w:eastAsia="仿宋" w:cs="仿宋"/>
          <w:color w:val="000000" w:themeColor="text1"/>
          <w:spacing w:val="4"/>
          <w:highlight w:val="none"/>
          <w:lang w:val="en-US" w:eastAsia="zh-CN"/>
          <w14:textFill>
            <w14:solidFill>
              <w14:schemeClr w14:val="tx1"/>
            </w14:solidFill>
          </w14:textFill>
        </w:rPr>
      </w:pPr>
      <w:r>
        <w:rPr>
          <w:rFonts w:hint="eastAsia" w:ascii="仿宋" w:hAnsi="仿宋" w:eastAsia="仿宋" w:cs="仿宋"/>
          <w:b/>
          <w:color w:val="000000" w:themeColor="text1"/>
          <w:spacing w:val="4"/>
          <w:highlight w:val="none"/>
          <w:lang w:val="en-US" w:eastAsia="zh-CN"/>
          <w14:textFill>
            <w14:solidFill>
              <w14:schemeClr w14:val="tx1"/>
            </w14:solidFill>
          </w14:textFill>
        </w:rPr>
        <w:t>二、</w:t>
      </w:r>
      <w:r>
        <w:rPr>
          <w:rFonts w:hint="eastAsia" w:ascii="仿宋" w:hAnsi="仿宋" w:eastAsia="仿宋" w:cs="仿宋"/>
          <w:b/>
          <w:color w:val="000000" w:themeColor="text1"/>
          <w:spacing w:val="4"/>
          <w:highlight w:val="none"/>
          <w14:textFill>
            <w14:solidFill>
              <w14:schemeClr w14:val="tx1"/>
            </w14:solidFill>
          </w14:textFill>
        </w:rPr>
        <w:t xml:space="preserve"> 技术文件</w:t>
      </w:r>
    </w:p>
    <w:p>
      <w:pPr>
        <w:pStyle w:val="8"/>
        <w:kinsoku w:val="0"/>
        <w:overflowPunct w:val="0"/>
        <w:spacing w:before="130" w:line="355" w:lineRule="auto"/>
        <w:ind w:right="7" w:firstLine="480"/>
        <w:rPr>
          <w:rFonts w:hint="eastAsia" w:ascii="仿宋" w:hAnsi="仿宋" w:eastAsia="仿宋" w:cs="仿宋"/>
          <w:color w:val="auto"/>
          <w:spacing w:val="4"/>
          <w:highlight w:val="none"/>
        </w:rPr>
      </w:pPr>
      <w:r>
        <w:rPr>
          <w:rFonts w:hint="eastAsia" w:ascii="仿宋" w:hAnsi="仿宋" w:eastAsia="仿宋" w:cs="仿宋"/>
          <w:color w:val="auto"/>
          <w:spacing w:val="4"/>
          <w:highlight w:val="none"/>
          <w:lang w:val="en-US" w:eastAsia="zh-CN"/>
        </w:rPr>
        <w:t>（1）</w:t>
      </w:r>
      <w:r>
        <w:rPr>
          <w:rFonts w:hint="eastAsia" w:ascii="仿宋" w:hAnsi="仿宋" w:eastAsia="仿宋" w:cs="仿宋"/>
          <w:color w:val="auto"/>
          <w:sz w:val="22"/>
          <w:szCs w:val="22"/>
          <w:highlight w:val="none"/>
          <w:lang w:val="en-US" w:eastAsia="zh-CN"/>
        </w:rPr>
        <w:t>投标函</w:t>
      </w:r>
      <w:r>
        <w:rPr>
          <w:rFonts w:hint="eastAsia" w:ascii="仿宋" w:hAnsi="仿宋" w:eastAsia="仿宋" w:cs="仿宋"/>
          <w:color w:val="auto"/>
          <w:spacing w:val="4"/>
          <w:highlight w:val="none"/>
        </w:rPr>
        <w:t xml:space="preserve"> </w:t>
      </w:r>
    </w:p>
    <w:p>
      <w:pPr>
        <w:pStyle w:val="8"/>
        <w:kinsoku w:val="0"/>
        <w:overflowPunct w:val="0"/>
        <w:spacing w:before="130" w:line="355" w:lineRule="auto"/>
        <w:ind w:right="7" w:firstLine="480"/>
        <w:rPr>
          <w:rFonts w:hint="eastAsia" w:ascii="仿宋" w:hAnsi="仿宋" w:eastAsia="仿宋" w:cs="仿宋"/>
          <w:color w:val="auto"/>
          <w:spacing w:val="4"/>
          <w:highlight w:val="none"/>
        </w:rPr>
      </w:pPr>
      <w:r>
        <w:rPr>
          <w:rFonts w:hint="eastAsia" w:ascii="仿宋" w:hAnsi="仿宋" w:eastAsia="仿宋" w:cs="仿宋"/>
          <w:color w:val="auto"/>
          <w:spacing w:val="4"/>
          <w:highlight w:val="none"/>
          <w:lang w:eastAsia="zh-CN"/>
        </w:rPr>
        <w:t>（</w:t>
      </w:r>
      <w:r>
        <w:rPr>
          <w:rFonts w:hint="eastAsia" w:ascii="仿宋" w:hAnsi="仿宋" w:eastAsia="仿宋" w:cs="仿宋"/>
          <w:color w:val="auto"/>
          <w:spacing w:val="4"/>
          <w:highlight w:val="none"/>
          <w:lang w:val="en-US" w:eastAsia="zh-CN"/>
        </w:rPr>
        <w:t>2</w:t>
      </w:r>
      <w:r>
        <w:rPr>
          <w:rFonts w:hint="eastAsia" w:ascii="仿宋" w:hAnsi="仿宋" w:eastAsia="仿宋" w:cs="仿宋"/>
          <w:color w:val="auto"/>
          <w:spacing w:val="4"/>
          <w:highlight w:val="none"/>
          <w:lang w:eastAsia="zh-CN"/>
        </w:rPr>
        <w:t>）</w:t>
      </w:r>
      <w:r>
        <w:rPr>
          <w:rFonts w:hint="eastAsia" w:ascii="仿宋" w:hAnsi="仿宋" w:eastAsia="仿宋" w:cs="仿宋"/>
          <w:color w:val="auto"/>
          <w:spacing w:val="4"/>
          <w:highlight w:val="none"/>
          <w:lang w:val="en-US" w:eastAsia="zh-CN"/>
        </w:rPr>
        <w:t>技术</w:t>
      </w:r>
      <w:r>
        <w:rPr>
          <w:rFonts w:hint="eastAsia" w:ascii="仿宋" w:hAnsi="仿宋" w:eastAsia="仿宋" w:cs="仿宋"/>
          <w:color w:val="auto"/>
          <w:spacing w:val="4"/>
          <w:highlight w:val="none"/>
        </w:rPr>
        <w:t>商务条款偏离表</w:t>
      </w:r>
    </w:p>
    <w:p>
      <w:pPr>
        <w:pStyle w:val="8"/>
        <w:kinsoku w:val="0"/>
        <w:overflowPunct w:val="0"/>
        <w:spacing w:before="130" w:line="355" w:lineRule="auto"/>
        <w:ind w:right="7" w:firstLine="480"/>
        <w:rPr>
          <w:rFonts w:hint="eastAsia" w:ascii="仿宋" w:hAnsi="仿宋" w:eastAsia="仿宋" w:cs="仿宋"/>
          <w:color w:val="auto"/>
          <w:spacing w:val="4"/>
          <w:highlight w:val="none"/>
        </w:rPr>
      </w:pPr>
      <w:r>
        <w:rPr>
          <w:rFonts w:hint="eastAsia" w:ascii="仿宋" w:hAnsi="仿宋" w:eastAsia="仿宋" w:cs="仿宋"/>
          <w:color w:val="auto"/>
          <w:spacing w:val="4"/>
          <w:kern w:val="0"/>
          <w:sz w:val="24"/>
          <w:szCs w:val="24"/>
          <w:highlight w:val="none"/>
          <w:lang w:val="en-US" w:eastAsia="zh-CN" w:bidi="ar-SA"/>
        </w:rPr>
        <w:t>（</w:t>
      </w:r>
      <w:r>
        <w:rPr>
          <w:rFonts w:hint="eastAsia" w:hAnsi="仿宋" w:cs="仿宋"/>
          <w:color w:val="auto"/>
          <w:spacing w:val="4"/>
          <w:kern w:val="0"/>
          <w:sz w:val="24"/>
          <w:szCs w:val="24"/>
          <w:highlight w:val="none"/>
          <w:lang w:val="en-US" w:eastAsia="zh-CN" w:bidi="ar-SA"/>
        </w:rPr>
        <w:t>3</w:t>
      </w:r>
      <w:r>
        <w:rPr>
          <w:rFonts w:hint="eastAsia" w:ascii="仿宋" w:hAnsi="仿宋" w:eastAsia="仿宋" w:cs="仿宋"/>
          <w:color w:val="auto"/>
          <w:spacing w:val="4"/>
          <w:kern w:val="0"/>
          <w:sz w:val="24"/>
          <w:szCs w:val="24"/>
          <w:highlight w:val="none"/>
          <w:lang w:val="en-US" w:eastAsia="zh-CN" w:bidi="ar-SA"/>
        </w:rPr>
        <w:t>）</w:t>
      </w:r>
      <w:r>
        <w:rPr>
          <w:rFonts w:hint="eastAsia" w:ascii="仿宋" w:hAnsi="仿宋" w:eastAsia="仿宋" w:cs="仿宋"/>
          <w:color w:val="auto"/>
          <w:spacing w:val="4"/>
          <w:highlight w:val="none"/>
        </w:rPr>
        <w:t>项目实施方案</w:t>
      </w:r>
    </w:p>
    <w:p>
      <w:pPr>
        <w:pStyle w:val="8"/>
        <w:kinsoku w:val="0"/>
        <w:overflowPunct w:val="0"/>
        <w:spacing w:before="130" w:line="355" w:lineRule="auto"/>
        <w:ind w:right="7" w:firstLine="480"/>
        <w:rPr>
          <w:rFonts w:hint="eastAsia" w:ascii="仿宋" w:hAnsi="仿宋" w:eastAsia="仿宋" w:cs="仿宋"/>
          <w:color w:val="auto"/>
          <w:spacing w:val="4"/>
          <w:highlight w:val="none"/>
        </w:rPr>
      </w:pPr>
      <w:r>
        <w:rPr>
          <w:rFonts w:hint="eastAsia" w:ascii="仿宋" w:hAnsi="仿宋" w:eastAsia="仿宋" w:cs="仿宋"/>
          <w:color w:val="auto"/>
          <w:spacing w:val="4"/>
          <w:highlight w:val="none"/>
          <w:lang w:eastAsia="zh-CN"/>
        </w:rPr>
        <w:t>（</w:t>
      </w:r>
      <w:r>
        <w:rPr>
          <w:rFonts w:hint="eastAsia" w:hAnsi="仿宋" w:cs="仿宋"/>
          <w:color w:val="auto"/>
          <w:spacing w:val="4"/>
          <w:highlight w:val="none"/>
          <w:lang w:val="en-US" w:eastAsia="zh-CN"/>
        </w:rPr>
        <w:t>4</w:t>
      </w:r>
      <w:r>
        <w:rPr>
          <w:rFonts w:hint="eastAsia" w:ascii="仿宋" w:hAnsi="仿宋" w:eastAsia="仿宋" w:cs="仿宋"/>
          <w:color w:val="auto"/>
          <w:spacing w:val="4"/>
          <w:highlight w:val="none"/>
          <w:lang w:eastAsia="zh-CN"/>
        </w:rPr>
        <w:t>）</w:t>
      </w:r>
      <w:r>
        <w:rPr>
          <w:rFonts w:hint="eastAsia" w:ascii="仿宋" w:hAnsi="仿宋" w:eastAsia="仿宋" w:cs="仿宋"/>
          <w:color w:val="auto"/>
          <w:spacing w:val="4"/>
          <w:highlight w:val="none"/>
        </w:rPr>
        <w:t>供应商认为需要提交的技术资料</w:t>
      </w:r>
    </w:p>
    <w:p>
      <w:pPr>
        <w:pStyle w:val="8"/>
        <w:kinsoku w:val="0"/>
        <w:overflowPunct w:val="0"/>
        <w:spacing w:before="130" w:line="355" w:lineRule="auto"/>
        <w:ind w:right="7" w:firstLine="480"/>
        <w:rPr>
          <w:rFonts w:hint="eastAsia" w:ascii="仿宋" w:hAnsi="仿宋" w:eastAsia="仿宋" w:cs="仿宋"/>
          <w:color w:val="auto"/>
          <w:spacing w:val="4"/>
          <w:highlight w:val="none"/>
          <w:lang w:val="en-US" w:eastAsia="zh-CN"/>
        </w:rPr>
      </w:pPr>
      <w:r>
        <w:rPr>
          <w:rFonts w:hint="eastAsia" w:ascii="仿宋" w:hAnsi="仿宋" w:eastAsia="仿宋" w:cs="仿宋"/>
          <w:b/>
          <w:color w:val="auto"/>
          <w:spacing w:val="4"/>
          <w:highlight w:val="none"/>
          <w:lang w:val="en-US" w:eastAsia="zh-CN"/>
        </w:rPr>
        <w:t>三、</w:t>
      </w:r>
      <w:r>
        <w:rPr>
          <w:rFonts w:hint="eastAsia" w:ascii="仿宋" w:hAnsi="仿宋" w:eastAsia="仿宋" w:cs="仿宋"/>
          <w:b/>
          <w:color w:val="auto"/>
          <w:spacing w:val="4"/>
          <w:highlight w:val="none"/>
        </w:rPr>
        <w:t xml:space="preserve"> </w:t>
      </w:r>
      <w:r>
        <w:rPr>
          <w:rFonts w:hint="eastAsia" w:ascii="仿宋" w:hAnsi="仿宋" w:eastAsia="仿宋" w:cs="仿宋"/>
          <w:color w:val="auto"/>
          <w:spacing w:val="4"/>
          <w:highlight w:val="none"/>
        </w:rPr>
        <w:t>投标报价</w:t>
      </w:r>
      <w:r>
        <w:rPr>
          <w:rFonts w:hint="eastAsia" w:ascii="仿宋" w:hAnsi="仿宋" w:eastAsia="仿宋" w:cs="仿宋"/>
          <w:color w:val="auto"/>
          <w:spacing w:val="4"/>
          <w:highlight w:val="none"/>
          <w:lang w:val="en-US" w:eastAsia="zh-CN"/>
        </w:rPr>
        <w:t>文件</w:t>
      </w:r>
    </w:p>
    <w:p>
      <w:pPr>
        <w:pStyle w:val="8"/>
        <w:kinsoku w:val="0"/>
        <w:overflowPunct w:val="0"/>
        <w:spacing w:before="130" w:line="355" w:lineRule="auto"/>
        <w:ind w:right="7" w:firstLine="480"/>
        <w:rPr>
          <w:rFonts w:hint="eastAsia" w:ascii="仿宋" w:hAnsi="仿宋" w:eastAsia="仿宋" w:cs="仿宋"/>
          <w:color w:val="auto"/>
          <w:spacing w:val="4"/>
          <w:highlight w:val="none"/>
          <w:lang w:val="en-US" w:eastAsia="zh-CN"/>
        </w:rPr>
      </w:pPr>
      <w:r>
        <w:rPr>
          <w:rFonts w:hint="eastAsia" w:ascii="仿宋" w:hAnsi="仿宋" w:eastAsia="仿宋" w:cs="仿宋"/>
          <w:color w:val="auto"/>
          <w:spacing w:val="4"/>
          <w:highlight w:val="none"/>
          <w:lang w:val="en-US" w:eastAsia="zh-CN"/>
        </w:rPr>
        <w:t>（1）开标一览表</w:t>
      </w:r>
    </w:p>
    <w:p>
      <w:pPr>
        <w:pStyle w:val="8"/>
        <w:kinsoku w:val="0"/>
        <w:overflowPunct w:val="0"/>
        <w:spacing w:before="130" w:line="355" w:lineRule="auto"/>
        <w:ind w:right="7" w:firstLine="480"/>
        <w:rPr>
          <w:rFonts w:hint="eastAsia" w:ascii="仿宋" w:hAnsi="仿宋" w:eastAsia="仿宋" w:cs="仿宋"/>
          <w:color w:val="auto"/>
          <w:spacing w:val="4"/>
          <w:highlight w:val="none"/>
          <w:lang w:val="en-US" w:eastAsia="zh-CN"/>
        </w:rPr>
      </w:pPr>
      <w:r>
        <w:rPr>
          <w:rFonts w:hint="eastAsia" w:ascii="仿宋" w:hAnsi="仿宋" w:eastAsia="仿宋" w:cs="仿宋"/>
          <w:color w:val="auto"/>
          <w:spacing w:val="4"/>
          <w:highlight w:val="none"/>
          <w:lang w:val="en-US" w:eastAsia="zh-CN"/>
        </w:rPr>
        <w:t>（2）磋商报价</w:t>
      </w:r>
      <w:r>
        <w:rPr>
          <w:rFonts w:hint="eastAsia" w:hAnsi="仿宋" w:cs="仿宋"/>
          <w:color w:val="auto"/>
          <w:spacing w:val="4"/>
          <w:highlight w:val="none"/>
          <w:lang w:val="en-US" w:eastAsia="zh-CN"/>
        </w:rPr>
        <w:t>明细</w:t>
      </w:r>
      <w:r>
        <w:rPr>
          <w:rFonts w:hint="eastAsia" w:ascii="仿宋" w:hAnsi="仿宋" w:eastAsia="仿宋" w:cs="仿宋"/>
          <w:color w:val="auto"/>
          <w:spacing w:val="4"/>
          <w:highlight w:val="none"/>
          <w:lang w:val="en-US" w:eastAsia="zh-CN"/>
        </w:rPr>
        <w:t>表</w:t>
      </w:r>
    </w:p>
    <w:p>
      <w:pPr>
        <w:pStyle w:val="8"/>
        <w:kinsoku w:val="0"/>
        <w:overflowPunct w:val="0"/>
        <w:spacing w:before="130" w:line="355" w:lineRule="auto"/>
        <w:ind w:right="7" w:firstLine="480"/>
        <w:rPr>
          <w:rFonts w:hint="eastAsia" w:ascii="仿宋" w:hAnsi="仿宋" w:eastAsia="仿宋" w:cs="仿宋"/>
          <w:color w:val="auto"/>
          <w:spacing w:val="4"/>
          <w:highlight w:val="none"/>
          <w:lang w:val="en-US" w:eastAsia="zh-CN"/>
        </w:rPr>
      </w:pPr>
      <w:r>
        <w:rPr>
          <w:rFonts w:hint="eastAsia" w:hAnsi="仿宋" w:cs="仿宋"/>
          <w:color w:val="auto"/>
          <w:spacing w:val="4"/>
          <w:highlight w:val="none"/>
          <w:lang w:val="en-US" w:eastAsia="zh-CN"/>
        </w:rPr>
        <w:t>（3）</w:t>
      </w:r>
      <w:r>
        <w:rPr>
          <w:rFonts w:hint="eastAsia" w:ascii="仿宋" w:hAnsi="仿宋" w:eastAsia="仿宋" w:cs="仿宋"/>
          <w:color w:val="auto"/>
          <w:spacing w:val="4"/>
          <w:highlight w:val="none"/>
          <w:lang w:val="en-US" w:eastAsia="zh-CN"/>
        </w:rPr>
        <w:t>近三年业绩一览表</w:t>
      </w:r>
    </w:p>
    <w:p>
      <w:pPr>
        <w:pStyle w:val="8"/>
        <w:kinsoku w:val="0"/>
        <w:overflowPunct w:val="0"/>
        <w:spacing w:before="130" w:line="355" w:lineRule="auto"/>
        <w:ind w:right="7" w:firstLine="480"/>
        <w:rPr>
          <w:rFonts w:hint="eastAsia" w:ascii="仿宋" w:hAnsi="仿宋" w:eastAsia="仿宋" w:cs="仿宋"/>
          <w:color w:val="auto"/>
          <w:spacing w:val="4"/>
          <w:highlight w:val="none"/>
          <w:lang w:val="en-US" w:eastAsia="zh-CN"/>
        </w:rPr>
      </w:pPr>
      <w:r>
        <w:rPr>
          <w:rFonts w:hint="eastAsia" w:hAnsi="仿宋" w:cs="仿宋"/>
          <w:color w:val="auto"/>
          <w:spacing w:val="4"/>
          <w:highlight w:val="none"/>
          <w:lang w:val="en-US" w:eastAsia="zh-CN"/>
        </w:rPr>
        <w:t>（4）</w:t>
      </w:r>
      <w:r>
        <w:rPr>
          <w:rFonts w:hint="eastAsia" w:ascii="仿宋" w:hAnsi="仿宋" w:eastAsia="仿宋" w:cs="仿宋"/>
          <w:color w:val="auto"/>
          <w:spacing w:val="4"/>
          <w:highlight w:val="none"/>
          <w:lang w:val="en-US" w:eastAsia="zh-CN"/>
        </w:rPr>
        <w:t>拟投入本项目人员一览表</w:t>
      </w:r>
    </w:p>
    <w:p>
      <w:pPr>
        <w:pStyle w:val="8"/>
        <w:kinsoku w:val="0"/>
        <w:overflowPunct w:val="0"/>
        <w:spacing w:before="130" w:line="355" w:lineRule="auto"/>
        <w:ind w:right="7" w:firstLine="480"/>
        <w:rPr>
          <w:rFonts w:hint="eastAsia" w:ascii="仿宋" w:hAnsi="仿宋" w:eastAsia="仿宋" w:cs="仿宋"/>
          <w:color w:val="auto"/>
          <w:spacing w:val="4"/>
          <w:highlight w:val="none"/>
          <w:lang w:val="en-US" w:eastAsia="zh-CN"/>
        </w:rPr>
      </w:pPr>
      <w:r>
        <w:rPr>
          <w:rFonts w:hint="eastAsia" w:hAnsi="仿宋" w:cs="仿宋"/>
          <w:color w:val="auto"/>
          <w:spacing w:val="4"/>
          <w:highlight w:val="none"/>
          <w:lang w:val="en-US" w:eastAsia="zh-CN"/>
        </w:rPr>
        <w:t>（5）</w:t>
      </w:r>
      <w:r>
        <w:rPr>
          <w:rFonts w:hint="eastAsia" w:ascii="仿宋" w:hAnsi="仿宋" w:eastAsia="仿宋" w:cs="仿宋"/>
          <w:color w:val="auto"/>
          <w:spacing w:val="4"/>
          <w:highlight w:val="none"/>
          <w:lang w:val="en-US" w:eastAsia="zh-CN"/>
        </w:rPr>
        <w:t>反商业贿赂承诺书</w:t>
      </w:r>
    </w:p>
    <w:p>
      <w:pPr>
        <w:pStyle w:val="8"/>
        <w:kinsoku w:val="0"/>
        <w:overflowPunct w:val="0"/>
        <w:spacing w:before="130" w:line="355" w:lineRule="auto"/>
        <w:ind w:right="7" w:firstLine="480"/>
        <w:rPr>
          <w:rFonts w:hint="eastAsia" w:ascii="仿宋" w:hAnsi="仿宋" w:eastAsia="仿宋" w:cs="仿宋"/>
          <w:color w:val="auto"/>
          <w:spacing w:val="4"/>
          <w:highlight w:val="none"/>
          <w:lang w:val="en-US" w:eastAsia="zh-CN"/>
        </w:rPr>
      </w:pPr>
      <w:r>
        <w:rPr>
          <w:rFonts w:hint="eastAsia" w:ascii="仿宋" w:hAnsi="仿宋" w:eastAsia="仿宋" w:cs="仿宋"/>
          <w:color w:val="auto"/>
          <w:spacing w:val="4"/>
          <w:highlight w:val="none"/>
          <w:lang w:val="en-US" w:eastAsia="zh-CN"/>
        </w:rPr>
        <w:t>（</w:t>
      </w:r>
      <w:r>
        <w:rPr>
          <w:rFonts w:hint="eastAsia" w:hAnsi="仿宋" w:cs="仿宋"/>
          <w:color w:val="auto"/>
          <w:spacing w:val="4"/>
          <w:highlight w:val="none"/>
          <w:lang w:val="en-US" w:eastAsia="zh-CN"/>
        </w:rPr>
        <w:t>6</w:t>
      </w:r>
      <w:r>
        <w:rPr>
          <w:rFonts w:hint="eastAsia" w:ascii="仿宋" w:hAnsi="仿宋" w:eastAsia="仿宋" w:cs="仿宋"/>
          <w:color w:val="auto"/>
          <w:spacing w:val="4"/>
          <w:highlight w:val="none"/>
          <w:lang w:val="en-US" w:eastAsia="zh-CN"/>
        </w:rPr>
        <w:t>）中小企业声明函（符合本声明函填写）</w:t>
      </w:r>
    </w:p>
    <w:p>
      <w:pPr>
        <w:pStyle w:val="8"/>
        <w:kinsoku w:val="0"/>
        <w:overflowPunct w:val="0"/>
        <w:spacing w:before="130" w:line="355" w:lineRule="auto"/>
        <w:ind w:right="7" w:firstLine="480"/>
        <w:rPr>
          <w:rFonts w:hint="eastAsia" w:ascii="仿宋" w:hAnsi="仿宋" w:eastAsia="仿宋" w:cs="仿宋"/>
          <w:color w:val="auto"/>
          <w:spacing w:val="4"/>
          <w:highlight w:val="none"/>
          <w:lang w:val="en-US" w:eastAsia="zh-CN"/>
        </w:rPr>
      </w:pPr>
      <w:r>
        <w:rPr>
          <w:rFonts w:hint="eastAsia" w:ascii="仿宋" w:hAnsi="仿宋" w:eastAsia="仿宋" w:cs="仿宋"/>
          <w:color w:val="auto"/>
          <w:spacing w:val="4"/>
          <w:highlight w:val="none"/>
          <w:lang w:val="en-US" w:eastAsia="zh-CN"/>
        </w:rPr>
        <w:t>（</w:t>
      </w:r>
      <w:r>
        <w:rPr>
          <w:rFonts w:hint="eastAsia" w:hAnsi="仿宋" w:cs="仿宋"/>
          <w:color w:val="auto"/>
          <w:spacing w:val="4"/>
          <w:highlight w:val="none"/>
          <w:lang w:val="en-US" w:eastAsia="zh-CN"/>
        </w:rPr>
        <w:t>7</w:t>
      </w:r>
      <w:r>
        <w:rPr>
          <w:rFonts w:hint="eastAsia" w:ascii="仿宋" w:hAnsi="仿宋" w:eastAsia="仿宋" w:cs="仿宋"/>
          <w:color w:val="auto"/>
          <w:spacing w:val="4"/>
          <w:highlight w:val="none"/>
          <w:lang w:val="en-US" w:eastAsia="zh-CN"/>
        </w:rPr>
        <w:t>）残疾人福利性单位声明函（符合本声明函填写）</w:t>
      </w:r>
    </w:p>
    <w:p>
      <w:pPr>
        <w:rPr>
          <w:rFonts w:hint="eastAsia" w:ascii="仿宋" w:hAnsi="仿宋" w:eastAsia="仿宋" w:cs="仿宋"/>
          <w:highlight w:val="none"/>
        </w:rPr>
      </w:pPr>
      <w:r>
        <w:rPr>
          <w:rFonts w:hint="eastAsia" w:ascii="仿宋" w:hAnsi="仿宋" w:eastAsia="仿宋" w:cs="仿宋"/>
          <w:highlight w:val="none"/>
        </w:rPr>
        <w:br w:type="page"/>
      </w:r>
    </w:p>
    <w:p>
      <w:pPr>
        <w:pStyle w:val="35"/>
        <w:kinsoku w:val="0"/>
        <w:overflowPunct w:val="0"/>
        <w:spacing w:line="940" w:lineRule="exact"/>
        <w:jc w:val="center"/>
        <w:outlineLvl w:val="9"/>
        <w:rPr>
          <w:rFonts w:hint="eastAsia" w:ascii="仿宋" w:hAnsi="仿宋" w:eastAsia="仿宋" w:cs="仿宋"/>
          <w:highlight w:val="none"/>
        </w:rPr>
      </w:pPr>
    </w:p>
    <w:p>
      <w:pPr>
        <w:jc w:val="center"/>
        <w:rPr>
          <w:rFonts w:hint="eastAsia" w:ascii="仿宋" w:hAnsi="仿宋" w:eastAsia="仿宋" w:cs="仿宋"/>
          <w:b/>
          <w:bCs/>
          <w:sz w:val="96"/>
          <w:szCs w:val="84"/>
          <w:highlight w:val="none"/>
        </w:rPr>
      </w:pPr>
      <w:r>
        <w:rPr>
          <w:rFonts w:hint="eastAsia" w:ascii="仿宋" w:hAnsi="仿宋" w:eastAsia="仿宋" w:cs="仿宋"/>
          <w:b/>
          <w:sz w:val="96"/>
          <w:szCs w:val="84"/>
          <w:highlight w:val="none"/>
        </w:rPr>
        <w:t>（一）</w:t>
      </w:r>
      <w:r>
        <w:rPr>
          <w:rFonts w:hint="eastAsia" w:ascii="仿宋" w:hAnsi="仿宋" w:eastAsia="仿宋" w:cs="仿宋"/>
          <w:b/>
          <w:sz w:val="96"/>
          <w:szCs w:val="84"/>
          <w:highlight w:val="none"/>
          <w:lang w:val="en-US" w:eastAsia="zh-CN"/>
        </w:rPr>
        <w:t>资格文件</w:t>
      </w:r>
    </w:p>
    <w:p>
      <w:pPr>
        <w:pStyle w:val="8"/>
        <w:kinsoku w:val="0"/>
        <w:overflowPunct w:val="0"/>
        <w:spacing w:before="34" w:line="357" w:lineRule="auto"/>
        <w:ind w:right="126" w:firstLine="480"/>
        <w:jc w:val="center"/>
        <w:rPr>
          <w:rFonts w:hint="eastAsia" w:ascii="仿宋" w:hAnsi="仿宋" w:eastAsia="仿宋" w:cs="仿宋"/>
          <w:b/>
          <w:bCs/>
          <w:sz w:val="32"/>
          <w:szCs w:val="32"/>
          <w:highlight w:val="none"/>
        </w:rPr>
      </w:pPr>
      <w:r>
        <w:rPr>
          <w:rFonts w:hint="eastAsia" w:ascii="仿宋" w:hAnsi="仿宋" w:eastAsia="仿宋" w:cs="仿宋"/>
          <w:highlight w:val="none"/>
        </w:rPr>
        <w:br w:type="page"/>
      </w:r>
      <w:r>
        <w:rPr>
          <w:rFonts w:hint="eastAsia" w:hAnsi="仿宋" w:cs="仿宋"/>
          <w:b/>
          <w:bCs/>
          <w:sz w:val="32"/>
          <w:szCs w:val="32"/>
          <w:highlight w:val="none"/>
          <w:lang w:val="en-US" w:eastAsia="zh-CN"/>
        </w:rPr>
        <w:t>1</w:t>
      </w:r>
      <w:r>
        <w:rPr>
          <w:rFonts w:hint="eastAsia" w:ascii="仿宋" w:hAnsi="仿宋" w:eastAsia="仿宋" w:cs="仿宋"/>
          <w:b/>
          <w:bCs/>
          <w:sz w:val="32"/>
          <w:szCs w:val="32"/>
          <w:highlight w:val="none"/>
        </w:rPr>
        <w:t>、法定代表人身份证明</w:t>
      </w:r>
    </w:p>
    <w:p>
      <w:pPr>
        <w:spacing w:line="420" w:lineRule="exact"/>
        <w:ind w:firstLine="480" w:firstLineChars="200"/>
        <w:rPr>
          <w:rFonts w:hint="eastAsia" w:ascii="仿宋" w:hAnsi="仿宋" w:eastAsia="仿宋" w:cs="仿宋"/>
          <w:kern w:val="0"/>
          <w:sz w:val="24"/>
          <w:szCs w:val="24"/>
          <w:highlight w:val="none"/>
          <w:u w:val="single"/>
        </w:rPr>
      </w:pPr>
      <w:r>
        <w:rPr>
          <w:rFonts w:hint="eastAsia" w:ascii="仿宋" w:hAnsi="仿宋" w:eastAsia="仿宋" w:cs="仿宋"/>
          <w:kern w:val="0"/>
          <w:sz w:val="24"/>
          <w:szCs w:val="24"/>
          <w:highlight w:val="none"/>
        </w:rPr>
        <w:t>投标单位名称：</w:t>
      </w:r>
      <w:r>
        <w:rPr>
          <w:rFonts w:hint="eastAsia" w:ascii="仿宋" w:hAnsi="仿宋" w:eastAsia="仿宋" w:cs="仿宋"/>
          <w:kern w:val="0"/>
          <w:sz w:val="24"/>
          <w:szCs w:val="24"/>
          <w:highlight w:val="none"/>
          <w:u w:val="single"/>
        </w:rPr>
        <w:t xml:space="preserve">                       </w:t>
      </w:r>
    </w:p>
    <w:p>
      <w:pPr>
        <w:spacing w:line="420" w:lineRule="exact"/>
        <w:ind w:firstLine="480" w:firstLineChars="200"/>
        <w:rPr>
          <w:rFonts w:hint="eastAsia" w:ascii="仿宋" w:hAnsi="仿宋" w:eastAsia="仿宋" w:cs="仿宋"/>
          <w:kern w:val="0"/>
          <w:sz w:val="24"/>
          <w:szCs w:val="24"/>
          <w:highlight w:val="none"/>
          <w:u w:val="single"/>
        </w:rPr>
      </w:pPr>
      <w:r>
        <w:rPr>
          <w:rFonts w:hint="eastAsia" w:ascii="仿宋" w:hAnsi="仿宋" w:eastAsia="仿宋" w:cs="仿宋"/>
          <w:kern w:val="0"/>
          <w:sz w:val="24"/>
          <w:szCs w:val="24"/>
          <w:highlight w:val="none"/>
        </w:rPr>
        <w:t>单位性质：</w:t>
      </w:r>
      <w:r>
        <w:rPr>
          <w:rFonts w:hint="eastAsia" w:ascii="仿宋" w:hAnsi="仿宋" w:eastAsia="仿宋" w:cs="仿宋"/>
          <w:kern w:val="0"/>
          <w:sz w:val="24"/>
          <w:szCs w:val="24"/>
          <w:highlight w:val="none"/>
          <w:u w:val="single"/>
        </w:rPr>
        <w:t xml:space="preserve">                           </w:t>
      </w:r>
    </w:p>
    <w:p>
      <w:pPr>
        <w:spacing w:line="420" w:lineRule="exact"/>
        <w:ind w:firstLine="480" w:firstLineChars="200"/>
        <w:rPr>
          <w:rFonts w:hint="eastAsia" w:ascii="仿宋" w:hAnsi="仿宋" w:eastAsia="仿宋" w:cs="仿宋"/>
          <w:kern w:val="0"/>
          <w:sz w:val="24"/>
          <w:szCs w:val="24"/>
          <w:highlight w:val="none"/>
          <w:u w:val="single"/>
        </w:rPr>
      </w:pPr>
      <w:r>
        <w:rPr>
          <w:rFonts w:hint="eastAsia" w:ascii="仿宋" w:hAnsi="仿宋" w:eastAsia="仿宋" w:cs="仿宋"/>
          <w:kern w:val="0"/>
          <w:sz w:val="24"/>
          <w:szCs w:val="24"/>
          <w:highlight w:val="none"/>
        </w:rPr>
        <w:t>地址：</w:t>
      </w:r>
      <w:r>
        <w:rPr>
          <w:rFonts w:hint="eastAsia" w:ascii="仿宋" w:hAnsi="仿宋" w:eastAsia="仿宋" w:cs="仿宋"/>
          <w:kern w:val="0"/>
          <w:sz w:val="24"/>
          <w:szCs w:val="24"/>
          <w:highlight w:val="none"/>
          <w:u w:val="single"/>
        </w:rPr>
        <w:t xml:space="preserve">                               </w:t>
      </w:r>
    </w:p>
    <w:p>
      <w:pPr>
        <w:spacing w:line="42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成立时间：</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年</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月</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日</w:t>
      </w:r>
    </w:p>
    <w:p>
      <w:pPr>
        <w:spacing w:line="420" w:lineRule="exact"/>
        <w:ind w:firstLine="480" w:firstLineChars="200"/>
        <w:rPr>
          <w:rFonts w:hint="eastAsia" w:ascii="仿宋" w:hAnsi="仿宋" w:eastAsia="仿宋" w:cs="仿宋"/>
          <w:kern w:val="0"/>
          <w:sz w:val="24"/>
          <w:szCs w:val="24"/>
          <w:highlight w:val="none"/>
          <w:u w:val="single"/>
        </w:rPr>
      </w:pPr>
      <w:r>
        <w:rPr>
          <w:rFonts w:hint="eastAsia" w:ascii="仿宋" w:hAnsi="仿宋" w:eastAsia="仿宋" w:cs="仿宋"/>
          <w:kern w:val="0"/>
          <w:sz w:val="24"/>
          <w:szCs w:val="24"/>
          <w:highlight w:val="none"/>
        </w:rPr>
        <w:t>经营期限：</w:t>
      </w:r>
      <w:r>
        <w:rPr>
          <w:rFonts w:hint="eastAsia" w:ascii="仿宋" w:hAnsi="仿宋" w:eastAsia="仿宋" w:cs="仿宋"/>
          <w:kern w:val="0"/>
          <w:sz w:val="24"/>
          <w:szCs w:val="24"/>
          <w:highlight w:val="none"/>
          <w:u w:val="single"/>
        </w:rPr>
        <w:t xml:space="preserve">             </w:t>
      </w:r>
    </w:p>
    <w:p>
      <w:pPr>
        <w:spacing w:line="420" w:lineRule="exact"/>
        <w:ind w:firstLine="480" w:firstLineChars="200"/>
        <w:rPr>
          <w:rFonts w:hint="eastAsia" w:ascii="仿宋" w:hAnsi="仿宋" w:eastAsia="仿宋" w:cs="仿宋"/>
          <w:kern w:val="0"/>
          <w:sz w:val="24"/>
          <w:szCs w:val="24"/>
          <w:highlight w:val="none"/>
          <w:u w:val="single"/>
        </w:rPr>
      </w:pPr>
      <w:r>
        <w:rPr>
          <w:rFonts w:hint="eastAsia" w:ascii="仿宋" w:hAnsi="仿宋" w:eastAsia="仿宋" w:cs="仿宋"/>
          <w:kern w:val="0"/>
          <w:sz w:val="24"/>
          <w:szCs w:val="24"/>
          <w:highlight w:val="none"/>
        </w:rPr>
        <w:t>姓名：</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 xml:space="preserve"> 性别：</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 xml:space="preserve"> 年龄：</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 xml:space="preserve"> 职务：</w:t>
      </w:r>
      <w:r>
        <w:rPr>
          <w:rFonts w:hint="eastAsia" w:ascii="仿宋" w:hAnsi="仿宋" w:eastAsia="仿宋" w:cs="仿宋"/>
          <w:kern w:val="0"/>
          <w:sz w:val="24"/>
          <w:szCs w:val="24"/>
          <w:highlight w:val="none"/>
          <w:u w:val="single"/>
        </w:rPr>
        <w:t xml:space="preserve">           </w:t>
      </w:r>
    </w:p>
    <w:p>
      <w:pPr>
        <w:spacing w:line="420" w:lineRule="exact"/>
        <w:ind w:firstLine="480" w:firstLineChars="200"/>
        <w:rPr>
          <w:rFonts w:hint="eastAsia" w:ascii="仿宋" w:hAnsi="仿宋" w:eastAsia="仿宋" w:cs="仿宋"/>
          <w:kern w:val="0"/>
          <w:sz w:val="24"/>
          <w:szCs w:val="24"/>
          <w:highlight w:val="none"/>
          <w:u w:val="single"/>
        </w:rPr>
      </w:pPr>
      <w:r>
        <w:rPr>
          <w:rFonts w:hint="eastAsia" w:ascii="仿宋" w:hAnsi="仿宋" w:eastAsia="仿宋" w:cs="仿宋"/>
          <w:kern w:val="0"/>
          <w:sz w:val="24"/>
          <w:szCs w:val="24"/>
          <w:highlight w:val="none"/>
        </w:rPr>
        <w:t>身份证号码：</w:t>
      </w:r>
      <w:r>
        <w:rPr>
          <w:rFonts w:hint="eastAsia" w:ascii="仿宋" w:hAnsi="仿宋" w:eastAsia="仿宋" w:cs="仿宋"/>
          <w:kern w:val="0"/>
          <w:sz w:val="24"/>
          <w:szCs w:val="24"/>
          <w:highlight w:val="none"/>
          <w:u w:val="single"/>
        </w:rPr>
        <w:t xml:space="preserve">                                  </w:t>
      </w:r>
    </w:p>
    <w:p>
      <w:pPr>
        <w:spacing w:line="42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系</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（投标单位名称）的法定代表人。</w:t>
      </w:r>
    </w:p>
    <w:p>
      <w:pPr>
        <w:spacing w:line="420" w:lineRule="exact"/>
        <w:ind w:firstLine="960" w:firstLineChars="4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特此证明。</w:t>
      </w:r>
    </w:p>
    <w:p>
      <w:pPr>
        <w:pStyle w:val="8"/>
        <w:kinsoku w:val="0"/>
        <w:overflowPunct w:val="0"/>
        <w:spacing w:before="0"/>
        <w:ind w:left="0"/>
        <w:rPr>
          <w:rFonts w:hint="eastAsia" w:ascii="仿宋" w:hAnsi="仿宋" w:eastAsia="仿宋" w:cs="仿宋"/>
          <w:sz w:val="20"/>
          <w:szCs w:val="20"/>
          <w:highlight w:val="none"/>
        </w:rPr>
      </w:pPr>
    </w:p>
    <w:p>
      <w:pPr>
        <w:pStyle w:val="8"/>
        <w:kinsoku w:val="0"/>
        <w:overflowPunct w:val="0"/>
        <w:spacing w:before="7"/>
        <w:ind w:left="0"/>
        <w:rPr>
          <w:rFonts w:hint="eastAsia" w:ascii="仿宋" w:hAnsi="仿宋" w:eastAsia="仿宋" w:cs="仿宋"/>
          <w:sz w:val="25"/>
          <w:szCs w:val="25"/>
          <w:highlight w:val="none"/>
        </w:rPr>
      </w:pPr>
    </w:p>
    <w:p>
      <w:pPr>
        <w:pStyle w:val="8"/>
        <w:kinsoku w:val="0"/>
        <w:overflowPunct w:val="0"/>
        <w:spacing w:before="0" w:line="200" w:lineRule="atLeast"/>
        <w:ind w:left="608"/>
        <w:rPr>
          <w:rFonts w:hint="eastAsia" w:ascii="仿宋" w:hAnsi="仿宋" w:eastAsia="仿宋" w:cs="仿宋"/>
          <w:sz w:val="20"/>
          <w:szCs w:val="20"/>
          <w:highlight w:val="none"/>
        </w:rPr>
      </w:pPr>
      <w:r>
        <w:rPr>
          <w:rFonts w:hint="eastAsia" w:ascii="仿宋" w:hAnsi="仿宋" w:eastAsia="仿宋" w:cs="仿宋"/>
          <w:sz w:val="20"/>
          <w:szCs w:val="20"/>
          <w:highlight w:val="none"/>
        </w:rPr>
        <mc:AlternateContent>
          <mc:Choice Requires="wpg">
            <w:drawing>
              <wp:inline distT="0" distB="0" distL="114300" distR="114300">
                <wp:extent cx="5136515" cy="1458595"/>
                <wp:effectExtent l="0" t="0" r="8255" b="9525"/>
                <wp:docPr id="120" name="组合 120"/>
                <wp:cNvGraphicFramePr/>
                <a:graphic xmlns:a="http://schemas.openxmlformats.org/drawingml/2006/main">
                  <a:graphicData uri="http://schemas.microsoft.com/office/word/2010/wordprocessingGroup">
                    <wpg:wgp>
                      <wpg:cNvGrpSpPr>
                        <a:grpSpLocks noRot="1"/>
                      </wpg:cNvGrpSpPr>
                      <wpg:grpSpPr>
                        <a:xfrm>
                          <a:off x="0" y="0"/>
                          <a:ext cx="5136515" cy="1458595"/>
                          <a:chOff x="0" y="0"/>
                          <a:chExt cx="8089" cy="2297"/>
                        </a:xfrm>
                        <a:effectLst/>
                      </wpg:grpSpPr>
                      <wps:wsp>
                        <wps:cNvPr id="108" name="任意多边形 108"/>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a:effectLst/>
                        </wps:spPr>
                        <wps:bodyPr upright="1"/>
                      </wps:wsp>
                      <wps:wsp>
                        <wps:cNvPr id="109" name="任意多边形 109"/>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a:effectLst/>
                        </wps:spPr>
                        <wps:bodyPr upright="1"/>
                      </wps:wsp>
                      <wps:wsp>
                        <wps:cNvPr id="110" name="任意多边形 110"/>
                        <wps:cNvSpPr/>
                        <wps:spPr>
                          <a:xfrm>
                            <a:off x="24" y="2267"/>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a:effectLst/>
                        </wps:spPr>
                        <wps:bodyPr upright="1"/>
                      </wps:wsp>
                      <wps:wsp>
                        <wps:cNvPr id="111" name="任意多边形 111"/>
                        <wps:cNvSpPr/>
                        <wps:spPr>
                          <a:xfrm>
                            <a:off x="4" y="2286"/>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a:effectLst/>
                        </wps:spPr>
                        <wps:bodyPr upright="1"/>
                      </wps:wsp>
                      <wps:wsp>
                        <wps:cNvPr id="112" name="任意多边形 112"/>
                        <wps:cNvSpPr/>
                        <wps:spPr>
                          <a:xfrm>
                            <a:off x="9" y="4"/>
                            <a:ext cx="20" cy="2287"/>
                          </a:xfrm>
                          <a:custGeom>
                            <a:avLst/>
                            <a:gdLst/>
                            <a:ahLst/>
                            <a:cxnLst/>
                            <a:pathLst>
                              <a:path w="20" h="2287">
                                <a:moveTo>
                                  <a:pt x="0" y="0"/>
                                </a:moveTo>
                                <a:lnTo>
                                  <a:pt x="0" y="2286"/>
                                </a:lnTo>
                              </a:path>
                            </a:pathLst>
                          </a:custGeom>
                          <a:noFill/>
                          <a:ln w="6096" cap="flat" cmpd="sng">
                            <a:solidFill>
                              <a:srgbClr val="000000"/>
                            </a:solidFill>
                            <a:prstDash val="solid"/>
                            <a:headEnd type="none" w="med" len="med"/>
                            <a:tailEnd type="none" w="med" len="med"/>
                          </a:ln>
                          <a:effectLst/>
                        </wps:spPr>
                        <wps:bodyPr upright="1"/>
                      </wps:wsp>
                      <wps:wsp>
                        <wps:cNvPr id="113" name="任意多边形 113"/>
                        <wps:cNvSpPr/>
                        <wps:spPr>
                          <a:xfrm>
                            <a:off x="28" y="24"/>
                            <a:ext cx="20" cy="2249"/>
                          </a:xfrm>
                          <a:custGeom>
                            <a:avLst/>
                            <a:gdLst/>
                            <a:ahLst/>
                            <a:cxnLst/>
                            <a:pathLst>
                              <a:path w="20" h="2249">
                                <a:moveTo>
                                  <a:pt x="0" y="0"/>
                                </a:moveTo>
                                <a:lnTo>
                                  <a:pt x="0" y="2248"/>
                                </a:lnTo>
                              </a:path>
                            </a:pathLst>
                          </a:custGeom>
                          <a:noFill/>
                          <a:ln w="6096" cap="flat" cmpd="sng">
                            <a:solidFill>
                              <a:srgbClr val="000000"/>
                            </a:solidFill>
                            <a:prstDash val="solid"/>
                            <a:headEnd type="none" w="med" len="med"/>
                            <a:tailEnd type="none" w="med" len="med"/>
                          </a:ln>
                          <a:effectLst/>
                        </wps:spPr>
                        <wps:bodyPr upright="1"/>
                      </wps:wsp>
                      <wps:wsp>
                        <wps:cNvPr id="114" name="任意多边形 114"/>
                        <wps:cNvSpPr/>
                        <wps:spPr>
                          <a:xfrm>
                            <a:off x="4034"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a:effectLst/>
                        </wps:spPr>
                        <wps:bodyPr upright="1"/>
                      </wps:wsp>
                      <wps:wsp>
                        <wps:cNvPr id="115" name="任意多边形 115"/>
                        <wps:cNvSpPr/>
                        <wps:spPr>
                          <a:xfrm>
                            <a:off x="4053"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a:effectLst/>
                        </wps:spPr>
                        <wps:bodyPr upright="1"/>
                      </wps:wsp>
                      <wps:wsp>
                        <wps:cNvPr id="116" name="任意多边形 116"/>
                        <wps:cNvSpPr/>
                        <wps:spPr>
                          <a:xfrm>
                            <a:off x="8059" y="33"/>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a:effectLst/>
                        </wps:spPr>
                        <wps:bodyPr upright="1"/>
                      </wps:wsp>
                      <wps:wsp>
                        <wps:cNvPr id="117" name="任意多边形 117"/>
                        <wps:cNvSpPr/>
                        <wps:spPr>
                          <a:xfrm>
                            <a:off x="8078" y="14"/>
                            <a:ext cx="20" cy="2278"/>
                          </a:xfrm>
                          <a:custGeom>
                            <a:avLst/>
                            <a:gdLst/>
                            <a:ahLst/>
                            <a:cxnLst/>
                            <a:pathLst>
                              <a:path w="20" h="2278">
                                <a:moveTo>
                                  <a:pt x="0" y="0"/>
                                </a:moveTo>
                                <a:lnTo>
                                  <a:pt x="0" y="2277"/>
                                </a:lnTo>
                              </a:path>
                            </a:pathLst>
                          </a:custGeom>
                          <a:noFill/>
                          <a:ln w="6096" cap="flat" cmpd="sng">
                            <a:solidFill>
                              <a:srgbClr val="000000"/>
                            </a:solidFill>
                            <a:prstDash val="solid"/>
                            <a:headEnd type="none" w="med" len="med"/>
                            <a:tailEnd type="none" w="med" len="med"/>
                          </a:ln>
                          <a:effectLst/>
                        </wps:spPr>
                        <wps:bodyPr upright="1"/>
                      </wps:wsp>
                      <wps:wsp>
                        <wps:cNvPr id="118" name="文本框 118"/>
                        <wps:cNvSpPr txBox="1"/>
                        <wps:spPr>
                          <a:xfrm>
                            <a:off x="19" y="19"/>
                            <a:ext cx="4025" cy="2258"/>
                          </a:xfrm>
                          <a:prstGeom prst="rect">
                            <a:avLst/>
                          </a:prstGeom>
                          <a:noFill/>
                          <a:ln>
                            <a:noFill/>
                          </a:ln>
                          <a:effectLst/>
                        </wps:spPr>
                        <wps:txbx>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13"/>
                                <w:ind w:left="0"/>
                                <w:rPr>
                                  <w:sz w:val="28"/>
                                  <w:szCs w:val="28"/>
                                </w:rPr>
                              </w:pPr>
                            </w:p>
                            <w:p>
                              <w:pPr>
                                <w:pStyle w:val="8"/>
                                <w:kinsoku w:val="0"/>
                                <w:overflowPunct w:val="0"/>
                                <w:spacing w:before="0"/>
                                <w:ind w:left="107"/>
                              </w:pPr>
                              <w:r>
                                <w:rPr>
                                  <w:rFonts w:hint="eastAsia"/>
                                </w:rPr>
                                <w:t>法定代表人身份证复印件（正面）</w:t>
                              </w:r>
                            </w:p>
                          </w:txbxContent>
                        </wps:txbx>
                        <wps:bodyPr lIns="0" tIns="0" rIns="0" bIns="0" upright="1"/>
                      </wps:wsp>
                      <wps:wsp>
                        <wps:cNvPr id="119" name="文本框 119"/>
                        <wps:cNvSpPr txBox="1"/>
                        <wps:spPr>
                          <a:xfrm>
                            <a:off x="4044" y="19"/>
                            <a:ext cx="4025" cy="2258"/>
                          </a:xfrm>
                          <a:prstGeom prst="rect">
                            <a:avLst/>
                          </a:prstGeom>
                          <a:noFill/>
                          <a:ln>
                            <a:noFill/>
                          </a:ln>
                          <a:effectLst/>
                        </wps:spPr>
                        <wps:txbx>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13"/>
                                <w:ind w:left="0"/>
                                <w:rPr>
                                  <w:sz w:val="28"/>
                                  <w:szCs w:val="28"/>
                                </w:rPr>
                              </w:pPr>
                            </w:p>
                            <w:p>
                              <w:pPr>
                                <w:pStyle w:val="8"/>
                                <w:kinsoku w:val="0"/>
                                <w:overflowPunct w:val="0"/>
                                <w:spacing w:before="0"/>
                                <w:ind w:left="107"/>
                              </w:pPr>
                              <w:r>
                                <w:rPr>
                                  <w:rFonts w:hint="eastAsia"/>
                                </w:rPr>
                                <w:t>法定代表人身份证复印件（反面）</w:t>
                              </w:r>
                            </w:p>
                          </w:txbxContent>
                        </wps:txbx>
                        <wps:bodyPr lIns="0" tIns="0" rIns="0" bIns="0" upright="1"/>
                      </wps:wsp>
                    </wpg:wgp>
                  </a:graphicData>
                </a:graphic>
              </wp:inline>
            </w:drawing>
          </mc:Choice>
          <mc:Fallback>
            <w:pict>
              <v:group id="_x0000_s1026" o:spid="_x0000_s1026"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">
                <o:lock v:ext="edit" rotation="t" aspectratio="f"/>
                <v:shape id="_x0000_s1026" o:spid="_x0000_s1026" o:spt="100" style="position:absolute;left:4;top:9;height:20;width:8079;" filled="f" stroked="t" coordsize="8079,20" o:gfxdata="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8omSb4A&#10;AADcAAAADwAAAAAAAAABACAAAAAiAAAAZHJzL2Rvd25yZXYueG1sUEsBAhQAFAAAAAgAh07iQDMv&#10;BZ47AAAAOQAAABAAAAAAAAAAAQAgAAAADQEAAGRycy9zaGFwZXhtbC54bWxQSwUGAAAAAAYABgBb&#10;AQAAtwM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RzdCdrsAAADc&#10;AAAADwAAAGRycy9kb3ducmV2LnhtbEVPzWrCQBC+C77DMkJvuhuhpaZucqgUxNJDow8wZMckJDsb&#10;drca+/TdguBtPr7f2ZaTHcSFfOgca8hWCgRx7UzHjYbT8WP5CiJEZIODY9JwowBlMZ9tMTfuyt90&#10;qWIjUgiHHDW0MY65lKFuyWJYuZE4cWfnLcYEfSONx2sKt4NcK/UiLXacGloc6b2luq9+rIad98cv&#10;OZ6r38PnzmWN6p83U6/10yJTbyAiTfEhvrv3Js1XG/h/Jl0gi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zdCdrsAAADc&#10;AAAADwAAAAAAAAABACAAAAAiAAAAZHJzL2Rvd25yZXYueG1sUEsBAhQAFAAAAAgAh07iQDMvBZ47&#10;AAAAOQAAABAAAAAAAAAAAQAgAAAACgEAAGRycy9zaGFwZXhtbC54bWxQSwUGAAAAAAYABgBbAQAA&#10;tAMAAAAA&#10;" path="m0,0l8040,0e">
                  <v:fill on="f" focussize="0,0"/>
                  <v:stroke weight="0.48pt" color="#000000" joinstyle="round"/>
                  <v:imagedata o:title=""/>
                  <o:lock v:ext="edit" aspectratio="f"/>
                </v:shape>
                <v:shape id="_x0000_s1026" o:spid="_x0000_s1026" o:spt="100" style="position:absolute;left:24;top:2267;height:20;width:8041;" filled="f" stroked="t" coordsize="8041,20" o:gfxdata="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9R9Nr4A&#10;AADcAAAADwAAAAAAAAABACAAAAAiAAAAZHJzL2Rvd25yZXYueG1sUEsBAhQAFAAAAAgAh07iQDMv&#10;BZ47AAAAOQAAABAAAAAAAAAAAQAgAAAADQEAAGRycy9zaGFwZXhtbC54bWxQSwUGAAAAAAYABgBb&#10;AQAAtwMAAAAA&#10;" path="m0,0l8040,0e">
                  <v:fill on="f" focussize="0,0"/>
                  <v:stroke weight="0.48pt" color="#000000" joinstyle="round"/>
                  <v:imagedata o:title=""/>
                  <o:lock v:ext="edit" aspectratio="f"/>
                </v:shape>
                <v:shape id="_x0000_s1026" o:spid="_x0000_s1026" o:spt="100" style="position:absolute;left:4;top:2286;height:20;width:8079;" filled="f" stroked="t" coordsize="8079,20" o:gfxdata="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ykZCbsAAADc&#10;AAAADwAAAAAAAAABACAAAAAiAAAAZHJzL2Rvd25yZXYueG1sUEsBAhQAFAAAAAgAh07iQDMvBZ47&#10;AAAAOQAAABAAAAAAAAAAAQAgAAAACgEAAGRycy9zaGFwZXhtbC54bWxQSwUGAAAAAAYABgBbAQAA&#10;tAMAAAAA&#10;" path="m0,0l8078,0e">
                  <v:fill on="f" focussize="0,0"/>
                  <v:stroke weight="0.48pt" color="#000000" joinstyle="round"/>
                  <v:imagedata o:title=""/>
                  <o:lock v:ext="edit" aspectratio="f"/>
                </v:shape>
                <v:shape id="_x0000_s1026" o:spid="_x0000_s1026" o:spt="100" style="position:absolute;left:9;top:4;height:2287;width:20;" filled="f" stroked="t" coordsize="20,2287" o:gfxdata="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Ptzx7sAAADc&#10;AAAADwAAAAAAAAABACAAAAAiAAAAZHJzL2Rvd25yZXYueG1sUEsBAhQAFAAAAAgAh07iQDMvBZ47&#10;AAAAOQAAABAAAAAAAAAAAQAgAAAACgEAAGRycy9zaGFwZXhtbC54bWxQSwUGAAAAAAYABgBbAQAA&#10;tAMAAAAA&#10;" path="m0,0l0,2286e">
                  <v:fill on="f" focussize="0,0"/>
                  <v:stroke weight="0.48pt" color="#000000" joinstyle="round"/>
                  <v:imagedata o:title=""/>
                  <o:lock v:ext="edit" aspectratio="f"/>
                </v:shape>
                <v:shape id="_x0000_s1026" o:spid="_x0000_s1026" o:spt="100" style="position:absolute;left:28;top:24;height:2249;width:20;" filled="f" stroked="t" coordsize="20,2249" o:gfxdata="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5lnMr4A&#10;AADcAAAADwAAAAAAAAABACAAAAAiAAAAZHJzL2Rvd25yZXYueG1sUEsBAhQAFAAAAAgAh07iQDMv&#10;BZ47AAAAOQAAABAAAAAAAAAAAQAgAAAADQEAAGRycy9zaGFwZXhtbC54bWxQSwUGAAAAAAYABgBb&#10;AQAAtwMAAAAA&#10;" path="m0,0l0,2248e">
                  <v:fill on="f" focussize="0,0"/>
                  <v:stroke weight="0.48pt" color="#000000" joinstyle="round"/>
                  <v:imagedata o:title=""/>
                  <o:lock v:ext="edit" aspectratio="f"/>
                </v:shape>
                <v:shape id="_x0000_s1026" o:spid="_x0000_s1026" o:spt="100" style="position:absolute;left:4034;top:24;height:2239;width:20;" filled="f" stroked="t" coordsize="20,2239" o:gfxdata="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bJBF3LgAAADcAAAA&#10;DwAAAAAAAAABACAAAAAiAAAAZHJzL2Rvd25yZXYueG1sUEsBAhQAFAAAAAgAh07iQDMvBZ47AAAA&#10;OQAAABAAAAAAAAAAAQAgAAAABwEAAGRycy9zaGFwZXhtbC54bWxQSwUGAAAAAAYABgBbAQAAsQMA&#10;AAAA&#10;" path="m0,0l0,2238e">
                  <v:fill on="f" focussize="0,0"/>
                  <v:stroke weight="0.48pt" color="#000000" joinstyle="round"/>
                  <v:imagedata o:title=""/>
                  <o:lock v:ext="edit" aspectratio="f"/>
                </v:shape>
                <v:shape id="_x0000_s1026" o:spid="_x0000_s1026" o:spt="100" style="position:absolute;left:4053;top:24;height:2239;width:20;" filled="f" stroked="t" coordsize="20,2239" o:gfxdata="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Pc4Ee5AAAA3AAA&#10;AA8AAAAAAAAAAQAgAAAAIgAAAGRycy9kb3ducmV2LnhtbFBLAQIUABQAAAAIAIdO4kAzLwWeOwAA&#10;ADkAAAAQAAAAAAAAAAEAIAAAAAgBAABkcnMvc2hhcGV4bWwueG1sUEsFBgAAAAAGAAYAWwEAALID&#10;AAAAAA==&#10;" path="m0,0l0,2238e">
                  <v:fill on="f" focussize="0,0"/>
                  <v:stroke weight="0.48pt" color="#000000" joinstyle="round"/>
                  <v:imagedata o:title=""/>
                  <o:lock v:ext="edit" aspectratio="f"/>
                </v:shape>
                <v:shape id="_x0000_s1026" o:spid="_x0000_s1026" o:spt="100" style="position:absolute;left:8059;top:33;height:2239;width:20;" filled="f" stroked="t" coordsize="20,2239" o:gfxdata="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8w5+MLgAAADcAAAA&#10;DwAAAAAAAAABACAAAAAiAAAAZHJzL2Rvd25yZXYueG1sUEsBAhQAFAAAAAgAh07iQDMvBZ47AAAA&#10;OQAAABAAAAAAAAAAAQAgAAAABwEAAGRycy9zaGFwZXhtbC54bWxQSwUGAAAAAAYABgBbAQAAsQMA&#10;AAAA&#10;" path="m0,0l0,2238e">
                  <v:fill on="f" focussize="0,0"/>
                  <v:stroke weight="0.48pt" color="#000000" joinstyle="round"/>
                  <v:imagedata o:title=""/>
                  <o:lock v:ext="edit" aspectratio="f"/>
                </v:shape>
                <v:shape id="_x0000_s1026" o:spid="_x0000_s1026" o:spt="100" style="position:absolute;left:8078;top:14;height:2278;width:20;" filled="f" stroked="t" coordsize="20,2278" o:gfxdata="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iLArvQAA&#10;ANwAAAAPAAAAAAAAAAEAIAAAACIAAABkcnMvZG93bnJldi54bWxQSwECFAAUAAAACACHTuJAMy8F&#10;njsAAAA5AAAAEAAAAAAAAAABACAAAAAMAQAAZHJzL3NoYXBleG1sLnhtbFBLBQYAAAAABgAGAFsB&#10;AAC2AwAAAAA=&#10;" path="m0,0l0,2277e">
                  <v:fill on="f" focussize="0,0"/>
                  <v:stroke weight="0.48pt" color="#000000" joinstyle="round"/>
                  <v:imagedata o:title=""/>
                  <o:lock v:ext="edit" aspectratio="f"/>
                </v:shape>
                <v:shape id="_x0000_s1026" o:spid="_x0000_s1026" o:spt="202" type="#_x0000_t202" style="position:absolute;left:19;top:19;height:2258;width:4025;" filled="f" stroked="f" coordsize="21600,21600" o:gfxdata="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wvzLm/&#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13"/>
                          <w:ind w:left="0"/>
                          <w:rPr>
                            <w:sz w:val="28"/>
                            <w:szCs w:val="28"/>
                          </w:rPr>
                        </w:pPr>
                      </w:p>
                      <w:p>
                        <w:pPr>
                          <w:pStyle w:val="8"/>
                          <w:kinsoku w:val="0"/>
                          <w:overflowPunct w:val="0"/>
                          <w:spacing w:before="0"/>
                          <w:ind w:left="107"/>
                        </w:pPr>
                        <w:r>
                          <w:rPr>
                            <w:rFonts w:hint="eastAsia"/>
                          </w:rPr>
                          <w:t>法定代表人身份证复印件（正面）</w:t>
                        </w:r>
                      </w:p>
                    </w:txbxContent>
                  </v:textbox>
                </v:shape>
                <v:shape id="_x0000_s1026" o:spid="_x0000_s1026" o:spt="202" type="#_x0000_t202" style="position:absolute;left:4044;top:19;height:2258;width:4025;" filled="f" stroked="f" coordsize="21600,21600" o:gfxdata="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NjaSK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13"/>
                          <w:ind w:left="0"/>
                          <w:rPr>
                            <w:sz w:val="28"/>
                            <w:szCs w:val="28"/>
                          </w:rPr>
                        </w:pPr>
                      </w:p>
                      <w:p>
                        <w:pPr>
                          <w:pStyle w:val="8"/>
                          <w:kinsoku w:val="0"/>
                          <w:overflowPunct w:val="0"/>
                          <w:spacing w:before="0"/>
                          <w:ind w:left="107"/>
                        </w:pPr>
                        <w:r>
                          <w:rPr>
                            <w:rFonts w:hint="eastAsia"/>
                          </w:rPr>
                          <w:t>法定代表人身份证复印件（反面）</w:t>
                        </w:r>
                      </w:p>
                    </w:txbxContent>
                  </v:textbox>
                </v:shape>
                <w10:wrap type="none"/>
                <w10:anchorlock/>
              </v:group>
            </w:pict>
          </mc:Fallback>
        </mc:AlternateContent>
      </w:r>
    </w:p>
    <w:p>
      <w:pPr>
        <w:pStyle w:val="8"/>
        <w:kinsoku w:val="0"/>
        <w:overflowPunct w:val="0"/>
        <w:spacing w:before="0"/>
        <w:ind w:left="0"/>
        <w:rPr>
          <w:rFonts w:hint="eastAsia" w:ascii="仿宋" w:hAnsi="仿宋" w:eastAsia="仿宋" w:cs="仿宋"/>
          <w:sz w:val="20"/>
          <w:szCs w:val="20"/>
          <w:highlight w:val="none"/>
        </w:rPr>
      </w:pPr>
    </w:p>
    <w:p>
      <w:pPr>
        <w:wordWrap w:val="0"/>
        <w:spacing w:line="420" w:lineRule="exact"/>
        <w:ind w:firstLine="480" w:firstLineChars="200"/>
        <w:jc w:val="right"/>
        <w:rPr>
          <w:rFonts w:hint="eastAsia" w:ascii="仿宋" w:hAnsi="仿宋" w:eastAsia="仿宋" w:cs="仿宋"/>
          <w:kern w:val="0"/>
          <w:sz w:val="24"/>
          <w:szCs w:val="24"/>
          <w:highlight w:val="none"/>
        </w:rPr>
      </w:pPr>
    </w:p>
    <w:p>
      <w:pPr>
        <w:spacing w:line="420" w:lineRule="exact"/>
        <w:ind w:firstLine="480" w:firstLineChars="200"/>
        <w:jc w:val="right"/>
        <w:rPr>
          <w:rFonts w:hint="eastAsia" w:ascii="仿宋" w:hAnsi="仿宋" w:eastAsia="仿宋" w:cs="仿宋"/>
          <w:kern w:val="0"/>
          <w:sz w:val="24"/>
          <w:szCs w:val="24"/>
          <w:highlight w:val="none"/>
        </w:rPr>
      </w:pPr>
    </w:p>
    <w:p>
      <w:pPr>
        <w:spacing w:line="420" w:lineRule="exact"/>
        <w:ind w:firstLine="480" w:firstLineChars="200"/>
        <w:jc w:val="righ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供应商：</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（公章）</w:t>
      </w:r>
    </w:p>
    <w:p>
      <w:pPr>
        <w:wordWrap w:val="0"/>
        <w:spacing w:line="420" w:lineRule="exact"/>
        <w:ind w:right="480" w:firstLine="480" w:firstLineChars="20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年</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月</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 xml:space="preserve">日 </w:t>
      </w:r>
    </w:p>
    <w:p>
      <w:pPr>
        <w:pStyle w:val="8"/>
        <w:kinsoku w:val="0"/>
        <w:overflowPunct w:val="0"/>
        <w:spacing w:before="34" w:line="357" w:lineRule="auto"/>
        <w:ind w:right="126" w:firstLine="480"/>
        <w:jc w:val="center"/>
        <w:rPr>
          <w:rFonts w:hint="eastAsia" w:ascii="仿宋" w:hAnsi="仿宋" w:eastAsia="仿宋" w:cs="仿宋"/>
          <w:b/>
          <w:bCs/>
          <w:sz w:val="22"/>
          <w:szCs w:val="22"/>
          <w:highlight w:val="none"/>
        </w:rPr>
      </w:pPr>
      <w:r>
        <w:rPr>
          <w:rFonts w:hint="eastAsia" w:ascii="仿宋" w:hAnsi="仿宋" w:eastAsia="仿宋" w:cs="仿宋"/>
          <w:highlight w:val="none"/>
        </w:rPr>
        <w:br w:type="page"/>
      </w:r>
      <w:r>
        <w:rPr>
          <w:rFonts w:hint="eastAsia" w:ascii="仿宋" w:hAnsi="仿宋" w:eastAsia="仿宋" w:cs="仿宋"/>
          <w:b/>
          <w:bCs/>
          <w:sz w:val="32"/>
          <w:szCs w:val="32"/>
          <w:highlight w:val="none"/>
          <w:lang w:val="en-US" w:eastAsia="zh-CN"/>
        </w:rPr>
        <w:t>法人</w:t>
      </w:r>
      <w:r>
        <w:rPr>
          <w:rFonts w:hint="eastAsia" w:ascii="仿宋" w:hAnsi="仿宋" w:eastAsia="仿宋" w:cs="仿宋"/>
          <w:b/>
          <w:bCs/>
          <w:sz w:val="32"/>
          <w:szCs w:val="32"/>
          <w:highlight w:val="none"/>
        </w:rPr>
        <w:t>授权委托书</w:t>
      </w:r>
    </w:p>
    <w:p>
      <w:pPr>
        <w:pStyle w:val="8"/>
        <w:kinsoku w:val="0"/>
        <w:overflowPunct w:val="0"/>
        <w:spacing w:before="2"/>
        <w:ind w:left="0"/>
        <w:rPr>
          <w:rFonts w:hint="eastAsia" w:ascii="仿宋" w:hAnsi="仿宋" w:eastAsia="仿宋" w:cs="仿宋"/>
          <w:b/>
          <w:bCs/>
          <w:sz w:val="21"/>
          <w:szCs w:val="21"/>
          <w:highlight w:val="none"/>
        </w:rPr>
      </w:pPr>
    </w:p>
    <w:p>
      <w:pPr>
        <w:spacing w:line="420" w:lineRule="exac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致：采购人名称 </w:t>
      </w:r>
    </w:p>
    <w:p>
      <w:pPr>
        <w:spacing w:line="42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本授权书声明：注册于</w:t>
      </w:r>
      <w:r>
        <w:rPr>
          <w:rFonts w:hint="eastAsia" w:ascii="仿宋" w:hAnsi="仿宋" w:eastAsia="仿宋" w:cs="仿宋"/>
          <w:kern w:val="0"/>
          <w:sz w:val="24"/>
          <w:szCs w:val="24"/>
          <w:highlight w:val="none"/>
          <w:u w:val="single"/>
        </w:rPr>
        <w:t>（供应商地址）</w:t>
      </w:r>
      <w:r>
        <w:rPr>
          <w:rFonts w:hint="eastAsia" w:ascii="仿宋" w:hAnsi="仿宋" w:eastAsia="仿宋" w:cs="仿宋"/>
          <w:kern w:val="0"/>
          <w:sz w:val="24"/>
          <w:szCs w:val="24"/>
          <w:highlight w:val="none"/>
        </w:rPr>
        <w:t>的</w:t>
      </w:r>
      <w:r>
        <w:rPr>
          <w:rFonts w:hint="eastAsia" w:ascii="仿宋" w:hAnsi="仿宋" w:eastAsia="仿宋" w:cs="仿宋"/>
          <w:kern w:val="0"/>
          <w:sz w:val="24"/>
          <w:szCs w:val="24"/>
          <w:highlight w:val="none"/>
          <w:u w:val="single"/>
        </w:rPr>
        <w:t>（供应商名称）</w:t>
      </w:r>
      <w:r>
        <w:rPr>
          <w:rFonts w:hint="eastAsia" w:ascii="仿宋" w:hAnsi="仿宋" w:eastAsia="仿宋" w:cs="仿宋"/>
          <w:kern w:val="0"/>
          <w:sz w:val="24"/>
          <w:szCs w:val="24"/>
          <w:highlight w:val="none"/>
        </w:rPr>
        <w:t>法定代表人（负责人）</w:t>
      </w:r>
      <w:r>
        <w:rPr>
          <w:rFonts w:hint="eastAsia" w:ascii="仿宋" w:hAnsi="仿宋" w:eastAsia="仿宋" w:cs="仿宋"/>
          <w:kern w:val="0"/>
          <w:sz w:val="24"/>
          <w:szCs w:val="24"/>
          <w:highlight w:val="none"/>
          <w:u w:val="single"/>
        </w:rPr>
        <w:t>姓名、职务或职称）</w:t>
      </w:r>
      <w:r>
        <w:rPr>
          <w:rFonts w:hint="eastAsia" w:ascii="仿宋" w:hAnsi="仿宋" w:eastAsia="仿宋" w:cs="仿宋"/>
          <w:kern w:val="0"/>
          <w:sz w:val="24"/>
          <w:szCs w:val="24"/>
          <w:highlight w:val="none"/>
        </w:rPr>
        <w:t>代表本公司授权</w:t>
      </w:r>
      <w:r>
        <w:rPr>
          <w:rFonts w:hint="eastAsia" w:ascii="仿宋" w:hAnsi="仿宋" w:eastAsia="仿宋" w:cs="仿宋"/>
          <w:kern w:val="0"/>
          <w:sz w:val="24"/>
          <w:szCs w:val="24"/>
          <w:highlight w:val="none"/>
          <w:u w:val="single"/>
        </w:rPr>
        <w:t>（姓名）</w:t>
      </w:r>
      <w:r>
        <w:rPr>
          <w:rFonts w:hint="eastAsia" w:ascii="仿宋" w:hAnsi="仿宋" w:eastAsia="仿宋" w:cs="仿宋"/>
          <w:kern w:val="0"/>
          <w:sz w:val="24"/>
          <w:szCs w:val="24"/>
          <w:highlight w:val="none"/>
        </w:rPr>
        <w:t>为本单位的合法代理人，参与贵方组织的</w:t>
      </w:r>
      <w:r>
        <w:rPr>
          <w:rFonts w:hint="eastAsia" w:ascii="仿宋" w:hAnsi="仿宋" w:eastAsia="仿宋" w:cs="仿宋"/>
          <w:kern w:val="0"/>
          <w:sz w:val="24"/>
          <w:szCs w:val="24"/>
          <w:highlight w:val="none"/>
          <w:u w:val="single"/>
        </w:rPr>
        <w:t>（项目名称及项目编号）</w:t>
      </w:r>
      <w:r>
        <w:rPr>
          <w:rFonts w:hint="eastAsia" w:ascii="仿宋" w:hAnsi="仿宋" w:eastAsia="仿宋" w:cs="仿宋"/>
          <w:kern w:val="0"/>
          <w:sz w:val="24"/>
          <w:szCs w:val="24"/>
          <w:highlight w:val="none"/>
        </w:rPr>
        <w:t xml:space="preserve"> 的投标、谈判、签约等具体工作，并签署全部有关文件、协议及合同。</w:t>
      </w:r>
    </w:p>
    <w:p>
      <w:pPr>
        <w:spacing w:line="42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我单位对被授权人的上述经济活动负全部责任。在撤销授权的书面通知前，本授权书一直有效。被授权人在授权书有效期内签署的所有文件不因授权的撤消而失效。</w:t>
      </w:r>
    </w:p>
    <w:p>
      <w:pPr>
        <w:pStyle w:val="8"/>
        <w:kinsoku w:val="0"/>
        <w:overflowPunct w:val="0"/>
        <w:spacing w:before="12"/>
        <w:ind w:left="0"/>
        <w:rPr>
          <w:rFonts w:hint="eastAsia" w:ascii="仿宋" w:hAnsi="仿宋" w:eastAsia="仿宋" w:cs="仿宋"/>
          <w:sz w:val="4"/>
          <w:szCs w:val="4"/>
          <w:highlight w:val="none"/>
        </w:rPr>
      </w:pPr>
    </w:p>
    <w:p>
      <w:pPr>
        <w:pStyle w:val="8"/>
        <w:kinsoku w:val="0"/>
        <w:overflowPunct w:val="0"/>
        <w:spacing w:before="0" w:line="200" w:lineRule="atLeast"/>
        <w:ind w:left="628"/>
        <w:rPr>
          <w:rFonts w:hint="eastAsia" w:ascii="仿宋" w:hAnsi="仿宋" w:eastAsia="仿宋" w:cs="仿宋"/>
          <w:sz w:val="20"/>
          <w:szCs w:val="20"/>
          <w:highlight w:val="none"/>
        </w:rPr>
      </w:pPr>
      <w:r>
        <w:rPr>
          <w:rFonts w:hint="eastAsia" w:ascii="仿宋" w:hAnsi="仿宋" w:eastAsia="仿宋" w:cs="仿宋"/>
          <w:sz w:val="20"/>
          <w:szCs w:val="20"/>
          <w:highlight w:val="none"/>
        </w:rPr>
        <mc:AlternateContent>
          <mc:Choice Requires="wpg">
            <w:drawing>
              <wp:inline distT="0" distB="0" distL="114300" distR="114300">
                <wp:extent cx="5136515" cy="1458595"/>
                <wp:effectExtent l="0" t="0" r="8255" b="9525"/>
                <wp:docPr id="107" name="组合 107"/>
                <wp:cNvGraphicFramePr/>
                <a:graphic xmlns:a="http://schemas.openxmlformats.org/drawingml/2006/main">
                  <a:graphicData uri="http://schemas.microsoft.com/office/word/2010/wordprocessingGroup">
                    <wpg:wgp>
                      <wpg:cNvGrpSpPr>
                        <a:grpSpLocks noRot="1"/>
                      </wpg:cNvGrpSpPr>
                      <wpg:grpSpPr>
                        <a:xfrm>
                          <a:off x="0" y="0"/>
                          <a:ext cx="5136515" cy="1458595"/>
                          <a:chOff x="0" y="0"/>
                          <a:chExt cx="8089" cy="2297"/>
                        </a:xfrm>
                        <a:effectLst/>
                      </wpg:grpSpPr>
                      <wps:wsp>
                        <wps:cNvPr id="95" name="任意多边形 95"/>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a:effectLst/>
                        </wps:spPr>
                        <wps:bodyPr upright="1"/>
                      </wps:wsp>
                      <wps:wsp>
                        <wps:cNvPr id="96" name="任意多边形 96"/>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a:effectLst/>
                        </wps:spPr>
                        <wps:bodyPr upright="1"/>
                      </wps:wsp>
                      <wps:wsp>
                        <wps:cNvPr id="97" name="任意多边形 97"/>
                        <wps:cNvSpPr/>
                        <wps:spPr>
                          <a:xfrm>
                            <a:off x="24" y="2267"/>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a:effectLst/>
                        </wps:spPr>
                        <wps:bodyPr upright="1"/>
                      </wps:wsp>
                      <wps:wsp>
                        <wps:cNvPr id="98" name="任意多边形 98"/>
                        <wps:cNvSpPr/>
                        <wps:spPr>
                          <a:xfrm>
                            <a:off x="4" y="2286"/>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a:effectLst/>
                        </wps:spPr>
                        <wps:bodyPr upright="1"/>
                      </wps:wsp>
                      <wps:wsp>
                        <wps:cNvPr id="99" name="任意多边形 99"/>
                        <wps:cNvSpPr/>
                        <wps:spPr>
                          <a:xfrm>
                            <a:off x="9" y="4"/>
                            <a:ext cx="20" cy="2287"/>
                          </a:xfrm>
                          <a:custGeom>
                            <a:avLst/>
                            <a:gdLst/>
                            <a:ahLst/>
                            <a:cxnLst/>
                            <a:pathLst>
                              <a:path w="20" h="2287">
                                <a:moveTo>
                                  <a:pt x="0" y="0"/>
                                </a:moveTo>
                                <a:lnTo>
                                  <a:pt x="0" y="2286"/>
                                </a:lnTo>
                              </a:path>
                            </a:pathLst>
                          </a:custGeom>
                          <a:noFill/>
                          <a:ln w="6096" cap="flat" cmpd="sng">
                            <a:solidFill>
                              <a:srgbClr val="000000"/>
                            </a:solidFill>
                            <a:prstDash val="solid"/>
                            <a:headEnd type="none" w="med" len="med"/>
                            <a:tailEnd type="none" w="med" len="med"/>
                          </a:ln>
                          <a:effectLst/>
                        </wps:spPr>
                        <wps:bodyPr upright="1"/>
                      </wps:wsp>
                      <wps:wsp>
                        <wps:cNvPr id="100" name="任意多边形 100"/>
                        <wps:cNvSpPr/>
                        <wps:spPr>
                          <a:xfrm>
                            <a:off x="28" y="24"/>
                            <a:ext cx="20" cy="2249"/>
                          </a:xfrm>
                          <a:custGeom>
                            <a:avLst/>
                            <a:gdLst/>
                            <a:ahLst/>
                            <a:cxnLst/>
                            <a:pathLst>
                              <a:path w="20" h="2249">
                                <a:moveTo>
                                  <a:pt x="0" y="0"/>
                                </a:moveTo>
                                <a:lnTo>
                                  <a:pt x="0" y="2248"/>
                                </a:lnTo>
                              </a:path>
                            </a:pathLst>
                          </a:custGeom>
                          <a:noFill/>
                          <a:ln w="6096" cap="flat" cmpd="sng">
                            <a:solidFill>
                              <a:srgbClr val="000000"/>
                            </a:solidFill>
                            <a:prstDash val="solid"/>
                            <a:headEnd type="none" w="med" len="med"/>
                            <a:tailEnd type="none" w="med" len="med"/>
                          </a:ln>
                          <a:effectLst/>
                        </wps:spPr>
                        <wps:bodyPr upright="1"/>
                      </wps:wsp>
                      <wps:wsp>
                        <wps:cNvPr id="101" name="任意多边形 101"/>
                        <wps:cNvSpPr/>
                        <wps:spPr>
                          <a:xfrm>
                            <a:off x="4034"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a:effectLst/>
                        </wps:spPr>
                        <wps:bodyPr upright="1"/>
                      </wps:wsp>
                      <wps:wsp>
                        <wps:cNvPr id="102" name="任意多边形 102"/>
                        <wps:cNvSpPr/>
                        <wps:spPr>
                          <a:xfrm>
                            <a:off x="4053"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a:effectLst/>
                        </wps:spPr>
                        <wps:bodyPr upright="1"/>
                      </wps:wsp>
                      <wps:wsp>
                        <wps:cNvPr id="103" name="任意多边形 103"/>
                        <wps:cNvSpPr/>
                        <wps:spPr>
                          <a:xfrm>
                            <a:off x="8059" y="33"/>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a:effectLst/>
                        </wps:spPr>
                        <wps:bodyPr upright="1"/>
                      </wps:wsp>
                      <wps:wsp>
                        <wps:cNvPr id="104" name="任意多边形 104"/>
                        <wps:cNvSpPr/>
                        <wps:spPr>
                          <a:xfrm>
                            <a:off x="8078" y="14"/>
                            <a:ext cx="20" cy="2278"/>
                          </a:xfrm>
                          <a:custGeom>
                            <a:avLst/>
                            <a:gdLst/>
                            <a:ahLst/>
                            <a:cxnLst/>
                            <a:pathLst>
                              <a:path w="20" h="2278">
                                <a:moveTo>
                                  <a:pt x="0" y="0"/>
                                </a:moveTo>
                                <a:lnTo>
                                  <a:pt x="0" y="2277"/>
                                </a:lnTo>
                              </a:path>
                            </a:pathLst>
                          </a:custGeom>
                          <a:noFill/>
                          <a:ln w="6096" cap="flat" cmpd="sng">
                            <a:solidFill>
                              <a:srgbClr val="000000"/>
                            </a:solidFill>
                            <a:prstDash val="solid"/>
                            <a:headEnd type="none" w="med" len="med"/>
                            <a:tailEnd type="none" w="med" len="med"/>
                          </a:ln>
                          <a:effectLst/>
                        </wps:spPr>
                        <wps:bodyPr upright="1"/>
                      </wps:wsp>
                      <wps:wsp>
                        <wps:cNvPr id="105" name="文本框 105"/>
                        <wps:cNvSpPr txBox="1"/>
                        <wps:spPr>
                          <a:xfrm>
                            <a:off x="19" y="19"/>
                            <a:ext cx="4025" cy="2258"/>
                          </a:xfrm>
                          <a:prstGeom prst="rect">
                            <a:avLst/>
                          </a:prstGeom>
                          <a:noFill/>
                          <a:ln>
                            <a:noFill/>
                          </a:ln>
                          <a:effectLst/>
                        </wps:spPr>
                        <wps:txbx>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12"/>
                                <w:ind w:left="0"/>
                                <w:rPr>
                                  <w:sz w:val="28"/>
                                  <w:szCs w:val="28"/>
                                </w:rPr>
                              </w:pPr>
                            </w:p>
                            <w:p>
                              <w:pPr>
                                <w:pStyle w:val="8"/>
                                <w:kinsoku w:val="0"/>
                                <w:overflowPunct w:val="0"/>
                                <w:spacing w:before="0"/>
                                <w:ind w:left="107"/>
                              </w:pPr>
                              <w:r>
                                <w:rPr>
                                  <w:rFonts w:hint="eastAsia"/>
                                </w:rPr>
                                <w:t>授权人身份证复印件（正面）</w:t>
                              </w:r>
                            </w:p>
                          </w:txbxContent>
                        </wps:txbx>
                        <wps:bodyPr lIns="0" tIns="0" rIns="0" bIns="0" upright="1"/>
                      </wps:wsp>
                      <wps:wsp>
                        <wps:cNvPr id="106" name="文本框 106"/>
                        <wps:cNvSpPr txBox="1"/>
                        <wps:spPr>
                          <a:xfrm>
                            <a:off x="4044" y="19"/>
                            <a:ext cx="4025" cy="2258"/>
                          </a:xfrm>
                          <a:prstGeom prst="rect">
                            <a:avLst/>
                          </a:prstGeom>
                          <a:noFill/>
                          <a:ln>
                            <a:noFill/>
                          </a:ln>
                          <a:effectLst/>
                        </wps:spPr>
                        <wps:txbx>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12"/>
                                <w:ind w:left="0"/>
                                <w:rPr>
                                  <w:sz w:val="28"/>
                                  <w:szCs w:val="28"/>
                                </w:rPr>
                              </w:pPr>
                            </w:p>
                            <w:p>
                              <w:pPr>
                                <w:pStyle w:val="8"/>
                                <w:kinsoku w:val="0"/>
                                <w:overflowPunct w:val="0"/>
                                <w:spacing w:before="0"/>
                                <w:ind w:left="107"/>
                              </w:pPr>
                              <w:r>
                                <w:rPr>
                                  <w:rFonts w:hint="eastAsia"/>
                                </w:rPr>
                                <w:t>授权人身份证复印件（反面）</w:t>
                              </w:r>
                            </w:p>
                          </w:txbxContent>
                        </wps:txbx>
                        <wps:bodyPr lIns="0" tIns="0" rIns="0" bIns="0" upright="1"/>
                      </wps:wsp>
                    </wpg:wgp>
                  </a:graphicData>
                </a:graphic>
              </wp:inline>
            </w:drawing>
          </mc:Choice>
          <mc:Fallback>
            <w:pict>
              <v:group id="_x0000_s1026" o:spid="_x0000_s1026"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">
                <o:lock v:ext="edit" rotation="t" aspectratio="f"/>
                <v:shape id="_x0000_s1026" o:spid="_x0000_s1026" o:spt="100" style="position:absolute;left:4;top:9;height:20;width:8079;" filled="f" stroked="t" coordsize="8079,20" o:gfxdata="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AYIEvQAA&#10;ANsAAAAPAAAAAAAAAAEAIAAAACIAAABkcnMvZG93bnJldi54bWxQSwECFAAUAAAACACHTuJAMy8F&#10;njsAAAA5AAAAEAAAAAAAAAABACAAAAAMAQAAZHJzL3NoYXBleG1sLnhtbFBLBQYAAAAABgAGAFsB&#10;AAC2Aw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Hu1pY7wAAADb&#10;AAAADwAAAGRycy9kb3ducmV2LnhtbEWPQYvCMBSE7wv+h/CEva1JFxStRg/Kgih7sPoDHs2zLW1e&#10;ShK17q83Cwt7HGbmG2a1GWwn7uRD41hDNlEgiEtnGq40XM5fH3MQISIb7ByThicF2KxHbyvMjXvw&#10;ie5FrESCcMhRQx1jn0sZyposhonriZN3dd5iTNJX0nh8JLjt5KdSM2mx4bRQY0/bmsq2uFkNO+/P&#10;37K/Fj+H485llWqni6HV+n2cqSWISEP8D/+190bDYga/X9IPkO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7taWO8AAAA&#10;2wAAAA8AAAAAAAAAAQAgAAAAIgAAAGRycy9kb3ducmV2LnhtbFBLAQIUABQAAAAIAIdO4kAzLwWe&#10;OwAAADkAAAAQAAAAAAAAAAEAIAAAAAsBAABkcnMvc2hhcGV4bWwueG1sUEsFBgAAAAAGAAYAWwEA&#10;ALUDAAAAAA==&#10;" path="m0,0l8040,0e">
                  <v:fill on="f" focussize="0,0"/>
                  <v:stroke weight="0.48pt" color="#000000" joinstyle="round"/>
                  <v:imagedata o:title=""/>
                  <o:lock v:ext="edit" aspectratio="f"/>
                </v:shape>
                <v:shape id="_x0000_s1026" o:spid="_x0000_s1026" o:spt="100" style="position:absolute;left:24;top:2267;height:20;width:8041;" filled="f" stroked="t" coordsize="8041,20" o:gfxdata="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ocz4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_x0000_s1026" o:spid="_x0000_s1026" o:spt="100" style="position:absolute;left:4;top:2286;height:20;width:8079;" filled="f" stroked="t" coordsize="8079,20" o:gfxdata="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YALZq5AAAA2wAA&#10;AA8AAAAAAAAAAQAgAAAAIgAAAGRycy9kb3ducmV2LnhtbFBLAQIUABQAAAAIAIdO4kAzLwWeOwAA&#10;ADkAAAAQAAAAAAAAAAEAIAAAAAgBAABkcnMvc2hhcGV4bWwueG1sUEsFBgAAAAAGAAYAWwEAALID&#10;AAAAAA==&#10;" path="m0,0l8078,0e">
                  <v:fill on="f" focussize="0,0"/>
                  <v:stroke weight="0.48pt" color="#000000" joinstyle="round"/>
                  <v:imagedata o:title=""/>
                  <o:lock v:ext="edit" aspectratio="f"/>
                </v:shape>
                <v:shape id="_x0000_s1026" o:spid="_x0000_s1026" o:spt="100" style="position:absolute;left:9;top:4;height:2287;width:20;" filled="f" stroked="t" coordsize="20,2287" o:gfxdata="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lyTvQAA&#10;ANsAAAAPAAAAAAAAAAEAIAAAACIAAABkcnMvZG93bnJldi54bWxQSwECFAAUAAAACACHTuJAMy8F&#10;njsAAAA5AAAAEAAAAAAAAAABACAAAAAMAQAAZHJzL3NoYXBleG1sLnhtbFBLBQYAAAAABgAGAFsB&#10;AAC2AwAAAAA=&#10;" path="m0,0l0,2286e">
                  <v:fill on="f" focussize="0,0"/>
                  <v:stroke weight="0.48pt" color="#000000" joinstyle="round"/>
                  <v:imagedata o:title=""/>
                  <o:lock v:ext="edit" aspectratio="f"/>
                </v:shape>
                <v:shape id="_x0000_s1026" o:spid="_x0000_s1026" o:spt="100" style="position:absolute;left:28;top:24;height:2249;width:20;" filled="f" stroked="t" coordsize="20,2249" o:gfxdata="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Wkm+Y&#10;wAAAANwAAAAPAAAAAAAAAAEAIAAAACIAAABkcnMvZG93bnJldi54bWxQSwECFAAUAAAACACHTuJA&#10;My8FnjsAAAA5AAAAEAAAAAAAAAABACAAAAAPAQAAZHJzL3NoYXBleG1sLnhtbFBLBQYAAAAABgAG&#10;AFsBAAC5AwAAAAA=&#10;" path="m0,0l0,2248e">
                  <v:fill on="f" focussize="0,0"/>
                  <v:stroke weight="0.48pt" color="#000000" joinstyle="round"/>
                  <v:imagedata o:title=""/>
                  <o:lock v:ext="edit" aspectratio="f"/>
                </v:shape>
                <v:shape id="_x0000_s1026" o:spid="_x0000_s1026" o:spt="100" style="position:absolute;left:4034;top:24;height:2239;width:20;" filled="f" stroked="t" coordsize="20,2239" o:gfxdata="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k+cJm5AAAA3AAA&#10;AA8AAAAAAAAAAQAgAAAAIgAAAGRycy9kb3ducmV2LnhtbFBLAQIUABQAAAAIAIdO4kAzLwWeOwAA&#10;ADkAAAAQAAAAAAAAAAEAIAAAAAgBAABkcnMvc2hhcGV4bWwueG1sUEsFBgAAAAAGAAYAWwEAALID&#10;AAAAAA==&#10;" path="m0,0l0,2238e">
                  <v:fill on="f" focussize="0,0"/>
                  <v:stroke weight="0.48pt" color="#000000" joinstyle="round"/>
                  <v:imagedata o:title=""/>
                  <o:lock v:ext="edit" aspectratio="f"/>
                </v:shape>
                <v:shape id="_x0000_s1026" o:spid="_x0000_s1026" o:spt="100" style="position:absolute;left:4053;top:24;height:2239;width:20;" filled="f" stroked="t" coordsize="20,2239" o:gfxdata="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ezu7rgAAADcAAAA&#10;DwAAAAAAAAABACAAAAAiAAAAZHJzL2Rvd25yZXYueG1sUEsBAhQAFAAAAAgAh07iQDMvBZ47AAAA&#10;OQAAABAAAAAAAAAAAQAgAAAABwEAAGRycy9zaGFwZXhtbC54bWxQSwUGAAAAAAYABgBbAQAAsQMA&#10;AAAA&#10;" path="m0,0l0,2238e">
                  <v:fill on="f" focussize="0,0"/>
                  <v:stroke weight="0.48pt" color="#000000" joinstyle="round"/>
                  <v:imagedata o:title=""/>
                  <o:lock v:ext="edit" aspectratio="f"/>
                </v:shape>
                <v:shape id="_x0000_s1026" o:spid="_x0000_s1026" o:spt="100" style="position:absolute;left:8059;top:33;height:2239;width:20;" filled="f" stroked="t" coordsize="20,2239" o:gfxdata="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agS3W5AAAA3AAA&#10;AA8AAAAAAAAAAQAgAAAAIgAAAGRycy9kb3ducmV2LnhtbFBLAQIUABQAAAAIAIdO4kAzLwWeOwAA&#10;ADkAAAAQAAAAAAAAAAEAIAAAAAgBAABkcnMvc2hhcGV4bWwueG1sUEsFBgAAAAAGAAYAWwEAALID&#10;AAAAAA==&#10;" path="m0,0l0,2238e">
                  <v:fill on="f" focussize="0,0"/>
                  <v:stroke weight="0.48pt" color="#000000" joinstyle="round"/>
                  <v:imagedata o:title=""/>
                  <o:lock v:ext="edit" aspectratio="f"/>
                </v:shape>
                <v:shape id="_x0000_s1026" o:spid="_x0000_s1026" o:spt="100" style="position:absolute;left:8078;top:14;height:2278;width:20;" filled="f" stroked="t" coordsize="20,2278" o:gfxdata="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yDuIG8AAAA&#10;3AAAAA8AAAAAAAAAAQAgAAAAIgAAAGRycy9kb3ducmV2LnhtbFBLAQIUABQAAAAIAIdO4kAzLwWe&#10;OwAAADkAAAAQAAAAAAAAAAEAIAAAAAsBAABkcnMvc2hhcGV4bWwueG1sUEsFBgAAAAAGAAYAWwEA&#10;ALUDAAAAAA==&#10;" path="m0,0l0,2277e">
                  <v:fill on="f" focussize="0,0"/>
                  <v:stroke weight="0.48pt" color="#000000" joinstyle="round"/>
                  <v:imagedata o:title=""/>
                  <o:lock v:ext="edit" aspectratio="f"/>
                </v:shape>
                <v:shape id="_x0000_s1026" o:spid="_x0000_s1026" o:spt="202" type="#_x0000_t202" style="position:absolute;left:19;top:19;height:2258;width:4025;" filled="f" stroked="f" coordsize="21600,21600" o:gfxdata="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f39fq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12"/>
                          <w:ind w:left="0"/>
                          <w:rPr>
                            <w:sz w:val="28"/>
                            <w:szCs w:val="28"/>
                          </w:rPr>
                        </w:pPr>
                      </w:p>
                      <w:p>
                        <w:pPr>
                          <w:pStyle w:val="8"/>
                          <w:kinsoku w:val="0"/>
                          <w:overflowPunct w:val="0"/>
                          <w:spacing w:before="0"/>
                          <w:ind w:left="107"/>
                        </w:pPr>
                        <w:r>
                          <w:rPr>
                            <w:rFonts w:hint="eastAsia"/>
                          </w:rPr>
                          <w:t>授权人身份证复印件（正面）</w:t>
                        </w:r>
                      </w:p>
                    </w:txbxContent>
                  </v:textbox>
                </v:shape>
                <v:shape id="_x0000_s1026" o:spid="_x0000_s1026" o:spt="202" type="#_x0000_t202" style="position:absolute;left:4044;top:19;height:2258;width:4025;" filled="f" stroked="f" coordsize="21600,21600" o:gfxdata="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cla42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12"/>
                          <w:ind w:left="0"/>
                          <w:rPr>
                            <w:sz w:val="28"/>
                            <w:szCs w:val="28"/>
                          </w:rPr>
                        </w:pPr>
                      </w:p>
                      <w:p>
                        <w:pPr>
                          <w:pStyle w:val="8"/>
                          <w:kinsoku w:val="0"/>
                          <w:overflowPunct w:val="0"/>
                          <w:spacing w:before="0"/>
                          <w:ind w:left="107"/>
                        </w:pPr>
                        <w:r>
                          <w:rPr>
                            <w:rFonts w:hint="eastAsia"/>
                          </w:rPr>
                          <w:t>授权人身份证复印件（反面）</w:t>
                        </w:r>
                      </w:p>
                    </w:txbxContent>
                  </v:textbox>
                </v:shape>
                <w10:wrap type="none"/>
                <w10:anchorlock/>
              </v:group>
            </w:pict>
          </mc:Fallback>
        </mc:AlternateContent>
      </w:r>
    </w:p>
    <w:p>
      <w:pPr>
        <w:pStyle w:val="8"/>
        <w:kinsoku w:val="0"/>
        <w:overflowPunct w:val="0"/>
        <w:spacing w:before="0"/>
        <w:ind w:left="0"/>
        <w:rPr>
          <w:rFonts w:hint="eastAsia" w:ascii="仿宋" w:hAnsi="仿宋" w:eastAsia="仿宋" w:cs="仿宋"/>
          <w:sz w:val="20"/>
          <w:szCs w:val="20"/>
          <w:highlight w:val="none"/>
        </w:rPr>
      </w:pPr>
    </w:p>
    <w:p>
      <w:pPr>
        <w:pStyle w:val="8"/>
        <w:kinsoku w:val="0"/>
        <w:overflowPunct w:val="0"/>
        <w:spacing w:before="1"/>
        <w:ind w:left="0"/>
        <w:rPr>
          <w:rFonts w:hint="eastAsia" w:ascii="仿宋" w:hAnsi="仿宋" w:eastAsia="仿宋" w:cs="仿宋"/>
          <w:sz w:val="19"/>
          <w:szCs w:val="19"/>
          <w:highlight w:val="none"/>
        </w:rPr>
      </w:pPr>
    </w:p>
    <w:p>
      <w:pPr>
        <w:pStyle w:val="8"/>
        <w:kinsoku w:val="0"/>
        <w:overflowPunct w:val="0"/>
        <w:spacing w:before="0" w:line="200" w:lineRule="atLeast"/>
        <w:ind w:left="628"/>
        <w:rPr>
          <w:rFonts w:hint="eastAsia" w:ascii="仿宋" w:hAnsi="仿宋" w:eastAsia="仿宋" w:cs="仿宋"/>
          <w:sz w:val="20"/>
          <w:szCs w:val="20"/>
          <w:highlight w:val="none"/>
        </w:rPr>
      </w:pPr>
      <w:r>
        <w:rPr>
          <w:rFonts w:hint="eastAsia" w:ascii="仿宋" w:hAnsi="仿宋" w:eastAsia="仿宋" w:cs="仿宋"/>
          <w:sz w:val="20"/>
          <w:szCs w:val="20"/>
          <w:highlight w:val="none"/>
        </w:rPr>
        <mc:AlternateContent>
          <mc:Choice Requires="wpg">
            <w:drawing>
              <wp:inline distT="0" distB="0" distL="114300" distR="114300">
                <wp:extent cx="5136515" cy="1384935"/>
                <wp:effectExtent l="0" t="0" r="7620" b="6985"/>
                <wp:docPr id="94" name="组合 94"/>
                <wp:cNvGraphicFramePr/>
                <a:graphic xmlns:a="http://schemas.openxmlformats.org/drawingml/2006/main">
                  <a:graphicData uri="http://schemas.microsoft.com/office/word/2010/wordprocessingGroup">
                    <wpg:wgp>
                      <wpg:cNvGrpSpPr>
                        <a:grpSpLocks noRot="1"/>
                      </wpg:cNvGrpSpPr>
                      <wpg:grpSpPr>
                        <a:xfrm>
                          <a:off x="0" y="0"/>
                          <a:ext cx="5136515" cy="1384935"/>
                          <a:chOff x="0" y="0"/>
                          <a:chExt cx="8089" cy="2181"/>
                        </a:xfrm>
                        <a:effectLst/>
                      </wpg:grpSpPr>
                      <wps:wsp>
                        <wps:cNvPr id="83" name="任意多边形 82"/>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a:effectLst/>
                        </wps:spPr>
                        <wps:bodyPr upright="1"/>
                      </wps:wsp>
                      <wps:wsp>
                        <wps:cNvPr id="84" name="任意多边形 83"/>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a:effectLst/>
                        </wps:spPr>
                        <wps:bodyPr upright="1"/>
                      </wps:wsp>
                      <wps:wsp>
                        <wps:cNvPr id="85" name="任意多边形 84"/>
                        <wps:cNvSpPr/>
                        <wps:spPr>
                          <a:xfrm>
                            <a:off x="24" y="2151"/>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a:effectLst/>
                        </wps:spPr>
                        <wps:bodyPr upright="1"/>
                      </wps:wsp>
                      <wps:wsp>
                        <wps:cNvPr id="86" name="任意多边形 85"/>
                        <wps:cNvSpPr/>
                        <wps:spPr>
                          <a:xfrm>
                            <a:off x="4" y="2170"/>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a:effectLst/>
                        </wps:spPr>
                        <wps:bodyPr upright="1"/>
                      </wps:wsp>
                      <wps:wsp>
                        <wps:cNvPr id="87" name="任意多边形 86"/>
                        <wps:cNvSpPr/>
                        <wps:spPr>
                          <a:xfrm>
                            <a:off x="9" y="4"/>
                            <a:ext cx="20" cy="2171"/>
                          </a:xfrm>
                          <a:custGeom>
                            <a:avLst/>
                            <a:gdLst/>
                            <a:ahLst/>
                            <a:cxnLst/>
                            <a:pathLst>
                              <a:path w="20" h="2171">
                                <a:moveTo>
                                  <a:pt x="0" y="0"/>
                                </a:moveTo>
                                <a:lnTo>
                                  <a:pt x="0" y="2170"/>
                                </a:lnTo>
                              </a:path>
                            </a:pathLst>
                          </a:custGeom>
                          <a:noFill/>
                          <a:ln w="6096" cap="flat" cmpd="sng">
                            <a:solidFill>
                              <a:srgbClr val="000000"/>
                            </a:solidFill>
                            <a:prstDash val="solid"/>
                            <a:headEnd type="none" w="med" len="med"/>
                            <a:tailEnd type="none" w="med" len="med"/>
                          </a:ln>
                          <a:effectLst/>
                        </wps:spPr>
                        <wps:bodyPr upright="1"/>
                      </wps:wsp>
                      <wps:wsp>
                        <wps:cNvPr id="88" name="任意多边形 87"/>
                        <wps:cNvSpPr/>
                        <wps:spPr>
                          <a:xfrm>
                            <a:off x="28" y="24"/>
                            <a:ext cx="20" cy="2133"/>
                          </a:xfrm>
                          <a:custGeom>
                            <a:avLst/>
                            <a:gdLst/>
                            <a:ahLst/>
                            <a:cxnLst/>
                            <a:pathLst>
                              <a:path w="20" h="2133">
                                <a:moveTo>
                                  <a:pt x="0" y="0"/>
                                </a:moveTo>
                                <a:lnTo>
                                  <a:pt x="0" y="2132"/>
                                </a:lnTo>
                              </a:path>
                            </a:pathLst>
                          </a:custGeom>
                          <a:noFill/>
                          <a:ln w="6096" cap="flat" cmpd="sng">
                            <a:solidFill>
                              <a:srgbClr val="000000"/>
                            </a:solidFill>
                            <a:prstDash val="solid"/>
                            <a:headEnd type="none" w="med" len="med"/>
                            <a:tailEnd type="none" w="med" len="med"/>
                          </a:ln>
                          <a:effectLst/>
                        </wps:spPr>
                        <wps:bodyPr upright="1"/>
                      </wps:wsp>
                      <wps:wsp>
                        <wps:cNvPr id="89" name="任意多边形 88"/>
                        <wps:cNvSpPr/>
                        <wps:spPr>
                          <a:xfrm>
                            <a:off x="4034" y="24"/>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a:effectLst/>
                        </wps:spPr>
                        <wps:bodyPr upright="1"/>
                      </wps:wsp>
                      <wps:wsp>
                        <wps:cNvPr id="90" name="任意多边形 89"/>
                        <wps:cNvSpPr/>
                        <wps:spPr>
                          <a:xfrm>
                            <a:off x="4053" y="24"/>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a:effectLst/>
                        </wps:spPr>
                        <wps:bodyPr upright="1"/>
                      </wps:wsp>
                      <wps:wsp>
                        <wps:cNvPr id="91" name="任意多边形 90"/>
                        <wps:cNvSpPr/>
                        <wps:spPr>
                          <a:xfrm>
                            <a:off x="8059" y="33"/>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a:effectLst/>
                        </wps:spPr>
                        <wps:bodyPr upright="1"/>
                      </wps:wsp>
                      <wps:wsp>
                        <wps:cNvPr id="92" name="任意多边形 91"/>
                        <wps:cNvSpPr/>
                        <wps:spPr>
                          <a:xfrm>
                            <a:off x="8078" y="14"/>
                            <a:ext cx="20" cy="2162"/>
                          </a:xfrm>
                          <a:custGeom>
                            <a:avLst/>
                            <a:gdLst/>
                            <a:ahLst/>
                            <a:cxnLst/>
                            <a:pathLst>
                              <a:path w="20" h="2162">
                                <a:moveTo>
                                  <a:pt x="0" y="0"/>
                                </a:moveTo>
                                <a:lnTo>
                                  <a:pt x="0" y="2161"/>
                                </a:lnTo>
                              </a:path>
                            </a:pathLst>
                          </a:custGeom>
                          <a:noFill/>
                          <a:ln w="6096" cap="flat" cmpd="sng">
                            <a:solidFill>
                              <a:srgbClr val="000000"/>
                            </a:solidFill>
                            <a:prstDash val="solid"/>
                            <a:headEnd type="none" w="med" len="med"/>
                            <a:tailEnd type="none" w="med" len="med"/>
                          </a:ln>
                          <a:effectLst/>
                        </wps:spPr>
                        <wps:bodyPr upright="1"/>
                      </wps:wsp>
                      <wps:wsp>
                        <wps:cNvPr id="93" name="文本框 92"/>
                        <wps:cNvSpPr txBox="1"/>
                        <wps:spPr>
                          <a:xfrm>
                            <a:off x="19" y="19"/>
                            <a:ext cx="4025" cy="2142"/>
                          </a:xfrm>
                          <a:prstGeom prst="rect">
                            <a:avLst/>
                          </a:prstGeom>
                          <a:noFill/>
                          <a:ln>
                            <a:noFill/>
                          </a:ln>
                          <a:effectLst/>
                        </wps:spPr>
                        <wps:txbx>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7"/>
                                <w:ind w:left="0"/>
                              </w:pPr>
                            </w:p>
                            <w:p>
                              <w:pPr>
                                <w:pStyle w:val="8"/>
                                <w:kinsoku w:val="0"/>
                                <w:overflowPunct w:val="0"/>
                                <w:spacing w:before="0"/>
                                <w:ind w:left="107"/>
                              </w:pPr>
                              <w:r>
                                <w:rPr>
                                  <w:rFonts w:hint="eastAsia"/>
                                </w:rPr>
                                <w:t>被授权代表身份证复印件（正面）</w:t>
                              </w:r>
                            </w:p>
                          </w:txbxContent>
                        </wps:txbx>
                        <wps:bodyPr lIns="0" tIns="0" rIns="0" bIns="0" upright="1"/>
                      </wps:wsp>
                      <wps:wsp>
                        <wps:cNvPr id="122" name="文本框 93"/>
                        <wps:cNvSpPr txBox="1"/>
                        <wps:spPr>
                          <a:xfrm>
                            <a:off x="4044" y="19"/>
                            <a:ext cx="4025" cy="2142"/>
                          </a:xfrm>
                          <a:prstGeom prst="rect">
                            <a:avLst/>
                          </a:prstGeom>
                          <a:noFill/>
                          <a:ln>
                            <a:noFill/>
                          </a:ln>
                          <a:effectLst/>
                        </wps:spPr>
                        <wps:txbx>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7"/>
                                <w:ind w:left="0"/>
                              </w:pPr>
                            </w:p>
                            <w:p>
                              <w:pPr>
                                <w:pStyle w:val="8"/>
                                <w:kinsoku w:val="0"/>
                                <w:overflowPunct w:val="0"/>
                                <w:spacing w:before="0"/>
                                <w:ind w:left="107"/>
                              </w:pPr>
                              <w:r>
                                <w:rPr>
                                  <w:rFonts w:hint="eastAsia"/>
                                </w:rPr>
                                <w:t>被授权代表身份证复印件（反面）</w:t>
                              </w:r>
                            </w:p>
                          </w:txbxContent>
                        </wps:txbx>
                        <wps:bodyPr lIns="0" tIns="0" rIns="0" bIns="0" upright="1"/>
                      </wps:wsp>
                    </wpg:wgp>
                  </a:graphicData>
                </a:graphic>
              </wp:inline>
            </w:drawing>
          </mc:Choice>
          <mc:Fallback>
            <w:pict>
              <v:group id="_x0000_s1026" o:spid="_x0000_s1026" o:spt="203" style="height:109.05pt;width:404.45pt;" coordsize="8089,2181" o:gfxdata="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">
                <o:lock v:ext="edit" rotation="t" aspectratio="f"/>
                <v:shape id="任意多边形 82" o:spid="_x0000_s1026" o:spt="100" style="position:absolute;left:4;top:9;height:20;width:8079;" filled="f" stroked="t" coordsize="8079,20" o:gfxdata="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19KTa8AAAA&#10;2wAAAA8AAAAAAAAAAQAgAAAAIgAAAGRycy9kb3ducmV2LnhtbFBLAQIUABQAAAAIAIdO4kAzLwWe&#10;OwAAADkAAAAQAAAAAAAAAAEAIAAAAAsBAABkcnMvc2hhcGV4bWwueG1sUEsFBgAAAAAGAAYAWwEA&#10;ALUDAAAAAA==&#10;" path="m0,0l8078,0e">
                  <v:fill on="f" focussize="0,0"/>
                  <v:stroke weight="0.48pt" color="#000000" joinstyle="round"/>
                  <v:imagedata o:title=""/>
                  <o:lock v:ext="edit" aspectratio="f"/>
                </v:shape>
                <v:shape id="任意多边形 83" o:spid="_x0000_s1026" o:spt="100" style="position:absolute;left:24;top:28;height:20;width:8041;" filled="f" stroked="t" coordsize="8041,20" o:gfxdata="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qsRS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任意多边形 84" o:spid="_x0000_s1026" o:spt="100" style="position:absolute;left:24;top:2151;height:20;width:8041;" filled="f" stroked="t" coordsize="8041,20" o:gfxdata="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5mHJ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任意多边形 85" o:spid="_x0000_s1026" o:spt="100" style="position:absolute;left:4;top:2170;height:20;width:8079;" filled="f" stroked="t" coordsize="8079,20" o:gfxdata="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0Kiq68AAAA&#10;2wAAAA8AAAAAAAAAAQAgAAAAIgAAAGRycy9kb3ducmV2LnhtbFBLAQIUABQAAAAIAIdO4kAzLwWe&#10;OwAAADkAAAAQAAAAAAAAAAEAIAAAAAsBAABkcnMvc2hhcGV4bWwueG1sUEsFBgAAAAAGAAYAWwEA&#10;ALUDAAAAAA==&#10;" path="m0,0l8078,0e">
                  <v:fill on="f" focussize="0,0"/>
                  <v:stroke weight="0.48pt" color="#000000" joinstyle="round"/>
                  <v:imagedata o:title=""/>
                  <o:lock v:ext="edit" aspectratio="f"/>
                </v:shape>
                <v:shape id="任意多边形 86" o:spid="_x0000_s1026" o:spt="100" style="position:absolute;left:9;top:4;height:2171;width:20;" filled="f" stroked="t" coordsize="20,2171" o:gfxdata="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t2Xzq8AAAA&#10;2wAAAA8AAAAAAAAAAQAgAAAAIgAAAGRycy9kb3ducmV2LnhtbFBLAQIUABQAAAAIAIdO4kAzLwWe&#10;OwAAADkAAAAQAAAAAAAAAAEAIAAAAAsBAABkcnMvc2hhcGV4bWwueG1sUEsFBgAAAAAGAAYAWwEA&#10;ALUDAAAAAA==&#10;" path="m0,0l0,2170e">
                  <v:fill on="f" focussize="0,0"/>
                  <v:stroke weight="0.48pt" color="#000000" joinstyle="round"/>
                  <v:imagedata o:title=""/>
                  <o:lock v:ext="edit" aspectratio="f"/>
                </v:shape>
                <v:shape id="任意多边形 87" o:spid="_x0000_s1026" o:spt="100" style="position:absolute;left:28;top:24;height:2133;width:20;" filled="f" stroked="t" coordsize="20,2133" o:gfxdata="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HhR7MugAAANsA&#10;AAAPAAAAAAAAAAEAIAAAACIAAABkcnMvZG93bnJldi54bWxQSwECFAAUAAAACACHTuJAMy8FnjsA&#10;AAA5AAAAEAAAAAAAAAABACAAAAAJAQAAZHJzL3NoYXBleG1sLnhtbFBLBQYAAAAABgAGAFsBAACz&#10;AwAAAAA=&#10;" path="m0,0l0,2132e">
                  <v:fill on="f" focussize="0,0"/>
                  <v:stroke weight="0.48pt" color="#000000" joinstyle="round"/>
                  <v:imagedata o:title=""/>
                  <o:lock v:ext="edit" aspectratio="f"/>
                </v:shape>
                <v:shape id="任意多边形 88" o:spid="_x0000_s1026" o:spt="100" style="position:absolute;left:4034;top:24;height:2123;width:20;" filled="f" stroked="t" coordsize="20,2123" o:gfxdata="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xkkMS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任意多边形 89" o:spid="_x0000_s1026" o:spt="100" style="position:absolute;left:4053;top:24;height:2123;width:20;" filled="f" stroked="t" coordsize="20,2123" o:gfxdata="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iHr4S5AAAA2wAA&#10;AA8AAAAAAAAAAQAgAAAAIgAAAGRycy9kb3ducmV2LnhtbFBLAQIUABQAAAAIAIdO4kAzLwWeOwAA&#10;ADkAAAAQAAAAAAAAAAEAIAAAAAgBAABkcnMvc2hhcGV4bWwueG1sUEsFBgAAAAAGAAYAWwEAALID&#10;AAAAAA==&#10;" path="m0,0l0,2122e">
                  <v:fill on="f" focussize="0,0"/>
                  <v:stroke weight="0.48pt" color="#000000" joinstyle="round"/>
                  <v:imagedata o:title=""/>
                  <o:lock v:ext="edit" aspectratio="f"/>
                </v:shape>
                <v:shape id="任意多边形 90" o:spid="_x0000_s1026" o:spt="100" style="position:absolute;left:8059;top:33;height:2123;width:20;" filled="f" stroked="t" coordsize="20,2123" o:gfxdata="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fLCh+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任意多边形 91" o:spid="_x0000_s1026" o:spt="100" style="position:absolute;left:8078;top:14;height:2162;width:20;" filled="f" stroked="t" coordsize="20,2162" o:gfxdata="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3KUd3twAAANsAAAAP&#10;AAAAAAAAAAEAIAAAACIAAABkcnMvZG93bnJldi54bWxQSwECFAAUAAAACACHTuJAMy8FnjsAAAA5&#10;AAAAEAAAAAAAAAABACAAAAAGAQAAZHJzL3NoYXBleG1sLnhtbFBLBQYAAAAABgAGAFsBAACwAwAA&#10;AAA=&#10;" path="m0,0l0,2161e">
                  <v:fill on="f" focussize="0,0"/>
                  <v:stroke weight="0.48pt" color="#000000" joinstyle="round"/>
                  <v:imagedata o:title=""/>
                  <o:lock v:ext="edit" aspectratio="f"/>
                </v:shape>
                <v:shape id="文本框 92" o:spid="_x0000_s1026" o:spt="202" type="#_x0000_t202" style="position:absolute;left:19;top:19;height:2142;width:4025;" filled="f" stroked="f" coordsize="21600,21600" o:gfxdata="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C2yV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7"/>
                          <w:ind w:left="0"/>
                        </w:pPr>
                      </w:p>
                      <w:p>
                        <w:pPr>
                          <w:pStyle w:val="8"/>
                          <w:kinsoku w:val="0"/>
                          <w:overflowPunct w:val="0"/>
                          <w:spacing w:before="0"/>
                          <w:ind w:left="107"/>
                        </w:pPr>
                        <w:r>
                          <w:rPr>
                            <w:rFonts w:hint="eastAsia"/>
                          </w:rPr>
                          <w:t>被授权代表身份证复印件（正面）</w:t>
                        </w:r>
                      </w:p>
                    </w:txbxContent>
                  </v:textbox>
                </v:shape>
                <v:shape id="文本框 93" o:spid="_x0000_s1026" o:spt="202" type="#_x0000_t202" style="position:absolute;left:4044;top:19;height:2142;width:4025;" filled="f" stroked="f" coordsize="21600,21600" o:gfxdata="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OrMe6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7"/>
                          <w:ind w:left="0"/>
                        </w:pPr>
                      </w:p>
                      <w:p>
                        <w:pPr>
                          <w:pStyle w:val="8"/>
                          <w:kinsoku w:val="0"/>
                          <w:overflowPunct w:val="0"/>
                          <w:spacing w:before="0"/>
                          <w:ind w:left="107"/>
                        </w:pPr>
                        <w:r>
                          <w:rPr>
                            <w:rFonts w:hint="eastAsia"/>
                          </w:rPr>
                          <w:t>被授权代表身份证复印件（反面）</w:t>
                        </w:r>
                      </w:p>
                    </w:txbxContent>
                  </v:textbox>
                </v:shape>
                <w10:wrap type="none"/>
                <w10:anchorlock/>
              </v:group>
            </w:pict>
          </mc:Fallback>
        </mc:AlternateContent>
      </w:r>
    </w:p>
    <w:p>
      <w:pPr>
        <w:pStyle w:val="8"/>
        <w:kinsoku w:val="0"/>
        <w:overflowPunct w:val="0"/>
        <w:spacing w:before="0"/>
        <w:ind w:left="0"/>
        <w:rPr>
          <w:rFonts w:hint="eastAsia" w:ascii="仿宋" w:hAnsi="仿宋" w:eastAsia="仿宋" w:cs="仿宋"/>
          <w:sz w:val="20"/>
          <w:szCs w:val="20"/>
          <w:highlight w:val="none"/>
        </w:rPr>
      </w:pPr>
    </w:p>
    <w:p>
      <w:pPr>
        <w:pStyle w:val="8"/>
        <w:kinsoku w:val="0"/>
        <w:overflowPunct w:val="0"/>
        <w:spacing w:before="7"/>
        <w:ind w:left="0"/>
        <w:rPr>
          <w:rFonts w:hint="eastAsia" w:ascii="仿宋" w:hAnsi="仿宋" w:eastAsia="仿宋" w:cs="仿宋"/>
          <w:sz w:val="20"/>
          <w:szCs w:val="20"/>
          <w:highlight w:val="none"/>
        </w:rPr>
      </w:pPr>
    </w:p>
    <w:p>
      <w:pPr>
        <w:pStyle w:val="8"/>
        <w:tabs>
          <w:tab w:val="left" w:pos="5295"/>
        </w:tabs>
        <w:kinsoku w:val="0"/>
        <w:overflowPunct w:val="0"/>
        <w:spacing w:before="26"/>
        <w:ind w:left="618"/>
        <w:rPr>
          <w:rFonts w:hint="eastAsia" w:ascii="仿宋" w:hAnsi="仿宋" w:eastAsia="仿宋" w:cs="仿宋"/>
          <w:highlight w:val="none"/>
        </w:rPr>
      </w:pPr>
      <w:r>
        <w:rPr>
          <w:rFonts w:hint="eastAsia" w:ascii="仿宋" w:hAnsi="仿宋" w:eastAsia="仿宋" w:cs="仿宋"/>
          <w:highlight w:val="none"/>
        </w:rPr>
        <w:t>被授权代表（签字）：</w:t>
      </w:r>
      <w:r>
        <w:rPr>
          <w:rFonts w:hint="eastAsia" w:ascii="仿宋" w:hAnsi="仿宋" w:eastAsia="仿宋" w:cs="仿宋"/>
          <w:highlight w:val="none"/>
        </w:rPr>
        <w:tab/>
      </w:r>
      <w:r>
        <w:rPr>
          <w:rFonts w:hint="eastAsia" w:ascii="仿宋" w:hAnsi="仿宋" w:eastAsia="仿宋" w:cs="仿宋"/>
          <w:highlight w:val="none"/>
        </w:rPr>
        <w:t>供应商法定代表人（签字）：</w:t>
      </w:r>
    </w:p>
    <w:p>
      <w:pPr>
        <w:pStyle w:val="8"/>
        <w:tabs>
          <w:tab w:val="left" w:pos="1098"/>
          <w:tab w:val="left" w:pos="5298"/>
          <w:tab w:val="left" w:pos="5778"/>
        </w:tabs>
        <w:kinsoku w:val="0"/>
        <w:overflowPunct w:val="0"/>
        <w:spacing w:before="86"/>
        <w:ind w:left="618"/>
        <w:rPr>
          <w:rFonts w:hint="eastAsia" w:ascii="仿宋" w:hAnsi="仿宋" w:eastAsia="仿宋" w:cs="仿宋"/>
          <w:highlight w:val="none"/>
        </w:rPr>
      </w:pPr>
      <w:r>
        <w:rPr>
          <w:rFonts w:hint="eastAsia" w:ascii="仿宋" w:hAnsi="仿宋" w:eastAsia="仿宋" w:cs="仿宋"/>
          <w:highlight w:val="none"/>
        </w:rPr>
        <w:t>职</w:t>
      </w:r>
      <w:r>
        <w:rPr>
          <w:rFonts w:hint="eastAsia" w:ascii="仿宋" w:hAnsi="仿宋" w:eastAsia="仿宋" w:cs="仿宋"/>
          <w:highlight w:val="none"/>
        </w:rPr>
        <w:tab/>
      </w:r>
      <w:r>
        <w:rPr>
          <w:rFonts w:hint="eastAsia" w:ascii="仿宋" w:hAnsi="仿宋" w:eastAsia="仿宋" w:cs="仿宋"/>
          <w:highlight w:val="none"/>
        </w:rPr>
        <w:t>务：</w:t>
      </w:r>
      <w:r>
        <w:rPr>
          <w:rFonts w:hint="eastAsia" w:ascii="仿宋" w:hAnsi="仿宋" w:eastAsia="仿宋" w:cs="仿宋"/>
          <w:highlight w:val="none"/>
        </w:rPr>
        <w:tab/>
      </w:r>
      <w:r>
        <w:rPr>
          <w:rFonts w:hint="eastAsia" w:ascii="仿宋" w:hAnsi="仿宋" w:eastAsia="仿宋" w:cs="仿宋"/>
          <w:highlight w:val="none"/>
        </w:rPr>
        <w:t>职</w:t>
      </w:r>
      <w:r>
        <w:rPr>
          <w:rFonts w:hint="eastAsia" w:ascii="仿宋" w:hAnsi="仿宋" w:eastAsia="仿宋" w:cs="仿宋"/>
          <w:highlight w:val="none"/>
        </w:rPr>
        <w:tab/>
      </w:r>
      <w:r>
        <w:rPr>
          <w:rFonts w:hint="eastAsia" w:ascii="仿宋" w:hAnsi="仿宋" w:eastAsia="仿宋" w:cs="仿宋"/>
          <w:highlight w:val="none"/>
        </w:rPr>
        <w:t>务：</w:t>
      </w:r>
    </w:p>
    <w:p>
      <w:pPr>
        <w:pStyle w:val="8"/>
        <w:tabs>
          <w:tab w:val="left" w:pos="1098"/>
          <w:tab w:val="left" w:pos="5298"/>
          <w:tab w:val="left" w:pos="5778"/>
        </w:tabs>
        <w:kinsoku w:val="0"/>
        <w:overflowPunct w:val="0"/>
        <w:spacing w:before="84"/>
        <w:ind w:left="618"/>
        <w:rPr>
          <w:rFonts w:hint="eastAsia" w:ascii="仿宋" w:hAnsi="仿宋" w:eastAsia="仿宋" w:cs="仿宋"/>
          <w:highlight w:val="none"/>
        </w:rPr>
      </w:pPr>
      <w:r>
        <w:rPr>
          <w:rFonts w:hint="eastAsia" w:ascii="仿宋" w:hAnsi="仿宋" w:eastAsia="仿宋" w:cs="仿宋"/>
          <w:highlight w:val="none"/>
        </w:rPr>
        <w:t>电</w:t>
      </w:r>
      <w:r>
        <w:rPr>
          <w:rFonts w:hint="eastAsia" w:ascii="仿宋" w:hAnsi="仿宋" w:eastAsia="仿宋" w:cs="仿宋"/>
          <w:highlight w:val="none"/>
        </w:rPr>
        <w:tab/>
      </w:r>
      <w:r>
        <w:rPr>
          <w:rFonts w:hint="eastAsia" w:ascii="仿宋" w:hAnsi="仿宋" w:eastAsia="仿宋" w:cs="仿宋"/>
          <w:highlight w:val="none"/>
        </w:rPr>
        <w:t>话：</w:t>
      </w:r>
      <w:r>
        <w:rPr>
          <w:rFonts w:hint="eastAsia" w:ascii="仿宋" w:hAnsi="仿宋" w:eastAsia="仿宋" w:cs="仿宋"/>
          <w:highlight w:val="none"/>
        </w:rPr>
        <w:tab/>
      </w:r>
      <w:r>
        <w:rPr>
          <w:rFonts w:hint="eastAsia" w:ascii="仿宋" w:hAnsi="仿宋" w:eastAsia="仿宋" w:cs="仿宋"/>
          <w:highlight w:val="none"/>
        </w:rPr>
        <w:t>电</w:t>
      </w:r>
      <w:r>
        <w:rPr>
          <w:rFonts w:hint="eastAsia" w:ascii="仿宋" w:hAnsi="仿宋" w:eastAsia="仿宋" w:cs="仿宋"/>
          <w:highlight w:val="none"/>
        </w:rPr>
        <w:tab/>
      </w:r>
      <w:r>
        <w:rPr>
          <w:rFonts w:hint="eastAsia" w:ascii="仿宋" w:hAnsi="仿宋" w:eastAsia="仿宋" w:cs="仿宋"/>
          <w:highlight w:val="none"/>
        </w:rPr>
        <w:t>话：</w:t>
      </w:r>
    </w:p>
    <w:p>
      <w:pPr>
        <w:pStyle w:val="8"/>
        <w:tabs>
          <w:tab w:val="left" w:pos="5631"/>
          <w:tab w:val="left" w:pos="6591"/>
          <w:tab w:val="left" w:pos="7191"/>
          <w:tab w:val="left" w:pos="7791"/>
          <w:tab w:val="left" w:pos="8247"/>
        </w:tabs>
        <w:kinsoku w:val="0"/>
        <w:overflowPunct w:val="0"/>
        <w:spacing w:before="166" w:line="383" w:lineRule="auto"/>
        <w:ind w:left="4912" w:right="238" w:hanging="384"/>
        <w:rPr>
          <w:rFonts w:hint="eastAsia" w:ascii="仿宋" w:hAnsi="仿宋" w:eastAsia="仿宋" w:cs="仿宋"/>
          <w:highlight w:val="none"/>
        </w:rPr>
      </w:pPr>
      <w:r>
        <w:rPr>
          <w:rFonts w:hint="eastAsia" w:ascii="仿宋" w:hAnsi="仿宋" w:eastAsia="仿宋" w:cs="仿宋"/>
          <w:highlight w:val="none"/>
        </w:rPr>
        <w:t>供应商：</w:t>
      </w:r>
      <w:r>
        <w:rPr>
          <w:rFonts w:hint="eastAsia" w:ascii="仿宋" w:hAnsi="仿宋" w:eastAsia="仿宋" w:cs="仿宋"/>
          <w:highlight w:val="none"/>
          <w:u w:val="single"/>
        </w:rPr>
        <w:tab/>
      </w:r>
      <w:r>
        <w:rPr>
          <w:rFonts w:hint="eastAsia" w:ascii="仿宋" w:hAnsi="仿宋" w:eastAsia="仿宋" w:cs="仿宋"/>
          <w:highlight w:val="none"/>
          <w:u w:val="single"/>
        </w:rPr>
        <w:tab/>
      </w:r>
      <w:r>
        <w:rPr>
          <w:rFonts w:hint="eastAsia" w:ascii="仿宋" w:hAnsi="仿宋" w:eastAsia="仿宋" w:cs="仿宋"/>
          <w:highlight w:val="none"/>
          <w:u w:val="single"/>
        </w:rPr>
        <w:tab/>
      </w:r>
      <w:r>
        <w:rPr>
          <w:rFonts w:hint="eastAsia" w:ascii="仿宋" w:hAnsi="仿宋" w:eastAsia="仿宋" w:cs="仿宋"/>
          <w:highlight w:val="none"/>
        </w:rPr>
        <w:t>（盖章）</w:t>
      </w:r>
    </w:p>
    <w:p>
      <w:pPr>
        <w:pStyle w:val="8"/>
        <w:tabs>
          <w:tab w:val="left" w:pos="5145"/>
          <w:tab w:val="left" w:pos="6591"/>
          <w:tab w:val="left" w:pos="7191"/>
          <w:tab w:val="left" w:pos="7791"/>
          <w:tab w:val="left" w:pos="8247"/>
        </w:tabs>
        <w:kinsoku w:val="0"/>
        <w:wordWrap/>
        <w:overflowPunct w:val="0"/>
        <w:spacing w:before="166" w:line="383" w:lineRule="auto"/>
        <w:ind w:left="105" w:leftChars="50" w:right="238"/>
        <w:jc w:val="both"/>
        <w:rPr>
          <w:rFonts w:hint="eastAsia" w:ascii="仿宋" w:hAnsi="仿宋" w:eastAsia="仿宋" w:cs="仿宋"/>
          <w:highlight w:val="none"/>
        </w:rPr>
      </w:pPr>
      <w:r>
        <w:rPr>
          <w:rFonts w:hint="eastAsia" w:ascii="仿宋" w:hAnsi="仿宋" w:eastAsia="仿宋" w:cs="仿宋"/>
          <w:highlight w:val="none"/>
        </w:rPr>
        <w:t xml:space="preserve"> </w:t>
      </w:r>
      <w:r>
        <w:rPr>
          <w:rFonts w:hint="eastAsia" w:hAnsi="仿宋" w:cs="仿宋"/>
          <w:highlight w:val="none"/>
          <w:lang w:val="en-US" w:eastAsia="zh-CN"/>
        </w:rPr>
        <w:t xml:space="preserve">                                    </w:t>
      </w:r>
      <w:r>
        <w:rPr>
          <w:rFonts w:hint="eastAsia" w:ascii="仿宋" w:hAnsi="仿宋" w:eastAsia="仿宋" w:cs="仿宋"/>
          <w:highlight w:val="none"/>
        </w:rPr>
        <w:t>日</w:t>
      </w:r>
      <w:r>
        <w:rPr>
          <w:rFonts w:hint="eastAsia" w:hAnsi="仿宋" w:cs="仿宋"/>
          <w:highlight w:val="none"/>
          <w:lang w:val="en-US" w:eastAsia="zh-CN"/>
        </w:rPr>
        <w:t xml:space="preserve">  </w:t>
      </w:r>
      <w:r>
        <w:rPr>
          <w:rFonts w:hint="eastAsia" w:ascii="仿宋" w:hAnsi="仿宋" w:eastAsia="仿宋" w:cs="仿宋"/>
          <w:highlight w:val="none"/>
        </w:rPr>
        <w:t>期：</w:t>
      </w:r>
      <w:r>
        <w:rPr>
          <w:rFonts w:hint="eastAsia" w:ascii="仿宋" w:hAnsi="仿宋" w:eastAsia="仿宋" w:cs="仿宋"/>
          <w:highlight w:val="none"/>
          <w:u w:val="single"/>
        </w:rPr>
        <w:t xml:space="preserve">     </w:t>
      </w:r>
      <w:r>
        <w:rPr>
          <w:rFonts w:hint="eastAsia" w:ascii="仿宋" w:hAnsi="仿宋" w:eastAsia="仿宋" w:cs="仿宋"/>
          <w:highlight w:val="none"/>
        </w:rPr>
        <w:t>年</w:t>
      </w:r>
      <w:r>
        <w:rPr>
          <w:rFonts w:hint="eastAsia" w:ascii="仿宋" w:hAnsi="仿宋" w:eastAsia="仿宋" w:cs="仿宋"/>
          <w:highlight w:val="none"/>
          <w:u w:val="single"/>
        </w:rPr>
        <w:t xml:space="preserve">   </w:t>
      </w:r>
      <w:r>
        <w:rPr>
          <w:rFonts w:hint="eastAsia" w:ascii="仿宋" w:hAnsi="仿宋" w:eastAsia="仿宋" w:cs="仿宋"/>
          <w:highlight w:val="none"/>
        </w:rPr>
        <w:t>月</w:t>
      </w:r>
      <w:r>
        <w:rPr>
          <w:rFonts w:hint="eastAsia" w:ascii="仿宋" w:hAnsi="仿宋" w:eastAsia="仿宋" w:cs="仿宋"/>
          <w:highlight w:val="none"/>
          <w:u w:val="single"/>
        </w:rPr>
        <w:t xml:space="preserve">   </w:t>
      </w:r>
      <w:r>
        <w:rPr>
          <w:rFonts w:hint="eastAsia" w:ascii="仿宋" w:hAnsi="仿宋" w:eastAsia="仿宋" w:cs="仿宋"/>
          <w:highlight w:val="none"/>
        </w:rPr>
        <w:t xml:space="preserve">日                </w:t>
      </w:r>
    </w:p>
    <w:p>
      <w:pPr>
        <w:pStyle w:val="8"/>
        <w:kinsoku w:val="0"/>
        <w:overflowPunct w:val="0"/>
        <w:spacing w:before="7"/>
        <w:ind w:left="0"/>
        <w:rPr>
          <w:rFonts w:hint="eastAsia" w:ascii="仿宋" w:hAnsi="仿宋" w:eastAsia="仿宋" w:cs="仿宋"/>
          <w:sz w:val="22"/>
          <w:szCs w:val="22"/>
          <w:highlight w:val="none"/>
        </w:rPr>
      </w:pPr>
    </w:p>
    <w:p>
      <w:pPr>
        <w:pStyle w:val="8"/>
        <w:tabs>
          <w:tab w:val="left" w:pos="5418"/>
        </w:tabs>
        <w:kinsoku w:val="0"/>
        <w:overflowPunct w:val="0"/>
        <w:spacing w:before="26"/>
        <w:ind w:left="618"/>
        <w:jc w:val="both"/>
        <w:rPr>
          <w:rFonts w:hint="default" w:ascii="仿宋" w:hAnsi="仿宋" w:eastAsia="仿宋" w:cs="仿宋"/>
          <w:b/>
          <w:highlight w:val="none"/>
          <w:lang w:val="en-US" w:eastAsia="zh-CN"/>
        </w:rPr>
      </w:pPr>
      <w:r>
        <w:rPr>
          <w:rFonts w:hint="eastAsia" w:ascii="仿宋" w:hAnsi="仿宋" w:eastAsia="仿宋" w:cs="仿宋"/>
          <w:b/>
          <w:highlight w:val="none"/>
        </w:rPr>
        <w:t>备注 ：</w:t>
      </w:r>
      <w:r>
        <w:rPr>
          <w:rFonts w:hint="eastAsia" w:hAnsi="仿宋" w:cs="仿宋"/>
          <w:b/>
          <w:highlight w:val="none"/>
          <w:lang w:val="en-US" w:eastAsia="zh-CN"/>
        </w:rPr>
        <w:t>资格证明文件请按照目录要求提供。</w:t>
      </w:r>
    </w:p>
    <w:p>
      <w:pPr>
        <w:pStyle w:val="28"/>
        <w:ind w:firstLine="480"/>
        <w:rPr>
          <w:rFonts w:hint="eastAsia" w:ascii="仿宋" w:hAnsi="仿宋" w:eastAsia="仿宋" w:cs="仿宋"/>
          <w:kern w:val="0"/>
          <w:sz w:val="28"/>
          <w:szCs w:val="28"/>
          <w:highlight w:val="none"/>
          <w:lang w:eastAsia="zh-CN"/>
        </w:rPr>
        <w:sectPr>
          <w:headerReference r:id="rId3" w:type="default"/>
          <w:footerReference r:id="rId4" w:type="default"/>
          <w:pgSz w:w="11906" w:h="16838"/>
          <w:pgMar w:top="1440" w:right="1588" w:bottom="1440" w:left="1588" w:header="851" w:footer="992" w:gutter="0"/>
          <w:cols w:space="720" w:num="1"/>
          <w:docGrid w:linePitch="312" w:charSpace="0"/>
        </w:sectPr>
      </w:pPr>
      <w:r>
        <w:rPr>
          <w:rFonts w:hint="eastAsia" w:ascii="仿宋" w:hAnsi="仿宋" w:eastAsia="仿宋" w:cs="仿宋"/>
          <w:highlight w:val="none"/>
        </w:rPr>
        <w:br w:type="page"/>
      </w:r>
    </w:p>
    <w:p>
      <w:pPr>
        <w:jc w:val="center"/>
        <w:rPr>
          <w:rFonts w:hint="eastAsia" w:ascii="仿宋" w:hAnsi="仿宋" w:eastAsia="仿宋" w:cs="仿宋"/>
          <w:b/>
          <w:sz w:val="96"/>
          <w:szCs w:val="84"/>
          <w:highlight w:val="none"/>
          <w:lang w:val="en-US" w:eastAsia="zh-CN"/>
        </w:rPr>
      </w:pPr>
      <w:r>
        <w:rPr>
          <w:rFonts w:hint="eastAsia" w:ascii="仿宋" w:hAnsi="仿宋" w:eastAsia="仿宋" w:cs="仿宋"/>
          <w:b/>
          <w:sz w:val="96"/>
          <w:szCs w:val="84"/>
          <w:highlight w:val="none"/>
        </w:rPr>
        <w:t>（</w:t>
      </w:r>
      <w:r>
        <w:rPr>
          <w:rFonts w:hint="eastAsia" w:ascii="仿宋" w:hAnsi="仿宋" w:eastAsia="仿宋" w:cs="仿宋"/>
          <w:b/>
          <w:sz w:val="96"/>
          <w:szCs w:val="84"/>
          <w:highlight w:val="none"/>
          <w:lang w:val="en-US" w:eastAsia="zh-CN"/>
        </w:rPr>
        <w:t>二</w:t>
      </w:r>
      <w:r>
        <w:rPr>
          <w:rFonts w:hint="eastAsia" w:ascii="仿宋" w:hAnsi="仿宋" w:eastAsia="仿宋" w:cs="仿宋"/>
          <w:b/>
          <w:sz w:val="96"/>
          <w:szCs w:val="84"/>
          <w:highlight w:val="none"/>
        </w:rPr>
        <w:t>）</w:t>
      </w:r>
      <w:r>
        <w:rPr>
          <w:rFonts w:hint="eastAsia" w:ascii="仿宋" w:hAnsi="仿宋" w:eastAsia="仿宋" w:cs="仿宋"/>
          <w:b/>
          <w:sz w:val="96"/>
          <w:szCs w:val="84"/>
          <w:highlight w:val="none"/>
          <w:lang w:val="en-US" w:eastAsia="zh-CN"/>
        </w:rPr>
        <w:t>技术文件</w:t>
      </w:r>
    </w:p>
    <w:p>
      <w:pPr>
        <w:rPr>
          <w:rFonts w:hint="eastAsia" w:ascii="仿宋" w:hAnsi="仿宋" w:eastAsia="仿宋" w:cs="仿宋"/>
          <w:highlight w:val="none"/>
        </w:rPr>
      </w:pPr>
      <w:r>
        <w:rPr>
          <w:rFonts w:hint="eastAsia" w:ascii="仿宋" w:hAnsi="仿宋" w:eastAsia="仿宋" w:cs="仿宋"/>
          <w:b/>
          <w:sz w:val="96"/>
          <w:szCs w:val="84"/>
          <w:highlight w:val="none"/>
          <w:lang w:val="en-US" w:eastAsia="zh-CN"/>
        </w:rPr>
        <w:br w:type="page"/>
      </w:r>
    </w:p>
    <w:p>
      <w:pPr>
        <w:pStyle w:val="8"/>
        <w:kinsoku w:val="0"/>
        <w:overflowPunct w:val="0"/>
        <w:spacing w:before="130" w:line="355" w:lineRule="auto"/>
        <w:ind w:right="7" w:firstLine="480"/>
        <w:jc w:val="center"/>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一、投标函</w:t>
      </w:r>
    </w:p>
    <w:p>
      <w:pPr>
        <w:spacing w:line="480" w:lineRule="exact"/>
        <w:ind w:firstLine="480" w:firstLineChars="200"/>
        <w:rPr>
          <w:rFonts w:hint="eastAsia" w:ascii="仿宋" w:hAnsi="仿宋" w:eastAsia="仿宋" w:cs="仿宋"/>
          <w:kern w:val="0"/>
          <w:sz w:val="24"/>
          <w:szCs w:val="24"/>
          <w:highlight w:val="none"/>
          <w:u w:val="single"/>
        </w:rPr>
      </w:pPr>
      <w:r>
        <w:rPr>
          <w:rFonts w:hint="eastAsia" w:ascii="仿宋" w:hAnsi="仿宋" w:eastAsia="仿宋" w:cs="仿宋"/>
          <w:kern w:val="0"/>
          <w:sz w:val="24"/>
          <w:szCs w:val="24"/>
          <w:highlight w:val="none"/>
        </w:rPr>
        <w:t>致：</w:t>
      </w:r>
      <w:r>
        <w:rPr>
          <w:rFonts w:hint="eastAsia" w:ascii="仿宋" w:hAnsi="仿宋" w:eastAsia="仿宋" w:cs="仿宋"/>
          <w:kern w:val="0"/>
          <w:sz w:val="24"/>
          <w:szCs w:val="24"/>
          <w:highlight w:val="none"/>
          <w:u w:val="single"/>
        </w:rPr>
        <w:t xml:space="preserve">                     </w:t>
      </w:r>
    </w:p>
    <w:p>
      <w:pPr>
        <w:spacing w:line="48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为响应你方组织的</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项目的招标[项目编号为：</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]，我方愿参与投标。</w:t>
      </w:r>
    </w:p>
    <w:p>
      <w:pPr>
        <w:spacing w:line="48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我方确认收到贵方提供的</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磋商文件的全部内容。</w:t>
      </w:r>
    </w:p>
    <w:p>
      <w:pPr>
        <w:spacing w:line="48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我方在参与投标前已详细研究了招标文件的所有内容，包括澄清、修改文件（如果有）和所有已提供的参考资料以及有关附件，我方完全明白并认为此招标文件没有倾向性，也不存在排斥潜在报价供应商的内容，我方同意招标文件的相关条款，放弃对招标文件提出误解和质疑的一切权力。</w:t>
      </w:r>
    </w:p>
    <w:p>
      <w:pPr>
        <w:spacing w:line="48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u w:val="single"/>
        </w:rPr>
        <w:t xml:space="preserve">      (磋商供应商名称)      </w:t>
      </w:r>
      <w:r>
        <w:rPr>
          <w:rFonts w:hint="eastAsia" w:ascii="仿宋" w:hAnsi="仿宋" w:eastAsia="仿宋" w:cs="仿宋"/>
          <w:kern w:val="0"/>
          <w:sz w:val="24"/>
          <w:szCs w:val="24"/>
          <w:highlight w:val="none"/>
        </w:rPr>
        <w:t>作为投标供应商正式授权</w:t>
      </w:r>
      <w:r>
        <w:rPr>
          <w:rFonts w:hint="eastAsia" w:ascii="仿宋" w:hAnsi="仿宋" w:eastAsia="仿宋" w:cs="仿宋"/>
          <w:kern w:val="0"/>
          <w:sz w:val="24"/>
          <w:szCs w:val="24"/>
          <w:highlight w:val="none"/>
          <w:u w:val="single"/>
        </w:rPr>
        <w:t xml:space="preserve">  (授权代表全名, 职务)  </w:t>
      </w:r>
      <w:r>
        <w:rPr>
          <w:rFonts w:hint="eastAsia" w:ascii="仿宋" w:hAnsi="仿宋" w:eastAsia="仿宋" w:cs="仿宋"/>
          <w:kern w:val="0"/>
          <w:sz w:val="24"/>
          <w:szCs w:val="24"/>
          <w:highlight w:val="none"/>
        </w:rPr>
        <w:t>代表我方全权处理有关本报价的一切事宜。</w:t>
      </w:r>
    </w:p>
    <w:p>
      <w:pPr>
        <w:spacing w:line="48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在此提交的投标文件，</w:t>
      </w:r>
      <w:r>
        <w:rPr>
          <w:rFonts w:hint="eastAsia" w:ascii="仿宋" w:hAnsi="仿宋" w:eastAsia="仿宋" w:cs="仿宋"/>
          <w:color w:val="auto"/>
          <w:kern w:val="0"/>
          <w:sz w:val="24"/>
          <w:szCs w:val="24"/>
          <w:highlight w:val="none"/>
        </w:rPr>
        <w:t>正本壹份，副本</w:t>
      </w:r>
      <w:r>
        <w:rPr>
          <w:rFonts w:hint="eastAsia" w:ascii="仿宋" w:hAnsi="仿宋" w:eastAsia="仿宋" w:cs="仿宋"/>
          <w:color w:val="auto"/>
          <w:kern w:val="0"/>
          <w:sz w:val="24"/>
          <w:szCs w:val="24"/>
          <w:highlight w:val="none"/>
          <w:lang w:val="en-US" w:eastAsia="zh-CN"/>
        </w:rPr>
        <w:t>叁</w:t>
      </w:r>
      <w:r>
        <w:rPr>
          <w:rFonts w:hint="eastAsia" w:ascii="仿宋" w:hAnsi="仿宋" w:eastAsia="仿宋" w:cs="仿宋"/>
          <w:color w:val="auto"/>
          <w:kern w:val="0"/>
          <w:sz w:val="24"/>
          <w:szCs w:val="24"/>
          <w:highlight w:val="none"/>
        </w:rPr>
        <w:t>份。</w:t>
      </w:r>
    </w:p>
    <w:p>
      <w:pPr>
        <w:spacing w:line="48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我方已完全明白招标文件的所有条款要求，并申明如下：</w:t>
      </w:r>
    </w:p>
    <w:p>
      <w:pPr>
        <w:spacing w:line="48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（一）按招标文件提供的全部与相关服务的投标总价详见《报价一览表》。</w:t>
      </w:r>
    </w:p>
    <w:p>
      <w:pPr>
        <w:spacing w:line="48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（二）本投标文件的有效期为投标截止时间</w:t>
      </w:r>
      <w:r>
        <w:rPr>
          <w:rFonts w:hint="eastAsia" w:ascii="仿宋" w:hAnsi="仿宋" w:eastAsia="仿宋" w:cs="仿宋"/>
          <w:color w:val="auto"/>
          <w:kern w:val="0"/>
          <w:sz w:val="24"/>
          <w:szCs w:val="24"/>
          <w:highlight w:val="none"/>
        </w:rPr>
        <w:t>起</w:t>
      </w:r>
      <w:r>
        <w:rPr>
          <w:rFonts w:hint="eastAsia" w:ascii="仿宋" w:hAnsi="仿宋" w:eastAsia="仿宋" w:cs="仿宋"/>
          <w:color w:val="auto"/>
          <w:kern w:val="0"/>
          <w:sz w:val="24"/>
          <w:szCs w:val="24"/>
          <w:highlight w:val="none"/>
          <w:u w:val="single"/>
          <w:lang w:val="en-US" w:eastAsia="zh-CN"/>
        </w:rPr>
        <w:t>30</w:t>
      </w:r>
      <w:r>
        <w:rPr>
          <w:rFonts w:hint="eastAsia" w:ascii="仿宋" w:hAnsi="仿宋" w:eastAsia="仿宋" w:cs="仿宋"/>
          <w:color w:val="auto"/>
          <w:kern w:val="0"/>
          <w:sz w:val="24"/>
          <w:szCs w:val="24"/>
          <w:highlight w:val="none"/>
          <w:u w:val="single"/>
        </w:rPr>
        <w:t>天</w:t>
      </w:r>
      <w:r>
        <w:rPr>
          <w:rFonts w:hint="eastAsia" w:ascii="仿宋" w:hAnsi="仿宋" w:eastAsia="仿宋" w:cs="仿宋"/>
          <w:kern w:val="0"/>
          <w:sz w:val="24"/>
          <w:szCs w:val="24"/>
          <w:highlight w:val="none"/>
        </w:rPr>
        <w:t>。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spacing w:line="48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（三）我方明白并同意，在规定的开标日之后，投标有效期之内撤回投标</w:t>
      </w:r>
      <w:r>
        <w:rPr>
          <w:rFonts w:hint="eastAsia" w:ascii="仿宋" w:hAnsi="仿宋" w:eastAsia="仿宋" w:cs="仿宋"/>
          <w:kern w:val="0"/>
          <w:sz w:val="24"/>
          <w:szCs w:val="24"/>
          <w:highlight w:val="none"/>
          <w:lang w:val="en-US" w:eastAsia="zh-CN"/>
        </w:rPr>
        <w:t>按无效标处理，</w:t>
      </w:r>
      <w:r>
        <w:rPr>
          <w:rFonts w:hint="eastAsia" w:ascii="仿宋" w:hAnsi="仿宋" w:eastAsia="仿宋" w:cs="仿宋"/>
          <w:kern w:val="0"/>
          <w:sz w:val="24"/>
          <w:szCs w:val="24"/>
          <w:highlight w:val="none"/>
        </w:rPr>
        <w:t>中标后不按规定与采购人签订合同或不提交履约保证金, 则将视为放弃中标，取消其中标资格并将按照《中华人民共和国政府采购法》相关规定进行处理。</w:t>
      </w:r>
    </w:p>
    <w:p>
      <w:pPr>
        <w:spacing w:line="48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（四）我方同意按照贵方可能提出的要求而提供与投标有关的任何其它数据、信息或资料。</w:t>
      </w:r>
    </w:p>
    <w:p>
      <w:pPr>
        <w:spacing w:line="48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（五）我方理解贵方不一定接受最低投标价或任何贵方可能收到的投标。</w:t>
      </w:r>
    </w:p>
    <w:p>
      <w:pPr>
        <w:spacing w:line="48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（六）我方如果中标，将保证履行招标文件及其澄清、修改文件（如果有）中的全部责任和义务，按质、按量、按期完成《磋商内容》及《合同书》中的全部任务。</w:t>
      </w:r>
    </w:p>
    <w:p>
      <w:pPr>
        <w:spacing w:line="48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（七）如我方被授予合同，我方承诺支付就本次招标应支付或将支付的中标服务费（详见按招标文件要求格式填写的《中标服务费支付承诺书》）。</w:t>
      </w:r>
    </w:p>
    <w:p>
      <w:pPr>
        <w:spacing w:line="48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（八）我方投标报价已包含应向知识产权所有权人支付的所有相关税费，并保证采购人在中国使用我方提供的货物时，如有第三方提出侵犯其知识产权主张的，责任由我方承担。</w:t>
      </w:r>
    </w:p>
    <w:p>
      <w:pPr>
        <w:spacing w:line="48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lang w:val="en-US" w:eastAsia="zh-CN"/>
        </w:rPr>
        <w:t>九</w:t>
      </w:r>
      <w:r>
        <w:rPr>
          <w:rFonts w:hint="eastAsia" w:ascii="仿宋" w:hAnsi="仿宋" w:eastAsia="仿宋" w:cs="仿宋"/>
          <w:kern w:val="0"/>
          <w:sz w:val="24"/>
          <w:szCs w:val="24"/>
          <w:highlight w:val="none"/>
        </w:rPr>
        <w:t>）我方与其他投标供应商不存在单位负责人为同一人或者存在直接控股、管理关系。</w:t>
      </w:r>
    </w:p>
    <w:p>
      <w:pPr>
        <w:spacing w:line="48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（十）我方具备《政府采购法》第二十二条规定的条件，承诺如下：</w:t>
      </w:r>
    </w:p>
    <w:p>
      <w:pPr>
        <w:spacing w:line="48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（1）我方已依法缴纳了各项税费及社会保险费用，如有需要，可随时向采购人提供相关缴费证明，以便核查。</w:t>
      </w:r>
    </w:p>
    <w:p>
      <w:pPr>
        <w:spacing w:line="48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（2）我方已依法建立健全的财务会计制度，如有需要，可随时向采购人提供相关的证明材料，以便核查。</w:t>
      </w:r>
    </w:p>
    <w:p>
      <w:pPr>
        <w:spacing w:line="48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（3）我方参加本项目政府采购活动前3年内在经营活动中没有重大违法记录。</w:t>
      </w:r>
    </w:p>
    <w:p>
      <w:pPr>
        <w:spacing w:line="48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（4）我方具备履行合同所必需的设备和专业技术能力。</w:t>
      </w:r>
    </w:p>
    <w:p>
      <w:pPr>
        <w:spacing w:line="48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（5）我方符合法律、行政法规规定的其他条件。</w:t>
      </w:r>
    </w:p>
    <w:p>
      <w:pPr>
        <w:spacing w:line="48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以上内容如有虚假或与事实不符的，评审委员会可将我方做无效投标处理，我方愿意承担相应的法律责任。</w:t>
      </w:r>
    </w:p>
    <w:p>
      <w:pPr>
        <w:spacing w:line="48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（十</w:t>
      </w:r>
      <w:r>
        <w:rPr>
          <w:rFonts w:hint="eastAsia" w:ascii="仿宋" w:hAnsi="仿宋" w:eastAsia="仿宋" w:cs="仿宋"/>
          <w:kern w:val="0"/>
          <w:sz w:val="24"/>
          <w:szCs w:val="24"/>
          <w:highlight w:val="none"/>
          <w:lang w:val="en-US" w:eastAsia="zh-CN"/>
        </w:rPr>
        <w:t>一</w:t>
      </w:r>
      <w:r>
        <w:rPr>
          <w:rFonts w:hint="eastAsia" w:ascii="仿宋" w:hAnsi="仿宋" w:eastAsia="仿宋" w:cs="仿宋"/>
          <w:kern w:val="0"/>
          <w:sz w:val="24"/>
          <w:szCs w:val="24"/>
          <w:highlight w:val="none"/>
        </w:rPr>
        <w:t>）我方对在本函及投标文件中所作的所有承诺承担法律责任。</w:t>
      </w:r>
    </w:p>
    <w:p>
      <w:pPr>
        <w:spacing w:line="48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（十</w:t>
      </w:r>
      <w:r>
        <w:rPr>
          <w:rFonts w:hint="eastAsia" w:ascii="仿宋" w:hAnsi="仿宋" w:eastAsia="仿宋" w:cs="仿宋"/>
          <w:kern w:val="0"/>
          <w:sz w:val="24"/>
          <w:szCs w:val="24"/>
          <w:highlight w:val="none"/>
          <w:lang w:val="en-US" w:eastAsia="zh-CN"/>
        </w:rPr>
        <w:t>二</w:t>
      </w:r>
      <w:r>
        <w:rPr>
          <w:rFonts w:hint="eastAsia" w:ascii="仿宋" w:hAnsi="仿宋" w:eastAsia="仿宋" w:cs="仿宋"/>
          <w:kern w:val="0"/>
          <w:sz w:val="24"/>
          <w:szCs w:val="24"/>
          <w:highlight w:val="none"/>
        </w:rPr>
        <w:t>）所有与本招标有关的函件请发往下列地址：</w:t>
      </w:r>
    </w:p>
    <w:p>
      <w:pPr>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地    址：</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.邮政编码：</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w:t>
      </w:r>
    </w:p>
    <w:p>
      <w:pPr>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电    话：</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w:t>
      </w:r>
    </w:p>
    <w:p>
      <w:pPr>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传    真：</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w:t>
      </w:r>
    </w:p>
    <w:p>
      <w:pPr>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代表姓名：</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.职    务：</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w:t>
      </w:r>
    </w:p>
    <w:p>
      <w:pPr>
        <w:spacing w:line="420" w:lineRule="exact"/>
        <w:rPr>
          <w:rFonts w:hint="eastAsia" w:ascii="仿宋" w:hAnsi="仿宋" w:eastAsia="仿宋" w:cs="仿宋"/>
          <w:kern w:val="0"/>
          <w:sz w:val="24"/>
          <w:szCs w:val="24"/>
          <w:highlight w:val="none"/>
        </w:rPr>
      </w:pPr>
    </w:p>
    <w:p>
      <w:pPr>
        <w:spacing w:line="420" w:lineRule="exact"/>
        <w:ind w:right="480"/>
        <w:jc w:val="righ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供应商：</w:t>
      </w:r>
      <w:r>
        <w:rPr>
          <w:rFonts w:hint="eastAsia" w:ascii="仿宋" w:hAnsi="仿宋" w:eastAsia="仿宋" w:cs="仿宋"/>
          <w:kern w:val="0"/>
          <w:sz w:val="24"/>
          <w:szCs w:val="24"/>
          <w:highlight w:val="none"/>
          <w:u w:val="single"/>
        </w:rPr>
        <w:tab/>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 xml:space="preserve">（公章） </w:t>
      </w:r>
    </w:p>
    <w:p>
      <w:pPr>
        <w:wordWrap w:val="0"/>
        <w:spacing w:line="420" w:lineRule="exact"/>
        <w:ind w:firstLine="480" w:firstLineChars="200"/>
        <w:jc w:val="righ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法定代表人或委托人：</w:t>
      </w:r>
      <w:r>
        <w:rPr>
          <w:rFonts w:hint="eastAsia" w:ascii="仿宋" w:hAnsi="仿宋" w:eastAsia="仿宋" w:cs="仿宋"/>
          <w:kern w:val="0"/>
          <w:sz w:val="24"/>
          <w:szCs w:val="24"/>
          <w:highlight w:val="none"/>
        </w:rPr>
        <w:tab/>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 xml:space="preserve">（签字）    </w:t>
      </w:r>
    </w:p>
    <w:p>
      <w:pPr>
        <w:spacing w:line="420" w:lineRule="exact"/>
        <w:ind w:right="480" w:firstLine="5280" w:firstLineChars="2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ab/>
      </w:r>
      <w:r>
        <w:rPr>
          <w:rFonts w:hint="eastAsia" w:ascii="仿宋" w:hAnsi="仿宋" w:eastAsia="仿宋" w:cs="仿宋"/>
          <w:kern w:val="0"/>
          <w:sz w:val="24"/>
          <w:szCs w:val="24"/>
          <w:highlight w:val="none"/>
        </w:rPr>
        <w:t>年</w:t>
      </w:r>
      <w:r>
        <w:rPr>
          <w:rFonts w:hint="eastAsia" w:ascii="仿宋" w:hAnsi="仿宋" w:eastAsia="仿宋" w:cs="仿宋"/>
          <w:kern w:val="0"/>
          <w:sz w:val="24"/>
          <w:szCs w:val="24"/>
          <w:highlight w:val="none"/>
          <w:u w:val="single"/>
        </w:rPr>
        <w:tab/>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月</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日</w:t>
      </w:r>
    </w:p>
    <w:p>
      <w:pPr>
        <w:jc w:val="center"/>
        <w:rPr>
          <w:rFonts w:hint="eastAsia" w:ascii="仿宋" w:hAnsi="仿宋" w:eastAsia="仿宋" w:cs="仿宋"/>
          <w:b/>
          <w:bCs/>
          <w:kern w:val="0"/>
          <w:sz w:val="36"/>
          <w:szCs w:val="36"/>
          <w:highlight w:val="none"/>
          <w:lang w:val="en-US" w:eastAsia="zh-CN" w:bidi="ar-SA"/>
        </w:rPr>
      </w:pPr>
      <w:r>
        <w:rPr>
          <w:rFonts w:hint="eastAsia" w:ascii="仿宋" w:hAnsi="仿宋" w:eastAsia="仿宋" w:cs="仿宋"/>
          <w:b/>
          <w:bCs/>
          <w:sz w:val="36"/>
          <w:szCs w:val="36"/>
          <w:highlight w:val="none"/>
          <w:lang w:val="en-US" w:eastAsia="zh-CN"/>
        </w:rPr>
        <w:br w:type="page"/>
      </w:r>
    </w:p>
    <w:p>
      <w:pPr>
        <w:spacing w:line="460" w:lineRule="exact"/>
        <w:jc w:val="center"/>
        <w:rPr>
          <w:rFonts w:hint="eastAsia" w:ascii="仿宋" w:hAnsi="仿宋" w:eastAsia="仿宋" w:cs="仿宋"/>
          <w:b/>
          <w:bCs/>
          <w:sz w:val="36"/>
          <w:szCs w:val="36"/>
          <w:highlight w:val="none"/>
          <w:lang w:val="en-US" w:eastAsia="zh-CN"/>
        </w:rPr>
      </w:pPr>
    </w:p>
    <w:p>
      <w:pPr>
        <w:spacing w:line="460" w:lineRule="exact"/>
        <w:jc w:val="center"/>
        <w:rPr>
          <w:rFonts w:hint="eastAsia" w:ascii="仿宋" w:hAnsi="仿宋" w:eastAsia="仿宋" w:cs="仿宋"/>
          <w:b/>
          <w:bCs/>
          <w:color w:val="auto"/>
          <w:sz w:val="30"/>
          <w:szCs w:val="30"/>
          <w:highlight w:val="none"/>
        </w:rPr>
      </w:pPr>
      <w:r>
        <w:rPr>
          <w:rFonts w:hint="eastAsia" w:ascii="仿宋" w:hAnsi="仿宋" w:eastAsia="仿宋" w:cs="仿宋"/>
          <w:b/>
          <w:bCs/>
          <w:sz w:val="36"/>
          <w:szCs w:val="36"/>
          <w:highlight w:val="none"/>
          <w:lang w:val="en-US" w:eastAsia="zh-CN"/>
        </w:rPr>
        <w:t>二、技术规格、商务条款偏离表</w:t>
      </w:r>
    </w:p>
    <w:p>
      <w:pPr>
        <w:spacing w:line="460" w:lineRule="exact"/>
        <w:jc w:val="both"/>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 xml:space="preserve">项目名称：                                       </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编号：</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4"/>
        <w:gridCol w:w="1954"/>
        <w:gridCol w:w="1980"/>
        <w:gridCol w:w="180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754" w:type="dxa"/>
            <w:shd w:val="clear" w:color="auto" w:fill="FFFFFF"/>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   容</w:t>
            </w:r>
          </w:p>
        </w:tc>
        <w:tc>
          <w:tcPr>
            <w:tcW w:w="1954" w:type="dxa"/>
            <w:shd w:val="clear" w:color="auto" w:fill="FFFFFF"/>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文件</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规定要求</w:t>
            </w:r>
          </w:p>
        </w:tc>
        <w:tc>
          <w:tcPr>
            <w:tcW w:w="1980" w:type="dxa"/>
            <w:shd w:val="clear" w:color="auto" w:fill="FFFFFF"/>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文件</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对应条款</w:t>
            </w:r>
          </w:p>
        </w:tc>
        <w:tc>
          <w:tcPr>
            <w:tcW w:w="1800" w:type="dxa"/>
            <w:shd w:val="clear" w:color="auto" w:fill="FFFFFF"/>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偏离情况</w:t>
            </w:r>
          </w:p>
        </w:tc>
        <w:tc>
          <w:tcPr>
            <w:tcW w:w="2340" w:type="dxa"/>
            <w:shd w:val="clear" w:color="auto" w:fill="FFFFFF"/>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54" w:type="dxa"/>
            <w:vMerge w:val="restart"/>
            <w:noWrap w:val="0"/>
            <w:vAlign w:val="center"/>
          </w:tcPr>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技术规格</w:t>
            </w:r>
          </w:p>
        </w:tc>
        <w:tc>
          <w:tcPr>
            <w:tcW w:w="1954" w:type="dxa"/>
            <w:noWrap w:val="0"/>
            <w:vAlign w:val="center"/>
          </w:tcPr>
          <w:p>
            <w:pPr>
              <w:jc w:val="center"/>
              <w:rPr>
                <w:rFonts w:hint="eastAsia" w:ascii="仿宋" w:hAnsi="仿宋" w:eastAsia="仿宋" w:cs="仿宋"/>
                <w:color w:val="auto"/>
                <w:sz w:val="24"/>
                <w:szCs w:val="24"/>
                <w:highlight w:val="none"/>
              </w:rPr>
            </w:pPr>
          </w:p>
        </w:tc>
        <w:tc>
          <w:tcPr>
            <w:tcW w:w="1980" w:type="dxa"/>
            <w:noWrap w:val="0"/>
            <w:vAlign w:val="center"/>
          </w:tcPr>
          <w:p>
            <w:pPr>
              <w:jc w:val="center"/>
              <w:rPr>
                <w:rFonts w:hint="eastAsia" w:ascii="仿宋" w:hAnsi="仿宋" w:eastAsia="仿宋" w:cs="仿宋"/>
                <w:color w:val="auto"/>
                <w:sz w:val="24"/>
                <w:szCs w:val="24"/>
                <w:highlight w:val="none"/>
              </w:rPr>
            </w:pPr>
          </w:p>
        </w:tc>
        <w:tc>
          <w:tcPr>
            <w:tcW w:w="1800" w:type="dxa"/>
            <w:noWrap w:val="0"/>
            <w:vAlign w:val="center"/>
          </w:tcPr>
          <w:p>
            <w:pPr>
              <w:jc w:val="center"/>
              <w:rPr>
                <w:rFonts w:hint="eastAsia" w:ascii="仿宋" w:hAnsi="仿宋" w:eastAsia="仿宋" w:cs="仿宋"/>
                <w:color w:val="auto"/>
                <w:sz w:val="24"/>
                <w:szCs w:val="24"/>
                <w:highlight w:val="none"/>
              </w:rPr>
            </w:pPr>
          </w:p>
        </w:tc>
        <w:tc>
          <w:tcPr>
            <w:tcW w:w="2340" w:type="dxa"/>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54" w:type="dxa"/>
            <w:vMerge w:val="continue"/>
            <w:noWrap w:val="0"/>
            <w:vAlign w:val="center"/>
          </w:tcPr>
          <w:p>
            <w:pPr>
              <w:jc w:val="center"/>
              <w:rPr>
                <w:rFonts w:hint="eastAsia" w:ascii="仿宋" w:hAnsi="仿宋" w:eastAsia="仿宋" w:cs="仿宋"/>
                <w:color w:val="auto"/>
                <w:sz w:val="24"/>
                <w:szCs w:val="24"/>
                <w:highlight w:val="none"/>
              </w:rPr>
            </w:pPr>
          </w:p>
        </w:tc>
        <w:tc>
          <w:tcPr>
            <w:tcW w:w="1954" w:type="dxa"/>
            <w:noWrap w:val="0"/>
            <w:vAlign w:val="center"/>
          </w:tcPr>
          <w:p>
            <w:pPr>
              <w:jc w:val="center"/>
              <w:rPr>
                <w:rFonts w:hint="eastAsia" w:ascii="仿宋" w:hAnsi="仿宋" w:eastAsia="仿宋" w:cs="仿宋"/>
                <w:color w:val="auto"/>
                <w:sz w:val="24"/>
                <w:szCs w:val="24"/>
                <w:highlight w:val="none"/>
              </w:rPr>
            </w:pPr>
          </w:p>
        </w:tc>
        <w:tc>
          <w:tcPr>
            <w:tcW w:w="1980" w:type="dxa"/>
            <w:noWrap w:val="0"/>
            <w:vAlign w:val="center"/>
          </w:tcPr>
          <w:p>
            <w:pPr>
              <w:jc w:val="center"/>
              <w:rPr>
                <w:rFonts w:hint="eastAsia" w:ascii="仿宋" w:hAnsi="仿宋" w:eastAsia="仿宋" w:cs="仿宋"/>
                <w:color w:val="auto"/>
                <w:sz w:val="24"/>
                <w:szCs w:val="24"/>
                <w:highlight w:val="none"/>
              </w:rPr>
            </w:pPr>
          </w:p>
        </w:tc>
        <w:tc>
          <w:tcPr>
            <w:tcW w:w="1800" w:type="dxa"/>
            <w:noWrap w:val="0"/>
            <w:vAlign w:val="center"/>
          </w:tcPr>
          <w:p>
            <w:pPr>
              <w:jc w:val="center"/>
              <w:rPr>
                <w:rFonts w:hint="eastAsia" w:ascii="仿宋" w:hAnsi="仿宋" w:eastAsia="仿宋" w:cs="仿宋"/>
                <w:color w:val="auto"/>
                <w:sz w:val="24"/>
                <w:szCs w:val="24"/>
                <w:highlight w:val="none"/>
              </w:rPr>
            </w:pPr>
          </w:p>
        </w:tc>
        <w:tc>
          <w:tcPr>
            <w:tcW w:w="2340" w:type="dxa"/>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54" w:type="dxa"/>
            <w:vMerge w:val="continue"/>
            <w:noWrap w:val="0"/>
            <w:vAlign w:val="center"/>
          </w:tcPr>
          <w:p>
            <w:pPr>
              <w:jc w:val="center"/>
              <w:rPr>
                <w:rFonts w:hint="eastAsia" w:ascii="仿宋" w:hAnsi="仿宋" w:eastAsia="仿宋" w:cs="仿宋"/>
                <w:color w:val="auto"/>
                <w:sz w:val="24"/>
                <w:szCs w:val="24"/>
                <w:highlight w:val="none"/>
              </w:rPr>
            </w:pPr>
          </w:p>
        </w:tc>
        <w:tc>
          <w:tcPr>
            <w:tcW w:w="1954" w:type="dxa"/>
            <w:noWrap w:val="0"/>
            <w:vAlign w:val="center"/>
          </w:tcPr>
          <w:p>
            <w:pPr>
              <w:jc w:val="center"/>
              <w:rPr>
                <w:rFonts w:hint="eastAsia" w:ascii="仿宋" w:hAnsi="仿宋" w:eastAsia="仿宋" w:cs="仿宋"/>
                <w:color w:val="auto"/>
                <w:sz w:val="24"/>
                <w:szCs w:val="24"/>
                <w:highlight w:val="none"/>
              </w:rPr>
            </w:pPr>
          </w:p>
        </w:tc>
        <w:tc>
          <w:tcPr>
            <w:tcW w:w="1980" w:type="dxa"/>
            <w:noWrap w:val="0"/>
            <w:vAlign w:val="center"/>
          </w:tcPr>
          <w:p>
            <w:pPr>
              <w:jc w:val="center"/>
              <w:rPr>
                <w:rFonts w:hint="eastAsia" w:ascii="仿宋" w:hAnsi="仿宋" w:eastAsia="仿宋" w:cs="仿宋"/>
                <w:color w:val="auto"/>
                <w:sz w:val="24"/>
                <w:szCs w:val="24"/>
                <w:highlight w:val="none"/>
              </w:rPr>
            </w:pPr>
          </w:p>
        </w:tc>
        <w:tc>
          <w:tcPr>
            <w:tcW w:w="1800" w:type="dxa"/>
            <w:noWrap w:val="0"/>
            <w:vAlign w:val="center"/>
          </w:tcPr>
          <w:p>
            <w:pPr>
              <w:jc w:val="center"/>
              <w:rPr>
                <w:rFonts w:hint="eastAsia" w:ascii="仿宋" w:hAnsi="仿宋" w:eastAsia="仿宋" w:cs="仿宋"/>
                <w:color w:val="auto"/>
                <w:sz w:val="24"/>
                <w:szCs w:val="24"/>
                <w:highlight w:val="none"/>
              </w:rPr>
            </w:pPr>
          </w:p>
        </w:tc>
        <w:tc>
          <w:tcPr>
            <w:tcW w:w="2340" w:type="dxa"/>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54" w:type="dxa"/>
            <w:vMerge w:val="continue"/>
            <w:noWrap w:val="0"/>
            <w:vAlign w:val="center"/>
          </w:tcPr>
          <w:p>
            <w:pPr>
              <w:jc w:val="center"/>
              <w:rPr>
                <w:rFonts w:hint="eastAsia" w:ascii="仿宋" w:hAnsi="仿宋" w:eastAsia="仿宋" w:cs="仿宋"/>
                <w:color w:val="auto"/>
                <w:sz w:val="24"/>
                <w:szCs w:val="24"/>
                <w:highlight w:val="none"/>
              </w:rPr>
            </w:pPr>
          </w:p>
        </w:tc>
        <w:tc>
          <w:tcPr>
            <w:tcW w:w="1954" w:type="dxa"/>
            <w:noWrap w:val="0"/>
            <w:vAlign w:val="center"/>
          </w:tcPr>
          <w:p>
            <w:pPr>
              <w:jc w:val="center"/>
              <w:rPr>
                <w:rFonts w:hint="eastAsia" w:ascii="仿宋" w:hAnsi="仿宋" w:eastAsia="仿宋" w:cs="仿宋"/>
                <w:color w:val="auto"/>
                <w:sz w:val="24"/>
                <w:szCs w:val="24"/>
                <w:highlight w:val="none"/>
              </w:rPr>
            </w:pPr>
          </w:p>
        </w:tc>
        <w:tc>
          <w:tcPr>
            <w:tcW w:w="1980" w:type="dxa"/>
            <w:noWrap w:val="0"/>
            <w:vAlign w:val="center"/>
          </w:tcPr>
          <w:p>
            <w:pPr>
              <w:jc w:val="center"/>
              <w:rPr>
                <w:rFonts w:hint="eastAsia" w:ascii="仿宋" w:hAnsi="仿宋" w:eastAsia="仿宋" w:cs="仿宋"/>
                <w:color w:val="auto"/>
                <w:sz w:val="24"/>
                <w:szCs w:val="24"/>
                <w:highlight w:val="none"/>
              </w:rPr>
            </w:pPr>
          </w:p>
        </w:tc>
        <w:tc>
          <w:tcPr>
            <w:tcW w:w="1800" w:type="dxa"/>
            <w:noWrap w:val="0"/>
            <w:vAlign w:val="center"/>
          </w:tcPr>
          <w:p>
            <w:pPr>
              <w:jc w:val="center"/>
              <w:rPr>
                <w:rFonts w:hint="eastAsia" w:ascii="仿宋" w:hAnsi="仿宋" w:eastAsia="仿宋" w:cs="仿宋"/>
                <w:color w:val="auto"/>
                <w:sz w:val="24"/>
                <w:szCs w:val="24"/>
                <w:highlight w:val="none"/>
              </w:rPr>
            </w:pPr>
          </w:p>
        </w:tc>
        <w:tc>
          <w:tcPr>
            <w:tcW w:w="2340" w:type="dxa"/>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54" w:type="dxa"/>
            <w:vMerge w:val="restart"/>
            <w:noWrap w:val="0"/>
            <w:vAlign w:val="center"/>
          </w:tcPr>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商务条款</w:t>
            </w:r>
          </w:p>
        </w:tc>
        <w:tc>
          <w:tcPr>
            <w:tcW w:w="1954" w:type="dxa"/>
            <w:noWrap w:val="0"/>
            <w:vAlign w:val="center"/>
          </w:tcPr>
          <w:p>
            <w:pPr>
              <w:jc w:val="center"/>
              <w:rPr>
                <w:rFonts w:hint="eastAsia" w:ascii="仿宋" w:hAnsi="仿宋" w:eastAsia="仿宋" w:cs="仿宋"/>
                <w:color w:val="auto"/>
                <w:sz w:val="24"/>
                <w:szCs w:val="24"/>
                <w:highlight w:val="none"/>
              </w:rPr>
            </w:pPr>
          </w:p>
        </w:tc>
        <w:tc>
          <w:tcPr>
            <w:tcW w:w="1980" w:type="dxa"/>
            <w:noWrap w:val="0"/>
            <w:vAlign w:val="center"/>
          </w:tcPr>
          <w:p>
            <w:pPr>
              <w:jc w:val="center"/>
              <w:rPr>
                <w:rFonts w:hint="eastAsia" w:ascii="仿宋" w:hAnsi="仿宋" w:eastAsia="仿宋" w:cs="仿宋"/>
                <w:color w:val="auto"/>
                <w:sz w:val="24"/>
                <w:szCs w:val="24"/>
                <w:highlight w:val="none"/>
              </w:rPr>
            </w:pPr>
          </w:p>
        </w:tc>
        <w:tc>
          <w:tcPr>
            <w:tcW w:w="1800" w:type="dxa"/>
            <w:noWrap w:val="0"/>
            <w:vAlign w:val="center"/>
          </w:tcPr>
          <w:p>
            <w:pPr>
              <w:jc w:val="center"/>
              <w:rPr>
                <w:rFonts w:hint="eastAsia" w:ascii="仿宋" w:hAnsi="仿宋" w:eastAsia="仿宋" w:cs="仿宋"/>
                <w:color w:val="auto"/>
                <w:sz w:val="24"/>
                <w:szCs w:val="24"/>
                <w:highlight w:val="none"/>
              </w:rPr>
            </w:pPr>
          </w:p>
        </w:tc>
        <w:tc>
          <w:tcPr>
            <w:tcW w:w="2340" w:type="dxa"/>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54" w:type="dxa"/>
            <w:vMerge w:val="continue"/>
            <w:noWrap w:val="0"/>
            <w:vAlign w:val="center"/>
          </w:tcPr>
          <w:p>
            <w:pPr>
              <w:jc w:val="center"/>
              <w:rPr>
                <w:rFonts w:hint="eastAsia" w:ascii="仿宋" w:hAnsi="仿宋" w:eastAsia="仿宋" w:cs="仿宋"/>
                <w:color w:val="auto"/>
                <w:sz w:val="24"/>
                <w:szCs w:val="24"/>
                <w:highlight w:val="none"/>
              </w:rPr>
            </w:pPr>
          </w:p>
        </w:tc>
        <w:tc>
          <w:tcPr>
            <w:tcW w:w="1954" w:type="dxa"/>
            <w:noWrap w:val="0"/>
            <w:vAlign w:val="center"/>
          </w:tcPr>
          <w:p>
            <w:pPr>
              <w:jc w:val="center"/>
              <w:rPr>
                <w:rFonts w:hint="eastAsia" w:ascii="仿宋" w:hAnsi="仿宋" w:eastAsia="仿宋" w:cs="仿宋"/>
                <w:color w:val="auto"/>
                <w:sz w:val="24"/>
                <w:szCs w:val="24"/>
                <w:highlight w:val="none"/>
              </w:rPr>
            </w:pPr>
          </w:p>
        </w:tc>
        <w:tc>
          <w:tcPr>
            <w:tcW w:w="1980" w:type="dxa"/>
            <w:noWrap w:val="0"/>
            <w:vAlign w:val="center"/>
          </w:tcPr>
          <w:p>
            <w:pPr>
              <w:jc w:val="center"/>
              <w:rPr>
                <w:rFonts w:hint="eastAsia" w:ascii="仿宋" w:hAnsi="仿宋" w:eastAsia="仿宋" w:cs="仿宋"/>
                <w:color w:val="auto"/>
                <w:sz w:val="24"/>
                <w:szCs w:val="24"/>
                <w:highlight w:val="none"/>
              </w:rPr>
            </w:pPr>
          </w:p>
        </w:tc>
        <w:tc>
          <w:tcPr>
            <w:tcW w:w="1800" w:type="dxa"/>
            <w:noWrap w:val="0"/>
            <w:vAlign w:val="center"/>
          </w:tcPr>
          <w:p>
            <w:pPr>
              <w:jc w:val="center"/>
              <w:rPr>
                <w:rFonts w:hint="eastAsia" w:ascii="仿宋" w:hAnsi="仿宋" w:eastAsia="仿宋" w:cs="仿宋"/>
                <w:color w:val="auto"/>
                <w:sz w:val="24"/>
                <w:szCs w:val="24"/>
                <w:highlight w:val="none"/>
              </w:rPr>
            </w:pPr>
          </w:p>
        </w:tc>
        <w:tc>
          <w:tcPr>
            <w:tcW w:w="2340" w:type="dxa"/>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54" w:type="dxa"/>
            <w:vMerge w:val="continue"/>
            <w:noWrap w:val="0"/>
            <w:vAlign w:val="center"/>
          </w:tcPr>
          <w:p>
            <w:pPr>
              <w:jc w:val="center"/>
              <w:rPr>
                <w:rFonts w:hint="eastAsia" w:ascii="仿宋" w:hAnsi="仿宋" w:eastAsia="仿宋" w:cs="仿宋"/>
                <w:color w:val="auto"/>
                <w:sz w:val="24"/>
                <w:szCs w:val="24"/>
                <w:highlight w:val="none"/>
              </w:rPr>
            </w:pPr>
          </w:p>
        </w:tc>
        <w:tc>
          <w:tcPr>
            <w:tcW w:w="1954" w:type="dxa"/>
            <w:noWrap w:val="0"/>
            <w:vAlign w:val="center"/>
          </w:tcPr>
          <w:p>
            <w:pPr>
              <w:jc w:val="center"/>
              <w:rPr>
                <w:rFonts w:hint="eastAsia" w:ascii="仿宋" w:hAnsi="仿宋" w:eastAsia="仿宋" w:cs="仿宋"/>
                <w:color w:val="auto"/>
                <w:sz w:val="24"/>
                <w:szCs w:val="24"/>
                <w:highlight w:val="none"/>
              </w:rPr>
            </w:pPr>
          </w:p>
        </w:tc>
        <w:tc>
          <w:tcPr>
            <w:tcW w:w="1980" w:type="dxa"/>
            <w:noWrap w:val="0"/>
            <w:vAlign w:val="center"/>
          </w:tcPr>
          <w:p>
            <w:pPr>
              <w:jc w:val="center"/>
              <w:rPr>
                <w:rFonts w:hint="eastAsia" w:ascii="仿宋" w:hAnsi="仿宋" w:eastAsia="仿宋" w:cs="仿宋"/>
                <w:color w:val="auto"/>
                <w:sz w:val="24"/>
                <w:szCs w:val="24"/>
                <w:highlight w:val="none"/>
              </w:rPr>
            </w:pPr>
          </w:p>
        </w:tc>
        <w:tc>
          <w:tcPr>
            <w:tcW w:w="1800" w:type="dxa"/>
            <w:noWrap w:val="0"/>
            <w:vAlign w:val="center"/>
          </w:tcPr>
          <w:p>
            <w:pPr>
              <w:jc w:val="center"/>
              <w:rPr>
                <w:rFonts w:hint="eastAsia" w:ascii="仿宋" w:hAnsi="仿宋" w:eastAsia="仿宋" w:cs="仿宋"/>
                <w:color w:val="auto"/>
                <w:sz w:val="24"/>
                <w:szCs w:val="24"/>
                <w:highlight w:val="none"/>
              </w:rPr>
            </w:pPr>
          </w:p>
        </w:tc>
        <w:tc>
          <w:tcPr>
            <w:tcW w:w="2340" w:type="dxa"/>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54" w:type="dxa"/>
            <w:vMerge w:val="continue"/>
            <w:noWrap w:val="0"/>
            <w:vAlign w:val="center"/>
          </w:tcPr>
          <w:p>
            <w:pPr>
              <w:jc w:val="center"/>
              <w:rPr>
                <w:rFonts w:hint="eastAsia" w:ascii="仿宋" w:hAnsi="仿宋" w:eastAsia="仿宋" w:cs="仿宋"/>
                <w:color w:val="auto"/>
                <w:sz w:val="24"/>
                <w:szCs w:val="24"/>
                <w:highlight w:val="none"/>
              </w:rPr>
            </w:pPr>
          </w:p>
        </w:tc>
        <w:tc>
          <w:tcPr>
            <w:tcW w:w="1954" w:type="dxa"/>
            <w:noWrap w:val="0"/>
            <w:vAlign w:val="center"/>
          </w:tcPr>
          <w:p>
            <w:pPr>
              <w:jc w:val="center"/>
              <w:rPr>
                <w:rFonts w:hint="eastAsia" w:ascii="仿宋" w:hAnsi="仿宋" w:eastAsia="仿宋" w:cs="仿宋"/>
                <w:color w:val="auto"/>
                <w:sz w:val="24"/>
                <w:szCs w:val="24"/>
                <w:highlight w:val="none"/>
              </w:rPr>
            </w:pPr>
          </w:p>
        </w:tc>
        <w:tc>
          <w:tcPr>
            <w:tcW w:w="1980" w:type="dxa"/>
            <w:noWrap w:val="0"/>
            <w:vAlign w:val="center"/>
          </w:tcPr>
          <w:p>
            <w:pPr>
              <w:jc w:val="center"/>
              <w:rPr>
                <w:rFonts w:hint="eastAsia" w:ascii="仿宋" w:hAnsi="仿宋" w:eastAsia="仿宋" w:cs="仿宋"/>
                <w:color w:val="auto"/>
                <w:sz w:val="24"/>
                <w:szCs w:val="24"/>
                <w:highlight w:val="none"/>
              </w:rPr>
            </w:pPr>
          </w:p>
        </w:tc>
        <w:tc>
          <w:tcPr>
            <w:tcW w:w="1800" w:type="dxa"/>
            <w:noWrap w:val="0"/>
            <w:vAlign w:val="center"/>
          </w:tcPr>
          <w:p>
            <w:pPr>
              <w:jc w:val="center"/>
              <w:rPr>
                <w:rFonts w:hint="eastAsia" w:ascii="仿宋" w:hAnsi="仿宋" w:eastAsia="仿宋" w:cs="仿宋"/>
                <w:color w:val="auto"/>
                <w:sz w:val="24"/>
                <w:szCs w:val="24"/>
                <w:highlight w:val="none"/>
              </w:rPr>
            </w:pPr>
          </w:p>
        </w:tc>
        <w:tc>
          <w:tcPr>
            <w:tcW w:w="2340" w:type="dxa"/>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54" w:type="dxa"/>
            <w:vMerge w:val="continue"/>
            <w:noWrap w:val="0"/>
            <w:vAlign w:val="center"/>
          </w:tcPr>
          <w:p>
            <w:pPr>
              <w:jc w:val="center"/>
              <w:rPr>
                <w:rFonts w:hint="eastAsia" w:ascii="仿宋" w:hAnsi="仿宋" w:eastAsia="仿宋" w:cs="仿宋"/>
                <w:color w:val="auto"/>
                <w:sz w:val="24"/>
                <w:szCs w:val="24"/>
                <w:highlight w:val="none"/>
              </w:rPr>
            </w:pPr>
          </w:p>
        </w:tc>
        <w:tc>
          <w:tcPr>
            <w:tcW w:w="1954" w:type="dxa"/>
            <w:noWrap w:val="0"/>
            <w:vAlign w:val="center"/>
          </w:tcPr>
          <w:p>
            <w:pPr>
              <w:jc w:val="center"/>
              <w:rPr>
                <w:rFonts w:hint="eastAsia" w:ascii="仿宋" w:hAnsi="仿宋" w:eastAsia="仿宋" w:cs="仿宋"/>
                <w:color w:val="auto"/>
                <w:sz w:val="24"/>
                <w:szCs w:val="24"/>
                <w:highlight w:val="none"/>
              </w:rPr>
            </w:pPr>
          </w:p>
        </w:tc>
        <w:tc>
          <w:tcPr>
            <w:tcW w:w="1980" w:type="dxa"/>
            <w:noWrap w:val="0"/>
            <w:vAlign w:val="center"/>
          </w:tcPr>
          <w:p>
            <w:pPr>
              <w:jc w:val="center"/>
              <w:rPr>
                <w:rFonts w:hint="eastAsia" w:ascii="仿宋" w:hAnsi="仿宋" w:eastAsia="仿宋" w:cs="仿宋"/>
                <w:color w:val="auto"/>
                <w:sz w:val="24"/>
                <w:szCs w:val="24"/>
                <w:highlight w:val="none"/>
              </w:rPr>
            </w:pPr>
          </w:p>
        </w:tc>
        <w:tc>
          <w:tcPr>
            <w:tcW w:w="1800" w:type="dxa"/>
            <w:noWrap w:val="0"/>
            <w:vAlign w:val="center"/>
          </w:tcPr>
          <w:p>
            <w:pPr>
              <w:jc w:val="center"/>
              <w:rPr>
                <w:rFonts w:hint="eastAsia" w:ascii="仿宋" w:hAnsi="仿宋" w:eastAsia="仿宋" w:cs="仿宋"/>
                <w:color w:val="auto"/>
                <w:sz w:val="24"/>
                <w:szCs w:val="24"/>
                <w:highlight w:val="none"/>
              </w:rPr>
            </w:pPr>
          </w:p>
        </w:tc>
        <w:tc>
          <w:tcPr>
            <w:tcW w:w="2340" w:type="dxa"/>
            <w:noWrap w:val="0"/>
            <w:vAlign w:val="center"/>
          </w:tcPr>
          <w:p>
            <w:pPr>
              <w:jc w:val="center"/>
              <w:rPr>
                <w:rFonts w:hint="eastAsia" w:ascii="仿宋" w:hAnsi="仿宋" w:eastAsia="仿宋" w:cs="仿宋"/>
                <w:color w:val="auto"/>
                <w:sz w:val="24"/>
                <w:szCs w:val="24"/>
                <w:highlight w:val="none"/>
              </w:rPr>
            </w:pPr>
          </w:p>
        </w:tc>
      </w:tr>
    </w:tbl>
    <w:p>
      <w:pPr>
        <w:spacing w:line="400" w:lineRule="exact"/>
        <w:ind w:left="221" w:hanging="241" w:hangingChars="1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说明：</w:t>
      </w:r>
    </w:p>
    <w:p>
      <w:pPr>
        <w:spacing w:line="400" w:lineRule="exact"/>
        <w:ind w:left="221" w:hanging="241" w:hangingChars="1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★1.如不填写，则视为完全响应</w:t>
      </w:r>
      <w:r>
        <w:rPr>
          <w:rFonts w:hint="eastAsia" w:ascii="仿宋" w:hAnsi="仿宋" w:eastAsia="仿宋" w:cs="仿宋"/>
          <w:b/>
          <w:color w:val="auto"/>
          <w:sz w:val="24"/>
          <w:szCs w:val="24"/>
          <w:highlight w:val="none"/>
          <w:lang w:val="en-US" w:eastAsia="zh-CN"/>
        </w:rPr>
        <w:t>招标</w:t>
      </w:r>
      <w:r>
        <w:rPr>
          <w:rFonts w:hint="eastAsia" w:ascii="仿宋" w:hAnsi="仿宋" w:eastAsia="仿宋" w:cs="仿宋"/>
          <w:b/>
          <w:color w:val="auto"/>
          <w:sz w:val="24"/>
          <w:szCs w:val="24"/>
          <w:highlight w:val="none"/>
        </w:rPr>
        <w:t>文件。</w:t>
      </w:r>
    </w:p>
    <w:p>
      <w:pPr>
        <w:spacing w:line="400" w:lineRule="exact"/>
        <w:ind w:left="221" w:hanging="241" w:hangingChars="1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2.如出现偏离，</w:t>
      </w:r>
      <w:r>
        <w:rPr>
          <w:rFonts w:hint="eastAsia" w:ascii="仿宋" w:hAnsi="仿宋" w:eastAsia="仿宋" w:cs="仿宋"/>
          <w:b/>
          <w:color w:val="auto"/>
          <w:sz w:val="24"/>
          <w:szCs w:val="24"/>
          <w:highlight w:val="none"/>
          <w:lang w:eastAsia="zh-CN"/>
        </w:rPr>
        <w:t>供应商</w:t>
      </w:r>
      <w:r>
        <w:rPr>
          <w:rFonts w:hint="eastAsia" w:ascii="仿宋" w:hAnsi="仿宋" w:eastAsia="仿宋" w:cs="仿宋"/>
          <w:b/>
          <w:color w:val="auto"/>
          <w:sz w:val="24"/>
          <w:szCs w:val="24"/>
          <w:highlight w:val="none"/>
        </w:rPr>
        <w:t>务必如实填写此表，“</w:t>
      </w:r>
      <w:r>
        <w:rPr>
          <w:rFonts w:hint="eastAsia" w:ascii="仿宋" w:hAnsi="仿宋" w:eastAsia="仿宋" w:cs="仿宋"/>
          <w:b/>
          <w:color w:val="auto"/>
          <w:sz w:val="24"/>
          <w:szCs w:val="24"/>
          <w:highlight w:val="none"/>
          <w:lang w:eastAsia="zh-CN"/>
        </w:rPr>
        <w:t>投标文件</w:t>
      </w:r>
      <w:r>
        <w:rPr>
          <w:rFonts w:hint="eastAsia" w:ascii="仿宋" w:hAnsi="仿宋" w:eastAsia="仿宋" w:cs="仿宋"/>
          <w:b/>
          <w:color w:val="auto"/>
          <w:sz w:val="24"/>
          <w:szCs w:val="24"/>
          <w:highlight w:val="none"/>
        </w:rPr>
        <w:t>对应条款”栏不得复制粘贴，所投内容必须对照</w:t>
      </w:r>
      <w:r>
        <w:rPr>
          <w:rFonts w:hint="eastAsia" w:ascii="仿宋" w:hAnsi="仿宋" w:eastAsia="仿宋" w:cs="仿宋"/>
          <w:b/>
          <w:color w:val="auto"/>
          <w:sz w:val="24"/>
          <w:szCs w:val="24"/>
          <w:highlight w:val="none"/>
          <w:lang w:val="en-US" w:eastAsia="zh-CN"/>
        </w:rPr>
        <w:t>招标</w:t>
      </w:r>
      <w:r>
        <w:rPr>
          <w:rFonts w:hint="eastAsia" w:ascii="仿宋" w:hAnsi="仿宋" w:eastAsia="仿宋" w:cs="仿宋"/>
          <w:b/>
          <w:color w:val="auto"/>
          <w:sz w:val="24"/>
          <w:szCs w:val="24"/>
          <w:highlight w:val="none"/>
        </w:rPr>
        <w:t>文件要求详细填写说明，否则存在的风险由</w:t>
      </w:r>
      <w:r>
        <w:rPr>
          <w:rFonts w:hint="eastAsia" w:ascii="仿宋" w:hAnsi="仿宋" w:eastAsia="仿宋" w:cs="仿宋"/>
          <w:b/>
          <w:color w:val="auto"/>
          <w:sz w:val="24"/>
          <w:szCs w:val="24"/>
          <w:highlight w:val="none"/>
          <w:lang w:eastAsia="zh-CN"/>
        </w:rPr>
        <w:t>供应商</w:t>
      </w:r>
      <w:r>
        <w:rPr>
          <w:rFonts w:hint="eastAsia" w:ascii="仿宋" w:hAnsi="仿宋" w:eastAsia="仿宋" w:cs="仿宋"/>
          <w:b/>
          <w:color w:val="auto"/>
          <w:sz w:val="24"/>
          <w:szCs w:val="24"/>
          <w:highlight w:val="none"/>
        </w:rPr>
        <w:t>自行承担。</w:t>
      </w:r>
    </w:p>
    <w:p>
      <w:pPr>
        <w:spacing w:line="400" w:lineRule="exact"/>
        <w:ind w:firstLine="241" w:firstLineChars="100"/>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u w:val="single"/>
        </w:rPr>
        <w:t>▲不提供此表将被视为未实质性响应</w:t>
      </w:r>
      <w:r>
        <w:rPr>
          <w:rFonts w:hint="eastAsia" w:ascii="仿宋" w:hAnsi="仿宋" w:eastAsia="仿宋" w:cs="仿宋"/>
          <w:b/>
          <w:color w:val="auto"/>
          <w:sz w:val="24"/>
          <w:szCs w:val="24"/>
          <w:highlight w:val="none"/>
          <w:u w:val="single"/>
          <w:lang w:val="en-US" w:eastAsia="zh-CN"/>
        </w:rPr>
        <w:t>招标</w:t>
      </w:r>
      <w:r>
        <w:rPr>
          <w:rFonts w:hint="eastAsia" w:ascii="仿宋" w:hAnsi="仿宋" w:eastAsia="仿宋" w:cs="仿宋"/>
          <w:b/>
          <w:color w:val="auto"/>
          <w:sz w:val="24"/>
          <w:szCs w:val="24"/>
          <w:highlight w:val="none"/>
          <w:u w:val="single"/>
        </w:rPr>
        <w:t>文件，其投标无效。</w:t>
      </w:r>
    </w:p>
    <w:p>
      <w:pPr>
        <w:pStyle w:val="8"/>
        <w:tabs>
          <w:tab w:val="left" w:pos="6736"/>
        </w:tabs>
        <w:kinsoku w:val="0"/>
        <w:overflowPunct w:val="0"/>
        <w:spacing w:before="26" w:line="337" w:lineRule="auto"/>
        <w:ind w:right="1526"/>
        <w:rPr>
          <w:rFonts w:hint="eastAsia" w:ascii="仿宋" w:hAnsi="仿宋" w:eastAsia="仿宋" w:cs="仿宋"/>
          <w:spacing w:val="23"/>
          <w:highlight w:val="none"/>
        </w:rPr>
      </w:pPr>
      <w:r>
        <w:rPr>
          <w:rFonts w:hint="eastAsia" w:ascii="仿宋" w:hAnsi="仿宋" w:eastAsia="仿宋" w:cs="仿宋"/>
          <w:spacing w:val="-1"/>
          <w:highlight w:val="none"/>
        </w:rPr>
        <w:t>供应商：</w:t>
      </w:r>
      <w:r>
        <w:rPr>
          <w:rFonts w:hint="eastAsia" w:ascii="仿宋" w:hAnsi="仿宋" w:eastAsia="仿宋" w:cs="仿宋"/>
          <w:spacing w:val="-1"/>
          <w:highlight w:val="none"/>
          <w:u w:val="single"/>
        </w:rPr>
        <w:t xml:space="preserve">               </w:t>
      </w:r>
      <w:r>
        <w:rPr>
          <w:rFonts w:hint="eastAsia" w:ascii="仿宋" w:hAnsi="仿宋" w:eastAsia="仿宋" w:cs="仿宋"/>
          <w:highlight w:val="none"/>
          <w:u w:val="single"/>
        </w:rPr>
        <w:t>（公章）</w:t>
      </w:r>
      <w:r>
        <w:rPr>
          <w:rFonts w:hint="eastAsia" w:ascii="仿宋" w:hAnsi="仿宋" w:eastAsia="仿宋" w:cs="仿宋"/>
          <w:spacing w:val="23"/>
          <w:highlight w:val="none"/>
        </w:rPr>
        <w:t xml:space="preserve"> </w:t>
      </w:r>
    </w:p>
    <w:p>
      <w:pPr>
        <w:pStyle w:val="8"/>
        <w:tabs>
          <w:tab w:val="left" w:pos="6736"/>
        </w:tabs>
        <w:kinsoku w:val="0"/>
        <w:overflowPunct w:val="0"/>
        <w:spacing w:before="26" w:line="337" w:lineRule="auto"/>
        <w:ind w:right="1526"/>
        <w:rPr>
          <w:rFonts w:hint="eastAsia" w:ascii="仿宋" w:hAnsi="仿宋" w:eastAsia="仿宋" w:cs="仿宋"/>
          <w:highlight w:val="none"/>
        </w:rPr>
      </w:pPr>
      <w:r>
        <w:rPr>
          <w:rFonts w:hint="eastAsia" w:ascii="仿宋" w:hAnsi="仿宋" w:eastAsia="仿宋" w:cs="仿宋"/>
          <w:spacing w:val="-1"/>
          <w:highlight w:val="none"/>
        </w:rPr>
        <w:t>法定代表人或委托人：</w:t>
      </w:r>
      <w:r>
        <w:rPr>
          <w:rFonts w:hint="eastAsia" w:ascii="仿宋" w:hAnsi="仿宋" w:eastAsia="仿宋" w:cs="仿宋"/>
          <w:spacing w:val="-1"/>
          <w:highlight w:val="none"/>
          <w:u w:val="single"/>
        </w:rPr>
        <w:t xml:space="preserve">               </w:t>
      </w:r>
      <w:r>
        <w:rPr>
          <w:rFonts w:hint="eastAsia" w:ascii="仿宋" w:hAnsi="仿宋" w:eastAsia="仿宋" w:cs="仿宋"/>
          <w:highlight w:val="none"/>
          <w:u w:val="single"/>
        </w:rPr>
        <w:t>（签字）</w:t>
      </w:r>
    </w:p>
    <w:p>
      <w:pPr>
        <w:pStyle w:val="8"/>
        <w:kinsoku w:val="0"/>
        <w:overflowPunct w:val="0"/>
        <w:spacing w:before="11"/>
        <w:ind w:left="0"/>
        <w:rPr>
          <w:rFonts w:hint="eastAsia" w:ascii="仿宋" w:hAnsi="仿宋" w:eastAsia="仿宋" w:cs="仿宋"/>
          <w:sz w:val="9"/>
          <w:szCs w:val="9"/>
          <w:highlight w:val="none"/>
        </w:rPr>
      </w:pPr>
    </w:p>
    <w:p>
      <w:pPr>
        <w:pStyle w:val="8"/>
        <w:tabs>
          <w:tab w:val="left" w:pos="5418"/>
          <w:tab w:val="left" w:pos="6258"/>
          <w:tab w:val="left" w:pos="7098"/>
        </w:tabs>
        <w:kinsoku w:val="0"/>
        <w:overflowPunct w:val="0"/>
        <w:spacing w:before="26"/>
        <w:ind w:left="4697"/>
        <w:rPr>
          <w:rFonts w:hint="eastAsia"/>
          <w:lang w:val="en-US" w:eastAsia="zh-CN"/>
        </w:rPr>
      </w:pPr>
      <w:r>
        <w:rPr>
          <w:rFonts w:hint="eastAsia" w:ascii="仿宋" w:hAnsi="仿宋" w:eastAsia="仿宋" w:cs="仿宋"/>
          <w:highlight w:val="none"/>
          <w:u w:val="single"/>
        </w:rPr>
        <w:t xml:space="preserve"> </w:t>
      </w:r>
      <w:r>
        <w:rPr>
          <w:rFonts w:hint="eastAsia" w:ascii="仿宋" w:hAnsi="仿宋" w:eastAsia="仿宋" w:cs="仿宋"/>
          <w:highlight w:val="none"/>
          <w:u w:val="single"/>
        </w:rPr>
        <w:tab/>
      </w:r>
      <w:r>
        <w:rPr>
          <w:rFonts w:hint="eastAsia" w:ascii="仿宋" w:hAnsi="仿宋" w:eastAsia="仿宋" w:cs="仿宋"/>
          <w:spacing w:val="-1"/>
          <w:highlight w:val="none"/>
        </w:rPr>
        <w:t>年</w:t>
      </w:r>
      <w:r>
        <w:rPr>
          <w:rFonts w:hint="eastAsia" w:ascii="仿宋" w:hAnsi="仿宋" w:eastAsia="仿宋" w:cs="仿宋"/>
          <w:spacing w:val="-1"/>
          <w:highlight w:val="none"/>
          <w:u w:val="single"/>
        </w:rPr>
        <w:tab/>
      </w:r>
      <w:r>
        <w:rPr>
          <w:rFonts w:hint="eastAsia" w:ascii="仿宋" w:hAnsi="仿宋" w:eastAsia="仿宋" w:cs="仿宋"/>
          <w:spacing w:val="-1"/>
          <w:highlight w:val="none"/>
        </w:rPr>
        <w:t>月</w:t>
      </w:r>
      <w:r>
        <w:rPr>
          <w:rFonts w:hint="eastAsia" w:ascii="仿宋" w:hAnsi="仿宋" w:eastAsia="仿宋" w:cs="仿宋"/>
          <w:spacing w:val="-1"/>
          <w:highlight w:val="none"/>
          <w:u w:val="single"/>
        </w:rPr>
        <w:tab/>
      </w:r>
      <w:r>
        <w:rPr>
          <w:rFonts w:hint="eastAsia" w:ascii="仿宋" w:hAnsi="仿宋" w:eastAsia="仿宋" w:cs="仿宋"/>
          <w:highlight w:val="none"/>
        </w:rPr>
        <w:t>日</w:t>
      </w:r>
    </w:p>
    <w:p>
      <w:pPr>
        <w:rPr>
          <w:rFonts w:hint="eastAsia"/>
          <w:lang w:val="en-US" w:eastAsia="zh-CN"/>
        </w:rPr>
      </w:pPr>
    </w:p>
    <w:p>
      <w:pPr>
        <w:pStyle w:val="8"/>
        <w:numPr>
          <w:ilvl w:val="0"/>
          <w:numId w:val="0"/>
        </w:numPr>
        <w:tabs>
          <w:tab w:val="left" w:pos="5418"/>
          <w:tab w:val="left" w:pos="6258"/>
          <w:tab w:val="left" w:pos="7098"/>
        </w:tabs>
        <w:kinsoku w:val="0"/>
        <w:overflowPunct w:val="0"/>
        <w:spacing w:before="26"/>
        <w:ind w:left="598" w:leftChars="0"/>
        <w:jc w:val="center"/>
        <w:rPr>
          <w:rFonts w:hint="eastAsia" w:ascii="仿宋" w:hAnsi="仿宋" w:eastAsia="仿宋" w:cs="仿宋"/>
          <w:b/>
          <w:bCs/>
          <w:color w:val="auto"/>
          <w:sz w:val="36"/>
          <w:szCs w:val="36"/>
          <w:highlight w:val="none"/>
          <w:lang w:val="en-US" w:eastAsia="zh-CN"/>
        </w:rPr>
      </w:pPr>
      <w:r>
        <w:rPr>
          <w:rFonts w:hint="eastAsia" w:hAnsi="仿宋" w:cs="仿宋"/>
          <w:b/>
          <w:bCs/>
          <w:color w:val="auto"/>
          <w:sz w:val="36"/>
          <w:szCs w:val="36"/>
          <w:highlight w:val="none"/>
          <w:lang w:val="en-US" w:eastAsia="zh-CN"/>
        </w:rPr>
        <w:t>三</w:t>
      </w:r>
      <w:r>
        <w:rPr>
          <w:rFonts w:hint="eastAsia" w:ascii="仿宋" w:hAnsi="仿宋" w:eastAsia="仿宋" w:cs="仿宋"/>
          <w:b/>
          <w:bCs/>
          <w:color w:val="auto"/>
          <w:sz w:val="36"/>
          <w:szCs w:val="36"/>
          <w:highlight w:val="none"/>
          <w:lang w:val="en-US" w:eastAsia="zh-CN"/>
        </w:rPr>
        <w:t>、项目实施方案</w:t>
      </w:r>
    </w:p>
    <w:p>
      <w:pPr>
        <w:widowControl w:val="0"/>
        <w:numPr>
          <w:ilvl w:val="0"/>
          <w:numId w:val="0"/>
        </w:numPr>
        <w:jc w:val="both"/>
        <w:rPr>
          <w:rFonts w:hint="eastAsia" w:ascii="仿宋" w:hAnsi="仿宋" w:eastAsia="仿宋" w:cs="仿宋"/>
          <w:highlight w:val="none"/>
        </w:rPr>
      </w:pPr>
    </w:p>
    <w:p>
      <w:pP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lang w:val="en-US" w:eastAsia="zh-CN"/>
        </w:rPr>
        <w:t>项目实施方案</w:t>
      </w:r>
    </w:p>
    <w:p>
      <w:pPr>
        <w:pStyle w:val="28"/>
        <w:rPr>
          <w:rFonts w:hint="eastAsia" w:ascii="仿宋" w:hAnsi="仿宋" w:eastAsia="仿宋" w:cs="仿宋"/>
          <w:color w:val="000000" w:themeColor="text1"/>
          <w:highlight w:val="none"/>
          <w14:textFill>
            <w14:solidFill>
              <w14:schemeClr w14:val="tx1"/>
            </w14:solidFill>
          </w14:textFill>
        </w:rPr>
      </w:pPr>
    </w:p>
    <w:p>
      <w:pPr>
        <w:spacing w:line="360" w:lineRule="auto"/>
        <w:rPr>
          <w:rFonts w:hint="eastAsia" w:ascii="仿宋" w:hAnsi="仿宋" w:eastAsia="仿宋" w:cs="仿宋"/>
          <w:color w:val="000000" w:themeColor="text1"/>
          <w:kern w:val="0"/>
          <w:sz w:val="24"/>
          <w:szCs w:val="24"/>
          <w:highlight w:val="none"/>
          <w:lang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1.1企业综合实力</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bCs/>
          <w:color w:val="000000" w:themeColor="text1"/>
          <w:kern w:val="0"/>
          <w:sz w:val="24"/>
          <w:szCs w:val="24"/>
          <w:highlight w:val="none"/>
          <w14:textFill>
            <w14:solidFill>
              <w14:schemeClr w14:val="tx1"/>
            </w14:solidFill>
          </w14:textFill>
        </w:rPr>
        <w:t>主要</w:t>
      </w:r>
      <w:r>
        <w:rPr>
          <w:rFonts w:hint="eastAsia" w:ascii="仿宋" w:hAnsi="仿宋" w:eastAsia="仿宋" w:cs="仿宋"/>
          <w:color w:val="000000" w:themeColor="text1"/>
          <w:kern w:val="0"/>
          <w:sz w:val="24"/>
          <w:szCs w:val="24"/>
          <w:highlight w:val="none"/>
          <w14:textFill>
            <w14:solidFill>
              <w14:schemeClr w14:val="tx1"/>
            </w14:solidFill>
          </w14:textFill>
        </w:rPr>
        <w:t>根据《磋商内容》的要求及综合评分表的内容进行编撰（格式自定）</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p>
    <w:p>
      <w:pPr>
        <w:spacing w:line="360" w:lineRule="auto"/>
        <w:rPr>
          <w:rFonts w:hint="eastAsia" w:ascii="仿宋" w:hAnsi="仿宋" w:eastAsia="仿宋" w:cs="仿宋"/>
          <w:color w:val="000000" w:themeColor="text1"/>
          <w:kern w:val="0"/>
          <w:sz w:val="24"/>
          <w:szCs w:val="24"/>
          <w:highlight w:val="none"/>
          <w:lang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1.2后续服务：</w:t>
      </w:r>
      <w:r>
        <w:rPr>
          <w:rFonts w:hint="eastAsia" w:ascii="仿宋" w:hAnsi="仿宋" w:eastAsia="仿宋" w:cs="仿宋"/>
          <w:bCs/>
          <w:color w:val="000000" w:themeColor="text1"/>
          <w:kern w:val="0"/>
          <w:sz w:val="24"/>
          <w:szCs w:val="24"/>
          <w:highlight w:val="none"/>
          <w14:textFill>
            <w14:solidFill>
              <w14:schemeClr w14:val="tx1"/>
            </w14:solidFill>
          </w14:textFill>
        </w:rPr>
        <w:t>主要</w:t>
      </w:r>
      <w:r>
        <w:rPr>
          <w:rFonts w:hint="eastAsia" w:ascii="仿宋" w:hAnsi="仿宋" w:eastAsia="仿宋" w:cs="仿宋"/>
          <w:color w:val="000000" w:themeColor="text1"/>
          <w:kern w:val="0"/>
          <w:sz w:val="24"/>
          <w:szCs w:val="24"/>
          <w:highlight w:val="none"/>
          <w14:textFill>
            <w14:solidFill>
              <w14:schemeClr w14:val="tx1"/>
            </w14:solidFill>
          </w14:textFill>
        </w:rPr>
        <w:t>根据《磋商内容》的要求及综合评分表的内容进行编撰（格式自定）</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p>
    <w:p>
      <w:pPr>
        <w:spacing w:line="360" w:lineRule="auto"/>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1.3项目实施方案：主要根据《磋商内容》的要求及综合评分表的内容进行编撰（格式自定）；</w:t>
      </w:r>
    </w:p>
    <w:p>
      <w:pPr>
        <w:spacing w:line="360" w:lineRule="auto"/>
        <w:rPr>
          <w:rFonts w:hint="eastAsia" w:ascii="仿宋" w:hAnsi="仿宋" w:eastAsia="仿宋" w:cs="仿宋"/>
          <w:color w:val="000000" w:themeColor="text1"/>
          <w:kern w:val="0"/>
          <w:sz w:val="24"/>
          <w:szCs w:val="24"/>
          <w:highlight w:val="none"/>
          <w:lang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1.4项目理解：主要根据《磋商内容》的要求及综合评分表的内容进行编撰（格式自定）；</w:t>
      </w:r>
    </w:p>
    <w:p>
      <w:pPr>
        <w:spacing w:line="360" w:lineRule="auto"/>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1.5 质量保证：主要根据《磋商内容》的要求及综合评分表的内容进行编撰（格式自定）。</w:t>
      </w:r>
    </w:p>
    <w:p>
      <w:pPr>
        <w:spacing w:line="360" w:lineRule="auto"/>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1.6 项目重点难点分析、应对措施及合理化：主要根据《磋商内容》的要求及综合评分表的内容进行编撰（格式自定）。</w:t>
      </w:r>
    </w:p>
    <w:p>
      <w:pPr>
        <w:pStyle w:val="8"/>
        <w:rPr>
          <w:rFonts w:hint="eastAsia"/>
          <w:color w:val="000000" w:themeColor="text1"/>
          <w14:textFill>
            <w14:solidFill>
              <w14:schemeClr w14:val="tx1"/>
            </w14:solidFill>
          </w14:textFill>
        </w:rPr>
      </w:pPr>
    </w:p>
    <w:p>
      <w:pPr>
        <w:pStyle w:val="28"/>
        <w:rPr>
          <w:rFonts w:hint="eastAsia" w:ascii="仿宋" w:hAnsi="仿宋" w:eastAsia="仿宋" w:cs="仿宋"/>
          <w:color w:val="000000" w:themeColor="text1"/>
          <w:highlight w:val="none"/>
          <w14:textFill>
            <w14:solidFill>
              <w14:schemeClr w14:val="tx1"/>
            </w14:solidFill>
          </w14:textFill>
        </w:rPr>
      </w:pPr>
    </w:p>
    <w:p>
      <w:pPr>
        <w:pStyle w:val="28"/>
        <w:rPr>
          <w:rFonts w:hint="eastAsia" w:ascii="仿宋" w:hAnsi="仿宋" w:eastAsia="仿宋" w:cs="仿宋"/>
          <w:color w:val="000000" w:themeColor="text1"/>
          <w:highlight w:val="none"/>
          <w14:textFill>
            <w14:solidFill>
              <w14:schemeClr w14:val="tx1"/>
            </w14:solidFill>
          </w14:textFill>
        </w:rPr>
      </w:pPr>
    </w:p>
    <w:p>
      <w:pPr>
        <w:pStyle w:val="28"/>
        <w:rPr>
          <w:rFonts w:hint="eastAsia" w:ascii="仿宋" w:hAnsi="仿宋" w:eastAsia="仿宋" w:cs="仿宋"/>
          <w:color w:val="000000" w:themeColor="text1"/>
          <w:highlight w:val="none"/>
          <w14:textFill>
            <w14:solidFill>
              <w14:schemeClr w14:val="tx1"/>
            </w14:solidFill>
          </w14:textFill>
        </w:rPr>
      </w:pPr>
    </w:p>
    <w:p>
      <w:pPr>
        <w:pStyle w:val="28"/>
        <w:rPr>
          <w:rFonts w:hint="eastAsia" w:ascii="仿宋" w:hAnsi="仿宋" w:eastAsia="仿宋" w:cs="仿宋"/>
          <w:color w:val="000000" w:themeColor="text1"/>
          <w:highlight w:val="none"/>
          <w14:textFill>
            <w14:solidFill>
              <w14:schemeClr w14:val="tx1"/>
            </w14:solidFill>
          </w14:textFill>
        </w:rPr>
      </w:pPr>
    </w:p>
    <w:p>
      <w:pPr>
        <w:pStyle w:val="28"/>
        <w:rPr>
          <w:rFonts w:hint="eastAsia" w:ascii="仿宋" w:hAnsi="仿宋" w:eastAsia="仿宋" w:cs="仿宋"/>
          <w:color w:val="000000" w:themeColor="text1"/>
          <w:highlight w:val="none"/>
          <w14:textFill>
            <w14:solidFill>
              <w14:schemeClr w14:val="tx1"/>
            </w14:solidFill>
          </w14:textFill>
        </w:rPr>
      </w:pPr>
    </w:p>
    <w:p>
      <w:pPr>
        <w:pStyle w:val="28"/>
        <w:rPr>
          <w:rFonts w:hint="eastAsia" w:ascii="仿宋" w:hAnsi="仿宋" w:eastAsia="仿宋" w:cs="仿宋"/>
          <w:highlight w:val="none"/>
        </w:rPr>
      </w:pPr>
    </w:p>
    <w:p>
      <w:pPr>
        <w:pStyle w:val="28"/>
        <w:rPr>
          <w:rFonts w:hint="eastAsia" w:ascii="仿宋" w:hAnsi="仿宋" w:eastAsia="仿宋" w:cs="仿宋"/>
          <w:highlight w:val="none"/>
        </w:rPr>
      </w:pPr>
    </w:p>
    <w:p>
      <w:pPr>
        <w:pStyle w:val="28"/>
        <w:rPr>
          <w:rFonts w:hint="eastAsia" w:ascii="仿宋" w:hAnsi="仿宋" w:eastAsia="仿宋" w:cs="仿宋"/>
          <w:highlight w:val="none"/>
        </w:rPr>
      </w:pPr>
    </w:p>
    <w:p>
      <w:pPr>
        <w:pStyle w:val="28"/>
        <w:rPr>
          <w:rFonts w:hint="eastAsia" w:ascii="仿宋" w:hAnsi="仿宋" w:eastAsia="仿宋" w:cs="仿宋"/>
          <w:highlight w:val="none"/>
        </w:rPr>
      </w:pPr>
    </w:p>
    <w:p>
      <w:pPr>
        <w:pStyle w:val="28"/>
        <w:rPr>
          <w:rFonts w:hint="eastAsia" w:ascii="仿宋" w:hAnsi="仿宋" w:eastAsia="仿宋" w:cs="仿宋"/>
          <w:highlight w:val="none"/>
        </w:rPr>
      </w:pPr>
    </w:p>
    <w:p>
      <w:pPr>
        <w:pStyle w:val="28"/>
        <w:rPr>
          <w:rFonts w:hint="eastAsia" w:ascii="仿宋" w:hAnsi="仿宋" w:eastAsia="仿宋" w:cs="仿宋"/>
          <w:highlight w:val="none"/>
        </w:rPr>
      </w:pPr>
    </w:p>
    <w:p>
      <w:pPr>
        <w:pStyle w:val="28"/>
        <w:rPr>
          <w:rFonts w:hint="eastAsia" w:ascii="仿宋" w:hAnsi="仿宋" w:eastAsia="仿宋" w:cs="仿宋"/>
          <w:highlight w:val="none"/>
        </w:rPr>
      </w:pPr>
    </w:p>
    <w:p>
      <w:pPr>
        <w:pStyle w:val="28"/>
        <w:rPr>
          <w:rFonts w:hint="eastAsia" w:ascii="仿宋" w:hAnsi="仿宋" w:eastAsia="仿宋" w:cs="仿宋"/>
          <w:highlight w:val="none"/>
        </w:rPr>
      </w:pPr>
    </w:p>
    <w:p>
      <w:pPr>
        <w:pStyle w:val="28"/>
        <w:rPr>
          <w:rFonts w:hint="eastAsia" w:ascii="仿宋" w:hAnsi="仿宋" w:eastAsia="仿宋" w:cs="仿宋"/>
          <w:highlight w:val="none"/>
        </w:rPr>
      </w:pPr>
    </w:p>
    <w:p>
      <w:pPr>
        <w:pStyle w:val="28"/>
        <w:rPr>
          <w:rFonts w:hint="eastAsia" w:ascii="仿宋" w:hAnsi="仿宋" w:eastAsia="仿宋" w:cs="仿宋"/>
          <w:highlight w:val="none"/>
        </w:rPr>
      </w:pPr>
    </w:p>
    <w:p>
      <w:pPr>
        <w:pStyle w:val="28"/>
        <w:rPr>
          <w:rFonts w:hint="eastAsia" w:ascii="仿宋" w:hAnsi="仿宋" w:eastAsia="仿宋" w:cs="仿宋"/>
          <w:highlight w:val="none"/>
        </w:rPr>
      </w:pPr>
    </w:p>
    <w:p>
      <w:pPr>
        <w:pStyle w:val="28"/>
        <w:rPr>
          <w:rFonts w:hint="eastAsia" w:ascii="仿宋" w:hAnsi="仿宋" w:eastAsia="仿宋" w:cs="仿宋"/>
          <w:highlight w:val="none"/>
        </w:rPr>
      </w:pPr>
    </w:p>
    <w:p>
      <w:pPr>
        <w:pStyle w:val="28"/>
        <w:rPr>
          <w:rFonts w:hint="eastAsia" w:ascii="仿宋" w:hAnsi="仿宋" w:eastAsia="仿宋" w:cs="仿宋"/>
          <w:highlight w:val="none"/>
        </w:rPr>
      </w:pPr>
    </w:p>
    <w:p>
      <w:pPr>
        <w:numPr>
          <w:ilvl w:val="0"/>
          <w:numId w:val="10"/>
        </w:numPr>
        <w:jc w:val="center"/>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供应商认为需要提交的技术资料</w:t>
      </w:r>
    </w:p>
    <w:p>
      <w:pPr>
        <w:numPr>
          <w:ilvl w:val="0"/>
          <w:numId w:val="10"/>
        </w:numPr>
        <w:jc w:val="center"/>
        <w:rPr>
          <w:rFonts w:hint="eastAsia" w:ascii="仿宋" w:hAnsi="仿宋" w:eastAsia="仿宋" w:cs="仿宋"/>
          <w:b/>
          <w:sz w:val="96"/>
          <w:szCs w:val="84"/>
          <w:highlight w:val="none"/>
          <w:lang w:val="en-US" w:eastAsia="zh-CN"/>
        </w:rPr>
      </w:pPr>
      <w:r>
        <w:rPr>
          <w:rFonts w:hint="eastAsia" w:ascii="仿宋" w:hAnsi="仿宋" w:eastAsia="仿宋" w:cs="仿宋"/>
          <w:highlight w:val="none"/>
        </w:rPr>
        <w:br w:type="page"/>
      </w:r>
    </w:p>
    <w:p>
      <w:pPr>
        <w:numPr>
          <w:ilvl w:val="0"/>
          <w:numId w:val="0"/>
        </w:numPr>
        <w:jc w:val="both"/>
        <w:rPr>
          <w:rFonts w:hint="eastAsia" w:ascii="仿宋" w:hAnsi="仿宋" w:eastAsia="仿宋" w:cs="仿宋"/>
          <w:b/>
          <w:sz w:val="96"/>
          <w:szCs w:val="84"/>
          <w:highlight w:val="none"/>
          <w:lang w:val="en-US" w:eastAsia="zh-CN"/>
        </w:rPr>
      </w:pPr>
    </w:p>
    <w:p>
      <w:pPr>
        <w:numPr>
          <w:ilvl w:val="0"/>
          <w:numId w:val="0"/>
        </w:numPr>
        <w:jc w:val="both"/>
        <w:rPr>
          <w:rFonts w:hint="eastAsia" w:ascii="仿宋" w:hAnsi="仿宋" w:eastAsia="仿宋" w:cs="仿宋"/>
          <w:b/>
          <w:sz w:val="96"/>
          <w:szCs w:val="84"/>
          <w:highlight w:val="none"/>
          <w:lang w:val="en-US" w:eastAsia="zh-CN"/>
        </w:rPr>
      </w:pPr>
      <w:r>
        <w:rPr>
          <w:rFonts w:hint="eastAsia" w:ascii="仿宋" w:hAnsi="仿宋" w:eastAsia="仿宋" w:cs="仿宋"/>
          <w:b/>
          <w:sz w:val="96"/>
          <w:szCs w:val="84"/>
          <w:highlight w:val="none"/>
        </w:rPr>
        <w:t>（</w:t>
      </w:r>
      <w:r>
        <w:rPr>
          <w:rFonts w:hint="eastAsia" w:ascii="仿宋" w:hAnsi="仿宋" w:eastAsia="仿宋" w:cs="仿宋"/>
          <w:b/>
          <w:sz w:val="96"/>
          <w:szCs w:val="84"/>
          <w:highlight w:val="none"/>
          <w:lang w:val="en-US" w:eastAsia="zh-CN"/>
        </w:rPr>
        <w:t>三</w:t>
      </w:r>
      <w:r>
        <w:rPr>
          <w:rFonts w:hint="eastAsia" w:ascii="仿宋" w:hAnsi="仿宋" w:eastAsia="仿宋" w:cs="仿宋"/>
          <w:b/>
          <w:sz w:val="96"/>
          <w:szCs w:val="84"/>
          <w:highlight w:val="none"/>
        </w:rPr>
        <w:t>）</w:t>
      </w:r>
      <w:r>
        <w:rPr>
          <w:rFonts w:hint="eastAsia" w:ascii="仿宋" w:hAnsi="仿宋" w:eastAsia="仿宋" w:cs="仿宋"/>
          <w:b/>
          <w:sz w:val="96"/>
          <w:szCs w:val="84"/>
          <w:highlight w:val="none"/>
          <w:lang w:val="en-US" w:eastAsia="zh-CN"/>
        </w:rPr>
        <w:t>投标报价文件</w:t>
      </w:r>
    </w:p>
    <w:p>
      <w:pPr>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br w:type="page"/>
      </w:r>
    </w:p>
    <w:p>
      <w:pPr>
        <w:pStyle w:val="8"/>
        <w:kinsoku w:val="0"/>
        <w:overflowPunct w:val="0"/>
        <w:spacing w:before="34" w:line="357" w:lineRule="auto"/>
        <w:ind w:right="126" w:firstLine="480"/>
        <w:jc w:val="center"/>
        <w:rPr>
          <w:rFonts w:hint="eastAsia" w:ascii="仿宋" w:hAnsi="仿宋" w:eastAsia="仿宋" w:cs="仿宋"/>
          <w:b/>
          <w:bCs/>
          <w:highlight w:val="none"/>
        </w:rPr>
      </w:pPr>
      <w:r>
        <w:rPr>
          <w:rFonts w:hint="eastAsia" w:ascii="仿宋" w:hAnsi="仿宋" w:eastAsia="仿宋" w:cs="仿宋"/>
          <w:b/>
          <w:bCs/>
          <w:sz w:val="36"/>
          <w:szCs w:val="36"/>
          <w:highlight w:val="none"/>
          <w:lang w:val="en-US" w:eastAsia="zh-CN"/>
        </w:rPr>
        <w:t>一</w:t>
      </w:r>
      <w:r>
        <w:rPr>
          <w:rFonts w:hint="eastAsia" w:ascii="仿宋" w:hAnsi="仿宋" w:eastAsia="仿宋" w:cs="仿宋"/>
          <w:b/>
          <w:bCs/>
          <w:sz w:val="36"/>
          <w:szCs w:val="36"/>
          <w:highlight w:val="none"/>
        </w:rPr>
        <w:t>、</w:t>
      </w:r>
      <w:r>
        <w:rPr>
          <w:rFonts w:hint="eastAsia" w:hAnsi="仿宋" w:cs="仿宋"/>
          <w:b/>
          <w:bCs/>
          <w:sz w:val="36"/>
          <w:szCs w:val="36"/>
          <w:highlight w:val="none"/>
          <w:lang w:val="en-US" w:eastAsia="zh-CN"/>
        </w:rPr>
        <w:t>开标</w:t>
      </w:r>
      <w:r>
        <w:rPr>
          <w:rFonts w:hint="eastAsia" w:ascii="仿宋" w:hAnsi="仿宋" w:eastAsia="仿宋" w:cs="仿宋"/>
          <w:b/>
          <w:bCs/>
          <w:sz w:val="36"/>
          <w:szCs w:val="36"/>
          <w:highlight w:val="none"/>
        </w:rPr>
        <w:t>一览表</w:t>
      </w:r>
    </w:p>
    <w:p>
      <w:pPr>
        <w:pStyle w:val="8"/>
        <w:kinsoku w:val="0"/>
        <w:overflowPunct w:val="0"/>
        <w:spacing w:before="6"/>
        <w:ind w:left="0"/>
        <w:rPr>
          <w:rFonts w:hint="eastAsia" w:ascii="仿宋" w:hAnsi="仿宋" w:eastAsia="仿宋" w:cs="仿宋"/>
          <w:b/>
          <w:bCs/>
          <w:sz w:val="26"/>
          <w:szCs w:val="26"/>
          <w:highlight w:val="none"/>
        </w:rPr>
      </w:pPr>
    </w:p>
    <w:p>
      <w:pPr>
        <w:rPr>
          <w:rFonts w:hint="eastAsia" w:ascii="仿宋" w:hAnsi="仿宋" w:eastAsia="仿宋" w:cs="仿宋"/>
          <w:kern w:val="0"/>
          <w:sz w:val="24"/>
          <w:szCs w:val="24"/>
          <w:highlight w:val="none"/>
          <w:u w:val="single"/>
        </w:rPr>
      </w:pPr>
      <w:r>
        <w:rPr>
          <w:rFonts w:hint="eastAsia" w:ascii="仿宋" w:hAnsi="仿宋" w:eastAsia="仿宋" w:cs="仿宋"/>
          <w:kern w:val="0"/>
          <w:sz w:val="24"/>
          <w:szCs w:val="24"/>
          <w:highlight w:val="none"/>
        </w:rPr>
        <w:t>采购项目名称：</w:t>
      </w:r>
      <w:r>
        <w:rPr>
          <w:rFonts w:hint="eastAsia" w:ascii="仿宋" w:hAnsi="仿宋" w:eastAsia="仿宋" w:cs="仿宋"/>
          <w:kern w:val="0"/>
          <w:sz w:val="24"/>
          <w:szCs w:val="24"/>
          <w:highlight w:val="none"/>
          <w:u w:val="single"/>
        </w:rPr>
        <w:t>　                              　　</w:t>
      </w:r>
    </w:p>
    <w:p>
      <w:pPr>
        <w:rPr>
          <w:rFonts w:hint="eastAsia" w:ascii="仿宋" w:hAnsi="仿宋" w:eastAsia="仿宋" w:cs="仿宋"/>
          <w:kern w:val="0"/>
          <w:sz w:val="24"/>
          <w:szCs w:val="24"/>
          <w:highlight w:val="none"/>
          <w:u w:val="single"/>
        </w:rPr>
      </w:pPr>
      <w:r>
        <w:rPr>
          <w:rFonts w:hint="eastAsia" w:ascii="仿宋" w:hAnsi="仿宋" w:eastAsia="仿宋" w:cs="仿宋"/>
          <w:kern w:val="0"/>
          <w:sz w:val="24"/>
          <w:szCs w:val="24"/>
          <w:highlight w:val="none"/>
        </w:rPr>
        <w:t>采购项目编号：</w:t>
      </w:r>
      <w:r>
        <w:rPr>
          <w:rFonts w:hint="eastAsia" w:ascii="仿宋" w:hAnsi="仿宋" w:eastAsia="仿宋" w:cs="仿宋"/>
          <w:kern w:val="0"/>
          <w:sz w:val="24"/>
          <w:szCs w:val="24"/>
          <w:highlight w:val="none"/>
          <w:u w:val="single"/>
        </w:rPr>
        <w:t>　                              　　</w:t>
      </w:r>
    </w:p>
    <w:p>
      <w:pPr>
        <w:pStyle w:val="8"/>
        <w:rPr>
          <w:rFonts w:hint="eastAsia" w:ascii="仿宋" w:hAnsi="仿宋" w:eastAsia="仿宋" w:cs="仿宋"/>
          <w:highlight w:val="none"/>
        </w:rPr>
      </w:pPr>
    </w:p>
    <w:tbl>
      <w:tblPr>
        <w:tblStyle w:val="21"/>
        <w:tblW w:w="9420" w:type="dxa"/>
        <w:jc w:val="center"/>
        <w:tblLayout w:type="fixed"/>
        <w:tblCellMar>
          <w:top w:w="0" w:type="dxa"/>
          <w:left w:w="108" w:type="dxa"/>
          <w:bottom w:w="0" w:type="dxa"/>
          <w:right w:w="108" w:type="dxa"/>
        </w:tblCellMar>
      </w:tblPr>
      <w:tblGrid>
        <w:gridCol w:w="1728"/>
        <w:gridCol w:w="7692"/>
      </w:tblGrid>
      <w:tr>
        <w:tblPrEx>
          <w:tblCellMar>
            <w:top w:w="0" w:type="dxa"/>
            <w:left w:w="108" w:type="dxa"/>
            <w:bottom w:w="0" w:type="dxa"/>
            <w:right w:w="108" w:type="dxa"/>
          </w:tblCellMar>
        </w:tblPrEx>
        <w:trPr>
          <w:cantSplit/>
          <w:trHeight w:val="567" w:hRule="atLeast"/>
          <w:jc w:val="center"/>
        </w:trPr>
        <w:tc>
          <w:tcPr>
            <w:tcW w:w="1728" w:type="dxa"/>
            <w:tcBorders>
              <w:top w:val="single" w:color="000000" w:sz="4" w:space="0"/>
              <w:left w:val="single" w:color="000000" w:sz="4" w:space="0"/>
              <w:bottom w:val="single" w:color="000000" w:sz="4" w:space="0"/>
            </w:tcBorders>
            <w:noWrap w:val="0"/>
            <w:vAlign w:val="center"/>
          </w:tcPr>
          <w:p>
            <w:pPr>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供应商名称</w:t>
            </w:r>
          </w:p>
        </w:tc>
        <w:tc>
          <w:tcPr>
            <w:tcW w:w="769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kern w:val="0"/>
                <w:sz w:val="24"/>
                <w:szCs w:val="24"/>
                <w:highlight w:val="none"/>
              </w:rPr>
            </w:pPr>
          </w:p>
        </w:tc>
      </w:tr>
      <w:tr>
        <w:tblPrEx>
          <w:tblCellMar>
            <w:top w:w="0" w:type="dxa"/>
            <w:left w:w="108" w:type="dxa"/>
            <w:bottom w:w="0" w:type="dxa"/>
            <w:right w:w="108" w:type="dxa"/>
          </w:tblCellMar>
        </w:tblPrEx>
        <w:trPr>
          <w:cantSplit/>
          <w:trHeight w:val="567" w:hRule="atLeast"/>
          <w:jc w:val="center"/>
        </w:trPr>
        <w:tc>
          <w:tcPr>
            <w:tcW w:w="1728" w:type="dxa"/>
            <w:tcBorders>
              <w:top w:val="single" w:color="000000" w:sz="4" w:space="0"/>
              <w:left w:val="single" w:color="000000" w:sz="4" w:space="0"/>
              <w:bottom w:val="single" w:color="000000" w:sz="4" w:space="0"/>
            </w:tcBorders>
            <w:noWrap w:val="0"/>
            <w:vAlign w:val="center"/>
          </w:tcPr>
          <w:p>
            <w:pPr>
              <w:jc w:val="center"/>
              <w:rPr>
                <w:rFonts w:hint="default" w:ascii="仿宋" w:hAnsi="仿宋" w:eastAsia="仿宋" w:cs="仿宋"/>
                <w:kern w:val="0"/>
                <w:sz w:val="24"/>
                <w:szCs w:val="24"/>
                <w:highlight w:val="none"/>
                <w:lang w:val="en-US" w:eastAsia="zh-CN"/>
              </w:rPr>
            </w:pPr>
            <w:r>
              <w:rPr>
                <w:rFonts w:hint="eastAsia" w:ascii="仿宋" w:hAnsi="仿宋" w:eastAsia="仿宋" w:cs="仿宋"/>
                <w:sz w:val="24"/>
                <w:szCs w:val="24"/>
                <w:highlight w:val="none"/>
                <w:lang w:val="en-US" w:eastAsia="zh-CN"/>
              </w:rPr>
              <w:t>服务期限</w:t>
            </w:r>
          </w:p>
        </w:tc>
        <w:tc>
          <w:tcPr>
            <w:tcW w:w="769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kern w:val="0"/>
                <w:sz w:val="24"/>
                <w:szCs w:val="24"/>
                <w:highlight w:val="none"/>
              </w:rPr>
            </w:pPr>
          </w:p>
        </w:tc>
      </w:tr>
      <w:tr>
        <w:tblPrEx>
          <w:tblCellMar>
            <w:top w:w="0" w:type="dxa"/>
            <w:left w:w="108" w:type="dxa"/>
            <w:bottom w:w="0" w:type="dxa"/>
            <w:right w:w="108" w:type="dxa"/>
          </w:tblCellMar>
        </w:tblPrEx>
        <w:trPr>
          <w:cantSplit/>
          <w:trHeight w:val="567" w:hRule="atLeast"/>
          <w:jc w:val="center"/>
        </w:trPr>
        <w:tc>
          <w:tcPr>
            <w:tcW w:w="1728" w:type="dxa"/>
            <w:tcBorders>
              <w:top w:val="single" w:color="000000" w:sz="4" w:space="0"/>
              <w:left w:val="single" w:color="000000" w:sz="4" w:space="0"/>
              <w:bottom w:val="single" w:color="000000" w:sz="4" w:space="0"/>
            </w:tcBorders>
            <w:noWrap w:val="0"/>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服务质量</w:t>
            </w:r>
          </w:p>
        </w:tc>
        <w:tc>
          <w:tcPr>
            <w:tcW w:w="769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kern w:val="0"/>
                <w:sz w:val="24"/>
                <w:szCs w:val="24"/>
                <w:highlight w:val="none"/>
              </w:rPr>
            </w:pPr>
          </w:p>
        </w:tc>
      </w:tr>
      <w:tr>
        <w:tblPrEx>
          <w:tblCellMar>
            <w:top w:w="0" w:type="dxa"/>
            <w:left w:w="108" w:type="dxa"/>
            <w:bottom w:w="0" w:type="dxa"/>
            <w:right w:w="108" w:type="dxa"/>
          </w:tblCellMar>
        </w:tblPrEx>
        <w:trPr>
          <w:cantSplit/>
          <w:trHeight w:val="567" w:hRule="atLeast"/>
          <w:jc w:val="center"/>
        </w:trPr>
        <w:tc>
          <w:tcPr>
            <w:tcW w:w="1728" w:type="dxa"/>
            <w:vMerge w:val="restart"/>
            <w:tcBorders>
              <w:top w:val="single" w:color="000000" w:sz="4" w:space="0"/>
              <w:left w:val="single" w:color="000000" w:sz="4" w:space="0"/>
            </w:tcBorders>
            <w:noWrap w:val="0"/>
            <w:vAlign w:val="center"/>
          </w:tcPr>
          <w:p>
            <w:pPr>
              <w:rPr>
                <w:rFonts w:hint="eastAsia" w:ascii="仿宋" w:hAnsi="仿宋" w:eastAsia="仿宋" w:cs="仿宋"/>
                <w:kern w:val="0"/>
                <w:sz w:val="24"/>
                <w:szCs w:val="24"/>
                <w:highlight w:val="none"/>
              </w:rPr>
            </w:pPr>
            <w:r>
              <w:rPr>
                <w:rFonts w:hint="eastAsia" w:ascii="仿宋" w:hAnsi="仿宋" w:eastAsia="仿宋" w:cs="仿宋"/>
                <w:b/>
                <w:bCs/>
                <w:kern w:val="0"/>
                <w:sz w:val="24"/>
                <w:szCs w:val="24"/>
                <w:highlight w:val="none"/>
              </w:rPr>
              <w:t>总报价(元)</w:t>
            </w:r>
          </w:p>
        </w:tc>
        <w:tc>
          <w:tcPr>
            <w:tcW w:w="769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金额(元)</w:t>
            </w:r>
          </w:p>
        </w:tc>
      </w:tr>
      <w:tr>
        <w:tblPrEx>
          <w:tblCellMar>
            <w:top w:w="0" w:type="dxa"/>
            <w:left w:w="108" w:type="dxa"/>
            <w:bottom w:w="0" w:type="dxa"/>
            <w:right w:w="108" w:type="dxa"/>
          </w:tblCellMar>
        </w:tblPrEx>
        <w:trPr>
          <w:cantSplit/>
          <w:trHeight w:val="567" w:hRule="atLeast"/>
          <w:jc w:val="center"/>
        </w:trPr>
        <w:tc>
          <w:tcPr>
            <w:tcW w:w="1728" w:type="dxa"/>
            <w:vMerge w:val="continue"/>
            <w:tcBorders>
              <w:left w:val="single" w:color="000000" w:sz="4" w:space="0"/>
              <w:bottom w:val="single" w:color="000000" w:sz="2" w:space="0"/>
            </w:tcBorders>
            <w:noWrap w:val="0"/>
            <w:vAlign w:val="center"/>
          </w:tcPr>
          <w:p>
            <w:pPr>
              <w:rPr>
                <w:rFonts w:hint="eastAsia" w:ascii="仿宋" w:hAnsi="仿宋" w:eastAsia="仿宋" w:cs="仿宋"/>
                <w:kern w:val="0"/>
                <w:sz w:val="24"/>
                <w:szCs w:val="24"/>
                <w:highlight w:val="none"/>
              </w:rPr>
            </w:pPr>
          </w:p>
        </w:tc>
        <w:tc>
          <w:tcPr>
            <w:tcW w:w="7692" w:type="dxa"/>
            <w:tcBorders>
              <w:top w:val="single" w:color="000000" w:sz="4" w:space="0"/>
              <w:left w:val="single" w:color="000000" w:sz="4" w:space="0"/>
              <w:bottom w:val="single" w:color="000000" w:sz="2" w:space="0"/>
              <w:right w:val="single" w:color="000000" w:sz="4" w:space="0"/>
            </w:tcBorders>
            <w:noWrap w:val="0"/>
            <w:vAlign w:val="center"/>
          </w:tcPr>
          <w:p>
            <w:pP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（大写）人民币               元（￥           ）</w:t>
            </w:r>
          </w:p>
        </w:tc>
      </w:tr>
    </w:tbl>
    <w:p>
      <w:pPr>
        <w:spacing w:line="480" w:lineRule="exact"/>
        <w:ind w:firstLine="42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注：</w:t>
      </w:r>
    </w:p>
    <w:p>
      <w:pPr>
        <w:spacing w:line="480" w:lineRule="exact"/>
        <w:ind w:firstLine="42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1.此表总报价是所有需采购人支付的金额总数，包括《磋商内容》要求的全部内容；</w:t>
      </w:r>
    </w:p>
    <w:p>
      <w:pPr>
        <w:spacing w:line="480" w:lineRule="exact"/>
        <w:ind w:firstLine="420"/>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2.总报价中必须包含</w:t>
      </w:r>
      <w:r>
        <w:rPr>
          <w:rFonts w:hint="eastAsia" w:ascii="仿宋" w:hAnsi="仿宋" w:eastAsia="仿宋" w:cs="仿宋"/>
          <w:spacing w:val="-12"/>
          <w:sz w:val="24"/>
          <w:highlight w:val="none"/>
        </w:rPr>
        <w:t>报价应是最终用户验收合格后的总价，包括</w:t>
      </w:r>
      <w:r>
        <w:rPr>
          <w:rFonts w:hint="eastAsia" w:ascii="仿宋" w:hAnsi="仿宋" w:eastAsia="仿宋" w:cs="仿宋"/>
          <w:spacing w:val="-12"/>
          <w:sz w:val="24"/>
          <w:highlight w:val="none"/>
          <w:lang w:val="en-US" w:eastAsia="zh-CN"/>
        </w:rPr>
        <w:t>项目实行</w:t>
      </w:r>
      <w:r>
        <w:rPr>
          <w:rFonts w:hint="eastAsia" w:ascii="仿宋" w:hAnsi="仿宋" w:eastAsia="仿宋" w:cs="仿宋"/>
          <w:spacing w:val="-12"/>
          <w:sz w:val="24"/>
          <w:highlight w:val="none"/>
          <w:lang w:eastAsia="zh-CN"/>
        </w:rPr>
        <w:t>期间产生的费用</w:t>
      </w:r>
      <w:r>
        <w:rPr>
          <w:rFonts w:hint="eastAsia" w:ascii="仿宋" w:hAnsi="仿宋" w:eastAsia="仿宋" w:cs="仿宋"/>
          <w:spacing w:val="-12"/>
          <w:sz w:val="24"/>
          <w:highlight w:val="none"/>
        </w:rPr>
        <w:t>、管理、运输、劳务、交通、税金、保险、管理费、辅助工作和</w:t>
      </w:r>
      <w:r>
        <w:rPr>
          <w:rFonts w:hint="eastAsia" w:ascii="仿宋" w:hAnsi="仿宋" w:eastAsia="仿宋" w:cs="仿宋"/>
          <w:spacing w:val="-12"/>
          <w:sz w:val="24"/>
          <w:highlight w:val="none"/>
          <w:lang w:val="en-US" w:eastAsia="zh-CN"/>
        </w:rPr>
        <w:t>后续</w:t>
      </w:r>
      <w:r>
        <w:rPr>
          <w:rFonts w:hint="eastAsia" w:ascii="仿宋" w:hAnsi="仿宋" w:eastAsia="仿宋" w:cs="仿宋"/>
          <w:spacing w:val="-12"/>
          <w:sz w:val="24"/>
          <w:highlight w:val="none"/>
        </w:rPr>
        <w:t>服务等</w:t>
      </w:r>
      <w:r>
        <w:rPr>
          <w:rFonts w:hint="eastAsia" w:ascii="仿宋" w:hAnsi="仿宋" w:eastAsia="仿宋" w:cs="仿宋"/>
          <w:kern w:val="0"/>
          <w:sz w:val="24"/>
          <w:szCs w:val="24"/>
          <w:highlight w:val="none"/>
        </w:rPr>
        <w:t>以及合同实施过程中应预见和不可预见费用等完成本项目所需的一切费用。所有价格均应予人民币报价，金额单位为元</w:t>
      </w:r>
      <w:r>
        <w:rPr>
          <w:rFonts w:hint="eastAsia" w:ascii="仿宋" w:hAnsi="仿宋" w:eastAsia="仿宋" w:cs="仿宋"/>
          <w:kern w:val="0"/>
          <w:sz w:val="24"/>
          <w:szCs w:val="24"/>
          <w:highlight w:val="none"/>
          <w:lang w:eastAsia="zh-CN"/>
        </w:rPr>
        <w:t>。</w:t>
      </w:r>
    </w:p>
    <w:p>
      <w:pPr>
        <w:pStyle w:val="8"/>
        <w:tabs>
          <w:tab w:val="left" w:pos="8227"/>
        </w:tabs>
        <w:kinsoku w:val="0"/>
        <w:overflowPunct w:val="0"/>
        <w:spacing w:before="0" w:line="381" w:lineRule="auto"/>
        <w:ind w:left="4027" w:right="118"/>
        <w:rPr>
          <w:rFonts w:hint="eastAsia" w:ascii="仿宋" w:hAnsi="仿宋" w:eastAsia="仿宋" w:cs="仿宋"/>
          <w:highlight w:val="none"/>
        </w:rPr>
      </w:pPr>
    </w:p>
    <w:p>
      <w:pPr>
        <w:rPr>
          <w:rFonts w:hint="eastAsia" w:ascii="仿宋" w:hAnsi="仿宋" w:eastAsia="仿宋" w:cs="仿宋"/>
          <w:highlight w:val="none"/>
        </w:rPr>
      </w:pPr>
    </w:p>
    <w:p>
      <w:pPr>
        <w:pStyle w:val="27"/>
        <w:rPr>
          <w:rFonts w:hint="eastAsia"/>
        </w:rPr>
      </w:pPr>
    </w:p>
    <w:p>
      <w:pPr>
        <w:pStyle w:val="8"/>
        <w:tabs>
          <w:tab w:val="left" w:pos="8227"/>
        </w:tabs>
        <w:kinsoku w:val="0"/>
        <w:overflowPunct w:val="0"/>
        <w:spacing w:before="0" w:line="381" w:lineRule="auto"/>
        <w:ind w:left="4027" w:right="118"/>
        <w:rPr>
          <w:rFonts w:hint="eastAsia" w:ascii="仿宋" w:hAnsi="仿宋" w:eastAsia="仿宋" w:cs="仿宋"/>
          <w:highlight w:val="none"/>
        </w:rPr>
      </w:pPr>
      <w:r>
        <w:rPr>
          <w:rFonts w:hint="eastAsia" w:ascii="仿宋" w:hAnsi="仿宋" w:eastAsia="仿宋" w:cs="仿宋"/>
          <w:highlight w:val="none"/>
        </w:rPr>
        <w:t>供应商：</w:t>
      </w:r>
      <w:r>
        <w:rPr>
          <w:rFonts w:hint="eastAsia" w:ascii="仿宋" w:hAnsi="仿宋" w:eastAsia="仿宋" w:cs="仿宋"/>
          <w:highlight w:val="none"/>
          <w:u w:val="single"/>
        </w:rPr>
        <w:tab/>
      </w:r>
      <w:r>
        <w:rPr>
          <w:rFonts w:hint="eastAsia" w:ascii="仿宋" w:hAnsi="仿宋" w:eastAsia="仿宋" w:cs="仿宋"/>
          <w:w w:val="95"/>
          <w:highlight w:val="none"/>
        </w:rPr>
        <w:t>（盖章）</w:t>
      </w:r>
      <w:r>
        <w:rPr>
          <w:rFonts w:hint="eastAsia" w:ascii="仿宋" w:hAnsi="仿宋" w:eastAsia="仿宋" w:cs="仿宋"/>
          <w:highlight w:val="none"/>
        </w:rPr>
        <w:t xml:space="preserve"> </w:t>
      </w:r>
    </w:p>
    <w:p>
      <w:pPr>
        <w:pStyle w:val="8"/>
        <w:tabs>
          <w:tab w:val="left" w:pos="8227"/>
        </w:tabs>
        <w:kinsoku w:val="0"/>
        <w:overflowPunct w:val="0"/>
        <w:spacing w:before="0" w:line="381" w:lineRule="auto"/>
        <w:ind w:left="4027" w:right="118"/>
        <w:rPr>
          <w:rFonts w:hint="eastAsia" w:ascii="仿宋" w:hAnsi="仿宋" w:eastAsia="仿宋" w:cs="仿宋"/>
          <w:w w:val="95"/>
          <w:highlight w:val="none"/>
        </w:rPr>
      </w:pPr>
      <w:r>
        <w:rPr>
          <w:rFonts w:hint="eastAsia" w:ascii="仿宋" w:hAnsi="仿宋" w:eastAsia="仿宋" w:cs="仿宋"/>
          <w:highlight w:val="none"/>
        </w:rPr>
        <w:t>法定代表人或被授权人：</w:t>
      </w:r>
      <w:r>
        <w:rPr>
          <w:rFonts w:hint="eastAsia" w:ascii="仿宋" w:hAnsi="仿宋" w:eastAsia="仿宋" w:cs="仿宋"/>
          <w:highlight w:val="none"/>
          <w:u w:val="single"/>
        </w:rPr>
        <w:tab/>
      </w:r>
      <w:r>
        <w:rPr>
          <w:rFonts w:hint="eastAsia" w:ascii="仿宋" w:hAnsi="仿宋" w:eastAsia="仿宋" w:cs="仿宋"/>
          <w:w w:val="95"/>
          <w:highlight w:val="none"/>
        </w:rPr>
        <w:t>（签字）</w:t>
      </w:r>
    </w:p>
    <w:p>
      <w:pPr>
        <w:pStyle w:val="8"/>
        <w:tabs>
          <w:tab w:val="left" w:pos="5551"/>
          <w:tab w:val="left" w:pos="6511"/>
          <w:tab w:val="left" w:pos="7111"/>
          <w:tab w:val="left" w:pos="7711"/>
        </w:tabs>
        <w:kinsoku w:val="0"/>
        <w:overflowPunct w:val="0"/>
        <w:spacing w:before="46"/>
        <w:ind w:left="2583" w:firstLine="2248"/>
        <w:rPr>
          <w:rFonts w:hint="eastAsia" w:ascii="仿宋" w:hAnsi="仿宋" w:eastAsia="仿宋" w:cs="仿宋"/>
          <w:highlight w:val="none"/>
        </w:rPr>
      </w:pPr>
      <w:r>
        <w:rPr>
          <w:rFonts w:hint="eastAsia" w:ascii="仿宋" w:hAnsi="仿宋" w:eastAsia="仿宋" w:cs="仿宋"/>
          <w:highlight w:val="none"/>
        </w:rPr>
        <w:t>日</w:t>
      </w:r>
      <w:r>
        <w:rPr>
          <w:rFonts w:hint="eastAsia" w:ascii="仿宋" w:hAnsi="仿宋" w:eastAsia="仿宋" w:cs="仿宋"/>
          <w:highlight w:val="none"/>
        </w:rPr>
        <w:tab/>
      </w:r>
      <w:r>
        <w:rPr>
          <w:rFonts w:hint="eastAsia" w:ascii="仿宋" w:hAnsi="仿宋" w:eastAsia="仿宋" w:cs="仿宋"/>
          <w:highlight w:val="none"/>
        </w:rPr>
        <w:t>期：</w:t>
      </w:r>
      <w:r>
        <w:rPr>
          <w:rFonts w:hint="eastAsia" w:ascii="仿宋" w:hAnsi="仿宋" w:eastAsia="仿宋" w:cs="仿宋"/>
          <w:highlight w:val="none"/>
          <w:u w:val="single"/>
        </w:rPr>
        <w:tab/>
      </w:r>
      <w:r>
        <w:rPr>
          <w:rFonts w:hint="eastAsia" w:ascii="仿宋" w:hAnsi="仿宋" w:eastAsia="仿宋" w:cs="仿宋"/>
          <w:highlight w:val="none"/>
        </w:rPr>
        <w:t>年</w:t>
      </w:r>
      <w:r>
        <w:rPr>
          <w:rFonts w:hint="eastAsia" w:ascii="仿宋" w:hAnsi="仿宋" w:eastAsia="仿宋" w:cs="仿宋"/>
          <w:highlight w:val="none"/>
          <w:u w:val="single"/>
        </w:rPr>
        <w:tab/>
      </w:r>
      <w:r>
        <w:rPr>
          <w:rFonts w:hint="eastAsia" w:ascii="仿宋" w:hAnsi="仿宋" w:eastAsia="仿宋" w:cs="仿宋"/>
          <w:highlight w:val="none"/>
        </w:rPr>
        <w:t>月</w:t>
      </w:r>
      <w:r>
        <w:rPr>
          <w:rFonts w:hint="eastAsia" w:ascii="仿宋" w:hAnsi="仿宋" w:eastAsia="仿宋" w:cs="仿宋"/>
          <w:highlight w:val="none"/>
          <w:u w:val="single"/>
        </w:rPr>
        <w:tab/>
      </w:r>
      <w:r>
        <w:rPr>
          <w:rFonts w:hint="eastAsia" w:ascii="仿宋" w:hAnsi="仿宋" w:eastAsia="仿宋" w:cs="仿宋"/>
          <w:highlight w:val="none"/>
        </w:rPr>
        <w:t>日</w:t>
      </w:r>
    </w:p>
    <w:p>
      <w:pPr>
        <w:pStyle w:val="8"/>
        <w:numPr>
          <w:ilvl w:val="0"/>
          <w:numId w:val="9"/>
        </w:numPr>
        <w:kinsoku w:val="0"/>
        <w:overflowPunct w:val="0"/>
        <w:spacing w:before="34" w:line="600" w:lineRule="auto"/>
        <w:ind w:left="118" w:leftChars="0" w:right="126" w:firstLine="480" w:firstLineChars="0"/>
        <w:jc w:val="center"/>
        <w:rPr>
          <w:rFonts w:hint="eastAsia" w:ascii="仿宋" w:hAnsi="仿宋" w:eastAsia="仿宋" w:cs="仿宋"/>
          <w:b/>
          <w:bCs/>
          <w:sz w:val="36"/>
          <w:szCs w:val="36"/>
          <w:highlight w:val="none"/>
        </w:rPr>
      </w:pPr>
      <w:r>
        <w:rPr>
          <w:rFonts w:hint="eastAsia" w:ascii="仿宋" w:hAnsi="仿宋" w:eastAsia="仿宋" w:cs="仿宋"/>
          <w:highlight w:val="none"/>
        </w:rPr>
        <w:br w:type="page"/>
      </w:r>
      <w:r>
        <w:rPr>
          <w:rFonts w:hint="eastAsia" w:ascii="仿宋" w:hAnsi="仿宋" w:eastAsia="仿宋" w:cs="仿宋"/>
          <w:b/>
          <w:bCs/>
          <w:sz w:val="36"/>
          <w:szCs w:val="36"/>
          <w:highlight w:val="none"/>
          <w:lang w:val="en-US" w:eastAsia="zh-CN"/>
        </w:rPr>
        <w:t>磋商报价明细表</w:t>
      </w:r>
    </w:p>
    <w:tbl>
      <w:tblPr>
        <w:tblStyle w:val="21"/>
        <w:tblW w:w="10519" w:type="dxa"/>
        <w:jc w:val="center"/>
        <w:tblLayout w:type="fixed"/>
        <w:tblCellMar>
          <w:top w:w="0" w:type="dxa"/>
          <w:left w:w="108" w:type="dxa"/>
          <w:bottom w:w="0" w:type="dxa"/>
          <w:right w:w="108" w:type="dxa"/>
        </w:tblCellMar>
      </w:tblPr>
      <w:tblGrid>
        <w:gridCol w:w="778"/>
        <w:gridCol w:w="3209"/>
        <w:gridCol w:w="816"/>
        <w:gridCol w:w="816"/>
        <w:gridCol w:w="1642"/>
        <w:gridCol w:w="1899"/>
        <w:gridCol w:w="1359"/>
      </w:tblGrid>
      <w:tr>
        <w:tblPrEx>
          <w:tblCellMar>
            <w:top w:w="0" w:type="dxa"/>
            <w:left w:w="108" w:type="dxa"/>
            <w:bottom w:w="0" w:type="dxa"/>
            <w:right w:w="108" w:type="dxa"/>
          </w:tblCellMar>
        </w:tblPrEx>
        <w:trPr>
          <w:trHeight w:val="1032" w:hRule="atLeast"/>
          <w:jc w:val="center"/>
        </w:trPr>
        <w:tc>
          <w:tcPr>
            <w:tcW w:w="7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lang w:bidi="ar"/>
              </w:rPr>
              <w:t>序号</w:t>
            </w:r>
          </w:p>
        </w:tc>
        <w:tc>
          <w:tcPr>
            <w:tcW w:w="32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bidi="ar"/>
              </w:rPr>
              <w:t>名称</w:t>
            </w:r>
          </w:p>
        </w:tc>
        <w:tc>
          <w:tcPr>
            <w:tcW w:w="8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4"/>
                <w:lang w:val="en-US" w:eastAsia="zh-CN"/>
              </w:rPr>
            </w:pPr>
            <w:r>
              <w:rPr>
                <w:rFonts w:hint="eastAsia" w:ascii="宋体" w:hAnsi="宋体" w:cs="宋体"/>
                <w:color w:val="000000"/>
                <w:sz w:val="24"/>
                <w:lang w:val="en-US" w:eastAsia="zh-CN"/>
              </w:rPr>
              <w:t>数量</w:t>
            </w:r>
          </w:p>
        </w:tc>
        <w:tc>
          <w:tcPr>
            <w:tcW w:w="8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单位</w:t>
            </w:r>
          </w:p>
        </w:tc>
        <w:tc>
          <w:tcPr>
            <w:tcW w:w="164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color w:val="000000"/>
                <w:sz w:val="24"/>
                <w:lang w:val="en-US" w:eastAsia="zh-CN"/>
              </w:rPr>
            </w:pPr>
            <w:r>
              <w:rPr>
                <w:rFonts w:hint="eastAsia" w:ascii="宋体" w:hAnsi="宋体" w:cs="宋体"/>
                <w:color w:val="000000"/>
                <w:sz w:val="24"/>
                <w:lang w:val="en-US" w:eastAsia="zh-CN"/>
              </w:rPr>
              <w:t>单价（元）</w:t>
            </w:r>
          </w:p>
        </w:tc>
        <w:tc>
          <w:tcPr>
            <w:tcW w:w="18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rPr>
            </w:pPr>
            <w:r>
              <w:rPr>
                <w:rFonts w:hint="eastAsia" w:ascii="宋体" w:hAnsi="宋体" w:cs="宋体"/>
                <w:color w:val="000000"/>
                <w:sz w:val="24"/>
                <w:lang w:val="en-US" w:eastAsia="zh-CN" w:bidi="ar"/>
              </w:rPr>
              <w:t>总报价</w:t>
            </w:r>
            <w:r>
              <w:rPr>
                <w:rFonts w:hint="eastAsia" w:ascii="宋体" w:hAnsi="宋体" w:eastAsia="宋体" w:cs="宋体"/>
                <w:color w:val="000000"/>
                <w:sz w:val="24"/>
                <w:lang w:bidi="ar"/>
              </w:rPr>
              <w:t>（元）</w:t>
            </w:r>
          </w:p>
        </w:tc>
        <w:tc>
          <w:tcPr>
            <w:tcW w:w="13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lang w:bidi="ar"/>
              </w:rPr>
            </w:pPr>
            <w:r>
              <w:rPr>
                <w:rFonts w:hint="eastAsia" w:ascii="宋体" w:hAnsi="宋体" w:eastAsia="宋体" w:cs="宋体"/>
                <w:color w:val="000000"/>
                <w:sz w:val="24"/>
                <w:lang w:bidi="ar"/>
              </w:rPr>
              <w:t>备注</w:t>
            </w:r>
          </w:p>
        </w:tc>
      </w:tr>
      <w:tr>
        <w:tblPrEx>
          <w:tblCellMar>
            <w:top w:w="0" w:type="dxa"/>
            <w:left w:w="108" w:type="dxa"/>
            <w:bottom w:w="0" w:type="dxa"/>
            <w:right w:w="108" w:type="dxa"/>
          </w:tblCellMar>
        </w:tblPrEx>
        <w:trPr>
          <w:trHeight w:val="2147" w:hRule="atLeast"/>
          <w:jc w:val="center"/>
        </w:trPr>
        <w:tc>
          <w:tcPr>
            <w:tcW w:w="7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lang w:val="en-US" w:eastAsia="zh-CN" w:bidi="ar"/>
              </w:rPr>
            </w:pPr>
            <w:r>
              <w:rPr>
                <w:rFonts w:hint="eastAsia" w:ascii="宋体" w:hAnsi="宋体" w:eastAsia="宋体" w:cs="宋体"/>
                <w:color w:val="000000"/>
                <w:sz w:val="24"/>
                <w:lang w:val="en-US" w:eastAsia="zh-CN" w:bidi="ar"/>
              </w:rPr>
              <w:t>1</w:t>
            </w:r>
          </w:p>
        </w:tc>
        <w:tc>
          <w:tcPr>
            <w:tcW w:w="320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hint="eastAsia" w:ascii="宋体" w:hAnsi="宋体" w:eastAsia="宋体" w:cs="宋体"/>
                <w:color w:val="auto"/>
                <w:sz w:val="24"/>
                <w:lang w:bidi="ar"/>
              </w:rPr>
            </w:pPr>
            <w:r>
              <w:rPr>
                <w:rFonts w:hint="eastAsia" w:ascii="宋体" w:hAnsi="宋体" w:eastAsia="宋体" w:cs="宋体"/>
                <w:color w:val="auto"/>
                <w:sz w:val="24"/>
                <w:lang w:val="en-US" w:eastAsia="zh-CN" w:bidi="ar"/>
              </w:rPr>
              <w:t>拜城县域内农村公路上涉河湖桥梁洪水影响评价复核报告编制</w:t>
            </w:r>
          </w:p>
        </w:tc>
        <w:tc>
          <w:tcPr>
            <w:tcW w:w="8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color w:val="auto"/>
                <w:sz w:val="24"/>
                <w:lang w:val="en-US" w:eastAsia="zh-CN" w:bidi="ar"/>
              </w:rPr>
            </w:pPr>
            <w:r>
              <w:rPr>
                <w:rFonts w:hint="eastAsia" w:ascii="宋体" w:hAnsi="宋体" w:cs="宋体"/>
                <w:color w:val="auto"/>
                <w:sz w:val="24"/>
                <w:lang w:val="en-US" w:eastAsia="zh-CN" w:bidi="ar"/>
              </w:rPr>
              <w:t>4</w:t>
            </w:r>
          </w:p>
        </w:tc>
        <w:tc>
          <w:tcPr>
            <w:tcW w:w="8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color w:val="0000FF"/>
                <w:sz w:val="24"/>
                <w:lang w:val="en-US" w:eastAsia="zh-CN" w:bidi="ar"/>
              </w:rPr>
            </w:pPr>
            <w:r>
              <w:rPr>
                <w:rFonts w:hint="eastAsia" w:ascii="宋体" w:hAnsi="宋体" w:cs="宋体"/>
                <w:color w:val="000000"/>
                <w:sz w:val="24"/>
                <w:lang w:val="en-US" w:eastAsia="zh-CN"/>
              </w:rPr>
              <w:t>本</w:t>
            </w:r>
          </w:p>
        </w:tc>
        <w:tc>
          <w:tcPr>
            <w:tcW w:w="164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FF"/>
                <w:sz w:val="24"/>
                <w:lang w:val="en-US" w:eastAsia="zh-CN" w:bidi="ar"/>
              </w:rPr>
            </w:pPr>
          </w:p>
        </w:tc>
        <w:tc>
          <w:tcPr>
            <w:tcW w:w="18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lang w:bidi="ar"/>
              </w:rPr>
            </w:pPr>
          </w:p>
        </w:tc>
        <w:tc>
          <w:tcPr>
            <w:tcW w:w="13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lang w:bidi="ar"/>
              </w:rPr>
            </w:pPr>
          </w:p>
        </w:tc>
      </w:tr>
      <w:tr>
        <w:tblPrEx>
          <w:tblCellMar>
            <w:top w:w="0" w:type="dxa"/>
            <w:left w:w="108" w:type="dxa"/>
            <w:bottom w:w="0" w:type="dxa"/>
            <w:right w:w="108" w:type="dxa"/>
          </w:tblCellMar>
        </w:tblPrEx>
        <w:trPr>
          <w:trHeight w:val="1210" w:hRule="atLeast"/>
          <w:jc w:val="center"/>
        </w:trPr>
        <w:tc>
          <w:tcPr>
            <w:tcW w:w="3987"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4"/>
                <w:lang w:val="en-US" w:eastAsia="zh-CN" w:bidi="ar"/>
              </w:rPr>
            </w:pPr>
            <w:r>
              <w:rPr>
                <w:rFonts w:hint="eastAsia" w:ascii="宋体" w:hAnsi="宋体" w:cs="宋体"/>
                <w:color w:val="000000"/>
                <w:sz w:val="24"/>
                <w:lang w:val="en-US" w:eastAsia="zh-CN" w:bidi="ar"/>
              </w:rPr>
              <w:t>总报价</w:t>
            </w:r>
          </w:p>
        </w:tc>
        <w:tc>
          <w:tcPr>
            <w:tcW w:w="5173" w:type="dxa"/>
            <w:gridSpan w:val="4"/>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color w:val="000000"/>
                <w:sz w:val="24"/>
                <w:lang w:val="en-US" w:eastAsia="zh-CN"/>
              </w:rPr>
            </w:pPr>
            <w:r>
              <w:rPr>
                <w:rFonts w:hint="eastAsia" w:ascii="宋体" w:hAnsi="宋体" w:cs="宋体"/>
                <w:color w:val="000000"/>
                <w:sz w:val="24"/>
                <w:lang w:val="en-US" w:eastAsia="zh-CN"/>
              </w:rPr>
              <w:t>大写：</w:t>
            </w:r>
          </w:p>
        </w:tc>
        <w:tc>
          <w:tcPr>
            <w:tcW w:w="135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rPr>
            </w:pPr>
          </w:p>
        </w:tc>
      </w:tr>
    </w:tbl>
    <w:p>
      <w:pPr>
        <w:spacing w:line="460" w:lineRule="exact"/>
        <w:rPr>
          <w:rFonts w:hint="eastAsia" w:ascii="仿宋" w:hAnsi="仿宋" w:eastAsia="仿宋" w:cs="仿宋"/>
          <w:b w:val="0"/>
          <w:bCs/>
          <w:color w:val="auto"/>
          <w:sz w:val="22"/>
          <w:szCs w:val="22"/>
          <w:highlight w:val="none"/>
        </w:rPr>
      </w:pPr>
      <w:r>
        <w:rPr>
          <w:rFonts w:hint="eastAsia" w:ascii="仿宋" w:hAnsi="仿宋" w:eastAsia="仿宋" w:cs="仿宋"/>
          <w:b w:val="0"/>
          <w:bCs/>
          <w:color w:val="auto"/>
          <w:sz w:val="22"/>
          <w:szCs w:val="22"/>
          <w:highlight w:val="none"/>
        </w:rPr>
        <w:t>说明：</w:t>
      </w:r>
    </w:p>
    <w:p>
      <w:pPr>
        <w:spacing w:line="460" w:lineRule="exact"/>
        <w:rPr>
          <w:rFonts w:hint="eastAsia" w:ascii="仿宋" w:hAnsi="仿宋" w:eastAsia="仿宋" w:cs="仿宋"/>
          <w:b w:val="0"/>
          <w:bCs/>
          <w:color w:val="auto"/>
          <w:sz w:val="22"/>
          <w:szCs w:val="22"/>
          <w:highlight w:val="none"/>
        </w:rPr>
      </w:pPr>
      <w:r>
        <w:rPr>
          <w:rFonts w:hint="eastAsia" w:ascii="仿宋" w:hAnsi="仿宋" w:eastAsia="仿宋" w:cs="仿宋"/>
          <w:b w:val="0"/>
          <w:bCs/>
          <w:color w:val="auto"/>
          <w:sz w:val="22"/>
          <w:szCs w:val="22"/>
          <w:highlight w:val="none"/>
        </w:rPr>
        <w:t>1. “</w:t>
      </w:r>
      <w:r>
        <w:rPr>
          <w:rFonts w:hint="eastAsia" w:ascii="仿宋" w:hAnsi="仿宋" w:eastAsia="仿宋" w:cs="仿宋"/>
          <w:b w:val="0"/>
          <w:bCs/>
          <w:color w:val="auto"/>
          <w:sz w:val="22"/>
          <w:szCs w:val="22"/>
          <w:highlight w:val="none"/>
          <w:lang w:val="en-US" w:eastAsia="zh-CN"/>
        </w:rPr>
        <w:t>总报价</w:t>
      </w:r>
      <w:r>
        <w:rPr>
          <w:rFonts w:hint="eastAsia" w:ascii="仿宋" w:hAnsi="仿宋" w:eastAsia="仿宋" w:cs="仿宋"/>
          <w:b w:val="0"/>
          <w:bCs/>
          <w:color w:val="auto"/>
          <w:sz w:val="22"/>
          <w:szCs w:val="22"/>
          <w:highlight w:val="none"/>
        </w:rPr>
        <w:t>”应与《开标一览表》中“</w:t>
      </w:r>
      <w:r>
        <w:rPr>
          <w:rFonts w:hint="eastAsia" w:ascii="仿宋" w:hAnsi="仿宋" w:eastAsia="仿宋" w:cs="仿宋"/>
          <w:b w:val="0"/>
          <w:bCs/>
          <w:color w:val="auto"/>
          <w:sz w:val="22"/>
          <w:szCs w:val="22"/>
          <w:highlight w:val="none"/>
          <w:lang w:val="en-US" w:eastAsia="zh-CN"/>
        </w:rPr>
        <w:t>总报价</w:t>
      </w:r>
      <w:r>
        <w:rPr>
          <w:rFonts w:hint="eastAsia" w:ascii="仿宋" w:hAnsi="仿宋" w:eastAsia="仿宋" w:cs="仿宋"/>
          <w:b w:val="0"/>
          <w:bCs/>
          <w:color w:val="auto"/>
          <w:sz w:val="22"/>
          <w:szCs w:val="22"/>
          <w:highlight w:val="none"/>
        </w:rPr>
        <w:t>”相一致。</w:t>
      </w:r>
    </w:p>
    <w:p>
      <w:pPr>
        <w:spacing w:line="460" w:lineRule="exact"/>
        <w:rPr>
          <w:rFonts w:hint="eastAsia" w:ascii="仿宋" w:hAnsi="仿宋" w:eastAsia="仿宋" w:cs="仿宋"/>
          <w:b w:val="0"/>
          <w:bCs/>
          <w:color w:val="auto"/>
          <w:sz w:val="22"/>
          <w:szCs w:val="22"/>
          <w:highlight w:val="none"/>
        </w:rPr>
      </w:pPr>
      <w:r>
        <w:rPr>
          <w:rFonts w:hint="eastAsia" w:ascii="仿宋" w:hAnsi="仿宋" w:eastAsia="仿宋" w:cs="仿宋"/>
          <w:b w:val="0"/>
          <w:bCs/>
          <w:color w:val="auto"/>
          <w:sz w:val="22"/>
          <w:szCs w:val="22"/>
          <w:highlight w:val="none"/>
        </w:rPr>
        <w:t>2. 上述各项的</w:t>
      </w:r>
      <w:r>
        <w:rPr>
          <w:rFonts w:hint="eastAsia" w:ascii="仿宋" w:hAnsi="仿宋" w:eastAsia="仿宋" w:cs="仿宋"/>
          <w:b w:val="0"/>
          <w:bCs/>
          <w:color w:val="auto"/>
          <w:sz w:val="22"/>
          <w:szCs w:val="22"/>
          <w:highlight w:val="none"/>
          <w:lang w:eastAsia="zh-CN"/>
        </w:rPr>
        <w:t>明细</w:t>
      </w:r>
      <w:r>
        <w:rPr>
          <w:rFonts w:hint="eastAsia" w:ascii="仿宋" w:hAnsi="仿宋" w:eastAsia="仿宋" w:cs="仿宋"/>
          <w:b w:val="0"/>
          <w:bCs/>
          <w:color w:val="auto"/>
          <w:sz w:val="22"/>
          <w:szCs w:val="22"/>
          <w:highlight w:val="none"/>
        </w:rPr>
        <w:t>报价，可另</w:t>
      </w:r>
      <w:r>
        <w:rPr>
          <w:rFonts w:hint="eastAsia" w:ascii="仿宋" w:hAnsi="仿宋" w:eastAsia="仿宋" w:cs="仿宋"/>
          <w:b w:val="0"/>
          <w:bCs/>
          <w:color w:val="auto"/>
          <w:sz w:val="22"/>
          <w:szCs w:val="22"/>
          <w:highlight w:val="none"/>
          <w:lang w:eastAsia="zh-CN"/>
        </w:rPr>
        <w:t>附</w:t>
      </w:r>
      <w:r>
        <w:rPr>
          <w:rFonts w:hint="eastAsia" w:ascii="仿宋" w:hAnsi="仿宋" w:eastAsia="仿宋" w:cs="仿宋"/>
          <w:b w:val="0"/>
          <w:bCs/>
          <w:color w:val="auto"/>
          <w:sz w:val="22"/>
          <w:szCs w:val="22"/>
          <w:highlight w:val="none"/>
        </w:rPr>
        <w:t>页描述。本表格式可自行拟定。</w:t>
      </w:r>
    </w:p>
    <w:p>
      <w:pPr>
        <w:spacing w:line="460" w:lineRule="exact"/>
        <w:rPr>
          <w:rFonts w:hint="eastAsia" w:ascii="仿宋" w:hAnsi="仿宋" w:eastAsia="仿宋" w:cs="仿宋"/>
          <w:b w:val="0"/>
          <w:bCs/>
          <w:color w:val="auto"/>
          <w:sz w:val="22"/>
          <w:szCs w:val="22"/>
          <w:highlight w:val="none"/>
          <w:u w:val="single"/>
          <w:lang w:val="en-US" w:eastAsia="zh-CN"/>
        </w:rPr>
      </w:pPr>
      <w:r>
        <w:rPr>
          <w:rFonts w:hint="eastAsia" w:ascii="仿宋" w:hAnsi="仿宋" w:eastAsia="仿宋" w:cs="仿宋"/>
          <w:b w:val="0"/>
          <w:bCs/>
          <w:color w:val="auto"/>
          <w:sz w:val="22"/>
          <w:szCs w:val="22"/>
          <w:highlight w:val="none"/>
          <w:u w:val="single"/>
          <w:lang w:val="en-US" w:eastAsia="zh-CN"/>
        </w:rPr>
        <w:t>▲不提供《磋商报价明细表》的响应文件将被视为未实质性招标文件，其投标无效。</w:t>
      </w:r>
    </w:p>
    <w:p>
      <w:pPr>
        <w:pStyle w:val="8"/>
        <w:tabs>
          <w:tab w:val="left" w:pos="8227"/>
        </w:tabs>
        <w:kinsoku w:val="0"/>
        <w:overflowPunct w:val="0"/>
        <w:spacing w:before="0" w:line="381" w:lineRule="auto"/>
        <w:ind w:left="4027" w:right="118"/>
        <w:rPr>
          <w:rFonts w:hint="eastAsia" w:ascii="仿宋" w:hAnsi="仿宋" w:eastAsia="仿宋" w:cs="仿宋"/>
          <w:highlight w:val="none"/>
        </w:rPr>
      </w:pPr>
    </w:p>
    <w:p>
      <w:pPr>
        <w:pStyle w:val="8"/>
        <w:tabs>
          <w:tab w:val="left" w:pos="8227"/>
        </w:tabs>
        <w:kinsoku w:val="0"/>
        <w:overflowPunct w:val="0"/>
        <w:spacing w:before="0" w:line="381" w:lineRule="auto"/>
        <w:ind w:left="4027" w:right="118"/>
        <w:rPr>
          <w:rFonts w:hint="eastAsia" w:ascii="仿宋" w:hAnsi="仿宋" w:eastAsia="仿宋" w:cs="仿宋"/>
          <w:highlight w:val="none"/>
        </w:rPr>
      </w:pPr>
    </w:p>
    <w:p>
      <w:pPr>
        <w:pStyle w:val="8"/>
        <w:tabs>
          <w:tab w:val="left" w:pos="8227"/>
        </w:tabs>
        <w:kinsoku w:val="0"/>
        <w:overflowPunct w:val="0"/>
        <w:spacing w:before="0" w:line="381" w:lineRule="auto"/>
        <w:ind w:left="4027" w:right="118"/>
        <w:rPr>
          <w:rFonts w:hint="eastAsia" w:ascii="仿宋" w:hAnsi="仿宋" w:eastAsia="仿宋" w:cs="仿宋"/>
          <w:highlight w:val="none"/>
        </w:rPr>
      </w:pPr>
      <w:r>
        <w:rPr>
          <w:rFonts w:hint="eastAsia" w:ascii="仿宋" w:hAnsi="仿宋" w:eastAsia="仿宋" w:cs="仿宋"/>
          <w:highlight w:val="none"/>
        </w:rPr>
        <w:t>供应商：</w:t>
      </w:r>
      <w:r>
        <w:rPr>
          <w:rFonts w:hint="eastAsia" w:ascii="仿宋" w:hAnsi="仿宋" w:eastAsia="仿宋" w:cs="仿宋"/>
          <w:highlight w:val="none"/>
          <w:u w:val="single"/>
        </w:rPr>
        <w:tab/>
      </w:r>
      <w:r>
        <w:rPr>
          <w:rFonts w:hint="eastAsia" w:ascii="仿宋" w:hAnsi="仿宋" w:eastAsia="仿宋" w:cs="仿宋"/>
          <w:w w:val="95"/>
          <w:highlight w:val="none"/>
        </w:rPr>
        <w:t>（盖章）</w:t>
      </w:r>
      <w:r>
        <w:rPr>
          <w:rFonts w:hint="eastAsia" w:ascii="仿宋" w:hAnsi="仿宋" w:eastAsia="仿宋" w:cs="仿宋"/>
          <w:highlight w:val="none"/>
        </w:rPr>
        <w:t xml:space="preserve"> </w:t>
      </w:r>
    </w:p>
    <w:p>
      <w:pPr>
        <w:pStyle w:val="8"/>
        <w:tabs>
          <w:tab w:val="left" w:pos="8227"/>
        </w:tabs>
        <w:kinsoku w:val="0"/>
        <w:overflowPunct w:val="0"/>
        <w:spacing w:before="0" w:line="381" w:lineRule="auto"/>
        <w:ind w:left="4027" w:right="118"/>
        <w:rPr>
          <w:rFonts w:hint="eastAsia" w:ascii="仿宋" w:hAnsi="仿宋" w:eastAsia="仿宋" w:cs="仿宋"/>
          <w:w w:val="95"/>
          <w:highlight w:val="none"/>
        </w:rPr>
      </w:pPr>
      <w:r>
        <w:rPr>
          <w:rFonts w:hint="eastAsia" w:ascii="仿宋" w:hAnsi="仿宋" w:eastAsia="仿宋" w:cs="仿宋"/>
          <w:highlight w:val="none"/>
        </w:rPr>
        <w:t>法定代表人或被授权人：</w:t>
      </w:r>
      <w:r>
        <w:rPr>
          <w:rFonts w:hint="eastAsia" w:ascii="仿宋" w:hAnsi="仿宋" w:eastAsia="仿宋" w:cs="仿宋"/>
          <w:highlight w:val="none"/>
          <w:u w:val="single"/>
        </w:rPr>
        <w:tab/>
      </w:r>
      <w:r>
        <w:rPr>
          <w:rFonts w:hint="eastAsia" w:ascii="仿宋" w:hAnsi="仿宋" w:eastAsia="仿宋" w:cs="仿宋"/>
          <w:w w:val="95"/>
          <w:highlight w:val="none"/>
        </w:rPr>
        <w:t>（签字）</w:t>
      </w:r>
    </w:p>
    <w:p>
      <w:pPr>
        <w:pStyle w:val="8"/>
        <w:tabs>
          <w:tab w:val="left" w:pos="5551"/>
          <w:tab w:val="left" w:pos="6511"/>
          <w:tab w:val="left" w:pos="7111"/>
          <w:tab w:val="left" w:pos="7711"/>
        </w:tabs>
        <w:kinsoku w:val="0"/>
        <w:overflowPunct w:val="0"/>
        <w:spacing w:before="46"/>
        <w:ind w:left="2583" w:firstLine="2248"/>
        <w:rPr>
          <w:rFonts w:hint="eastAsia"/>
          <w:lang w:val="en-US" w:eastAsia="zh-CN"/>
        </w:rPr>
      </w:pPr>
      <w:r>
        <w:rPr>
          <w:rFonts w:hint="eastAsia" w:ascii="仿宋" w:hAnsi="仿宋" w:eastAsia="仿宋" w:cs="仿宋"/>
          <w:highlight w:val="none"/>
        </w:rPr>
        <w:t>日</w:t>
      </w:r>
      <w:r>
        <w:rPr>
          <w:rFonts w:hint="eastAsia" w:ascii="仿宋" w:hAnsi="仿宋" w:eastAsia="仿宋" w:cs="仿宋"/>
          <w:highlight w:val="none"/>
        </w:rPr>
        <w:tab/>
      </w:r>
      <w:r>
        <w:rPr>
          <w:rFonts w:hint="eastAsia" w:ascii="仿宋" w:hAnsi="仿宋" w:eastAsia="仿宋" w:cs="仿宋"/>
          <w:highlight w:val="none"/>
        </w:rPr>
        <w:t>期：</w:t>
      </w:r>
      <w:r>
        <w:rPr>
          <w:rFonts w:hint="eastAsia" w:ascii="仿宋" w:hAnsi="仿宋" w:eastAsia="仿宋" w:cs="仿宋"/>
          <w:highlight w:val="none"/>
          <w:u w:val="single"/>
        </w:rPr>
        <w:tab/>
      </w:r>
      <w:r>
        <w:rPr>
          <w:rFonts w:hint="eastAsia" w:ascii="仿宋" w:hAnsi="仿宋" w:eastAsia="仿宋" w:cs="仿宋"/>
          <w:highlight w:val="none"/>
        </w:rPr>
        <w:t>年</w:t>
      </w:r>
      <w:r>
        <w:rPr>
          <w:rFonts w:hint="eastAsia" w:ascii="仿宋" w:hAnsi="仿宋" w:eastAsia="仿宋" w:cs="仿宋"/>
          <w:highlight w:val="none"/>
          <w:u w:val="single"/>
        </w:rPr>
        <w:tab/>
      </w:r>
      <w:r>
        <w:rPr>
          <w:rFonts w:hint="eastAsia" w:ascii="仿宋" w:hAnsi="仿宋" w:eastAsia="仿宋" w:cs="仿宋"/>
          <w:highlight w:val="none"/>
        </w:rPr>
        <w:t>月</w:t>
      </w:r>
      <w:r>
        <w:rPr>
          <w:rFonts w:hint="eastAsia" w:ascii="仿宋" w:hAnsi="仿宋" w:eastAsia="仿宋" w:cs="仿宋"/>
          <w:highlight w:val="none"/>
          <w:u w:val="single"/>
        </w:rPr>
        <w:tab/>
      </w:r>
      <w:r>
        <w:rPr>
          <w:rFonts w:hint="eastAsia" w:ascii="仿宋" w:hAnsi="仿宋" w:eastAsia="仿宋" w:cs="仿宋"/>
          <w:highlight w:val="none"/>
        </w:rPr>
        <w:t>日</w:t>
      </w:r>
    </w:p>
    <w:p>
      <w:pPr>
        <w:rPr>
          <w:rFonts w:hint="eastAsia"/>
        </w:rPr>
      </w:pPr>
    </w:p>
    <w:p>
      <w:pPr>
        <w:pStyle w:val="8"/>
        <w:rPr>
          <w:rFonts w:hint="eastAsia"/>
        </w:rPr>
      </w:pPr>
    </w:p>
    <w:p>
      <w:pPr>
        <w:rPr>
          <w:rFonts w:hint="eastAsia"/>
        </w:rPr>
      </w:pPr>
    </w:p>
    <w:p>
      <w:pPr>
        <w:pStyle w:val="8"/>
        <w:rPr>
          <w:rFonts w:hint="eastAsia"/>
        </w:rPr>
      </w:pPr>
    </w:p>
    <w:p>
      <w:pPr>
        <w:rPr>
          <w:rFonts w:hint="eastAsia"/>
        </w:rPr>
      </w:pPr>
    </w:p>
    <w:p>
      <w:pPr>
        <w:pStyle w:val="8"/>
        <w:rPr>
          <w:rFonts w:hint="eastAsia"/>
        </w:rPr>
      </w:pPr>
    </w:p>
    <w:p>
      <w:pPr>
        <w:rPr>
          <w:rFonts w:hint="eastAsia"/>
          <w:lang w:val="en-US" w:eastAsia="zh-CN"/>
        </w:rPr>
      </w:pPr>
    </w:p>
    <w:p>
      <w:pPr>
        <w:pStyle w:val="27"/>
        <w:ind w:left="0" w:leftChars="0" w:firstLine="0" w:firstLineChars="0"/>
        <w:rPr>
          <w:rFonts w:hint="eastAsia"/>
          <w:lang w:val="en-US" w:eastAsia="zh-CN"/>
        </w:rPr>
      </w:pPr>
    </w:p>
    <w:p>
      <w:pPr>
        <w:pStyle w:val="27"/>
        <w:ind w:left="0" w:leftChars="0" w:firstLine="0" w:firstLineChars="0"/>
        <w:rPr>
          <w:rFonts w:hint="eastAsia"/>
          <w:lang w:val="en-US" w:eastAsia="zh-CN"/>
        </w:rPr>
      </w:pPr>
    </w:p>
    <w:p>
      <w:pPr>
        <w:pStyle w:val="27"/>
        <w:ind w:left="0" w:leftChars="0" w:firstLine="0" w:firstLineChars="0"/>
        <w:rPr>
          <w:rFonts w:hint="eastAsia"/>
          <w:lang w:val="en-US" w:eastAsia="zh-CN"/>
        </w:rPr>
      </w:pPr>
    </w:p>
    <w:p>
      <w:pPr>
        <w:pStyle w:val="27"/>
        <w:ind w:left="0" w:leftChars="0" w:firstLine="0" w:firstLineChars="0"/>
        <w:rPr>
          <w:rFonts w:hint="eastAsia"/>
          <w:lang w:val="en-US" w:eastAsia="zh-CN"/>
        </w:rPr>
      </w:pPr>
    </w:p>
    <w:p>
      <w:pPr>
        <w:pStyle w:val="27"/>
        <w:ind w:left="0" w:leftChars="0" w:firstLine="0" w:firstLineChars="0"/>
        <w:rPr>
          <w:rFonts w:hint="eastAsia"/>
          <w:lang w:val="en-US" w:eastAsia="zh-CN"/>
        </w:rPr>
      </w:pPr>
    </w:p>
    <w:p>
      <w:pPr>
        <w:pStyle w:val="27"/>
        <w:numPr>
          <w:ilvl w:val="0"/>
          <w:numId w:val="9"/>
        </w:numPr>
        <w:ind w:left="118" w:leftChars="0" w:firstLine="480" w:firstLineChars="0"/>
        <w:jc w:val="center"/>
        <w:rPr>
          <w:rFonts w:hint="eastAsia" w:ascii="仿宋" w:hAnsi="仿宋" w:eastAsia="仿宋" w:cs="仿宋"/>
          <w:b/>
          <w:bCs/>
          <w:kern w:val="0"/>
          <w:sz w:val="36"/>
          <w:szCs w:val="36"/>
          <w:highlight w:val="none"/>
          <w:lang w:val="en-US" w:eastAsia="zh-CN" w:bidi="ar-SA"/>
        </w:rPr>
      </w:pPr>
      <w:r>
        <w:rPr>
          <w:rFonts w:hint="eastAsia" w:ascii="仿宋" w:hAnsi="仿宋" w:eastAsia="仿宋" w:cs="仿宋"/>
          <w:b/>
          <w:bCs/>
          <w:kern w:val="0"/>
          <w:sz w:val="36"/>
          <w:szCs w:val="36"/>
          <w:highlight w:val="none"/>
          <w:lang w:val="en-US" w:eastAsia="zh-CN" w:bidi="ar-SA"/>
        </w:rPr>
        <w:t>近三年业绩一览表</w:t>
      </w:r>
    </w:p>
    <w:p>
      <w:pPr>
        <w:pStyle w:val="27"/>
        <w:numPr>
          <w:ilvl w:val="0"/>
          <w:numId w:val="0"/>
        </w:numPr>
        <w:ind w:left="598" w:leftChars="0"/>
        <w:jc w:val="both"/>
        <w:rPr>
          <w:rFonts w:hint="eastAsia" w:ascii="仿宋" w:hAnsi="仿宋" w:eastAsia="仿宋" w:cs="仿宋"/>
          <w:b/>
          <w:bCs/>
          <w:kern w:val="0"/>
          <w:sz w:val="36"/>
          <w:szCs w:val="36"/>
          <w:highlight w:val="none"/>
          <w:lang w:val="en-US" w:eastAsia="zh-CN" w:bidi="ar-SA"/>
        </w:rPr>
      </w:pPr>
    </w:p>
    <w:tbl>
      <w:tblPr>
        <w:tblStyle w:val="21"/>
        <w:tblW w:w="9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108"/>
        <w:gridCol w:w="1446"/>
        <w:gridCol w:w="1446"/>
        <w:gridCol w:w="1396"/>
        <w:gridCol w:w="2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734" w:type="dxa"/>
            <w:noWrap w:val="0"/>
            <w:vAlign w:val="center"/>
          </w:tcPr>
          <w:p>
            <w:pPr>
              <w:jc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序号</w:t>
            </w:r>
          </w:p>
        </w:tc>
        <w:tc>
          <w:tcPr>
            <w:tcW w:w="2108" w:type="dxa"/>
            <w:noWrap w:val="0"/>
            <w:vAlign w:val="center"/>
          </w:tcPr>
          <w:p>
            <w:pPr>
              <w:jc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使用单位全称</w:t>
            </w:r>
          </w:p>
        </w:tc>
        <w:tc>
          <w:tcPr>
            <w:tcW w:w="1446" w:type="dxa"/>
            <w:noWrap w:val="0"/>
            <w:vAlign w:val="center"/>
          </w:tcPr>
          <w:p>
            <w:pPr>
              <w:jc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合同金额</w:t>
            </w:r>
          </w:p>
        </w:tc>
        <w:tc>
          <w:tcPr>
            <w:tcW w:w="1446" w:type="dxa"/>
            <w:noWrap w:val="0"/>
            <w:vAlign w:val="center"/>
          </w:tcPr>
          <w:p>
            <w:pPr>
              <w:jc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完成时间</w:t>
            </w:r>
          </w:p>
        </w:tc>
        <w:tc>
          <w:tcPr>
            <w:tcW w:w="1396" w:type="dxa"/>
            <w:noWrap w:val="0"/>
            <w:vAlign w:val="center"/>
          </w:tcPr>
          <w:p>
            <w:pPr>
              <w:jc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联系人</w:t>
            </w:r>
          </w:p>
        </w:tc>
        <w:tc>
          <w:tcPr>
            <w:tcW w:w="2227" w:type="dxa"/>
            <w:noWrap w:val="0"/>
            <w:vAlign w:val="center"/>
          </w:tcPr>
          <w:p>
            <w:pPr>
              <w:jc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734" w:type="dxa"/>
            <w:noWrap w:val="0"/>
            <w:vAlign w:val="center"/>
          </w:tcPr>
          <w:p>
            <w:pPr>
              <w:jc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1</w:t>
            </w:r>
          </w:p>
        </w:tc>
        <w:tc>
          <w:tcPr>
            <w:tcW w:w="2108" w:type="dxa"/>
            <w:noWrap w:val="0"/>
            <w:vAlign w:val="top"/>
          </w:tcPr>
          <w:p>
            <w:pPr>
              <w:jc w:val="center"/>
              <w:rPr>
                <w:rFonts w:hint="eastAsia" w:ascii="仿宋" w:hAnsi="仿宋" w:eastAsia="仿宋" w:cs="仿宋"/>
                <w:b w:val="0"/>
                <w:bCs w:val="0"/>
                <w:color w:val="000000"/>
                <w:sz w:val="24"/>
                <w:szCs w:val="24"/>
              </w:rPr>
            </w:pPr>
          </w:p>
        </w:tc>
        <w:tc>
          <w:tcPr>
            <w:tcW w:w="1446" w:type="dxa"/>
            <w:noWrap w:val="0"/>
            <w:vAlign w:val="top"/>
          </w:tcPr>
          <w:p>
            <w:pPr>
              <w:jc w:val="center"/>
              <w:rPr>
                <w:rFonts w:hint="eastAsia" w:ascii="仿宋" w:hAnsi="仿宋" w:eastAsia="仿宋" w:cs="仿宋"/>
                <w:b w:val="0"/>
                <w:bCs w:val="0"/>
                <w:color w:val="000000"/>
                <w:sz w:val="24"/>
                <w:szCs w:val="24"/>
              </w:rPr>
            </w:pPr>
          </w:p>
        </w:tc>
        <w:tc>
          <w:tcPr>
            <w:tcW w:w="1446" w:type="dxa"/>
            <w:noWrap w:val="0"/>
            <w:vAlign w:val="top"/>
          </w:tcPr>
          <w:p>
            <w:pPr>
              <w:jc w:val="center"/>
              <w:rPr>
                <w:rFonts w:hint="eastAsia" w:ascii="仿宋" w:hAnsi="仿宋" w:eastAsia="仿宋" w:cs="仿宋"/>
                <w:b w:val="0"/>
                <w:bCs w:val="0"/>
                <w:color w:val="000000"/>
                <w:sz w:val="24"/>
                <w:szCs w:val="24"/>
              </w:rPr>
            </w:pPr>
          </w:p>
        </w:tc>
        <w:tc>
          <w:tcPr>
            <w:tcW w:w="1396" w:type="dxa"/>
            <w:noWrap w:val="0"/>
            <w:vAlign w:val="top"/>
          </w:tcPr>
          <w:p>
            <w:pPr>
              <w:jc w:val="center"/>
              <w:rPr>
                <w:rFonts w:hint="eastAsia" w:ascii="仿宋" w:hAnsi="仿宋" w:eastAsia="仿宋" w:cs="仿宋"/>
                <w:b w:val="0"/>
                <w:bCs w:val="0"/>
                <w:color w:val="000000"/>
                <w:sz w:val="24"/>
                <w:szCs w:val="24"/>
              </w:rPr>
            </w:pPr>
          </w:p>
        </w:tc>
        <w:tc>
          <w:tcPr>
            <w:tcW w:w="2227" w:type="dxa"/>
            <w:noWrap w:val="0"/>
            <w:vAlign w:val="top"/>
          </w:tcPr>
          <w:p>
            <w:pPr>
              <w:jc w:val="center"/>
              <w:rPr>
                <w:rFonts w:hint="eastAsia" w:ascii="仿宋" w:hAnsi="仿宋" w:eastAsia="仿宋" w:cs="仿宋"/>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734" w:type="dxa"/>
            <w:noWrap w:val="0"/>
            <w:vAlign w:val="center"/>
          </w:tcPr>
          <w:p>
            <w:pPr>
              <w:jc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2</w:t>
            </w:r>
          </w:p>
        </w:tc>
        <w:tc>
          <w:tcPr>
            <w:tcW w:w="2108" w:type="dxa"/>
            <w:noWrap w:val="0"/>
            <w:vAlign w:val="top"/>
          </w:tcPr>
          <w:p>
            <w:pPr>
              <w:jc w:val="center"/>
              <w:rPr>
                <w:rFonts w:hint="eastAsia" w:ascii="仿宋" w:hAnsi="仿宋" w:eastAsia="仿宋" w:cs="仿宋"/>
                <w:b w:val="0"/>
                <w:bCs w:val="0"/>
                <w:color w:val="000000"/>
                <w:sz w:val="24"/>
                <w:szCs w:val="24"/>
                <w:u w:val="single"/>
              </w:rPr>
            </w:pPr>
          </w:p>
        </w:tc>
        <w:tc>
          <w:tcPr>
            <w:tcW w:w="1446" w:type="dxa"/>
            <w:noWrap w:val="0"/>
            <w:vAlign w:val="top"/>
          </w:tcPr>
          <w:p>
            <w:pPr>
              <w:jc w:val="center"/>
              <w:rPr>
                <w:rFonts w:hint="eastAsia" w:ascii="仿宋" w:hAnsi="仿宋" w:eastAsia="仿宋" w:cs="仿宋"/>
                <w:b w:val="0"/>
                <w:bCs w:val="0"/>
                <w:color w:val="000000"/>
                <w:sz w:val="24"/>
                <w:szCs w:val="24"/>
                <w:u w:val="single"/>
              </w:rPr>
            </w:pPr>
          </w:p>
        </w:tc>
        <w:tc>
          <w:tcPr>
            <w:tcW w:w="1446" w:type="dxa"/>
            <w:noWrap w:val="0"/>
            <w:vAlign w:val="top"/>
          </w:tcPr>
          <w:p>
            <w:pPr>
              <w:jc w:val="center"/>
              <w:rPr>
                <w:rFonts w:hint="eastAsia" w:ascii="仿宋" w:hAnsi="仿宋" w:eastAsia="仿宋" w:cs="仿宋"/>
                <w:b w:val="0"/>
                <w:bCs w:val="0"/>
                <w:color w:val="000000"/>
                <w:sz w:val="24"/>
                <w:szCs w:val="24"/>
                <w:u w:val="single"/>
              </w:rPr>
            </w:pPr>
          </w:p>
        </w:tc>
        <w:tc>
          <w:tcPr>
            <w:tcW w:w="1396" w:type="dxa"/>
            <w:noWrap w:val="0"/>
            <w:vAlign w:val="top"/>
          </w:tcPr>
          <w:p>
            <w:pPr>
              <w:jc w:val="center"/>
              <w:rPr>
                <w:rFonts w:hint="eastAsia" w:ascii="仿宋" w:hAnsi="仿宋" w:eastAsia="仿宋" w:cs="仿宋"/>
                <w:b w:val="0"/>
                <w:bCs w:val="0"/>
                <w:color w:val="000000"/>
                <w:sz w:val="24"/>
                <w:szCs w:val="24"/>
                <w:u w:val="single"/>
              </w:rPr>
            </w:pPr>
          </w:p>
        </w:tc>
        <w:tc>
          <w:tcPr>
            <w:tcW w:w="2227" w:type="dxa"/>
            <w:noWrap w:val="0"/>
            <w:vAlign w:val="top"/>
          </w:tcPr>
          <w:p>
            <w:pPr>
              <w:jc w:val="center"/>
              <w:rPr>
                <w:rFonts w:hint="eastAsia" w:ascii="仿宋" w:hAnsi="仿宋" w:eastAsia="仿宋" w:cs="仿宋"/>
                <w:b w:val="0"/>
                <w:bCs w:val="0"/>
                <w:color w:val="000000"/>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734" w:type="dxa"/>
            <w:noWrap w:val="0"/>
            <w:vAlign w:val="center"/>
          </w:tcPr>
          <w:p>
            <w:pPr>
              <w:jc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3</w:t>
            </w:r>
          </w:p>
        </w:tc>
        <w:tc>
          <w:tcPr>
            <w:tcW w:w="2108" w:type="dxa"/>
            <w:noWrap w:val="0"/>
            <w:vAlign w:val="top"/>
          </w:tcPr>
          <w:p>
            <w:pPr>
              <w:jc w:val="center"/>
              <w:rPr>
                <w:rFonts w:hint="eastAsia" w:ascii="仿宋" w:hAnsi="仿宋" w:eastAsia="仿宋" w:cs="仿宋"/>
                <w:b w:val="0"/>
                <w:bCs w:val="0"/>
                <w:color w:val="000000"/>
                <w:sz w:val="24"/>
                <w:szCs w:val="24"/>
                <w:u w:val="single"/>
              </w:rPr>
            </w:pPr>
          </w:p>
        </w:tc>
        <w:tc>
          <w:tcPr>
            <w:tcW w:w="1446" w:type="dxa"/>
            <w:noWrap w:val="0"/>
            <w:vAlign w:val="top"/>
          </w:tcPr>
          <w:p>
            <w:pPr>
              <w:jc w:val="center"/>
              <w:rPr>
                <w:rFonts w:hint="eastAsia" w:ascii="仿宋" w:hAnsi="仿宋" w:eastAsia="仿宋" w:cs="仿宋"/>
                <w:b w:val="0"/>
                <w:bCs w:val="0"/>
                <w:color w:val="000000"/>
                <w:sz w:val="24"/>
                <w:szCs w:val="24"/>
                <w:u w:val="single"/>
              </w:rPr>
            </w:pPr>
          </w:p>
        </w:tc>
        <w:tc>
          <w:tcPr>
            <w:tcW w:w="1446" w:type="dxa"/>
            <w:noWrap w:val="0"/>
            <w:vAlign w:val="top"/>
          </w:tcPr>
          <w:p>
            <w:pPr>
              <w:jc w:val="center"/>
              <w:rPr>
                <w:rFonts w:hint="eastAsia" w:ascii="仿宋" w:hAnsi="仿宋" w:eastAsia="仿宋" w:cs="仿宋"/>
                <w:b w:val="0"/>
                <w:bCs w:val="0"/>
                <w:color w:val="000000"/>
                <w:sz w:val="24"/>
                <w:szCs w:val="24"/>
                <w:u w:val="single"/>
              </w:rPr>
            </w:pPr>
          </w:p>
        </w:tc>
        <w:tc>
          <w:tcPr>
            <w:tcW w:w="1396" w:type="dxa"/>
            <w:noWrap w:val="0"/>
            <w:vAlign w:val="top"/>
          </w:tcPr>
          <w:p>
            <w:pPr>
              <w:jc w:val="center"/>
              <w:rPr>
                <w:rFonts w:hint="eastAsia" w:ascii="仿宋" w:hAnsi="仿宋" w:eastAsia="仿宋" w:cs="仿宋"/>
                <w:b w:val="0"/>
                <w:bCs w:val="0"/>
                <w:color w:val="000000"/>
                <w:sz w:val="24"/>
                <w:szCs w:val="24"/>
                <w:u w:val="single"/>
              </w:rPr>
            </w:pPr>
          </w:p>
        </w:tc>
        <w:tc>
          <w:tcPr>
            <w:tcW w:w="2227" w:type="dxa"/>
            <w:noWrap w:val="0"/>
            <w:vAlign w:val="top"/>
          </w:tcPr>
          <w:p>
            <w:pPr>
              <w:jc w:val="center"/>
              <w:rPr>
                <w:rFonts w:hint="eastAsia" w:ascii="仿宋" w:hAnsi="仿宋" w:eastAsia="仿宋" w:cs="仿宋"/>
                <w:b w:val="0"/>
                <w:bCs w:val="0"/>
                <w:color w:val="000000"/>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734" w:type="dxa"/>
            <w:noWrap w:val="0"/>
            <w:vAlign w:val="center"/>
          </w:tcPr>
          <w:p>
            <w:pPr>
              <w:jc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4</w:t>
            </w:r>
          </w:p>
        </w:tc>
        <w:tc>
          <w:tcPr>
            <w:tcW w:w="2108" w:type="dxa"/>
            <w:noWrap w:val="0"/>
            <w:vAlign w:val="top"/>
          </w:tcPr>
          <w:p>
            <w:pPr>
              <w:jc w:val="center"/>
              <w:rPr>
                <w:rFonts w:hint="eastAsia" w:ascii="仿宋" w:hAnsi="仿宋" w:eastAsia="仿宋" w:cs="仿宋"/>
                <w:b w:val="0"/>
                <w:bCs w:val="0"/>
                <w:color w:val="000000"/>
                <w:sz w:val="24"/>
                <w:szCs w:val="24"/>
                <w:u w:val="single"/>
              </w:rPr>
            </w:pPr>
          </w:p>
        </w:tc>
        <w:tc>
          <w:tcPr>
            <w:tcW w:w="1446" w:type="dxa"/>
            <w:noWrap w:val="0"/>
            <w:vAlign w:val="top"/>
          </w:tcPr>
          <w:p>
            <w:pPr>
              <w:jc w:val="center"/>
              <w:rPr>
                <w:rFonts w:hint="eastAsia" w:ascii="仿宋" w:hAnsi="仿宋" w:eastAsia="仿宋" w:cs="仿宋"/>
                <w:b w:val="0"/>
                <w:bCs w:val="0"/>
                <w:color w:val="000000"/>
                <w:sz w:val="24"/>
                <w:szCs w:val="24"/>
                <w:u w:val="single"/>
              </w:rPr>
            </w:pPr>
          </w:p>
        </w:tc>
        <w:tc>
          <w:tcPr>
            <w:tcW w:w="1446" w:type="dxa"/>
            <w:noWrap w:val="0"/>
            <w:vAlign w:val="top"/>
          </w:tcPr>
          <w:p>
            <w:pPr>
              <w:jc w:val="center"/>
              <w:rPr>
                <w:rFonts w:hint="eastAsia" w:ascii="仿宋" w:hAnsi="仿宋" w:eastAsia="仿宋" w:cs="仿宋"/>
                <w:b w:val="0"/>
                <w:bCs w:val="0"/>
                <w:color w:val="000000"/>
                <w:sz w:val="24"/>
                <w:szCs w:val="24"/>
                <w:u w:val="single"/>
              </w:rPr>
            </w:pPr>
          </w:p>
        </w:tc>
        <w:tc>
          <w:tcPr>
            <w:tcW w:w="1396" w:type="dxa"/>
            <w:noWrap w:val="0"/>
            <w:vAlign w:val="top"/>
          </w:tcPr>
          <w:p>
            <w:pPr>
              <w:jc w:val="center"/>
              <w:rPr>
                <w:rFonts w:hint="eastAsia" w:ascii="仿宋" w:hAnsi="仿宋" w:eastAsia="仿宋" w:cs="仿宋"/>
                <w:b w:val="0"/>
                <w:bCs w:val="0"/>
                <w:color w:val="000000"/>
                <w:sz w:val="24"/>
                <w:szCs w:val="24"/>
                <w:u w:val="single"/>
              </w:rPr>
            </w:pPr>
          </w:p>
        </w:tc>
        <w:tc>
          <w:tcPr>
            <w:tcW w:w="2227" w:type="dxa"/>
            <w:noWrap w:val="0"/>
            <w:vAlign w:val="top"/>
          </w:tcPr>
          <w:p>
            <w:pPr>
              <w:jc w:val="center"/>
              <w:rPr>
                <w:rFonts w:hint="eastAsia" w:ascii="仿宋" w:hAnsi="仿宋" w:eastAsia="仿宋" w:cs="仿宋"/>
                <w:b w:val="0"/>
                <w:bCs w:val="0"/>
                <w:color w:val="000000"/>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734" w:type="dxa"/>
            <w:noWrap w:val="0"/>
            <w:vAlign w:val="center"/>
          </w:tcPr>
          <w:p>
            <w:pPr>
              <w:jc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5</w:t>
            </w:r>
          </w:p>
        </w:tc>
        <w:tc>
          <w:tcPr>
            <w:tcW w:w="2108" w:type="dxa"/>
            <w:noWrap w:val="0"/>
            <w:vAlign w:val="top"/>
          </w:tcPr>
          <w:p>
            <w:pPr>
              <w:jc w:val="center"/>
              <w:rPr>
                <w:rFonts w:hint="eastAsia" w:ascii="仿宋" w:hAnsi="仿宋" w:eastAsia="仿宋" w:cs="仿宋"/>
                <w:b w:val="0"/>
                <w:bCs w:val="0"/>
                <w:color w:val="000000"/>
                <w:sz w:val="24"/>
                <w:szCs w:val="24"/>
                <w:u w:val="single"/>
              </w:rPr>
            </w:pPr>
          </w:p>
        </w:tc>
        <w:tc>
          <w:tcPr>
            <w:tcW w:w="1446" w:type="dxa"/>
            <w:noWrap w:val="0"/>
            <w:vAlign w:val="top"/>
          </w:tcPr>
          <w:p>
            <w:pPr>
              <w:jc w:val="center"/>
              <w:rPr>
                <w:rFonts w:hint="eastAsia" w:ascii="仿宋" w:hAnsi="仿宋" w:eastAsia="仿宋" w:cs="仿宋"/>
                <w:b w:val="0"/>
                <w:bCs w:val="0"/>
                <w:color w:val="000000"/>
                <w:sz w:val="24"/>
                <w:szCs w:val="24"/>
                <w:u w:val="single"/>
              </w:rPr>
            </w:pPr>
          </w:p>
        </w:tc>
        <w:tc>
          <w:tcPr>
            <w:tcW w:w="1446" w:type="dxa"/>
            <w:noWrap w:val="0"/>
            <w:vAlign w:val="top"/>
          </w:tcPr>
          <w:p>
            <w:pPr>
              <w:jc w:val="center"/>
              <w:rPr>
                <w:rFonts w:hint="eastAsia" w:ascii="仿宋" w:hAnsi="仿宋" w:eastAsia="仿宋" w:cs="仿宋"/>
                <w:b w:val="0"/>
                <w:bCs w:val="0"/>
                <w:color w:val="000000"/>
                <w:sz w:val="24"/>
                <w:szCs w:val="24"/>
                <w:u w:val="single"/>
              </w:rPr>
            </w:pPr>
          </w:p>
        </w:tc>
        <w:tc>
          <w:tcPr>
            <w:tcW w:w="1396" w:type="dxa"/>
            <w:noWrap w:val="0"/>
            <w:vAlign w:val="top"/>
          </w:tcPr>
          <w:p>
            <w:pPr>
              <w:jc w:val="center"/>
              <w:rPr>
                <w:rFonts w:hint="eastAsia" w:ascii="仿宋" w:hAnsi="仿宋" w:eastAsia="仿宋" w:cs="仿宋"/>
                <w:b w:val="0"/>
                <w:bCs w:val="0"/>
                <w:color w:val="000000"/>
                <w:sz w:val="24"/>
                <w:szCs w:val="24"/>
                <w:u w:val="single"/>
              </w:rPr>
            </w:pPr>
          </w:p>
        </w:tc>
        <w:tc>
          <w:tcPr>
            <w:tcW w:w="2227" w:type="dxa"/>
            <w:noWrap w:val="0"/>
            <w:vAlign w:val="top"/>
          </w:tcPr>
          <w:p>
            <w:pPr>
              <w:jc w:val="center"/>
              <w:rPr>
                <w:rFonts w:hint="eastAsia" w:ascii="仿宋" w:hAnsi="仿宋" w:eastAsia="仿宋" w:cs="仿宋"/>
                <w:b w:val="0"/>
                <w:bCs w:val="0"/>
                <w:color w:val="000000"/>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734" w:type="dxa"/>
            <w:noWrap w:val="0"/>
            <w:vAlign w:val="center"/>
          </w:tcPr>
          <w:p>
            <w:pPr>
              <w:jc w:val="center"/>
              <w:rPr>
                <w:rFonts w:hint="eastAsia" w:ascii="仿宋" w:hAnsi="仿宋" w:eastAsia="仿宋" w:cs="仿宋"/>
                <w:b w:val="0"/>
                <w:bCs w:val="0"/>
                <w:color w:val="000000"/>
                <w:sz w:val="24"/>
                <w:szCs w:val="24"/>
                <w:u w:val="single"/>
              </w:rPr>
            </w:pPr>
            <w:r>
              <w:rPr>
                <w:rFonts w:hint="eastAsia" w:ascii="仿宋" w:hAnsi="仿宋" w:eastAsia="仿宋" w:cs="仿宋"/>
                <w:b w:val="0"/>
                <w:bCs w:val="0"/>
                <w:color w:val="000000"/>
                <w:sz w:val="24"/>
                <w:szCs w:val="24"/>
              </w:rPr>
              <w:t>…</w:t>
            </w:r>
          </w:p>
        </w:tc>
        <w:tc>
          <w:tcPr>
            <w:tcW w:w="2108" w:type="dxa"/>
            <w:noWrap w:val="0"/>
            <w:vAlign w:val="top"/>
          </w:tcPr>
          <w:p>
            <w:pPr>
              <w:jc w:val="center"/>
              <w:rPr>
                <w:rFonts w:hint="eastAsia" w:ascii="仿宋" w:hAnsi="仿宋" w:eastAsia="仿宋" w:cs="仿宋"/>
                <w:b w:val="0"/>
                <w:bCs w:val="0"/>
                <w:color w:val="000000"/>
                <w:sz w:val="24"/>
                <w:szCs w:val="24"/>
                <w:u w:val="single"/>
              </w:rPr>
            </w:pPr>
          </w:p>
        </w:tc>
        <w:tc>
          <w:tcPr>
            <w:tcW w:w="1446" w:type="dxa"/>
            <w:noWrap w:val="0"/>
            <w:vAlign w:val="top"/>
          </w:tcPr>
          <w:p>
            <w:pPr>
              <w:jc w:val="center"/>
              <w:rPr>
                <w:rFonts w:hint="eastAsia" w:ascii="仿宋" w:hAnsi="仿宋" w:eastAsia="仿宋" w:cs="仿宋"/>
                <w:b w:val="0"/>
                <w:bCs w:val="0"/>
                <w:color w:val="000000"/>
                <w:sz w:val="24"/>
                <w:szCs w:val="24"/>
                <w:u w:val="single"/>
              </w:rPr>
            </w:pPr>
          </w:p>
        </w:tc>
        <w:tc>
          <w:tcPr>
            <w:tcW w:w="1446" w:type="dxa"/>
            <w:noWrap w:val="0"/>
            <w:vAlign w:val="top"/>
          </w:tcPr>
          <w:p>
            <w:pPr>
              <w:jc w:val="center"/>
              <w:rPr>
                <w:rFonts w:hint="eastAsia" w:ascii="仿宋" w:hAnsi="仿宋" w:eastAsia="仿宋" w:cs="仿宋"/>
                <w:b w:val="0"/>
                <w:bCs w:val="0"/>
                <w:color w:val="000000"/>
                <w:sz w:val="24"/>
                <w:szCs w:val="24"/>
                <w:u w:val="single"/>
              </w:rPr>
            </w:pPr>
          </w:p>
        </w:tc>
        <w:tc>
          <w:tcPr>
            <w:tcW w:w="1396" w:type="dxa"/>
            <w:noWrap w:val="0"/>
            <w:vAlign w:val="top"/>
          </w:tcPr>
          <w:p>
            <w:pPr>
              <w:jc w:val="center"/>
              <w:rPr>
                <w:rFonts w:hint="eastAsia" w:ascii="仿宋" w:hAnsi="仿宋" w:eastAsia="仿宋" w:cs="仿宋"/>
                <w:b w:val="0"/>
                <w:bCs w:val="0"/>
                <w:color w:val="000000"/>
                <w:sz w:val="24"/>
                <w:szCs w:val="24"/>
                <w:u w:val="single"/>
              </w:rPr>
            </w:pPr>
          </w:p>
        </w:tc>
        <w:tc>
          <w:tcPr>
            <w:tcW w:w="2227" w:type="dxa"/>
            <w:noWrap w:val="0"/>
            <w:vAlign w:val="top"/>
          </w:tcPr>
          <w:p>
            <w:pPr>
              <w:jc w:val="center"/>
              <w:rPr>
                <w:rFonts w:hint="eastAsia" w:ascii="仿宋" w:hAnsi="仿宋" w:eastAsia="仿宋" w:cs="仿宋"/>
                <w:b w:val="0"/>
                <w:bCs w:val="0"/>
                <w:color w:val="000000"/>
                <w:sz w:val="24"/>
                <w:szCs w:val="24"/>
                <w:u w:val="single"/>
              </w:rPr>
            </w:pPr>
          </w:p>
        </w:tc>
      </w:tr>
    </w:tbl>
    <w:p>
      <w:pPr>
        <w:spacing w:line="360" w:lineRule="auto"/>
        <w:ind w:left="1084" w:hanging="1080" w:hangingChars="450"/>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备注：1、投标人应填写与招标项目相</w:t>
      </w:r>
      <w:r>
        <w:rPr>
          <w:rFonts w:hint="eastAsia" w:ascii="仿宋" w:hAnsi="仿宋" w:eastAsia="仿宋" w:cs="仿宋"/>
          <w:b w:val="0"/>
          <w:bCs w:val="0"/>
          <w:color w:val="000000"/>
          <w:sz w:val="24"/>
          <w:szCs w:val="24"/>
          <w:lang w:val="en-US" w:eastAsia="zh-CN"/>
        </w:rPr>
        <w:t>似</w:t>
      </w:r>
      <w:r>
        <w:rPr>
          <w:rFonts w:hint="eastAsia" w:ascii="仿宋" w:hAnsi="仿宋" w:eastAsia="仿宋" w:cs="仿宋"/>
          <w:b w:val="0"/>
          <w:bCs w:val="0"/>
          <w:color w:val="000000"/>
          <w:sz w:val="24"/>
          <w:szCs w:val="24"/>
        </w:rPr>
        <w:t>的业绩。所有业绩应提供《合同》、业主证明或中标通知书</w:t>
      </w:r>
      <w:r>
        <w:rPr>
          <w:rFonts w:hint="eastAsia" w:ascii="仿宋" w:hAnsi="仿宋" w:eastAsia="仿宋" w:cs="仿宋"/>
          <w:b w:val="0"/>
          <w:bCs w:val="0"/>
          <w:color w:val="000000"/>
          <w:sz w:val="24"/>
          <w:szCs w:val="24"/>
          <w:lang w:val="en-US" w:eastAsia="zh-CN"/>
        </w:rPr>
        <w:t>及验收报告</w:t>
      </w:r>
      <w:r>
        <w:rPr>
          <w:rFonts w:hint="eastAsia" w:ascii="仿宋" w:hAnsi="仿宋" w:eastAsia="仿宋" w:cs="仿宋"/>
          <w:b w:val="0"/>
          <w:bCs w:val="0"/>
          <w:color w:val="000000"/>
          <w:sz w:val="24"/>
          <w:szCs w:val="24"/>
        </w:rPr>
        <w:t>复印件并附在此业绩表之后。</w:t>
      </w:r>
    </w:p>
    <w:p>
      <w:pPr>
        <w:spacing w:line="360" w:lineRule="auto"/>
        <w:ind w:firstLine="720" w:firstLineChars="300"/>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2、业绩不实而造成的废标，由投标人自行承担</w:t>
      </w:r>
      <w:r>
        <w:rPr>
          <w:rFonts w:hint="eastAsia" w:ascii="仿宋" w:hAnsi="仿宋" w:eastAsia="仿宋" w:cs="仿宋"/>
          <w:b w:val="0"/>
          <w:bCs w:val="0"/>
          <w:color w:val="000000"/>
          <w:sz w:val="24"/>
          <w:szCs w:val="24"/>
          <w:lang w:eastAsia="zh-CN"/>
        </w:rPr>
        <w:t>。</w:t>
      </w:r>
    </w:p>
    <w:p>
      <w:pPr>
        <w:spacing w:line="360" w:lineRule="auto"/>
        <w:ind w:firstLine="720" w:firstLineChars="300"/>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3、此表如填写不下，可另附页。</w:t>
      </w:r>
    </w:p>
    <w:p>
      <w:pPr>
        <w:spacing w:before="100" w:beforeAutospacing="1" w:after="100" w:afterAutospacing="1" w:line="200" w:lineRule="exact"/>
        <w:ind w:firstLine="3600" w:firstLineChars="1500"/>
        <w:rPr>
          <w:rFonts w:hint="eastAsia" w:ascii="仿宋" w:hAnsi="仿宋" w:eastAsia="仿宋" w:cs="仿宋"/>
          <w:b w:val="0"/>
          <w:bCs w:val="0"/>
          <w:color w:val="000000"/>
          <w:sz w:val="24"/>
          <w:szCs w:val="24"/>
        </w:rPr>
      </w:pPr>
    </w:p>
    <w:p>
      <w:pPr>
        <w:spacing w:before="100" w:beforeAutospacing="1" w:after="100" w:afterAutospacing="1" w:line="400" w:lineRule="exact"/>
        <w:ind w:firstLine="3600" w:firstLineChars="1500"/>
        <w:rPr>
          <w:rFonts w:hint="eastAsia" w:ascii="仿宋" w:hAnsi="仿宋" w:eastAsia="仿宋" w:cs="仿宋"/>
          <w:b w:val="0"/>
          <w:bCs w:val="0"/>
          <w:color w:val="000000"/>
          <w:sz w:val="24"/>
          <w:szCs w:val="24"/>
          <w:u w:val="single"/>
        </w:rPr>
      </w:pPr>
      <w:r>
        <w:rPr>
          <w:rFonts w:hint="eastAsia" w:ascii="仿宋" w:hAnsi="仿宋" w:eastAsia="仿宋" w:cs="仿宋"/>
          <w:b w:val="0"/>
          <w:bCs w:val="0"/>
          <w:color w:val="000000"/>
          <w:sz w:val="24"/>
          <w:szCs w:val="24"/>
        </w:rPr>
        <w:t>法定代表人：</w:t>
      </w:r>
      <w:r>
        <w:rPr>
          <w:rFonts w:hint="eastAsia" w:ascii="仿宋" w:hAnsi="仿宋" w:eastAsia="仿宋" w:cs="仿宋"/>
          <w:b w:val="0"/>
          <w:bCs w:val="0"/>
          <w:color w:val="000000"/>
          <w:sz w:val="24"/>
          <w:szCs w:val="24"/>
          <w:u w:val="single"/>
        </w:rPr>
        <w:t xml:space="preserve"> （签字） </w:t>
      </w:r>
    </w:p>
    <w:p>
      <w:pPr>
        <w:spacing w:before="100" w:beforeAutospacing="1" w:after="100" w:afterAutospacing="1" w:line="400" w:lineRule="exact"/>
        <w:ind w:firstLine="4055" w:firstLineChars="1690"/>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或</w:t>
      </w:r>
    </w:p>
    <w:p>
      <w:pPr>
        <w:spacing w:before="100" w:beforeAutospacing="1" w:after="100" w:afterAutospacing="1" w:line="300" w:lineRule="exact"/>
        <w:ind w:firstLine="3600" w:firstLineChars="1500"/>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全权代理人：</w:t>
      </w:r>
      <w:r>
        <w:rPr>
          <w:rFonts w:hint="eastAsia" w:ascii="仿宋" w:hAnsi="仿宋" w:eastAsia="仿宋" w:cs="仿宋"/>
          <w:b w:val="0"/>
          <w:bCs w:val="0"/>
          <w:color w:val="000000"/>
          <w:sz w:val="24"/>
          <w:szCs w:val="24"/>
          <w:u w:val="single"/>
        </w:rPr>
        <w:t xml:space="preserve"> （签字） </w:t>
      </w:r>
    </w:p>
    <w:p>
      <w:pPr>
        <w:spacing w:before="100" w:beforeAutospacing="1" w:after="100" w:afterAutospacing="1" w:line="300" w:lineRule="exact"/>
        <w:ind w:firstLine="3720" w:firstLineChars="1550"/>
        <w:rPr>
          <w:rFonts w:hint="eastAsia" w:ascii="仿宋" w:hAnsi="仿宋" w:eastAsia="仿宋" w:cs="仿宋"/>
          <w:b/>
          <w:sz w:val="24"/>
          <w:szCs w:val="24"/>
        </w:rPr>
      </w:pPr>
      <w:r>
        <w:rPr>
          <w:rFonts w:hint="eastAsia" w:ascii="仿宋" w:hAnsi="仿宋" w:eastAsia="仿宋" w:cs="仿宋"/>
          <w:b w:val="0"/>
          <w:bCs w:val="0"/>
          <w:sz w:val="24"/>
          <w:szCs w:val="24"/>
        </w:rPr>
        <w:t>签署日期：   年    月     日</w:t>
      </w:r>
    </w:p>
    <w:p>
      <w:pPr>
        <w:pStyle w:val="20"/>
        <w:rPr>
          <w:rFonts w:hint="eastAsia" w:ascii="仿宋" w:hAnsi="仿宋" w:eastAsia="仿宋" w:cs="仿宋"/>
          <w:b/>
          <w:sz w:val="24"/>
          <w:szCs w:val="24"/>
        </w:rPr>
      </w:pPr>
    </w:p>
    <w:p>
      <w:pPr>
        <w:pStyle w:val="20"/>
        <w:rPr>
          <w:rFonts w:hint="eastAsia" w:ascii="仿宋" w:hAnsi="仿宋" w:eastAsia="仿宋" w:cs="仿宋"/>
          <w:b/>
          <w:sz w:val="24"/>
          <w:szCs w:val="24"/>
        </w:rPr>
      </w:pPr>
    </w:p>
    <w:p>
      <w:pPr>
        <w:numPr>
          <w:ilvl w:val="0"/>
          <w:numId w:val="0"/>
        </w:numPr>
        <w:jc w:val="center"/>
        <w:rPr>
          <w:rFonts w:hint="eastAsia" w:ascii="宋体" w:hAnsi="宋体" w:eastAsia="宋体" w:cs="Times New Roman"/>
          <w:b/>
          <w:color w:val="auto"/>
          <w:sz w:val="28"/>
          <w:highlight w:val="none"/>
          <w:lang w:val="en-US" w:eastAsia="zh-CN"/>
        </w:rPr>
      </w:pPr>
      <w:r>
        <w:rPr>
          <w:rFonts w:hint="eastAsia" w:ascii="仿宋" w:hAnsi="仿宋" w:eastAsia="仿宋" w:cs="仿宋"/>
          <w:b/>
          <w:bCs/>
          <w:color w:val="auto"/>
          <w:sz w:val="36"/>
          <w:szCs w:val="36"/>
          <w:highlight w:val="none"/>
          <w:lang w:val="en-US" w:eastAsia="zh-CN"/>
        </w:rPr>
        <w:t>四、拟投入本项目人员一览表</w:t>
      </w:r>
    </w:p>
    <w:p>
      <w:pPr>
        <w:rPr>
          <w:rFonts w:hint="eastAsia" w:ascii="仿宋" w:hAnsi="仿宋" w:eastAsia="仿宋" w:cs="仿宋"/>
          <w:color w:val="auto"/>
          <w:szCs w:val="21"/>
        </w:rPr>
      </w:pPr>
      <w:r>
        <w:rPr>
          <w:rFonts w:hint="eastAsia" w:ascii="仿宋" w:hAnsi="仿宋" w:eastAsia="仿宋" w:cs="仿宋"/>
          <w:color w:val="auto"/>
          <w:szCs w:val="21"/>
        </w:rPr>
        <w:t xml:space="preserve">投标人名称: </w:t>
      </w:r>
    </w:p>
    <w:tbl>
      <w:tblPr>
        <w:tblStyle w:val="21"/>
        <w:tblW w:w="92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5"/>
        <w:gridCol w:w="1386"/>
        <w:gridCol w:w="1275"/>
        <w:gridCol w:w="992"/>
        <w:gridCol w:w="603"/>
        <w:gridCol w:w="488"/>
        <w:gridCol w:w="1134"/>
        <w:gridCol w:w="709"/>
        <w:gridCol w:w="871"/>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705" w:type="dxa"/>
            <w:vMerge w:val="restart"/>
            <w:tcBorders>
              <w:top w:val="single" w:color="000000" w:sz="4" w:space="0"/>
              <w:left w:val="single" w:color="000000" w:sz="4" w:space="0"/>
              <w:bottom w:val="single" w:color="000000" w:sz="4" w:space="0"/>
              <w:right w:val="single" w:color="000000" w:sz="4" w:space="0"/>
            </w:tcBorders>
            <w:vAlign w:val="center"/>
          </w:tcPr>
          <w:p>
            <w:pPr>
              <w:pStyle w:val="39"/>
              <w:snapToGrid w:val="0"/>
              <w:spacing w:line="440" w:lineRule="exact"/>
              <w:jc w:val="center"/>
              <w:rPr>
                <w:rStyle w:val="29"/>
                <w:rFonts w:ascii="Times New Roman" w:hAnsi="Times New Roman"/>
              </w:rPr>
            </w:pPr>
            <w:r>
              <w:rPr>
                <w:rStyle w:val="29"/>
                <w:rFonts w:ascii="Times New Roman" w:hAnsi="Times New Roman"/>
              </w:rPr>
              <w:t>序号</w:t>
            </w:r>
          </w:p>
        </w:tc>
        <w:tc>
          <w:tcPr>
            <w:tcW w:w="1386" w:type="dxa"/>
            <w:vMerge w:val="restart"/>
            <w:tcBorders>
              <w:top w:val="single" w:color="000000" w:sz="4" w:space="0"/>
              <w:left w:val="single" w:color="000000" w:sz="4" w:space="0"/>
              <w:right w:val="single" w:color="000000" w:sz="4" w:space="0"/>
            </w:tcBorders>
            <w:vAlign w:val="center"/>
          </w:tcPr>
          <w:p>
            <w:pPr>
              <w:pStyle w:val="39"/>
              <w:snapToGrid w:val="0"/>
              <w:spacing w:line="440" w:lineRule="exact"/>
              <w:jc w:val="center"/>
              <w:rPr>
                <w:rStyle w:val="29"/>
                <w:rFonts w:ascii="Times New Roman" w:hAnsi="Times New Roman"/>
              </w:rPr>
            </w:pPr>
            <w:r>
              <w:rPr>
                <w:rFonts w:hint="eastAsia" w:ascii="宋体" w:hAnsi="宋体"/>
                <w:color w:val="000000" w:themeColor="text1"/>
                <w:szCs w:val="21"/>
                <w14:textFill>
                  <w14:solidFill>
                    <w14:schemeClr w14:val="tx1"/>
                  </w14:solidFill>
                </w14:textFill>
              </w:rPr>
              <w:t>项目</w:t>
            </w:r>
            <w:r>
              <w:rPr>
                <w:rFonts w:hint="eastAsia" w:ascii="宋体" w:hAnsi="宋体"/>
                <w:color w:val="000000" w:themeColor="text1"/>
                <w:szCs w:val="21"/>
                <w:lang w:val="en-US" w:eastAsia="zh-CN"/>
                <w14:textFill>
                  <w14:solidFill>
                    <w14:schemeClr w14:val="tx1"/>
                  </w14:solidFill>
                </w14:textFill>
              </w:rPr>
              <w:t>人员</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pStyle w:val="39"/>
              <w:snapToGrid w:val="0"/>
              <w:spacing w:line="440" w:lineRule="exact"/>
              <w:jc w:val="center"/>
              <w:rPr>
                <w:rStyle w:val="29"/>
                <w:rFonts w:ascii="Times New Roman" w:hAnsi="Times New Roman"/>
              </w:rPr>
            </w:pPr>
            <w:r>
              <w:rPr>
                <w:rStyle w:val="29"/>
                <w:rFonts w:ascii="Times New Roman" w:hAnsi="Times New Roman"/>
              </w:rPr>
              <w:t>本项目任职</w:t>
            </w:r>
          </w:p>
        </w:tc>
        <w:tc>
          <w:tcPr>
            <w:tcW w:w="992" w:type="dxa"/>
            <w:vMerge w:val="restart"/>
            <w:tcBorders>
              <w:top w:val="single" w:color="000000" w:sz="4" w:space="0"/>
              <w:left w:val="single" w:color="000000" w:sz="4" w:space="0"/>
              <w:bottom w:val="single" w:color="000000" w:sz="4" w:space="0"/>
              <w:right w:val="single" w:color="000000" w:sz="4" w:space="0"/>
            </w:tcBorders>
            <w:vAlign w:val="center"/>
          </w:tcPr>
          <w:p>
            <w:pPr>
              <w:pStyle w:val="39"/>
              <w:snapToGrid w:val="0"/>
              <w:spacing w:line="440" w:lineRule="exact"/>
              <w:jc w:val="center"/>
              <w:rPr>
                <w:rStyle w:val="29"/>
                <w:rFonts w:ascii="Times New Roman" w:hAnsi="Times New Roman"/>
              </w:rPr>
            </w:pPr>
            <w:r>
              <w:rPr>
                <w:rStyle w:val="29"/>
                <w:rFonts w:ascii="Times New Roman" w:hAnsi="Times New Roman"/>
              </w:rPr>
              <w:t>姓名</w:t>
            </w:r>
          </w:p>
        </w:tc>
        <w:tc>
          <w:tcPr>
            <w:tcW w:w="603" w:type="dxa"/>
            <w:vMerge w:val="restart"/>
            <w:tcBorders>
              <w:top w:val="single" w:color="000000" w:sz="4" w:space="0"/>
              <w:left w:val="single" w:color="000000" w:sz="4" w:space="0"/>
              <w:bottom w:val="single" w:color="000000" w:sz="4" w:space="0"/>
              <w:right w:val="single" w:color="000000" w:sz="4" w:space="0"/>
            </w:tcBorders>
            <w:vAlign w:val="center"/>
          </w:tcPr>
          <w:p>
            <w:pPr>
              <w:pStyle w:val="39"/>
              <w:snapToGrid w:val="0"/>
              <w:spacing w:line="440" w:lineRule="exact"/>
              <w:jc w:val="center"/>
              <w:rPr>
                <w:rStyle w:val="29"/>
                <w:rFonts w:ascii="Times New Roman" w:hAnsi="Times New Roman"/>
              </w:rPr>
            </w:pPr>
            <w:r>
              <w:rPr>
                <w:rStyle w:val="29"/>
                <w:rFonts w:ascii="Times New Roman" w:hAnsi="Times New Roman"/>
              </w:rPr>
              <w:t>职称</w:t>
            </w:r>
          </w:p>
        </w:tc>
        <w:tc>
          <w:tcPr>
            <w:tcW w:w="488" w:type="dxa"/>
            <w:vMerge w:val="restart"/>
            <w:tcBorders>
              <w:top w:val="single" w:color="000000" w:sz="4" w:space="0"/>
              <w:left w:val="single" w:color="000000" w:sz="4" w:space="0"/>
              <w:bottom w:val="single" w:color="000000" w:sz="4" w:space="0"/>
              <w:right w:val="single" w:color="000000" w:sz="4" w:space="0"/>
            </w:tcBorders>
            <w:vAlign w:val="center"/>
          </w:tcPr>
          <w:p>
            <w:pPr>
              <w:pStyle w:val="39"/>
              <w:snapToGrid w:val="0"/>
              <w:spacing w:line="440" w:lineRule="exact"/>
              <w:jc w:val="center"/>
              <w:rPr>
                <w:rStyle w:val="29"/>
                <w:rFonts w:ascii="Times New Roman" w:hAnsi="Times New Roman"/>
              </w:rPr>
            </w:pPr>
            <w:r>
              <w:rPr>
                <w:rStyle w:val="29"/>
                <w:rFonts w:ascii="Times New Roman" w:hAnsi="Times New Roman"/>
              </w:rPr>
              <w:t>专业</w:t>
            </w:r>
          </w:p>
        </w:tc>
        <w:tc>
          <w:tcPr>
            <w:tcW w:w="2714" w:type="dxa"/>
            <w:gridSpan w:val="3"/>
            <w:tcBorders>
              <w:top w:val="single" w:color="000000" w:sz="4" w:space="0"/>
              <w:left w:val="single" w:color="000000" w:sz="4" w:space="0"/>
              <w:bottom w:val="single" w:color="000000" w:sz="4" w:space="0"/>
              <w:right w:val="single" w:color="000000" w:sz="4" w:space="0"/>
            </w:tcBorders>
            <w:vAlign w:val="center"/>
          </w:tcPr>
          <w:p>
            <w:pPr>
              <w:pStyle w:val="39"/>
              <w:snapToGrid w:val="0"/>
              <w:spacing w:line="440" w:lineRule="exact"/>
              <w:jc w:val="center"/>
              <w:rPr>
                <w:rStyle w:val="29"/>
                <w:rFonts w:ascii="Times New Roman" w:hAnsi="Times New Roman"/>
              </w:rPr>
            </w:pPr>
            <w:r>
              <w:rPr>
                <w:rStyle w:val="29"/>
                <w:rFonts w:ascii="Times New Roman" w:hAnsi="Times New Roman"/>
              </w:rPr>
              <w:t>执业或职业资格证明</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39"/>
              <w:snapToGrid w:val="0"/>
              <w:spacing w:line="440" w:lineRule="exact"/>
              <w:jc w:val="center"/>
              <w:rPr>
                <w:rStyle w:val="29"/>
                <w:rFonts w:ascii="Times New Roman" w:hAnsi="Times New Roman"/>
              </w:rPr>
            </w:pPr>
            <w:r>
              <w:rPr>
                <w:rStyle w:val="29"/>
                <w:rFonts w:ascii="Times New Roman" w:hAnsi="Times New Roma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705" w:type="dxa"/>
            <w:vMerge w:val="continue"/>
            <w:tcBorders>
              <w:top w:val="single" w:color="000000" w:sz="4" w:space="0"/>
              <w:left w:val="single" w:color="000000" w:sz="4" w:space="0"/>
              <w:bottom w:val="single" w:color="000000" w:sz="4" w:space="0"/>
              <w:right w:val="single" w:color="000000" w:sz="4" w:space="0"/>
            </w:tcBorders>
            <w:vAlign w:val="center"/>
          </w:tcPr>
          <w:p>
            <w:pPr>
              <w:pStyle w:val="39"/>
              <w:snapToGrid w:val="0"/>
              <w:rPr>
                <w:rStyle w:val="29"/>
                <w:rFonts w:ascii="Times New Roman" w:hAnsi="Times New Roman"/>
              </w:rPr>
            </w:pPr>
          </w:p>
        </w:tc>
        <w:tc>
          <w:tcPr>
            <w:tcW w:w="1386" w:type="dxa"/>
            <w:vMerge w:val="continue"/>
            <w:tcBorders>
              <w:left w:val="single" w:color="000000" w:sz="4" w:space="0"/>
              <w:bottom w:val="single" w:color="000000" w:sz="4" w:space="0"/>
              <w:right w:val="single" w:color="000000" w:sz="4" w:space="0"/>
            </w:tcBorders>
          </w:tcPr>
          <w:p>
            <w:pPr>
              <w:pStyle w:val="39"/>
              <w:snapToGrid w:val="0"/>
              <w:rPr>
                <w:rStyle w:val="29"/>
                <w:rFonts w:ascii="Times New Roman" w:hAnsi="Times New Roman"/>
              </w:rPr>
            </w:pPr>
          </w:p>
        </w:tc>
        <w:tc>
          <w:tcPr>
            <w:tcW w:w="1275" w:type="dxa"/>
            <w:vMerge w:val="continue"/>
            <w:tcBorders>
              <w:top w:val="single" w:color="000000" w:sz="4" w:space="0"/>
              <w:left w:val="single" w:color="000000" w:sz="4" w:space="0"/>
              <w:bottom w:val="single" w:color="000000" w:sz="4" w:space="0"/>
              <w:right w:val="single" w:color="000000" w:sz="4" w:space="0"/>
            </w:tcBorders>
          </w:tcPr>
          <w:p>
            <w:pPr>
              <w:pStyle w:val="39"/>
              <w:snapToGrid w:val="0"/>
              <w:rPr>
                <w:rStyle w:val="29"/>
                <w:rFonts w:ascii="Times New Roman" w:hAnsi="Times New Roman"/>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pPr>
              <w:pStyle w:val="39"/>
              <w:snapToGrid w:val="0"/>
              <w:rPr>
                <w:rStyle w:val="29"/>
                <w:rFonts w:ascii="Times New Roman" w:hAnsi="Times New Roman"/>
              </w:rPr>
            </w:pPr>
          </w:p>
        </w:tc>
        <w:tc>
          <w:tcPr>
            <w:tcW w:w="603" w:type="dxa"/>
            <w:vMerge w:val="continue"/>
            <w:tcBorders>
              <w:top w:val="single" w:color="000000" w:sz="4" w:space="0"/>
              <w:left w:val="single" w:color="000000" w:sz="4" w:space="0"/>
              <w:bottom w:val="single" w:color="000000" w:sz="4" w:space="0"/>
              <w:right w:val="single" w:color="000000" w:sz="4" w:space="0"/>
            </w:tcBorders>
            <w:vAlign w:val="center"/>
          </w:tcPr>
          <w:p>
            <w:pPr>
              <w:pStyle w:val="39"/>
              <w:snapToGrid w:val="0"/>
              <w:rPr>
                <w:rStyle w:val="29"/>
                <w:rFonts w:ascii="Times New Roman" w:hAnsi="Times New Roman"/>
              </w:rPr>
            </w:pPr>
          </w:p>
        </w:tc>
        <w:tc>
          <w:tcPr>
            <w:tcW w:w="488" w:type="dxa"/>
            <w:vMerge w:val="continue"/>
            <w:tcBorders>
              <w:top w:val="single" w:color="000000" w:sz="4" w:space="0"/>
              <w:left w:val="single" w:color="000000" w:sz="4" w:space="0"/>
              <w:bottom w:val="single" w:color="000000" w:sz="4" w:space="0"/>
              <w:right w:val="single" w:color="000000" w:sz="4" w:space="0"/>
            </w:tcBorders>
            <w:vAlign w:val="center"/>
          </w:tcPr>
          <w:p>
            <w:pPr>
              <w:pStyle w:val="39"/>
              <w:snapToGrid w:val="0"/>
              <w:spacing w:line="440" w:lineRule="exact"/>
              <w:jc w:val="center"/>
              <w:rPr>
                <w:rStyle w:val="29"/>
                <w:rFonts w:ascii="Times New Roman" w:hAnsi="Times New Roman"/>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39"/>
              <w:snapToGrid w:val="0"/>
              <w:spacing w:beforeAutospacing="1" w:afterAutospacing="1" w:line="440" w:lineRule="exact"/>
              <w:jc w:val="center"/>
              <w:rPr>
                <w:rStyle w:val="29"/>
                <w:rFonts w:ascii="Times New Roman" w:hAnsi="Times New Roman"/>
              </w:rPr>
            </w:pPr>
            <w:r>
              <w:rPr>
                <w:rStyle w:val="29"/>
                <w:rFonts w:ascii="Times New Roman" w:hAnsi="Times New Roman"/>
              </w:rPr>
              <w:t>证书名称</w:t>
            </w:r>
          </w:p>
        </w:tc>
        <w:tc>
          <w:tcPr>
            <w:tcW w:w="709" w:type="dxa"/>
            <w:tcBorders>
              <w:top w:val="single" w:color="000000" w:sz="4" w:space="0"/>
              <w:left w:val="single" w:color="000000" w:sz="4" w:space="0"/>
              <w:bottom w:val="single" w:color="000000" w:sz="4" w:space="0"/>
              <w:right w:val="single" w:color="000000" w:sz="4" w:space="0"/>
            </w:tcBorders>
            <w:vAlign w:val="center"/>
          </w:tcPr>
          <w:p>
            <w:pPr>
              <w:pStyle w:val="39"/>
              <w:snapToGrid w:val="0"/>
              <w:spacing w:beforeAutospacing="1" w:afterAutospacing="1" w:line="440" w:lineRule="exact"/>
              <w:jc w:val="center"/>
              <w:rPr>
                <w:rStyle w:val="29"/>
                <w:rFonts w:ascii="Times New Roman" w:hAnsi="Times New Roman"/>
              </w:rPr>
            </w:pPr>
            <w:r>
              <w:rPr>
                <w:rStyle w:val="29"/>
                <w:rFonts w:ascii="Times New Roman" w:hAnsi="Times New Roman"/>
              </w:rPr>
              <w:t>级别</w:t>
            </w:r>
          </w:p>
        </w:tc>
        <w:tc>
          <w:tcPr>
            <w:tcW w:w="871" w:type="dxa"/>
            <w:tcBorders>
              <w:top w:val="single" w:color="000000" w:sz="4" w:space="0"/>
              <w:left w:val="single" w:color="000000" w:sz="4" w:space="0"/>
              <w:bottom w:val="single" w:color="000000" w:sz="4" w:space="0"/>
              <w:right w:val="single" w:color="000000" w:sz="4" w:space="0"/>
            </w:tcBorders>
            <w:vAlign w:val="center"/>
          </w:tcPr>
          <w:p>
            <w:pPr>
              <w:pStyle w:val="39"/>
              <w:snapToGrid w:val="0"/>
              <w:spacing w:beforeAutospacing="1" w:afterAutospacing="1" w:line="440" w:lineRule="exact"/>
              <w:jc w:val="center"/>
              <w:rPr>
                <w:rStyle w:val="29"/>
                <w:rFonts w:ascii="Times New Roman" w:hAnsi="Times New Roman"/>
              </w:rPr>
            </w:pPr>
            <w:r>
              <w:rPr>
                <w:rStyle w:val="29"/>
                <w:rFonts w:ascii="Times New Roman" w:hAnsi="Times New Roman"/>
              </w:rPr>
              <w:t>证号</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39"/>
              <w:snapToGrid w:val="0"/>
              <w:spacing w:line="440" w:lineRule="exact"/>
              <w:jc w:val="center"/>
              <w:rPr>
                <w:rStyle w:val="29"/>
                <w:rFonts w:ascii="Times New Roman" w:hAns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jc w:val="center"/>
        </w:trPr>
        <w:tc>
          <w:tcPr>
            <w:tcW w:w="705" w:type="dxa"/>
            <w:vMerge w:val="restart"/>
            <w:tcBorders>
              <w:top w:val="single" w:color="000000" w:sz="4" w:space="0"/>
              <w:left w:val="single" w:color="000000" w:sz="4" w:space="0"/>
              <w:right w:val="single" w:color="000000" w:sz="4" w:space="0"/>
            </w:tcBorders>
            <w:vAlign w:val="center"/>
          </w:tcPr>
          <w:p>
            <w:pPr>
              <w:pStyle w:val="39"/>
              <w:snapToGrid w:val="0"/>
              <w:spacing w:line="440" w:lineRule="exact"/>
              <w:jc w:val="center"/>
              <w:rPr>
                <w:rStyle w:val="29"/>
                <w:rFonts w:ascii="Times New Roman" w:hAnsi="Times New Roman"/>
              </w:rPr>
            </w:pPr>
          </w:p>
        </w:tc>
        <w:tc>
          <w:tcPr>
            <w:tcW w:w="1386" w:type="dxa"/>
            <w:vMerge w:val="restart"/>
            <w:tcBorders>
              <w:top w:val="single" w:color="000000" w:sz="4" w:space="0"/>
              <w:left w:val="single" w:color="000000" w:sz="4" w:space="0"/>
              <w:right w:val="single" w:color="000000" w:sz="4" w:space="0"/>
            </w:tcBorders>
            <w:vAlign w:val="center"/>
          </w:tcPr>
          <w:p>
            <w:pPr>
              <w:keepNext w:val="0"/>
              <w:keepLines w:val="0"/>
              <w:suppressLineNumbers w:val="0"/>
              <w:spacing w:before="0" w:beforeAutospacing="0" w:after="0" w:afterAutospacing="0"/>
              <w:ind w:left="0" w:leftChars="0" w:right="0" w:rightChars="0"/>
              <w:jc w:val="center"/>
              <w:rPr>
                <w:rStyle w:val="29"/>
                <w:rFonts w:ascii="Times New Roman" w:hAnsi="Times New Roman"/>
              </w:rPr>
            </w:pPr>
            <w:r>
              <w:rPr>
                <w:rFonts w:hint="eastAsia" w:ascii="宋体" w:hAnsi="宋体"/>
                <w:color w:val="000000" w:themeColor="text1"/>
                <w:szCs w:val="21"/>
                <w:lang w:val="en-US" w:eastAsia="zh-CN"/>
                <w14:textFill>
                  <w14:solidFill>
                    <w14:schemeClr w14:val="tx1"/>
                  </w14:solidFill>
                </w14:textFill>
              </w:rPr>
              <w:t>法人</w:t>
            </w:r>
          </w:p>
        </w:tc>
        <w:tc>
          <w:tcPr>
            <w:tcW w:w="1275"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39"/>
              <w:snapToGrid w:val="0"/>
              <w:spacing w:line="440" w:lineRule="exact"/>
              <w:jc w:val="center"/>
              <w:rPr>
                <w:rStyle w:val="29"/>
                <w:rFonts w:ascii="Times New Roman" w:hAnsi="Times New Roman"/>
              </w:rPr>
            </w:pPr>
          </w:p>
        </w:tc>
        <w:tc>
          <w:tcPr>
            <w:tcW w:w="603" w:type="dxa"/>
            <w:tcBorders>
              <w:top w:val="single" w:color="000000" w:sz="4" w:space="0"/>
              <w:left w:val="single" w:color="000000" w:sz="4" w:space="0"/>
              <w:bottom w:val="single" w:color="000000" w:sz="4" w:space="0"/>
              <w:right w:val="single" w:color="000000" w:sz="4" w:space="0"/>
            </w:tcBorders>
            <w:vAlign w:val="center"/>
          </w:tcPr>
          <w:p>
            <w:pPr>
              <w:pStyle w:val="39"/>
              <w:snapToGrid w:val="0"/>
              <w:spacing w:line="440" w:lineRule="exact"/>
              <w:jc w:val="center"/>
              <w:rPr>
                <w:rStyle w:val="29"/>
                <w:rFonts w:ascii="Times New Roman" w:hAnsi="Times New Roman"/>
              </w:rPr>
            </w:pPr>
          </w:p>
        </w:tc>
        <w:tc>
          <w:tcPr>
            <w:tcW w:w="488" w:type="dxa"/>
            <w:tcBorders>
              <w:top w:val="single" w:color="000000" w:sz="4" w:space="0"/>
              <w:left w:val="single" w:color="000000" w:sz="4" w:space="0"/>
              <w:bottom w:val="single" w:color="000000" w:sz="4" w:space="0"/>
              <w:right w:val="single" w:color="000000" w:sz="4" w:space="0"/>
            </w:tcBorders>
            <w:vAlign w:val="center"/>
          </w:tcPr>
          <w:p>
            <w:pPr>
              <w:pStyle w:val="39"/>
              <w:snapToGrid w:val="0"/>
              <w:spacing w:line="440" w:lineRule="exact"/>
              <w:jc w:val="center"/>
              <w:rPr>
                <w:rStyle w:val="29"/>
                <w:rFonts w:ascii="Times New Roman" w:hAnsi="Times New Roman"/>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39"/>
              <w:snapToGrid w:val="0"/>
              <w:spacing w:line="440" w:lineRule="exact"/>
              <w:jc w:val="center"/>
              <w:rPr>
                <w:rStyle w:val="29"/>
                <w:rFonts w:ascii="Times New Roman" w:hAnsi="Times New Roman"/>
              </w:rPr>
            </w:pPr>
          </w:p>
        </w:tc>
        <w:tc>
          <w:tcPr>
            <w:tcW w:w="709" w:type="dxa"/>
            <w:tcBorders>
              <w:top w:val="single" w:color="000000" w:sz="4" w:space="0"/>
              <w:left w:val="single" w:color="000000" w:sz="4" w:space="0"/>
              <w:bottom w:val="single" w:color="000000" w:sz="4" w:space="0"/>
              <w:right w:val="single" w:color="000000" w:sz="4" w:space="0"/>
            </w:tcBorders>
            <w:vAlign w:val="center"/>
          </w:tcPr>
          <w:p>
            <w:pPr>
              <w:pStyle w:val="39"/>
              <w:snapToGrid w:val="0"/>
              <w:spacing w:line="440" w:lineRule="exact"/>
              <w:jc w:val="center"/>
              <w:rPr>
                <w:rStyle w:val="29"/>
                <w:rFonts w:ascii="Times New Roman" w:hAnsi="Times New Roman"/>
              </w:rPr>
            </w:pPr>
          </w:p>
        </w:tc>
        <w:tc>
          <w:tcPr>
            <w:tcW w:w="871" w:type="dxa"/>
            <w:tcBorders>
              <w:top w:val="single" w:color="000000" w:sz="4" w:space="0"/>
              <w:left w:val="single" w:color="000000" w:sz="4" w:space="0"/>
              <w:bottom w:val="single" w:color="000000" w:sz="4" w:space="0"/>
              <w:right w:val="single" w:color="000000" w:sz="4" w:space="0"/>
            </w:tcBorders>
            <w:vAlign w:val="center"/>
          </w:tcPr>
          <w:p>
            <w:pPr>
              <w:pStyle w:val="39"/>
              <w:snapToGrid w:val="0"/>
              <w:spacing w:line="440" w:lineRule="exact"/>
              <w:jc w:val="center"/>
              <w:rPr>
                <w:rStyle w:val="29"/>
                <w:rFonts w:ascii="Times New Roman" w:hAnsi="Times New Roman"/>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39"/>
              <w:snapToGrid w:val="0"/>
              <w:spacing w:line="440" w:lineRule="exact"/>
              <w:jc w:val="center"/>
              <w:rPr>
                <w:rStyle w:val="29"/>
                <w:rFonts w:ascii="Times New Roman" w:hAns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jc w:val="center"/>
        </w:trPr>
        <w:tc>
          <w:tcPr>
            <w:tcW w:w="705" w:type="dxa"/>
            <w:vMerge w:val="continue"/>
            <w:tcBorders>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1386" w:type="dxa"/>
            <w:vMerge w:val="continue"/>
            <w:tcBorders>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leftChars="0" w:right="0" w:rightChars="0"/>
              <w:jc w:val="both"/>
              <w:rPr>
                <w:rStyle w:val="29"/>
                <w:rFonts w:ascii="Times New Roman" w:hAnsi="Times New Roman"/>
              </w:rPr>
            </w:pPr>
          </w:p>
        </w:tc>
        <w:tc>
          <w:tcPr>
            <w:tcW w:w="1275"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992"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603"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488"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1134"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709"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871"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1134"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jc w:val="center"/>
        </w:trPr>
        <w:tc>
          <w:tcPr>
            <w:tcW w:w="705" w:type="dxa"/>
            <w:vMerge w:val="restart"/>
            <w:tcBorders>
              <w:top w:val="single" w:color="000000" w:sz="4" w:space="0"/>
              <w:left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1386" w:type="dxa"/>
            <w:vMerge w:val="restart"/>
            <w:tcBorders>
              <w:top w:val="single" w:color="000000" w:sz="4" w:space="0"/>
              <w:left w:val="single" w:color="000000" w:sz="4" w:space="0"/>
              <w:right w:val="single" w:color="000000" w:sz="4" w:space="0"/>
            </w:tcBorders>
            <w:vAlign w:val="center"/>
          </w:tcPr>
          <w:p>
            <w:pPr>
              <w:keepNext w:val="0"/>
              <w:keepLines w:val="0"/>
              <w:suppressLineNumbers w:val="0"/>
              <w:spacing w:before="0" w:beforeAutospacing="0" w:after="0" w:afterAutospacing="0"/>
              <w:ind w:left="0" w:leftChars="0" w:right="0" w:rightChars="0"/>
              <w:jc w:val="center"/>
              <w:rPr>
                <w:rStyle w:val="29"/>
                <w:rFonts w:ascii="Times New Roman" w:hAnsi="Times New Roman"/>
              </w:rPr>
            </w:pPr>
            <w:r>
              <w:rPr>
                <w:rFonts w:hint="eastAsia" w:ascii="宋体" w:hAnsi="宋体"/>
                <w:color w:val="000000" w:themeColor="text1"/>
                <w:szCs w:val="21"/>
                <w:lang w:val="en-US" w:eastAsia="zh-CN"/>
                <w14:textFill>
                  <w14:solidFill>
                    <w14:schemeClr w14:val="tx1"/>
                  </w14:solidFill>
                </w14:textFill>
              </w:rPr>
              <w:t>总经理</w:t>
            </w:r>
          </w:p>
        </w:tc>
        <w:tc>
          <w:tcPr>
            <w:tcW w:w="1275"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992"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603"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488"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1134"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709"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871"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1134"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jc w:val="center"/>
        </w:trPr>
        <w:tc>
          <w:tcPr>
            <w:tcW w:w="705" w:type="dxa"/>
            <w:vMerge w:val="continue"/>
            <w:tcBorders>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1386" w:type="dxa"/>
            <w:vMerge w:val="continue"/>
            <w:tcBorders>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leftChars="0" w:right="0" w:rightChars="0"/>
              <w:jc w:val="center"/>
              <w:rPr>
                <w:rStyle w:val="29"/>
                <w:rFonts w:ascii="Times New Roman" w:hAnsi="Times New Roman"/>
              </w:rPr>
            </w:pPr>
          </w:p>
        </w:tc>
        <w:tc>
          <w:tcPr>
            <w:tcW w:w="1275"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992"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603"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488"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1134"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709"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871"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1134"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jc w:val="center"/>
        </w:trPr>
        <w:tc>
          <w:tcPr>
            <w:tcW w:w="705" w:type="dxa"/>
            <w:vMerge w:val="restart"/>
            <w:tcBorders>
              <w:top w:val="single" w:color="000000" w:sz="4" w:space="0"/>
              <w:left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1386" w:type="dxa"/>
            <w:vMerge w:val="restart"/>
            <w:tcBorders>
              <w:top w:val="single" w:color="000000" w:sz="4" w:space="0"/>
              <w:left w:val="single" w:color="000000" w:sz="4" w:space="0"/>
              <w:right w:val="single" w:color="000000" w:sz="4" w:space="0"/>
            </w:tcBorders>
            <w:vAlign w:val="center"/>
          </w:tcPr>
          <w:p>
            <w:pPr>
              <w:keepNext w:val="0"/>
              <w:keepLines w:val="0"/>
              <w:suppressLineNumbers w:val="0"/>
              <w:spacing w:before="0" w:beforeAutospacing="0" w:after="0" w:afterAutospacing="0"/>
              <w:ind w:left="0" w:leftChars="0" w:right="0" w:rightChars="0"/>
              <w:jc w:val="center"/>
              <w:rPr>
                <w:rStyle w:val="29"/>
                <w:rFonts w:ascii="Times New Roman" w:hAnsi="Times New Roman"/>
              </w:rPr>
            </w:pPr>
            <w:r>
              <w:rPr>
                <w:rFonts w:hint="eastAsia" w:ascii="宋体" w:hAnsi="宋体"/>
                <w:color w:val="000000" w:themeColor="text1"/>
                <w:szCs w:val="21"/>
                <w:lang w:val="en-US" w:eastAsia="zh-CN"/>
                <w14:textFill>
                  <w14:solidFill>
                    <w14:schemeClr w14:val="tx1"/>
                  </w14:solidFill>
                </w14:textFill>
              </w:rPr>
              <w:t>项目负责人</w:t>
            </w:r>
          </w:p>
        </w:tc>
        <w:tc>
          <w:tcPr>
            <w:tcW w:w="1275"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992"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603"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488"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1134"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709"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871"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1134"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jc w:val="center"/>
        </w:trPr>
        <w:tc>
          <w:tcPr>
            <w:tcW w:w="705" w:type="dxa"/>
            <w:vMerge w:val="continue"/>
            <w:tcBorders>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1386" w:type="dxa"/>
            <w:vMerge w:val="continue"/>
            <w:tcBorders>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leftChars="0" w:right="0" w:rightChars="0"/>
              <w:jc w:val="center"/>
              <w:rPr>
                <w:rStyle w:val="29"/>
                <w:rFonts w:ascii="Times New Roman" w:hAnsi="Times New Roman"/>
              </w:rPr>
            </w:pPr>
          </w:p>
        </w:tc>
        <w:tc>
          <w:tcPr>
            <w:tcW w:w="1275"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992"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603"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488"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1134"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709"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871"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1134"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jc w:val="center"/>
        </w:trPr>
        <w:tc>
          <w:tcPr>
            <w:tcW w:w="705" w:type="dxa"/>
            <w:vMerge w:val="restart"/>
            <w:tcBorders>
              <w:top w:val="single" w:color="000000" w:sz="4" w:space="0"/>
              <w:left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1386" w:type="dxa"/>
            <w:vMerge w:val="restart"/>
            <w:tcBorders>
              <w:top w:val="single" w:color="000000" w:sz="4" w:space="0"/>
              <w:left w:val="single" w:color="000000" w:sz="4" w:space="0"/>
              <w:right w:val="single" w:color="000000" w:sz="4" w:space="0"/>
            </w:tcBorders>
            <w:vAlign w:val="center"/>
          </w:tcPr>
          <w:p>
            <w:pPr>
              <w:keepNext w:val="0"/>
              <w:keepLines w:val="0"/>
              <w:suppressLineNumbers w:val="0"/>
              <w:spacing w:before="0" w:beforeAutospacing="0" w:after="0" w:afterAutospacing="0"/>
              <w:ind w:left="0" w:leftChars="0" w:right="0" w:rightChars="0"/>
              <w:jc w:val="center"/>
              <w:rPr>
                <w:rStyle w:val="29"/>
                <w:rFonts w:ascii="Times New Roman" w:hAnsi="Times New Roman"/>
              </w:rPr>
            </w:pPr>
            <w:r>
              <w:rPr>
                <w:rFonts w:hint="eastAsia" w:ascii="宋体" w:hAnsi="宋体"/>
                <w:color w:val="000000" w:themeColor="text1"/>
                <w:szCs w:val="21"/>
                <w:lang w:val="en-US" w:eastAsia="zh-CN"/>
                <w14:textFill>
                  <w14:solidFill>
                    <w14:schemeClr w14:val="tx1"/>
                  </w14:solidFill>
                </w14:textFill>
              </w:rPr>
              <w:t>财务人员</w:t>
            </w:r>
          </w:p>
        </w:tc>
        <w:tc>
          <w:tcPr>
            <w:tcW w:w="1275"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992"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603"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488"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1134"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709"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871"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1134"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jc w:val="center"/>
        </w:trPr>
        <w:tc>
          <w:tcPr>
            <w:tcW w:w="705" w:type="dxa"/>
            <w:vMerge w:val="continue"/>
            <w:tcBorders>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1386" w:type="dxa"/>
            <w:vMerge w:val="continue"/>
            <w:tcBorders>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leftChars="0" w:right="0" w:rightChars="0"/>
              <w:jc w:val="center"/>
              <w:rPr>
                <w:rStyle w:val="29"/>
                <w:rFonts w:ascii="Times New Roman" w:hAnsi="Times New Roman"/>
              </w:rPr>
            </w:pPr>
          </w:p>
        </w:tc>
        <w:tc>
          <w:tcPr>
            <w:tcW w:w="1275"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992"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603"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488"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1134"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709"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871"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1134"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705" w:type="dxa"/>
            <w:vMerge w:val="restart"/>
            <w:tcBorders>
              <w:top w:val="single" w:color="000000" w:sz="4" w:space="0"/>
              <w:left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1386" w:type="dxa"/>
            <w:vMerge w:val="restart"/>
            <w:tcBorders>
              <w:top w:val="single" w:color="000000" w:sz="4" w:space="0"/>
              <w:left w:val="single" w:color="000000" w:sz="4" w:space="0"/>
              <w:right w:val="single" w:color="000000" w:sz="4" w:space="0"/>
            </w:tcBorders>
            <w:vAlign w:val="center"/>
          </w:tcPr>
          <w:p>
            <w:pPr>
              <w:keepNext w:val="0"/>
              <w:keepLines w:val="0"/>
              <w:suppressLineNumbers w:val="0"/>
              <w:spacing w:before="0" w:beforeAutospacing="0" w:after="0" w:afterAutospacing="0"/>
              <w:ind w:left="0" w:leftChars="0" w:right="0" w:rightChars="0"/>
              <w:jc w:val="center"/>
              <w:rPr>
                <w:rStyle w:val="29"/>
                <w:rFonts w:ascii="Times New Roman" w:hAnsi="Times New Roman"/>
              </w:rPr>
            </w:pPr>
            <w:r>
              <w:rPr>
                <w:rFonts w:hint="eastAsia" w:ascii="宋体" w:hAnsi="宋体"/>
                <w:color w:val="000000" w:themeColor="text1"/>
                <w:szCs w:val="21"/>
                <w:lang w:val="en-US" w:eastAsia="zh-CN"/>
                <w14:textFill>
                  <w14:solidFill>
                    <w14:schemeClr w14:val="tx1"/>
                  </w14:solidFill>
                </w14:textFill>
              </w:rPr>
              <w:t>技术人员</w:t>
            </w:r>
          </w:p>
        </w:tc>
        <w:tc>
          <w:tcPr>
            <w:tcW w:w="1275"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992"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603"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488"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1134"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709"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871"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1134"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05" w:type="dxa"/>
            <w:vMerge w:val="continue"/>
            <w:tcBorders>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1386" w:type="dxa"/>
            <w:vMerge w:val="continue"/>
            <w:tcBorders>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leftChars="0" w:right="0" w:rightChars="0"/>
              <w:jc w:val="center"/>
              <w:rPr>
                <w:rStyle w:val="29"/>
                <w:rFonts w:ascii="Times New Roman" w:hAnsi="Times New Roman"/>
              </w:rPr>
            </w:pPr>
          </w:p>
        </w:tc>
        <w:tc>
          <w:tcPr>
            <w:tcW w:w="1275"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992"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603"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488"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1134"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709"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871"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1134"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jc w:val="center"/>
        </w:trPr>
        <w:tc>
          <w:tcPr>
            <w:tcW w:w="705" w:type="dxa"/>
            <w:vMerge w:val="restart"/>
            <w:tcBorders>
              <w:top w:val="single" w:color="000000" w:sz="4" w:space="0"/>
              <w:left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1386" w:type="dxa"/>
            <w:vMerge w:val="restart"/>
            <w:tcBorders>
              <w:top w:val="single" w:color="000000" w:sz="4" w:space="0"/>
              <w:left w:val="single" w:color="000000" w:sz="4" w:space="0"/>
              <w:right w:val="single" w:color="000000" w:sz="4" w:space="0"/>
            </w:tcBorders>
            <w:vAlign w:val="center"/>
          </w:tcPr>
          <w:p>
            <w:pPr>
              <w:keepNext w:val="0"/>
              <w:keepLines w:val="0"/>
              <w:suppressLineNumbers w:val="0"/>
              <w:spacing w:before="0" w:beforeAutospacing="0" w:after="0" w:afterAutospacing="0"/>
              <w:ind w:left="0" w:leftChars="0" w:right="0" w:rightChars="0"/>
              <w:jc w:val="center"/>
              <w:rPr>
                <w:rStyle w:val="29"/>
                <w:rFonts w:ascii="Times New Roman" w:hAnsi="Times New Roman"/>
              </w:rPr>
            </w:pPr>
            <w:r>
              <w:rPr>
                <w:rFonts w:hint="eastAsia" w:ascii="宋体" w:hAnsi="宋体"/>
                <w:color w:val="000000" w:themeColor="text1"/>
                <w:szCs w:val="21"/>
                <w:lang w:val="en-US" w:eastAsia="zh-CN"/>
                <w14:textFill>
                  <w14:solidFill>
                    <w14:schemeClr w14:val="tx1"/>
                  </w14:solidFill>
                </w14:textFill>
              </w:rPr>
              <w:t>后续服务人员</w:t>
            </w:r>
          </w:p>
        </w:tc>
        <w:tc>
          <w:tcPr>
            <w:tcW w:w="1275"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992"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603"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488"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1134"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709"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871"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1134"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05" w:type="dxa"/>
            <w:vMerge w:val="continue"/>
            <w:tcBorders>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1386" w:type="dxa"/>
            <w:vMerge w:val="continue"/>
            <w:tcBorders>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leftChars="0" w:right="0" w:rightChars="0"/>
              <w:jc w:val="center"/>
              <w:rPr>
                <w:rStyle w:val="29"/>
                <w:rFonts w:ascii="Times New Roman" w:hAnsi="Times New Roman"/>
              </w:rPr>
            </w:pPr>
          </w:p>
        </w:tc>
        <w:tc>
          <w:tcPr>
            <w:tcW w:w="1275"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992"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603"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488"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1134"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709"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871"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1134"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05" w:type="dxa"/>
            <w:vMerge w:val="restart"/>
            <w:tcBorders>
              <w:top w:val="single" w:color="000000" w:sz="4" w:space="0"/>
              <w:left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1386" w:type="dxa"/>
            <w:vMerge w:val="restart"/>
            <w:tcBorders>
              <w:top w:val="single" w:color="000000" w:sz="4" w:space="0"/>
              <w:left w:val="single" w:color="000000" w:sz="4" w:space="0"/>
              <w:right w:val="single" w:color="000000" w:sz="4" w:space="0"/>
            </w:tcBorders>
            <w:vAlign w:val="center"/>
          </w:tcPr>
          <w:p>
            <w:pPr>
              <w:keepNext w:val="0"/>
              <w:keepLines w:val="0"/>
              <w:suppressLineNumbers w:val="0"/>
              <w:spacing w:before="0" w:beforeAutospacing="0" w:after="0" w:afterAutospacing="0"/>
              <w:ind w:left="0" w:leftChars="0" w:right="0" w:rightChars="0"/>
              <w:jc w:val="center"/>
              <w:rPr>
                <w:rStyle w:val="29"/>
                <w:rFonts w:ascii="Times New Roman" w:hAnsi="Times New Roman"/>
              </w:rPr>
            </w:pPr>
            <w:r>
              <w:rPr>
                <w:rFonts w:hint="eastAsia" w:ascii="宋体" w:hAnsi="宋体"/>
                <w:color w:val="000000" w:themeColor="text1"/>
                <w:szCs w:val="21"/>
                <w:lang w:val="en-US" w:eastAsia="zh-CN"/>
                <w14:textFill>
                  <w14:solidFill>
                    <w14:schemeClr w14:val="tx1"/>
                  </w14:solidFill>
                </w14:textFill>
              </w:rPr>
              <w:t>其它人员</w:t>
            </w:r>
          </w:p>
        </w:tc>
        <w:tc>
          <w:tcPr>
            <w:tcW w:w="1275"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992"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603"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488"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1134"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709"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871"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1134"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05" w:type="dxa"/>
            <w:vMerge w:val="continue"/>
            <w:tcBorders>
              <w:left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1386" w:type="dxa"/>
            <w:vMerge w:val="continue"/>
            <w:tcBorders>
              <w:left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1275"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992"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603"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488"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1134"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709"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871"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1134"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05" w:type="dxa"/>
            <w:vMerge w:val="restart"/>
            <w:tcBorders>
              <w:left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1386" w:type="dxa"/>
            <w:vMerge w:val="restart"/>
            <w:tcBorders>
              <w:left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1275"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992"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603"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488"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1134"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709"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871"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1134"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05" w:type="dxa"/>
            <w:vMerge w:val="continue"/>
            <w:tcBorders>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1386" w:type="dxa"/>
            <w:vMerge w:val="continue"/>
            <w:tcBorders>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1275"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992"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603"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488"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1134"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709"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871"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c>
          <w:tcPr>
            <w:tcW w:w="1134" w:type="dxa"/>
            <w:tcBorders>
              <w:top w:val="single" w:color="000000" w:sz="4" w:space="0"/>
              <w:left w:val="single" w:color="000000" w:sz="4" w:space="0"/>
              <w:bottom w:val="single" w:color="000000" w:sz="4" w:space="0"/>
              <w:right w:val="single" w:color="000000" w:sz="4" w:space="0"/>
            </w:tcBorders>
          </w:tcPr>
          <w:p>
            <w:pPr>
              <w:pStyle w:val="39"/>
              <w:snapToGrid w:val="0"/>
              <w:spacing w:line="440" w:lineRule="exact"/>
              <w:jc w:val="center"/>
              <w:rPr>
                <w:rStyle w:val="29"/>
                <w:rFonts w:ascii="Times New Roman" w:hAnsi="Times New Roman"/>
              </w:rPr>
            </w:pPr>
          </w:p>
        </w:tc>
      </w:tr>
    </w:tbl>
    <w:p>
      <w:pPr>
        <w:rPr>
          <w:rFonts w:hint="eastAsia" w:ascii="仿宋" w:hAnsi="仿宋" w:eastAsia="仿宋" w:cs="仿宋"/>
          <w:b/>
          <w:bCs/>
          <w:color w:val="auto"/>
          <w:szCs w:val="21"/>
        </w:rPr>
      </w:pPr>
      <w:r>
        <w:rPr>
          <w:rFonts w:hint="eastAsia" w:ascii="仿宋" w:hAnsi="仿宋" w:eastAsia="仿宋" w:cs="仿宋"/>
          <w:color w:val="auto"/>
          <w:szCs w:val="21"/>
        </w:rPr>
        <w:t xml:space="preserve">          </w:t>
      </w:r>
      <w:r>
        <w:rPr>
          <w:rFonts w:hint="eastAsia" w:ascii="仿宋" w:hAnsi="仿宋" w:eastAsia="仿宋" w:cs="仿宋"/>
          <w:color w:val="auto"/>
          <w:szCs w:val="21"/>
          <w:lang w:val="en-US" w:eastAsia="zh-CN"/>
        </w:rPr>
        <w:t xml:space="preserve">                                          </w:t>
      </w:r>
    </w:p>
    <w:p>
      <w:pPr>
        <w:jc w:val="left"/>
        <w:rPr>
          <w:rFonts w:hint="eastAsia" w:ascii="仿宋" w:hAnsi="仿宋" w:eastAsia="仿宋" w:cs="仿宋"/>
          <w:color w:val="auto"/>
          <w:sz w:val="22"/>
          <w:szCs w:val="22"/>
        </w:rPr>
      </w:pPr>
      <w:r>
        <w:rPr>
          <w:rFonts w:hint="eastAsia" w:ascii="仿宋" w:hAnsi="仿宋" w:eastAsia="仿宋" w:cs="仿宋"/>
          <w:color w:val="auto"/>
          <w:sz w:val="22"/>
          <w:szCs w:val="22"/>
        </w:rPr>
        <w:t>备注：</w:t>
      </w:r>
    </w:p>
    <w:p>
      <w:pPr>
        <w:jc w:val="left"/>
        <w:rPr>
          <w:rFonts w:hint="eastAsia" w:ascii="仿宋" w:hAnsi="仿宋" w:eastAsia="仿宋" w:cs="仿宋"/>
          <w:color w:val="auto"/>
          <w:sz w:val="22"/>
          <w:szCs w:val="22"/>
        </w:rPr>
      </w:pP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lang w:val="en-US" w:eastAsia="zh-CN"/>
        </w:rPr>
        <w:t>1</w:t>
      </w: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rPr>
        <w:t>如表格栏目不足可按此表格格式自行划表填写。</w:t>
      </w:r>
    </w:p>
    <w:p>
      <w:pPr>
        <w:jc w:val="left"/>
        <w:rPr>
          <w:rFonts w:hint="eastAsia" w:ascii="仿宋" w:hAnsi="仿宋" w:eastAsia="仿宋" w:cs="仿宋"/>
          <w:color w:val="auto"/>
          <w:sz w:val="22"/>
          <w:szCs w:val="22"/>
        </w:rPr>
      </w:pP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lang w:val="en-US" w:eastAsia="zh-CN"/>
        </w:rPr>
        <w:t>2</w:t>
      </w: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rPr>
        <w:t>涉及有关职称证书、资格证书等证明材料投标人应在投标文件中提供其复印件并加盖投标人单位公章。</w:t>
      </w:r>
    </w:p>
    <w:p>
      <w:pPr>
        <w:rPr>
          <w:rFonts w:hint="eastAsia"/>
        </w:rPr>
      </w:pPr>
    </w:p>
    <w:p>
      <w:pPr>
        <w:jc w:val="both"/>
        <w:rPr>
          <w:rFonts w:hint="eastAsia"/>
          <w:lang w:val="en-US" w:eastAsia="zh-CN"/>
        </w:rPr>
      </w:pPr>
      <w:r>
        <w:rPr>
          <w:rFonts w:hint="eastAsia" w:ascii="仿宋" w:hAnsi="仿宋" w:eastAsia="仿宋" w:cs="仿宋"/>
          <w:color w:val="auto"/>
          <w:sz w:val="22"/>
          <w:szCs w:val="22"/>
        </w:rPr>
        <w:t>投标人（公章）：_____________投标人代表（签字）：____________日期:</w:t>
      </w:r>
      <w:r>
        <w:rPr>
          <w:rFonts w:hint="eastAsia" w:ascii="仿宋" w:hAnsi="仿宋" w:eastAsia="仿宋" w:cs="仿宋"/>
          <w:color w:val="auto"/>
          <w:sz w:val="22"/>
          <w:szCs w:val="22"/>
          <w:lang w:val="en-US" w:eastAsia="zh-CN"/>
        </w:rPr>
        <w:t xml:space="preserve"> </w:t>
      </w:r>
      <w:r>
        <w:rPr>
          <w:rFonts w:hint="eastAsia" w:ascii="仿宋" w:hAnsi="仿宋" w:eastAsia="仿宋" w:cs="仿宋"/>
          <w:color w:val="auto"/>
          <w:sz w:val="22"/>
          <w:szCs w:val="22"/>
        </w:rPr>
        <w:t xml:space="preserve"> 年</w:t>
      </w:r>
      <w:r>
        <w:rPr>
          <w:rFonts w:hint="eastAsia" w:ascii="仿宋" w:hAnsi="仿宋" w:eastAsia="仿宋" w:cs="仿宋"/>
          <w:color w:val="auto"/>
          <w:sz w:val="22"/>
          <w:szCs w:val="22"/>
          <w:lang w:val="en-US" w:eastAsia="zh-CN"/>
        </w:rPr>
        <w:t xml:space="preserve"> </w:t>
      </w:r>
      <w:r>
        <w:rPr>
          <w:rFonts w:hint="eastAsia" w:ascii="仿宋" w:hAnsi="仿宋" w:eastAsia="仿宋" w:cs="仿宋"/>
          <w:color w:val="auto"/>
          <w:sz w:val="22"/>
          <w:szCs w:val="22"/>
        </w:rPr>
        <w:t>月</w:t>
      </w:r>
      <w:r>
        <w:rPr>
          <w:rFonts w:hint="eastAsia" w:ascii="仿宋" w:hAnsi="仿宋" w:eastAsia="仿宋" w:cs="仿宋"/>
          <w:color w:val="auto"/>
          <w:sz w:val="22"/>
          <w:szCs w:val="22"/>
          <w:lang w:val="en-US" w:eastAsia="zh-CN"/>
        </w:rPr>
        <w:t xml:space="preserve"> </w:t>
      </w:r>
      <w:r>
        <w:rPr>
          <w:rFonts w:hint="eastAsia" w:ascii="仿宋" w:hAnsi="仿宋" w:eastAsia="仿宋" w:cs="仿宋"/>
          <w:color w:val="auto"/>
          <w:sz w:val="22"/>
          <w:szCs w:val="22"/>
          <w:lang w:eastAsia="zh-CN"/>
        </w:rPr>
        <w:t>日</w:t>
      </w:r>
    </w:p>
    <w:p>
      <w:pPr>
        <w:pStyle w:val="27"/>
        <w:rPr>
          <w:rFonts w:hint="eastAsia"/>
          <w:lang w:val="en-US" w:eastAsia="zh-CN"/>
        </w:rPr>
      </w:pPr>
    </w:p>
    <w:p>
      <w:pPr>
        <w:pStyle w:val="27"/>
        <w:ind w:left="0" w:leftChars="0" w:firstLine="0" w:firstLineChars="0"/>
        <w:rPr>
          <w:rFonts w:hint="eastAsia"/>
          <w:lang w:val="en-US" w:eastAsia="zh-CN"/>
        </w:rPr>
      </w:pPr>
    </w:p>
    <w:p>
      <w:pPr>
        <w:pStyle w:val="27"/>
        <w:ind w:left="0" w:leftChars="0" w:firstLine="0" w:firstLineChars="0"/>
        <w:rPr>
          <w:rFonts w:hint="eastAsia"/>
          <w:lang w:val="en-US" w:eastAsia="zh-CN"/>
        </w:rPr>
      </w:pPr>
    </w:p>
    <w:p>
      <w:pPr>
        <w:pStyle w:val="27"/>
        <w:ind w:left="0" w:leftChars="0" w:firstLine="0" w:firstLineChars="0"/>
        <w:rPr>
          <w:rFonts w:hint="eastAsia"/>
          <w:lang w:val="en-US" w:eastAsia="zh-CN"/>
        </w:rPr>
      </w:pPr>
    </w:p>
    <w:p>
      <w:pPr>
        <w:pStyle w:val="27"/>
        <w:ind w:left="0" w:leftChars="0" w:firstLine="0" w:firstLineChars="0"/>
        <w:rPr>
          <w:rFonts w:hint="eastAsia"/>
          <w:lang w:val="en-US" w:eastAsia="zh-CN"/>
        </w:rPr>
      </w:pPr>
    </w:p>
    <w:p>
      <w:pPr>
        <w:pStyle w:val="27"/>
        <w:ind w:left="0" w:leftChars="0" w:firstLine="0" w:firstLineChars="0"/>
        <w:rPr>
          <w:rFonts w:hint="eastAsia"/>
          <w:lang w:val="en-US" w:eastAsia="zh-CN"/>
        </w:rPr>
      </w:pPr>
    </w:p>
    <w:p>
      <w:pPr>
        <w:pStyle w:val="27"/>
        <w:ind w:left="0" w:leftChars="0" w:firstLine="0" w:firstLineChars="0"/>
        <w:rPr>
          <w:rFonts w:hint="eastAsia"/>
          <w:lang w:val="en-US" w:eastAsia="zh-CN"/>
        </w:rPr>
      </w:pPr>
    </w:p>
    <w:p>
      <w:pPr>
        <w:pStyle w:val="27"/>
        <w:numPr>
          <w:ilvl w:val="0"/>
          <w:numId w:val="0"/>
        </w:numPr>
        <w:jc w:val="center"/>
        <w:rPr>
          <w:rFonts w:hint="eastAsia" w:ascii="仿宋" w:hAnsi="仿宋" w:eastAsia="仿宋" w:cs="仿宋"/>
          <w:b/>
          <w:bCs/>
          <w:kern w:val="0"/>
          <w:sz w:val="36"/>
          <w:szCs w:val="36"/>
          <w:highlight w:val="none"/>
          <w:lang w:val="en-US" w:eastAsia="zh-CN" w:bidi="ar-SA"/>
        </w:rPr>
      </w:pPr>
      <w:r>
        <w:rPr>
          <w:rFonts w:hint="eastAsia" w:ascii="仿宋" w:hAnsi="仿宋" w:eastAsia="仿宋" w:cs="仿宋"/>
          <w:b/>
          <w:bCs/>
          <w:kern w:val="0"/>
          <w:sz w:val="36"/>
          <w:szCs w:val="36"/>
          <w:highlight w:val="none"/>
          <w:lang w:val="en-US" w:eastAsia="zh-CN" w:bidi="ar-SA"/>
        </w:rPr>
        <w:t>五、反商业贿赂承诺书</w:t>
      </w:r>
    </w:p>
    <w:p>
      <w:pPr>
        <w:pStyle w:val="27"/>
        <w:rPr>
          <w:rFonts w:hint="default"/>
          <w:lang w:val="en-US" w:eastAsia="zh-CN"/>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rPr>
        <w:t>致：</w:t>
      </w:r>
      <w:r>
        <w:rPr>
          <w:rFonts w:hint="eastAsia" w:ascii="仿宋" w:hAnsi="仿宋" w:eastAsia="仿宋" w:cs="仿宋"/>
          <w:sz w:val="24"/>
          <w:szCs w:val="24"/>
          <w:lang w:eastAsia="zh-CN"/>
        </w:rPr>
        <w:t>（采购人）</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为了进一步营造公平竞争的市场环境，维保市场秩序，我方在政府采购活动中郑重承诺：</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一、依法参与政府采购活动，遵纪守法，诚信经营，公平竞争。</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二、不向采购单位、集中采购机构和政府采购评审专家提供任何形式的商业贿赂；对索取或接受商业贿赂的单位和个人，及时向财政部门或纪检监察机关举报。</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三、坚决做到不提供虚假资质文件和虚假材料谋取中标。</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四、不采取不正当手段诋毁、排挤其他投标人，与其他投标人保持公平的竞争关系。</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五、不与采购单位、集中采购机构和政府采购评审专家串通，自觉维保政府采购公平竞争的市场秩序。</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六、不与其他投标人串通采取围标、陪标等商业欺诈手段谋取中标，积极维保国家利益、社会公共利益和采购单位的合法权益。</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七、严格履行政府采购合同约定的责任和义务，保质保量地完成采购合同规定的任务，准确兑现</w:t>
      </w:r>
      <w:r>
        <w:rPr>
          <w:rFonts w:hint="eastAsia" w:ascii="仿宋" w:hAnsi="仿宋" w:eastAsia="仿宋" w:cs="仿宋"/>
          <w:sz w:val="24"/>
          <w:szCs w:val="24"/>
          <w:lang w:val="en-US" w:eastAsia="zh-CN"/>
        </w:rPr>
        <w:t>后续</w:t>
      </w:r>
      <w:r>
        <w:rPr>
          <w:rFonts w:hint="eastAsia" w:ascii="仿宋" w:hAnsi="仿宋" w:eastAsia="仿宋" w:cs="仿宋"/>
          <w:sz w:val="24"/>
          <w:szCs w:val="24"/>
        </w:rPr>
        <w:t>服务承诺。</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八、自觉接受并积极配合财政部门和纪检监察机关依法实施的监督检查，如实反映情况，及时提供有关证明材料。</w:t>
      </w:r>
    </w:p>
    <w:p>
      <w:pPr>
        <w:spacing w:line="360" w:lineRule="auto"/>
        <w:ind w:firstLine="3000" w:firstLineChars="1250"/>
        <w:rPr>
          <w:rFonts w:hint="eastAsia" w:ascii="仿宋" w:hAnsi="仿宋" w:eastAsia="仿宋" w:cs="仿宋"/>
          <w:sz w:val="24"/>
          <w:szCs w:val="24"/>
        </w:rPr>
      </w:pPr>
      <w:r>
        <w:rPr>
          <w:rFonts w:hint="eastAsia" w:ascii="仿宋" w:hAnsi="仿宋" w:eastAsia="仿宋" w:cs="仿宋"/>
          <w:sz w:val="24"/>
          <w:szCs w:val="24"/>
        </w:rPr>
        <w:t xml:space="preserve">  </w:t>
      </w:r>
    </w:p>
    <w:p>
      <w:pPr>
        <w:spacing w:line="360" w:lineRule="auto"/>
        <w:ind w:firstLine="3000" w:firstLineChars="1250"/>
        <w:rPr>
          <w:rFonts w:hint="eastAsia" w:ascii="仿宋" w:hAnsi="仿宋" w:eastAsia="仿宋" w:cs="仿宋"/>
          <w:sz w:val="24"/>
          <w:szCs w:val="24"/>
        </w:rPr>
      </w:pPr>
    </w:p>
    <w:p>
      <w:pPr>
        <w:spacing w:line="360" w:lineRule="auto"/>
        <w:ind w:firstLine="3000" w:firstLineChars="1250"/>
        <w:rPr>
          <w:rFonts w:hint="eastAsia" w:ascii="仿宋" w:hAnsi="仿宋" w:eastAsia="仿宋" w:cs="仿宋"/>
          <w:sz w:val="24"/>
          <w:szCs w:val="24"/>
        </w:rPr>
      </w:pPr>
      <w:r>
        <w:rPr>
          <w:rFonts w:hint="eastAsia" w:ascii="仿宋" w:hAnsi="仿宋" w:eastAsia="仿宋" w:cs="仿宋"/>
          <w:sz w:val="24"/>
          <w:szCs w:val="24"/>
        </w:rPr>
        <w:t>投标单位全称：</w:t>
      </w:r>
    </w:p>
    <w:p>
      <w:pPr>
        <w:spacing w:line="360" w:lineRule="auto"/>
        <w:ind w:firstLine="4920" w:firstLineChars="2050"/>
        <w:rPr>
          <w:rFonts w:hint="eastAsia" w:ascii="仿宋" w:hAnsi="仿宋" w:eastAsia="仿宋" w:cs="仿宋"/>
          <w:sz w:val="24"/>
          <w:szCs w:val="24"/>
        </w:rPr>
      </w:pPr>
      <w:r>
        <w:rPr>
          <w:rFonts w:hint="eastAsia" w:ascii="仿宋" w:hAnsi="仿宋" w:eastAsia="仿宋" w:cs="仿宋"/>
          <w:sz w:val="24"/>
          <w:szCs w:val="24"/>
        </w:rPr>
        <w:t>（加盖单位公章）</w:t>
      </w:r>
    </w:p>
    <w:p>
      <w:pPr>
        <w:spacing w:line="360" w:lineRule="auto"/>
        <w:ind w:firstLine="3240" w:firstLineChars="1350"/>
        <w:rPr>
          <w:rFonts w:hint="eastAsia" w:ascii="仿宋" w:hAnsi="仿宋" w:eastAsia="仿宋" w:cs="仿宋"/>
          <w:sz w:val="24"/>
          <w:szCs w:val="24"/>
        </w:rPr>
      </w:pPr>
      <w:r>
        <w:rPr>
          <w:rFonts w:hint="eastAsia" w:ascii="仿宋" w:hAnsi="仿宋" w:eastAsia="仿宋" w:cs="仿宋"/>
          <w:sz w:val="24"/>
          <w:szCs w:val="24"/>
        </w:rPr>
        <w:t>签署日期：      年     月     日</w:t>
      </w:r>
    </w:p>
    <w:p>
      <w:pPr>
        <w:pStyle w:val="27"/>
        <w:rPr>
          <w:rFonts w:hint="eastAsia"/>
          <w:lang w:val="en-US" w:eastAsia="zh-CN"/>
        </w:rPr>
      </w:pPr>
    </w:p>
    <w:p>
      <w:pPr>
        <w:pStyle w:val="27"/>
        <w:ind w:left="0" w:leftChars="0" w:firstLine="0" w:firstLineChars="0"/>
        <w:rPr>
          <w:rFonts w:hint="default"/>
          <w:lang w:val="en-US" w:eastAsia="zh-CN"/>
        </w:rPr>
      </w:pPr>
    </w:p>
    <w:p>
      <w:pPr>
        <w:pStyle w:val="27"/>
        <w:ind w:left="0" w:leftChars="0" w:firstLine="0" w:firstLineChars="0"/>
        <w:rPr>
          <w:rFonts w:hint="default"/>
          <w:lang w:val="en-US" w:eastAsia="zh-CN"/>
        </w:rPr>
      </w:pPr>
    </w:p>
    <w:p>
      <w:pPr>
        <w:pStyle w:val="27"/>
        <w:ind w:left="0" w:leftChars="0" w:firstLine="0" w:firstLineChars="0"/>
        <w:rPr>
          <w:rFonts w:hint="default"/>
          <w:lang w:val="en-US" w:eastAsia="zh-CN"/>
        </w:rPr>
      </w:pPr>
    </w:p>
    <w:p>
      <w:pPr>
        <w:pStyle w:val="8"/>
        <w:kinsoku w:val="0"/>
        <w:overflowPunct w:val="0"/>
        <w:spacing w:before="34" w:line="357" w:lineRule="auto"/>
        <w:ind w:right="126" w:firstLine="480"/>
        <w:jc w:val="center"/>
        <w:rPr>
          <w:rFonts w:hint="eastAsia" w:ascii="仿宋" w:hAnsi="仿宋" w:eastAsia="仿宋" w:cs="仿宋"/>
          <w:b/>
          <w:bCs/>
          <w:highlight w:val="none"/>
        </w:rPr>
      </w:pPr>
      <w:r>
        <w:rPr>
          <w:rFonts w:hint="eastAsia" w:hAnsi="仿宋" w:cs="仿宋"/>
          <w:b/>
          <w:bCs/>
          <w:sz w:val="36"/>
          <w:szCs w:val="36"/>
          <w:highlight w:val="none"/>
          <w:lang w:val="en-US" w:eastAsia="zh-CN"/>
        </w:rPr>
        <w:t>六</w:t>
      </w:r>
      <w:r>
        <w:rPr>
          <w:rFonts w:hint="eastAsia" w:ascii="仿宋" w:hAnsi="仿宋" w:eastAsia="仿宋" w:cs="仿宋"/>
          <w:b/>
          <w:bCs/>
          <w:sz w:val="36"/>
          <w:szCs w:val="36"/>
          <w:highlight w:val="none"/>
        </w:rPr>
        <w:t>、中小企业声明函（符合本声明函填写）</w:t>
      </w:r>
    </w:p>
    <w:p>
      <w:pPr>
        <w:pStyle w:val="8"/>
        <w:kinsoku w:val="0"/>
        <w:overflowPunct w:val="0"/>
        <w:spacing w:before="0"/>
        <w:ind w:left="0"/>
        <w:rPr>
          <w:rFonts w:hint="eastAsia" w:ascii="仿宋" w:hAnsi="仿宋" w:eastAsia="仿宋" w:cs="仿宋"/>
          <w:b/>
          <w:bCs/>
          <w:sz w:val="32"/>
          <w:szCs w:val="32"/>
          <w:highlight w:val="none"/>
        </w:rPr>
      </w:pPr>
    </w:p>
    <w:p>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（标的名称），属于（采购文件中明确的所属行业）；承建（承接）企业为（企业名称），从业人员  人，营业收入为  万元，资产总额为  万元，属于（中型企业、小型企业、微型企业）；</w:t>
      </w:r>
    </w:p>
    <w:p>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w:t>
      </w:r>
    </w:p>
    <w:p>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以上企业，不属于大企业的分支机构，不存在控股股东为大企业的情形，也不存在与大企业的负责人为同一人的情形。</w:t>
      </w:r>
    </w:p>
    <w:p>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本企业对上述声明内容的真实性负责。如有虚假，将依法承担相应责任。</w:t>
      </w:r>
    </w:p>
    <w:p>
      <w:pPr>
        <w:bidi w:val="0"/>
        <w:rPr>
          <w:rFonts w:hint="eastAsia" w:ascii="仿宋" w:hAnsi="仿宋" w:eastAsia="仿宋" w:cs="仿宋"/>
          <w:color w:val="auto"/>
          <w:kern w:val="2"/>
          <w:sz w:val="24"/>
          <w:szCs w:val="24"/>
          <w:highlight w:val="none"/>
          <w:lang w:val="en-US" w:eastAsia="zh-CN" w:bidi="ar-SA"/>
        </w:rPr>
      </w:pPr>
    </w:p>
    <w:p>
      <w:pPr>
        <w:bidi w:val="0"/>
        <w:rPr>
          <w:rFonts w:hint="eastAsia" w:ascii="仿宋" w:hAnsi="仿宋" w:eastAsia="仿宋" w:cs="仿宋"/>
          <w:color w:val="auto"/>
          <w:kern w:val="2"/>
          <w:sz w:val="24"/>
          <w:szCs w:val="24"/>
          <w:highlight w:val="none"/>
          <w:lang w:val="en-US" w:eastAsia="zh-CN" w:bidi="ar-SA"/>
        </w:rPr>
      </w:pPr>
    </w:p>
    <w:p>
      <w:pPr>
        <w:bidi w:val="0"/>
        <w:rPr>
          <w:rFonts w:hint="eastAsia" w:ascii="仿宋" w:hAnsi="仿宋" w:eastAsia="仿宋" w:cs="仿宋"/>
          <w:color w:val="auto"/>
          <w:sz w:val="24"/>
          <w:szCs w:val="24"/>
          <w:highlight w:val="none"/>
          <w:lang w:val="en-US" w:eastAsia="zh-CN"/>
        </w:rPr>
      </w:pPr>
    </w:p>
    <w:p>
      <w:pPr>
        <w:bidi w:val="0"/>
        <w:rPr>
          <w:rFonts w:hint="eastAsia" w:ascii="仿宋" w:hAnsi="仿宋" w:eastAsia="仿宋" w:cs="仿宋"/>
          <w:color w:val="auto"/>
          <w:sz w:val="24"/>
          <w:szCs w:val="24"/>
          <w:highlight w:val="none"/>
          <w:lang w:val="en-US" w:eastAsia="zh-CN"/>
        </w:rPr>
      </w:pPr>
    </w:p>
    <w:p>
      <w:pPr>
        <w:bidi w:val="0"/>
        <w:rPr>
          <w:rFonts w:hint="eastAsia" w:ascii="仿宋" w:hAnsi="仿宋" w:eastAsia="仿宋" w:cs="仿宋"/>
          <w:color w:val="auto"/>
          <w:sz w:val="24"/>
          <w:szCs w:val="24"/>
          <w:highlight w:val="none"/>
          <w:lang w:val="en-US" w:eastAsia="zh-CN"/>
        </w:rPr>
      </w:pPr>
    </w:p>
    <w:p>
      <w:pPr>
        <w:tabs>
          <w:tab w:val="left" w:pos="3584"/>
        </w:tabs>
        <w:bidi w:val="0"/>
        <w:spacing w:line="480" w:lineRule="auto"/>
        <w:jc w:val="righ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ab/>
      </w:r>
      <w:r>
        <w:rPr>
          <w:rFonts w:hint="eastAsia" w:ascii="仿宋" w:hAnsi="仿宋" w:eastAsia="仿宋" w:cs="仿宋"/>
          <w:color w:val="auto"/>
          <w:sz w:val="24"/>
          <w:szCs w:val="24"/>
          <w:highlight w:val="none"/>
        </w:rPr>
        <w:t xml:space="preserve"> 企业名称（盖章）</w:t>
      </w:r>
      <w:r>
        <w:rPr>
          <w:rFonts w:hint="eastAsia" w:ascii="仿宋" w:hAnsi="仿宋" w:eastAsia="仿宋" w:cs="仿宋"/>
          <w:color w:val="auto"/>
          <w:sz w:val="24"/>
          <w:szCs w:val="24"/>
          <w:highlight w:val="none"/>
          <w:lang w:eastAsia="zh-CN"/>
        </w:rPr>
        <w:t>：</w:t>
      </w:r>
    </w:p>
    <w:p>
      <w:pPr>
        <w:tabs>
          <w:tab w:val="left" w:pos="3584"/>
        </w:tabs>
        <w:bidi w:val="0"/>
        <w:spacing w:line="480" w:lineRule="auto"/>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日期：</w:t>
      </w:r>
    </w:p>
    <w:p>
      <w:pPr>
        <w:bidi w:val="0"/>
        <w:rPr>
          <w:rFonts w:hint="eastAsia" w:ascii="Times New Roman" w:hAnsi="Times New Roman" w:eastAsia="宋体" w:cs="Times New Roman"/>
          <w:color w:val="auto"/>
          <w:kern w:val="2"/>
          <w:sz w:val="21"/>
          <w:szCs w:val="24"/>
          <w:highlight w:val="none"/>
          <w:lang w:val="en-US" w:eastAsia="zh-CN" w:bidi="ar-SA"/>
        </w:rPr>
      </w:pPr>
    </w:p>
    <w:p>
      <w:pPr>
        <w:tabs>
          <w:tab w:val="left" w:pos="1102"/>
        </w:tabs>
        <w:bidi w:val="0"/>
        <w:jc w:val="left"/>
        <w:rPr>
          <w:rFonts w:ascii="仿宋" w:hAnsi="仿宋" w:eastAsia="仿宋" w:cs="宋体"/>
          <w:color w:val="auto"/>
          <w:kern w:val="0"/>
          <w:sz w:val="27"/>
          <w:szCs w:val="27"/>
          <w:highlight w:val="none"/>
        </w:rPr>
      </w:pPr>
      <w:r>
        <w:rPr>
          <w:rFonts w:hint="eastAsia"/>
          <w:color w:val="auto"/>
          <w:highlight w:val="none"/>
          <w:lang w:val="en-US" w:eastAsia="zh-CN"/>
        </w:rPr>
        <w:tab/>
      </w:r>
    </w:p>
    <w:p>
      <w:pPr>
        <w:pStyle w:val="8"/>
        <w:rPr>
          <w:color w:val="auto"/>
          <w:sz w:val="20"/>
          <w:szCs w:val="20"/>
        </w:rPr>
      </w:pPr>
      <w:r>
        <w:rPr>
          <w:rFonts w:hint="eastAsia"/>
          <w:b w:val="0"/>
          <w:bCs w:val="0"/>
          <w:color w:val="auto"/>
          <w:sz w:val="20"/>
          <w:szCs w:val="20"/>
        </w:rPr>
        <w:t>从业人员、营业收入、资产总额填报上一年度数据，无上一年度数据的新成立企业可不填报。</w:t>
      </w:r>
    </w:p>
    <w:p>
      <w:pPr>
        <w:pStyle w:val="8"/>
        <w:kinsoku w:val="0"/>
        <w:overflowPunct w:val="0"/>
        <w:spacing w:before="133" w:line="356" w:lineRule="auto"/>
        <w:ind w:right="248"/>
        <w:jc w:val="center"/>
        <w:rPr>
          <w:rFonts w:hint="eastAsia" w:ascii="仿宋" w:hAnsi="仿宋" w:eastAsia="仿宋" w:cs="仿宋"/>
          <w:b/>
          <w:bCs/>
          <w:highlight w:val="none"/>
        </w:rPr>
      </w:pPr>
      <w:r>
        <w:rPr>
          <w:rFonts w:hint="eastAsia" w:ascii="仿宋" w:hAnsi="仿宋" w:eastAsia="仿宋" w:cs="仿宋"/>
          <w:w w:val="95"/>
          <w:sz w:val="21"/>
          <w:szCs w:val="21"/>
          <w:highlight w:val="none"/>
        </w:rPr>
        <w:br w:type="page"/>
      </w:r>
      <w:r>
        <w:rPr>
          <w:rFonts w:hint="eastAsia" w:hAnsi="仿宋" w:cs="仿宋"/>
          <w:w w:val="95"/>
          <w:sz w:val="21"/>
          <w:szCs w:val="21"/>
          <w:highlight w:val="none"/>
          <w:lang w:val="en-US" w:eastAsia="zh-CN"/>
        </w:rPr>
        <w:t xml:space="preserve">  </w:t>
      </w:r>
      <w:r>
        <w:rPr>
          <w:rFonts w:hint="eastAsia" w:hAnsi="仿宋" w:cs="仿宋"/>
          <w:b/>
          <w:bCs/>
          <w:sz w:val="36"/>
          <w:szCs w:val="36"/>
          <w:highlight w:val="none"/>
          <w:lang w:val="en-US" w:eastAsia="zh-CN"/>
        </w:rPr>
        <w:t>七</w:t>
      </w:r>
      <w:r>
        <w:rPr>
          <w:rFonts w:hint="eastAsia" w:ascii="仿宋" w:hAnsi="仿宋" w:eastAsia="仿宋" w:cs="仿宋"/>
          <w:b/>
          <w:bCs/>
          <w:sz w:val="36"/>
          <w:szCs w:val="36"/>
          <w:highlight w:val="none"/>
        </w:rPr>
        <w:t>、残疾人福利性单位声明函（符合本声明函填</w:t>
      </w:r>
      <w:r>
        <w:rPr>
          <w:rFonts w:hint="eastAsia" w:hAnsi="仿宋" w:cs="仿宋"/>
          <w:b/>
          <w:bCs/>
          <w:sz w:val="36"/>
          <w:szCs w:val="36"/>
          <w:highlight w:val="none"/>
          <w:lang w:val="en-US" w:eastAsia="zh-CN"/>
        </w:rPr>
        <w:t>写</w:t>
      </w:r>
      <w:r>
        <w:rPr>
          <w:rFonts w:hint="eastAsia" w:ascii="仿宋" w:hAnsi="仿宋" w:eastAsia="仿宋" w:cs="仿宋"/>
          <w:b/>
          <w:bCs/>
          <w:sz w:val="36"/>
          <w:szCs w:val="36"/>
          <w:highlight w:val="none"/>
        </w:rPr>
        <w:t>）</w:t>
      </w:r>
    </w:p>
    <w:p>
      <w:pPr>
        <w:pStyle w:val="8"/>
        <w:kinsoku w:val="0"/>
        <w:overflowPunct w:val="0"/>
        <w:spacing w:before="0"/>
        <w:ind w:left="0"/>
        <w:rPr>
          <w:rFonts w:hint="eastAsia" w:ascii="仿宋" w:hAnsi="仿宋" w:eastAsia="仿宋" w:cs="仿宋"/>
          <w:b/>
          <w:bCs/>
          <w:sz w:val="32"/>
          <w:szCs w:val="32"/>
          <w:highlight w:val="none"/>
        </w:rPr>
      </w:pPr>
    </w:p>
    <w:p>
      <w:pPr>
        <w:pStyle w:val="8"/>
        <w:keepNext w:val="0"/>
        <w:keepLines w:val="0"/>
        <w:pageBreakBefore w:val="0"/>
        <w:widowControl w:val="0"/>
        <w:kinsoku/>
        <w:wordWrap/>
        <w:overflowPunct/>
        <w:topLinePunct w:val="0"/>
        <w:autoSpaceDE w:val="0"/>
        <w:autoSpaceDN w:val="0"/>
        <w:bidi w:val="0"/>
        <w:adjustRightInd w:val="0"/>
        <w:snapToGrid/>
        <w:spacing w:line="480" w:lineRule="auto"/>
        <w:ind w:left="119" w:firstLine="480" w:firstLineChars="200"/>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本单位郑重声明，根据《财政部 民政部 中国残疾人联合会关于促进残疾人就业政府采购政策的通知》（财库〔2017〕141 号）的规定，本单位为符合条件的残疾人福利性单位，且本单位参加</w:t>
      </w:r>
      <w:r>
        <w:rPr>
          <w:rFonts w:hint="eastAsia" w:ascii="仿宋" w:hAnsi="仿宋" w:eastAsia="仿宋" w:cs="仿宋"/>
          <w:b w:val="0"/>
          <w:bCs w:val="0"/>
          <w:kern w:val="2"/>
          <w:sz w:val="24"/>
          <w:szCs w:val="24"/>
          <w:u w:val="single"/>
          <w:lang w:val="en-US" w:eastAsia="zh-CN" w:bidi="ar-SA"/>
        </w:rPr>
        <w:tab/>
      </w:r>
      <w:r>
        <w:rPr>
          <w:rFonts w:hint="eastAsia" w:hAnsi="仿宋" w:cs="仿宋"/>
          <w:b w:val="0"/>
          <w:bCs w:val="0"/>
          <w:kern w:val="2"/>
          <w:sz w:val="24"/>
          <w:szCs w:val="24"/>
          <w:u w:val="single"/>
          <w:lang w:val="en-US" w:eastAsia="zh-CN" w:bidi="ar-SA"/>
        </w:rPr>
        <w:t xml:space="preserve"> </w:t>
      </w:r>
      <w:r>
        <w:rPr>
          <w:rFonts w:hint="eastAsia" w:ascii="仿宋" w:hAnsi="仿宋" w:eastAsia="仿宋" w:cs="仿宋"/>
          <w:b w:val="0"/>
          <w:bCs w:val="0"/>
          <w:kern w:val="2"/>
          <w:sz w:val="24"/>
          <w:szCs w:val="24"/>
          <w:lang w:val="en-US" w:eastAsia="zh-CN" w:bidi="ar-SA"/>
        </w:rPr>
        <w:t>单位的</w:t>
      </w:r>
      <w:r>
        <w:rPr>
          <w:rFonts w:hint="eastAsia" w:ascii="仿宋" w:hAnsi="仿宋" w:eastAsia="仿宋" w:cs="仿宋"/>
          <w:b w:val="0"/>
          <w:bCs w:val="0"/>
          <w:kern w:val="2"/>
          <w:sz w:val="24"/>
          <w:szCs w:val="24"/>
          <w:u w:val="single"/>
          <w:lang w:val="en-US" w:eastAsia="zh-CN" w:bidi="ar-SA"/>
        </w:rPr>
        <w:tab/>
      </w:r>
      <w:r>
        <w:rPr>
          <w:rFonts w:hint="eastAsia" w:ascii="仿宋" w:hAnsi="仿宋" w:eastAsia="仿宋" w:cs="仿宋"/>
          <w:b w:val="0"/>
          <w:bCs w:val="0"/>
          <w:kern w:val="2"/>
          <w:sz w:val="24"/>
          <w:szCs w:val="24"/>
          <w:lang w:val="en-US" w:eastAsia="zh-CN" w:bidi="ar-SA"/>
        </w:rPr>
        <w:t>项目采购活动提供本单位制造的货物（由本单位承担工程/提供服务），或者提供其他残疾人福利性单位制造的货物（不包括使用非残疾人福利性单位注册商标的货物）。 本单位对上述声明的真实性负责，如有虚假，将依法承担相应责任。</w:t>
      </w:r>
    </w:p>
    <w:p>
      <w:pPr>
        <w:pStyle w:val="8"/>
        <w:spacing w:line="360" w:lineRule="auto"/>
        <w:ind w:left="0" w:leftChars="0" w:firstLine="0" w:firstLineChars="0"/>
        <w:rPr>
          <w:rFonts w:hint="eastAsia" w:ascii="仿宋" w:hAnsi="仿宋" w:eastAsia="仿宋" w:cs="仿宋"/>
          <w:b w:val="0"/>
          <w:bCs w:val="0"/>
          <w:kern w:val="2"/>
          <w:sz w:val="24"/>
          <w:szCs w:val="24"/>
          <w:lang w:val="en-US" w:eastAsia="zh-CN" w:bidi="ar-SA"/>
        </w:rPr>
      </w:pPr>
    </w:p>
    <w:p>
      <w:pPr>
        <w:pStyle w:val="8"/>
        <w:spacing w:line="360" w:lineRule="auto"/>
        <w:rPr>
          <w:rFonts w:hint="eastAsia" w:ascii="仿宋" w:hAnsi="仿宋" w:eastAsia="仿宋" w:cs="仿宋"/>
          <w:b w:val="0"/>
          <w:bCs w:val="0"/>
          <w:kern w:val="2"/>
          <w:sz w:val="24"/>
          <w:szCs w:val="24"/>
          <w:lang w:val="en-US" w:eastAsia="zh-CN" w:bidi="ar-SA"/>
        </w:rPr>
      </w:pPr>
    </w:p>
    <w:p>
      <w:pPr>
        <w:rPr>
          <w:rFonts w:hint="eastAsia"/>
          <w:lang w:val="en-US" w:eastAsia="zh-CN"/>
        </w:rPr>
      </w:pPr>
    </w:p>
    <w:p>
      <w:pPr>
        <w:pStyle w:val="8"/>
        <w:spacing w:line="360" w:lineRule="auto"/>
        <w:jc w:val="righ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投标单位：</w:t>
      </w:r>
      <w:r>
        <w:rPr>
          <w:rFonts w:hint="eastAsia" w:ascii="仿宋" w:hAnsi="仿宋" w:eastAsia="仿宋" w:cs="仿宋"/>
          <w:b w:val="0"/>
          <w:bCs w:val="0"/>
          <w:kern w:val="2"/>
          <w:sz w:val="24"/>
          <w:szCs w:val="24"/>
          <w:u w:val="single"/>
          <w:lang w:val="en-US" w:eastAsia="zh-CN" w:bidi="ar-SA"/>
        </w:rPr>
        <w:t xml:space="preserve">           </w:t>
      </w:r>
      <w:r>
        <w:rPr>
          <w:rFonts w:hint="eastAsia" w:ascii="仿宋" w:hAnsi="仿宋" w:eastAsia="仿宋" w:cs="仿宋"/>
          <w:b w:val="0"/>
          <w:bCs w:val="0"/>
          <w:kern w:val="2"/>
          <w:sz w:val="24"/>
          <w:szCs w:val="24"/>
          <w:lang w:val="en-US" w:eastAsia="zh-CN" w:bidi="ar-SA"/>
        </w:rPr>
        <w:t xml:space="preserve">（盖章） </w:t>
      </w:r>
    </w:p>
    <w:p>
      <w:pPr>
        <w:pStyle w:val="8"/>
        <w:spacing w:line="360" w:lineRule="auto"/>
        <w:jc w:val="righ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法定代表人或被授权人：</w:t>
      </w:r>
      <w:r>
        <w:rPr>
          <w:rFonts w:hint="eastAsia" w:ascii="仿宋" w:hAnsi="仿宋" w:eastAsia="仿宋" w:cs="仿宋"/>
          <w:b w:val="0"/>
          <w:bCs w:val="0"/>
          <w:kern w:val="2"/>
          <w:sz w:val="24"/>
          <w:szCs w:val="24"/>
          <w:u w:val="single"/>
          <w:lang w:val="en-US" w:eastAsia="zh-CN" w:bidi="ar-SA"/>
        </w:rPr>
        <w:t xml:space="preserve">           </w:t>
      </w:r>
      <w:r>
        <w:rPr>
          <w:rFonts w:hint="eastAsia" w:ascii="仿宋" w:hAnsi="仿宋" w:eastAsia="仿宋" w:cs="仿宋"/>
          <w:b w:val="0"/>
          <w:bCs w:val="0"/>
          <w:kern w:val="2"/>
          <w:sz w:val="24"/>
          <w:szCs w:val="24"/>
          <w:lang w:val="en-US" w:eastAsia="zh-CN" w:bidi="ar-SA"/>
        </w:rPr>
        <w:t>（签字）</w:t>
      </w:r>
    </w:p>
    <w:p>
      <w:pPr>
        <w:pStyle w:val="8"/>
        <w:spacing w:line="360" w:lineRule="auto"/>
        <w:jc w:val="righ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日</w:t>
      </w:r>
      <w:r>
        <w:rPr>
          <w:rFonts w:hint="eastAsia" w:ascii="仿宋" w:hAnsi="仿宋" w:eastAsia="仿宋" w:cs="仿宋"/>
          <w:b w:val="0"/>
          <w:bCs w:val="0"/>
          <w:kern w:val="2"/>
          <w:sz w:val="24"/>
          <w:szCs w:val="24"/>
          <w:lang w:val="en-US" w:eastAsia="zh-CN" w:bidi="ar-SA"/>
        </w:rPr>
        <w:tab/>
      </w:r>
      <w:r>
        <w:rPr>
          <w:rFonts w:hint="eastAsia" w:ascii="仿宋" w:hAnsi="仿宋" w:eastAsia="仿宋" w:cs="仿宋"/>
          <w:b w:val="0"/>
          <w:bCs w:val="0"/>
          <w:kern w:val="2"/>
          <w:sz w:val="24"/>
          <w:szCs w:val="24"/>
          <w:lang w:val="en-US" w:eastAsia="zh-CN" w:bidi="ar-SA"/>
        </w:rPr>
        <w:t>期：</w:t>
      </w:r>
      <w:r>
        <w:rPr>
          <w:rFonts w:hint="eastAsia" w:ascii="仿宋" w:hAnsi="仿宋" w:eastAsia="仿宋" w:cs="仿宋"/>
          <w:b w:val="0"/>
          <w:bCs w:val="0"/>
          <w:kern w:val="2"/>
          <w:sz w:val="24"/>
          <w:szCs w:val="24"/>
          <w:u w:val="single"/>
          <w:lang w:val="en-US" w:eastAsia="zh-CN" w:bidi="ar-SA"/>
        </w:rPr>
        <w:t xml:space="preserve">    </w:t>
      </w:r>
      <w:r>
        <w:rPr>
          <w:rFonts w:hint="eastAsia" w:ascii="仿宋" w:hAnsi="仿宋" w:eastAsia="仿宋" w:cs="仿宋"/>
          <w:b w:val="0"/>
          <w:bCs w:val="0"/>
          <w:kern w:val="2"/>
          <w:sz w:val="24"/>
          <w:szCs w:val="24"/>
          <w:lang w:val="en-US" w:eastAsia="zh-CN" w:bidi="ar-SA"/>
        </w:rPr>
        <w:t>年</w:t>
      </w:r>
      <w:r>
        <w:rPr>
          <w:rFonts w:hint="eastAsia" w:ascii="仿宋" w:hAnsi="仿宋" w:eastAsia="仿宋" w:cs="仿宋"/>
          <w:b w:val="0"/>
          <w:bCs w:val="0"/>
          <w:kern w:val="2"/>
          <w:sz w:val="24"/>
          <w:szCs w:val="24"/>
          <w:u w:val="single"/>
          <w:lang w:val="en-US" w:eastAsia="zh-CN" w:bidi="ar-SA"/>
        </w:rPr>
        <w:t xml:space="preserve">      </w:t>
      </w:r>
      <w:r>
        <w:rPr>
          <w:rFonts w:hint="eastAsia" w:ascii="仿宋" w:hAnsi="仿宋" w:eastAsia="仿宋" w:cs="仿宋"/>
          <w:b w:val="0"/>
          <w:bCs w:val="0"/>
          <w:kern w:val="2"/>
          <w:sz w:val="24"/>
          <w:szCs w:val="24"/>
          <w:lang w:val="en-US" w:eastAsia="zh-CN" w:bidi="ar-SA"/>
        </w:rPr>
        <w:t>月</w:t>
      </w:r>
      <w:r>
        <w:rPr>
          <w:rFonts w:hint="eastAsia" w:ascii="仿宋" w:hAnsi="仿宋" w:eastAsia="仿宋" w:cs="仿宋"/>
          <w:b w:val="0"/>
          <w:bCs w:val="0"/>
          <w:kern w:val="2"/>
          <w:sz w:val="24"/>
          <w:szCs w:val="24"/>
          <w:u w:val="single"/>
          <w:lang w:val="en-US" w:eastAsia="zh-CN" w:bidi="ar-SA"/>
        </w:rPr>
        <w:t xml:space="preserve">     </w:t>
      </w:r>
      <w:r>
        <w:rPr>
          <w:rFonts w:hint="eastAsia" w:ascii="仿宋" w:hAnsi="仿宋" w:eastAsia="仿宋" w:cs="仿宋"/>
          <w:b w:val="0"/>
          <w:bCs w:val="0"/>
          <w:kern w:val="2"/>
          <w:sz w:val="24"/>
          <w:szCs w:val="24"/>
          <w:lang w:val="en-US" w:eastAsia="zh-CN" w:bidi="ar-SA"/>
        </w:rPr>
        <w:t>日</w:t>
      </w:r>
    </w:p>
    <w:p>
      <w:pPr>
        <w:pStyle w:val="8"/>
        <w:spacing w:line="360" w:lineRule="auto"/>
        <w:ind w:left="0" w:leftChars="0" w:firstLine="0" w:firstLineChars="0"/>
        <w:rPr>
          <w:rFonts w:hint="eastAsia" w:ascii="仿宋" w:hAnsi="仿宋" w:eastAsia="仿宋" w:cs="仿宋"/>
          <w:b w:val="0"/>
          <w:bCs w:val="0"/>
          <w:kern w:val="2"/>
          <w:sz w:val="24"/>
          <w:szCs w:val="24"/>
          <w:lang w:val="en-US" w:eastAsia="zh-CN" w:bidi="ar-SA"/>
        </w:rPr>
      </w:pPr>
    </w:p>
    <w:p>
      <w:pPr>
        <w:pStyle w:val="8"/>
        <w:spacing w:line="360" w:lineRule="auto"/>
        <w:jc w:val="left"/>
        <w:rPr>
          <w:rFonts w:hint="eastAsia" w:ascii="仿宋" w:hAnsi="仿宋" w:eastAsia="仿宋" w:cs="仿宋"/>
          <w:b w:val="0"/>
          <w:bCs w:val="0"/>
          <w:kern w:val="2"/>
          <w:sz w:val="24"/>
          <w:szCs w:val="24"/>
          <w:lang w:val="en-US" w:eastAsia="zh-CN" w:bidi="ar-SA"/>
        </w:rPr>
      </w:pPr>
    </w:p>
    <w:p>
      <w:pPr>
        <w:pStyle w:val="8"/>
        <w:spacing w:line="360" w:lineRule="auto"/>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说明：</w:t>
      </w:r>
    </w:p>
    <w:p>
      <w:pPr>
        <w:pStyle w:val="8"/>
        <w:spacing w:line="360" w:lineRule="auto"/>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 xml:space="preserve">1、填写前请认真阅读《财政部 民政部 中国残疾人联合会关于促进残疾人就业政府采购政策的通知》（财库〔2017〕141 号）相关规定。 </w:t>
      </w:r>
    </w:p>
    <w:p>
      <w:pPr>
        <w:pStyle w:val="8"/>
        <w:spacing w:line="360" w:lineRule="auto"/>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2、残疾人福利性单位应在本声明函后提供相关证明材料。</w:t>
      </w:r>
    </w:p>
    <w:p>
      <w:pPr>
        <w:pStyle w:val="8"/>
        <w:spacing w:line="360" w:lineRule="auto"/>
        <w:jc w:val="left"/>
        <w:rPr>
          <w:rFonts w:hint="eastAsia" w:ascii="仿宋" w:hAnsi="仿宋" w:eastAsia="仿宋" w:cs="仿宋"/>
          <w:sz w:val="24"/>
          <w:szCs w:val="24"/>
        </w:rPr>
      </w:pPr>
      <w:r>
        <w:rPr>
          <w:rFonts w:hint="eastAsia" w:ascii="仿宋" w:hAnsi="仿宋" w:eastAsia="仿宋" w:cs="仿宋"/>
          <w:b w:val="0"/>
          <w:bCs w:val="0"/>
          <w:kern w:val="2"/>
          <w:sz w:val="24"/>
          <w:szCs w:val="24"/>
          <w:lang w:val="en-US" w:eastAsia="zh-CN" w:bidi="ar-SA"/>
        </w:rPr>
        <w:t>3、未按上述要求提供、填写的，评审时不予以考虑。</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2"/>
                            <w:tabs>
                              <w:tab w:val="center" w:pos="4140"/>
                              <w:tab w:val="right" w:pos="8300"/>
                              <w:tab w:val="clear" w:pos="4153"/>
                              <w:tab w:val="clear" w:pos="8306"/>
                            </w:tabs>
                            <w:rPr>
                              <w:rFonts w:hint="eastAsia"/>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PWwfzzOAQAAqwMAAA4AAAAAAAAAAQAgAAAAHgEAAGRycy9l&#10;Mm9Eb2MueG1sUEsFBgAAAAAGAAYAWQEAAF4FAAAAAA==&#10;">
              <v:fill on="f" focussize="0,0"/>
              <v:stroke on="f"/>
              <v:imagedata o:title=""/>
              <o:lock v:ext="edit" aspectratio="f"/>
              <v:textbox inset="0mm,0mm,0mm,0mm" style="mso-fit-shape-to-text:t;">
                <w:txbxContent>
                  <w:p>
                    <w:pPr>
                      <w:pStyle w:val="12"/>
                      <w:tabs>
                        <w:tab w:val="center" w:pos="4140"/>
                        <w:tab w:val="right" w:pos="8300"/>
                        <w:tab w:val="clear" w:pos="4153"/>
                        <w:tab w:val="clear" w:pos="8306"/>
                      </w:tabs>
                      <w:rPr>
                        <w:rFonts w:hint="eastAsia"/>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24C123"/>
    <w:multiLevelType w:val="singleLevel"/>
    <w:tmpl w:val="A624C123"/>
    <w:lvl w:ilvl="0" w:tentative="0">
      <w:start w:val="6"/>
      <w:numFmt w:val="decimal"/>
      <w:suff w:val="nothing"/>
      <w:lvlText w:val="%1、"/>
      <w:lvlJc w:val="left"/>
    </w:lvl>
  </w:abstractNum>
  <w:abstractNum w:abstractNumId="1">
    <w:nsid w:val="B3220407"/>
    <w:multiLevelType w:val="singleLevel"/>
    <w:tmpl w:val="B3220407"/>
    <w:lvl w:ilvl="0" w:tentative="0">
      <w:start w:val="1"/>
      <w:numFmt w:val="decimal"/>
      <w:suff w:val="nothing"/>
      <w:lvlText w:val="%1、"/>
      <w:lvlJc w:val="left"/>
    </w:lvl>
  </w:abstractNum>
  <w:abstractNum w:abstractNumId="2">
    <w:nsid w:val="CCA90024"/>
    <w:multiLevelType w:val="singleLevel"/>
    <w:tmpl w:val="CCA90024"/>
    <w:lvl w:ilvl="0" w:tentative="0">
      <w:start w:val="4"/>
      <w:numFmt w:val="chineseCounting"/>
      <w:suff w:val="nothing"/>
      <w:lvlText w:val="%1、"/>
      <w:lvlJc w:val="left"/>
      <w:rPr>
        <w:rFonts w:hint="eastAsia"/>
      </w:rPr>
    </w:lvl>
  </w:abstractNum>
  <w:abstractNum w:abstractNumId="3">
    <w:nsid w:val="F1A7D9C0"/>
    <w:multiLevelType w:val="singleLevel"/>
    <w:tmpl w:val="F1A7D9C0"/>
    <w:lvl w:ilvl="0" w:tentative="0">
      <w:start w:val="2"/>
      <w:numFmt w:val="decimal"/>
      <w:suff w:val="nothing"/>
      <w:lvlText w:val="%1、"/>
      <w:lvlJc w:val="left"/>
    </w:lvl>
  </w:abstractNum>
  <w:abstractNum w:abstractNumId="4">
    <w:nsid w:val="23F706E2"/>
    <w:multiLevelType w:val="singleLevel"/>
    <w:tmpl w:val="23F706E2"/>
    <w:lvl w:ilvl="0" w:tentative="0">
      <w:start w:val="1"/>
      <w:numFmt w:val="decimal"/>
      <w:suff w:val="nothing"/>
      <w:lvlText w:val="%1、"/>
      <w:lvlJc w:val="left"/>
    </w:lvl>
  </w:abstractNum>
  <w:abstractNum w:abstractNumId="5">
    <w:nsid w:val="2917A806"/>
    <w:multiLevelType w:val="singleLevel"/>
    <w:tmpl w:val="2917A806"/>
    <w:lvl w:ilvl="0" w:tentative="0">
      <w:start w:val="1"/>
      <w:numFmt w:val="decimal"/>
      <w:suff w:val="nothing"/>
      <w:lvlText w:val="%1、"/>
      <w:lvlJc w:val="left"/>
    </w:lvl>
  </w:abstractNum>
  <w:abstractNum w:abstractNumId="6">
    <w:nsid w:val="439600D2"/>
    <w:multiLevelType w:val="singleLevel"/>
    <w:tmpl w:val="439600D2"/>
    <w:lvl w:ilvl="0" w:tentative="0">
      <w:start w:val="1"/>
      <w:numFmt w:val="decimal"/>
      <w:lvlText w:val="%1."/>
      <w:lvlJc w:val="left"/>
      <w:pPr>
        <w:tabs>
          <w:tab w:val="left" w:pos="312"/>
        </w:tabs>
      </w:pPr>
    </w:lvl>
  </w:abstractNum>
  <w:abstractNum w:abstractNumId="7">
    <w:nsid w:val="453B3942"/>
    <w:multiLevelType w:val="multilevel"/>
    <w:tmpl w:val="453B3942"/>
    <w:lvl w:ilvl="0" w:tentative="0">
      <w:start w:val="1"/>
      <w:numFmt w:val="decimal"/>
      <w:lvlText w:val="第%1章"/>
      <w:lvlJc w:val="left"/>
      <w:pPr>
        <w:tabs>
          <w:tab w:val="left" w:pos="851"/>
        </w:tabs>
        <w:ind w:left="0" w:firstLine="0"/>
      </w:pPr>
      <w:rPr>
        <w:rFonts w:hint="eastAsia"/>
      </w:rPr>
    </w:lvl>
    <w:lvl w:ilvl="1" w:tentative="0">
      <w:start w:val="1"/>
      <w:numFmt w:val="decimalZero"/>
      <w:isLgl/>
      <w:lvlText w:val="节 %1.%2"/>
      <w:lvlJc w:val="left"/>
      <w:pPr>
        <w:tabs>
          <w:tab w:val="left" w:pos="2520"/>
        </w:tabs>
        <w:ind w:left="1800" w:firstLine="0"/>
      </w:pPr>
      <w:rPr>
        <w:rFonts w:hint="eastAsia"/>
      </w:rPr>
    </w:lvl>
    <w:lvl w:ilvl="2" w:tentative="0">
      <w:start w:val="1"/>
      <w:numFmt w:val="lowerLetter"/>
      <w:pStyle w:val="4"/>
      <w:lvlText w:val="(%3)"/>
      <w:lvlJc w:val="left"/>
      <w:pPr>
        <w:tabs>
          <w:tab w:val="left" w:pos="720"/>
        </w:tabs>
        <w:ind w:left="720" w:hanging="432"/>
      </w:pPr>
      <w:rPr>
        <w:rFonts w:hint="eastAsia"/>
      </w:rPr>
    </w:lvl>
    <w:lvl w:ilvl="3" w:tentative="0">
      <w:start w:val="1"/>
      <w:numFmt w:val="lowerRoman"/>
      <w:lvlText w:val="(%4)"/>
      <w:lvlJc w:val="right"/>
      <w:pPr>
        <w:tabs>
          <w:tab w:val="left" w:pos="864"/>
        </w:tabs>
        <w:ind w:left="864" w:hanging="144"/>
      </w:pPr>
      <w:rPr>
        <w:rFonts w:hint="eastAsia"/>
      </w:rPr>
    </w:lvl>
    <w:lvl w:ilvl="4" w:tentative="0">
      <w:start w:val="1"/>
      <w:numFmt w:val="decimal"/>
      <w:lvlText w:val="%5)"/>
      <w:lvlJc w:val="left"/>
      <w:pPr>
        <w:tabs>
          <w:tab w:val="left" w:pos="1008"/>
        </w:tabs>
        <w:ind w:left="1008" w:hanging="432"/>
      </w:pPr>
      <w:rPr>
        <w:rFonts w:hint="eastAsia"/>
      </w:rPr>
    </w:lvl>
    <w:lvl w:ilvl="5" w:tentative="0">
      <w:start w:val="1"/>
      <w:numFmt w:val="lowerLetter"/>
      <w:lvlText w:val="%6)"/>
      <w:lvlJc w:val="left"/>
      <w:pPr>
        <w:tabs>
          <w:tab w:val="left" w:pos="1152"/>
        </w:tabs>
        <w:ind w:left="1152" w:hanging="432"/>
      </w:pPr>
      <w:rPr>
        <w:rFonts w:hint="eastAsia"/>
      </w:rPr>
    </w:lvl>
    <w:lvl w:ilvl="6" w:tentative="0">
      <w:start w:val="1"/>
      <w:numFmt w:val="lowerRoman"/>
      <w:lvlText w:val="%7)"/>
      <w:lvlJc w:val="right"/>
      <w:pPr>
        <w:tabs>
          <w:tab w:val="left" w:pos="1296"/>
        </w:tabs>
        <w:ind w:left="1296" w:hanging="288"/>
      </w:pPr>
      <w:rPr>
        <w:rFonts w:hint="eastAsia"/>
      </w:rPr>
    </w:lvl>
    <w:lvl w:ilvl="7" w:tentative="0">
      <w:start w:val="1"/>
      <w:numFmt w:val="lowerLetter"/>
      <w:lvlText w:val="%8."/>
      <w:lvlJc w:val="left"/>
      <w:pPr>
        <w:tabs>
          <w:tab w:val="left" w:pos="1440"/>
        </w:tabs>
        <w:ind w:left="1440" w:hanging="432"/>
      </w:pPr>
      <w:rPr>
        <w:rFonts w:hint="eastAsia"/>
      </w:rPr>
    </w:lvl>
    <w:lvl w:ilvl="8" w:tentative="0">
      <w:start w:val="1"/>
      <w:numFmt w:val="lowerRoman"/>
      <w:lvlText w:val="%9."/>
      <w:lvlJc w:val="right"/>
      <w:pPr>
        <w:tabs>
          <w:tab w:val="left" w:pos="1584"/>
        </w:tabs>
        <w:ind w:left="1584" w:hanging="144"/>
      </w:pPr>
      <w:rPr>
        <w:rFonts w:hint="eastAsia"/>
      </w:rPr>
    </w:lvl>
  </w:abstractNum>
  <w:abstractNum w:abstractNumId="8">
    <w:nsid w:val="535D6EC3"/>
    <w:multiLevelType w:val="singleLevel"/>
    <w:tmpl w:val="535D6EC3"/>
    <w:lvl w:ilvl="0" w:tentative="0">
      <w:start w:val="1"/>
      <w:numFmt w:val="decimal"/>
      <w:suff w:val="nothing"/>
      <w:lvlText w:val="%1、"/>
      <w:lvlJc w:val="left"/>
      <w:rPr>
        <w:rFonts w:hint="default"/>
        <w:b/>
        <w:bCs/>
        <w:color w:val="000000" w:themeColor="text1"/>
        <w14:textFill>
          <w14:solidFill>
            <w14:schemeClr w14:val="tx1"/>
          </w14:solidFill>
        </w14:textFill>
      </w:rPr>
    </w:lvl>
  </w:abstractNum>
  <w:abstractNum w:abstractNumId="9">
    <w:nsid w:val="63B089E3"/>
    <w:multiLevelType w:val="singleLevel"/>
    <w:tmpl w:val="63B089E3"/>
    <w:lvl w:ilvl="0" w:tentative="0">
      <w:start w:val="1"/>
      <w:numFmt w:val="chineseCounting"/>
      <w:suff w:val="space"/>
      <w:lvlText w:val="%1、"/>
      <w:lvlJc w:val="left"/>
      <w:rPr>
        <w:rFonts w:hint="eastAsia"/>
      </w:rPr>
    </w:lvl>
  </w:abstractNum>
  <w:num w:numId="1">
    <w:abstractNumId w:val="7"/>
  </w:num>
  <w:num w:numId="2">
    <w:abstractNumId w:val="8"/>
  </w:num>
  <w:num w:numId="3">
    <w:abstractNumId w:val="0"/>
  </w:num>
  <w:num w:numId="4">
    <w:abstractNumId w:val="1"/>
  </w:num>
  <w:num w:numId="5">
    <w:abstractNumId w:val="3"/>
  </w:num>
  <w:num w:numId="6">
    <w:abstractNumId w:val="6"/>
  </w:num>
  <w:num w:numId="7">
    <w:abstractNumId w:val="5"/>
  </w:num>
  <w:num w:numId="8">
    <w:abstractNumId w:val="4"/>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1YjljMzdmYWRiMGJjOWE1MzI5YzQ4ZTFlY2YwYmUifQ=="/>
    <w:docVar w:name="KSO_WPS_MARK_KEY" w:val="24a8bac3-c908-43de-b645-fb10e1c951a4"/>
  </w:docVars>
  <w:rsids>
    <w:rsidRoot w:val="00000000"/>
    <w:rsid w:val="0002561E"/>
    <w:rsid w:val="000332E6"/>
    <w:rsid w:val="0004731A"/>
    <w:rsid w:val="000A0AE0"/>
    <w:rsid w:val="000C024B"/>
    <w:rsid w:val="000C68BF"/>
    <w:rsid w:val="00133BFE"/>
    <w:rsid w:val="001971B5"/>
    <w:rsid w:val="001A1B32"/>
    <w:rsid w:val="001B494C"/>
    <w:rsid w:val="001E47E1"/>
    <w:rsid w:val="00213CCD"/>
    <w:rsid w:val="002235CA"/>
    <w:rsid w:val="002410F1"/>
    <w:rsid w:val="00247343"/>
    <w:rsid w:val="0025080E"/>
    <w:rsid w:val="00250BC8"/>
    <w:rsid w:val="002B247F"/>
    <w:rsid w:val="002E1F6F"/>
    <w:rsid w:val="002F7EBE"/>
    <w:rsid w:val="00330C60"/>
    <w:rsid w:val="00351550"/>
    <w:rsid w:val="00354107"/>
    <w:rsid w:val="00377076"/>
    <w:rsid w:val="003A792B"/>
    <w:rsid w:val="003C468C"/>
    <w:rsid w:val="00443541"/>
    <w:rsid w:val="004874D5"/>
    <w:rsid w:val="004927C9"/>
    <w:rsid w:val="00494FFB"/>
    <w:rsid w:val="004B2B21"/>
    <w:rsid w:val="004C6367"/>
    <w:rsid w:val="004D6899"/>
    <w:rsid w:val="004E0863"/>
    <w:rsid w:val="0050277B"/>
    <w:rsid w:val="0051013D"/>
    <w:rsid w:val="00675481"/>
    <w:rsid w:val="0067722F"/>
    <w:rsid w:val="00710DCC"/>
    <w:rsid w:val="007200AE"/>
    <w:rsid w:val="00721E1F"/>
    <w:rsid w:val="00784F9E"/>
    <w:rsid w:val="007A5276"/>
    <w:rsid w:val="007C0F2D"/>
    <w:rsid w:val="007C2509"/>
    <w:rsid w:val="00844285"/>
    <w:rsid w:val="00845BFE"/>
    <w:rsid w:val="008D138C"/>
    <w:rsid w:val="008D40EF"/>
    <w:rsid w:val="009269A2"/>
    <w:rsid w:val="009761A5"/>
    <w:rsid w:val="009C512B"/>
    <w:rsid w:val="009F73E9"/>
    <w:rsid w:val="00A30596"/>
    <w:rsid w:val="00A33BC0"/>
    <w:rsid w:val="00AC325D"/>
    <w:rsid w:val="00AD200C"/>
    <w:rsid w:val="00B224E9"/>
    <w:rsid w:val="00B2631C"/>
    <w:rsid w:val="00B62CBC"/>
    <w:rsid w:val="00B745A9"/>
    <w:rsid w:val="00BC57CD"/>
    <w:rsid w:val="00BE60CF"/>
    <w:rsid w:val="00BF52BD"/>
    <w:rsid w:val="00C01019"/>
    <w:rsid w:val="00C17D4C"/>
    <w:rsid w:val="00C27639"/>
    <w:rsid w:val="00C30909"/>
    <w:rsid w:val="00C36B5B"/>
    <w:rsid w:val="00C9289D"/>
    <w:rsid w:val="00CE5721"/>
    <w:rsid w:val="00CF5500"/>
    <w:rsid w:val="00D01932"/>
    <w:rsid w:val="00D26D9F"/>
    <w:rsid w:val="00DC7C1D"/>
    <w:rsid w:val="00DE1BE7"/>
    <w:rsid w:val="00E15304"/>
    <w:rsid w:val="00E45938"/>
    <w:rsid w:val="00E54D24"/>
    <w:rsid w:val="00E763D2"/>
    <w:rsid w:val="00E80370"/>
    <w:rsid w:val="00ED290E"/>
    <w:rsid w:val="00ED5986"/>
    <w:rsid w:val="00F46D15"/>
    <w:rsid w:val="00F72CA9"/>
    <w:rsid w:val="00FA00A3"/>
    <w:rsid w:val="00FB5937"/>
    <w:rsid w:val="00FC206D"/>
    <w:rsid w:val="00FD4999"/>
    <w:rsid w:val="00FE1942"/>
    <w:rsid w:val="00FE221A"/>
    <w:rsid w:val="01027394"/>
    <w:rsid w:val="01042CD0"/>
    <w:rsid w:val="01044493"/>
    <w:rsid w:val="01062EEC"/>
    <w:rsid w:val="010827C0"/>
    <w:rsid w:val="01103B04"/>
    <w:rsid w:val="011214C9"/>
    <w:rsid w:val="0115597C"/>
    <w:rsid w:val="01170C55"/>
    <w:rsid w:val="01180B1A"/>
    <w:rsid w:val="011915AC"/>
    <w:rsid w:val="011B6EC8"/>
    <w:rsid w:val="011C1B52"/>
    <w:rsid w:val="01203F76"/>
    <w:rsid w:val="01203FAE"/>
    <w:rsid w:val="01207168"/>
    <w:rsid w:val="01270A16"/>
    <w:rsid w:val="01287101"/>
    <w:rsid w:val="012D66CB"/>
    <w:rsid w:val="012F25F7"/>
    <w:rsid w:val="01352CD2"/>
    <w:rsid w:val="013622CC"/>
    <w:rsid w:val="0139304C"/>
    <w:rsid w:val="01395070"/>
    <w:rsid w:val="01396E1E"/>
    <w:rsid w:val="013A4C52"/>
    <w:rsid w:val="013A4E50"/>
    <w:rsid w:val="013D4B60"/>
    <w:rsid w:val="013E4434"/>
    <w:rsid w:val="01422176"/>
    <w:rsid w:val="01431A4A"/>
    <w:rsid w:val="014A102B"/>
    <w:rsid w:val="014B24F1"/>
    <w:rsid w:val="01501857"/>
    <w:rsid w:val="01524DE4"/>
    <w:rsid w:val="01535E53"/>
    <w:rsid w:val="01541EA9"/>
    <w:rsid w:val="01576C1D"/>
    <w:rsid w:val="01594C6A"/>
    <w:rsid w:val="01595456"/>
    <w:rsid w:val="015E4AD6"/>
    <w:rsid w:val="01611F49"/>
    <w:rsid w:val="01613C31"/>
    <w:rsid w:val="01675FD7"/>
    <w:rsid w:val="0168401C"/>
    <w:rsid w:val="0168741D"/>
    <w:rsid w:val="016E54D2"/>
    <w:rsid w:val="016F4205"/>
    <w:rsid w:val="016F7B8B"/>
    <w:rsid w:val="017032A3"/>
    <w:rsid w:val="01763BCE"/>
    <w:rsid w:val="017844B4"/>
    <w:rsid w:val="017E5FA0"/>
    <w:rsid w:val="017F1520"/>
    <w:rsid w:val="01815282"/>
    <w:rsid w:val="01820E26"/>
    <w:rsid w:val="01831A44"/>
    <w:rsid w:val="01866D8A"/>
    <w:rsid w:val="01883901"/>
    <w:rsid w:val="018A1427"/>
    <w:rsid w:val="018C5205"/>
    <w:rsid w:val="0190118E"/>
    <w:rsid w:val="0196601E"/>
    <w:rsid w:val="01967DCC"/>
    <w:rsid w:val="01984512"/>
    <w:rsid w:val="0199213C"/>
    <w:rsid w:val="01992619"/>
    <w:rsid w:val="01995B0E"/>
    <w:rsid w:val="019C423B"/>
    <w:rsid w:val="01A02D02"/>
    <w:rsid w:val="01A033DC"/>
    <w:rsid w:val="01A328B8"/>
    <w:rsid w:val="01A6009D"/>
    <w:rsid w:val="01AC4905"/>
    <w:rsid w:val="01AE147F"/>
    <w:rsid w:val="01AF0E8E"/>
    <w:rsid w:val="01AF68E8"/>
    <w:rsid w:val="01B35B2F"/>
    <w:rsid w:val="01B70CC2"/>
    <w:rsid w:val="01B96C47"/>
    <w:rsid w:val="01BA61B0"/>
    <w:rsid w:val="01BE19C4"/>
    <w:rsid w:val="01BF37C7"/>
    <w:rsid w:val="01C2420F"/>
    <w:rsid w:val="01C71AFB"/>
    <w:rsid w:val="01C93779"/>
    <w:rsid w:val="01CA4078"/>
    <w:rsid w:val="01CE3A0A"/>
    <w:rsid w:val="01CF5B5D"/>
    <w:rsid w:val="01D21993"/>
    <w:rsid w:val="01D455A5"/>
    <w:rsid w:val="01D731C0"/>
    <w:rsid w:val="01DF79C5"/>
    <w:rsid w:val="01E22971"/>
    <w:rsid w:val="01E30724"/>
    <w:rsid w:val="01E46073"/>
    <w:rsid w:val="01E70DA9"/>
    <w:rsid w:val="01EA0118"/>
    <w:rsid w:val="01EA409E"/>
    <w:rsid w:val="01F9035B"/>
    <w:rsid w:val="01F97A87"/>
    <w:rsid w:val="01FA0B84"/>
    <w:rsid w:val="02035B4B"/>
    <w:rsid w:val="020835F5"/>
    <w:rsid w:val="020E3E06"/>
    <w:rsid w:val="021350E5"/>
    <w:rsid w:val="02140CAE"/>
    <w:rsid w:val="02143B66"/>
    <w:rsid w:val="02144BFA"/>
    <w:rsid w:val="02167CCA"/>
    <w:rsid w:val="02176B4D"/>
    <w:rsid w:val="021806DE"/>
    <w:rsid w:val="021A21AD"/>
    <w:rsid w:val="021C23A2"/>
    <w:rsid w:val="021E7B34"/>
    <w:rsid w:val="021F7003"/>
    <w:rsid w:val="02243F0A"/>
    <w:rsid w:val="02247ACE"/>
    <w:rsid w:val="02285BB9"/>
    <w:rsid w:val="022C5CCC"/>
    <w:rsid w:val="022D20EE"/>
    <w:rsid w:val="022D6D74"/>
    <w:rsid w:val="023138E4"/>
    <w:rsid w:val="023422C8"/>
    <w:rsid w:val="02345849"/>
    <w:rsid w:val="0238739E"/>
    <w:rsid w:val="023F66B6"/>
    <w:rsid w:val="0247556A"/>
    <w:rsid w:val="02477318"/>
    <w:rsid w:val="02493090"/>
    <w:rsid w:val="024A0BB7"/>
    <w:rsid w:val="02506E26"/>
    <w:rsid w:val="0251785E"/>
    <w:rsid w:val="02524299"/>
    <w:rsid w:val="02533F0F"/>
    <w:rsid w:val="02551A35"/>
    <w:rsid w:val="025739FF"/>
    <w:rsid w:val="0259076E"/>
    <w:rsid w:val="025A1DA0"/>
    <w:rsid w:val="025A283D"/>
    <w:rsid w:val="025A4CDE"/>
    <w:rsid w:val="02610CD9"/>
    <w:rsid w:val="02610E93"/>
    <w:rsid w:val="026305F6"/>
    <w:rsid w:val="026C4FD1"/>
    <w:rsid w:val="0270686F"/>
    <w:rsid w:val="02720839"/>
    <w:rsid w:val="027B5DB7"/>
    <w:rsid w:val="027C16B8"/>
    <w:rsid w:val="02802EE7"/>
    <w:rsid w:val="028405DB"/>
    <w:rsid w:val="02881E0B"/>
    <w:rsid w:val="028C06BC"/>
    <w:rsid w:val="028D5DB7"/>
    <w:rsid w:val="029166D3"/>
    <w:rsid w:val="02927783"/>
    <w:rsid w:val="029514F3"/>
    <w:rsid w:val="0295277A"/>
    <w:rsid w:val="02956504"/>
    <w:rsid w:val="02987B74"/>
    <w:rsid w:val="02A40D8C"/>
    <w:rsid w:val="02A50B44"/>
    <w:rsid w:val="02A50C7E"/>
    <w:rsid w:val="02A76F97"/>
    <w:rsid w:val="02A824AD"/>
    <w:rsid w:val="02AB5C5C"/>
    <w:rsid w:val="02AF769C"/>
    <w:rsid w:val="02AF7F28"/>
    <w:rsid w:val="02B52E16"/>
    <w:rsid w:val="02B612F9"/>
    <w:rsid w:val="02B80A78"/>
    <w:rsid w:val="02BB46F8"/>
    <w:rsid w:val="02BD75DA"/>
    <w:rsid w:val="02BE582C"/>
    <w:rsid w:val="02C742DA"/>
    <w:rsid w:val="02C91E89"/>
    <w:rsid w:val="02C941D1"/>
    <w:rsid w:val="02D037B2"/>
    <w:rsid w:val="02D23E6F"/>
    <w:rsid w:val="02D277C9"/>
    <w:rsid w:val="02D7652E"/>
    <w:rsid w:val="02DC59B0"/>
    <w:rsid w:val="02E36378"/>
    <w:rsid w:val="02E622D2"/>
    <w:rsid w:val="02E626E5"/>
    <w:rsid w:val="02E9203C"/>
    <w:rsid w:val="02ED2B69"/>
    <w:rsid w:val="02ED4364"/>
    <w:rsid w:val="02EF1E8A"/>
    <w:rsid w:val="02F2197A"/>
    <w:rsid w:val="02F35EFA"/>
    <w:rsid w:val="02F72AEC"/>
    <w:rsid w:val="02F744C4"/>
    <w:rsid w:val="02F96864"/>
    <w:rsid w:val="02FB5D6E"/>
    <w:rsid w:val="02FC0103"/>
    <w:rsid w:val="02FC5E09"/>
    <w:rsid w:val="02FD1583"/>
    <w:rsid w:val="02FE031F"/>
    <w:rsid w:val="030516AD"/>
    <w:rsid w:val="03057E9B"/>
    <w:rsid w:val="03074C27"/>
    <w:rsid w:val="03084CFA"/>
    <w:rsid w:val="0309096B"/>
    <w:rsid w:val="03092820"/>
    <w:rsid w:val="031223B4"/>
    <w:rsid w:val="03142068"/>
    <w:rsid w:val="03144DD8"/>
    <w:rsid w:val="03151325"/>
    <w:rsid w:val="03182566"/>
    <w:rsid w:val="03192A63"/>
    <w:rsid w:val="031C2D78"/>
    <w:rsid w:val="031E1256"/>
    <w:rsid w:val="031F2A17"/>
    <w:rsid w:val="031F3DF1"/>
    <w:rsid w:val="032320E3"/>
    <w:rsid w:val="03237D85"/>
    <w:rsid w:val="03274504"/>
    <w:rsid w:val="03274EF4"/>
    <w:rsid w:val="033530F8"/>
    <w:rsid w:val="03391357"/>
    <w:rsid w:val="03394157"/>
    <w:rsid w:val="033A271A"/>
    <w:rsid w:val="033B5229"/>
    <w:rsid w:val="034076C4"/>
    <w:rsid w:val="03416159"/>
    <w:rsid w:val="03443EB0"/>
    <w:rsid w:val="03463A74"/>
    <w:rsid w:val="034A3564"/>
    <w:rsid w:val="034B647F"/>
    <w:rsid w:val="034F46D6"/>
    <w:rsid w:val="035045F0"/>
    <w:rsid w:val="035B7E2E"/>
    <w:rsid w:val="035C09E1"/>
    <w:rsid w:val="0361440A"/>
    <w:rsid w:val="0365214C"/>
    <w:rsid w:val="036E446E"/>
    <w:rsid w:val="037528B7"/>
    <w:rsid w:val="03824AAC"/>
    <w:rsid w:val="03870314"/>
    <w:rsid w:val="038720C2"/>
    <w:rsid w:val="03887BE8"/>
    <w:rsid w:val="03897016"/>
    <w:rsid w:val="039447DF"/>
    <w:rsid w:val="03976AC1"/>
    <w:rsid w:val="03977E2B"/>
    <w:rsid w:val="039A0AD1"/>
    <w:rsid w:val="039E740C"/>
    <w:rsid w:val="03A147DB"/>
    <w:rsid w:val="03A205D2"/>
    <w:rsid w:val="03A367D0"/>
    <w:rsid w:val="03A762C0"/>
    <w:rsid w:val="03AA0414"/>
    <w:rsid w:val="03AB474A"/>
    <w:rsid w:val="03AF3299"/>
    <w:rsid w:val="03AF3BAC"/>
    <w:rsid w:val="03B15391"/>
    <w:rsid w:val="03B41B21"/>
    <w:rsid w:val="03B5387F"/>
    <w:rsid w:val="03B61135"/>
    <w:rsid w:val="03B82E67"/>
    <w:rsid w:val="03B83C43"/>
    <w:rsid w:val="03BB19D8"/>
    <w:rsid w:val="03BB7FBE"/>
    <w:rsid w:val="03C42B10"/>
    <w:rsid w:val="03C95282"/>
    <w:rsid w:val="03CB4EB3"/>
    <w:rsid w:val="03CC21CB"/>
    <w:rsid w:val="03CF1DE2"/>
    <w:rsid w:val="03D259C4"/>
    <w:rsid w:val="03D270B5"/>
    <w:rsid w:val="03D4759B"/>
    <w:rsid w:val="03D67870"/>
    <w:rsid w:val="03D75DF9"/>
    <w:rsid w:val="03DE4E08"/>
    <w:rsid w:val="03DE6BB1"/>
    <w:rsid w:val="03DF146E"/>
    <w:rsid w:val="03DF7248"/>
    <w:rsid w:val="03E32AE5"/>
    <w:rsid w:val="03E360B4"/>
    <w:rsid w:val="03E668D5"/>
    <w:rsid w:val="03EB2420"/>
    <w:rsid w:val="03ED6CE9"/>
    <w:rsid w:val="03F1578E"/>
    <w:rsid w:val="03F2502B"/>
    <w:rsid w:val="03F31506"/>
    <w:rsid w:val="03F41F9C"/>
    <w:rsid w:val="03F51722"/>
    <w:rsid w:val="03F84D6E"/>
    <w:rsid w:val="04025F9A"/>
    <w:rsid w:val="04051239"/>
    <w:rsid w:val="04082AD7"/>
    <w:rsid w:val="04087FB5"/>
    <w:rsid w:val="040D00EE"/>
    <w:rsid w:val="040E5C29"/>
    <w:rsid w:val="04100049"/>
    <w:rsid w:val="04105B86"/>
    <w:rsid w:val="04114082"/>
    <w:rsid w:val="041476CE"/>
    <w:rsid w:val="04163446"/>
    <w:rsid w:val="041D10C1"/>
    <w:rsid w:val="041E433A"/>
    <w:rsid w:val="0422003D"/>
    <w:rsid w:val="042246FD"/>
    <w:rsid w:val="04293179"/>
    <w:rsid w:val="042A4606"/>
    <w:rsid w:val="042B0581"/>
    <w:rsid w:val="042E1A4D"/>
    <w:rsid w:val="04300521"/>
    <w:rsid w:val="04325206"/>
    <w:rsid w:val="043A7135"/>
    <w:rsid w:val="043B3845"/>
    <w:rsid w:val="043C30A9"/>
    <w:rsid w:val="043D68C1"/>
    <w:rsid w:val="04406715"/>
    <w:rsid w:val="04447FB3"/>
    <w:rsid w:val="04453D4D"/>
    <w:rsid w:val="04465D0C"/>
    <w:rsid w:val="04473600"/>
    <w:rsid w:val="04477AA3"/>
    <w:rsid w:val="044955CA"/>
    <w:rsid w:val="044B7387"/>
    <w:rsid w:val="044B7594"/>
    <w:rsid w:val="044C6E68"/>
    <w:rsid w:val="044E498E"/>
    <w:rsid w:val="045A1585"/>
    <w:rsid w:val="045D72C7"/>
    <w:rsid w:val="045F6B9B"/>
    <w:rsid w:val="04625D2B"/>
    <w:rsid w:val="04644D0D"/>
    <w:rsid w:val="04670D11"/>
    <w:rsid w:val="04673CA2"/>
    <w:rsid w:val="04693B13"/>
    <w:rsid w:val="046A2632"/>
    <w:rsid w:val="046B3792"/>
    <w:rsid w:val="046C3066"/>
    <w:rsid w:val="046F5778"/>
    <w:rsid w:val="04702B56"/>
    <w:rsid w:val="04731263"/>
    <w:rsid w:val="047468A8"/>
    <w:rsid w:val="04751F64"/>
    <w:rsid w:val="04763EE5"/>
    <w:rsid w:val="0477105B"/>
    <w:rsid w:val="04785EAF"/>
    <w:rsid w:val="047D7DFF"/>
    <w:rsid w:val="04812FB5"/>
    <w:rsid w:val="04854128"/>
    <w:rsid w:val="04887CF2"/>
    <w:rsid w:val="048B3E34"/>
    <w:rsid w:val="048B51AE"/>
    <w:rsid w:val="048C54B6"/>
    <w:rsid w:val="04926623"/>
    <w:rsid w:val="049A43F2"/>
    <w:rsid w:val="049B3A98"/>
    <w:rsid w:val="04A171B4"/>
    <w:rsid w:val="04A50B10"/>
    <w:rsid w:val="04A71B2E"/>
    <w:rsid w:val="04B01E55"/>
    <w:rsid w:val="04B50EB1"/>
    <w:rsid w:val="04BF588C"/>
    <w:rsid w:val="04C34E7B"/>
    <w:rsid w:val="04C410F4"/>
    <w:rsid w:val="04C47046"/>
    <w:rsid w:val="04CF7A3C"/>
    <w:rsid w:val="04D03E96"/>
    <w:rsid w:val="04D23B9B"/>
    <w:rsid w:val="04D90C77"/>
    <w:rsid w:val="04DA0448"/>
    <w:rsid w:val="04DA4474"/>
    <w:rsid w:val="04DC643E"/>
    <w:rsid w:val="04DF3C39"/>
    <w:rsid w:val="04DF5F2E"/>
    <w:rsid w:val="04E377CC"/>
    <w:rsid w:val="04E46248"/>
    <w:rsid w:val="04E470A0"/>
    <w:rsid w:val="04E6106A"/>
    <w:rsid w:val="04E74085"/>
    <w:rsid w:val="04EC739D"/>
    <w:rsid w:val="04F318EB"/>
    <w:rsid w:val="04F76DD4"/>
    <w:rsid w:val="04F82B4C"/>
    <w:rsid w:val="04FD0162"/>
    <w:rsid w:val="050202EF"/>
    <w:rsid w:val="0502668A"/>
    <w:rsid w:val="0504688B"/>
    <w:rsid w:val="05092FAB"/>
    <w:rsid w:val="050A47A7"/>
    <w:rsid w:val="051064C6"/>
    <w:rsid w:val="05111F73"/>
    <w:rsid w:val="05112770"/>
    <w:rsid w:val="051A51B8"/>
    <w:rsid w:val="051D3491"/>
    <w:rsid w:val="052120A3"/>
    <w:rsid w:val="0521288B"/>
    <w:rsid w:val="05217C8B"/>
    <w:rsid w:val="05240D32"/>
    <w:rsid w:val="05251380"/>
    <w:rsid w:val="052B1173"/>
    <w:rsid w:val="052E4A51"/>
    <w:rsid w:val="05300538"/>
    <w:rsid w:val="0530095F"/>
    <w:rsid w:val="05305EA8"/>
    <w:rsid w:val="053578FC"/>
    <w:rsid w:val="053973EC"/>
    <w:rsid w:val="053B2FD5"/>
    <w:rsid w:val="053B7608"/>
    <w:rsid w:val="053C6A73"/>
    <w:rsid w:val="053C6EDC"/>
    <w:rsid w:val="053E0D9C"/>
    <w:rsid w:val="053F5DF2"/>
    <w:rsid w:val="05401B5B"/>
    <w:rsid w:val="05407D7E"/>
    <w:rsid w:val="05440AA6"/>
    <w:rsid w:val="05445D91"/>
    <w:rsid w:val="05455959"/>
    <w:rsid w:val="05464CA6"/>
    <w:rsid w:val="05474484"/>
    <w:rsid w:val="054B5371"/>
    <w:rsid w:val="05560AE4"/>
    <w:rsid w:val="05573D16"/>
    <w:rsid w:val="055A793F"/>
    <w:rsid w:val="055B49B5"/>
    <w:rsid w:val="055C3295"/>
    <w:rsid w:val="055D0194"/>
    <w:rsid w:val="055E0168"/>
    <w:rsid w:val="05600E1D"/>
    <w:rsid w:val="056044FA"/>
    <w:rsid w:val="05634469"/>
    <w:rsid w:val="056401E1"/>
    <w:rsid w:val="056632AC"/>
    <w:rsid w:val="05665D07"/>
    <w:rsid w:val="056A6230"/>
    <w:rsid w:val="056C3FD9"/>
    <w:rsid w:val="05716DB1"/>
    <w:rsid w:val="05740273"/>
    <w:rsid w:val="057A7CA0"/>
    <w:rsid w:val="05800E1B"/>
    <w:rsid w:val="05826C21"/>
    <w:rsid w:val="05842D61"/>
    <w:rsid w:val="05860158"/>
    <w:rsid w:val="058645FB"/>
    <w:rsid w:val="058D14E6"/>
    <w:rsid w:val="058D598A"/>
    <w:rsid w:val="058F282E"/>
    <w:rsid w:val="058F34B0"/>
    <w:rsid w:val="059326B6"/>
    <w:rsid w:val="05955B7C"/>
    <w:rsid w:val="05956EF6"/>
    <w:rsid w:val="059E36F3"/>
    <w:rsid w:val="059F4751"/>
    <w:rsid w:val="05A11179"/>
    <w:rsid w:val="05A351AD"/>
    <w:rsid w:val="05A62E06"/>
    <w:rsid w:val="05A827C4"/>
    <w:rsid w:val="05B1044E"/>
    <w:rsid w:val="05B31AE9"/>
    <w:rsid w:val="05B40FDD"/>
    <w:rsid w:val="05B42F17"/>
    <w:rsid w:val="05B54708"/>
    <w:rsid w:val="05C018BB"/>
    <w:rsid w:val="05C22A37"/>
    <w:rsid w:val="05CA4FBA"/>
    <w:rsid w:val="05CC64B2"/>
    <w:rsid w:val="05D710D5"/>
    <w:rsid w:val="05D9472B"/>
    <w:rsid w:val="05DA7EF2"/>
    <w:rsid w:val="05DB784B"/>
    <w:rsid w:val="05E01F5E"/>
    <w:rsid w:val="05EB1774"/>
    <w:rsid w:val="05ED442E"/>
    <w:rsid w:val="05EF3B38"/>
    <w:rsid w:val="05F13BD7"/>
    <w:rsid w:val="05F258F0"/>
    <w:rsid w:val="05F41565"/>
    <w:rsid w:val="05F652DD"/>
    <w:rsid w:val="05F80276"/>
    <w:rsid w:val="05F81055"/>
    <w:rsid w:val="05F872A7"/>
    <w:rsid w:val="05FB28F4"/>
    <w:rsid w:val="05FB7CED"/>
    <w:rsid w:val="05FE4192"/>
    <w:rsid w:val="06007F0A"/>
    <w:rsid w:val="06032118"/>
    <w:rsid w:val="060417EA"/>
    <w:rsid w:val="060774EA"/>
    <w:rsid w:val="06093262"/>
    <w:rsid w:val="060F2CF7"/>
    <w:rsid w:val="06122957"/>
    <w:rsid w:val="0616772D"/>
    <w:rsid w:val="061B11E8"/>
    <w:rsid w:val="061D0ABC"/>
    <w:rsid w:val="061E4834"/>
    <w:rsid w:val="06224324"/>
    <w:rsid w:val="06253E14"/>
    <w:rsid w:val="0627193B"/>
    <w:rsid w:val="06293905"/>
    <w:rsid w:val="062C3C0D"/>
    <w:rsid w:val="062D6790"/>
    <w:rsid w:val="062D71EF"/>
    <w:rsid w:val="063235E6"/>
    <w:rsid w:val="06335B0E"/>
    <w:rsid w:val="06367DD0"/>
    <w:rsid w:val="06380A8A"/>
    <w:rsid w:val="0639341C"/>
    <w:rsid w:val="06432036"/>
    <w:rsid w:val="06436049"/>
    <w:rsid w:val="06475B39"/>
    <w:rsid w:val="064A68C9"/>
    <w:rsid w:val="064A73D7"/>
    <w:rsid w:val="064D456A"/>
    <w:rsid w:val="064E336B"/>
    <w:rsid w:val="065066BC"/>
    <w:rsid w:val="06530FEA"/>
    <w:rsid w:val="065331DA"/>
    <w:rsid w:val="06575DC4"/>
    <w:rsid w:val="0658003A"/>
    <w:rsid w:val="0658220C"/>
    <w:rsid w:val="065A1D10"/>
    <w:rsid w:val="065F70BB"/>
    <w:rsid w:val="06610827"/>
    <w:rsid w:val="06615B5D"/>
    <w:rsid w:val="066275C5"/>
    <w:rsid w:val="066624D2"/>
    <w:rsid w:val="0667442D"/>
    <w:rsid w:val="066B55AA"/>
    <w:rsid w:val="066B5D61"/>
    <w:rsid w:val="066C4DC7"/>
    <w:rsid w:val="066D1481"/>
    <w:rsid w:val="066E7B6A"/>
    <w:rsid w:val="06716B9F"/>
    <w:rsid w:val="067853C1"/>
    <w:rsid w:val="06786ACB"/>
    <w:rsid w:val="067F1777"/>
    <w:rsid w:val="06855BB1"/>
    <w:rsid w:val="06856661"/>
    <w:rsid w:val="068818B8"/>
    <w:rsid w:val="068D7149"/>
    <w:rsid w:val="06935BE0"/>
    <w:rsid w:val="069554B7"/>
    <w:rsid w:val="069A036D"/>
    <w:rsid w:val="069A62B5"/>
    <w:rsid w:val="069B0ECA"/>
    <w:rsid w:val="06A116ED"/>
    <w:rsid w:val="06A905A2"/>
    <w:rsid w:val="06AB3C6B"/>
    <w:rsid w:val="06AB6060"/>
    <w:rsid w:val="06B27F6D"/>
    <w:rsid w:val="06B83766"/>
    <w:rsid w:val="06C12654"/>
    <w:rsid w:val="06C453DB"/>
    <w:rsid w:val="06C8002B"/>
    <w:rsid w:val="06C83862"/>
    <w:rsid w:val="06C96751"/>
    <w:rsid w:val="06CD422E"/>
    <w:rsid w:val="06D5189F"/>
    <w:rsid w:val="06D53145"/>
    <w:rsid w:val="06DD024B"/>
    <w:rsid w:val="06DF2215"/>
    <w:rsid w:val="06E15F8D"/>
    <w:rsid w:val="06E23AB3"/>
    <w:rsid w:val="06E432D0"/>
    <w:rsid w:val="06E72E78"/>
    <w:rsid w:val="06E86DB5"/>
    <w:rsid w:val="06EA2350"/>
    <w:rsid w:val="06EB0977"/>
    <w:rsid w:val="06EB0BBA"/>
    <w:rsid w:val="06EC4B03"/>
    <w:rsid w:val="06ED1E13"/>
    <w:rsid w:val="06EE06AA"/>
    <w:rsid w:val="06EF5A69"/>
    <w:rsid w:val="06F00D72"/>
    <w:rsid w:val="06F16A0F"/>
    <w:rsid w:val="06F22DDC"/>
    <w:rsid w:val="06F35CC1"/>
    <w:rsid w:val="06FA2BAB"/>
    <w:rsid w:val="06FB650E"/>
    <w:rsid w:val="06FD08ED"/>
    <w:rsid w:val="06FD6972"/>
    <w:rsid w:val="06FF49CD"/>
    <w:rsid w:val="0700028A"/>
    <w:rsid w:val="070604D4"/>
    <w:rsid w:val="07087F88"/>
    <w:rsid w:val="070B42AC"/>
    <w:rsid w:val="070E6657"/>
    <w:rsid w:val="071845DC"/>
    <w:rsid w:val="071C3AF7"/>
    <w:rsid w:val="071E75BD"/>
    <w:rsid w:val="0722038D"/>
    <w:rsid w:val="07227821"/>
    <w:rsid w:val="07231E2A"/>
    <w:rsid w:val="072A4B8A"/>
    <w:rsid w:val="072B545A"/>
    <w:rsid w:val="072D4D2F"/>
    <w:rsid w:val="072E5AFB"/>
    <w:rsid w:val="0732071C"/>
    <w:rsid w:val="0735498E"/>
    <w:rsid w:val="07372051"/>
    <w:rsid w:val="073C5E19"/>
    <w:rsid w:val="074107DA"/>
    <w:rsid w:val="07446765"/>
    <w:rsid w:val="074844BB"/>
    <w:rsid w:val="0748600C"/>
    <w:rsid w:val="0749768F"/>
    <w:rsid w:val="074D06E1"/>
    <w:rsid w:val="074D4B09"/>
    <w:rsid w:val="074E0220"/>
    <w:rsid w:val="074F1149"/>
    <w:rsid w:val="07505B39"/>
    <w:rsid w:val="075373FE"/>
    <w:rsid w:val="0754750E"/>
    <w:rsid w:val="07585815"/>
    <w:rsid w:val="07593708"/>
    <w:rsid w:val="07594547"/>
    <w:rsid w:val="075A405C"/>
    <w:rsid w:val="075B5D40"/>
    <w:rsid w:val="075B6265"/>
    <w:rsid w:val="075B6CF1"/>
    <w:rsid w:val="07603356"/>
    <w:rsid w:val="07611D55"/>
    <w:rsid w:val="07632E46"/>
    <w:rsid w:val="07634BF4"/>
    <w:rsid w:val="07664769"/>
    <w:rsid w:val="076A0602"/>
    <w:rsid w:val="076E54E1"/>
    <w:rsid w:val="076F161C"/>
    <w:rsid w:val="07703ACC"/>
    <w:rsid w:val="07723089"/>
    <w:rsid w:val="07724E37"/>
    <w:rsid w:val="07725203"/>
    <w:rsid w:val="07726BE5"/>
    <w:rsid w:val="0777244E"/>
    <w:rsid w:val="07784F72"/>
    <w:rsid w:val="07797F74"/>
    <w:rsid w:val="077D02B2"/>
    <w:rsid w:val="077E37DC"/>
    <w:rsid w:val="078135EA"/>
    <w:rsid w:val="07870063"/>
    <w:rsid w:val="078828AD"/>
    <w:rsid w:val="078E1545"/>
    <w:rsid w:val="078F7797"/>
    <w:rsid w:val="079101CB"/>
    <w:rsid w:val="07921BEC"/>
    <w:rsid w:val="079254DA"/>
    <w:rsid w:val="07925840"/>
    <w:rsid w:val="07936150"/>
    <w:rsid w:val="07936827"/>
    <w:rsid w:val="07954E5B"/>
    <w:rsid w:val="079C0106"/>
    <w:rsid w:val="07A174CB"/>
    <w:rsid w:val="07A31495"/>
    <w:rsid w:val="07A41D5A"/>
    <w:rsid w:val="07A56FBB"/>
    <w:rsid w:val="07A9785B"/>
    <w:rsid w:val="07AB767A"/>
    <w:rsid w:val="07AD346F"/>
    <w:rsid w:val="07AF7E3A"/>
    <w:rsid w:val="07B9670F"/>
    <w:rsid w:val="07BA2FFF"/>
    <w:rsid w:val="07BB058C"/>
    <w:rsid w:val="07C01C14"/>
    <w:rsid w:val="07C03DF5"/>
    <w:rsid w:val="07C17B6D"/>
    <w:rsid w:val="07C21E28"/>
    <w:rsid w:val="07C4086E"/>
    <w:rsid w:val="07C60861"/>
    <w:rsid w:val="07CA07CF"/>
    <w:rsid w:val="07CA7062"/>
    <w:rsid w:val="07CD295D"/>
    <w:rsid w:val="07CE2FCD"/>
    <w:rsid w:val="07D26B4B"/>
    <w:rsid w:val="07D47FF4"/>
    <w:rsid w:val="07D94090"/>
    <w:rsid w:val="07D97DD7"/>
    <w:rsid w:val="07DD1E9C"/>
    <w:rsid w:val="07DE0791"/>
    <w:rsid w:val="07E00BD3"/>
    <w:rsid w:val="07E0246D"/>
    <w:rsid w:val="07E72667"/>
    <w:rsid w:val="07E90F51"/>
    <w:rsid w:val="07EA48BD"/>
    <w:rsid w:val="07EB5C12"/>
    <w:rsid w:val="07EC2E3C"/>
    <w:rsid w:val="07EC4446"/>
    <w:rsid w:val="07ED0962"/>
    <w:rsid w:val="07EF0236"/>
    <w:rsid w:val="07EF1889"/>
    <w:rsid w:val="07F563F9"/>
    <w:rsid w:val="07F602B3"/>
    <w:rsid w:val="07F65A68"/>
    <w:rsid w:val="07F97307"/>
    <w:rsid w:val="07FF3F6E"/>
    <w:rsid w:val="08001860"/>
    <w:rsid w:val="08030185"/>
    <w:rsid w:val="08071A24"/>
    <w:rsid w:val="080A276C"/>
    <w:rsid w:val="080A32C2"/>
    <w:rsid w:val="080E3E0C"/>
    <w:rsid w:val="080F08D8"/>
    <w:rsid w:val="080F245B"/>
    <w:rsid w:val="0816341F"/>
    <w:rsid w:val="081B6CEF"/>
    <w:rsid w:val="081C1430"/>
    <w:rsid w:val="08217FA4"/>
    <w:rsid w:val="08236FF3"/>
    <w:rsid w:val="082500FC"/>
    <w:rsid w:val="082F34A1"/>
    <w:rsid w:val="08321531"/>
    <w:rsid w:val="08337AC1"/>
    <w:rsid w:val="08371372"/>
    <w:rsid w:val="0839523F"/>
    <w:rsid w:val="083B347B"/>
    <w:rsid w:val="083C6192"/>
    <w:rsid w:val="083E4C4E"/>
    <w:rsid w:val="08430582"/>
    <w:rsid w:val="084762C4"/>
    <w:rsid w:val="084E641F"/>
    <w:rsid w:val="084F54E5"/>
    <w:rsid w:val="084F5828"/>
    <w:rsid w:val="084F6F27"/>
    <w:rsid w:val="08512720"/>
    <w:rsid w:val="085159C8"/>
    <w:rsid w:val="08534C69"/>
    <w:rsid w:val="085A5633"/>
    <w:rsid w:val="085A5D74"/>
    <w:rsid w:val="085B7DC6"/>
    <w:rsid w:val="08650E71"/>
    <w:rsid w:val="086C6B40"/>
    <w:rsid w:val="086C7AD9"/>
    <w:rsid w:val="086E44A0"/>
    <w:rsid w:val="087441B6"/>
    <w:rsid w:val="08764737"/>
    <w:rsid w:val="087B11FA"/>
    <w:rsid w:val="087B460A"/>
    <w:rsid w:val="087D13B7"/>
    <w:rsid w:val="08826DF2"/>
    <w:rsid w:val="08834CC4"/>
    <w:rsid w:val="08835554"/>
    <w:rsid w:val="088463E0"/>
    <w:rsid w:val="08852948"/>
    <w:rsid w:val="08856DEC"/>
    <w:rsid w:val="088745BD"/>
    <w:rsid w:val="0889068B"/>
    <w:rsid w:val="088B0F73"/>
    <w:rsid w:val="0891753F"/>
    <w:rsid w:val="089E7EA9"/>
    <w:rsid w:val="08A14BE7"/>
    <w:rsid w:val="08B059FA"/>
    <w:rsid w:val="08B23C98"/>
    <w:rsid w:val="08B5322E"/>
    <w:rsid w:val="08BA3FF9"/>
    <w:rsid w:val="08BB1CB7"/>
    <w:rsid w:val="08BB636A"/>
    <w:rsid w:val="08BC060E"/>
    <w:rsid w:val="08BC0A60"/>
    <w:rsid w:val="08BD20E2"/>
    <w:rsid w:val="08BF22FE"/>
    <w:rsid w:val="08C003EB"/>
    <w:rsid w:val="08C276F9"/>
    <w:rsid w:val="08C33155"/>
    <w:rsid w:val="08C416C3"/>
    <w:rsid w:val="08CA02D0"/>
    <w:rsid w:val="08CB0CA3"/>
    <w:rsid w:val="08CE0713"/>
    <w:rsid w:val="08D00DA4"/>
    <w:rsid w:val="08D22CB7"/>
    <w:rsid w:val="08D31906"/>
    <w:rsid w:val="08D631A4"/>
    <w:rsid w:val="08D7103A"/>
    <w:rsid w:val="08D95CE1"/>
    <w:rsid w:val="08DC4C5E"/>
    <w:rsid w:val="08E1510D"/>
    <w:rsid w:val="08E649D2"/>
    <w:rsid w:val="08F16230"/>
    <w:rsid w:val="08F33D56"/>
    <w:rsid w:val="08F93399"/>
    <w:rsid w:val="08FE04F3"/>
    <w:rsid w:val="08FE0A13"/>
    <w:rsid w:val="08FE0D7F"/>
    <w:rsid w:val="09070C3C"/>
    <w:rsid w:val="090865C7"/>
    <w:rsid w:val="090C355C"/>
    <w:rsid w:val="090D2CD0"/>
    <w:rsid w:val="090D3896"/>
    <w:rsid w:val="090D3913"/>
    <w:rsid w:val="091304A2"/>
    <w:rsid w:val="09151D3A"/>
    <w:rsid w:val="09151F1E"/>
    <w:rsid w:val="09163A22"/>
    <w:rsid w:val="09177E6B"/>
    <w:rsid w:val="091B62C7"/>
    <w:rsid w:val="091D588A"/>
    <w:rsid w:val="091E5277"/>
    <w:rsid w:val="09212671"/>
    <w:rsid w:val="092263E9"/>
    <w:rsid w:val="09297778"/>
    <w:rsid w:val="092A1FCB"/>
    <w:rsid w:val="092B1742"/>
    <w:rsid w:val="092C1016"/>
    <w:rsid w:val="092C7268"/>
    <w:rsid w:val="092E26B0"/>
    <w:rsid w:val="09327F6A"/>
    <w:rsid w:val="09381CD1"/>
    <w:rsid w:val="093820FC"/>
    <w:rsid w:val="09391BDB"/>
    <w:rsid w:val="093A7BD7"/>
    <w:rsid w:val="09411B63"/>
    <w:rsid w:val="09456C23"/>
    <w:rsid w:val="09466DFD"/>
    <w:rsid w:val="09556F00"/>
    <w:rsid w:val="095A5B83"/>
    <w:rsid w:val="095C18FB"/>
    <w:rsid w:val="095D7767"/>
    <w:rsid w:val="09644C54"/>
    <w:rsid w:val="096856F5"/>
    <w:rsid w:val="09691339"/>
    <w:rsid w:val="096D58B6"/>
    <w:rsid w:val="096F3CAA"/>
    <w:rsid w:val="096F448E"/>
    <w:rsid w:val="09723479"/>
    <w:rsid w:val="097700D8"/>
    <w:rsid w:val="09774987"/>
    <w:rsid w:val="097A4477"/>
    <w:rsid w:val="09806698"/>
    <w:rsid w:val="09827358"/>
    <w:rsid w:val="09864BCA"/>
    <w:rsid w:val="098A0758"/>
    <w:rsid w:val="098C176A"/>
    <w:rsid w:val="098E4FA0"/>
    <w:rsid w:val="09903C9B"/>
    <w:rsid w:val="0994746E"/>
    <w:rsid w:val="0995039F"/>
    <w:rsid w:val="0999137D"/>
    <w:rsid w:val="09A14834"/>
    <w:rsid w:val="09A3577C"/>
    <w:rsid w:val="09A46973"/>
    <w:rsid w:val="09A55261"/>
    <w:rsid w:val="09A63334"/>
    <w:rsid w:val="09A66987"/>
    <w:rsid w:val="09AB7711"/>
    <w:rsid w:val="09B07531"/>
    <w:rsid w:val="09B167A6"/>
    <w:rsid w:val="09B23C11"/>
    <w:rsid w:val="09B434E5"/>
    <w:rsid w:val="09B554AF"/>
    <w:rsid w:val="09B6253B"/>
    <w:rsid w:val="09B90BAC"/>
    <w:rsid w:val="09B97B58"/>
    <w:rsid w:val="09BA4874"/>
    <w:rsid w:val="09BA7D80"/>
    <w:rsid w:val="09BB3FB6"/>
    <w:rsid w:val="09BC05EC"/>
    <w:rsid w:val="09BF1E8A"/>
    <w:rsid w:val="09C030E5"/>
    <w:rsid w:val="09C0632E"/>
    <w:rsid w:val="09C474A0"/>
    <w:rsid w:val="09C63218"/>
    <w:rsid w:val="09C90306"/>
    <w:rsid w:val="09C90E3D"/>
    <w:rsid w:val="09C91CD1"/>
    <w:rsid w:val="09C92244"/>
    <w:rsid w:val="09CA084E"/>
    <w:rsid w:val="09CA480F"/>
    <w:rsid w:val="09CC1BB0"/>
    <w:rsid w:val="09CC70A1"/>
    <w:rsid w:val="09D82230"/>
    <w:rsid w:val="09DC0C8E"/>
    <w:rsid w:val="09DE4C66"/>
    <w:rsid w:val="09E23745"/>
    <w:rsid w:val="09E60CF3"/>
    <w:rsid w:val="09E6365E"/>
    <w:rsid w:val="09E85DCB"/>
    <w:rsid w:val="09EE3789"/>
    <w:rsid w:val="09F725C0"/>
    <w:rsid w:val="09F83049"/>
    <w:rsid w:val="09FB55B8"/>
    <w:rsid w:val="0A0135D1"/>
    <w:rsid w:val="0A014585"/>
    <w:rsid w:val="0A0238E8"/>
    <w:rsid w:val="0A0427C2"/>
    <w:rsid w:val="0A04296A"/>
    <w:rsid w:val="0A042B2D"/>
    <w:rsid w:val="0A042BBB"/>
    <w:rsid w:val="0A083D69"/>
    <w:rsid w:val="0A0B23D2"/>
    <w:rsid w:val="0A0C1573"/>
    <w:rsid w:val="0A0E7D1C"/>
    <w:rsid w:val="0A134358"/>
    <w:rsid w:val="0A165F4E"/>
    <w:rsid w:val="0A173A74"/>
    <w:rsid w:val="0A187621"/>
    <w:rsid w:val="0A187F49"/>
    <w:rsid w:val="0A1919BA"/>
    <w:rsid w:val="0A1977EC"/>
    <w:rsid w:val="0A1F722F"/>
    <w:rsid w:val="0A212B9E"/>
    <w:rsid w:val="0A252635"/>
    <w:rsid w:val="0A2807B7"/>
    <w:rsid w:val="0A2955CF"/>
    <w:rsid w:val="0A30445B"/>
    <w:rsid w:val="0A342878"/>
    <w:rsid w:val="0A391C3C"/>
    <w:rsid w:val="0A3F1615"/>
    <w:rsid w:val="0A4228BB"/>
    <w:rsid w:val="0A424F95"/>
    <w:rsid w:val="0A4505E1"/>
    <w:rsid w:val="0A454A85"/>
    <w:rsid w:val="0A4A21C5"/>
    <w:rsid w:val="0A4D56E8"/>
    <w:rsid w:val="0A510646"/>
    <w:rsid w:val="0A5412B1"/>
    <w:rsid w:val="0A5738EF"/>
    <w:rsid w:val="0A60366D"/>
    <w:rsid w:val="0A652A31"/>
    <w:rsid w:val="0A665AC4"/>
    <w:rsid w:val="0A67493D"/>
    <w:rsid w:val="0A6B5EDF"/>
    <w:rsid w:val="0A742C74"/>
    <w:rsid w:val="0A767A5B"/>
    <w:rsid w:val="0A7907EF"/>
    <w:rsid w:val="0A7964DD"/>
    <w:rsid w:val="0A7A0157"/>
    <w:rsid w:val="0A7D421F"/>
    <w:rsid w:val="0A804758"/>
    <w:rsid w:val="0A832B85"/>
    <w:rsid w:val="0A845F58"/>
    <w:rsid w:val="0A851326"/>
    <w:rsid w:val="0A854E82"/>
    <w:rsid w:val="0A8635B7"/>
    <w:rsid w:val="0A870BFA"/>
    <w:rsid w:val="0A8A4873"/>
    <w:rsid w:val="0A8C6210"/>
    <w:rsid w:val="0A8D3D36"/>
    <w:rsid w:val="0A8F2DFE"/>
    <w:rsid w:val="0A8F7AAE"/>
    <w:rsid w:val="0A9147B2"/>
    <w:rsid w:val="0A970C20"/>
    <w:rsid w:val="0A986407"/>
    <w:rsid w:val="0A9C6FE6"/>
    <w:rsid w:val="0A9D041D"/>
    <w:rsid w:val="0AA40316"/>
    <w:rsid w:val="0AA50DCD"/>
    <w:rsid w:val="0AA63803"/>
    <w:rsid w:val="0AAA48E8"/>
    <w:rsid w:val="0AAB206E"/>
    <w:rsid w:val="0AAD1AD1"/>
    <w:rsid w:val="0AAE43D8"/>
    <w:rsid w:val="0AAE6186"/>
    <w:rsid w:val="0AB64312"/>
    <w:rsid w:val="0AB85257"/>
    <w:rsid w:val="0ABD286D"/>
    <w:rsid w:val="0AC0235E"/>
    <w:rsid w:val="0AC2132E"/>
    <w:rsid w:val="0AC21A36"/>
    <w:rsid w:val="0AC43908"/>
    <w:rsid w:val="0AC72649"/>
    <w:rsid w:val="0ACE0CBC"/>
    <w:rsid w:val="0ACF4148"/>
    <w:rsid w:val="0AD020DC"/>
    <w:rsid w:val="0AD1043A"/>
    <w:rsid w:val="0AD37869"/>
    <w:rsid w:val="0AD876A7"/>
    <w:rsid w:val="0AD916A4"/>
    <w:rsid w:val="0ADB0DB7"/>
    <w:rsid w:val="0ADB1FBA"/>
    <w:rsid w:val="0ADF0D6B"/>
    <w:rsid w:val="0AE240D3"/>
    <w:rsid w:val="0AE71698"/>
    <w:rsid w:val="0AE73AFE"/>
    <w:rsid w:val="0AE844D7"/>
    <w:rsid w:val="0AE95411"/>
    <w:rsid w:val="0AE979F8"/>
    <w:rsid w:val="0AEC7C8D"/>
    <w:rsid w:val="0AF10769"/>
    <w:rsid w:val="0AF67B2D"/>
    <w:rsid w:val="0AF81AF7"/>
    <w:rsid w:val="0AF9022A"/>
    <w:rsid w:val="0AFE7CDE"/>
    <w:rsid w:val="0B004563"/>
    <w:rsid w:val="0B024724"/>
    <w:rsid w:val="0B047A03"/>
    <w:rsid w:val="0B097861"/>
    <w:rsid w:val="0B0A4D3A"/>
    <w:rsid w:val="0B0B6775"/>
    <w:rsid w:val="0B0C65B0"/>
    <w:rsid w:val="0B0D78A8"/>
    <w:rsid w:val="0B1526A9"/>
    <w:rsid w:val="0B161F7E"/>
    <w:rsid w:val="0B1A1A6E"/>
    <w:rsid w:val="0B227EB4"/>
    <w:rsid w:val="0B246449"/>
    <w:rsid w:val="0B265E6A"/>
    <w:rsid w:val="0B27418B"/>
    <w:rsid w:val="0B284C0A"/>
    <w:rsid w:val="0B296865"/>
    <w:rsid w:val="0B2B77D7"/>
    <w:rsid w:val="0B30764A"/>
    <w:rsid w:val="0B312C11"/>
    <w:rsid w:val="0B3137E5"/>
    <w:rsid w:val="0B36617C"/>
    <w:rsid w:val="0B370A88"/>
    <w:rsid w:val="0B3C0A87"/>
    <w:rsid w:val="0B3D5859"/>
    <w:rsid w:val="0B3E74B3"/>
    <w:rsid w:val="0B3F7726"/>
    <w:rsid w:val="0B422D73"/>
    <w:rsid w:val="0B462863"/>
    <w:rsid w:val="0B464611"/>
    <w:rsid w:val="0B4C5412"/>
    <w:rsid w:val="0B4C599F"/>
    <w:rsid w:val="0B4E34C6"/>
    <w:rsid w:val="0B504B6B"/>
    <w:rsid w:val="0B507A38"/>
    <w:rsid w:val="0B536D2E"/>
    <w:rsid w:val="0B552AA6"/>
    <w:rsid w:val="0B562520"/>
    <w:rsid w:val="0B572A65"/>
    <w:rsid w:val="0B5774B2"/>
    <w:rsid w:val="0B601440"/>
    <w:rsid w:val="0B62041F"/>
    <w:rsid w:val="0B642A1F"/>
    <w:rsid w:val="0B671A77"/>
    <w:rsid w:val="0B6902FF"/>
    <w:rsid w:val="0B7374F2"/>
    <w:rsid w:val="0B754EF6"/>
    <w:rsid w:val="0B761B0A"/>
    <w:rsid w:val="0B7A69B0"/>
    <w:rsid w:val="0B7D1FFD"/>
    <w:rsid w:val="0B7F5D75"/>
    <w:rsid w:val="0B85233A"/>
    <w:rsid w:val="0B85279A"/>
    <w:rsid w:val="0B8565D7"/>
    <w:rsid w:val="0B8B296C"/>
    <w:rsid w:val="0B9222C2"/>
    <w:rsid w:val="0B927856"/>
    <w:rsid w:val="0B955093"/>
    <w:rsid w:val="0B970E43"/>
    <w:rsid w:val="0B972C0A"/>
    <w:rsid w:val="0B9A2C61"/>
    <w:rsid w:val="0BA56877"/>
    <w:rsid w:val="0BA92DF2"/>
    <w:rsid w:val="0BAA490A"/>
    <w:rsid w:val="0BAB0918"/>
    <w:rsid w:val="0BAC3645"/>
    <w:rsid w:val="0BAE575C"/>
    <w:rsid w:val="0BB67DA1"/>
    <w:rsid w:val="0BB7568E"/>
    <w:rsid w:val="0BB772BD"/>
    <w:rsid w:val="0BB93035"/>
    <w:rsid w:val="0BB943BA"/>
    <w:rsid w:val="0BBB1969"/>
    <w:rsid w:val="0BC330D0"/>
    <w:rsid w:val="0BC3350C"/>
    <w:rsid w:val="0BC53C49"/>
    <w:rsid w:val="0BC53FB4"/>
    <w:rsid w:val="0BC87CDA"/>
    <w:rsid w:val="0BCC5492"/>
    <w:rsid w:val="0BD3198B"/>
    <w:rsid w:val="0BD55158"/>
    <w:rsid w:val="0BD807DD"/>
    <w:rsid w:val="0BD936D7"/>
    <w:rsid w:val="0BDF091D"/>
    <w:rsid w:val="0BE34556"/>
    <w:rsid w:val="0BE36304"/>
    <w:rsid w:val="0BE43E2A"/>
    <w:rsid w:val="0BE90727"/>
    <w:rsid w:val="0BEB09D7"/>
    <w:rsid w:val="0BEB51B8"/>
    <w:rsid w:val="0BED0F30"/>
    <w:rsid w:val="0BF57DE5"/>
    <w:rsid w:val="0BF91683"/>
    <w:rsid w:val="0BFB5CEE"/>
    <w:rsid w:val="0C0007E1"/>
    <w:rsid w:val="0C00682D"/>
    <w:rsid w:val="0C0233F3"/>
    <w:rsid w:val="0C030754"/>
    <w:rsid w:val="0C0A1AE2"/>
    <w:rsid w:val="0C0A7D34"/>
    <w:rsid w:val="0C0D7AE6"/>
    <w:rsid w:val="0C0E252C"/>
    <w:rsid w:val="0C1110C3"/>
    <w:rsid w:val="0C126BCA"/>
    <w:rsid w:val="0C1B63EF"/>
    <w:rsid w:val="0C1C35C4"/>
    <w:rsid w:val="0C210BDA"/>
    <w:rsid w:val="0C234952"/>
    <w:rsid w:val="0C255E13"/>
    <w:rsid w:val="0C2747CC"/>
    <w:rsid w:val="0C284FDB"/>
    <w:rsid w:val="0C296B9C"/>
    <w:rsid w:val="0C2A3F33"/>
    <w:rsid w:val="0C2C1AFA"/>
    <w:rsid w:val="0C2D2A4E"/>
    <w:rsid w:val="0C2D757F"/>
    <w:rsid w:val="0C2E3257"/>
    <w:rsid w:val="0C321039"/>
    <w:rsid w:val="0C327A99"/>
    <w:rsid w:val="0C3317E9"/>
    <w:rsid w:val="0C3467FA"/>
    <w:rsid w:val="0C3B5902"/>
    <w:rsid w:val="0C3C77C2"/>
    <w:rsid w:val="0C3D6637"/>
    <w:rsid w:val="0C3F3D34"/>
    <w:rsid w:val="0C4A6257"/>
    <w:rsid w:val="0C4D7C21"/>
    <w:rsid w:val="0C4E68A0"/>
    <w:rsid w:val="0C4F1BEB"/>
    <w:rsid w:val="0C4F7D80"/>
    <w:rsid w:val="0C526FE5"/>
    <w:rsid w:val="0C554D3B"/>
    <w:rsid w:val="0C58064C"/>
    <w:rsid w:val="0C590374"/>
    <w:rsid w:val="0C5C7E64"/>
    <w:rsid w:val="0C5D24DE"/>
    <w:rsid w:val="0C5F082F"/>
    <w:rsid w:val="0C5F2D86"/>
    <w:rsid w:val="0C605CB6"/>
    <w:rsid w:val="0C646114"/>
    <w:rsid w:val="0C656D19"/>
    <w:rsid w:val="0C662D97"/>
    <w:rsid w:val="0C664657"/>
    <w:rsid w:val="0C692CAD"/>
    <w:rsid w:val="0C6A4F51"/>
    <w:rsid w:val="0C6D3E1F"/>
    <w:rsid w:val="0C6F1945"/>
    <w:rsid w:val="0C71554F"/>
    <w:rsid w:val="0C743400"/>
    <w:rsid w:val="0C782EF0"/>
    <w:rsid w:val="0C7A7B0F"/>
    <w:rsid w:val="0C7B478E"/>
    <w:rsid w:val="0C854C83"/>
    <w:rsid w:val="0C857E23"/>
    <w:rsid w:val="0C871385"/>
    <w:rsid w:val="0C897FDD"/>
    <w:rsid w:val="0C8B6392"/>
    <w:rsid w:val="0C8F2506"/>
    <w:rsid w:val="0C936A6C"/>
    <w:rsid w:val="0C9910B8"/>
    <w:rsid w:val="0C9F58A6"/>
    <w:rsid w:val="0CA02447"/>
    <w:rsid w:val="0CA04585"/>
    <w:rsid w:val="0CA27F6D"/>
    <w:rsid w:val="0CA47777"/>
    <w:rsid w:val="0CA74D3E"/>
    <w:rsid w:val="0CAF268A"/>
    <w:rsid w:val="0CB06D2E"/>
    <w:rsid w:val="0CB832EC"/>
    <w:rsid w:val="0CB90E13"/>
    <w:rsid w:val="0CB9190B"/>
    <w:rsid w:val="0CB96C94"/>
    <w:rsid w:val="0CC254E3"/>
    <w:rsid w:val="0CC26A6A"/>
    <w:rsid w:val="0CC83279"/>
    <w:rsid w:val="0CCC4FEA"/>
    <w:rsid w:val="0CCC6D98"/>
    <w:rsid w:val="0CCE2B10"/>
    <w:rsid w:val="0CD65E68"/>
    <w:rsid w:val="0CD9038A"/>
    <w:rsid w:val="0CDA001F"/>
    <w:rsid w:val="0CDA7707"/>
    <w:rsid w:val="0CDB6FDB"/>
    <w:rsid w:val="0CDE6ACB"/>
    <w:rsid w:val="0CE05DB2"/>
    <w:rsid w:val="0CE642FD"/>
    <w:rsid w:val="0CE74B59"/>
    <w:rsid w:val="0CE9794A"/>
    <w:rsid w:val="0CEA0CA3"/>
    <w:rsid w:val="0CEB6703"/>
    <w:rsid w:val="0CEF2A86"/>
    <w:rsid w:val="0CF50E9C"/>
    <w:rsid w:val="0CF54541"/>
    <w:rsid w:val="0CF84031"/>
    <w:rsid w:val="0CFB142B"/>
    <w:rsid w:val="0CFF716D"/>
    <w:rsid w:val="0D0227BA"/>
    <w:rsid w:val="0D046532"/>
    <w:rsid w:val="0D0522AA"/>
    <w:rsid w:val="0D055F45"/>
    <w:rsid w:val="0D056610"/>
    <w:rsid w:val="0D073416"/>
    <w:rsid w:val="0D094068"/>
    <w:rsid w:val="0D0A301A"/>
    <w:rsid w:val="0D0D38A1"/>
    <w:rsid w:val="0D110C4F"/>
    <w:rsid w:val="0D1A3FA7"/>
    <w:rsid w:val="0D1D2BEF"/>
    <w:rsid w:val="0D23424A"/>
    <w:rsid w:val="0D2A1D10"/>
    <w:rsid w:val="0D2C3CDA"/>
    <w:rsid w:val="0D2E2DC2"/>
    <w:rsid w:val="0D2E78F1"/>
    <w:rsid w:val="0D2E7A52"/>
    <w:rsid w:val="0D333163"/>
    <w:rsid w:val="0D384E05"/>
    <w:rsid w:val="0D3B3EBE"/>
    <w:rsid w:val="0D3C134F"/>
    <w:rsid w:val="0D3D1A44"/>
    <w:rsid w:val="0D3D7C96"/>
    <w:rsid w:val="0D3E0082"/>
    <w:rsid w:val="0D470C86"/>
    <w:rsid w:val="0D490FA8"/>
    <w:rsid w:val="0D4C58C5"/>
    <w:rsid w:val="0D4F21F3"/>
    <w:rsid w:val="0D553231"/>
    <w:rsid w:val="0D586E73"/>
    <w:rsid w:val="0D616F91"/>
    <w:rsid w:val="0D625FBC"/>
    <w:rsid w:val="0D6276FC"/>
    <w:rsid w:val="0D643925"/>
    <w:rsid w:val="0D6C0E1D"/>
    <w:rsid w:val="0D6C1578"/>
    <w:rsid w:val="0D6E7E4F"/>
    <w:rsid w:val="0D6F04F6"/>
    <w:rsid w:val="0D703BC7"/>
    <w:rsid w:val="0D766D04"/>
    <w:rsid w:val="0D7E6621"/>
    <w:rsid w:val="0D821B4C"/>
    <w:rsid w:val="0D882F99"/>
    <w:rsid w:val="0D8853B5"/>
    <w:rsid w:val="0D897846"/>
    <w:rsid w:val="0D8B27AF"/>
    <w:rsid w:val="0D8C6527"/>
    <w:rsid w:val="0D966805"/>
    <w:rsid w:val="0D9D0734"/>
    <w:rsid w:val="0D9E7FC4"/>
    <w:rsid w:val="0DA16476"/>
    <w:rsid w:val="0DA34246"/>
    <w:rsid w:val="0DA43871"/>
    <w:rsid w:val="0DA750EA"/>
    <w:rsid w:val="0DA76D42"/>
    <w:rsid w:val="0DA872C0"/>
    <w:rsid w:val="0DA9532B"/>
    <w:rsid w:val="0DAD21F0"/>
    <w:rsid w:val="0DB12A6F"/>
    <w:rsid w:val="0DBA0462"/>
    <w:rsid w:val="0DC03323"/>
    <w:rsid w:val="0DC15D07"/>
    <w:rsid w:val="0DC53105"/>
    <w:rsid w:val="0DC57EFE"/>
    <w:rsid w:val="0DC83A03"/>
    <w:rsid w:val="0DC965B5"/>
    <w:rsid w:val="0DCB34F3"/>
    <w:rsid w:val="0DCB704F"/>
    <w:rsid w:val="0DCC09F0"/>
    <w:rsid w:val="0DCD1019"/>
    <w:rsid w:val="0DCF3F22"/>
    <w:rsid w:val="0DDC74AE"/>
    <w:rsid w:val="0DDD0A6C"/>
    <w:rsid w:val="0DE14AC5"/>
    <w:rsid w:val="0DE449EC"/>
    <w:rsid w:val="0DE87C01"/>
    <w:rsid w:val="0DE95527"/>
    <w:rsid w:val="0DEB77BC"/>
    <w:rsid w:val="0DED346A"/>
    <w:rsid w:val="0DED6FC6"/>
    <w:rsid w:val="0DEE1F58"/>
    <w:rsid w:val="0DF47277"/>
    <w:rsid w:val="0DF509E6"/>
    <w:rsid w:val="0DF66315"/>
    <w:rsid w:val="0DFA4643"/>
    <w:rsid w:val="0DFC21F2"/>
    <w:rsid w:val="0E0175FE"/>
    <w:rsid w:val="0E0501E3"/>
    <w:rsid w:val="0E0511BA"/>
    <w:rsid w:val="0E100F06"/>
    <w:rsid w:val="0E122ED0"/>
    <w:rsid w:val="0E130EEA"/>
    <w:rsid w:val="0E1C1286"/>
    <w:rsid w:val="0E1C3D4F"/>
    <w:rsid w:val="0E1E2186"/>
    <w:rsid w:val="0E1F0348"/>
    <w:rsid w:val="0E211365"/>
    <w:rsid w:val="0E220AE3"/>
    <w:rsid w:val="0E2D7D0A"/>
    <w:rsid w:val="0E3079D7"/>
    <w:rsid w:val="0E364E11"/>
    <w:rsid w:val="0E3660F3"/>
    <w:rsid w:val="0E371788"/>
    <w:rsid w:val="0E372937"/>
    <w:rsid w:val="0E393034"/>
    <w:rsid w:val="0E3B2427"/>
    <w:rsid w:val="0E3B5B7E"/>
    <w:rsid w:val="0E3D64C2"/>
    <w:rsid w:val="0E407FFB"/>
    <w:rsid w:val="0E447F94"/>
    <w:rsid w:val="0E46753C"/>
    <w:rsid w:val="0E4A0316"/>
    <w:rsid w:val="0E4D5CB6"/>
    <w:rsid w:val="0E4F0A69"/>
    <w:rsid w:val="0E52151F"/>
    <w:rsid w:val="0E547924"/>
    <w:rsid w:val="0E557192"/>
    <w:rsid w:val="0E576B35"/>
    <w:rsid w:val="0E5928AD"/>
    <w:rsid w:val="0E5B5C9B"/>
    <w:rsid w:val="0E5F4A16"/>
    <w:rsid w:val="0E5F6C8D"/>
    <w:rsid w:val="0E6071A2"/>
    <w:rsid w:val="0E645301"/>
    <w:rsid w:val="0E654555"/>
    <w:rsid w:val="0E677081"/>
    <w:rsid w:val="0E715E49"/>
    <w:rsid w:val="0E727929"/>
    <w:rsid w:val="0E746B71"/>
    <w:rsid w:val="0E7501FB"/>
    <w:rsid w:val="0E7E0566"/>
    <w:rsid w:val="0E800F15"/>
    <w:rsid w:val="0E8042DE"/>
    <w:rsid w:val="0E8064CA"/>
    <w:rsid w:val="0E807E3A"/>
    <w:rsid w:val="0E8211A4"/>
    <w:rsid w:val="0E82150F"/>
    <w:rsid w:val="0E87566C"/>
    <w:rsid w:val="0E886DCC"/>
    <w:rsid w:val="0E8C2C83"/>
    <w:rsid w:val="0E8D2557"/>
    <w:rsid w:val="0E8E2A5E"/>
    <w:rsid w:val="0E8E3BA8"/>
    <w:rsid w:val="0E8F48E3"/>
    <w:rsid w:val="0E902EFA"/>
    <w:rsid w:val="0E916272"/>
    <w:rsid w:val="0E9560D5"/>
    <w:rsid w:val="0EA10664"/>
    <w:rsid w:val="0EA269EA"/>
    <w:rsid w:val="0EA31D7A"/>
    <w:rsid w:val="0EA333CB"/>
    <w:rsid w:val="0EA53C71"/>
    <w:rsid w:val="0EA87A47"/>
    <w:rsid w:val="0EB126E9"/>
    <w:rsid w:val="0EB16245"/>
    <w:rsid w:val="0EB31049"/>
    <w:rsid w:val="0EB421D9"/>
    <w:rsid w:val="0EB977F0"/>
    <w:rsid w:val="0EBB70C4"/>
    <w:rsid w:val="0EBC2521"/>
    <w:rsid w:val="0EBD52A8"/>
    <w:rsid w:val="0EBD5965"/>
    <w:rsid w:val="0EC042E8"/>
    <w:rsid w:val="0EC3241C"/>
    <w:rsid w:val="0EC502B0"/>
    <w:rsid w:val="0EC75A69"/>
    <w:rsid w:val="0EC96857"/>
    <w:rsid w:val="0ECC12D1"/>
    <w:rsid w:val="0ECD5C09"/>
    <w:rsid w:val="0ECD69DE"/>
    <w:rsid w:val="0ED12EC1"/>
    <w:rsid w:val="0ED30733"/>
    <w:rsid w:val="0ED4383F"/>
    <w:rsid w:val="0ED70E7F"/>
    <w:rsid w:val="0ED85EC8"/>
    <w:rsid w:val="0ED87D67"/>
    <w:rsid w:val="0ED9574D"/>
    <w:rsid w:val="0EDC4199"/>
    <w:rsid w:val="0EDE3323"/>
    <w:rsid w:val="0EE26920"/>
    <w:rsid w:val="0EE303C9"/>
    <w:rsid w:val="0EE4486D"/>
    <w:rsid w:val="0EE6313B"/>
    <w:rsid w:val="0EE73855"/>
    <w:rsid w:val="0EE83B52"/>
    <w:rsid w:val="0EEC3721"/>
    <w:rsid w:val="0EEC7CEC"/>
    <w:rsid w:val="0EED3132"/>
    <w:rsid w:val="0EEE56EB"/>
    <w:rsid w:val="0EF37EE4"/>
    <w:rsid w:val="0EF54ED7"/>
    <w:rsid w:val="0EF6389E"/>
    <w:rsid w:val="0EF63DBF"/>
    <w:rsid w:val="0EF9473A"/>
    <w:rsid w:val="0EFB02F6"/>
    <w:rsid w:val="0EFB2FA6"/>
    <w:rsid w:val="0EFF7F2E"/>
    <w:rsid w:val="0F026AA1"/>
    <w:rsid w:val="0F0D4400"/>
    <w:rsid w:val="0F0E18EA"/>
    <w:rsid w:val="0F103726"/>
    <w:rsid w:val="0F124F7D"/>
    <w:rsid w:val="0F182768"/>
    <w:rsid w:val="0F192795"/>
    <w:rsid w:val="0F1B4006"/>
    <w:rsid w:val="0F1B7B63"/>
    <w:rsid w:val="0F1F50AF"/>
    <w:rsid w:val="0F234C69"/>
    <w:rsid w:val="0F2413EE"/>
    <w:rsid w:val="0F2C6214"/>
    <w:rsid w:val="0F30602F"/>
    <w:rsid w:val="0F324E82"/>
    <w:rsid w:val="0F3375A2"/>
    <w:rsid w:val="0F3613BC"/>
    <w:rsid w:val="0F366809"/>
    <w:rsid w:val="0F3A0931"/>
    <w:rsid w:val="0F3A26DF"/>
    <w:rsid w:val="0F3A5380"/>
    <w:rsid w:val="0F3C1B49"/>
    <w:rsid w:val="0F4478F3"/>
    <w:rsid w:val="0F4576FA"/>
    <w:rsid w:val="0F49210C"/>
    <w:rsid w:val="0F4B05AB"/>
    <w:rsid w:val="0F4C41C0"/>
    <w:rsid w:val="0F4E00CF"/>
    <w:rsid w:val="0F4E1CE6"/>
    <w:rsid w:val="0F4E75D9"/>
    <w:rsid w:val="0F543D05"/>
    <w:rsid w:val="0F561D92"/>
    <w:rsid w:val="0F574F19"/>
    <w:rsid w:val="0F640D4B"/>
    <w:rsid w:val="0F651B09"/>
    <w:rsid w:val="0F67724C"/>
    <w:rsid w:val="0F7200CA"/>
    <w:rsid w:val="0F720330"/>
    <w:rsid w:val="0F770C9F"/>
    <w:rsid w:val="0F78565C"/>
    <w:rsid w:val="0F7D6A6F"/>
    <w:rsid w:val="0F8112FC"/>
    <w:rsid w:val="0F812E7B"/>
    <w:rsid w:val="0F864DB8"/>
    <w:rsid w:val="0F873473"/>
    <w:rsid w:val="0F8B4CE8"/>
    <w:rsid w:val="0F8C280E"/>
    <w:rsid w:val="0F900C4F"/>
    <w:rsid w:val="0F931DEF"/>
    <w:rsid w:val="0F9811B3"/>
    <w:rsid w:val="0F985086"/>
    <w:rsid w:val="0F9A28BF"/>
    <w:rsid w:val="0F9B0CA3"/>
    <w:rsid w:val="0F9C5D91"/>
    <w:rsid w:val="0FA14FF1"/>
    <w:rsid w:val="0FA425D2"/>
    <w:rsid w:val="0FA519F6"/>
    <w:rsid w:val="0FA83DE2"/>
    <w:rsid w:val="0FA933C0"/>
    <w:rsid w:val="0FA9687A"/>
    <w:rsid w:val="0FAA34E8"/>
    <w:rsid w:val="0FAD59A0"/>
    <w:rsid w:val="0FAE695C"/>
    <w:rsid w:val="0FB12275"/>
    <w:rsid w:val="0FB270F8"/>
    <w:rsid w:val="0FB57FB7"/>
    <w:rsid w:val="0FB62E91"/>
    <w:rsid w:val="0FBC66E5"/>
    <w:rsid w:val="0FBF4992"/>
    <w:rsid w:val="0FC10E91"/>
    <w:rsid w:val="0FC351F8"/>
    <w:rsid w:val="0FC56122"/>
    <w:rsid w:val="0FCA3251"/>
    <w:rsid w:val="0FCA5D27"/>
    <w:rsid w:val="0FCF74EE"/>
    <w:rsid w:val="0FD0094D"/>
    <w:rsid w:val="0FD74E8B"/>
    <w:rsid w:val="0FE12798"/>
    <w:rsid w:val="0FE12E8E"/>
    <w:rsid w:val="0FE41812"/>
    <w:rsid w:val="0FE638C4"/>
    <w:rsid w:val="0FEB2196"/>
    <w:rsid w:val="0FEB4366"/>
    <w:rsid w:val="0FEE34C9"/>
    <w:rsid w:val="0FF06008"/>
    <w:rsid w:val="0FF7272A"/>
    <w:rsid w:val="0FF90AE7"/>
    <w:rsid w:val="0FFB7896"/>
    <w:rsid w:val="0FFC1742"/>
    <w:rsid w:val="0FFD48E0"/>
    <w:rsid w:val="0FFE370C"/>
    <w:rsid w:val="0FFF1232"/>
    <w:rsid w:val="10055429"/>
    <w:rsid w:val="10093E5F"/>
    <w:rsid w:val="100A5921"/>
    <w:rsid w:val="100B5727"/>
    <w:rsid w:val="100F5012"/>
    <w:rsid w:val="101069CE"/>
    <w:rsid w:val="101822F4"/>
    <w:rsid w:val="10182F29"/>
    <w:rsid w:val="101B2ABD"/>
    <w:rsid w:val="101F4702"/>
    <w:rsid w:val="102615AE"/>
    <w:rsid w:val="10264A11"/>
    <w:rsid w:val="102754BA"/>
    <w:rsid w:val="10280789"/>
    <w:rsid w:val="10286A7B"/>
    <w:rsid w:val="102E76EB"/>
    <w:rsid w:val="102F0DA9"/>
    <w:rsid w:val="103147B4"/>
    <w:rsid w:val="1031606B"/>
    <w:rsid w:val="1034712E"/>
    <w:rsid w:val="103567EE"/>
    <w:rsid w:val="10381620"/>
    <w:rsid w:val="1044017C"/>
    <w:rsid w:val="10443B37"/>
    <w:rsid w:val="104D01F0"/>
    <w:rsid w:val="10505F32"/>
    <w:rsid w:val="10512E48"/>
    <w:rsid w:val="10521CAA"/>
    <w:rsid w:val="105276E7"/>
    <w:rsid w:val="1057100A"/>
    <w:rsid w:val="10585053"/>
    <w:rsid w:val="105A7146"/>
    <w:rsid w:val="1065378B"/>
    <w:rsid w:val="10683082"/>
    <w:rsid w:val="106B4B1A"/>
    <w:rsid w:val="10715F61"/>
    <w:rsid w:val="107162A5"/>
    <w:rsid w:val="107734BE"/>
    <w:rsid w:val="107A49FB"/>
    <w:rsid w:val="107D0BF2"/>
    <w:rsid w:val="107D4233"/>
    <w:rsid w:val="107E50A9"/>
    <w:rsid w:val="107F47F9"/>
    <w:rsid w:val="108158E2"/>
    <w:rsid w:val="108B7452"/>
    <w:rsid w:val="109127D2"/>
    <w:rsid w:val="10916D5C"/>
    <w:rsid w:val="10921AAC"/>
    <w:rsid w:val="10953945"/>
    <w:rsid w:val="109562EA"/>
    <w:rsid w:val="10970CBB"/>
    <w:rsid w:val="10977285"/>
    <w:rsid w:val="1099170E"/>
    <w:rsid w:val="109B71AD"/>
    <w:rsid w:val="109E1A80"/>
    <w:rsid w:val="109E4280"/>
    <w:rsid w:val="10A43EC9"/>
    <w:rsid w:val="10A67900"/>
    <w:rsid w:val="10A77CF0"/>
    <w:rsid w:val="10AB4F16"/>
    <w:rsid w:val="10AC760C"/>
    <w:rsid w:val="10B12BC5"/>
    <w:rsid w:val="10B464C1"/>
    <w:rsid w:val="10B730C3"/>
    <w:rsid w:val="10B838EF"/>
    <w:rsid w:val="10BD1FC8"/>
    <w:rsid w:val="10C80599"/>
    <w:rsid w:val="10CB58A1"/>
    <w:rsid w:val="10CC59F3"/>
    <w:rsid w:val="10CE2AB3"/>
    <w:rsid w:val="10CF77BA"/>
    <w:rsid w:val="10D17073"/>
    <w:rsid w:val="10D821AF"/>
    <w:rsid w:val="10E01064"/>
    <w:rsid w:val="10E218A6"/>
    <w:rsid w:val="10E326D9"/>
    <w:rsid w:val="10E548CC"/>
    <w:rsid w:val="10E55709"/>
    <w:rsid w:val="10E74324"/>
    <w:rsid w:val="10EA2167"/>
    <w:rsid w:val="10EB056F"/>
    <w:rsid w:val="10ED1235"/>
    <w:rsid w:val="10EE3EE6"/>
    <w:rsid w:val="10F00C23"/>
    <w:rsid w:val="10F17D52"/>
    <w:rsid w:val="10F36FE9"/>
    <w:rsid w:val="10F468BD"/>
    <w:rsid w:val="10F87289"/>
    <w:rsid w:val="10FA4715"/>
    <w:rsid w:val="10FE14EA"/>
    <w:rsid w:val="11016E58"/>
    <w:rsid w:val="11017AD2"/>
    <w:rsid w:val="110273FB"/>
    <w:rsid w:val="11056D1C"/>
    <w:rsid w:val="110753B4"/>
    <w:rsid w:val="11082369"/>
    <w:rsid w:val="110C2707"/>
    <w:rsid w:val="110D3C89"/>
    <w:rsid w:val="110D44FD"/>
    <w:rsid w:val="11116FA4"/>
    <w:rsid w:val="11117B80"/>
    <w:rsid w:val="11140AD3"/>
    <w:rsid w:val="11146F5F"/>
    <w:rsid w:val="111470BC"/>
    <w:rsid w:val="111778DA"/>
    <w:rsid w:val="111A5909"/>
    <w:rsid w:val="111B64C0"/>
    <w:rsid w:val="111C6BC7"/>
    <w:rsid w:val="111F3D68"/>
    <w:rsid w:val="112569DE"/>
    <w:rsid w:val="113413B0"/>
    <w:rsid w:val="113468B4"/>
    <w:rsid w:val="113849FC"/>
    <w:rsid w:val="113B1525"/>
    <w:rsid w:val="114C0BF9"/>
    <w:rsid w:val="114D0B54"/>
    <w:rsid w:val="114F1931"/>
    <w:rsid w:val="11500002"/>
    <w:rsid w:val="11512899"/>
    <w:rsid w:val="115364E6"/>
    <w:rsid w:val="1157055B"/>
    <w:rsid w:val="11586174"/>
    <w:rsid w:val="11586E4C"/>
    <w:rsid w:val="11595212"/>
    <w:rsid w:val="115F467E"/>
    <w:rsid w:val="116003F7"/>
    <w:rsid w:val="116021A5"/>
    <w:rsid w:val="11616F26"/>
    <w:rsid w:val="11660E73"/>
    <w:rsid w:val="11673533"/>
    <w:rsid w:val="116915F7"/>
    <w:rsid w:val="116C0B49"/>
    <w:rsid w:val="116E6670"/>
    <w:rsid w:val="116F7AFE"/>
    <w:rsid w:val="1173012A"/>
    <w:rsid w:val="117443FC"/>
    <w:rsid w:val="1176790E"/>
    <w:rsid w:val="117D6FD0"/>
    <w:rsid w:val="117E5917"/>
    <w:rsid w:val="117F44CA"/>
    <w:rsid w:val="11851D8C"/>
    <w:rsid w:val="118926D3"/>
    <w:rsid w:val="11895257"/>
    <w:rsid w:val="118A7287"/>
    <w:rsid w:val="118B5473"/>
    <w:rsid w:val="11924211"/>
    <w:rsid w:val="11965BC6"/>
    <w:rsid w:val="11967974"/>
    <w:rsid w:val="1198193E"/>
    <w:rsid w:val="119F6EB7"/>
    <w:rsid w:val="11A20BB7"/>
    <w:rsid w:val="11A56AF4"/>
    <w:rsid w:val="11A67F21"/>
    <w:rsid w:val="11A77DD3"/>
    <w:rsid w:val="11AF7CCD"/>
    <w:rsid w:val="11B2622E"/>
    <w:rsid w:val="11BA18B5"/>
    <w:rsid w:val="11BB562D"/>
    <w:rsid w:val="11BD7316"/>
    <w:rsid w:val="11BF511D"/>
    <w:rsid w:val="11C0588B"/>
    <w:rsid w:val="11C10F25"/>
    <w:rsid w:val="11C164A7"/>
    <w:rsid w:val="11C364CC"/>
    <w:rsid w:val="11C47EFA"/>
    <w:rsid w:val="11CC0F45"/>
    <w:rsid w:val="11CC7D1C"/>
    <w:rsid w:val="11CD2178"/>
    <w:rsid w:val="11CE4C39"/>
    <w:rsid w:val="11D03035"/>
    <w:rsid w:val="11D459BC"/>
    <w:rsid w:val="11D542E4"/>
    <w:rsid w:val="11DC2455"/>
    <w:rsid w:val="11DD37F5"/>
    <w:rsid w:val="11E060B6"/>
    <w:rsid w:val="11E41923"/>
    <w:rsid w:val="11E42DD6"/>
    <w:rsid w:val="11E43CB4"/>
    <w:rsid w:val="11F4213B"/>
    <w:rsid w:val="11F75DFB"/>
    <w:rsid w:val="11F8418B"/>
    <w:rsid w:val="11F87930"/>
    <w:rsid w:val="11F96EEE"/>
    <w:rsid w:val="11FC1ECD"/>
    <w:rsid w:val="11FD79F3"/>
    <w:rsid w:val="11FD7D4C"/>
    <w:rsid w:val="11FF1569"/>
    <w:rsid w:val="12062095"/>
    <w:rsid w:val="12062641"/>
    <w:rsid w:val="12092311"/>
    <w:rsid w:val="12097B4E"/>
    <w:rsid w:val="120B2D0A"/>
    <w:rsid w:val="120D3631"/>
    <w:rsid w:val="121216F1"/>
    <w:rsid w:val="1212349F"/>
    <w:rsid w:val="12181676"/>
    <w:rsid w:val="121C0AC3"/>
    <w:rsid w:val="121C7E6B"/>
    <w:rsid w:val="121F3301"/>
    <w:rsid w:val="121F7882"/>
    <w:rsid w:val="12241424"/>
    <w:rsid w:val="122570FC"/>
    <w:rsid w:val="122B27B2"/>
    <w:rsid w:val="122B4561"/>
    <w:rsid w:val="122B630F"/>
    <w:rsid w:val="122D6195"/>
    <w:rsid w:val="12323B41"/>
    <w:rsid w:val="1232794D"/>
    <w:rsid w:val="123814F3"/>
    <w:rsid w:val="12386C7D"/>
    <w:rsid w:val="12395295"/>
    <w:rsid w:val="123E4294"/>
    <w:rsid w:val="12412A48"/>
    <w:rsid w:val="12413D84"/>
    <w:rsid w:val="124629FE"/>
    <w:rsid w:val="12483364"/>
    <w:rsid w:val="124A2F41"/>
    <w:rsid w:val="124C10C4"/>
    <w:rsid w:val="124D2729"/>
    <w:rsid w:val="124F58FC"/>
    <w:rsid w:val="124F64F3"/>
    <w:rsid w:val="125053DB"/>
    <w:rsid w:val="12527D3F"/>
    <w:rsid w:val="12562894"/>
    <w:rsid w:val="125735A8"/>
    <w:rsid w:val="125A6BF4"/>
    <w:rsid w:val="125D64D0"/>
    <w:rsid w:val="125E028E"/>
    <w:rsid w:val="12633CFA"/>
    <w:rsid w:val="12641821"/>
    <w:rsid w:val="126637EB"/>
    <w:rsid w:val="12681311"/>
    <w:rsid w:val="12687158"/>
    <w:rsid w:val="126C0519"/>
    <w:rsid w:val="126C08D5"/>
    <w:rsid w:val="126D6927"/>
    <w:rsid w:val="126E7288"/>
    <w:rsid w:val="127001C5"/>
    <w:rsid w:val="1271420B"/>
    <w:rsid w:val="12763673"/>
    <w:rsid w:val="12771554"/>
    <w:rsid w:val="127768E3"/>
    <w:rsid w:val="127B49BD"/>
    <w:rsid w:val="128123D2"/>
    <w:rsid w:val="1284618D"/>
    <w:rsid w:val="12850115"/>
    <w:rsid w:val="128679E9"/>
    <w:rsid w:val="12877D8C"/>
    <w:rsid w:val="12896FE4"/>
    <w:rsid w:val="128B1875"/>
    <w:rsid w:val="128D4ABE"/>
    <w:rsid w:val="129107AE"/>
    <w:rsid w:val="12960FAF"/>
    <w:rsid w:val="12962C44"/>
    <w:rsid w:val="12977E48"/>
    <w:rsid w:val="12983044"/>
    <w:rsid w:val="1299406B"/>
    <w:rsid w:val="12994089"/>
    <w:rsid w:val="129C720C"/>
    <w:rsid w:val="12A3059B"/>
    <w:rsid w:val="12A6008B"/>
    <w:rsid w:val="12A64154"/>
    <w:rsid w:val="12A64675"/>
    <w:rsid w:val="12A738C8"/>
    <w:rsid w:val="12AB56A1"/>
    <w:rsid w:val="12B26899"/>
    <w:rsid w:val="12B502CE"/>
    <w:rsid w:val="12B56CD9"/>
    <w:rsid w:val="12C62ED2"/>
    <w:rsid w:val="12C708C3"/>
    <w:rsid w:val="12C765B7"/>
    <w:rsid w:val="12CC7AF2"/>
    <w:rsid w:val="12D469A6"/>
    <w:rsid w:val="12D77053"/>
    <w:rsid w:val="12D9220E"/>
    <w:rsid w:val="12DA4115"/>
    <w:rsid w:val="12DC67DD"/>
    <w:rsid w:val="12DD7C9A"/>
    <w:rsid w:val="12DE15D3"/>
    <w:rsid w:val="12E0359D"/>
    <w:rsid w:val="12E6256F"/>
    <w:rsid w:val="12E94B02"/>
    <w:rsid w:val="12EE0BAB"/>
    <w:rsid w:val="12EE4DDA"/>
    <w:rsid w:val="12EE7AF0"/>
    <w:rsid w:val="12EF6F01"/>
    <w:rsid w:val="12F147D8"/>
    <w:rsid w:val="12F17558"/>
    <w:rsid w:val="12F20602"/>
    <w:rsid w:val="12F329AD"/>
    <w:rsid w:val="12F62DC0"/>
    <w:rsid w:val="12F6548F"/>
    <w:rsid w:val="12F671FF"/>
    <w:rsid w:val="12FB4B4E"/>
    <w:rsid w:val="12FC21EB"/>
    <w:rsid w:val="12FD3908"/>
    <w:rsid w:val="12FD5A34"/>
    <w:rsid w:val="12FE1C75"/>
    <w:rsid w:val="13000706"/>
    <w:rsid w:val="13025A28"/>
    <w:rsid w:val="130351F6"/>
    <w:rsid w:val="13064D3F"/>
    <w:rsid w:val="130754BA"/>
    <w:rsid w:val="130A23C8"/>
    <w:rsid w:val="130A686C"/>
    <w:rsid w:val="130C5016"/>
    <w:rsid w:val="130F79DE"/>
    <w:rsid w:val="131022DD"/>
    <w:rsid w:val="1312282C"/>
    <w:rsid w:val="13166FBF"/>
    <w:rsid w:val="1319260B"/>
    <w:rsid w:val="13195FF1"/>
    <w:rsid w:val="131B2827"/>
    <w:rsid w:val="132404D6"/>
    <w:rsid w:val="13250FB0"/>
    <w:rsid w:val="13253BB0"/>
    <w:rsid w:val="13263D69"/>
    <w:rsid w:val="132C0590"/>
    <w:rsid w:val="132F0304"/>
    <w:rsid w:val="1332191F"/>
    <w:rsid w:val="13337B71"/>
    <w:rsid w:val="13385187"/>
    <w:rsid w:val="13397CF7"/>
    <w:rsid w:val="133C7282"/>
    <w:rsid w:val="133E49BC"/>
    <w:rsid w:val="133E5188"/>
    <w:rsid w:val="13405DEA"/>
    <w:rsid w:val="13427DB4"/>
    <w:rsid w:val="134B56BC"/>
    <w:rsid w:val="13531FC1"/>
    <w:rsid w:val="13540CE3"/>
    <w:rsid w:val="13543163"/>
    <w:rsid w:val="13547AE7"/>
    <w:rsid w:val="135B734C"/>
    <w:rsid w:val="135E74B6"/>
    <w:rsid w:val="1360601C"/>
    <w:rsid w:val="1361468A"/>
    <w:rsid w:val="13622204"/>
    <w:rsid w:val="13631AD8"/>
    <w:rsid w:val="136441CE"/>
    <w:rsid w:val="13693839"/>
    <w:rsid w:val="136C2988"/>
    <w:rsid w:val="137141F5"/>
    <w:rsid w:val="13747DFB"/>
    <w:rsid w:val="13756BB4"/>
    <w:rsid w:val="13781A27"/>
    <w:rsid w:val="13785584"/>
    <w:rsid w:val="137D0DEC"/>
    <w:rsid w:val="13824654"/>
    <w:rsid w:val="13833F28"/>
    <w:rsid w:val="138403CC"/>
    <w:rsid w:val="138669A1"/>
    <w:rsid w:val="138B6379"/>
    <w:rsid w:val="138C386C"/>
    <w:rsid w:val="138D1859"/>
    <w:rsid w:val="138F0D93"/>
    <w:rsid w:val="139B0F62"/>
    <w:rsid w:val="139F0F1E"/>
    <w:rsid w:val="13A07D93"/>
    <w:rsid w:val="13A42943"/>
    <w:rsid w:val="13A61ED6"/>
    <w:rsid w:val="13AB663A"/>
    <w:rsid w:val="13AB7E44"/>
    <w:rsid w:val="13AC5B97"/>
    <w:rsid w:val="13AF4D1D"/>
    <w:rsid w:val="13AF5EA4"/>
    <w:rsid w:val="13B10A95"/>
    <w:rsid w:val="13B548D9"/>
    <w:rsid w:val="13B818F0"/>
    <w:rsid w:val="13BE624A"/>
    <w:rsid w:val="13C24CE7"/>
    <w:rsid w:val="13C67017"/>
    <w:rsid w:val="13C67ECD"/>
    <w:rsid w:val="13C702B9"/>
    <w:rsid w:val="13C92283"/>
    <w:rsid w:val="13C94031"/>
    <w:rsid w:val="13CB7DA9"/>
    <w:rsid w:val="13CF456A"/>
    <w:rsid w:val="13D30838"/>
    <w:rsid w:val="13D7584F"/>
    <w:rsid w:val="13DF3855"/>
    <w:rsid w:val="13E061B2"/>
    <w:rsid w:val="13E64F80"/>
    <w:rsid w:val="13E64FF7"/>
    <w:rsid w:val="13E76BAD"/>
    <w:rsid w:val="13EC496B"/>
    <w:rsid w:val="13EC5CD8"/>
    <w:rsid w:val="13EC7D20"/>
    <w:rsid w:val="13EE7E50"/>
    <w:rsid w:val="13F6294C"/>
    <w:rsid w:val="13F8530E"/>
    <w:rsid w:val="13FF48CB"/>
    <w:rsid w:val="14074B59"/>
    <w:rsid w:val="140D6614"/>
    <w:rsid w:val="140E2D1B"/>
    <w:rsid w:val="141167A9"/>
    <w:rsid w:val="141242DD"/>
    <w:rsid w:val="14131750"/>
    <w:rsid w:val="14146531"/>
    <w:rsid w:val="141665BF"/>
    <w:rsid w:val="141F1EA3"/>
    <w:rsid w:val="1421769B"/>
    <w:rsid w:val="142A7EF5"/>
    <w:rsid w:val="142B4CEC"/>
    <w:rsid w:val="142C2D1F"/>
    <w:rsid w:val="142F5F76"/>
    <w:rsid w:val="14301A46"/>
    <w:rsid w:val="143376FC"/>
    <w:rsid w:val="14376F4E"/>
    <w:rsid w:val="143771ED"/>
    <w:rsid w:val="143A6F63"/>
    <w:rsid w:val="143C08C3"/>
    <w:rsid w:val="143D75F7"/>
    <w:rsid w:val="143F60A1"/>
    <w:rsid w:val="1444190A"/>
    <w:rsid w:val="14466D56"/>
    <w:rsid w:val="14495E2B"/>
    <w:rsid w:val="144B722E"/>
    <w:rsid w:val="144C0A39"/>
    <w:rsid w:val="145510DB"/>
    <w:rsid w:val="1457163D"/>
    <w:rsid w:val="145B0A27"/>
    <w:rsid w:val="145F6743"/>
    <w:rsid w:val="1462547B"/>
    <w:rsid w:val="1465430C"/>
    <w:rsid w:val="146975C2"/>
    <w:rsid w:val="146B56A5"/>
    <w:rsid w:val="146D0E60"/>
    <w:rsid w:val="146D2C0E"/>
    <w:rsid w:val="14730E78"/>
    <w:rsid w:val="147812FF"/>
    <w:rsid w:val="147A357D"/>
    <w:rsid w:val="147C72F5"/>
    <w:rsid w:val="147D03EB"/>
    <w:rsid w:val="147E1869"/>
    <w:rsid w:val="14812B5E"/>
    <w:rsid w:val="148368D6"/>
    <w:rsid w:val="14841C58"/>
    <w:rsid w:val="148443FC"/>
    <w:rsid w:val="14847F58"/>
    <w:rsid w:val="14853F0D"/>
    <w:rsid w:val="14860174"/>
    <w:rsid w:val="14891A12"/>
    <w:rsid w:val="148B12E6"/>
    <w:rsid w:val="149A7681"/>
    <w:rsid w:val="149C1746"/>
    <w:rsid w:val="149D570B"/>
    <w:rsid w:val="14A777C8"/>
    <w:rsid w:val="14A919C1"/>
    <w:rsid w:val="14A964CF"/>
    <w:rsid w:val="14AE261D"/>
    <w:rsid w:val="14AF0620"/>
    <w:rsid w:val="14AF3DD3"/>
    <w:rsid w:val="14B01457"/>
    <w:rsid w:val="14B707D9"/>
    <w:rsid w:val="14B73491"/>
    <w:rsid w:val="14BC4E38"/>
    <w:rsid w:val="14BF2D1A"/>
    <w:rsid w:val="14BF5434"/>
    <w:rsid w:val="14C14CC5"/>
    <w:rsid w:val="14C211E3"/>
    <w:rsid w:val="14C32E63"/>
    <w:rsid w:val="14C67C54"/>
    <w:rsid w:val="14C71D66"/>
    <w:rsid w:val="14C9522B"/>
    <w:rsid w:val="14CA0ED3"/>
    <w:rsid w:val="14CD0785"/>
    <w:rsid w:val="14D1783E"/>
    <w:rsid w:val="14D40957"/>
    <w:rsid w:val="14D64C58"/>
    <w:rsid w:val="14D7452C"/>
    <w:rsid w:val="14DE7667"/>
    <w:rsid w:val="14DF1632"/>
    <w:rsid w:val="14E14E0C"/>
    <w:rsid w:val="14E60C13"/>
    <w:rsid w:val="14E6675C"/>
    <w:rsid w:val="14E804E7"/>
    <w:rsid w:val="14EE391B"/>
    <w:rsid w:val="14F15105"/>
    <w:rsid w:val="14F32DE9"/>
    <w:rsid w:val="14F72E20"/>
    <w:rsid w:val="14F75652"/>
    <w:rsid w:val="150027A6"/>
    <w:rsid w:val="15014C2D"/>
    <w:rsid w:val="150646FC"/>
    <w:rsid w:val="15094E25"/>
    <w:rsid w:val="15095C7E"/>
    <w:rsid w:val="151412DC"/>
    <w:rsid w:val="15155054"/>
    <w:rsid w:val="151702A5"/>
    <w:rsid w:val="15170A46"/>
    <w:rsid w:val="15170DCC"/>
    <w:rsid w:val="15193ADF"/>
    <w:rsid w:val="151B4D60"/>
    <w:rsid w:val="151E65FF"/>
    <w:rsid w:val="15211C4B"/>
    <w:rsid w:val="152301DD"/>
    <w:rsid w:val="152320DC"/>
    <w:rsid w:val="15232C77"/>
    <w:rsid w:val="15266061"/>
    <w:rsid w:val="15271294"/>
    <w:rsid w:val="15284D87"/>
    <w:rsid w:val="15286757"/>
    <w:rsid w:val="152F2995"/>
    <w:rsid w:val="152F4368"/>
    <w:rsid w:val="15347BD0"/>
    <w:rsid w:val="1536087D"/>
    <w:rsid w:val="153B0F5F"/>
    <w:rsid w:val="1540470A"/>
    <w:rsid w:val="15485AF9"/>
    <w:rsid w:val="154A7111"/>
    <w:rsid w:val="154D0C92"/>
    <w:rsid w:val="15510782"/>
    <w:rsid w:val="15533C7C"/>
    <w:rsid w:val="1553527E"/>
    <w:rsid w:val="155362A8"/>
    <w:rsid w:val="15543DCE"/>
    <w:rsid w:val="155F3AC1"/>
    <w:rsid w:val="155F5B38"/>
    <w:rsid w:val="15603FB5"/>
    <w:rsid w:val="15612CE7"/>
    <w:rsid w:val="15620A9E"/>
    <w:rsid w:val="15632263"/>
    <w:rsid w:val="156538A4"/>
    <w:rsid w:val="156B79B3"/>
    <w:rsid w:val="156C1118"/>
    <w:rsid w:val="156C6157"/>
    <w:rsid w:val="15704562"/>
    <w:rsid w:val="1572017B"/>
    <w:rsid w:val="15774596"/>
    <w:rsid w:val="157E59C2"/>
    <w:rsid w:val="157F52EF"/>
    <w:rsid w:val="158317E9"/>
    <w:rsid w:val="15894B17"/>
    <w:rsid w:val="158A20F4"/>
    <w:rsid w:val="158C3568"/>
    <w:rsid w:val="159031B3"/>
    <w:rsid w:val="1594241D"/>
    <w:rsid w:val="159640D4"/>
    <w:rsid w:val="1598213D"/>
    <w:rsid w:val="159A039F"/>
    <w:rsid w:val="15A00DC2"/>
    <w:rsid w:val="15A12FE2"/>
    <w:rsid w:val="15A91114"/>
    <w:rsid w:val="15AC214A"/>
    <w:rsid w:val="15B12FCF"/>
    <w:rsid w:val="15B141C4"/>
    <w:rsid w:val="15B720AD"/>
    <w:rsid w:val="15BB3E4D"/>
    <w:rsid w:val="15BF393E"/>
    <w:rsid w:val="15C83CED"/>
    <w:rsid w:val="15CC7D98"/>
    <w:rsid w:val="15D370F1"/>
    <w:rsid w:val="15DA2525"/>
    <w:rsid w:val="15DC2A0C"/>
    <w:rsid w:val="15E12CAC"/>
    <w:rsid w:val="15E370D5"/>
    <w:rsid w:val="15E46F00"/>
    <w:rsid w:val="15E53C42"/>
    <w:rsid w:val="15E663B6"/>
    <w:rsid w:val="15E77FCA"/>
    <w:rsid w:val="15E96C0C"/>
    <w:rsid w:val="15EA6A18"/>
    <w:rsid w:val="15EB4733"/>
    <w:rsid w:val="15EF0668"/>
    <w:rsid w:val="15EF3AF7"/>
    <w:rsid w:val="15F01D49"/>
    <w:rsid w:val="15F07F9B"/>
    <w:rsid w:val="15F64E85"/>
    <w:rsid w:val="15FA2444"/>
    <w:rsid w:val="15FD5A82"/>
    <w:rsid w:val="15FE66F6"/>
    <w:rsid w:val="15FF0295"/>
    <w:rsid w:val="1601482B"/>
    <w:rsid w:val="16017613"/>
    <w:rsid w:val="16027CCE"/>
    <w:rsid w:val="160550C9"/>
    <w:rsid w:val="16074E97"/>
    <w:rsid w:val="160C25F1"/>
    <w:rsid w:val="160C4C7F"/>
    <w:rsid w:val="16105F47"/>
    <w:rsid w:val="161B669A"/>
    <w:rsid w:val="161D59C2"/>
    <w:rsid w:val="162356FA"/>
    <w:rsid w:val="162437A1"/>
    <w:rsid w:val="16287735"/>
    <w:rsid w:val="16297009"/>
    <w:rsid w:val="162A5428"/>
    <w:rsid w:val="162A7FFA"/>
    <w:rsid w:val="162C3205"/>
    <w:rsid w:val="162F14BF"/>
    <w:rsid w:val="162F71D8"/>
    <w:rsid w:val="16300397"/>
    <w:rsid w:val="1635775C"/>
    <w:rsid w:val="1641578F"/>
    <w:rsid w:val="164C6A94"/>
    <w:rsid w:val="16515A0A"/>
    <w:rsid w:val="16533224"/>
    <w:rsid w:val="16533B1D"/>
    <w:rsid w:val="165A5414"/>
    <w:rsid w:val="165C118C"/>
    <w:rsid w:val="165F396C"/>
    <w:rsid w:val="16610551"/>
    <w:rsid w:val="16625AA0"/>
    <w:rsid w:val="1663076D"/>
    <w:rsid w:val="166718DF"/>
    <w:rsid w:val="16677B31"/>
    <w:rsid w:val="16693142"/>
    <w:rsid w:val="16730284"/>
    <w:rsid w:val="167341F1"/>
    <w:rsid w:val="16734728"/>
    <w:rsid w:val="16736D41"/>
    <w:rsid w:val="167577EB"/>
    <w:rsid w:val="16761D6D"/>
    <w:rsid w:val="16781D3E"/>
    <w:rsid w:val="16783F9E"/>
    <w:rsid w:val="167B3039"/>
    <w:rsid w:val="167F2256"/>
    <w:rsid w:val="16831DBB"/>
    <w:rsid w:val="168406E3"/>
    <w:rsid w:val="16842491"/>
    <w:rsid w:val="168C1346"/>
    <w:rsid w:val="168D6965"/>
    <w:rsid w:val="168E7352"/>
    <w:rsid w:val="169625E8"/>
    <w:rsid w:val="169C3C7F"/>
    <w:rsid w:val="169F551D"/>
    <w:rsid w:val="169F72CB"/>
    <w:rsid w:val="16A07518"/>
    <w:rsid w:val="16A36DBB"/>
    <w:rsid w:val="16AB636F"/>
    <w:rsid w:val="16AE750E"/>
    <w:rsid w:val="16B03286"/>
    <w:rsid w:val="16B07251"/>
    <w:rsid w:val="16B0772A"/>
    <w:rsid w:val="16B21D03"/>
    <w:rsid w:val="16B25250"/>
    <w:rsid w:val="16B826E5"/>
    <w:rsid w:val="16B9038D"/>
    <w:rsid w:val="16B972B9"/>
    <w:rsid w:val="16BD1575"/>
    <w:rsid w:val="16BE238C"/>
    <w:rsid w:val="16C105CB"/>
    <w:rsid w:val="16C20F8C"/>
    <w:rsid w:val="16C37AE5"/>
    <w:rsid w:val="16C86822"/>
    <w:rsid w:val="16D25C81"/>
    <w:rsid w:val="16D52CED"/>
    <w:rsid w:val="16D76435"/>
    <w:rsid w:val="16D927DD"/>
    <w:rsid w:val="16DC73F7"/>
    <w:rsid w:val="16DF7CA9"/>
    <w:rsid w:val="16E02076"/>
    <w:rsid w:val="16E169E8"/>
    <w:rsid w:val="16E178E4"/>
    <w:rsid w:val="16E41182"/>
    <w:rsid w:val="16E4773B"/>
    <w:rsid w:val="16E6314C"/>
    <w:rsid w:val="16E72E43"/>
    <w:rsid w:val="16E80360"/>
    <w:rsid w:val="16E96798"/>
    <w:rsid w:val="16E979FA"/>
    <w:rsid w:val="16EA0C06"/>
    <w:rsid w:val="16F262E8"/>
    <w:rsid w:val="16F615E1"/>
    <w:rsid w:val="16FC0CCF"/>
    <w:rsid w:val="16FC49FB"/>
    <w:rsid w:val="16FC55ED"/>
    <w:rsid w:val="16FC64CC"/>
    <w:rsid w:val="17033CFE"/>
    <w:rsid w:val="1706734A"/>
    <w:rsid w:val="170A508C"/>
    <w:rsid w:val="17101F77"/>
    <w:rsid w:val="17141CFC"/>
    <w:rsid w:val="1714751E"/>
    <w:rsid w:val="171657DF"/>
    <w:rsid w:val="17174F2F"/>
    <w:rsid w:val="171A4BA4"/>
    <w:rsid w:val="171D21E1"/>
    <w:rsid w:val="17235964"/>
    <w:rsid w:val="17271BA5"/>
    <w:rsid w:val="172A0041"/>
    <w:rsid w:val="172A517B"/>
    <w:rsid w:val="172D6F18"/>
    <w:rsid w:val="17300B80"/>
    <w:rsid w:val="17342109"/>
    <w:rsid w:val="1735378C"/>
    <w:rsid w:val="17365554"/>
    <w:rsid w:val="1738335E"/>
    <w:rsid w:val="173C3329"/>
    <w:rsid w:val="17410382"/>
    <w:rsid w:val="17464519"/>
    <w:rsid w:val="1748659D"/>
    <w:rsid w:val="1749610E"/>
    <w:rsid w:val="174D31CB"/>
    <w:rsid w:val="174D6D27"/>
    <w:rsid w:val="175120AD"/>
    <w:rsid w:val="17516817"/>
    <w:rsid w:val="17562080"/>
    <w:rsid w:val="176302F9"/>
    <w:rsid w:val="1766611D"/>
    <w:rsid w:val="176B0338"/>
    <w:rsid w:val="176F3A98"/>
    <w:rsid w:val="177061AA"/>
    <w:rsid w:val="1775328A"/>
    <w:rsid w:val="177828D5"/>
    <w:rsid w:val="177D5F83"/>
    <w:rsid w:val="17824C23"/>
    <w:rsid w:val="17841AA8"/>
    <w:rsid w:val="178564C1"/>
    <w:rsid w:val="1785752E"/>
    <w:rsid w:val="178F10EE"/>
    <w:rsid w:val="17944956"/>
    <w:rsid w:val="17961382"/>
    <w:rsid w:val="179814E5"/>
    <w:rsid w:val="17984DBD"/>
    <w:rsid w:val="179B5CE4"/>
    <w:rsid w:val="179D62D4"/>
    <w:rsid w:val="17A0779F"/>
    <w:rsid w:val="17A31135"/>
    <w:rsid w:val="17A4103D"/>
    <w:rsid w:val="17A77857"/>
    <w:rsid w:val="17B1375A"/>
    <w:rsid w:val="17B46DA6"/>
    <w:rsid w:val="17BD3EAD"/>
    <w:rsid w:val="17C7390B"/>
    <w:rsid w:val="17C82D41"/>
    <w:rsid w:val="17CB516A"/>
    <w:rsid w:val="17CE60BA"/>
    <w:rsid w:val="17CF50E1"/>
    <w:rsid w:val="17D72F7E"/>
    <w:rsid w:val="17D8320D"/>
    <w:rsid w:val="17DD454F"/>
    <w:rsid w:val="17E26772"/>
    <w:rsid w:val="17E85E47"/>
    <w:rsid w:val="17EA0A1A"/>
    <w:rsid w:val="17EA4F32"/>
    <w:rsid w:val="17EE486E"/>
    <w:rsid w:val="17EF1E32"/>
    <w:rsid w:val="17F1288A"/>
    <w:rsid w:val="17F55BC7"/>
    <w:rsid w:val="17FD074D"/>
    <w:rsid w:val="17FD24FB"/>
    <w:rsid w:val="17FF5486"/>
    <w:rsid w:val="180223EB"/>
    <w:rsid w:val="180C6BE2"/>
    <w:rsid w:val="18133ACD"/>
    <w:rsid w:val="181663DB"/>
    <w:rsid w:val="18186E41"/>
    <w:rsid w:val="181A12FF"/>
    <w:rsid w:val="181E2472"/>
    <w:rsid w:val="18247DB3"/>
    <w:rsid w:val="182712CF"/>
    <w:rsid w:val="1829608A"/>
    <w:rsid w:val="182A0E16"/>
    <w:rsid w:val="182B589C"/>
    <w:rsid w:val="182C5BEC"/>
    <w:rsid w:val="1833416F"/>
    <w:rsid w:val="183355B6"/>
    <w:rsid w:val="18351074"/>
    <w:rsid w:val="18357EE7"/>
    <w:rsid w:val="18363C5F"/>
    <w:rsid w:val="183719DF"/>
    <w:rsid w:val="183E773A"/>
    <w:rsid w:val="183F2B14"/>
    <w:rsid w:val="18442CAA"/>
    <w:rsid w:val="18544752"/>
    <w:rsid w:val="18567E5D"/>
    <w:rsid w:val="18673E19"/>
    <w:rsid w:val="186B1279"/>
    <w:rsid w:val="186C3485"/>
    <w:rsid w:val="1871681C"/>
    <w:rsid w:val="187315BA"/>
    <w:rsid w:val="18780FD8"/>
    <w:rsid w:val="187D6FE2"/>
    <w:rsid w:val="187D700D"/>
    <w:rsid w:val="187F6E2F"/>
    <w:rsid w:val="18816091"/>
    <w:rsid w:val="18822A00"/>
    <w:rsid w:val="188B7E75"/>
    <w:rsid w:val="188C5381"/>
    <w:rsid w:val="188D5986"/>
    <w:rsid w:val="188F2A48"/>
    <w:rsid w:val="1890336F"/>
    <w:rsid w:val="18904762"/>
    <w:rsid w:val="18950462"/>
    <w:rsid w:val="189558F9"/>
    <w:rsid w:val="18957F29"/>
    <w:rsid w:val="189A2440"/>
    <w:rsid w:val="189C7F66"/>
    <w:rsid w:val="189F3F68"/>
    <w:rsid w:val="18A86BAC"/>
    <w:rsid w:val="18AD0A0F"/>
    <w:rsid w:val="18AD3F21"/>
    <w:rsid w:val="18AF203C"/>
    <w:rsid w:val="18AF5EEB"/>
    <w:rsid w:val="18B0599D"/>
    <w:rsid w:val="18B51028"/>
    <w:rsid w:val="18B708FC"/>
    <w:rsid w:val="18B828C6"/>
    <w:rsid w:val="18B82FB6"/>
    <w:rsid w:val="18B967E1"/>
    <w:rsid w:val="18BA03EC"/>
    <w:rsid w:val="18C1177B"/>
    <w:rsid w:val="18C21C5E"/>
    <w:rsid w:val="18C272A1"/>
    <w:rsid w:val="18C313C1"/>
    <w:rsid w:val="18C3296C"/>
    <w:rsid w:val="18C33745"/>
    <w:rsid w:val="18C669C2"/>
    <w:rsid w:val="18C70329"/>
    <w:rsid w:val="18C859EA"/>
    <w:rsid w:val="18D53478"/>
    <w:rsid w:val="18DB5873"/>
    <w:rsid w:val="18DD40DB"/>
    <w:rsid w:val="18DF7E53"/>
    <w:rsid w:val="18E216F1"/>
    <w:rsid w:val="18E32B76"/>
    <w:rsid w:val="18E331C3"/>
    <w:rsid w:val="18E35E3F"/>
    <w:rsid w:val="18E436BB"/>
    <w:rsid w:val="18E7065A"/>
    <w:rsid w:val="18F139F1"/>
    <w:rsid w:val="18F17B89"/>
    <w:rsid w:val="18F356AC"/>
    <w:rsid w:val="18F36021"/>
    <w:rsid w:val="18F55160"/>
    <w:rsid w:val="18FA17BA"/>
    <w:rsid w:val="18FF2103"/>
    <w:rsid w:val="19017DC9"/>
    <w:rsid w:val="190543D6"/>
    <w:rsid w:val="19103908"/>
    <w:rsid w:val="19130E4D"/>
    <w:rsid w:val="19145D4E"/>
    <w:rsid w:val="191C4C03"/>
    <w:rsid w:val="191E0979"/>
    <w:rsid w:val="19206F08"/>
    <w:rsid w:val="19241D0A"/>
    <w:rsid w:val="19243414"/>
    <w:rsid w:val="19285862"/>
    <w:rsid w:val="192A37C4"/>
    <w:rsid w:val="192C5770"/>
    <w:rsid w:val="192F0365"/>
    <w:rsid w:val="19341F4D"/>
    <w:rsid w:val="19383D45"/>
    <w:rsid w:val="193957B5"/>
    <w:rsid w:val="193A00B8"/>
    <w:rsid w:val="193B6EB9"/>
    <w:rsid w:val="193D4E55"/>
    <w:rsid w:val="193D71F3"/>
    <w:rsid w:val="193E1782"/>
    <w:rsid w:val="193F1298"/>
    <w:rsid w:val="193F681C"/>
    <w:rsid w:val="194128BC"/>
    <w:rsid w:val="19421FFF"/>
    <w:rsid w:val="19424077"/>
    <w:rsid w:val="19434886"/>
    <w:rsid w:val="19442C23"/>
    <w:rsid w:val="19487815"/>
    <w:rsid w:val="1949561A"/>
    <w:rsid w:val="194E421E"/>
    <w:rsid w:val="19505D5B"/>
    <w:rsid w:val="19521DC8"/>
    <w:rsid w:val="19526877"/>
    <w:rsid w:val="19530D22"/>
    <w:rsid w:val="19542584"/>
    <w:rsid w:val="195C14A3"/>
    <w:rsid w:val="195E18FC"/>
    <w:rsid w:val="19617053"/>
    <w:rsid w:val="196E0374"/>
    <w:rsid w:val="196E59E0"/>
    <w:rsid w:val="196F11D7"/>
    <w:rsid w:val="196F4694"/>
    <w:rsid w:val="197113F3"/>
    <w:rsid w:val="19735269"/>
    <w:rsid w:val="19762565"/>
    <w:rsid w:val="19806074"/>
    <w:rsid w:val="19831126"/>
    <w:rsid w:val="19864EEB"/>
    <w:rsid w:val="198A198B"/>
    <w:rsid w:val="198F147D"/>
    <w:rsid w:val="198F7ACB"/>
    <w:rsid w:val="199402BF"/>
    <w:rsid w:val="19942EF3"/>
    <w:rsid w:val="19946269"/>
    <w:rsid w:val="1995735D"/>
    <w:rsid w:val="199B1FCC"/>
    <w:rsid w:val="199C5303"/>
    <w:rsid w:val="199D17F0"/>
    <w:rsid w:val="19A215D9"/>
    <w:rsid w:val="19A34A35"/>
    <w:rsid w:val="19A370D2"/>
    <w:rsid w:val="19A71D08"/>
    <w:rsid w:val="19A75264"/>
    <w:rsid w:val="19A927C7"/>
    <w:rsid w:val="19AD7F51"/>
    <w:rsid w:val="19AF1F1B"/>
    <w:rsid w:val="19B47531"/>
    <w:rsid w:val="19B65058"/>
    <w:rsid w:val="19B96E54"/>
    <w:rsid w:val="19B97302"/>
    <w:rsid w:val="19BB441C"/>
    <w:rsid w:val="19C046E9"/>
    <w:rsid w:val="19C10596"/>
    <w:rsid w:val="19C84D8B"/>
    <w:rsid w:val="19CC6629"/>
    <w:rsid w:val="19CE163C"/>
    <w:rsid w:val="19CE61DC"/>
    <w:rsid w:val="19CF0004"/>
    <w:rsid w:val="19CF6119"/>
    <w:rsid w:val="19D13C3F"/>
    <w:rsid w:val="19D268EE"/>
    <w:rsid w:val="19D76D7C"/>
    <w:rsid w:val="19DB061A"/>
    <w:rsid w:val="19E54607"/>
    <w:rsid w:val="19E80F89"/>
    <w:rsid w:val="19EB584A"/>
    <w:rsid w:val="19EB60D6"/>
    <w:rsid w:val="19EF2318"/>
    <w:rsid w:val="19F35E74"/>
    <w:rsid w:val="19F4267A"/>
    <w:rsid w:val="19F4792E"/>
    <w:rsid w:val="19F636A6"/>
    <w:rsid w:val="19F7427C"/>
    <w:rsid w:val="19FD2C86"/>
    <w:rsid w:val="1A0005E4"/>
    <w:rsid w:val="1A052DA9"/>
    <w:rsid w:val="1A072172"/>
    <w:rsid w:val="1A0933D9"/>
    <w:rsid w:val="1A0A3B99"/>
    <w:rsid w:val="1A0A70AB"/>
    <w:rsid w:val="1A131BB9"/>
    <w:rsid w:val="1A156547"/>
    <w:rsid w:val="1A18405D"/>
    <w:rsid w:val="1A187AC0"/>
    <w:rsid w:val="1A1A26DC"/>
    <w:rsid w:val="1A1C3F56"/>
    <w:rsid w:val="1A204BC7"/>
    <w:rsid w:val="1A222B3B"/>
    <w:rsid w:val="1A231FC1"/>
    <w:rsid w:val="1A243F91"/>
    <w:rsid w:val="1A253065"/>
    <w:rsid w:val="1A2975D8"/>
    <w:rsid w:val="1A2A095D"/>
    <w:rsid w:val="1A2E2E40"/>
    <w:rsid w:val="1A3022CF"/>
    <w:rsid w:val="1A3262D8"/>
    <w:rsid w:val="1A33088D"/>
    <w:rsid w:val="1A342471"/>
    <w:rsid w:val="1A362AA5"/>
    <w:rsid w:val="1A407D29"/>
    <w:rsid w:val="1A4651A3"/>
    <w:rsid w:val="1A475CB0"/>
    <w:rsid w:val="1A4811A1"/>
    <w:rsid w:val="1A48594C"/>
    <w:rsid w:val="1A490F86"/>
    <w:rsid w:val="1A4A040B"/>
    <w:rsid w:val="1A4F44F7"/>
    <w:rsid w:val="1A513622"/>
    <w:rsid w:val="1A524DA9"/>
    <w:rsid w:val="1A593DBB"/>
    <w:rsid w:val="1A5D1977"/>
    <w:rsid w:val="1A5E511E"/>
    <w:rsid w:val="1A626DC6"/>
    <w:rsid w:val="1A633EA2"/>
    <w:rsid w:val="1A6B2354"/>
    <w:rsid w:val="1A6B4094"/>
    <w:rsid w:val="1A742270"/>
    <w:rsid w:val="1A751E7C"/>
    <w:rsid w:val="1A77355B"/>
    <w:rsid w:val="1A777C18"/>
    <w:rsid w:val="1A7B3BAB"/>
    <w:rsid w:val="1A80113B"/>
    <w:rsid w:val="1A803899"/>
    <w:rsid w:val="1A8205AF"/>
    <w:rsid w:val="1A8250A7"/>
    <w:rsid w:val="1A845156"/>
    <w:rsid w:val="1A8C400A"/>
    <w:rsid w:val="1A8D6720"/>
    <w:rsid w:val="1A916DC8"/>
    <w:rsid w:val="1A954C6D"/>
    <w:rsid w:val="1A957595"/>
    <w:rsid w:val="1A976F39"/>
    <w:rsid w:val="1A9A25D3"/>
    <w:rsid w:val="1A9B04D2"/>
    <w:rsid w:val="1A9B5FFB"/>
    <w:rsid w:val="1A9E2A77"/>
    <w:rsid w:val="1AA2738A"/>
    <w:rsid w:val="1AA650CC"/>
    <w:rsid w:val="1AA706C0"/>
    <w:rsid w:val="1AA82EFE"/>
    <w:rsid w:val="1AAE4992"/>
    <w:rsid w:val="1AB07CF9"/>
    <w:rsid w:val="1AB36D0B"/>
    <w:rsid w:val="1AB5317B"/>
    <w:rsid w:val="1AB66CBD"/>
    <w:rsid w:val="1AB86368"/>
    <w:rsid w:val="1ABD6E9B"/>
    <w:rsid w:val="1AC57E58"/>
    <w:rsid w:val="1AD35795"/>
    <w:rsid w:val="1AD804C1"/>
    <w:rsid w:val="1ADB27D4"/>
    <w:rsid w:val="1ADF0A86"/>
    <w:rsid w:val="1AE07BFA"/>
    <w:rsid w:val="1AE16104"/>
    <w:rsid w:val="1AE2533C"/>
    <w:rsid w:val="1AE4266E"/>
    <w:rsid w:val="1AE431E0"/>
    <w:rsid w:val="1AE43998"/>
    <w:rsid w:val="1AE654C9"/>
    <w:rsid w:val="1AE83372"/>
    <w:rsid w:val="1AE87493"/>
    <w:rsid w:val="1AEF6FB2"/>
    <w:rsid w:val="1AF20311"/>
    <w:rsid w:val="1AF37BE5"/>
    <w:rsid w:val="1AF44CCD"/>
    <w:rsid w:val="1AFC2F3E"/>
    <w:rsid w:val="1AFC67D9"/>
    <w:rsid w:val="1B010952"/>
    <w:rsid w:val="1B0700EA"/>
    <w:rsid w:val="1B074FCA"/>
    <w:rsid w:val="1B0B3181"/>
    <w:rsid w:val="1B0D0CA7"/>
    <w:rsid w:val="1B0E67CD"/>
    <w:rsid w:val="1B0F0EC3"/>
    <w:rsid w:val="1B114159"/>
    <w:rsid w:val="1B141D1E"/>
    <w:rsid w:val="1B1A1616"/>
    <w:rsid w:val="1B232D9B"/>
    <w:rsid w:val="1B247970"/>
    <w:rsid w:val="1B2B0BB1"/>
    <w:rsid w:val="1B2D03B6"/>
    <w:rsid w:val="1B2D1349"/>
    <w:rsid w:val="1B2D6E1C"/>
    <w:rsid w:val="1B2E0642"/>
    <w:rsid w:val="1B304996"/>
    <w:rsid w:val="1B32387C"/>
    <w:rsid w:val="1B34092A"/>
    <w:rsid w:val="1B3D429C"/>
    <w:rsid w:val="1B3D7065"/>
    <w:rsid w:val="1B405427"/>
    <w:rsid w:val="1B430B6D"/>
    <w:rsid w:val="1B45278C"/>
    <w:rsid w:val="1B4E306E"/>
    <w:rsid w:val="1B4F7512"/>
    <w:rsid w:val="1B521BA4"/>
    <w:rsid w:val="1B544B28"/>
    <w:rsid w:val="1B545F49"/>
    <w:rsid w:val="1B547F98"/>
    <w:rsid w:val="1B55574F"/>
    <w:rsid w:val="1B5B4311"/>
    <w:rsid w:val="1B5D3946"/>
    <w:rsid w:val="1B637816"/>
    <w:rsid w:val="1B66485B"/>
    <w:rsid w:val="1B6C13EB"/>
    <w:rsid w:val="1B6F6059"/>
    <w:rsid w:val="1B70654D"/>
    <w:rsid w:val="1B770817"/>
    <w:rsid w:val="1B7725C5"/>
    <w:rsid w:val="1B7948BC"/>
    <w:rsid w:val="1B7C6A09"/>
    <w:rsid w:val="1B7C7BDB"/>
    <w:rsid w:val="1B8076CB"/>
    <w:rsid w:val="1B821DBE"/>
    <w:rsid w:val="1B855497"/>
    <w:rsid w:val="1B87249A"/>
    <w:rsid w:val="1B8B42C2"/>
    <w:rsid w:val="1B8C2514"/>
    <w:rsid w:val="1B8D003A"/>
    <w:rsid w:val="1B9211AC"/>
    <w:rsid w:val="1B974A15"/>
    <w:rsid w:val="1B976335"/>
    <w:rsid w:val="1B9B2757"/>
    <w:rsid w:val="1B9C746A"/>
    <w:rsid w:val="1B9F4188"/>
    <w:rsid w:val="1BA37FE4"/>
    <w:rsid w:val="1BA5387C"/>
    <w:rsid w:val="1BA9626C"/>
    <w:rsid w:val="1BAC6712"/>
    <w:rsid w:val="1BAF1D5E"/>
    <w:rsid w:val="1BAF774B"/>
    <w:rsid w:val="1BB05AD7"/>
    <w:rsid w:val="1BB13D28"/>
    <w:rsid w:val="1BB43819"/>
    <w:rsid w:val="1BB452A3"/>
    <w:rsid w:val="1BBA2E6C"/>
    <w:rsid w:val="1BBB44BE"/>
    <w:rsid w:val="1BBB4BA7"/>
    <w:rsid w:val="1BBE6445"/>
    <w:rsid w:val="1BC34CD6"/>
    <w:rsid w:val="1BC51582"/>
    <w:rsid w:val="1BCB1332"/>
    <w:rsid w:val="1BCC1384"/>
    <w:rsid w:val="1BCC78C6"/>
    <w:rsid w:val="1BD16179"/>
    <w:rsid w:val="1BD32840"/>
    <w:rsid w:val="1BD417C5"/>
    <w:rsid w:val="1BDC0B4C"/>
    <w:rsid w:val="1BDC1A5C"/>
    <w:rsid w:val="1BDC5999"/>
    <w:rsid w:val="1BDD2394"/>
    <w:rsid w:val="1BDE7CE8"/>
    <w:rsid w:val="1BE217F9"/>
    <w:rsid w:val="1BE21956"/>
    <w:rsid w:val="1BEA723A"/>
    <w:rsid w:val="1BED2887"/>
    <w:rsid w:val="1BEE0ACC"/>
    <w:rsid w:val="1BEE3CFA"/>
    <w:rsid w:val="1BF27E9D"/>
    <w:rsid w:val="1BF604D2"/>
    <w:rsid w:val="1BF61DE9"/>
    <w:rsid w:val="1BF73705"/>
    <w:rsid w:val="1BFD51C0"/>
    <w:rsid w:val="1C0025BA"/>
    <w:rsid w:val="1C0628B7"/>
    <w:rsid w:val="1C07254C"/>
    <w:rsid w:val="1C0876C1"/>
    <w:rsid w:val="1C094BD6"/>
    <w:rsid w:val="1C0A69FF"/>
    <w:rsid w:val="1C0C71B1"/>
    <w:rsid w:val="1C0F4EF3"/>
    <w:rsid w:val="1C0F5BD3"/>
    <w:rsid w:val="1C1442B7"/>
    <w:rsid w:val="1C1459B0"/>
    <w:rsid w:val="1C1A3E4E"/>
    <w:rsid w:val="1C1C57C7"/>
    <w:rsid w:val="1C1E0C92"/>
    <w:rsid w:val="1C1E2CFF"/>
    <w:rsid w:val="1C2067E1"/>
    <w:rsid w:val="1C222648"/>
    <w:rsid w:val="1C2401D1"/>
    <w:rsid w:val="1C2E39D6"/>
    <w:rsid w:val="1C2F1FFA"/>
    <w:rsid w:val="1C3331B8"/>
    <w:rsid w:val="1C365FDC"/>
    <w:rsid w:val="1C3A2889"/>
    <w:rsid w:val="1C3D736A"/>
    <w:rsid w:val="1C437F03"/>
    <w:rsid w:val="1C444B9D"/>
    <w:rsid w:val="1C462A36"/>
    <w:rsid w:val="1C485D0F"/>
    <w:rsid w:val="1C4A421D"/>
    <w:rsid w:val="1C4A7338"/>
    <w:rsid w:val="1C4E6BCF"/>
    <w:rsid w:val="1C4F509F"/>
    <w:rsid w:val="1C4F52EF"/>
    <w:rsid w:val="1C4F60A6"/>
    <w:rsid w:val="1C5059CF"/>
    <w:rsid w:val="1C5157A9"/>
    <w:rsid w:val="1C534045"/>
    <w:rsid w:val="1C5C02D1"/>
    <w:rsid w:val="1C5E03B6"/>
    <w:rsid w:val="1C5E5533"/>
    <w:rsid w:val="1C5F0577"/>
    <w:rsid w:val="1C634698"/>
    <w:rsid w:val="1C6439F7"/>
    <w:rsid w:val="1C6D02DA"/>
    <w:rsid w:val="1C7134B8"/>
    <w:rsid w:val="1C734813"/>
    <w:rsid w:val="1C7359C5"/>
    <w:rsid w:val="1C742575"/>
    <w:rsid w:val="1C784846"/>
    <w:rsid w:val="1C7865F4"/>
    <w:rsid w:val="1C84143D"/>
    <w:rsid w:val="1C8501C0"/>
    <w:rsid w:val="1C8676E4"/>
    <w:rsid w:val="1C883C83"/>
    <w:rsid w:val="1C897153"/>
    <w:rsid w:val="1C8D560A"/>
    <w:rsid w:val="1C8E65A3"/>
    <w:rsid w:val="1C8E7BC6"/>
    <w:rsid w:val="1C8F7AB3"/>
    <w:rsid w:val="1C913754"/>
    <w:rsid w:val="1C9378D2"/>
    <w:rsid w:val="1C94761A"/>
    <w:rsid w:val="1C96160A"/>
    <w:rsid w:val="1CA30BB7"/>
    <w:rsid w:val="1CA63263"/>
    <w:rsid w:val="1CA81E5F"/>
    <w:rsid w:val="1CAB4C1C"/>
    <w:rsid w:val="1CAB51A2"/>
    <w:rsid w:val="1CAB7092"/>
    <w:rsid w:val="1CB515F6"/>
    <w:rsid w:val="1CB60703"/>
    <w:rsid w:val="1CB72045"/>
    <w:rsid w:val="1CB733D7"/>
    <w:rsid w:val="1CBD66FD"/>
    <w:rsid w:val="1CBD681A"/>
    <w:rsid w:val="1CBF5FD1"/>
    <w:rsid w:val="1CC27052"/>
    <w:rsid w:val="1CC74609"/>
    <w:rsid w:val="1CC926C9"/>
    <w:rsid w:val="1CCC6940"/>
    <w:rsid w:val="1CD13F56"/>
    <w:rsid w:val="1CD22DC8"/>
    <w:rsid w:val="1CD372A7"/>
    <w:rsid w:val="1CDB3A46"/>
    <w:rsid w:val="1CDD2F05"/>
    <w:rsid w:val="1CE24B4B"/>
    <w:rsid w:val="1CE4012E"/>
    <w:rsid w:val="1CE426EF"/>
    <w:rsid w:val="1CE954CE"/>
    <w:rsid w:val="1CEC32A6"/>
    <w:rsid w:val="1CF0262F"/>
    <w:rsid w:val="1CF02B34"/>
    <w:rsid w:val="1CF32F28"/>
    <w:rsid w:val="1CF81D3B"/>
    <w:rsid w:val="1D061E52"/>
    <w:rsid w:val="1D07701B"/>
    <w:rsid w:val="1D0B56BA"/>
    <w:rsid w:val="1D0D0F93"/>
    <w:rsid w:val="1D0E3E20"/>
    <w:rsid w:val="1D0E51AB"/>
    <w:rsid w:val="1D0F07C0"/>
    <w:rsid w:val="1D100F23"/>
    <w:rsid w:val="1D102CD1"/>
    <w:rsid w:val="1D103CCD"/>
    <w:rsid w:val="1D130E2D"/>
    <w:rsid w:val="1D162375"/>
    <w:rsid w:val="1D1A1A21"/>
    <w:rsid w:val="1D1A7BEF"/>
    <w:rsid w:val="1D1C0C3D"/>
    <w:rsid w:val="1D1D719C"/>
    <w:rsid w:val="1D1F1166"/>
    <w:rsid w:val="1D205067"/>
    <w:rsid w:val="1D207574"/>
    <w:rsid w:val="1D210618"/>
    <w:rsid w:val="1D2147FC"/>
    <w:rsid w:val="1D236A1E"/>
    <w:rsid w:val="1D237129"/>
    <w:rsid w:val="1D24052A"/>
    <w:rsid w:val="1D25186A"/>
    <w:rsid w:val="1D28001A"/>
    <w:rsid w:val="1D2853F4"/>
    <w:rsid w:val="1D293A6E"/>
    <w:rsid w:val="1D2B7B0B"/>
    <w:rsid w:val="1D2F4531"/>
    <w:rsid w:val="1D2F6D72"/>
    <w:rsid w:val="1D2F75FB"/>
    <w:rsid w:val="1D302F39"/>
    <w:rsid w:val="1D311E83"/>
    <w:rsid w:val="1D335D82"/>
    <w:rsid w:val="1D350989"/>
    <w:rsid w:val="1D3A5EB4"/>
    <w:rsid w:val="1D3D7C0B"/>
    <w:rsid w:val="1D434E54"/>
    <w:rsid w:val="1D44725B"/>
    <w:rsid w:val="1D453C6B"/>
    <w:rsid w:val="1D494FEE"/>
    <w:rsid w:val="1D4B476B"/>
    <w:rsid w:val="1D4B67FA"/>
    <w:rsid w:val="1D4D14D9"/>
    <w:rsid w:val="1D4D6F18"/>
    <w:rsid w:val="1D540A4C"/>
    <w:rsid w:val="1D5726AE"/>
    <w:rsid w:val="1D586A1D"/>
    <w:rsid w:val="1D5A3F4C"/>
    <w:rsid w:val="1D5E3A3C"/>
    <w:rsid w:val="1D5F7DF7"/>
    <w:rsid w:val="1D632D08"/>
    <w:rsid w:val="1D6353FC"/>
    <w:rsid w:val="1D646B79"/>
    <w:rsid w:val="1D6628F1"/>
    <w:rsid w:val="1D686669"/>
    <w:rsid w:val="1D6923E1"/>
    <w:rsid w:val="1D6A0633"/>
    <w:rsid w:val="1D6E0BF3"/>
    <w:rsid w:val="1D73368C"/>
    <w:rsid w:val="1D7645FA"/>
    <w:rsid w:val="1D7768AC"/>
    <w:rsid w:val="1D792624"/>
    <w:rsid w:val="1D7F0C25"/>
    <w:rsid w:val="1D812662"/>
    <w:rsid w:val="1D883EC1"/>
    <w:rsid w:val="1D884F5D"/>
    <w:rsid w:val="1D8A2A83"/>
    <w:rsid w:val="1D8A64E2"/>
    <w:rsid w:val="1D8D3A63"/>
    <w:rsid w:val="1D8D5869"/>
    <w:rsid w:val="1D963A13"/>
    <w:rsid w:val="1D9751A0"/>
    <w:rsid w:val="1DA15F87"/>
    <w:rsid w:val="1DA33D00"/>
    <w:rsid w:val="1DA43419"/>
    <w:rsid w:val="1DA5166B"/>
    <w:rsid w:val="1DA653E3"/>
    <w:rsid w:val="1DA736F9"/>
    <w:rsid w:val="1DAB29F9"/>
    <w:rsid w:val="1DAB47A7"/>
    <w:rsid w:val="1DAC091D"/>
    <w:rsid w:val="1DB3215B"/>
    <w:rsid w:val="1DB36801"/>
    <w:rsid w:val="1DB7314C"/>
    <w:rsid w:val="1DBA0969"/>
    <w:rsid w:val="1DBE272D"/>
    <w:rsid w:val="1DC436E8"/>
    <w:rsid w:val="1DC84AD5"/>
    <w:rsid w:val="1DCD2970"/>
    <w:rsid w:val="1DCE62A4"/>
    <w:rsid w:val="1DCF3431"/>
    <w:rsid w:val="1DD41F50"/>
    <w:rsid w:val="1DDA47D3"/>
    <w:rsid w:val="1DDE2DCF"/>
    <w:rsid w:val="1DE11D1C"/>
    <w:rsid w:val="1DE364BB"/>
    <w:rsid w:val="1DE57CB9"/>
    <w:rsid w:val="1DE657E0"/>
    <w:rsid w:val="1DEE60AD"/>
    <w:rsid w:val="1DF06848"/>
    <w:rsid w:val="1DF3687A"/>
    <w:rsid w:val="1DF71A39"/>
    <w:rsid w:val="1DF911CE"/>
    <w:rsid w:val="1DFC3255"/>
    <w:rsid w:val="1DFD4730"/>
    <w:rsid w:val="1DFE0D7B"/>
    <w:rsid w:val="1E004143"/>
    <w:rsid w:val="1E0565AE"/>
    <w:rsid w:val="1E0C709F"/>
    <w:rsid w:val="1E0D0D01"/>
    <w:rsid w:val="1E0D4AFA"/>
    <w:rsid w:val="1E100D2C"/>
    <w:rsid w:val="1E1472A3"/>
    <w:rsid w:val="1E152C73"/>
    <w:rsid w:val="1E1750AF"/>
    <w:rsid w:val="1E1D0DD4"/>
    <w:rsid w:val="1E1E3647"/>
    <w:rsid w:val="1E285DF8"/>
    <w:rsid w:val="1E2A6014"/>
    <w:rsid w:val="1E2B6CB1"/>
    <w:rsid w:val="1E2D340E"/>
    <w:rsid w:val="1E2F34E6"/>
    <w:rsid w:val="1E30462C"/>
    <w:rsid w:val="1E311151"/>
    <w:rsid w:val="1E3B5B2B"/>
    <w:rsid w:val="1E3D1529"/>
    <w:rsid w:val="1E3D54D5"/>
    <w:rsid w:val="1E3D5D47"/>
    <w:rsid w:val="1E3D7AF5"/>
    <w:rsid w:val="1E3E39E6"/>
    <w:rsid w:val="1E4B0DCA"/>
    <w:rsid w:val="1E502A4C"/>
    <w:rsid w:val="1E522E75"/>
    <w:rsid w:val="1E5379EA"/>
    <w:rsid w:val="1E562125"/>
    <w:rsid w:val="1E575694"/>
    <w:rsid w:val="1E5906A7"/>
    <w:rsid w:val="1E5F24EE"/>
    <w:rsid w:val="1E5F5CBE"/>
    <w:rsid w:val="1E6010B4"/>
    <w:rsid w:val="1E661761"/>
    <w:rsid w:val="1E6754CD"/>
    <w:rsid w:val="1E6905CE"/>
    <w:rsid w:val="1E69385F"/>
    <w:rsid w:val="1E6973A9"/>
    <w:rsid w:val="1E6A69C7"/>
    <w:rsid w:val="1E6C3F37"/>
    <w:rsid w:val="1E6D33CC"/>
    <w:rsid w:val="1E713BD4"/>
    <w:rsid w:val="1E742C5C"/>
    <w:rsid w:val="1E7775FF"/>
    <w:rsid w:val="1E780CDE"/>
    <w:rsid w:val="1E7955D6"/>
    <w:rsid w:val="1E7B6870"/>
    <w:rsid w:val="1E7C3136"/>
    <w:rsid w:val="1E7C70D4"/>
    <w:rsid w:val="1E8066E5"/>
    <w:rsid w:val="1E851F92"/>
    <w:rsid w:val="1E8556F0"/>
    <w:rsid w:val="1E8B0F08"/>
    <w:rsid w:val="1E8B528B"/>
    <w:rsid w:val="1E8D2378"/>
    <w:rsid w:val="1E937FAB"/>
    <w:rsid w:val="1E94608C"/>
    <w:rsid w:val="1E9524BD"/>
    <w:rsid w:val="1E9A6F10"/>
    <w:rsid w:val="1E9C2A1D"/>
    <w:rsid w:val="1EA43BD4"/>
    <w:rsid w:val="1EA5569B"/>
    <w:rsid w:val="1EA70D02"/>
    <w:rsid w:val="1EA72851"/>
    <w:rsid w:val="1EA9518B"/>
    <w:rsid w:val="1EAF7CA6"/>
    <w:rsid w:val="1EB15818"/>
    <w:rsid w:val="1EB168B2"/>
    <w:rsid w:val="1EB53C3A"/>
    <w:rsid w:val="1EB9030D"/>
    <w:rsid w:val="1EBC3110"/>
    <w:rsid w:val="1EBD0C36"/>
    <w:rsid w:val="1EBF2AD2"/>
    <w:rsid w:val="1EC10726"/>
    <w:rsid w:val="1EC11CD6"/>
    <w:rsid w:val="1EC12E1C"/>
    <w:rsid w:val="1EC21DA9"/>
    <w:rsid w:val="1EC45B21"/>
    <w:rsid w:val="1EC45B5B"/>
    <w:rsid w:val="1EC6630E"/>
    <w:rsid w:val="1EC776F9"/>
    <w:rsid w:val="1EC80EBD"/>
    <w:rsid w:val="1EC873E4"/>
    <w:rsid w:val="1ECC70CB"/>
    <w:rsid w:val="1ED2300A"/>
    <w:rsid w:val="1EDE5A10"/>
    <w:rsid w:val="1EE53CE9"/>
    <w:rsid w:val="1EE6584E"/>
    <w:rsid w:val="1EEB3BBF"/>
    <w:rsid w:val="1EEC5078"/>
    <w:rsid w:val="1EED151B"/>
    <w:rsid w:val="1EF6434D"/>
    <w:rsid w:val="1EF84443"/>
    <w:rsid w:val="1EFD29BC"/>
    <w:rsid w:val="1F0028D1"/>
    <w:rsid w:val="1F035A3F"/>
    <w:rsid w:val="1F040613"/>
    <w:rsid w:val="1F055887"/>
    <w:rsid w:val="1F066139"/>
    <w:rsid w:val="1F071EB1"/>
    <w:rsid w:val="1F0A0D1E"/>
    <w:rsid w:val="1F0C1E5C"/>
    <w:rsid w:val="1F0F2BB2"/>
    <w:rsid w:val="1F1209DD"/>
    <w:rsid w:val="1F1259F8"/>
    <w:rsid w:val="1F1706E4"/>
    <w:rsid w:val="1F18536D"/>
    <w:rsid w:val="1F1D3131"/>
    <w:rsid w:val="1F1F369F"/>
    <w:rsid w:val="1F226CEB"/>
    <w:rsid w:val="1F2437D1"/>
    <w:rsid w:val="1F244811"/>
    <w:rsid w:val="1F244B90"/>
    <w:rsid w:val="1F2842E0"/>
    <w:rsid w:val="1F2E404A"/>
    <w:rsid w:val="1F3507CD"/>
    <w:rsid w:val="1F35473C"/>
    <w:rsid w:val="1F354AA7"/>
    <w:rsid w:val="1F3802BD"/>
    <w:rsid w:val="1F3D2B43"/>
    <w:rsid w:val="1F3F5AEF"/>
    <w:rsid w:val="1F413615"/>
    <w:rsid w:val="1F43520D"/>
    <w:rsid w:val="1F445938"/>
    <w:rsid w:val="1F4A162F"/>
    <w:rsid w:val="1F4D1FBA"/>
    <w:rsid w:val="1F50042C"/>
    <w:rsid w:val="1F557BEA"/>
    <w:rsid w:val="1F574BE7"/>
    <w:rsid w:val="1F58270D"/>
    <w:rsid w:val="1F5F1321"/>
    <w:rsid w:val="1F5F3A9B"/>
    <w:rsid w:val="1F5F5029"/>
    <w:rsid w:val="1F602889"/>
    <w:rsid w:val="1F602EB4"/>
    <w:rsid w:val="1F60475F"/>
    <w:rsid w:val="1F614847"/>
    <w:rsid w:val="1F61544C"/>
    <w:rsid w:val="1F6706D3"/>
    <w:rsid w:val="1F6B2440"/>
    <w:rsid w:val="1F6D4AD1"/>
    <w:rsid w:val="1F6E1F30"/>
    <w:rsid w:val="1F6E7C08"/>
    <w:rsid w:val="1F737547"/>
    <w:rsid w:val="1F7532BF"/>
    <w:rsid w:val="1F78690B"/>
    <w:rsid w:val="1F7A6B27"/>
    <w:rsid w:val="1F7E7BC0"/>
    <w:rsid w:val="1F81267D"/>
    <w:rsid w:val="1F820A0F"/>
    <w:rsid w:val="1F861028"/>
    <w:rsid w:val="1F896D6A"/>
    <w:rsid w:val="1F8A1A72"/>
    <w:rsid w:val="1F8C2552"/>
    <w:rsid w:val="1F8D7243"/>
    <w:rsid w:val="1F926D65"/>
    <w:rsid w:val="1F941815"/>
    <w:rsid w:val="1F9966D3"/>
    <w:rsid w:val="1F9B5B55"/>
    <w:rsid w:val="1F9C084C"/>
    <w:rsid w:val="1F9E5881"/>
    <w:rsid w:val="1FA24251"/>
    <w:rsid w:val="1FA3410C"/>
    <w:rsid w:val="1FA3551B"/>
    <w:rsid w:val="1FA82D67"/>
    <w:rsid w:val="1FA91497"/>
    <w:rsid w:val="1FA97D98"/>
    <w:rsid w:val="1FAA0773"/>
    <w:rsid w:val="1FAB28D1"/>
    <w:rsid w:val="1FAE057F"/>
    <w:rsid w:val="1FB11717"/>
    <w:rsid w:val="1FC232F4"/>
    <w:rsid w:val="1FC35DD8"/>
    <w:rsid w:val="1FC40C7A"/>
    <w:rsid w:val="1FC64311"/>
    <w:rsid w:val="1FC85AE5"/>
    <w:rsid w:val="1FC9532C"/>
    <w:rsid w:val="1FCC20D3"/>
    <w:rsid w:val="1FCC4F6B"/>
    <w:rsid w:val="1FD30C1F"/>
    <w:rsid w:val="1FD75F7D"/>
    <w:rsid w:val="1FD8366F"/>
    <w:rsid w:val="1FDB7D11"/>
    <w:rsid w:val="1FDC50EC"/>
    <w:rsid w:val="1FE26F19"/>
    <w:rsid w:val="1FE40956"/>
    <w:rsid w:val="1FE840C9"/>
    <w:rsid w:val="1FEA6512"/>
    <w:rsid w:val="1FEB0585"/>
    <w:rsid w:val="1FED554B"/>
    <w:rsid w:val="1FF22CFC"/>
    <w:rsid w:val="1FF63269"/>
    <w:rsid w:val="1FF85AD1"/>
    <w:rsid w:val="1FF94D9A"/>
    <w:rsid w:val="1FFB58CE"/>
    <w:rsid w:val="1FFC62A9"/>
    <w:rsid w:val="1FFE5062"/>
    <w:rsid w:val="200041F7"/>
    <w:rsid w:val="200603BB"/>
    <w:rsid w:val="200D34F7"/>
    <w:rsid w:val="201725C8"/>
    <w:rsid w:val="201C0F31"/>
    <w:rsid w:val="201C6601"/>
    <w:rsid w:val="201E1A51"/>
    <w:rsid w:val="20232CCF"/>
    <w:rsid w:val="20275F4E"/>
    <w:rsid w:val="20276F41"/>
    <w:rsid w:val="20285786"/>
    <w:rsid w:val="202D3B9A"/>
    <w:rsid w:val="203647FC"/>
    <w:rsid w:val="20370574"/>
    <w:rsid w:val="203717D3"/>
    <w:rsid w:val="203767C6"/>
    <w:rsid w:val="20380B7A"/>
    <w:rsid w:val="203945B9"/>
    <w:rsid w:val="20397CD9"/>
    <w:rsid w:val="203B0065"/>
    <w:rsid w:val="203B012F"/>
    <w:rsid w:val="204213F3"/>
    <w:rsid w:val="20422551"/>
    <w:rsid w:val="20427F89"/>
    <w:rsid w:val="204528DF"/>
    <w:rsid w:val="204607B7"/>
    <w:rsid w:val="204818BF"/>
    <w:rsid w:val="204D5FEA"/>
    <w:rsid w:val="204D7D98"/>
    <w:rsid w:val="204E745B"/>
    <w:rsid w:val="206413C0"/>
    <w:rsid w:val="20672C08"/>
    <w:rsid w:val="206C021E"/>
    <w:rsid w:val="206D70D9"/>
    <w:rsid w:val="206F7D0E"/>
    <w:rsid w:val="20710402"/>
    <w:rsid w:val="20755F4B"/>
    <w:rsid w:val="207672EF"/>
    <w:rsid w:val="20801227"/>
    <w:rsid w:val="20801F1B"/>
    <w:rsid w:val="2080235A"/>
    <w:rsid w:val="208023A3"/>
    <w:rsid w:val="2082054F"/>
    <w:rsid w:val="20847C5E"/>
    <w:rsid w:val="20875058"/>
    <w:rsid w:val="208C6B12"/>
    <w:rsid w:val="208E73AB"/>
    <w:rsid w:val="208F745C"/>
    <w:rsid w:val="20931C4F"/>
    <w:rsid w:val="209D0D1F"/>
    <w:rsid w:val="209E36D4"/>
    <w:rsid w:val="209E7D28"/>
    <w:rsid w:val="20A05219"/>
    <w:rsid w:val="20A20F7E"/>
    <w:rsid w:val="20A77D97"/>
    <w:rsid w:val="20A95BFE"/>
    <w:rsid w:val="20B11D14"/>
    <w:rsid w:val="20B254A3"/>
    <w:rsid w:val="20B27823"/>
    <w:rsid w:val="20B60464"/>
    <w:rsid w:val="20B7743F"/>
    <w:rsid w:val="20BA367F"/>
    <w:rsid w:val="20BC7CE5"/>
    <w:rsid w:val="20BE3C17"/>
    <w:rsid w:val="20C25B05"/>
    <w:rsid w:val="20C30599"/>
    <w:rsid w:val="20C4061A"/>
    <w:rsid w:val="20C772CC"/>
    <w:rsid w:val="20CC5B9F"/>
    <w:rsid w:val="20CC6F0F"/>
    <w:rsid w:val="20D35C9E"/>
    <w:rsid w:val="20D50B13"/>
    <w:rsid w:val="20D67D8D"/>
    <w:rsid w:val="20D80E74"/>
    <w:rsid w:val="20DA0DBE"/>
    <w:rsid w:val="20E029BA"/>
    <w:rsid w:val="20E25DE6"/>
    <w:rsid w:val="20E53E0E"/>
    <w:rsid w:val="20E92B59"/>
    <w:rsid w:val="20E942F0"/>
    <w:rsid w:val="20EC1AA4"/>
    <w:rsid w:val="20ED14EF"/>
    <w:rsid w:val="20F16EDD"/>
    <w:rsid w:val="20F319B3"/>
    <w:rsid w:val="20F52909"/>
    <w:rsid w:val="20F56B6D"/>
    <w:rsid w:val="20F75847"/>
    <w:rsid w:val="20FA1EFB"/>
    <w:rsid w:val="20FB278B"/>
    <w:rsid w:val="20FB5A46"/>
    <w:rsid w:val="20FB5D68"/>
    <w:rsid w:val="20FD56FC"/>
    <w:rsid w:val="21076D4A"/>
    <w:rsid w:val="210B43B6"/>
    <w:rsid w:val="210C4A60"/>
    <w:rsid w:val="21112511"/>
    <w:rsid w:val="21113113"/>
    <w:rsid w:val="21134B3E"/>
    <w:rsid w:val="21141352"/>
    <w:rsid w:val="211A411E"/>
    <w:rsid w:val="211A5ECC"/>
    <w:rsid w:val="211F7986"/>
    <w:rsid w:val="21273833"/>
    <w:rsid w:val="212B632B"/>
    <w:rsid w:val="212E22D3"/>
    <w:rsid w:val="2133559C"/>
    <w:rsid w:val="21345618"/>
    <w:rsid w:val="213B5E42"/>
    <w:rsid w:val="213C2142"/>
    <w:rsid w:val="214473ED"/>
    <w:rsid w:val="21464F13"/>
    <w:rsid w:val="214747E7"/>
    <w:rsid w:val="214E6987"/>
    <w:rsid w:val="2150290B"/>
    <w:rsid w:val="215120B3"/>
    <w:rsid w:val="21535882"/>
    <w:rsid w:val="215702CC"/>
    <w:rsid w:val="215877CC"/>
    <w:rsid w:val="215A34A8"/>
    <w:rsid w:val="215E60F7"/>
    <w:rsid w:val="21627873"/>
    <w:rsid w:val="21636593"/>
    <w:rsid w:val="21645399"/>
    <w:rsid w:val="21670503"/>
    <w:rsid w:val="21730C34"/>
    <w:rsid w:val="217355DC"/>
    <w:rsid w:val="21774AB8"/>
    <w:rsid w:val="217823A6"/>
    <w:rsid w:val="21837F15"/>
    <w:rsid w:val="21884F0C"/>
    <w:rsid w:val="218B74E6"/>
    <w:rsid w:val="21975FC2"/>
    <w:rsid w:val="21977012"/>
    <w:rsid w:val="219A700D"/>
    <w:rsid w:val="219F2875"/>
    <w:rsid w:val="21A0778A"/>
    <w:rsid w:val="21A12149"/>
    <w:rsid w:val="21AC3DB3"/>
    <w:rsid w:val="21B3342C"/>
    <w:rsid w:val="21BD75F3"/>
    <w:rsid w:val="21BF42AC"/>
    <w:rsid w:val="21BF6A73"/>
    <w:rsid w:val="21C02AD2"/>
    <w:rsid w:val="21C35F3C"/>
    <w:rsid w:val="21C4408A"/>
    <w:rsid w:val="21C52598"/>
    <w:rsid w:val="21C63DE0"/>
    <w:rsid w:val="21C66054"/>
    <w:rsid w:val="21CB71C6"/>
    <w:rsid w:val="21CD1190"/>
    <w:rsid w:val="21D02A2F"/>
    <w:rsid w:val="21D301B5"/>
    <w:rsid w:val="21D36836"/>
    <w:rsid w:val="21D40771"/>
    <w:rsid w:val="21D62EAF"/>
    <w:rsid w:val="21D7250D"/>
    <w:rsid w:val="21D73DBD"/>
    <w:rsid w:val="21DF2C72"/>
    <w:rsid w:val="21E1093A"/>
    <w:rsid w:val="21E14C3C"/>
    <w:rsid w:val="21EB6E8E"/>
    <w:rsid w:val="21EC5811"/>
    <w:rsid w:val="21EF7359"/>
    <w:rsid w:val="21F030D1"/>
    <w:rsid w:val="21F06312"/>
    <w:rsid w:val="21F26E49"/>
    <w:rsid w:val="21F511AD"/>
    <w:rsid w:val="21F66939"/>
    <w:rsid w:val="21F91436"/>
    <w:rsid w:val="21FD6D7A"/>
    <w:rsid w:val="21FE2D08"/>
    <w:rsid w:val="21FF3314"/>
    <w:rsid w:val="21FF50C2"/>
    <w:rsid w:val="22056B7C"/>
    <w:rsid w:val="220628F4"/>
    <w:rsid w:val="22062A3B"/>
    <w:rsid w:val="220A23E4"/>
    <w:rsid w:val="220A45BF"/>
    <w:rsid w:val="220B14B7"/>
    <w:rsid w:val="220B1557"/>
    <w:rsid w:val="220C05F5"/>
    <w:rsid w:val="220F21BE"/>
    <w:rsid w:val="221548E5"/>
    <w:rsid w:val="22173321"/>
    <w:rsid w:val="221A1EFC"/>
    <w:rsid w:val="221C4F00"/>
    <w:rsid w:val="221F7E13"/>
    <w:rsid w:val="22237002"/>
    <w:rsid w:val="22252D7A"/>
    <w:rsid w:val="222772BE"/>
    <w:rsid w:val="22293FAC"/>
    <w:rsid w:val="222A6F2C"/>
    <w:rsid w:val="222D3395"/>
    <w:rsid w:val="22346751"/>
    <w:rsid w:val="223B493D"/>
    <w:rsid w:val="223C1E72"/>
    <w:rsid w:val="224072F2"/>
    <w:rsid w:val="22407EAD"/>
    <w:rsid w:val="2244516D"/>
    <w:rsid w:val="224545EA"/>
    <w:rsid w:val="22482F0D"/>
    <w:rsid w:val="22484CBB"/>
    <w:rsid w:val="224A03D1"/>
    <w:rsid w:val="22511DC1"/>
    <w:rsid w:val="225143A9"/>
    <w:rsid w:val="22534EE7"/>
    <w:rsid w:val="22553F99"/>
    <w:rsid w:val="22561186"/>
    <w:rsid w:val="22576A92"/>
    <w:rsid w:val="225D3420"/>
    <w:rsid w:val="22603DB2"/>
    <w:rsid w:val="22613593"/>
    <w:rsid w:val="22662C1D"/>
    <w:rsid w:val="226F2247"/>
    <w:rsid w:val="22715FC0"/>
    <w:rsid w:val="227855A0"/>
    <w:rsid w:val="227B1A94"/>
    <w:rsid w:val="227F4849"/>
    <w:rsid w:val="22811DE9"/>
    <w:rsid w:val="22837AA1"/>
    <w:rsid w:val="22866968"/>
    <w:rsid w:val="228F178C"/>
    <w:rsid w:val="229130DE"/>
    <w:rsid w:val="22913335"/>
    <w:rsid w:val="22943A5C"/>
    <w:rsid w:val="22965A26"/>
    <w:rsid w:val="229677D4"/>
    <w:rsid w:val="229B266D"/>
    <w:rsid w:val="229C1D23"/>
    <w:rsid w:val="229D5007"/>
    <w:rsid w:val="229D5752"/>
    <w:rsid w:val="22A02D6B"/>
    <w:rsid w:val="22A12347"/>
    <w:rsid w:val="22A243CB"/>
    <w:rsid w:val="22A55C69"/>
    <w:rsid w:val="22A55D80"/>
    <w:rsid w:val="22B42350"/>
    <w:rsid w:val="22B508A2"/>
    <w:rsid w:val="22B61C24"/>
    <w:rsid w:val="22B8599C"/>
    <w:rsid w:val="22BB458D"/>
    <w:rsid w:val="22BE6D2B"/>
    <w:rsid w:val="22BF31CF"/>
    <w:rsid w:val="22C00CC7"/>
    <w:rsid w:val="22C32180"/>
    <w:rsid w:val="22C62648"/>
    <w:rsid w:val="22C934D4"/>
    <w:rsid w:val="22CA6173"/>
    <w:rsid w:val="22D1572B"/>
    <w:rsid w:val="22D27E57"/>
    <w:rsid w:val="22D66749"/>
    <w:rsid w:val="22D8603F"/>
    <w:rsid w:val="22DB69E1"/>
    <w:rsid w:val="22E36792"/>
    <w:rsid w:val="22E83DA8"/>
    <w:rsid w:val="22E91B93"/>
    <w:rsid w:val="22ED6878"/>
    <w:rsid w:val="22EF5A51"/>
    <w:rsid w:val="22F052B8"/>
    <w:rsid w:val="22F13391"/>
    <w:rsid w:val="22F35353"/>
    <w:rsid w:val="22F46BD8"/>
    <w:rsid w:val="22F64717"/>
    <w:rsid w:val="22F954AA"/>
    <w:rsid w:val="22FB1D2D"/>
    <w:rsid w:val="22FD3CF7"/>
    <w:rsid w:val="22FF11BD"/>
    <w:rsid w:val="230062F5"/>
    <w:rsid w:val="230159A8"/>
    <w:rsid w:val="2308609F"/>
    <w:rsid w:val="230D55FD"/>
    <w:rsid w:val="23122C2F"/>
    <w:rsid w:val="231C0A58"/>
    <w:rsid w:val="231D1CA3"/>
    <w:rsid w:val="231D6147"/>
    <w:rsid w:val="23224952"/>
    <w:rsid w:val="23264FFC"/>
    <w:rsid w:val="23275EF1"/>
    <w:rsid w:val="23295E88"/>
    <w:rsid w:val="2329689A"/>
    <w:rsid w:val="232C4628"/>
    <w:rsid w:val="232D5F4C"/>
    <w:rsid w:val="2331574F"/>
    <w:rsid w:val="23353A66"/>
    <w:rsid w:val="23356FED"/>
    <w:rsid w:val="23366780"/>
    <w:rsid w:val="233D51EB"/>
    <w:rsid w:val="233E17D0"/>
    <w:rsid w:val="23445482"/>
    <w:rsid w:val="23452FA8"/>
    <w:rsid w:val="23464B45"/>
    <w:rsid w:val="23486DFD"/>
    <w:rsid w:val="23490CEA"/>
    <w:rsid w:val="234A0221"/>
    <w:rsid w:val="235558E1"/>
    <w:rsid w:val="23591044"/>
    <w:rsid w:val="235B59DD"/>
    <w:rsid w:val="235C6C70"/>
    <w:rsid w:val="235E6AAA"/>
    <w:rsid w:val="2360230D"/>
    <w:rsid w:val="23675407"/>
    <w:rsid w:val="23694EE9"/>
    <w:rsid w:val="236E0751"/>
    <w:rsid w:val="23700025"/>
    <w:rsid w:val="237044C9"/>
    <w:rsid w:val="237644F1"/>
    <w:rsid w:val="237733D9"/>
    <w:rsid w:val="237A0FC3"/>
    <w:rsid w:val="237F1531"/>
    <w:rsid w:val="237F64BA"/>
    <w:rsid w:val="238B30B1"/>
    <w:rsid w:val="238D507B"/>
    <w:rsid w:val="239006C7"/>
    <w:rsid w:val="23952182"/>
    <w:rsid w:val="2398757C"/>
    <w:rsid w:val="239C7349"/>
    <w:rsid w:val="23A229BA"/>
    <w:rsid w:val="23A31C0E"/>
    <w:rsid w:val="23A61C99"/>
    <w:rsid w:val="23AD1272"/>
    <w:rsid w:val="23AE4FF1"/>
    <w:rsid w:val="23B343B6"/>
    <w:rsid w:val="23B51EDC"/>
    <w:rsid w:val="23B54564"/>
    <w:rsid w:val="23B56380"/>
    <w:rsid w:val="23B60B3C"/>
    <w:rsid w:val="23BA7465"/>
    <w:rsid w:val="23BC770E"/>
    <w:rsid w:val="23C04001"/>
    <w:rsid w:val="23C2284B"/>
    <w:rsid w:val="23C245F9"/>
    <w:rsid w:val="23C40F95"/>
    <w:rsid w:val="23C70109"/>
    <w:rsid w:val="23CD191B"/>
    <w:rsid w:val="23CE2F9E"/>
    <w:rsid w:val="23D26F32"/>
    <w:rsid w:val="23D305B4"/>
    <w:rsid w:val="23D508CE"/>
    <w:rsid w:val="23D81034"/>
    <w:rsid w:val="23DA34BA"/>
    <w:rsid w:val="23DC1B5F"/>
    <w:rsid w:val="23DD2527"/>
    <w:rsid w:val="23DE7685"/>
    <w:rsid w:val="23DF0322"/>
    <w:rsid w:val="23E629DD"/>
    <w:rsid w:val="23E65D6F"/>
    <w:rsid w:val="23E67AE2"/>
    <w:rsid w:val="23EF2131"/>
    <w:rsid w:val="23F757A0"/>
    <w:rsid w:val="23F76998"/>
    <w:rsid w:val="23FF41B2"/>
    <w:rsid w:val="2402712A"/>
    <w:rsid w:val="24081C8D"/>
    <w:rsid w:val="240B2444"/>
    <w:rsid w:val="240C44C5"/>
    <w:rsid w:val="240D0093"/>
    <w:rsid w:val="24122FE3"/>
    <w:rsid w:val="2414146D"/>
    <w:rsid w:val="241430A6"/>
    <w:rsid w:val="24174D49"/>
    <w:rsid w:val="24181863"/>
    <w:rsid w:val="241A61E3"/>
    <w:rsid w:val="241C11F5"/>
    <w:rsid w:val="241C31C4"/>
    <w:rsid w:val="241F69FA"/>
    <w:rsid w:val="24200C85"/>
    <w:rsid w:val="242035FF"/>
    <w:rsid w:val="242109E7"/>
    <w:rsid w:val="242332EA"/>
    <w:rsid w:val="24244768"/>
    <w:rsid w:val="24245EC8"/>
    <w:rsid w:val="24255108"/>
    <w:rsid w:val="24256370"/>
    <w:rsid w:val="242A28CA"/>
    <w:rsid w:val="242B6642"/>
    <w:rsid w:val="24303B5C"/>
    <w:rsid w:val="2432352D"/>
    <w:rsid w:val="24343749"/>
    <w:rsid w:val="243D593F"/>
    <w:rsid w:val="244364EF"/>
    <w:rsid w:val="24492EAF"/>
    <w:rsid w:val="244A2F6C"/>
    <w:rsid w:val="245142FB"/>
    <w:rsid w:val="24532F99"/>
    <w:rsid w:val="24540A05"/>
    <w:rsid w:val="2459717C"/>
    <w:rsid w:val="245A2A83"/>
    <w:rsid w:val="245D6777"/>
    <w:rsid w:val="245E16F7"/>
    <w:rsid w:val="246130F1"/>
    <w:rsid w:val="24627EDA"/>
    <w:rsid w:val="24633955"/>
    <w:rsid w:val="2463402E"/>
    <w:rsid w:val="246C2EE2"/>
    <w:rsid w:val="246D0A09"/>
    <w:rsid w:val="246E2D16"/>
    <w:rsid w:val="246F018C"/>
    <w:rsid w:val="246F71D0"/>
    <w:rsid w:val="247165A2"/>
    <w:rsid w:val="24771887"/>
    <w:rsid w:val="247B4ED4"/>
    <w:rsid w:val="247E6772"/>
    <w:rsid w:val="248050E1"/>
    <w:rsid w:val="24840950"/>
    <w:rsid w:val="2485038D"/>
    <w:rsid w:val="2485792F"/>
    <w:rsid w:val="24861ACA"/>
    <w:rsid w:val="24863878"/>
    <w:rsid w:val="24897E49"/>
    <w:rsid w:val="248C38CA"/>
    <w:rsid w:val="248C6F23"/>
    <w:rsid w:val="248D2E59"/>
    <w:rsid w:val="248E0DD5"/>
    <w:rsid w:val="2490688D"/>
    <w:rsid w:val="24933437"/>
    <w:rsid w:val="249670AC"/>
    <w:rsid w:val="24973CD7"/>
    <w:rsid w:val="24975A86"/>
    <w:rsid w:val="249C1697"/>
    <w:rsid w:val="249D41A7"/>
    <w:rsid w:val="24A0493A"/>
    <w:rsid w:val="24A90386"/>
    <w:rsid w:val="24AA3A0B"/>
    <w:rsid w:val="24AD52A9"/>
    <w:rsid w:val="24AF2DCF"/>
    <w:rsid w:val="24B161F5"/>
    <w:rsid w:val="24B44889"/>
    <w:rsid w:val="24BC4EDD"/>
    <w:rsid w:val="24BD373E"/>
    <w:rsid w:val="24C70EF2"/>
    <w:rsid w:val="24CD6404"/>
    <w:rsid w:val="24D3426C"/>
    <w:rsid w:val="24D361B2"/>
    <w:rsid w:val="24D665AE"/>
    <w:rsid w:val="24D97F36"/>
    <w:rsid w:val="24DD1840"/>
    <w:rsid w:val="24E02516"/>
    <w:rsid w:val="24E26528"/>
    <w:rsid w:val="24E32A79"/>
    <w:rsid w:val="24E54A43"/>
    <w:rsid w:val="24ED0FFA"/>
    <w:rsid w:val="24F07BEB"/>
    <w:rsid w:val="24F303F9"/>
    <w:rsid w:val="24F3775F"/>
    <w:rsid w:val="24F46A34"/>
    <w:rsid w:val="24FD761E"/>
    <w:rsid w:val="24FE39A8"/>
    <w:rsid w:val="24FF28EB"/>
    <w:rsid w:val="24FF2AA0"/>
    <w:rsid w:val="24FF3177"/>
    <w:rsid w:val="250017D3"/>
    <w:rsid w:val="2500187D"/>
    <w:rsid w:val="250270C7"/>
    <w:rsid w:val="25030022"/>
    <w:rsid w:val="25046AA6"/>
    <w:rsid w:val="25054A7A"/>
    <w:rsid w:val="25070282"/>
    <w:rsid w:val="25096070"/>
    <w:rsid w:val="250D7F1F"/>
    <w:rsid w:val="25115838"/>
    <w:rsid w:val="251D626C"/>
    <w:rsid w:val="251E11D0"/>
    <w:rsid w:val="25203CCD"/>
    <w:rsid w:val="25205A7B"/>
    <w:rsid w:val="25207829"/>
    <w:rsid w:val="252C2D63"/>
    <w:rsid w:val="25373D3E"/>
    <w:rsid w:val="25387269"/>
    <w:rsid w:val="25396A6B"/>
    <w:rsid w:val="25396B3D"/>
    <w:rsid w:val="253A38FD"/>
    <w:rsid w:val="253C3683"/>
    <w:rsid w:val="253F4606"/>
    <w:rsid w:val="25427493"/>
    <w:rsid w:val="25445C0D"/>
    <w:rsid w:val="25452824"/>
    <w:rsid w:val="25457290"/>
    <w:rsid w:val="25461985"/>
    <w:rsid w:val="254A2AF8"/>
    <w:rsid w:val="254B671E"/>
    <w:rsid w:val="254C269A"/>
    <w:rsid w:val="254C2D14"/>
    <w:rsid w:val="2551610C"/>
    <w:rsid w:val="25526F21"/>
    <w:rsid w:val="255312C4"/>
    <w:rsid w:val="255320FF"/>
    <w:rsid w:val="25543D35"/>
    <w:rsid w:val="25550B45"/>
    <w:rsid w:val="25561584"/>
    <w:rsid w:val="255767CC"/>
    <w:rsid w:val="255875E9"/>
    <w:rsid w:val="255F0F1D"/>
    <w:rsid w:val="255F2A47"/>
    <w:rsid w:val="25607DC3"/>
    <w:rsid w:val="25661DC7"/>
    <w:rsid w:val="256736AA"/>
    <w:rsid w:val="256B319A"/>
    <w:rsid w:val="256C5AD3"/>
    <w:rsid w:val="257007B0"/>
    <w:rsid w:val="25702581"/>
    <w:rsid w:val="257115FF"/>
    <w:rsid w:val="25721020"/>
    <w:rsid w:val="25747A4C"/>
    <w:rsid w:val="257972D7"/>
    <w:rsid w:val="257A45FD"/>
    <w:rsid w:val="257D07FC"/>
    <w:rsid w:val="258109DA"/>
    <w:rsid w:val="258940DC"/>
    <w:rsid w:val="258C1B0F"/>
    <w:rsid w:val="258C4EBE"/>
    <w:rsid w:val="258C5251"/>
    <w:rsid w:val="2592328F"/>
    <w:rsid w:val="259253EF"/>
    <w:rsid w:val="25982387"/>
    <w:rsid w:val="259B3A50"/>
    <w:rsid w:val="259F2E44"/>
    <w:rsid w:val="25A42208"/>
    <w:rsid w:val="25A72235"/>
    <w:rsid w:val="25A77F4A"/>
    <w:rsid w:val="25A81698"/>
    <w:rsid w:val="25AB17E9"/>
    <w:rsid w:val="25AE3E93"/>
    <w:rsid w:val="25BA5ED0"/>
    <w:rsid w:val="25BC1C48"/>
    <w:rsid w:val="25C24D84"/>
    <w:rsid w:val="25C61BC9"/>
    <w:rsid w:val="25CB2C46"/>
    <w:rsid w:val="25CB3C39"/>
    <w:rsid w:val="25D24FC7"/>
    <w:rsid w:val="25D36E8D"/>
    <w:rsid w:val="25D53E36"/>
    <w:rsid w:val="25D617BF"/>
    <w:rsid w:val="25D97631"/>
    <w:rsid w:val="25DA3E7C"/>
    <w:rsid w:val="25DC7BF4"/>
    <w:rsid w:val="25DF2B3E"/>
    <w:rsid w:val="25E274B5"/>
    <w:rsid w:val="25E61357"/>
    <w:rsid w:val="25EB42DB"/>
    <w:rsid w:val="25ED4B7A"/>
    <w:rsid w:val="25ED558C"/>
    <w:rsid w:val="25ED6EF2"/>
    <w:rsid w:val="25F01E0E"/>
    <w:rsid w:val="25F45CD8"/>
    <w:rsid w:val="25F50CB6"/>
    <w:rsid w:val="25F817CA"/>
    <w:rsid w:val="25FB61DE"/>
    <w:rsid w:val="25FC0296"/>
    <w:rsid w:val="26013AFE"/>
    <w:rsid w:val="26046AEF"/>
    <w:rsid w:val="26092E0C"/>
    <w:rsid w:val="260E1ABE"/>
    <w:rsid w:val="2613738E"/>
    <w:rsid w:val="26137703"/>
    <w:rsid w:val="26154EB4"/>
    <w:rsid w:val="26163CC7"/>
    <w:rsid w:val="26185305"/>
    <w:rsid w:val="26194AE8"/>
    <w:rsid w:val="261962F1"/>
    <w:rsid w:val="261C4494"/>
    <w:rsid w:val="261D1FBA"/>
    <w:rsid w:val="26284BE7"/>
    <w:rsid w:val="262B1D6E"/>
    <w:rsid w:val="262E235B"/>
    <w:rsid w:val="262E41C8"/>
    <w:rsid w:val="262F11C3"/>
    <w:rsid w:val="26325A66"/>
    <w:rsid w:val="263317DE"/>
    <w:rsid w:val="26347A30"/>
    <w:rsid w:val="2638702D"/>
    <w:rsid w:val="26467763"/>
    <w:rsid w:val="264A7253"/>
    <w:rsid w:val="264E7B1E"/>
    <w:rsid w:val="264F40AC"/>
    <w:rsid w:val="26527EB6"/>
    <w:rsid w:val="265754CC"/>
    <w:rsid w:val="265A744D"/>
    <w:rsid w:val="266203A2"/>
    <w:rsid w:val="26624201"/>
    <w:rsid w:val="26647BE9"/>
    <w:rsid w:val="26663961"/>
    <w:rsid w:val="26696268"/>
    <w:rsid w:val="266A41AB"/>
    <w:rsid w:val="266B4E43"/>
    <w:rsid w:val="266E1914"/>
    <w:rsid w:val="266F0A68"/>
    <w:rsid w:val="266F2816"/>
    <w:rsid w:val="266F4F92"/>
    <w:rsid w:val="26747E2C"/>
    <w:rsid w:val="267B3F41"/>
    <w:rsid w:val="267E6EFD"/>
    <w:rsid w:val="267E7606"/>
    <w:rsid w:val="267F79E0"/>
    <w:rsid w:val="26812549"/>
    <w:rsid w:val="26834F68"/>
    <w:rsid w:val="26866B19"/>
    <w:rsid w:val="268A58A2"/>
    <w:rsid w:val="268A7650"/>
    <w:rsid w:val="26917B75"/>
    <w:rsid w:val="26995AE5"/>
    <w:rsid w:val="269E100F"/>
    <w:rsid w:val="269E528D"/>
    <w:rsid w:val="26A325DC"/>
    <w:rsid w:val="26A74A64"/>
    <w:rsid w:val="26AB01C4"/>
    <w:rsid w:val="26AC73F7"/>
    <w:rsid w:val="26B02E2F"/>
    <w:rsid w:val="26B30EBE"/>
    <w:rsid w:val="26B7240F"/>
    <w:rsid w:val="26BA7AA5"/>
    <w:rsid w:val="26BC7A25"/>
    <w:rsid w:val="26BD2815"/>
    <w:rsid w:val="26BD59A5"/>
    <w:rsid w:val="26BE554B"/>
    <w:rsid w:val="26BE7BA4"/>
    <w:rsid w:val="26C317D6"/>
    <w:rsid w:val="26C50688"/>
    <w:rsid w:val="26C55C41"/>
    <w:rsid w:val="26C56B11"/>
    <w:rsid w:val="26C64A68"/>
    <w:rsid w:val="26C83FF9"/>
    <w:rsid w:val="26C8635B"/>
    <w:rsid w:val="26CA5614"/>
    <w:rsid w:val="26D66D39"/>
    <w:rsid w:val="26D86E7F"/>
    <w:rsid w:val="26D96C5E"/>
    <w:rsid w:val="26D97AE9"/>
    <w:rsid w:val="26DA3D9D"/>
    <w:rsid w:val="26DB0FCA"/>
    <w:rsid w:val="26DB7EAB"/>
    <w:rsid w:val="26DD00C8"/>
    <w:rsid w:val="26DD1E76"/>
    <w:rsid w:val="26E05F07"/>
    <w:rsid w:val="26E23FDF"/>
    <w:rsid w:val="26E256DE"/>
    <w:rsid w:val="26E35D25"/>
    <w:rsid w:val="26E52C61"/>
    <w:rsid w:val="26E56F7C"/>
    <w:rsid w:val="26E7475D"/>
    <w:rsid w:val="26EF1BA9"/>
    <w:rsid w:val="26EF7E56"/>
    <w:rsid w:val="26F05837"/>
    <w:rsid w:val="26F132EA"/>
    <w:rsid w:val="26F22A51"/>
    <w:rsid w:val="26F36DAF"/>
    <w:rsid w:val="26F62F37"/>
    <w:rsid w:val="26F70A5D"/>
    <w:rsid w:val="26FD5BE6"/>
    <w:rsid w:val="27026E33"/>
    <w:rsid w:val="27054F28"/>
    <w:rsid w:val="270666B4"/>
    <w:rsid w:val="270A253F"/>
    <w:rsid w:val="270F5463"/>
    <w:rsid w:val="271419FA"/>
    <w:rsid w:val="271B7282"/>
    <w:rsid w:val="27211303"/>
    <w:rsid w:val="27215163"/>
    <w:rsid w:val="27263415"/>
    <w:rsid w:val="272839CD"/>
    <w:rsid w:val="272916F4"/>
    <w:rsid w:val="272F7F0E"/>
    <w:rsid w:val="2731305C"/>
    <w:rsid w:val="2736058B"/>
    <w:rsid w:val="27363F57"/>
    <w:rsid w:val="27374AC8"/>
    <w:rsid w:val="2738348F"/>
    <w:rsid w:val="27387F4F"/>
    <w:rsid w:val="273B2301"/>
    <w:rsid w:val="273E668C"/>
    <w:rsid w:val="273F7E22"/>
    <w:rsid w:val="27420C2D"/>
    <w:rsid w:val="2742617D"/>
    <w:rsid w:val="274666AE"/>
    <w:rsid w:val="2749750B"/>
    <w:rsid w:val="275E288B"/>
    <w:rsid w:val="275F64F2"/>
    <w:rsid w:val="27677991"/>
    <w:rsid w:val="276E0D20"/>
    <w:rsid w:val="276F4A98"/>
    <w:rsid w:val="276F6846"/>
    <w:rsid w:val="27726084"/>
    <w:rsid w:val="27791D79"/>
    <w:rsid w:val="277D032A"/>
    <w:rsid w:val="27800A53"/>
    <w:rsid w:val="27806B4D"/>
    <w:rsid w:val="27812A57"/>
    <w:rsid w:val="278175C3"/>
    <w:rsid w:val="278542BB"/>
    <w:rsid w:val="278622C6"/>
    <w:rsid w:val="278C73F8"/>
    <w:rsid w:val="279327BD"/>
    <w:rsid w:val="27940221"/>
    <w:rsid w:val="27976FBE"/>
    <w:rsid w:val="27983FEE"/>
    <w:rsid w:val="279A1B15"/>
    <w:rsid w:val="279A450D"/>
    <w:rsid w:val="279B588D"/>
    <w:rsid w:val="279D166B"/>
    <w:rsid w:val="27A85632"/>
    <w:rsid w:val="27A93098"/>
    <w:rsid w:val="27A978E8"/>
    <w:rsid w:val="27B16011"/>
    <w:rsid w:val="27B67625"/>
    <w:rsid w:val="27BA67C2"/>
    <w:rsid w:val="27BD1CA7"/>
    <w:rsid w:val="27BD70EF"/>
    <w:rsid w:val="27BF157B"/>
    <w:rsid w:val="27C40ADA"/>
    <w:rsid w:val="27C5489A"/>
    <w:rsid w:val="27C941A8"/>
    <w:rsid w:val="27CE79D8"/>
    <w:rsid w:val="27D4573D"/>
    <w:rsid w:val="27D50FED"/>
    <w:rsid w:val="27D72D69"/>
    <w:rsid w:val="27D765EE"/>
    <w:rsid w:val="27D859F7"/>
    <w:rsid w:val="27D86AE1"/>
    <w:rsid w:val="27DB7A1D"/>
    <w:rsid w:val="27E15DF0"/>
    <w:rsid w:val="27E2526A"/>
    <w:rsid w:val="27E4127E"/>
    <w:rsid w:val="27E56B08"/>
    <w:rsid w:val="27E72880"/>
    <w:rsid w:val="27E86D24"/>
    <w:rsid w:val="27ED47C6"/>
    <w:rsid w:val="27F00188"/>
    <w:rsid w:val="27F1198E"/>
    <w:rsid w:val="27F154AD"/>
    <w:rsid w:val="27F22B1E"/>
    <w:rsid w:val="27F31225"/>
    <w:rsid w:val="27F52646"/>
    <w:rsid w:val="27F92735"/>
    <w:rsid w:val="27FB4210"/>
    <w:rsid w:val="27FE0D43"/>
    <w:rsid w:val="27FE6547"/>
    <w:rsid w:val="28032C07"/>
    <w:rsid w:val="280451E0"/>
    <w:rsid w:val="280727C8"/>
    <w:rsid w:val="281264E8"/>
    <w:rsid w:val="28134EE3"/>
    <w:rsid w:val="281518BB"/>
    <w:rsid w:val="28186334"/>
    <w:rsid w:val="281F773D"/>
    <w:rsid w:val="28203803"/>
    <w:rsid w:val="28211555"/>
    <w:rsid w:val="28213FE4"/>
    <w:rsid w:val="28241125"/>
    <w:rsid w:val="28260244"/>
    <w:rsid w:val="282633A8"/>
    <w:rsid w:val="282756F1"/>
    <w:rsid w:val="28285372"/>
    <w:rsid w:val="282E6701"/>
    <w:rsid w:val="2835456A"/>
    <w:rsid w:val="28384CC8"/>
    <w:rsid w:val="283A6E54"/>
    <w:rsid w:val="283C77D9"/>
    <w:rsid w:val="283D6944"/>
    <w:rsid w:val="283E4B96"/>
    <w:rsid w:val="284101E2"/>
    <w:rsid w:val="28416434"/>
    <w:rsid w:val="2843570A"/>
    <w:rsid w:val="28474F88"/>
    <w:rsid w:val="28486D3E"/>
    <w:rsid w:val="285223EF"/>
    <w:rsid w:val="28536854"/>
    <w:rsid w:val="28537F15"/>
    <w:rsid w:val="285403DC"/>
    <w:rsid w:val="28562889"/>
    <w:rsid w:val="285717B4"/>
    <w:rsid w:val="28576611"/>
    <w:rsid w:val="28596E68"/>
    <w:rsid w:val="285F68BA"/>
    <w:rsid w:val="28610884"/>
    <w:rsid w:val="28612632"/>
    <w:rsid w:val="28620159"/>
    <w:rsid w:val="286363AA"/>
    <w:rsid w:val="28661673"/>
    <w:rsid w:val="28681C7B"/>
    <w:rsid w:val="286914E7"/>
    <w:rsid w:val="286A1188"/>
    <w:rsid w:val="286A598B"/>
    <w:rsid w:val="286A641D"/>
    <w:rsid w:val="286E6AFD"/>
    <w:rsid w:val="28700AC7"/>
    <w:rsid w:val="28706D19"/>
    <w:rsid w:val="2874680A"/>
    <w:rsid w:val="28754E9D"/>
    <w:rsid w:val="28757E8C"/>
    <w:rsid w:val="287700A8"/>
    <w:rsid w:val="287E6E71"/>
    <w:rsid w:val="287F0D0A"/>
    <w:rsid w:val="28812F95"/>
    <w:rsid w:val="288A1B89"/>
    <w:rsid w:val="288E5F3B"/>
    <w:rsid w:val="28924C1A"/>
    <w:rsid w:val="28926255"/>
    <w:rsid w:val="289507D9"/>
    <w:rsid w:val="289B3D96"/>
    <w:rsid w:val="289F095F"/>
    <w:rsid w:val="28A11607"/>
    <w:rsid w:val="28A32C4B"/>
    <w:rsid w:val="28A616A7"/>
    <w:rsid w:val="28A95D87"/>
    <w:rsid w:val="28AB1AFF"/>
    <w:rsid w:val="28AB2446"/>
    <w:rsid w:val="28B13CF0"/>
    <w:rsid w:val="28B51553"/>
    <w:rsid w:val="28B72697"/>
    <w:rsid w:val="28B7695A"/>
    <w:rsid w:val="28C01A4F"/>
    <w:rsid w:val="28CB22D7"/>
    <w:rsid w:val="28CE5D75"/>
    <w:rsid w:val="28CF57EE"/>
    <w:rsid w:val="28D075B1"/>
    <w:rsid w:val="28D21782"/>
    <w:rsid w:val="28D21E74"/>
    <w:rsid w:val="28D728F5"/>
    <w:rsid w:val="28DC7F0B"/>
    <w:rsid w:val="28E00C88"/>
    <w:rsid w:val="28E222BC"/>
    <w:rsid w:val="28E34B61"/>
    <w:rsid w:val="28E5224F"/>
    <w:rsid w:val="28ED3D24"/>
    <w:rsid w:val="28F17E5A"/>
    <w:rsid w:val="28F22F0D"/>
    <w:rsid w:val="28F46352"/>
    <w:rsid w:val="28F60005"/>
    <w:rsid w:val="28FF4AA8"/>
    <w:rsid w:val="29006959"/>
    <w:rsid w:val="29023B89"/>
    <w:rsid w:val="29037B8D"/>
    <w:rsid w:val="29051210"/>
    <w:rsid w:val="2907142C"/>
    <w:rsid w:val="29121B7F"/>
    <w:rsid w:val="291226F4"/>
    <w:rsid w:val="29262F95"/>
    <w:rsid w:val="29283150"/>
    <w:rsid w:val="292C2C40"/>
    <w:rsid w:val="292D4147"/>
    <w:rsid w:val="292E56E4"/>
    <w:rsid w:val="29361D11"/>
    <w:rsid w:val="293A0C34"/>
    <w:rsid w:val="293B2E83"/>
    <w:rsid w:val="293E6CC6"/>
    <w:rsid w:val="29416BF4"/>
    <w:rsid w:val="29447CE7"/>
    <w:rsid w:val="29475CCC"/>
    <w:rsid w:val="294A756A"/>
    <w:rsid w:val="294E4D6D"/>
    <w:rsid w:val="295069EF"/>
    <w:rsid w:val="295126A7"/>
    <w:rsid w:val="29516101"/>
    <w:rsid w:val="29521BF5"/>
    <w:rsid w:val="2954743A"/>
    <w:rsid w:val="2959155B"/>
    <w:rsid w:val="295B3F36"/>
    <w:rsid w:val="295E0D79"/>
    <w:rsid w:val="295E59F2"/>
    <w:rsid w:val="295E5F46"/>
    <w:rsid w:val="295E73C2"/>
    <w:rsid w:val="296B7F95"/>
    <w:rsid w:val="2973544C"/>
    <w:rsid w:val="297B7724"/>
    <w:rsid w:val="297E51A0"/>
    <w:rsid w:val="29804A5F"/>
    <w:rsid w:val="29824F56"/>
    <w:rsid w:val="29897554"/>
    <w:rsid w:val="298E56A9"/>
    <w:rsid w:val="298F0748"/>
    <w:rsid w:val="298F1421"/>
    <w:rsid w:val="29995DFC"/>
    <w:rsid w:val="29A44ECD"/>
    <w:rsid w:val="29A547A1"/>
    <w:rsid w:val="29AB760B"/>
    <w:rsid w:val="29AF561F"/>
    <w:rsid w:val="29B061AC"/>
    <w:rsid w:val="29B5480E"/>
    <w:rsid w:val="29B64C00"/>
    <w:rsid w:val="29B82726"/>
    <w:rsid w:val="29B93207"/>
    <w:rsid w:val="29BB5D72"/>
    <w:rsid w:val="29BB5F42"/>
    <w:rsid w:val="29C25353"/>
    <w:rsid w:val="29C36356"/>
    <w:rsid w:val="29C475A9"/>
    <w:rsid w:val="29C57124"/>
    <w:rsid w:val="29C714C8"/>
    <w:rsid w:val="29C76E0D"/>
    <w:rsid w:val="29C9048F"/>
    <w:rsid w:val="29CB17BB"/>
    <w:rsid w:val="29CC66AD"/>
    <w:rsid w:val="29D46E34"/>
    <w:rsid w:val="29D477B9"/>
    <w:rsid w:val="29D516A6"/>
    <w:rsid w:val="29D61531"/>
    <w:rsid w:val="29D74136"/>
    <w:rsid w:val="29E3139F"/>
    <w:rsid w:val="29E404B9"/>
    <w:rsid w:val="29E405F2"/>
    <w:rsid w:val="29E76B67"/>
    <w:rsid w:val="29E84AD9"/>
    <w:rsid w:val="29E928DF"/>
    <w:rsid w:val="29E96802"/>
    <w:rsid w:val="29F179E6"/>
    <w:rsid w:val="29F34A61"/>
    <w:rsid w:val="29F55ACC"/>
    <w:rsid w:val="29F907F4"/>
    <w:rsid w:val="29FA4AED"/>
    <w:rsid w:val="29FD55E1"/>
    <w:rsid w:val="29FD638B"/>
    <w:rsid w:val="2A0040A4"/>
    <w:rsid w:val="2A0208B3"/>
    <w:rsid w:val="2A0A212C"/>
    <w:rsid w:val="2A0B0AA8"/>
    <w:rsid w:val="2A0D2036"/>
    <w:rsid w:val="2A135C1B"/>
    <w:rsid w:val="2A13795C"/>
    <w:rsid w:val="2A15210A"/>
    <w:rsid w:val="2A17569E"/>
    <w:rsid w:val="2A181C44"/>
    <w:rsid w:val="2A1B57EC"/>
    <w:rsid w:val="2A1C3D55"/>
    <w:rsid w:val="2A1C68C4"/>
    <w:rsid w:val="2A1D34C9"/>
    <w:rsid w:val="2A1D5E0B"/>
    <w:rsid w:val="2A222295"/>
    <w:rsid w:val="2A28564B"/>
    <w:rsid w:val="2A2A7731"/>
    <w:rsid w:val="2A2C5816"/>
    <w:rsid w:val="2A37149D"/>
    <w:rsid w:val="2A387865"/>
    <w:rsid w:val="2A395A26"/>
    <w:rsid w:val="2A3A313B"/>
    <w:rsid w:val="2A3D668F"/>
    <w:rsid w:val="2A3F0751"/>
    <w:rsid w:val="2A406947"/>
    <w:rsid w:val="2A4611E8"/>
    <w:rsid w:val="2A464E76"/>
    <w:rsid w:val="2A46528E"/>
    <w:rsid w:val="2A465F84"/>
    <w:rsid w:val="2A482632"/>
    <w:rsid w:val="2A484DE4"/>
    <w:rsid w:val="2A4B0A68"/>
    <w:rsid w:val="2A506E02"/>
    <w:rsid w:val="2A524D51"/>
    <w:rsid w:val="2A554419"/>
    <w:rsid w:val="2A5644EE"/>
    <w:rsid w:val="2A571F3F"/>
    <w:rsid w:val="2A5C1304"/>
    <w:rsid w:val="2A5D6ED5"/>
    <w:rsid w:val="2A5F4104"/>
    <w:rsid w:val="2A60759E"/>
    <w:rsid w:val="2A612DBE"/>
    <w:rsid w:val="2A622692"/>
    <w:rsid w:val="2A62672D"/>
    <w:rsid w:val="2A6415DD"/>
    <w:rsid w:val="2A665F0B"/>
    <w:rsid w:val="2A6A1553"/>
    <w:rsid w:val="2A6D5764"/>
    <w:rsid w:val="2A6E1215"/>
    <w:rsid w:val="2A6F733E"/>
    <w:rsid w:val="2A703001"/>
    <w:rsid w:val="2A726224"/>
    <w:rsid w:val="2A7541A4"/>
    <w:rsid w:val="2A77438F"/>
    <w:rsid w:val="2A7903FA"/>
    <w:rsid w:val="2A7D127A"/>
    <w:rsid w:val="2A7D74CC"/>
    <w:rsid w:val="2A7D7856"/>
    <w:rsid w:val="2A7E68E6"/>
    <w:rsid w:val="2A834AE2"/>
    <w:rsid w:val="2A844136"/>
    <w:rsid w:val="2A862824"/>
    <w:rsid w:val="2A897A4C"/>
    <w:rsid w:val="2A8A3916"/>
    <w:rsid w:val="2A8B3997"/>
    <w:rsid w:val="2A8D2670"/>
    <w:rsid w:val="2A9465D4"/>
    <w:rsid w:val="2A954815"/>
    <w:rsid w:val="2A9A660B"/>
    <w:rsid w:val="2A9B4DBA"/>
    <w:rsid w:val="2A9F1EDE"/>
    <w:rsid w:val="2AA809EC"/>
    <w:rsid w:val="2AAB4189"/>
    <w:rsid w:val="2AB20261"/>
    <w:rsid w:val="2AB460DD"/>
    <w:rsid w:val="2AB81AA9"/>
    <w:rsid w:val="2AB949A8"/>
    <w:rsid w:val="2ABB774C"/>
    <w:rsid w:val="2ABC5BE6"/>
    <w:rsid w:val="2ACD0777"/>
    <w:rsid w:val="2AD34C23"/>
    <w:rsid w:val="2AD57584"/>
    <w:rsid w:val="2AD941FC"/>
    <w:rsid w:val="2ADA7CD8"/>
    <w:rsid w:val="2AE14EEB"/>
    <w:rsid w:val="2AE51F48"/>
    <w:rsid w:val="2AE544DB"/>
    <w:rsid w:val="2AE83D45"/>
    <w:rsid w:val="2AE8528D"/>
    <w:rsid w:val="2AEB08D9"/>
    <w:rsid w:val="2AEB2687"/>
    <w:rsid w:val="2AF05EF0"/>
    <w:rsid w:val="2AF25618"/>
    <w:rsid w:val="2AF30C57"/>
    <w:rsid w:val="2AF61758"/>
    <w:rsid w:val="2AFA7E4E"/>
    <w:rsid w:val="2B02634F"/>
    <w:rsid w:val="2B030C83"/>
    <w:rsid w:val="2B0521C7"/>
    <w:rsid w:val="2B0D7D96"/>
    <w:rsid w:val="2B1229A0"/>
    <w:rsid w:val="2B163BA8"/>
    <w:rsid w:val="2B195127"/>
    <w:rsid w:val="2B1A4D1A"/>
    <w:rsid w:val="2B1A6913"/>
    <w:rsid w:val="2B1B00E0"/>
    <w:rsid w:val="2B1E480B"/>
    <w:rsid w:val="2B200583"/>
    <w:rsid w:val="2B20463F"/>
    <w:rsid w:val="2B224920"/>
    <w:rsid w:val="2B231E21"/>
    <w:rsid w:val="2B241E09"/>
    <w:rsid w:val="2B275DB5"/>
    <w:rsid w:val="2B290AB9"/>
    <w:rsid w:val="2B2A31B0"/>
    <w:rsid w:val="2B2B55AD"/>
    <w:rsid w:val="2B30453E"/>
    <w:rsid w:val="2B360AB2"/>
    <w:rsid w:val="2B39240D"/>
    <w:rsid w:val="2B3B360F"/>
    <w:rsid w:val="2B3C7238"/>
    <w:rsid w:val="2B3F2232"/>
    <w:rsid w:val="2B4029D3"/>
    <w:rsid w:val="2B430804"/>
    <w:rsid w:val="2B45623B"/>
    <w:rsid w:val="2B4E0A39"/>
    <w:rsid w:val="2B4F2D00"/>
    <w:rsid w:val="2B5027DF"/>
    <w:rsid w:val="2B520958"/>
    <w:rsid w:val="2B58326B"/>
    <w:rsid w:val="2B5841C1"/>
    <w:rsid w:val="2B585F6F"/>
    <w:rsid w:val="2B593A95"/>
    <w:rsid w:val="2B5C3023"/>
    <w:rsid w:val="2B5C5333"/>
    <w:rsid w:val="2B616627"/>
    <w:rsid w:val="2B626DED"/>
    <w:rsid w:val="2B634913"/>
    <w:rsid w:val="2B65243A"/>
    <w:rsid w:val="2B667F60"/>
    <w:rsid w:val="2B6C151B"/>
    <w:rsid w:val="2B6C5576"/>
    <w:rsid w:val="2B6C7B04"/>
    <w:rsid w:val="2B6D70C3"/>
    <w:rsid w:val="2B717030"/>
    <w:rsid w:val="2B74267D"/>
    <w:rsid w:val="2B74371B"/>
    <w:rsid w:val="2B7857E9"/>
    <w:rsid w:val="2B7D59D5"/>
    <w:rsid w:val="2B7F799F"/>
    <w:rsid w:val="2B8F1EC4"/>
    <w:rsid w:val="2B964CE9"/>
    <w:rsid w:val="2B976411"/>
    <w:rsid w:val="2B9B40AD"/>
    <w:rsid w:val="2B9D2CA6"/>
    <w:rsid w:val="2BA11B8B"/>
    <w:rsid w:val="2BA2368E"/>
    <w:rsid w:val="2BA23FF4"/>
    <w:rsid w:val="2BA32F62"/>
    <w:rsid w:val="2BA80627"/>
    <w:rsid w:val="2BAA609E"/>
    <w:rsid w:val="2BB00000"/>
    <w:rsid w:val="2BB55F54"/>
    <w:rsid w:val="2BBA0C61"/>
    <w:rsid w:val="2BBD4024"/>
    <w:rsid w:val="2BBE1B4A"/>
    <w:rsid w:val="2BC25ADE"/>
    <w:rsid w:val="2BC3591B"/>
    <w:rsid w:val="2BC5112A"/>
    <w:rsid w:val="2BC56AE4"/>
    <w:rsid w:val="2BC5737C"/>
    <w:rsid w:val="2BC74EA2"/>
    <w:rsid w:val="2BC8425C"/>
    <w:rsid w:val="2BC902EF"/>
    <w:rsid w:val="2BCA7383"/>
    <w:rsid w:val="2BCB6139"/>
    <w:rsid w:val="2BCE3FEE"/>
    <w:rsid w:val="2BD001FB"/>
    <w:rsid w:val="2BD626FB"/>
    <w:rsid w:val="2BD84516"/>
    <w:rsid w:val="2BDD41BA"/>
    <w:rsid w:val="2BDD495E"/>
    <w:rsid w:val="2BE2738B"/>
    <w:rsid w:val="2BE47891"/>
    <w:rsid w:val="2BEA633B"/>
    <w:rsid w:val="2BEE0681"/>
    <w:rsid w:val="2BF52D59"/>
    <w:rsid w:val="2BF64FCD"/>
    <w:rsid w:val="2BFF463C"/>
    <w:rsid w:val="2C003C50"/>
    <w:rsid w:val="2C01384D"/>
    <w:rsid w:val="2C02237E"/>
    <w:rsid w:val="2C067C91"/>
    <w:rsid w:val="2C0A333A"/>
    <w:rsid w:val="2C0B2FE1"/>
    <w:rsid w:val="2C0E1E75"/>
    <w:rsid w:val="2C0F13C3"/>
    <w:rsid w:val="2C11436F"/>
    <w:rsid w:val="2C155047"/>
    <w:rsid w:val="2C183950"/>
    <w:rsid w:val="2C1A1476"/>
    <w:rsid w:val="2C1A3801"/>
    <w:rsid w:val="2C1D2D14"/>
    <w:rsid w:val="2C1D4AC2"/>
    <w:rsid w:val="2C210A56"/>
    <w:rsid w:val="2C251BC9"/>
    <w:rsid w:val="2C271C01"/>
    <w:rsid w:val="2C275941"/>
    <w:rsid w:val="2C2B3683"/>
    <w:rsid w:val="2C2C6109"/>
    <w:rsid w:val="2C302A48"/>
    <w:rsid w:val="2C31056E"/>
    <w:rsid w:val="2C312A99"/>
    <w:rsid w:val="2C3220D2"/>
    <w:rsid w:val="2C347EC3"/>
    <w:rsid w:val="2C351E0C"/>
    <w:rsid w:val="2C37663D"/>
    <w:rsid w:val="2C382469"/>
    <w:rsid w:val="2C3D6F12"/>
    <w:rsid w:val="2C3E3247"/>
    <w:rsid w:val="2C445C49"/>
    <w:rsid w:val="2C4D184B"/>
    <w:rsid w:val="2C4E5E72"/>
    <w:rsid w:val="2C5030EA"/>
    <w:rsid w:val="2C537074"/>
    <w:rsid w:val="2C551E22"/>
    <w:rsid w:val="2C565634"/>
    <w:rsid w:val="2C58199B"/>
    <w:rsid w:val="2C5A2E45"/>
    <w:rsid w:val="2C5B4A3E"/>
    <w:rsid w:val="2C625355"/>
    <w:rsid w:val="2C6721E1"/>
    <w:rsid w:val="2C695E89"/>
    <w:rsid w:val="2C6B0AE6"/>
    <w:rsid w:val="2C6B2FD2"/>
    <w:rsid w:val="2C721392"/>
    <w:rsid w:val="2C75504B"/>
    <w:rsid w:val="2C764495"/>
    <w:rsid w:val="2C772839"/>
    <w:rsid w:val="2C7C5F79"/>
    <w:rsid w:val="2C7D37B3"/>
    <w:rsid w:val="2C8132A3"/>
    <w:rsid w:val="2C81461C"/>
    <w:rsid w:val="2C832CE0"/>
    <w:rsid w:val="2C83526D"/>
    <w:rsid w:val="2C84131A"/>
    <w:rsid w:val="2C842D93"/>
    <w:rsid w:val="2C870B22"/>
    <w:rsid w:val="2C8903AA"/>
    <w:rsid w:val="2C8A7DFC"/>
    <w:rsid w:val="2C8C39F6"/>
    <w:rsid w:val="2C8F5E2C"/>
    <w:rsid w:val="2C902915"/>
    <w:rsid w:val="2C9034E6"/>
    <w:rsid w:val="2C972AC7"/>
    <w:rsid w:val="2C9E7F33"/>
    <w:rsid w:val="2CA1155C"/>
    <w:rsid w:val="2CA14907"/>
    <w:rsid w:val="2CA803A7"/>
    <w:rsid w:val="2CA879F5"/>
    <w:rsid w:val="2CAA62FE"/>
    <w:rsid w:val="2CAC3088"/>
    <w:rsid w:val="2CB03B88"/>
    <w:rsid w:val="2CB573F1"/>
    <w:rsid w:val="2CB86124"/>
    <w:rsid w:val="2CC43CC4"/>
    <w:rsid w:val="2CC85F0A"/>
    <w:rsid w:val="2CCA529E"/>
    <w:rsid w:val="2CCB451E"/>
    <w:rsid w:val="2CCF04B2"/>
    <w:rsid w:val="2CD5539D"/>
    <w:rsid w:val="2CD810FA"/>
    <w:rsid w:val="2CDB3FDF"/>
    <w:rsid w:val="2CDD34D0"/>
    <w:rsid w:val="2CE33748"/>
    <w:rsid w:val="2CE3651F"/>
    <w:rsid w:val="2CE90E48"/>
    <w:rsid w:val="2CEC2F53"/>
    <w:rsid w:val="2CEE1DE4"/>
    <w:rsid w:val="2CEE3684"/>
    <w:rsid w:val="2CEE715E"/>
    <w:rsid w:val="2CF60869"/>
    <w:rsid w:val="2CF63C91"/>
    <w:rsid w:val="2CF77A09"/>
    <w:rsid w:val="2CFF59E6"/>
    <w:rsid w:val="2D012636"/>
    <w:rsid w:val="2D012C77"/>
    <w:rsid w:val="2D0363AE"/>
    <w:rsid w:val="2D044645"/>
    <w:rsid w:val="2D045DF6"/>
    <w:rsid w:val="2D0637A8"/>
    <w:rsid w:val="2D075DB3"/>
    <w:rsid w:val="2D0A773C"/>
    <w:rsid w:val="2D0B213D"/>
    <w:rsid w:val="2D0F4D53"/>
    <w:rsid w:val="2D1063D5"/>
    <w:rsid w:val="2D1069CA"/>
    <w:rsid w:val="2D1660E1"/>
    <w:rsid w:val="2D1759B5"/>
    <w:rsid w:val="2D177764"/>
    <w:rsid w:val="2D1807C0"/>
    <w:rsid w:val="2D1934DC"/>
    <w:rsid w:val="2D1F486A"/>
    <w:rsid w:val="2D216437"/>
    <w:rsid w:val="2D224D77"/>
    <w:rsid w:val="2D236108"/>
    <w:rsid w:val="2D26375C"/>
    <w:rsid w:val="2D287BC3"/>
    <w:rsid w:val="2D2B353A"/>
    <w:rsid w:val="2D2B36D8"/>
    <w:rsid w:val="2D2D4983"/>
    <w:rsid w:val="2D2D6F87"/>
    <w:rsid w:val="2D2F0F51"/>
    <w:rsid w:val="2D345288"/>
    <w:rsid w:val="2D391DD0"/>
    <w:rsid w:val="2D3C0E68"/>
    <w:rsid w:val="2D3E73E6"/>
    <w:rsid w:val="2D3F4197"/>
    <w:rsid w:val="2D404F0C"/>
    <w:rsid w:val="2D407AB7"/>
    <w:rsid w:val="2D412A32"/>
    <w:rsid w:val="2D434DD0"/>
    <w:rsid w:val="2D463D35"/>
    <w:rsid w:val="2D4741CA"/>
    <w:rsid w:val="2D47652F"/>
    <w:rsid w:val="2D486799"/>
    <w:rsid w:val="2D4A18E7"/>
    <w:rsid w:val="2D4B2B3E"/>
    <w:rsid w:val="2D4C1B03"/>
    <w:rsid w:val="2D525F45"/>
    <w:rsid w:val="2D542766"/>
    <w:rsid w:val="2D574004"/>
    <w:rsid w:val="2D5C161A"/>
    <w:rsid w:val="2D5E1836"/>
    <w:rsid w:val="2D600AD0"/>
    <w:rsid w:val="2D643342"/>
    <w:rsid w:val="2D672EFF"/>
    <w:rsid w:val="2D675E34"/>
    <w:rsid w:val="2D692AEE"/>
    <w:rsid w:val="2D6D1A79"/>
    <w:rsid w:val="2D6D7CCB"/>
    <w:rsid w:val="2D6F57F8"/>
    <w:rsid w:val="2D700C77"/>
    <w:rsid w:val="2D70654E"/>
    <w:rsid w:val="2D714582"/>
    <w:rsid w:val="2D761C18"/>
    <w:rsid w:val="2D795FAA"/>
    <w:rsid w:val="2D7B22A8"/>
    <w:rsid w:val="2D7B4196"/>
    <w:rsid w:val="2D7D2A15"/>
    <w:rsid w:val="2D855015"/>
    <w:rsid w:val="2D8C0427"/>
    <w:rsid w:val="2D8C5BBE"/>
    <w:rsid w:val="2D8E75EB"/>
    <w:rsid w:val="2D8F42CD"/>
    <w:rsid w:val="2D957270"/>
    <w:rsid w:val="2D957D90"/>
    <w:rsid w:val="2D98329F"/>
    <w:rsid w:val="2D9B2143"/>
    <w:rsid w:val="2D9B65E7"/>
    <w:rsid w:val="2D9C42C1"/>
    <w:rsid w:val="2DA07CD7"/>
    <w:rsid w:val="2DA532B1"/>
    <w:rsid w:val="2DA57465"/>
    <w:rsid w:val="2DA8318B"/>
    <w:rsid w:val="2DA90D03"/>
    <w:rsid w:val="2DAD0E3F"/>
    <w:rsid w:val="2DAF6CC4"/>
    <w:rsid w:val="2DB16407"/>
    <w:rsid w:val="2DB20074"/>
    <w:rsid w:val="2DB35827"/>
    <w:rsid w:val="2DB510B7"/>
    <w:rsid w:val="2DB9081B"/>
    <w:rsid w:val="2DBA246D"/>
    <w:rsid w:val="2DBA5173"/>
    <w:rsid w:val="2DBD655D"/>
    <w:rsid w:val="2DC41F38"/>
    <w:rsid w:val="2DC853B4"/>
    <w:rsid w:val="2DC93154"/>
    <w:rsid w:val="2DCE0D94"/>
    <w:rsid w:val="2DD613CD"/>
    <w:rsid w:val="2DD90EBD"/>
    <w:rsid w:val="2DDB2E87"/>
    <w:rsid w:val="2DDC4F23"/>
    <w:rsid w:val="2DDE64D3"/>
    <w:rsid w:val="2DDF1877"/>
    <w:rsid w:val="2DE1425E"/>
    <w:rsid w:val="2DE362FE"/>
    <w:rsid w:val="2DEE1956"/>
    <w:rsid w:val="2DF34F7A"/>
    <w:rsid w:val="2DF72AE4"/>
    <w:rsid w:val="2DF91D28"/>
    <w:rsid w:val="2E026666"/>
    <w:rsid w:val="2E0A551A"/>
    <w:rsid w:val="2E0C7407"/>
    <w:rsid w:val="2E0E0B66"/>
    <w:rsid w:val="2E0E5910"/>
    <w:rsid w:val="2E1072CC"/>
    <w:rsid w:val="2E1453D0"/>
    <w:rsid w:val="2E150FDC"/>
    <w:rsid w:val="2E1948B2"/>
    <w:rsid w:val="2E1A7F09"/>
    <w:rsid w:val="2E1B3283"/>
    <w:rsid w:val="2E204D3E"/>
    <w:rsid w:val="2E24038A"/>
    <w:rsid w:val="2E250E98"/>
    <w:rsid w:val="2E290AD3"/>
    <w:rsid w:val="2E3031D3"/>
    <w:rsid w:val="2E32483A"/>
    <w:rsid w:val="2E337819"/>
    <w:rsid w:val="2E352986"/>
    <w:rsid w:val="2E352CC4"/>
    <w:rsid w:val="2E36630F"/>
    <w:rsid w:val="2E392822"/>
    <w:rsid w:val="2E3A0C42"/>
    <w:rsid w:val="2E3F51C4"/>
    <w:rsid w:val="2E405979"/>
    <w:rsid w:val="2E481991"/>
    <w:rsid w:val="2E4A6513"/>
    <w:rsid w:val="2E4C5B33"/>
    <w:rsid w:val="2E4E5407"/>
    <w:rsid w:val="2E5175C2"/>
    <w:rsid w:val="2E556795"/>
    <w:rsid w:val="2E57266A"/>
    <w:rsid w:val="2E58797F"/>
    <w:rsid w:val="2E5A14DE"/>
    <w:rsid w:val="2E5C3FC8"/>
    <w:rsid w:val="2E5C76D1"/>
    <w:rsid w:val="2E6115DE"/>
    <w:rsid w:val="2E6209C4"/>
    <w:rsid w:val="2E625356"/>
    <w:rsid w:val="2E6352D0"/>
    <w:rsid w:val="2E6361CE"/>
    <w:rsid w:val="2E67296D"/>
    <w:rsid w:val="2E6810F8"/>
    <w:rsid w:val="2E6A354E"/>
    <w:rsid w:val="2E6D448B"/>
    <w:rsid w:val="2E6E6735"/>
    <w:rsid w:val="2E701821"/>
    <w:rsid w:val="2E711DE4"/>
    <w:rsid w:val="2E760123"/>
    <w:rsid w:val="2E7A444E"/>
    <w:rsid w:val="2E7C66DE"/>
    <w:rsid w:val="2E8150F8"/>
    <w:rsid w:val="2E8157DC"/>
    <w:rsid w:val="2E864BA1"/>
    <w:rsid w:val="2E870919"/>
    <w:rsid w:val="2E89097A"/>
    <w:rsid w:val="2E8E1AD8"/>
    <w:rsid w:val="2E8E36A8"/>
    <w:rsid w:val="2E8E7EF9"/>
    <w:rsid w:val="2E9839BE"/>
    <w:rsid w:val="2E9B10FD"/>
    <w:rsid w:val="2E9B1469"/>
    <w:rsid w:val="2E9B6172"/>
    <w:rsid w:val="2E9D4C07"/>
    <w:rsid w:val="2EA46F0F"/>
    <w:rsid w:val="2EA74B17"/>
    <w:rsid w:val="2EB10C0A"/>
    <w:rsid w:val="2EB27625"/>
    <w:rsid w:val="2EB42577"/>
    <w:rsid w:val="2EB76E64"/>
    <w:rsid w:val="2EBA484A"/>
    <w:rsid w:val="2EBB37B4"/>
    <w:rsid w:val="2EBD3BE9"/>
    <w:rsid w:val="2EC102CF"/>
    <w:rsid w:val="2EC61441"/>
    <w:rsid w:val="2ECA7271"/>
    <w:rsid w:val="2ECC68D9"/>
    <w:rsid w:val="2ED3590C"/>
    <w:rsid w:val="2ED3645D"/>
    <w:rsid w:val="2ED76D03"/>
    <w:rsid w:val="2EDD678B"/>
    <w:rsid w:val="2EE26639"/>
    <w:rsid w:val="2EE47B19"/>
    <w:rsid w:val="2EE53742"/>
    <w:rsid w:val="2EE75D37"/>
    <w:rsid w:val="2EEA1FCC"/>
    <w:rsid w:val="2EEB59DF"/>
    <w:rsid w:val="2EEB7380"/>
    <w:rsid w:val="2EED10C4"/>
    <w:rsid w:val="2EF064BE"/>
    <w:rsid w:val="2EF233FD"/>
    <w:rsid w:val="2EF94505"/>
    <w:rsid w:val="2EFD12C4"/>
    <w:rsid w:val="2EFE2B6F"/>
    <w:rsid w:val="2F0106CB"/>
    <w:rsid w:val="2F0737B2"/>
    <w:rsid w:val="2F0B154A"/>
    <w:rsid w:val="2F0F4AC5"/>
    <w:rsid w:val="2F1172B4"/>
    <w:rsid w:val="2F192746"/>
    <w:rsid w:val="2F1A178D"/>
    <w:rsid w:val="2F1B7B3C"/>
    <w:rsid w:val="2F1D06D9"/>
    <w:rsid w:val="2F1F0C0A"/>
    <w:rsid w:val="2F2A5E74"/>
    <w:rsid w:val="2F2A6358"/>
    <w:rsid w:val="2F2A7C22"/>
    <w:rsid w:val="2F2B5748"/>
    <w:rsid w:val="2F2D7712"/>
    <w:rsid w:val="2F2E4BD5"/>
    <w:rsid w:val="2F2F6AF5"/>
    <w:rsid w:val="2F3364F9"/>
    <w:rsid w:val="2F34284F"/>
    <w:rsid w:val="2F38770E"/>
    <w:rsid w:val="2F397E65"/>
    <w:rsid w:val="2F3B62D6"/>
    <w:rsid w:val="2F432A92"/>
    <w:rsid w:val="2F44472E"/>
    <w:rsid w:val="2F4476DE"/>
    <w:rsid w:val="2F464EE4"/>
    <w:rsid w:val="2F4862FA"/>
    <w:rsid w:val="2F495E42"/>
    <w:rsid w:val="2F501AB9"/>
    <w:rsid w:val="2F542B7E"/>
    <w:rsid w:val="2F56063D"/>
    <w:rsid w:val="2F593A64"/>
    <w:rsid w:val="2F5D763A"/>
    <w:rsid w:val="2F5F04B7"/>
    <w:rsid w:val="2F622BD0"/>
    <w:rsid w:val="2F655E1F"/>
    <w:rsid w:val="2F67197A"/>
    <w:rsid w:val="2F6D2A2C"/>
    <w:rsid w:val="2F704980"/>
    <w:rsid w:val="2F7075FF"/>
    <w:rsid w:val="2F71310C"/>
    <w:rsid w:val="2F725125"/>
    <w:rsid w:val="2F7470EF"/>
    <w:rsid w:val="2F785E8D"/>
    <w:rsid w:val="2F7A262F"/>
    <w:rsid w:val="2F7B0AF4"/>
    <w:rsid w:val="2F7D2448"/>
    <w:rsid w:val="2F804312"/>
    <w:rsid w:val="2F820BF1"/>
    <w:rsid w:val="2F83504D"/>
    <w:rsid w:val="2F836E54"/>
    <w:rsid w:val="2F8514B1"/>
    <w:rsid w:val="2F882B9B"/>
    <w:rsid w:val="2F8C268B"/>
    <w:rsid w:val="2F8D5BC5"/>
    <w:rsid w:val="2F8E7BCB"/>
    <w:rsid w:val="2F8F04CC"/>
    <w:rsid w:val="2FA20064"/>
    <w:rsid w:val="2FA23BF3"/>
    <w:rsid w:val="2FA5393C"/>
    <w:rsid w:val="2FA72ADC"/>
    <w:rsid w:val="2FA734BF"/>
    <w:rsid w:val="2FA817BC"/>
    <w:rsid w:val="2FAA0D63"/>
    <w:rsid w:val="2FAB3958"/>
    <w:rsid w:val="2FAD520D"/>
    <w:rsid w:val="2FAF3270"/>
    <w:rsid w:val="2FAF5F15"/>
    <w:rsid w:val="2FBA4969"/>
    <w:rsid w:val="2FBA58C9"/>
    <w:rsid w:val="2FBD0F7E"/>
    <w:rsid w:val="2FC35981"/>
    <w:rsid w:val="2FC46819"/>
    <w:rsid w:val="2FCA4353"/>
    <w:rsid w:val="2FCB3C7C"/>
    <w:rsid w:val="2FCB70E3"/>
    <w:rsid w:val="2FCF69E3"/>
    <w:rsid w:val="2FCF7FEB"/>
    <w:rsid w:val="2FD22842"/>
    <w:rsid w:val="2FD25609"/>
    <w:rsid w:val="2FDC6A42"/>
    <w:rsid w:val="2FE078F6"/>
    <w:rsid w:val="2FE46F0E"/>
    <w:rsid w:val="2FE65021"/>
    <w:rsid w:val="2FE853E7"/>
    <w:rsid w:val="2FE95EC5"/>
    <w:rsid w:val="2FEB7917"/>
    <w:rsid w:val="2FEC137B"/>
    <w:rsid w:val="2FEC4ED7"/>
    <w:rsid w:val="2FF05C37"/>
    <w:rsid w:val="2FF130FC"/>
    <w:rsid w:val="2FF70158"/>
    <w:rsid w:val="2FFC1402"/>
    <w:rsid w:val="2FFD58DB"/>
    <w:rsid w:val="300264A9"/>
    <w:rsid w:val="30062762"/>
    <w:rsid w:val="30063E5E"/>
    <w:rsid w:val="3009624A"/>
    <w:rsid w:val="300A2FE1"/>
    <w:rsid w:val="300C557A"/>
    <w:rsid w:val="300D1716"/>
    <w:rsid w:val="300F506A"/>
    <w:rsid w:val="301765CA"/>
    <w:rsid w:val="30197C97"/>
    <w:rsid w:val="301D1535"/>
    <w:rsid w:val="30222643"/>
    <w:rsid w:val="30265686"/>
    <w:rsid w:val="30281C88"/>
    <w:rsid w:val="3029612C"/>
    <w:rsid w:val="302A5A00"/>
    <w:rsid w:val="30340C3F"/>
    <w:rsid w:val="3034231D"/>
    <w:rsid w:val="30345B36"/>
    <w:rsid w:val="30377019"/>
    <w:rsid w:val="3038636F"/>
    <w:rsid w:val="303879E6"/>
    <w:rsid w:val="303D3A21"/>
    <w:rsid w:val="303F66E2"/>
    <w:rsid w:val="3040577F"/>
    <w:rsid w:val="304545E8"/>
    <w:rsid w:val="30493B90"/>
    <w:rsid w:val="304E099E"/>
    <w:rsid w:val="3053122E"/>
    <w:rsid w:val="30550CCF"/>
    <w:rsid w:val="30553AEB"/>
    <w:rsid w:val="305B3A07"/>
    <w:rsid w:val="305E2886"/>
    <w:rsid w:val="305E56A9"/>
    <w:rsid w:val="305F63B6"/>
    <w:rsid w:val="305F7D9F"/>
    <w:rsid w:val="30605945"/>
    <w:rsid w:val="3062006B"/>
    <w:rsid w:val="3062519A"/>
    <w:rsid w:val="30662938"/>
    <w:rsid w:val="306660AE"/>
    <w:rsid w:val="306B4FC4"/>
    <w:rsid w:val="306B6744"/>
    <w:rsid w:val="306F78B6"/>
    <w:rsid w:val="307153DD"/>
    <w:rsid w:val="30722C3D"/>
    <w:rsid w:val="30733A2D"/>
    <w:rsid w:val="30752D67"/>
    <w:rsid w:val="30766D40"/>
    <w:rsid w:val="3077656F"/>
    <w:rsid w:val="307A6AFD"/>
    <w:rsid w:val="307C0540"/>
    <w:rsid w:val="307D1FD3"/>
    <w:rsid w:val="307F4BFF"/>
    <w:rsid w:val="3080229F"/>
    <w:rsid w:val="30834A49"/>
    <w:rsid w:val="30872E52"/>
    <w:rsid w:val="30882DC9"/>
    <w:rsid w:val="308C66BA"/>
    <w:rsid w:val="308E1613"/>
    <w:rsid w:val="30901AA0"/>
    <w:rsid w:val="30977539"/>
    <w:rsid w:val="3098505F"/>
    <w:rsid w:val="309B44D9"/>
    <w:rsid w:val="30A65F29"/>
    <w:rsid w:val="30A77050"/>
    <w:rsid w:val="30AC6CAB"/>
    <w:rsid w:val="30AC76FD"/>
    <w:rsid w:val="30B01360"/>
    <w:rsid w:val="30B01FBC"/>
    <w:rsid w:val="30B31B89"/>
    <w:rsid w:val="30B579BF"/>
    <w:rsid w:val="30B643FB"/>
    <w:rsid w:val="30B71989"/>
    <w:rsid w:val="30BA6D84"/>
    <w:rsid w:val="30BC6FA0"/>
    <w:rsid w:val="30CD5A8D"/>
    <w:rsid w:val="30CE0A81"/>
    <w:rsid w:val="30CF1812"/>
    <w:rsid w:val="30D16C82"/>
    <w:rsid w:val="30D37E45"/>
    <w:rsid w:val="30D912A2"/>
    <w:rsid w:val="30DA5678"/>
    <w:rsid w:val="30E06864"/>
    <w:rsid w:val="30E1604A"/>
    <w:rsid w:val="30E16A06"/>
    <w:rsid w:val="30E177A0"/>
    <w:rsid w:val="30E402A4"/>
    <w:rsid w:val="30E42C2A"/>
    <w:rsid w:val="30E43E01"/>
    <w:rsid w:val="30E44F60"/>
    <w:rsid w:val="30E5206B"/>
    <w:rsid w:val="30E56A1A"/>
    <w:rsid w:val="30E63B7D"/>
    <w:rsid w:val="30E865BA"/>
    <w:rsid w:val="30EB33E1"/>
    <w:rsid w:val="30ED7DE7"/>
    <w:rsid w:val="30F06C49"/>
    <w:rsid w:val="30F073BE"/>
    <w:rsid w:val="30F304E8"/>
    <w:rsid w:val="30F51EB4"/>
    <w:rsid w:val="30F5600E"/>
    <w:rsid w:val="30FC44F0"/>
    <w:rsid w:val="310224D9"/>
    <w:rsid w:val="31046251"/>
    <w:rsid w:val="31056CF5"/>
    <w:rsid w:val="31061FC9"/>
    <w:rsid w:val="310D6834"/>
    <w:rsid w:val="310E5321"/>
    <w:rsid w:val="310F09EA"/>
    <w:rsid w:val="311173B8"/>
    <w:rsid w:val="31131651"/>
    <w:rsid w:val="311A5A74"/>
    <w:rsid w:val="311C17EC"/>
    <w:rsid w:val="311E37B6"/>
    <w:rsid w:val="311E4C18"/>
    <w:rsid w:val="312132A7"/>
    <w:rsid w:val="312406A1"/>
    <w:rsid w:val="31271F3F"/>
    <w:rsid w:val="31286927"/>
    <w:rsid w:val="312B46B1"/>
    <w:rsid w:val="312D3B46"/>
    <w:rsid w:val="312D57A8"/>
    <w:rsid w:val="3136608D"/>
    <w:rsid w:val="313806CF"/>
    <w:rsid w:val="31380FB1"/>
    <w:rsid w:val="313C59EB"/>
    <w:rsid w:val="313F372D"/>
    <w:rsid w:val="3140197F"/>
    <w:rsid w:val="3147470E"/>
    <w:rsid w:val="31492FB9"/>
    <w:rsid w:val="314A6574"/>
    <w:rsid w:val="314D5E4A"/>
    <w:rsid w:val="314F3970"/>
    <w:rsid w:val="3152520E"/>
    <w:rsid w:val="31543C2E"/>
    <w:rsid w:val="3155113E"/>
    <w:rsid w:val="315D7196"/>
    <w:rsid w:val="315E3BB3"/>
    <w:rsid w:val="3160745E"/>
    <w:rsid w:val="31633E12"/>
    <w:rsid w:val="31644005"/>
    <w:rsid w:val="316459B8"/>
    <w:rsid w:val="316B2857"/>
    <w:rsid w:val="317347B6"/>
    <w:rsid w:val="3179279B"/>
    <w:rsid w:val="3181294D"/>
    <w:rsid w:val="31817EB9"/>
    <w:rsid w:val="31836F9B"/>
    <w:rsid w:val="31857392"/>
    <w:rsid w:val="318A2BFA"/>
    <w:rsid w:val="318D26EA"/>
    <w:rsid w:val="319210C8"/>
    <w:rsid w:val="31924A86"/>
    <w:rsid w:val="3193024F"/>
    <w:rsid w:val="319B3B94"/>
    <w:rsid w:val="319B5923"/>
    <w:rsid w:val="319E0453"/>
    <w:rsid w:val="31A2252C"/>
    <w:rsid w:val="31A31AC7"/>
    <w:rsid w:val="31A773AC"/>
    <w:rsid w:val="31AA6DF8"/>
    <w:rsid w:val="31AE2A82"/>
    <w:rsid w:val="31B0129B"/>
    <w:rsid w:val="31B5579D"/>
    <w:rsid w:val="31B8784D"/>
    <w:rsid w:val="31B929D5"/>
    <w:rsid w:val="31B97334"/>
    <w:rsid w:val="31BC6B2B"/>
    <w:rsid w:val="31C93AD8"/>
    <w:rsid w:val="31C93D2F"/>
    <w:rsid w:val="31CA56EC"/>
    <w:rsid w:val="31CC3977"/>
    <w:rsid w:val="31CC5466"/>
    <w:rsid w:val="31CD0D39"/>
    <w:rsid w:val="31CE4DEF"/>
    <w:rsid w:val="31D05F97"/>
    <w:rsid w:val="31D65E3F"/>
    <w:rsid w:val="31D7311C"/>
    <w:rsid w:val="31D76F4E"/>
    <w:rsid w:val="31DB41B0"/>
    <w:rsid w:val="31DD71CE"/>
    <w:rsid w:val="31E4108A"/>
    <w:rsid w:val="31E5019D"/>
    <w:rsid w:val="31EA2FE0"/>
    <w:rsid w:val="31EC382E"/>
    <w:rsid w:val="31F15F81"/>
    <w:rsid w:val="31F27C4F"/>
    <w:rsid w:val="31F31F70"/>
    <w:rsid w:val="31F34794"/>
    <w:rsid w:val="31F615A1"/>
    <w:rsid w:val="31FC1DDC"/>
    <w:rsid w:val="31FC5620"/>
    <w:rsid w:val="31FF53A9"/>
    <w:rsid w:val="32002EBC"/>
    <w:rsid w:val="32004C6A"/>
    <w:rsid w:val="32044B8C"/>
    <w:rsid w:val="32073B23"/>
    <w:rsid w:val="32131150"/>
    <w:rsid w:val="321626E0"/>
    <w:rsid w:val="321D3783"/>
    <w:rsid w:val="32206243"/>
    <w:rsid w:val="322070BA"/>
    <w:rsid w:val="32222E32"/>
    <w:rsid w:val="322546D1"/>
    <w:rsid w:val="322C5A5F"/>
    <w:rsid w:val="322F72FD"/>
    <w:rsid w:val="32342B66"/>
    <w:rsid w:val="32360EDA"/>
    <w:rsid w:val="32361733"/>
    <w:rsid w:val="32381747"/>
    <w:rsid w:val="323B5CA2"/>
    <w:rsid w:val="32426285"/>
    <w:rsid w:val="3244724D"/>
    <w:rsid w:val="32462998"/>
    <w:rsid w:val="324755CA"/>
    <w:rsid w:val="324779FE"/>
    <w:rsid w:val="324C29AD"/>
    <w:rsid w:val="3250470A"/>
    <w:rsid w:val="325271EC"/>
    <w:rsid w:val="32542042"/>
    <w:rsid w:val="325C117B"/>
    <w:rsid w:val="325D6567"/>
    <w:rsid w:val="325E71E0"/>
    <w:rsid w:val="32613717"/>
    <w:rsid w:val="32660875"/>
    <w:rsid w:val="32672F3B"/>
    <w:rsid w:val="32673C7A"/>
    <w:rsid w:val="32677044"/>
    <w:rsid w:val="32696FF3"/>
    <w:rsid w:val="326A5F0A"/>
    <w:rsid w:val="326D08CD"/>
    <w:rsid w:val="326D5161"/>
    <w:rsid w:val="326E7438"/>
    <w:rsid w:val="32785148"/>
    <w:rsid w:val="327966FA"/>
    <w:rsid w:val="327B1562"/>
    <w:rsid w:val="327B2543"/>
    <w:rsid w:val="327C1018"/>
    <w:rsid w:val="328A09D8"/>
    <w:rsid w:val="328B52B1"/>
    <w:rsid w:val="328C0BF4"/>
    <w:rsid w:val="328F72CF"/>
    <w:rsid w:val="32916DC1"/>
    <w:rsid w:val="329655CE"/>
    <w:rsid w:val="329D695D"/>
    <w:rsid w:val="329E0398"/>
    <w:rsid w:val="329E7330"/>
    <w:rsid w:val="32A0644D"/>
    <w:rsid w:val="32A85F26"/>
    <w:rsid w:val="32A970B0"/>
    <w:rsid w:val="32AE21B6"/>
    <w:rsid w:val="32B11FA7"/>
    <w:rsid w:val="32B53CA7"/>
    <w:rsid w:val="32B83797"/>
    <w:rsid w:val="32B85545"/>
    <w:rsid w:val="32BA660E"/>
    <w:rsid w:val="32BC3287"/>
    <w:rsid w:val="32BF0681"/>
    <w:rsid w:val="32C125A9"/>
    <w:rsid w:val="32C27FD5"/>
    <w:rsid w:val="32C31C17"/>
    <w:rsid w:val="32C51A10"/>
    <w:rsid w:val="32CB171C"/>
    <w:rsid w:val="32CE4991"/>
    <w:rsid w:val="32CF7C0B"/>
    <w:rsid w:val="32D103B5"/>
    <w:rsid w:val="32D22E38"/>
    <w:rsid w:val="32D305D1"/>
    <w:rsid w:val="32D33F5D"/>
    <w:rsid w:val="32D61E6F"/>
    <w:rsid w:val="32D87995"/>
    <w:rsid w:val="32DD31FD"/>
    <w:rsid w:val="32E5331C"/>
    <w:rsid w:val="32E75E2A"/>
    <w:rsid w:val="32E8726B"/>
    <w:rsid w:val="32EF4EB0"/>
    <w:rsid w:val="32F42F30"/>
    <w:rsid w:val="32F621C2"/>
    <w:rsid w:val="33010C9A"/>
    <w:rsid w:val="33027AE6"/>
    <w:rsid w:val="33070D20"/>
    <w:rsid w:val="33096CF6"/>
    <w:rsid w:val="330B7D6A"/>
    <w:rsid w:val="33114C55"/>
    <w:rsid w:val="331210F9"/>
    <w:rsid w:val="33122FBE"/>
    <w:rsid w:val="331572B2"/>
    <w:rsid w:val="33163C4F"/>
    <w:rsid w:val="331D2425"/>
    <w:rsid w:val="33260700"/>
    <w:rsid w:val="33264BA4"/>
    <w:rsid w:val="33273069"/>
    <w:rsid w:val="33275C00"/>
    <w:rsid w:val="33281FBC"/>
    <w:rsid w:val="33283834"/>
    <w:rsid w:val="332C7488"/>
    <w:rsid w:val="332E5DA3"/>
    <w:rsid w:val="332F3170"/>
    <w:rsid w:val="33315F2C"/>
    <w:rsid w:val="33323549"/>
    <w:rsid w:val="333463B9"/>
    <w:rsid w:val="3334643D"/>
    <w:rsid w:val="333B3ED6"/>
    <w:rsid w:val="333C7F24"/>
    <w:rsid w:val="3345381E"/>
    <w:rsid w:val="33461722"/>
    <w:rsid w:val="334768F5"/>
    <w:rsid w:val="33477664"/>
    <w:rsid w:val="3348124B"/>
    <w:rsid w:val="334943EF"/>
    <w:rsid w:val="334D42BC"/>
    <w:rsid w:val="33505354"/>
    <w:rsid w:val="33522800"/>
    <w:rsid w:val="3352760A"/>
    <w:rsid w:val="33527747"/>
    <w:rsid w:val="33541F89"/>
    <w:rsid w:val="33557C7D"/>
    <w:rsid w:val="33567253"/>
    <w:rsid w:val="33575AA1"/>
    <w:rsid w:val="33582884"/>
    <w:rsid w:val="335A12B1"/>
    <w:rsid w:val="335B65A8"/>
    <w:rsid w:val="335C05C6"/>
    <w:rsid w:val="335E33B3"/>
    <w:rsid w:val="335E60ED"/>
    <w:rsid w:val="335F3F1B"/>
    <w:rsid w:val="335F6616"/>
    <w:rsid w:val="336254B1"/>
    <w:rsid w:val="33633703"/>
    <w:rsid w:val="33663DD9"/>
    <w:rsid w:val="336F26FD"/>
    <w:rsid w:val="336F5E32"/>
    <w:rsid w:val="33727DEA"/>
    <w:rsid w:val="33791178"/>
    <w:rsid w:val="337C2A16"/>
    <w:rsid w:val="33800B0F"/>
    <w:rsid w:val="33802506"/>
    <w:rsid w:val="33811DDB"/>
    <w:rsid w:val="33822660"/>
    <w:rsid w:val="33833DA5"/>
    <w:rsid w:val="33844E91"/>
    <w:rsid w:val="33877AA8"/>
    <w:rsid w:val="338B3367"/>
    <w:rsid w:val="338B51DA"/>
    <w:rsid w:val="338D69D1"/>
    <w:rsid w:val="339064C2"/>
    <w:rsid w:val="33953AD8"/>
    <w:rsid w:val="339715FE"/>
    <w:rsid w:val="33997124"/>
    <w:rsid w:val="339C4E66"/>
    <w:rsid w:val="339E0BDF"/>
    <w:rsid w:val="339F4756"/>
    <w:rsid w:val="33A04957"/>
    <w:rsid w:val="33A15F47"/>
    <w:rsid w:val="33A51F6D"/>
    <w:rsid w:val="33A67A93"/>
    <w:rsid w:val="33A855B9"/>
    <w:rsid w:val="33A907CC"/>
    <w:rsid w:val="33AA3C56"/>
    <w:rsid w:val="33AB1A51"/>
    <w:rsid w:val="33AD0E22"/>
    <w:rsid w:val="33B41E69"/>
    <w:rsid w:val="33B45D0C"/>
    <w:rsid w:val="33B5121B"/>
    <w:rsid w:val="33B57CD6"/>
    <w:rsid w:val="33B65F28"/>
    <w:rsid w:val="33B71B1A"/>
    <w:rsid w:val="33BE6B8B"/>
    <w:rsid w:val="33BF18B3"/>
    <w:rsid w:val="33BF6A0B"/>
    <w:rsid w:val="33C04B27"/>
    <w:rsid w:val="33C80E8F"/>
    <w:rsid w:val="33C85C5B"/>
    <w:rsid w:val="33C910F3"/>
    <w:rsid w:val="33CE3E34"/>
    <w:rsid w:val="33D25AAD"/>
    <w:rsid w:val="33D463AE"/>
    <w:rsid w:val="33D56103"/>
    <w:rsid w:val="33D80D78"/>
    <w:rsid w:val="33D939C5"/>
    <w:rsid w:val="33DB773D"/>
    <w:rsid w:val="33E151BB"/>
    <w:rsid w:val="33E317DE"/>
    <w:rsid w:val="33E505BB"/>
    <w:rsid w:val="33E86ECF"/>
    <w:rsid w:val="33F3353C"/>
    <w:rsid w:val="33F425F7"/>
    <w:rsid w:val="33F476BE"/>
    <w:rsid w:val="33F762A6"/>
    <w:rsid w:val="33F97BC3"/>
    <w:rsid w:val="33FB4AD5"/>
    <w:rsid w:val="33FE5999"/>
    <w:rsid w:val="34000F51"/>
    <w:rsid w:val="34040E49"/>
    <w:rsid w:val="340531C4"/>
    <w:rsid w:val="34062791"/>
    <w:rsid w:val="340B78F6"/>
    <w:rsid w:val="34143B58"/>
    <w:rsid w:val="34146FB7"/>
    <w:rsid w:val="341744ED"/>
    <w:rsid w:val="34177199"/>
    <w:rsid w:val="341C1B03"/>
    <w:rsid w:val="341D7D55"/>
    <w:rsid w:val="3425529D"/>
    <w:rsid w:val="342723ED"/>
    <w:rsid w:val="342979AD"/>
    <w:rsid w:val="342D5ABF"/>
    <w:rsid w:val="342F7A89"/>
    <w:rsid w:val="343230D5"/>
    <w:rsid w:val="343B0DC8"/>
    <w:rsid w:val="34417DA2"/>
    <w:rsid w:val="344659BD"/>
    <w:rsid w:val="34467865"/>
    <w:rsid w:val="344B54E8"/>
    <w:rsid w:val="344D7F0F"/>
    <w:rsid w:val="344E056C"/>
    <w:rsid w:val="345139DE"/>
    <w:rsid w:val="3452599C"/>
    <w:rsid w:val="345445D0"/>
    <w:rsid w:val="34554F3E"/>
    <w:rsid w:val="3458752A"/>
    <w:rsid w:val="345B7439"/>
    <w:rsid w:val="345D63A4"/>
    <w:rsid w:val="345E3ECA"/>
    <w:rsid w:val="346A0342"/>
    <w:rsid w:val="346A6D13"/>
    <w:rsid w:val="346D482B"/>
    <w:rsid w:val="34732D57"/>
    <w:rsid w:val="34790D04"/>
    <w:rsid w:val="347F31FD"/>
    <w:rsid w:val="34825E0A"/>
    <w:rsid w:val="34880D58"/>
    <w:rsid w:val="34963664"/>
    <w:rsid w:val="3498034E"/>
    <w:rsid w:val="349B3370"/>
    <w:rsid w:val="34A30B85"/>
    <w:rsid w:val="34A34465"/>
    <w:rsid w:val="34A35D81"/>
    <w:rsid w:val="34A837F7"/>
    <w:rsid w:val="34AB7DE2"/>
    <w:rsid w:val="34AC6A12"/>
    <w:rsid w:val="34AD2370"/>
    <w:rsid w:val="34AD3BB4"/>
    <w:rsid w:val="34AE30A3"/>
    <w:rsid w:val="34AE627B"/>
    <w:rsid w:val="34B14942"/>
    <w:rsid w:val="34B2575A"/>
    <w:rsid w:val="34B32A38"/>
    <w:rsid w:val="34B52DDF"/>
    <w:rsid w:val="34BC594F"/>
    <w:rsid w:val="34BD4BA2"/>
    <w:rsid w:val="34BD6DBD"/>
    <w:rsid w:val="34BD7998"/>
    <w:rsid w:val="34BE3DF6"/>
    <w:rsid w:val="34C2285E"/>
    <w:rsid w:val="34C96F18"/>
    <w:rsid w:val="34CA5108"/>
    <w:rsid w:val="34CB2DAB"/>
    <w:rsid w:val="34CC3529"/>
    <w:rsid w:val="34CF7CC4"/>
    <w:rsid w:val="34D04DC8"/>
    <w:rsid w:val="34D31D21"/>
    <w:rsid w:val="34D32B0A"/>
    <w:rsid w:val="34D50630"/>
    <w:rsid w:val="34D73FE3"/>
    <w:rsid w:val="34DA19A7"/>
    <w:rsid w:val="34DA3E98"/>
    <w:rsid w:val="34DC33DB"/>
    <w:rsid w:val="34E645EB"/>
    <w:rsid w:val="34EC1480"/>
    <w:rsid w:val="34ED5640"/>
    <w:rsid w:val="34F03F13"/>
    <w:rsid w:val="34F53E59"/>
    <w:rsid w:val="34F5482E"/>
    <w:rsid w:val="34F55208"/>
    <w:rsid w:val="34F62A0F"/>
    <w:rsid w:val="34FC3E0F"/>
    <w:rsid w:val="34FF496A"/>
    <w:rsid w:val="35042CC3"/>
    <w:rsid w:val="351015DC"/>
    <w:rsid w:val="3513046B"/>
    <w:rsid w:val="3517062F"/>
    <w:rsid w:val="35173585"/>
    <w:rsid w:val="351D5CD8"/>
    <w:rsid w:val="351F2315"/>
    <w:rsid w:val="351F4A99"/>
    <w:rsid w:val="351F7042"/>
    <w:rsid w:val="35235501"/>
    <w:rsid w:val="35240A53"/>
    <w:rsid w:val="35244754"/>
    <w:rsid w:val="3524487B"/>
    <w:rsid w:val="352C1D58"/>
    <w:rsid w:val="352C2165"/>
    <w:rsid w:val="352F37C2"/>
    <w:rsid w:val="353510CF"/>
    <w:rsid w:val="353554B7"/>
    <w:rsid w:val="35374E47"/>
    <w:rsid w:val="3538454D"/>
    <w:rsid w:val="353924AC"/>
    <w:rsid w:val="353A4937"/>
    <w:rsid w:val="353A66E5"/>
    <w:rsid w:val="3540170E"/>
    <w:rsid w:val="3542559A"/>
    <w:rsid w:val="354543BF"/>
    <w:rsid w:val="354603DD"/>
    <w:rsid w:val="35470E02"/>
    <w:rsid w:val="354B2446"/>
    <w:rsid w:val="354D000F"/>
    <w:rsid w:val="354F49BA"/>
    <w:rsid w:val="35522504"/>
    <w:rsid w:val="35586B6B"/>
    <w:rsid w:val="355D6513"/>
    <w:rsid w:val="35644B99"/>
    <w:rsid w:val="356572FF"/>
    <w:rsid w:val="35672121"/>
    <w:rsid w:val="356A1FBE"/>
    <w:rsid w:val="356B5C2C"/>
    <w:rsid w:val="356C318F"/>
    <w:rsid w:val="356E638F"/>
    <w:rsid w:val="3570187A"/>
    <w:rsid w:val="35772961"/>
    <w:rsid w:val="35831E3A"/>
    <w:rsid w:val="35841546"/>
    <w:rsid w:val="35867935"/>
    <w:rsid w:val="35896BEB"/>
    <w:rsid w:val="358F1365"/>
    <w:rsid w:val="358F4C83"/>
    <w:rsid w:val="35956F30"/>
    <w:rsid w:val="35977243"/>
    <w:rsid w:val="359860D2"/>
    <w:rsid w:val="359A53D6"/>
    <w:rsid w:val="359C53BE"/>
    <w:rsid w:val="359D0A43"/>
    <w:rsid w:val="35A10512"/>
    <w:rsid w:val="35A96DF3"/>
    <w:rsid w:val="35AE4698"/>
    <w:rsid w:val="35B0049D"/>
    <w:rsid w:val="35B201BC"/>
    <w:rsid w:val="35B53A9E"/>
    <w:rsid w:val="35C11EB6"/>
    <w:rsid w:val="35C3492C"/>
    <w:rsid w:val="35C42453"/>
    <w:rsid w:val="35C506A4"/>
    <w:rsid w:val="35C97056"/>
    <w:rsid w:val="35CB60DC"/>
    <w:rsid w:val="35D24B6F"/>
    <w:rsid w:val="35D37B79"/>
    <w:rsid w:val="35D42696"/>
    <w:rsid w:val="35D703D8"/>
    <w:rsid w:val="35D97CAC"/>
    <w:rsid w:val="35DA11CE"/>
    <w:rsid w:val="35DA3A24"/>
    <w:rsid w:val="35DB7EC8"/>
    <w:rsid w:val="35DD7E3C"/>
    <w:rsid w:val="35DE5B6F"/>
    <w:rsid w:val="35E6686D"/>
    <w:rsid w:val="35EA10CE"/>
    <w:rsid w:val="35EE5A12"/>
    <w:rsid w:val="35F20D6E"/>
    <w:rsid w:val="35F40F8A"/>
    <w:rsid w:val="35F430AA"/>
    <w:rsid w:val="35F44152"/>
    <w:rsid w:val="35F93690"/>
    <w:rsid w:val="35F94562"/>
    <w:rsid w:val="35FF5694"/>
    <w:rsid w:val="3600792F"/>
    <w:rsid w:val="36033B7D"/>
    <w:rsid w:val="36051C95"/>
    <w:rsid w:val="36056CF3"/>
    <w:rsid w:val="36065364"/>
    <w:rsid w:val="36080591"/>
    <w:rsid w:val="360A255B"/>
    <w:rsid w:val="361005BC"/>
    <w:rsid w:val="36195A35"/>
    <w:rsid w:val="361E3EAC"/>
    <w:rsid w:val="361E6007"/>
    <w:rsid w:val="36201D7F"/>
    <w:rsid w:val="36203B2D"/>
    <w:rsid w:val="362178A5"/>
    <w:rsid w:val="362A49AB"/>
    <w:rsid w:val="362B4280"/>
    <w:rsid w:val="362C39B2"/>
    <w:rsid w:val="362D1DA6"/>
    <w:rsid w:val="363343BF"/>
    <w:rsid w:val="36355E65"/>
    <w:rsid w:val="36361FAE"/>
    <w:rsid w:val="363722C7"/>
    <w:rsid w:val="3639699D"/>
    <w:rsid w:val="363A0237"/>
    <w:rsid w:val="363F7CA1"/>
    <w:rsid w:val="36401AD9"/>
    <w:rsid w:val="3641168D"/>
    <w:rsid w:val="36413BC1"/>
    <w:rsid w:val="364315C9"/>
    <w:rsid w:val="364861F6"/>
    <w:rsid w:val="364A0BAA"/>
    <w:rsid w:val="364A77E2"/>
    <w:rsid w:val="36514E0C"/>
    <w:rsid w:val="3652180C"/>
    <w:rsid w:val="36554B9E"/>
    <w:rsid w:val="365556C5"/>
    <w:rsid w:val="365A3FA3"/>
    <w:rsid w:val="365B6913"/>
    <w:rsid w:val="365C268B"/>
    <w:rsid w:val="365E0C69"/>
    <w:rsid w:val="365E28A7"/>
    <w:rsid w:val="36611C66"/>
    <w:rsid w:val="36631536"/>
    <w:rsid w:val="36642BC3"/>
    <w:rsid w:val="3665212D"/>
    <w:rsid w:val="3667175C"/>
    <w:rsid w:val="36697526"/>
    <w:rsid w:val="366A4E0F"/>
    <w:rsid w:val="366A5785"/>
    <w:rsid w:val="366C0B20"/>
    <w:rsid w:val="366F3046"/>
    <w:rsid w:val="36790D1F"/>
    <w:rsid w:val="367B007B"/>
    <w:rsid w:val="367B6FB5"/>
    <w:rsid w:val="367C4ADB"/>
    <w:rsid w:val="367E7E94"/>
    <w:rsid w:val="367F632A"/>
    <w:rsid w:val="368045CB"/>
    <w:rsid w:val="36806327"/>
    <w:rsid w:val="36882231"/>
    <w:rsid w:val="36896378"/>
    <w:rsid w:val="368A0741"/>
    <w:rsid w:val="368A43CE"/>
    <w:rsid w:val="368A680E"/>
    <w:rsid w:val="368B4407"/>
    <w:rsid w:val="36914A2B"/>
    <w:rsid w:val="3698439C"/>
    <w:rsid w:val="3699568D"/>
    <w:rsid w:val="36996786"/>
    <w:rsid w:val="369E0F69"/>
    <w:rsid w:val="36A03077"/>
    <w:rsid w:val="36A06A1C"/>
    <w:rsid w:val="36A13890"/>
    <w:rsid w:val="36A209E6"/>
    <w:rsid w:val="36A455EB"/>
    <w:rsid w:val="36A67B9B"/>
    <w:rsid w:val="36A93B22"/>
    <w:rsid w:val="36AB485E"/>
    <w:rsid w:val="36AC45E9"/>
    <w:rsid w:val="36B01E44"/>
    <w:rsid w:val="36B12F5A"/>
    <w:rsid w:val="36B424C7"/>
    <w:rsid w:val="36B6732D"/>
    <w:rsid w:val="36B67FED"/>
    <w:rsid w:val="36B81FB7"/>
    <w:rsid w:val="36B97ADD"/>
    <w:rsid w:val="36BE7294"/>
    <w:rsid w:val="36C26992"/>
    <w:rsid w:val="36C81662"/>
    <w:rsid w:val="36CA1CEB"/>
    <w:rsid w:val="36CA3A99"/>
    <w:rsid w:val="36CB6AC0"/>
    <w:rsid w:val="36CC1785"/>
    <w:rsid w:val="36CC7CE6"/>
    <w:rsid w:val="36CC7DCD"/>
    <w:rsid w:val="36D13C2A"/>
    <w:rsid w:val="36D23A8F"/>
    <w:rsid w:val="36D63769"/>
    <w:rsid w:val="36D72359"/>
    <w:rsid w:val="36DB7A54"/>
    <w:rsid w:val="36DD1A1E"/>
    <w:rsid w:val="36DF5796"/>
    <w:rsid w:val="36E22A16"/>
    <w:rsid w:val="36E33C27"/>
    <w:rsid w:val="36E95622"/>
    <w:rsid w:val="36EC7EB3"/>
    <w:rsid w:val="36EE7787"/>
    <w:rsid w:val="36EF4E85"/>
    <w:rsid w:val="36F40B16"/>
    <w:rsid w:val="36F660AD"/>
    <w:rsid w:val="36F6663C"/>
    <w:rsid w:val="36F9612C"/>
    <w:rsid w:val="36FB7A1E"/>
    <w:rsid w:val="36FF1994"/>
    <w:rsid w:val="37010AB1"/>
    <w:rsid w:val="370135D7"/>
    <w:rsid w:val="37052D23"/>
    <w:rsid w:val="3705674C"/>
    <w:rsid w:val="37060F75"/>
    <w:rsid w:val="37085C81"/>
    <w:rsid w:val="370A0339"/>
    <w:rsid w:val="370B5581"/>
    <w:rsid w:val="370B658B"/>
    <w:rsid w:val="370D6C93"/>
    <w:rsid w:val="370E7E29"/>
    <w:rsid w:val="370F5BA4"/>
    <w:rsid w:val="371419C2"/>
    <w:rsid w:val="37147113"/>
    <w:rsid w:val="371533FC"/>
    <w:rsid w:val="371B42F4"/>
    <w:rsid w:val="37206516"/>
    <w:rsid w:val="372259D3"/>
    <w:rsid w:val="37240C19"/>
    <w:rsid w:val="37256F21"/>
    <w:rsid w:val="37292CB7"/>
    <w:rsid w:val="372B1AF2"/>
    <w:rsid w:val="372D208E"/>
    <w:rsid w:val="372E13CA"/>
    <w:rsid w:val="37310A95"/>
    <w:rsid w:val="37355A70"/>
    <w:rsid w:val="37386AE9"/>
    <w:rsid w:val="37386C54"/>
    <w:rsid w:val="373872B8"/>
    <w:rsid w:val="373C3F12"/>
    <w:rsid w:val="373E2724"/>
    <w:rsid w:val="373F1C4E"/>
    <w:rsid w:val="373F5FE0"/>
    <w:rsid w:val="37455993"/>
    <w:rsid w:val="37457365"/>
    <w:rsid w:val="374D6BA3"/>
    <w:rsid w:val="375810A4"/>
    <w:rsid w:val="37582490"/>
    <w:rsid w:val="37585548"/>
    <w:rsid w:val="375B70F8"/>
    <w:rsid w:val="37602DBF"/>
    <w:rsid w:val="37637977"/>
    <w:rsid w:val="37645023"/>
    <w:rsid w:val="37672D2B"/>
    <w:rsid w:val="37682E1D"/>
    <w:rsid w:val="376E4D8D"/>
    <w:rsid w:val="376F2311"/>
    <w:rsid w:val="376F49FE"/>
    <w:rsid w:val="3772660A"/>
    <w:rsid w:val="37731363"/>
    <w:rsid w:val="37737911"/>
    <w:rsid w:val="37757EA8"/>
    <w:rsid w:val="377650DA"/>
    <w:rsid w:val="3777203C"/>
    <w:rsid w:val="377759CE"/>
    <w:rsid w:val="377B686E"/>
    <w:rsid w:val="377D0BDD"/>
    <w:rsid w:val="378400EB"/>
    <w:rsid w:val="378421FA"/>
    <w:rsid w:val="3784633D"/>
    <w:rsid w:val="378818B3"/>
    <w:rsid w:val="378A2A4B"/>
    <w:rsid w:val="378B0BAE"/>
    <w:rsid w:val="378C6A21"/>
    <w:rsid w:val="378E11D2"/>
    <w:rsid w:val="378E2AB9"/>
    <w:rsid w:val="378F186D"/>
    <w:rsid w:val="379802AA"/>
    <w:rsid w:val="37985945"/>
    <w:rsid w:val="379C77F3"/>
    <w:rsid w:val="379F6D6A"/>
    <w:rsid w:val="37B3277F"/>
    <w:rsid w:val="37B54749"/>
    <w:rsid w:val="37B6022F"/>
    <w:rsid w:val="37BC2B73"/>
    <w:rsid w:val="37C377F9"/>
    <w:rsid w:val="37CC6285"/>
    <w:rsid w:val="37D20E57"/>
    <w:rsid w:val="37D22C05"/>
    <w:rsid w:val="37DB2F54"/>
    <w:rsid w:val="37DF05B3"/>
    <w:rsid w:val="37E21D3B"/>
    <w:rsid w:val="37E34C42"/>
    <w:rsid w:val="37E82428"/>
    <w:rsid w:val="37EA0177"/>
    <w:rsid w:val="37EC7214"/>
    <w:rsid w:val="37F30DCD"/>
    <w:rsid w:val="37F53409"/>
    <w:rsid w:val="37F54B45"/>
    <w:rsid w:val="37F66A95"/>
    <w:rsid w:val="37F82D5E"/>
    <w:rsid w:val="37F839B5"/>
    <w:rsid w:val="37F92167"/>
    <w:rsid w:val="37FA03AE"/>
    <w:rsid w:val="37FE6366"/>
    <w:rsid w:val="38044D88"/>
    <w:rsid w:val="38051F13"/>
    <w:rsid w:val="38071A61"/>
    <w:rsid w:val="380A6843"/>
    <w:rsid w:val="380F5C07"/>
    <w:rsid w:val="3810197F"/>
    <w:rsid w:val="38130F90"/>
    <w:rsid w:val="3816278E"/>
    <w:rsid w:val="38173EEA"/>
    <w:rsid w:val="381850A7"/>
    <w:rsid w:val="381A4CEA"/>
    <w:rsid w:val="381A534E"/>
    <w:rsid w:val="381C47C8"/>
    <w:rsid w:val="38216D35"/>
    <w:rsid w:val="38233460"/>
    <w:rsid w:val="382658DE"/>
    <w:rsid w:val="382738D6"/>
    <w:rsid w:val="382B1567"/>
    <w:rsid w:val="382F0057"/>
    <w:rsid w:val="38303DCF"/>
    <w:rsid w:val="38337F83"/>
    <w:rsid w:val="383438BF"/>
    <w:rsid w:val="38362878"/>
    <w:rsid w:val="38391D6B"/>
    <w:rsid w:val="383A69FC"/>
    <w:rsid w:val="383C09C6"/>
    <w:rsid w:val="383C2CAF"/>
    <w:rsid w:val="383D41FD"/>
    <w:rsid w:val="3848736B"/>
    <w:rsid w:val="384E4CD7"/>
    <w:rsid w:val="385168EA"/>
    <w:rsid w:val="3855678C"/>
    <w:rsid w:val="38596503"/>
    <w:rsid w:val="385B75BC"/>
    <w:rsid w:val="385F39DB"/>
    <w:rsid w:val="38601B63"/>
    <w:rsid w:val="386B4E07"/>
    <w:rsid w:val="386D5023"/>
    <w:rsid w:val="386F227D"/>
    <w:rsid w:val="386F3304"/>
    <w:rsid w:val="3870210E"/>
    <w:rsid w:val="3870241E"/>
    <w:rsid w:val="38736649"/>
    <w:rsid w:val="38756205"/>
    <w:rsid w:val="387C5900"/>
    <w:rsid w:val="387E5179"/>
    <w:rsid w:val="387E56F1"/>
    <w:rsid w:val="387F4E7E"/>
    <w:rsid w:val="38802304"/>
    <w:rsid w:val="38804D57"/>
    <w:rsid w:val="3881462B"/>
    <w:rsid w:val="38867997"/>
    <w:rsid w:val="388859B9"/>
    <w:rsid w:val="38890560"/>
    <w:rsid w:val="388F33D4"/>
    <w:rsid w:val="38902A9B"/>
    <w:rsid w:val="38926838"/>
    <w:rsid w:val="38941DF3"/>
    <w:rsid w:val="38961E84"/>
    <w:rsid w:val="38975BFC"/>
    <w:rsid w:val="389B2AC1"/>
    <w:rsid w:val="389C0FBF"/>
    <w:rsid w:val="389F2E59"/>
    <w:rsid w:val="38A00F55"/>
    <w:rsid w:val="38A23913"/>
    <w:rsid w:val="38A26A7B"/>
    <w:rsid w:val="38A74091"/>
    <w:rsid w:val="38A764F8"/>
    <w:rsid w:val="38A8089B"/>
    <w:rsid w:val="38A8605B"/>
    <w:rsid w:val="38AD2580"/>
    <w:rsid w:val="38B4677D"/>
    <w:rsid w:val="38B642D4"/>
    <w:rsid w:val="38BB4C00"/>
    <w:rsid w:val="38BD5407"/>
    <w:rsid w:val="38BE0984"/>
    <w:rsid w:val="38C048EF"/>
    <w:rsid w:val="38C4731B"/>
    <w:rsid w:val="38C61560"/>
    <w:rsid w:val="38C661F5"/>
    <w:rsid w:val="38CB4EEA"/>
    <w:rsid w:val="38CC58A6"/>
    <w:rsid w:val="38CE5AC2"/>
    <w:rsid w:val="38D0476C"/>
    <w:rsid w:val="38D3552B"/>
    <w:rsid w:val="38DB3D3B"/>
    <w:rsid w:val="38DD1068"/>
    <w:rsid w:val="38E2331B"/>
    <w:rsid w:val="38E946AA"/>
    <w:rsid w:val="38EB4CC1"/>
    <w:rsid w:val="38EC7CF6"/>
    <w:rsid w:val="38F207D6"/>
    <w:rsid w:val="38F407E8"/>
    <w:rsid w:val="38FA2FEF"/>
    <w:rsid w:val="38FB43DD"/>
    <w:rsid w:val="38FB618B"/>
    <w:rsid w:val="38FD63A7"/>
    <w:rsid w:val="390031B2"/>
    <w:rsid w:val="39074B30"/>
    <w:rsid w:val="390A245F"/>
    <w:rsid w:val="390A3D7F"/>
    <w:rsid w:val="390C2EA0"/>
    <w:rsid w:val="391159AF"/>
    <w:rsid w:val="391B1FA1"/>
    <w:rsid w:val="39215A18"/>
    <w:rsid w:val="392365EC"/>
    <w:rsid w:val="39253208"/>
    <w:rsid w:val="3929719C"/>
    <w:rsid w:val="392A081F"/>
    <w:rsid w:val="392A2A11"/>
    <w:rsid w:val="392C5C8F"/>
    <w:rsid w:val="393022D9"/>
    <w:rsid w:val="39320CF2"/>
    <w:rsid w:val="393222A6"/>
    <w:rsid w:val="39394D72"/>
    <w:rsid w:val="393C6ED0"/>
    <w:rsid w:val="393F4F35"/>
    <w:rsid w:val="39400042"/>
    <w:rsid w:val="3942200C"/>
    <w:rsid w:val="39475874"/>
    <w:rsid w:val="39483AF4"/>
    <w:rsid w:val="394E4CA2"/>
    <w:rsid w:val="394F0285"/>
    <w:rsid w:val="394F6298"/>
    <w:rsid w:val="39533941"/>
    <w:rsid w:val="39584E71"/>
    <w:rsid w:val="395B1903"/>
    <w:rsid w:val="395B5A1B"/>
    <w:rsid w:val="395C3290"/>
    <w:rsid w:val="39644F4B"/>
    <w:rsid w:val="39663F4D"/>
    <w:rsid w:val="396B1563"/>
    <w:rsid w:val="396F2F1B"/>
    <w:rsid w:val="39714535"/>
    <w:rsid w:val="397379D1"/>
    <w:rsid w:val="397523E2"/>
    <w:rsid w:val="39761CB6"/>
    <w:rsid w:val="39777F08"/>
    <w:rsid w:val="397A3554"/>
    <w:rsid w:val="397C6CCF"/>
    <w:rsid w:val="397D7F44"/>
    <w:rsid w:val="397E402C"/>
    <w:rsid w:val="397F6DBC"/>
    <w:rsid w:val="398203C1"/>
    <w:rsid w:val="39923261"/>
    <w:rsid w:val="39935CC4"/>
    <w:rsid w:val="3995038E"/>
    <w:rsid w:val="399749C9"/>
    <w:rsid w:val="399D7242"/>
    <w:rsid w:val="399F4E45"/>
    <w:rsid w:val="39A342A5"/>
    <w:rsid w:val="39B50A30"/>
    <w:rsid w:val="39C26CA9"/>
    <w:rsid w:val="39C64D27"/>
    <w:rsid w:val="39C7273F"/>
    <w:rsid w:val="39C877B4"/>
    <w:rsid w:val="39C97465"/>
    <w:rsid w:val="39CA4AFD"/>
    <w:rsid w:val="39CB0253"/>
    <w:rsid w:val="39CB4F39"/>
    <w:rsid w:val="39CE1AF2"/>
    <w:rsid w:val="39D000A6"/>
    <w:rsid w:val="39D23390"/>
    <w:rsid w:val="39D4535A"/>
    <w:rsid w:val="39D906C5"/>
    <w:rsid w:val="39DA5936"/>
    <w:rsid w:val="39E801E8"/>
    <w:rsid w:val="39E83129"/>
    <w:rsid w:val="39E92488"/>
    <w:rsid w:val="39F41D8A"/>
    <w:rsid w:val="39F42601"/>
    <w:rsid w:val="39F51F77"/>
    <w:rsid w:val="39F532EE"/>
    <w:rsid w:val="39F71049"/>
    <w:rsid w:val="39FE18B4"/>
    <w:rsid w:val="39FF3A59"/>
    <w:rsid w:val="3A0213D5"/>
    <w:rsid w:val="3A055B0F"/>
    <w:rsid w:val="3A060BBE"/>
    <w:rsid w:val="3A0A0D7C"/>
    <w:rsid w:val="3A0D261A"/>
    <w:rsid w:val="3A0F0C46"/>
    <w:rsid w:val="3A136A76"/>
    <w:rsid w:val="3A144CDC"/>
    <w:rsid w:val="3A14753F"/>
    <w:rsid w:val="3A156AFE"/>
    <w:rsid w:val="3A1603CB"/>
    <w:rsid w:val="3A1A6AE5"/>
    <w:rsid w:val="3A1C0FD2"/>
    <w:rsid w:val="3A20742D"/>
    <w:rsid w:val="3A211C22"/>
    <w:rsid w:val="3A212FEA"/>
    <w:rsid w:val="3A227A5C"/>
    <w:rsid w:val="3A25583C"/>
    <w:rsid w:val="3A26548A"/>
    <w:rsid w:val="3A2A2695"/>
    <w:rsid w:val="3A2B7574"/>
    <w:rsid w:val="3A2D6818"/>
    <w:rsid w:val="3A2E3162"/>
    <w:rsid w:val="3A2E433E"/>
    <w:rsid w:val="3A2F2590"/>
    <w:rsid w:val="3A301F1D"/>
    <w:rsid w:val="3A30545C"/>
    <w:rsid w:val="3A373B18"/>
    <w:rsid w:val="3A3F1D7D"/>
    <w:rsid w:val="3A474036"/>
    <w:rsid w:val="3A496773"/>
    <w:rsid w:val="3A4D2B83"/>
    <w:rsid w:val="3A4D795E"/>
    <w:rsid w:val="3A5244D1"/>
    <w:rsid w:val="3A524D3F"/>
    <w:rsid w:val="3A5E2E76"/>
    <w:rsid w:val="3A654204"/>
    <w:rsid w:val="3A67449C"/>
    <w:rsid w:val="3A6A7A6C"/>
    <w:rsid w:val="3A6F0BDF"/>
    <w:rsid w:val="3A7332E1"/>
    <w:rsid w:val="3A742699"/>
    <w:rsid w:val="3A75177B"/>
    <w:rsid w:val="3A7C46B2"/>
    <w:rsid w:val="3A854BB7"/>
    <w:rsid w:val="3A86046A"/>
    <w:rsid w:val="3A8A3C6B"/>
    <w:rsid w:val="3A8A5A19"/>
    <w:rsid w:val="3A8B4C64"/>
    <w:rsid w:val="3A8E2C48"/>
    <w:rsid w:val="3A946897"/>
    <w:rsid w:val="3A9561FD"/>
    <w:rsid w:val="3A960861"/>
    <w:rsid w:val="3A9875DD"/>
    <w:rsid w:val="3A9A015F"/>
    <w:rsid w:val="3AA02CE5"/>
    <w:rsid w:val="3AA12D62"/>
    <w:rsid w:val="3AA34D2C"/>
    <w:rsid w:val="3AA4022C"/>
    <w:rsid w:val="3AA60379"/>
    <w:rsid w:val="3AAF1923"/>
    <w:rsid w:val="3AB111F7"/>
    <w:rsid w:val="3AB31586"/>
    <w:rsid w:val="3AB668EF"/>
    <w:rsid w:val="3AB74334"/>
    <w:rsid w:val="3ABC2730"/>
    <w:rsid w:val="3ABF7C21"/>
    <w:rsid w:val="3AC0766A"/>
    <w:rsid w:val="3AC0768C"/>
    <w:rsid w:val="3AC727C9"/>
    <w:rsid w:val="3AC73557"/>
    <w:rsid w:val="3AC84793"/>
    <w:rsid w:val="3ACF73E5"/>
    <w:rsid w:val="3ADB2718"/>
    <w:rsid w:val="3ADF0647"/>
    <w:rsid w:val="3AE01ADD"/>
    <w:rsid w:val="3AE113B1"/>
    <w:rsid w:val="3AE56AF8"/>
    <w:rsid w:val="3AE6778B"/>
    <w:rsid w:val="3AE710BD"/>
    <w:rsid w:val="3AE80991"/>
    <w:rsid w:val="3AE8273F"/>
    <w:rsid w:val="3AED3345"/>
    <w:rsid w:val="3AF01B4D"/>
    <w:rsid w:val="3AF41638"/>
    <w:rsid w:val="3AF55FC3"/>
    <w:rsid w:val="3AFB2473"/>
    <w:rsid w:val="3AFB3CBE"/>
    <w:rsid w:val="3AFD30A0"/>
    <w:rsid w:val="3AFD6491"/>
    <w:rsid w:val="3AFE6DE4"/>
    <w:rsid w:val="3AFF448B"/>
    <w:rsid w:val="3B005CDB"/>
    <w:rsid w:val="3B0071A7"/>
    <w:rsid w:val="3B051441"/>
    <w:rsid w:val="3B057795"/>
    <w:rsid w:val="3B094EF4"/>
    <w:rsid w:val="3B0E7856"/>
    <w:rsid w:val="3B0F5F1E"/>
    <w:rsid w:val="3B110AFB"/>
    <w:rsid w:val="3B12037D"/>
    <w:rsid w:val="3B133C60"/>
    <w:rsid w:val="3B1418B0"/>
    <w:rsid w:val="3B146501"/>
    <w:rsid w:val="3B184429"/>
    <w:rsid w:val="3B196D9D"/>
    <w:rsid w:val="3B1A3241"/>
    <w:rsid w:val="3B1B48C3"/>
    <w:rsid w:val="3B1D187B"/>
    <w:rsid w:val="3B210E71"/>
    <w:rsid w:val="3B216A43"/>
    <w:rsid w:val="3B22291D"/>
    <w:rsid w:val="3B2339C2"/>
    <w:rsid w:val="3B234D57"/>
    <w:rsid w:val="3B2459B8"/>
    <w:rsid w:val="3B293632"/>
    <w:rsid w:val="3B2A0FAA"/>
    <w:rsid w:val="3B2A4156"/>
    <w:rsid w:val="3B2F65C0"/>
    <w:rsid w:val="3B301C23"/>
    <w:rsid w:val="3B3107E4"/>
    <w:rsid w:val="3B312338"/>
    <w:rsid w:val="3B35720A"/>
    <w:rsid w:val="3B3D2A8B"/>
    <w:rsid w:val="3B3E6803"/>
    <w:rsid w:val="3B3F2AD8"/>
    <w:rsid w:val="3B4007CD"/>
    <w:rsid w:val="3B451940"/>
    <w:rsid w:val="3B455DE4"/>
    <w:rsid w:val="3B497682"/>
    <w:rsid w:val="3B4A0741"/>
    <w:rsid w:val="3B4E476D"/>
    <w:rsid w:val="3B4F68DC"/>
    <w:rsid w:val="3B551553"/>
    <w:rsid w:val="3B551DDF"/>
    <w:rsid w:val="3B591DC4"/>
    <w:rsid w:val="3B5A0645"/>
    <w:rsid w:val="3B602DCE"/>
    <w:rsid w:val="3B613BCE"/>
    <w:rsid w:val="3B63155E"/>
    <w:rsid w:val="3B63302B"/>
    <w:rsid w:val="3B660234"/>
    <w:rsid w:val="3B710987"/>
    <w:rsid w:val="3B716D99"/>
    <w:rsid w:val="3B7219A5"/>
    <w:rsid w:val="3B72551C"/>
    <w:rsid w:val="3B757111"/>
    <w:rsid w:val="3B78277E"/>
    <w:rsid w:val="3B7D557D"/>
    <w:rsid w:val="3B7F12F6"/>
    <w:rsid w:val="3B7F5746"/>
    <w:rsid w:val="3B8406BA"/>
    <w:rsid w:val="3B842468"/>
    <w:rsid w:val="3B862C95"/>
    <w:rsid w:val="3B8763FC"/>
    <w:rsid w:val="3B8923B4"/>
    <w:rsid w:val="3B892E47"/>
    <w:rsid w:val="3B8D19F4"/>
    <w:rsid w:val="3B914E0E"/>
    <w:rsid w:val="3BA40D5C"/>
    <w:rsid w:val="3BA553AD"/>
    <w:rsid w:val="3BAA79D4"/>
    <w:rsid w:val="3BAE3989"/>
    <w:rsid w:val="3BB14B8D"/>
    <w:rsid w:val="3BB15227"/>
    <w:rsid w:val="3BB56AC5"/>
    <w:rsid w:val="3BB70A8F"/>
    <w:rsid w:val="3BBA5464"/>
    <w:rsid w:val="3BBF1028"/>
    <w:rsid w:val="3BC20123"/>
    <w:rsid w:val="3BC2699F"/>
    <w:rsid w:val="3BC27434"/>
    <w:rsid w:val="3BC3017B"/>
    <w:rsid w:val="3BC320D7"/>
    <w:rsid w:val="3BC7480C"/>
    <w:rsid w:val="3BC94324"/>
    <w:rsid w:val="3BD01B51"/>
    <w:rsid w:val="3BD060DC"/>
    <w:rsid w:val="3BD333EF"/>
    <w:rsid w:val="3BD436ED"/>
    <w:rsid w:val="3BD553B9"/>
    <w:rsid w:val="3BDB368C"/>
    <w:rsid w:val="3BE13D15"/>
    <w:rsid w:val="3BE60890"/>
    <w:rsid w:val="3BE74EE9"/>
    <w:rsid w:val="3BEB698B"/>
    <w:rsid w:val="3BED08E5"/>
    <w:rsid w:val="3BED44B1"/>
    <w:rsid w:val="3BEE202A"/>
    <w:rsid w:val="3BF04E26"/>
    <w:rsid w:val="3BF07665"/>
    <w:rsid w:val="3BF21AC7"/>
    <w:rsid w:val="3BF50107"/>
    <w:rsid w:val="3BF75330"/>
    <w:rsid w:val="3BF75433"/>
    <w:rsid w:val="3BFB3DD6"/>
    <w:rsid w:val="3C026CDA"/>
    <w:rsid w:val="3C0325CF"/>
    <w:rsid w:val="3C0637C5"/>
    <w:rsid w:val="3C08753D"/>
    <w:rsid w:val="3C0B4937"/>
    <w:rsid w:val="3C0C5BE3"/>
    <w:rsid w:val="3C0C5C66"/>
    <w:rsid w:val="3C0F7612"/>
    <w:rsid w:val="3C137C90"/>
    <w:rsid w:val="3C15575A"/>
    <w:rsid w:val="3C187054"/>
    <w:rsid w:val="3C1C4D96"/>
    <w:rsid w:val="3C1C50B3"/>
    <w:rsid w:val="3C1D7A55"/>
    <w:rsid w:val="3C2033EE"/>
    <w:rsid w:val="3C2105FF"/>
    <w:rsid w:val="3C233579"/>
    <w:rsid w:val="3C243C4B"/>
    <w:rsid w:val="3C247225"/>
    <w:rsid w:val="3C2B717E"/>
    <w:rsid w:val="3C335C3C"/>
    <w:rsid w:val="3C371BD0"/>
    <w:rsid w:val="3C3F2833"/>
    <w:rsid w:val="3C3F539E"/>
    <w:rsid w:val="3C415D87"/>
    <w:rsid w:val="3C447E49"/>
    <w:rsid w:val="3C4768D7"/>
    <w:rsid w:val="3C487700"/>
    <w:rsid w:val="3C4E0CC8"/>
    <w:rsid w:val="3C510814"/>
    <w:rsid w:val="3C546508"/>
    <w:rsid w:val="3C63343B"/>
    <w:rsid w:val="3C672F3D"/>
    <w:rsid w:val="3C67733A"/>
    <w:rsid w:val="3C683C77"/>
    <w:rsid w:val="3C7014C5"/>
    <w:rsid w:val="3C756255"/>
    <w:rsid w:val="3C7C087A"/>
    <w:rsid w:val="3C8235C5"/>
    <w:rsid w:val="3C8256D5"/>
    <w:rsid w:val="3C8543D2"/>
    <w:rsid w:val="3C862210"/>
    <w:rsid w:val="3C8A2DEF"/>
    <w:rsid w:val="3C8B6976"/>
    <w:rsid w:val="3C8C2D8A"/>
    <w:rsid w:val="3C8D206B"/>
    <w:rsid w:val="3C8E0265"/>
    <w:rsid w:val="3C920BB5"/>
    <w:rsid w:val="3C9355F9"/>
    <w:rsid w:val="3C941891"/>
    <w:rsid w:val="3C9963E7"/>
    <w:rsid w:val="3C9A1B00"/>
    <w:rsid w:val="3CA25F6E"/>
    <w:rsid w:val="3CA56B3A"/>
    <w:rsid w:val="3CA64660"/>
    <w:rsid w:val="3CB34F03"/>
    <w:rsid w:val="3CB36DD8"/>
    <w:rsid w:val="3CB7061B"/>
    <w:rsid w:val="3CB706D9"/>
    <w:rsid w:val="3CBE6046"/>
    <w:rsid w:val="3CBF5299"/>
    <w:rsid w:val="3CCB2A4D"/>
    <w:rsid w:val="3CCE797F"/>
    <w:rsid w:val="3CCF3BB7"/>
    <w:rsid w:val="3CD236A7"/>
    <w:rsid w:val="3CD411CD"/>
    <w:rsid w:val="3CD967E3"/>
    <w:rsid w:val="3CDD0F86"/>
    <w:rsid w:val="3CDE4755"/>
    <w:rsid w:val="3CE625CF"/>
    <w:rsid w:val="3CE648F9"/>
    <w:rsid w:val="3CED0C32"/>
    <w:rsid w:val="3CF601EB"/>
    <w:rsid w:val="3CFA586A"/>
    <w:rsid w:val="3CFB4687"/>
    <w:rsid w:val="3CFB6DB7"/>
    <w:rsid w:val="3CFF164C"/>
    <w:rsid w:val="3D015D3A"/>
    <w:rsid w:val="3D027B94"/>
    <w:rsid w:val="3D042BC3"/>
    <w:rsid w:val="3D0575D8"/>
    <w:rsid w:val="3D073351"/>
    <w:rsid w:val="3D0B73AD"/>
    <w:rsid w:val="3D0C4032"/>
    <w:rsid w:val="3D0C4E0B"/>
    <w:rsid w:val="3D0F32B6"/>
    <w:rsid w:val="3D0F66A9"/>
    <w:rsid w:val="3D1141CF"/>
    <w:rsid w:val="3D167A38"/>
    <w:rsid w:val="3D1B6DFC"/>
    <w:rsid w:val="3D202664"/>
    <w:rsid w:val="3D202E5B"/>
    <w:rsid w:val="3D262D24"/>
    <w:rsid w:val="3D263E04"/>
    <w:rsid w:val="3D273813"/>
    <w:rsid w:val="3D2A703F"/>
    <w:rsid w:val="3D322B96"/>
    <w:rsid w:val="3D3B124C"/>
    <w:rsid w:val="3D402D06"/>
    <w:rsid w:val="3D4453DD"/>
    <w:rsid w:val="3D4504BF"/>
    <w:rsid w:val="3D4520CB"/>
    <w:rsid w:val="3D491BBB"/>
    <w:rsid w:val="3D4A148F"/>
    <w:rsid w:val="3D4C4EEB"/>
    <w:rsid w:val="3D4D58AE"/>
    <w:rsid w:val="3D510D16"/>
    <w:rsid w:val="3D5347E8"/>
    <w:rsid w:val="3D5849E7"/>
    <w:rsid w:val="3D5A743E"/>
    <w:rsid w:val="3D5F66E9"/>
    <w:rsid w:val="3D606F05"/>
    <w:rsid w:val="3D62464D"/>
    <w:rsid w:val="3D627E0F"/>
    <w:rsid w:val="3D646539"/>
    <w:rsid w:val="3D655CF2"/>
    <w:rsid w:val="3D695EAF"/>
    <w:rsid w:val="3D6A1B31"/>
    <w:rsid w:val="3D6A38DF"/>
    <w:rsid w:val="3D731097"/>
    <w:rsid w:val="3D7529B0"/>
    <w:rsid w:val="3D7B3FEF"/>
    <w:rsid w:val="3D7C3859"/>
    <w:rsid w:val="3D7F382F"/>
    <w:rsid w:val="3D810FF6"/>
    <w:rsid w:val="3D826E7B"/>
    <w:rsid w:val="3D884457"/>
    <w:rsid w:val="3D8E3A72"/>
    <w:rsid w:val="3D9140E9"/>
    <w:rsid w:val="3D94074F"/>
    <w:rsid w:val="3D987E9A"/>
    <w:rsid w:val="3D990883"/>
    <w:rsid w:val="3D99280A"/>
    <w:rsid w:val="3D9A2417"/>
    <w:rsid w:val="3D9E68AE"/>
    <w:rsid w:val="3DA02D3C"/>
    <w:rsid w:val="3DA05553"/>
    <w:rsid w:val="3DA1074A"/>
    <w:rsid w:val="3DA525D0"/>
    <w:rsid w:val="3DA54918"/>
    <w:rsid w:val="3DA54E24"/>
    <w:rsid w:val="3DA84E34"/>
    <w:rsid w:val="3DAA2743"/>
    <w:rsid w:val="3DAA497A"/>
    <w:rsid w:val="3DAB15CA"/>
    <w:rsid w:val="3DAE77B3"/>
    <w:rsid w:val="3DB365CC"/>
    <w:rsid w:val="3DB42DAD"/>
    <w:rsid w:val="3DB57021"/>
    <w:rsid w:val="3DB73FDF"/>
    <w:rsid w:val="3DBC20CC"/>
    <w:rsid w:val="3DBD7EB3"/>
    <w:rsid w:val="3DC03ED6"/>
    <w:rsid w:val="3DC51466"/>
    <w:rsid w:val="3DCA6E55"/>
    <w:rsid w:val="3DCB0822"/>
    <w:rsid w:val="3DCC46B8"/>
    <w:rsid w:val="3DCE3E6E"/>
    <w:rsid w:val="3DD31485"/>
    <w:rsid w:val="3DD376D7"/>
    <w:rsid w:val="3DD40558"/>
    <w:rsid w:val="3DD40A79"/>
    <w:rsid w:val="3DD75419"/>
    <w:rsid w:val="3DDE44E3"/>
    <w:rsid w:val="3DDF42CD"/>
    <w:rsid w:val="3DEC2546"/>
    <w:rsid w:val="3DEE4645"/>
    <w:rsid w:val="3DF06474"/>
    <w:rsid w:val="3DF338D5"/>
    <w:rsid w:val="3DF71617"/>
    <w:rsid w:val="3DF77869"/>
    <w:rsid w:val="3DFB0D02"/>
    <w:rsid w:val="3DFB5693"/>
    <w:rsid w:val="3DFC4E7F"/>
    <w:rsid w:val="3DFF08E6"/>
    <w:rsid w:val="3DFF671E"/>
    <w:rsid w:val="3E006BD7"/>
    <w:rsid w:val="3E063608"/>
    <w:rsid w:val="3E0710DD"/>
    <w:rsid w:val="3E09134A"/>
    <w:rsid w:val="3E0B7610"/>
    <w:rsid w:val="3E0D0560"/>
    <w:rsid w:val="3E123295"/>
    <w:rsid w:val="3E171CB9"/>
    <w:rsid w:val="3E18333B"/>
    <w:rsid w:val="3E1A1532"/>
    <w:rsid w:val="3E1D476A"/>
    <w:rsid w:val="3E265A58"/>
    <w:rsid w:val="3E270A20"/>
    <w:rsid w:val="3E2C16BC"/>
    <w:rsid w:val="3E2D3232"/>
    <w:rsid w:val="3E3143FD"/>
    <w:rsid w:val="3E3237B9"/>
    <w:rsid w:val="3E33266E"/>
    <w:rsid w:val="3E3335D9"/>
    <w:rsid w:val="3E3A51EF"/>
    <w:rsid w:val="3E3A6DCE"/>
    <w:rsid w:val="3E3B7F54"/>
    <w:rsid w:val="3E410AE4"/>
    <w:rsid w:val="3E43128B"/>
    <w:rsid w:val="3E450D7A"/>
    <w:rsid w:val="3E481508"/>
    <w:rsid w:val="3E494721"/>
    <w:rsid w:val="3E4954B4"/>
    <w:rsid w:val="3E4D1237"/>
    <w:rsid w:val="3E4D7489"/>
    <w:rsid w:val="3E4E17CF"/>
    <w:rsid w:val="3E52798C"/>
    <w:rsid w:val="3E530817"/>
    <w:rsid w:val="3E59146D"/>
    <w:rsid w:val="3E594B8D"/>
    <w:rsid w:val="3E5E3444"/>
    <w:rsid w:val="3E5F71BC"/>
    <w:rsid w:val="3E6157E8"/>
    <w:rsid w:val="3E6332AD"/>
    <w:rsid w:val="3E637625"/>
    <w:rsid w:val="3E661B42"/>
    <w:rsid w:val="3E6842C3"/>
    <w:rsid w:val="3E686071"/>
    <w:rsid w:val="3E68709A"/>
    <w:rsid w:val="3E6B78A5"/>
    <w:rsid w:val="3E6E11AD"/>
    <w:rsid w:val="3E6E73FF"/>
    <w:rsid w:val="3E704F26"/>
    <w:rsid w:val="3E726EF0"/>
    <w:rsid w:val="3E773871"/>
    <w:rsid w:val="3E7A0823"/>
    <w:rsid w:val="3E7D2608"/>
    <w:rsid w:val="3E7D489A"/>
    <w:rsid w:val="3E894239"/>
    <w:rsid w:val="3E895FE7"/>
    <w:rsid w:val="3E8B491A"/>
    <w:rsid w:val="3E8F17A9"/>
    <w:rsid w:val="3E911E8B"/>
    <w:rsid w:val="3E92628C"/>
    <w:rsid w:val="3E943809"/>
    <w:rsid w:val="3E950E30"/>
    <w:rsid w:val="3EA25B30"/>
    <w:rsid w:val="3EA3354D"/>
    <w:rsid w:val="3EA90437"/>
    <w:rsid w:val="3EAA6689"/>
    <w:rsid w:val="3EAD1CD6"/>
    <w:rsid w:val="3EAF713D"/>
    <w:rsid w:val="3EB05C6A"/>
    <w:rsid w:val="3EB65B48"/>
    <w:rsid w:val="3EBA3874"/>
    <w:rsid w:val="3EBB73C7"/>
    <w:rsid w:val="3EBF7C5B"/>
    <w:rsid w:val="3EC05EAD"/>
    <w:rsid w:val="3EC6723B"/>
    <w:rsid w:val="3ECB33E7"/>
    <w:rsid w:val="3ECB3DBB"/>
    <w:rsid w:val="3ECF0EB8"/>
    <w:rsid w:val="3ED55106"/>
    <w:rsid w:val="3ED563FC"/>
    <w:rsid w:val="3EDC080D"/>
    <w:rsid w:val="3EDC25BB"/>
    <w:rsid w:val="3EE55913"/>
    <w:rsid w:val="3EE6343A"/>
    <w:rsid w:val="3EE762D2"/>
    <w:rsid w:val="3EEC1227"/>
    <w:rsid w:val="3EED6576"/>
    <w:rsid w:val="3EF121EB"/>
    <w:rsid w:val="3EF773F5"/>
    <w:rsid w:val="3EF77476"/>
    <w:rsid w:val="3EFB0C93"/>
    <w:rsid w:val="3EFB0E4F"/>
    <w:rsid w:val="3EFB5137"/>
    <w:rsid w:val="3EFB6C58"/>
    <w:rsid w:val="3EFC4A0B"/>
    <w:rsid w:val="3F0062A9"/>
    <w:rsid w:val="3F03304B"/>
    <w:rsid w:val="3F05066B"/>
    <w:rsid w:val="3F056257"/>
    <w:rsid w:val="3F090AAB"/>
    <w:rsid w:val="3F115A4B"/>
    <w:rsid w:val="3F161E6C"/>
    <w:rsid w:val="3F165ACD"/>
    <w:rsid w:val="3F1660F1"/>
    <w:rsid w:val="3F1F69E0"/>
    <w:rsid w:val="3F20694C"/>
    <w:rsid w:val="3F213D2F"/>
    <w:rsid w:val="3F290356"/>
    <w:rsid w:val="3F2A77CA"/>
    <w:rsid w:val="3F325C4A"/>
    <w:rsid w:val="3F3B3BDF"/>
    <w:rsid w:val="3F3B5DA4"/>
    <w:rsid w:val="3F3D5890"/>
    <w:rsid w:val="3F3E4C13"/>
    <w:rsid w:val="3F3E5024"/>
    <w:rsid w:val="3F466DF5"/>
    <w:rsid w:val="3F496ED1"/>
    <w:rsid w:val="3F4C33BB"/>
    <w:rsid w:val="3F5274EE"/>
    <w:rsid w:val="3F56236D"/>
    <w:rsid w:val="3F5728D8"/>
    <w:rsid w:val="3F5F1817"/>
    <w:rsid w:val="3F633330"/>
    <w:rsid w:val="3F642828"/>
    <w:rsid w:val="3F6F69C0"/>
    <w:rsid w:val="3F6F78D3"/>
    <w:rsid w:val="3F7153F9"/>
    <w:rsid w:val="3F720820"/>
    <w:rsid w:val="3F792F84"/>
    <w:rsid w:val="3F79605C"/>
    <w:rsid w:val="3F7C0CEA"/>
    <w:rsid w:val="3F8073EA"/>
    <w:rsid w:val="3F871DA2"/>
    <w:rsid w:val="3F895D7E"/>
    <w:rsid w:val="3F8A5505"/>
    <w:rsid w:val="3F8D60E8"/>
    <w:rsid w:val="3F8E5FAB"/>
    <w:rsid w:val="3F9133A5"/>
    <w:rsid w:val="3F95226A"/>
    <w:rsid w:val="3F984734"/>
    <w:rsid w:val="3F9A4950"/>
    <w:rsid w:val="3F9B2C62"/>
    <w:rsid w:val="3F9E0D36"/>
    <w:rsid w:val="3F9E38B7"/>
    <w:rsid w:val="3FA171C1"/>
    <w:rsid w:val="3FA255B3"/>
    <w:rsid w:val="3FA27361"/>
    <w:rsid w:val="3FA4132B"/>
    <w:rsid w:val="3FAE21A9"/>
    <w:rsid w:val="3FAE4511"/>
    <w:rsid w:val="3FAF28B3"/>
    <w:rsid w:val="3FB11F01"/>
    <w:rsid w:val="3FB3514D"/>
    <w:rsid w:val="3FB371D0"/>
    <w:rsid w:val="3FB654CC"/>
    <w:rsid w:val="3FBF045C"/>
    <w:rsid w:val="3FC01EDD"/>
    <w:rsid w:val="3FC87979"/>
    <w:rsid w:val="3FC96FE3"/>
    <w:rsid w:val="3FCF53EC"/>
    <w:rsid w:val="3FD0283B"/>
    <w:rsid w:val="3FD140EA"/>
    <w:rsid w:val="3FD213AD"/>
    <w:rsid w:val="3FD36A01"/>
    <w:rsid w:val="3FD4647F"/>
    <w:rsid w:val="3FDD6B42"/>
    <w:rsid w:val="3FDF4418"/>
    <w:rsid w:val="3FE15988"/>
    <w:rsid w:val="3FE47979"/>
    <w:rsid w:val="3FE50A10"/>
    <w:rsid w:val="3FE92D0F"/>
    <w:rsid w:val="3FF1727C"/>
    <w:rsid w:val="3FF253BE"/>
    <w:rsid w:val="3FF33F15"/>
    <w:rsid w:val="3FF57DD8"/>
    <w:rsid w:val="3FF676AC"/>
    <w:rsid w:val="3FF96592"/>
    <w:rsid w:val="3FFA0F4B"/>
    <w:rsid w:val="3FFB0050"/>
    <w:rsid w:val="3FFC66C6"/>
    <w:rsid w:val="4000052B"/>
    <w:rsid w:val="400242A3"/>
    <w:rsid w:val="40041DC9"/>
    <w:rsid w:val="40072F8D"/>
    <w:rsid w:val="40073668"/>
    <w:rsid w:val="400D3374"/>
    <w:rsid w:val="400E41BA"/>
    <w:rsid w:val="401069C0"/>
    <w:rsid w:val="40132A12"/>
    <w:rsid w:val="40143C8B"/>
    <w:rsid w:val="40144798"/>
    <w:rsid w:val="40156C18"/>
    <w:rsid w:val="401C5365"/>
    <w:rsid w:val="401D2E8B"/>
    <w:rsid w:val="40255045"/>
    <w:rsid w:val="4029656E"/>
    <w:rsid w:val="402F71C3"/>
    <w:rsid w:val="402F7281"/>
    <w:rsid w:val="402F74FD"/>
    <w:rsid w:val="40345D2F"/>
    <w:rsid w:val="40360AB1"/>
    <w:rsid w:val="40367F3F"/>
    <w:rsid w:val="403B1563"/>
    <w:rsid w:val="403C5A07"/>
    <w:rsid w:val="403D2F5C"/>
    <w:rsid w:val="40401294"/>
    <w:rsid w:val="4041301D"/>
    <w:rsid w:val="404623E2"/>
    <w:rsid w:val="404757B7"/>
    <w:rsid w:val="404E31E7"/>
    <w:rsid w:val="405351F8"/>
    <w:rsid w:val="40537712"/>
    <w:rsid w:val="40550877"/>
    <w:rsid w:val="4057639D"/>
    <w:rsid w:val="405B07C1"/>
    <w:rsid w:val="405C401A"/>
    <w:rsid w:val="405E15F3"/>
    <w:rsid w:val="406218E2"/>
    <w:rsid w:val="40642868"/>
    <w:rsid w:val="40676BE5"/>
    <w:rsid w:val="406773DC"/>
    <w:rsid w:val="406B7764"/>
    <w:rsid w:val="407231D7"/>
    <w:rsid w:val="40727895"/>
    <w:rsid w:val="40750822"/>
    <w:rsid w:val="40771A00"/>
    <w:rsid w:val="407B1CE8"/>
    <w:rsid w:val="40827192"/>
    <w:rsid w:val="409079BB"/>
    <w:rsid w:val="40920B61"/>
    <w:rsid w:val="40933667"/>
    <w:rsid w:val="40941343"/>
    <w:rsid w:val="40956EC5"/>
    <w:rsid w:val="409749EB"/>
    <w:rsid w:val="409A44DC"/>
    <w:rsid w:val="409C326C"/>
    <w:rsid w:val="40A1586A"/>
    <w:rsid w:val="40A16C5E"/>
    <w:rsid w:val="40A16DC5"/>
    <w:rsid w:val="40A23390"/>
    <w:rsid w:val="40A33BAA"/>
    <w:rsid w:val="40A528CB"/>
    <w:rsid w:val="40AA0C51"/>
    <w:rsid w:val="40AA2A52"/>
    <w:rsid w:val="40AD6732"/>
    <w:rsid w:val="40AF7183"/>
    <w:rsid w:val="40B02DB3"/>
    <w:rsid w:val="40B05AAD"/>
    <w:rsid w:val="40B0719E"/>
    <w:rsid w:val="40B17B33"/>
    <w:rsid w:val="40B732E0"/>
    <w:rsid w:val="40BD61E3"/>
    <w:rsid w:val="40C8729B"/>
    <w:rsid w:val="40CC1442"/>
    <w:rsid w:val="40CF0629"/>
    <w:rsid w:val="40D44550"/>
    <w:rsid w:val="40D82A98"/>
    <w:rsid w:val="40D838FC"/>
    <w:rsid w:val="40E81089"/>
    <w:rsid w:val="40E85247"/>
    <w:rsid w:val="40E8793D"/>
    <w:rsid w:val="40EC27D7"/>
    <w:rsid w:val="40F170D7"/>
    <w:rsid w:val="40F26ADB"/>
    <w:rsid w:val="40F41E3E"/>
    <w:rsid w:val="40F47DB5"/>
    <w:rsid w:val="40F938F8"/>
    <w:rsid w:val="40FB7670"/>
    <w:rsid w:val="40FF744A"/>
    <w:rsid w:val="410028FF"/>
    <w:rsid w:val="41014179"/>
    <w:rsid w:val="410A3419"/>
    <w:rsid w:val="410A78B3"/>
    <w:rsid w:val="410C5525"/>
    <w:rsid w:val="411424E0"/>
    <w:rsid w:val="4114603C"/>
    <w:rsid w:val="41186AC4"/>
    <w:rsid w:val="411D1FEA"/>
    <w:rsid w:val="4123673A"/>
    <w:rsid w:val="412546ED"/>
    <w:rsid w:val="41267BEF"/>
    <w:rsid w:val="412B0492"/>
    <w:rsid w:val="412D2874"/>
    <w:rsid w:val="41314E40"/>
    <w:rsid w:val="413761CE"/>
    <w:rsid w:val="413864FB"/>
    <w:rsid w:val="413939EE"/>
    <w:rsid w:val="413B7EB4"/>
    <w:rsid w:val="413D1A37"/>
    <w:rsid w:val="413E57AF"/>
    <w:rsid w:val="41406E31"/>
    <w:rsid w:val="41436921"/>
    <w:rsid w:val="414B5A37"/>
    <w:rsid w:val="414D77A0"/>
    <w:rsid w:val="414F3F68"/>
    <w:rsid w:val="41526D06"/>
    <w:rsid w:val="41532BAF"/>
    <w:rsid w:val="415556DB"/>
    <w:rsid w:val="4157003A"/>
    <w:rsid w:val="41586871"/>
    <w:rsid w:val="41597EF3"/>
    <w:rsid w:val="41627B81"/>
    <w:rsid w:val="41650F8E"/>
    <w:rsid w:val="41654AEA"/>
    <w:rsid w:val="416F5968"/>
    <w:rsid w:val="417116E0"/>
    <w:rsid w:val="41740119"/>
    <w:rsid w:val="41760AA5"/>
    <w:rsid w:val="41760F57"/>
    <w:rsid w:val="4179784C"/>
    <w:rsid w:val="417B0A7D"/>
    <w:rsid w:val="417C1E33"/>
    <w:rsid w:val="417D64E2"/>
    <w:rsid w:val="41831414"/>
    <w:rsid w:val="41852113"/>
    <w:rsid w:val="41881A54"/>
    <w:rsid w:val="41894898"/>
    <w:rsid w:val="418A4550"/>
    <w:rsid w:val="418C02C8"/>
    <w:rsid w:val="418D3848"/>
    <w:rsid w:val="418E07F9"/>
    <w:rsid w:val="419172D0"/>
    <w:rsid w:val="4194717D"/>
    <w:rsid w:val="41990EA6"/>
    <w:rsid w:val="419C6DE2"/>
    <w:rsid w:val="419F1268"/>
    <w:rsid w:val="41A04439"/>
    <w:rsid w:val="41A50D14"/>
    <w:rsid w:val="41A70D73"/>
    <w:rsid w:val="41A73354"/>
    <w:rsid w:val="41AA69A0"/>
    <w:rsid w:val="41AC2719"/>
    <w:rsid w:val="41B24E55"/>
    <w:rsid w:val="41B25855"/>
    <w:rsid w:val="41B4669E"/>
    <w:rsid w:val="41B56066"/>
    <w:rsid w:val="41BB48E2"/>
    <w:rsid w:val="41BE0B80"/>
    <w:rsid w:val="41BE5A84"/>
    <w:rsid w:val="41C75DBA"/>
    <w:rsid w:val="41C84945"/>
    <w:rsid w:val="41C87B5E"/>
    <w:rsid w:val="41CC2949"/>
    <w:rsid w:val="41CE1354"/>
    <w:rsid w:val="41CE268F"/>
    <w:rsid w:val="41CF1EAC"/>
    <w:rsid w:val="41CF2DB6"/>
    <w:rsid w:val="41D31065"/>
    <w:rsid w:val="41D338B5"/>
    <w:rsid w:val="41D64166"/>
    <w:rsid w:val="41DD7C7C"/>
    <w:rsid w:val="41E06866"/>
    <w:rsid w:val="41F1637D"/>
    <w:rsid w:val="41F34A17"/>
    <w:rsid w:val="41F47DF1"/>
    <w:rsid w:val="41F6339A"/>
    <w:rsid w:val="41F81329"/>
    <w:rsid w:val="41F87976"/>
    <w:rsid w:val="41FD11C6"/>
    <w:rsid w:val="420E32A3"/>
    <w:rsid w:val="42157FA1"/>
    <w:rsid w:val="42184311"/>
    <w:rsid w:val="42201FCC"/>
    <w:rsid w:val="42204EB5"/>
    <w:rsid w:val="42211A6A"/>
    <w:rsid w:val="42240501"/>
    <w:rsid w:val="42242934"/>
    <w:rsid w:val="42243684"/>
    <w:rsid w:val="42260DDB"/>
    <w:rsid w:val="422624CB"/>
    <w:rsid w:val="42270CE5"/>
    <w:rsid w:val="4227271E"/>
    <w:rsid w:val="42274495"/>
    <w:rsid w:val="422E579D"/>
    <w:rsid w:val="42301FEB"/>
    <w:rsid w:val="42306E93"/>
    <w:rsid w:val="42334BE8"/>
    <w:rsid w:val="42345A5F"/>
    <w:rsid w:val="423532A8"/>
    <w:rsid w:val="423A41C8"/>
    <w:rsid w:val="423C0C9D"/>
    <w:rsid w:val="423F17DF"/>
    <w:rsid w:val="4240757F"/>
    <w:rsid w:val="42436F9E"/>
    <w:rsid w:val="42446DF5"/>
    <w:rsid w:val="42452F1C"/>
    <w:rsid w:val="424E557E"/>
    <w:rsid w:val="424F6B46"/>
    <w:rsid w:val="42513D80"/>
    <w:rsid w:val="4252477C"/>
    <w:rsid w:val="42591C82"/>
    <w:rsid w:val="425B6902"/>
    <w:rsid w:val="425D5450"/>
    <w:rsid w:val="425F0857"/>
    <w:rsid w:val="4262727B"/>
    <w:rsid w:val="42631EF5"/>
    <w:rsid w:val="426425C4"/>
    <w:rsid w:val="42646448"/>
    <w:rsid w:val="4265333B"/>
    <w:rsid w:val="4267663F"/>
    <w:rsid w:val="4269685C"/>
    <w:rsid w:val="426A2E31"/>
    <w:rsid w:val="426A7A87"/>
    <w:rsid w:val="426D56E2"/>
    <w:rsid w:val="426E79CE"/>
    <w:rsid w:val="427057FE"/>
    <w:rsid w:val="42730EDE"/>
    <w:rsid w:val="42731488"/>
    <w:rsid w:val="42750D5C"/>
    <w:rsid w:val="4279063A"/>
    <w:rsid w:val="427D6138"/>
    <w:rsid w:val="428030F1"/>
    <w:rsid w:val="42891A94"/>
    <w:rsid w:val="428A2B19"/>
    <w:rsid w:val="428B67D2"/>
    <w:rsid w:val="428C6A66"/>
    <w:rsid w:val="428E1E1E"/>
    <w:rsid w:val="42907D5D"/>
    <w:rsid w:val="429322AE"/>
    <w:rsid w:val="42977166"/>
    <w:rsid w:val="429E7F08"/>
    <w:rsid w:val="429F402B"/>
    <w:rsid w:val="429F5DD9"/>
    <w:rsid w:val="42A258CA"/>
    <w:rsid w:val="42A56F6B"/>
    <w:rsid w:val="42AB731C"/>
    <w:rsid w:val="42AE2A77"/>
    <w:rsid w:val="42AE426E"/>
    <w:rsid w:val="42AF652C"/>
    <w:rsid w:val="42B03C0D"/>
    <w:rsid w:val="42B47C6C"/>
    <w:rsid w:val="42B652A3"/>
    <w:rsid w:val="42BA01C4"/>
    <w:rsid w:val="42BB3036"/>
    <w:rsid w:val="42C45840"/>
    <w:rsid w:val="42C65A5C"/>
    <w:rsid w:val="42CD43E9"/>
    <w:rsid w:val="42D00689"/>
    <w:rsid w:val="42D337F7"/>
    <w:rsid w:val="42D51BC4"/>
    <w:rsid w:val="42D60722"/>
    <w:rsid w:val="42DA5C4E"/>
    <w:rsid w:val="42DA5EEC"/>
    <w:rsid w:val="42DB6DF2"/>
    <w:rsid w:val="42DC1E0A"/>
    <w:rsid w:val="42DD1DFB"/>
    <w:rsid w:val="42E54D06"/>
    <w:rsid w:val="42F025B9"/>
    <w:rsid w:val="42F056BD"/>
    <w:rsid w:val="42F41B85"/>
    <w:rsid w:val="42F97BDF"/>
    <w:rsid w:val="42FB3958"/>
    <w:rsid w:val="42FC76D0"/>
    <w:rsid w:val="42FE0D52"/>
    <w:rsid w:val="42FF764C"/>
    <w:rsid w:val="430035A8"/>
    <w:rsid w:val="430B7913"/>
    <w:rsid w:val="430D78DE"/>
    <w:rsid w:val="430E4958"/>
    <w:rsid w:val="43106CD7"/>
    <w:rsid w:val="4312380D"/>
    <w:rsid w:val="43144970"/>
    <w:rsid w:val="431D4FE1"/>
    <w:rsid w:val="431E13F4"/>
    <w:rsid w:val="431F6F1A"/>
    <w:rsid w:val="431F750A"/>
    <w:rsid w:val="43244531"/>
    <w:rsid w:val="43255E7D"/>
    <w:rsid w:val="4326474D"/>
    <w:rsid w:val="432A6CB3"/>
    <w:rsid w:val="432B2EF5"/>
    <w:rsid w:val="432D1637"/>
    <w:rsid w:val="432D5ADB"/>
    <w:rsid w:val="432E6ECC"/>
    <w:rsid w:val="43310414"/>
    <w:rsid w:val="43325D71"/>
    <w:rsid w:val="433504EC"/>
    <w:rsid w:val="4335673E"/>
    <w:rsid w:val="43397FDC"/>
    <w:rsid w:val="433A08FC"/>
    <w:rsid w:val="434150E2"/>
    <w:rsid w:val="43421586"/>
    <w:rsid w:val="43456981"/>
    <w:rsid w:val="434748B7"/>
    <w:rsid w:val="434B1F05"/>
    <w:rsid w:val="434D3A87"/>
    <w:rsid w:val="43512ACB"/>
    <w:rsid w:val="43543068"/>
    <w:rsid w:val="4355293C"/>
    <w:rsid w:val="435713BE"/>
    <w:rsid w:val="435B384E"/>
    <w:rsid w:val="435B61A4"/>
    <w:rsid w:val="435C5369"/>
    <w:rsid w:val="436022D6"/>
    <w:rsid w:val="4362731F"/>
    <w:rsid w:val="436419C3"/>
    <w:rsid w:val="436731A3"/>
    <w:rsid w:val="436B2437"/>
    <w:rsid w:val="436C6603"/>
    <w:rsid w:val="437038DA"/>
    <w:rsid w:val="43727F77"/>
    <w:rsid w:val="4376231F"/>
    <w:rsid w:val="437B5734"/>
    <w:rsid w:val="437B7C16"/>
    <w:rsid w:val="437C3AD0"/>
    <w:rsid w:val="437D2351"/>
    <w:rsid w:val="43803E5D"/>
    <w:rsid w:val="43813731"/>
    <w:rsid w:val="43853221"/>
    <w:rsid w:val="43872758"/>
    <w:rsid w:val="43875B35"/>
    <w:rsid w:val="438A0837"/>
    <w:rsid w:val="438A4CDB"/>
    <w:rsid w:val="438A6A89"/>
    <w:rsid w:val="438C0A54"/>
    <w:rsid w:val="438C63A4"/>
    <w:rsid w:val="4392527B"/>
    <w:rsid w:val="43947E22"/>
    <w:rsid w:val="43970F37"/>
    <w:rsid w:val="43991485"/>
    <w:rsid w:val="43A51B15"/>
    <w:rsid w:val="43A76FAD"/>
    <w:rsid w:val="43AA7128"/>
    <w:rsid w:val="43AC6A00"/>
    <w:rsid w:val="43AD3FEB"/>
    <w:rsid w:val="43AF5D1F"/>
    <w:rsid w:val="43B0676F"/>
    <w:rsid w:val="43B27390"/>
    <w:rsid w:val="43B9111D"/>
    <w:rsid w:val="43BA7BB2"/>
    <w:rsid w:val="43BE66EF"/>
    <w:rsid w:val="43C00FD5"/>
    <w:rsid w:val="43C024AB"/>
    <w:rsid w:val="43C61EF5"/>
    <w:rsid w:val="43C91501"/>
    <w:rsid w:val="43CA332A"/>
    <w:rsid w:val="43CC0E50"/>
    <w:rsid w:val="43CE261E"/>
    <w:rsid w:val="43D1290A"/>
    <w:rsid w:val="43D333EF"/>
    <w:rsid w:val="43D4490B"/>
    <w:rsid w:val="43D50993"/>
    <w:rsid w:val="43D51C4E"/>
    <w:rsid w:val="43D83C99"/>
    <w:rsid w:val="43D87FA5"/>
    <w:rsid w:val="43D966EB"/>
    <w:rsid w:val="43D97A84"/>
    <w:rsid w:val="43DB3631"/>
    <w:rsid w:val="43DF6C06"/>
    <w:rsid w:val="43E27480"/>
    <w:rsid w:val="43E443EC"/>
    <w:rsid w:val="43E508A5"/>
    <w:rsid w:val="43E57757"/>
    <w:rsid w:val="43E73EDC"/>
    <w:rsid w:val="43E91450"/>
    <w:rsid w:val="43EA577A"/>
    <w:rsid w:val="43ED5DCC"/>
    <w:rsid w:val="43EE54A7"/>
    <w:rsid w:val="43F13E12"/>
    <w:rsid w:val="43F160D1"/>
    <w:rsid w:val="43F735BB"/>
    <w:rsid w:val="43FE2FD4"/>
    <w:rsid w:val="43FF4CB6"/>
    <w:rsid w:val="44062F6B"/>
    <w:rsid w:val="44064C80"/>
    <w:rsid w:val="44083F0D"/>
    <w:rsid w:val="440A3F34"/>
    <w:rsid w:val="4416250A"/>
    <w:rsid w:val="4416656F"/>
    <w:rsid w:val="44187FD3"/>
    <w:rsid w:val="441A0603"/>
    <w:rsid w:val="441C67F0"/>
    <w:rsid w:val="44213429"/>
    <w:rsid w:val="44222311"/>
    <w:rsid w:val="44223166"/>
    <w:rsid w:val="44290BA2"/>
    <w:rsid w:val="442A5B77"/>
    <w:rsid w:val="442C2C40"/>
    <w:rsid w:val="44307631"/>
    <w:rsid w:val="443133A9"/>
    <w:rsid w:val="443668A8"/>
    <w:rsid w:val="44386A0C"/>
    <w:rsid w:val="443C4228"/>
    <w:rsid w:val="443D58AA"/>
    <w:rsid w:val="44436829"/>
    <w:rsid w:val="444A2C4B"/>
    <w:rsid w:val="444E173D"/>
    <w:rsid w:val="444F0625"/>
    <w:rsid w:val="44504583"/>
    <w:rsid w:val="44524BC2"/>
    <w:rsid w:val="445552E9"/>
    <w:rsid w:val="445D419E"/>
    <w:rsid w:val="445E204F"/>
    <w:rsid w:val="446216F1"/>
    <w:rsid w:val="446217B4"/>
    <w:rsid w:val="446337F5"/>
    <w:rsid w:val="44650FB3"/>
    <w:rsid w:val="446D7F46"/>
    <w:rsid w:val="44703ED1"/>
    <w:rsid w:val="4476578E"/>
    <w:rsid w:val="447842F1"/>
    <w:rsid w:val="447A2ED7"/>
    <w:rsid w:val="447A7DBC"/>
    <w:rsid w:val="44842F90"/>
    <w:rsid w:val="448736B1"/>
    <w:rsid w:val="44883190"/>
    <w:rsid w:val="44895882"/>
    <w:rsid w:val="44914C84"/>
    <w:rsid w:val="4492209A"/>
    <w:rsid w:val="449262C3"/>
    <w:rsid w:val="44937983"/>
    <w:rsid w:val="44965602"/>
    <w:rsid w:val="4497124F"/>
    <w:rsid w:val="4497145E"/>
    <w:rsid w:val="449A5743"/>
    <w:rsid w:val="44A1408B"/>
    <w:rsid w:val="44A47F95"/>
    <w:rsid w:val="44A77BEC"/>
    <w:rsid w:val="44AC1D69"/>
    <w:rsid w:val="44B33DBE"/>
    <w:rsid w:val="44B50A63"/>
    <w:rsid w:val="44B518E4"/>
    <w:rsid w:val="44B56D63"/>
    <w:rsid w:val="44C1472D"/>
    <w:rsid w:val="44C71A91"/>
    <w:rsid w:val="44C73992"/>
    <w:rsid w:val="44D167CA"/>
    <w:rsid w:val="44D426B2"/>
    <w:rsid w:val="44D523E6"/>
    <w:rsid w:val="44DD0B4D"/>
    <w:rsid w:val="44DD4DFF"/>
    <w:rsid w:val="44DE1B9E"/>
    <w:rsid w:val="44E4632B"/>
    <w:rsid w:val="44E80FE1"/>
    <w:rsid w:val="44E875F7"/>
    <w:rsid w:val="44E977E0"/>
    <w:rsid w:val="44F00D33"/>
    <w:rsid w:val="44F92F6E"/>
    <w:rsid w:val="44FC7513"/>
    <w:rsid w:val="44FC7F9B"/>
    <w:rsid w:val="44FE409C"/>
    <w:rsid w:val="44FE772F"/>
    <w:rsid w:val="45012D7B"/>
    <w:rsid w:val="45026A49"/>
    <w:rsid w:val="4504461A"/>
    <w:rsid w:val="450B4C3A"/>
    <w:rsid w:val="45112F4D"/>
    <w:rsid w:val="451238BD"/>
    <w:rsid w:val="45156827"/>
    <w:rsid w:val="45175FAE"/>
    <w:rsid w:val="451A188D"/>
    <w:rsid w:val="451C6CD2"/>
    <w:rsid w:val="451D5038"/>
    <w:rsid w:val="451E2311"/>
    <w:rsid w:val="45201D0C"/>
    <w:rsid w:val="45230944"/>
    <w:rsid w:val="45237196"/>
    <w:rsid w:val="45261156"/>
    <w:rsid w:val="45274579"/>
    <w:rsid w:val="452B1BA6"/>
    <w:rsid w:val="45336CAD"/>
    <w:rsid w:val="45352A25"/>
    <w:rsid w:val="45367129"/>
    <w:rsid w:val="453A628D"/>
    <w:rsid w:val="453C0257"/>
    <w:rsid w:val="453E0AA9"/>
    <w:rsid w:val="453E3FCF"/>
    <w:rsid w:val="45407DFA"/>
    <w:rsid w:val="45467A41"/>
    <w:rsid w:val="45520977"/>
    <w:rsid w:val="4559369F"/>
    <w:rsid w:val="455E011E"/>
    <w:rsid w:val="45617CBE"/>
    <w:rsid w:val="45626034"/>
    <w:rsid w:val="456357E4"/>
    <w:rsid w:val="45637592"/>
    <w:rsid w:val="456417E4"/>
    <w:rsid w:val="456B6447"/>
    <w:rsid w:val="457176F9"/>
    <w:rsid w:val="45756AE1"/>
    <w:rsid w:val="45770BDE"/>
    <w:rsid w:val="4577128F"/>
    <w:rsid w:val="4577360E"/>
    <w:rsid w:val="457810EA"/>
    <w:rsid w:val="457A7852"/>
    <w:rsid w:val="457B0D80"/>
    <w:rsid w:val="45810DBE"/>
    <w:rsid w:val="45815C6A"/>
    <w:rsid w:val="45831603"/>
    <w:rsid w:val="45835E86"/>
    <w:rsid w:val="45886D7B"/>
    <w:rsid w:val="458B3F57"/>
    <w:rsid w:val="458C1FA0"/>
    <w:rsid w:val="458E0207"/>
    <w:rsid w:val="45921C25"/>
    <w:rsid w:val="45941E41"/>
    <w:rsid w:val="45982EE3"/>
    <w:rsid w:val="459B1F08"/>
    <w:rsid w:val="459F6BF9"/>
    <w:rsid w:val="45A159B3"/>
    <w:rsid w:val="45A32084"/>
    <w:rsid w:val="45AE396C"/>
    <w:rsid w:val="45BB546E"/>
    <w:rsid w:val="45BE1595"/>
    <w:rsid w:val="45BE60EE"/>
    <w:rsid w:val="45C049E4"/>
    <w:rsid w:val="45C118FF"/>
    <w:rsid w:val="45C22FFA"/>
    <w:rsid w:val="45C4251D"/>
    <w:rsid w:val="45C53DA9"/>
    <w:rsid w:val="45C5507F"/>
    <w:rsid w:val="45C74310"/>
    <w:rsid w:val="45C76B48"/>
    <w:rsid w:val="45CE2522"/>
    <w:rsid w:val="45D0214D"/>
    <w:rsid w:val="45D72F96"/>
    <w:rsid w:val="45D93CF8"/>
    <w:rsid w:val="45DB4184"/>
    <w:rsid w:val="45DB537A"/>
    <w:rsid w:val="45DF7A65"/>
    <w:rsid w:val="45E0066B"/>
    <w:rsid w:val="45E04120"/>
    <w:rsid w:val="45E32481"/>
    <w:rsid w:val="45E46C73"/>
    <w:rsid w:val="45EC7588"/>
    <w:rsid w:val="45F11042"/>
    <w:rsid w:val="45F12DF0"/>
    <w:rsid w:val="45F14B9E"/>
    <w:rsid w:val="45F621B4"/>
    <w:rsid w:val="45F87F9D"/>
    <w:rsid w:val="45FC119E"/>
    <w:rsid w:val="46001A2C"/>
    <w:rsid w:val="46024FFD"/>
    <w:rsid w:val="46050649"/>
    <w:rsid w:val="46054AED"/>
    <w:rsid w:val="460C54B6"/>
    <w:rsid w:val="460F771A"/>
    <w:rsid w:val="46113492"/>
    <w:rsid w:val="46115240"/>
    <w:rsid w:val="461C3F14"/>
    <w:rsid w:val="461D4426"/>
    <w:rsid w:val="461D4A93"/>
    <w:rsid w:val="46245FBE"/>
    <w:rsid w:val="462619B6"/>
    <w:rsid w:val="462C6FB3"/>
    <w:rsid w:val="462D72F1"/>
    <w:rsid w:val="462E08B0"/>
    <w:rsid w:val="462E74A2"/>
    <w:rsid w:val="462F4D56"/>
    <w:rsid w:val="46332B04"/>
    <w:rsid w:val="463D4287"/>
    <w:rsid w:val="464404C4"/>
    <w:rsid w:val="46445615"/>
    <w:rsid w:val="4647403F"/>
    <w:rsid w:val="464A2500"/>
    <w:rsid w:val="464A7104"/>
    <w:rsid w:val="464F61CC"/>
    <w:rsid w:val="46514CF7"/>
    <w:rsid w:val="46565349"/>
    <w:rsid w:val="465670F7"/>
    <w:rsid w:val="465B295F"/>
    <w:rsid w:val="465D2233"/>
    <w:rsid w:val="465F27B9"/>
    <w:rsid w:val="465F41FD"/>
    <w:rsid w:val="465F4970"/>
    <w:rsid w:val="466058A9"/>
    <w:rsid w:val="46633E5E"/>
    <w:rsid w:val="466738FC"/>
    <w:rsid w:val="46696E2A"/>
    <w:rsid w:val="466A1FFF"/>
    <w:rsid w:val="466B2A64"/>
    <w:rsid w:val="466B7A97"/>
    <w:rsid w:val="466C37FF"/>
    <w:rsid w:val="466F39C3"/>
    <w:rsid w:val="4670640B"/>
    <w:rsid w:val="46717A8D"/>
    <w:rsid w:val="467668ED"/>
    <w:rsid w:val="467808B1"/>
    <w:rsid w:val="467936B2"/>
    <w:rsid w:val="46794B93"/>
    <w:rsid w:val="467A5D9E"/>
    <w:rsid w:val="46803CFC"/>
    <w:rsid w:val="46807889"/>
    <w:rsid w:val="46837726"/>
    <w:rsid w:val="46893522"/>
    <w:rsid w:val="468962D7"/>
    <w:rsid w:val="468A0B4E"/>
    <w:rsid w:val="468C0D6B"/>
    <w:rsid w:val="46916381"/>
    <w:rsid w:val="469462AC"/>
    <w:rsid w:val="46957C1F"/>
    <w:rsid w:val="46992A11"/>
    <w:rsid w:val="46A165C4"/>
    <w:rsid w:val="46A20569"/>
    <w:rsid w:val="46A476A9"/>
    <w:rsid w:val="46A50948"/>
    <w:rsid w:val="46AC1FE6"/>
    <w:rsid w:val="46AE28D3"/>
    <w:rsid w:val="46B0696F"/>
    <w:rsid w:val="46B21C2E"/>
    <w:rsid w:val="46B25D15"/>
    <w:rsid w:val="46B276A3"/>
    <w:rsid w:val="46B60162"/>
    <w:rsid w:val="46BA6502"/>
    <w:rsid w:val="46BB1C85"/>
    <w:rsid w:val="46BD4F54"/>
    <w:rsid w:val="46BE214F"/>
    <w:rsid w:val="46C10A14"/>
    <w:rsid w:val="46C518EE"/>
    <w:rsid w:val="46C57979"/>
    <w:rsid w:val="46C978C9"/>
    <w:rsid w:val="46CE1383"/>
    <w:rsid w:val="46CE714D"/>
    <w:rsid w:val="46D4711F"/>
    <w:rsid w:val="46D97270"/>
    <w:rsid w:val="46DA6E7A"/>
    <w:rsid w:val="46DF70EC"/>
    <w:rsid w:val="46E2098A"/>
    <w:rsid w:val="46E773F0"/>
    <w:rsid w:val="46E77F87"/>
    <w:rsid w:val="46E91D19"/>
    <w:rsid w:val="46E97F6B"/>
    <w:rsid w:val="46EA5546"/>
    <w:rsid w:val="46F039C0"/>
    <w:rsid w:val="46F32B98"/>
    <w:rsid w:val="46F36828"/>
    <w:rsid w:val="46FC3498"/>
    <w:rsid w:val="46FD382E"/>
    <w:rsid w:val="46FD57C4"/>
    <w:rsid w:val="47021670"/>
    <w:rsid w:val="47057E1B"/>
    <w:rsid w:val="47060B1D"/>
    <w:rsid w:val="470B7EE1"/>
    <w:rsid w:val="470D3C59"/>
    <w:rsid w:val="4710374A"/>
    <w:rsid w:val="4712301E"/>
    <w:rsid w:val="47134FE8"/>
    <w:rsid w:val="47163D7B"/>
    <w:rsid w:val="47176A35"/>
    <w:rsid w:val="471C2ED1"/>
    <w:rsid w:val="471F07CF"/>
    <w:rsid w:val="4723522B"/>
    <w:rsid w:val="472745EF"/>
    <w:rsid w:val="47282841"/>
    <w:rsid w:val="47291754"/>
    <w:rsid w:val="472D7E58"/>
    <w:rsid w:val="473016F6"/>
    <w:rsid w:val="47347438"/>
    <w:rsid w:val="473604E8"/>
    <w:rsid w:val="47366FF3"/>
    <w:rsid w:val="473A07C7"/>
    <w:rsid w:val="473B2ED7"/>
    <w:rsid w:val="473C453F"/>
    <w:rsid w:val="473D78EF"/>
    <w:rsid w:val="473E52FC"/>
    <w:rsid w:val="473F1CAF"/>
    <w:rsid w:val="473F5DDD"/>
    <w:rsid w:val="4744216F"/>
    <w:rsid w:val="47451645"/>
    <w:rsid w:val="47481AAF"/>
    <w:rsid w:val="474B4782"/>
    <w:rsid w:val="474D3B0E"/>
    <w:rsid w:val="474D674C"/>
    <w:rsid w:val="474E6020"/>
    <w:rsid w:val="47502C1E"/>
    <w:rsid w:val="4751036A"/>
    <w:rsid w:val="47523D62"/>
    <w:rsid w:val="475708DE"/>
    <w:rsid w:val="47574ED5"/>
    <w:rsid w:val="475950F1"/>
    <w:rsid w:val="475D2315"/>
    <w:rsid w:val="47672A4E"/>
    <w:rsid w:val="476B4E24"/>
    <w:rsid w:val="47701183"/>
    <w:rsid w:val="477046BB"/>
    <w:rsid w:val="47780A7F"/>
    <w:rsid w:val="477912EF"/>
    <w:rsid w:val="477A4740"/>
    <w:rsid w:val="47841A42"/>
    <w:rsid w:val="47923122"/>
    <w:rsid w:val="47952777"/>
    <w:rsid w:val="4799729B"/>
    <w:rsid w:val="479B1265"/>
    <w:rsid w:val="479E2B03"/>
    <w:rsid w:val="47A03189"/>
    <w:rsid w:val="47A6779E"/>
    <w:rsid w:val="47A73CBB"/>
    <w:rsid w:val="47A74DE5"/>
    <w:rsid w:val="47AD6E8B"/>
    <w:rsid w:val="47AF2F63"/>
    <w:rsid w:val="47B24801"/>
    <w:rsid w:val="47B406DC"/>
    <w:rsid w:val="47B5726A"/>
    <w:rsid w:val="47B666AD"/>
    <w:rsid w:val="47B7200F"/>
    <w:rsid w:val="47BB7D40"/>
    <w:rsid w:val="47BE31A6"/>
    <w:rsid w:val="47BE7C57"/>
    <w:rsid w:val="47C00CCC"/>
    <w:rsid w:val="47C036D6"/>
    <w:rsid w:val="47C92967"/>
    <w:rsid w:val="47CA1B4A"/>
    <w:rsid w:val="47CB141F"/>
    <w:rsid w:val="47CD6541"/>
    <w:rsid w:val="47D929F5"/>
    <w:rsid w:val="47E01E1F"/>
    <w:rsid w:val="47E10021"/>
    <w:rsid w:val="47E2011A"/>
    <w:rsid w:val="47E30E5E"/>
    <w:rsid w:val="47E32FBE"/>
    <w:rsid w:val="47EB404D"/>
    <w:rsid w:val="47EC435C"/>
    <w:rsid w:val="47F61B4C"/>
    <w:rsid w:val="47F646ED"/>
    <w:rsid w:val="47F778A4"/>
    <w:rsid w:val="47FA74CB"/>
    <w:rsid w:val="47FC782A"/>
    <w:rsid w:val="47FE7A46"/>
    <w:rsid w:val="48002291"/>
    <w:rsid w:val="480037BE"/>
    <w:rsid w:val="480107A0"/>
    <w:rsid w:val="4801499E"/>
    <w:rsid w:val="48017A71"/>
    <w:rsid w:val="48021647"/>
    <w:rsid w:val="48036E0A"/>
    <w:rsid w:val="48072198"/>
    <w:rsid w:val="480908C5"/>
    <w:rsid w:val="480A6985"/>
    <w:rsid w:val="480F4366"/>
    <w:rsid w:val="481005C3"/>
    <w:rsid w:val="4812704D"/>
    <w:rsid w:val="48162591"/>
    <w:rsid w:val="481A7E93"/>
    <w:rsid w:val="481B23A6"/>
    <w:rsid w:val="481F5476"/>
    <w:rsid w:val="4823147C"/>
    <w:rsid w:val="4825261D"/>
    <w:rsid w:val="48270603"/>
    <w:rsid w:val="482933EF"/>
    <w:rsid w:val="482A25E9"/>
    <w:rsid w:val="482B7039"/>
    <w:rsid w:val="482B7945"/>
    <w:rsid w:val="482F5E51"/>
    <w:rsid w:val="48311B82"/>
    <w:rsid w:val="483379F9"/>
    <w:rsid w:val="48347635"/>
    <w:rsid w:val="48374E2E"/>
    <w:rsid w:val="48411E7F"/>
    <w:rsid w:val="48451529"/>
    <w:rsid w:val="48455644"/>
    <w:rsid w:val="4847319B"/>
    <w:rsid w:val="48474F49"/>
    <w:rsid w:val="48490367"/>
    <w:rsid w:val="484A4A39"/>
    <w:rsid w:val="484D0086"/>
    <w:rsid w:val="485052AE"/>
    <w:rsid w:val="485338EE"/>
    <w:rsid w:val="48585503"/>
    <w:rsid w:val="48591E73"/>
    <w:rsid w:val="485B1030"/>
    <w:rsid w:val="485B27A2"/>
    <w:rsid w:val="485C4866"/>
    <w:rsid w:val="485D4B0F"/>
    <w:rsid w:val="48650C42"/>
    <w:rsid w:val="48694B42"/>
    <w:rsid w:val="486A056D"/>
    <w:rsid w:val="486A0C38"/>
    <w:rsid w:val="48794210"/>
    <w:rsid w:val="487A13A7"/>
    <w:rsid w:val="487F3206"/>
    <w:rsid w:val="48861F15"/>
    <w:rsid w:val="4888701E"/>
    <w:rsid w:val="48890A53"/>
    <w:rsid w:val="488C6AF8"/>
    <w:rsid w:val="488F069E"/>
    <w:rsid w:val="489839F7"/>
    <w:rsid w:val="489A151D"/>
    <w:rsid w:val="489E30D7"/>
    <w:rsid w:val="48A00AFD"/>
    <w:rsid w:val="48A25794"/>
    <w:rsid w:val="48A26623"/>
    <w:rsid w:val="48A44149"/>
    <w:rsid w:val="48A46CD4"/>
    <w:rsid w:val="48A7654B"/>
    <w:rsid w:val="48A86CAE"/>
    <w:rsid w:val="48AC1250"/>
    <w:rsid w:val="48AD26F4"/>
    <w:rsid w:val="48AE661E"/>
    <w:rsid w:val="48B45C89"/>
    <w:rsid w:val="48B73CE9"/>
    <w:rsid w:val="48B74EE2"/>
    <w:rsid w:val="48BD16AF"/>
    <w:rsid w:val="48BD345D"/>
    <w:rsid w:val="48BF0F83"/>
    <w:rsid w:val="48C06AA9"/>
    <w:rsid w:val="48C20A74"/>
    <w:rsid w:val="48C42758"/>
    <w:rsid w:val="48C93BB0"/>
    <w:rsid w:val="48CB3DCC"/>
    <w:rsid w:val="48CC7B64"/>
    <w:rsid w:val="48CF7122"/>
    <w:rsid w:val="48D569F9"/>
    <w:rsid w:val="48DD56B1"/>
    <w:rsid w:val="48DD765B"/>
    <w:rsid w:val="48DF1754"/>
    <w:rsid w:val="48E24C72"/>
    <w:rsid w:val="48E42798"/>
    <w:rsid w:val="48EA4D7D"/>
    <w:rsid w:val="48EC5AF0"/>
    <w:rsid w:val="48F52BF7"/>
    <w:rsid w:val="48F6071D"/>
    <w:rsid w:val="48FA0BF2"/>
    <w:rsid w:val="48FA645F"/>
    <w:rsid w:val="48FB5D34"/>
    <w:rsid w:val="48FC3F85"/>
    <w:rsid w:val="48FE6968"/>
    <w:rsid w:val="490306D3"/>
    <w:rsid w:val="490522BE"/>
    <w:rsid w:val="49060F29"/>
    <w:rsid w:val="49061651"/>
    <w:rsid w:val="49066BB2"/>
    <w:rsid w:val="49083843"/>
    <w:rsid w:val="49085E59"/>
    <w:rsid w:val="490C0511"/>
    <w:rsid w:val="490D56BA"/>
    <w:rsid w:val="490F2333"/>
    <w:rsid w:val="4913307D"/>
    <w:rsid w:val="49163C20"/>
    <w:rsid w:val="492072DD"/>
    <w:rsid w:val="4921579A"/>
    <w:rsid w:val="4925305D"/>
    <w:rsid w:val="492928A1"/>
    <w:rsid w:val="492E6531"/>
    <w:rsid w:val="4938126B"/>
    <w:rsid w:val="49384272"/>
    <w:rsid w:val="49396F88"/>
    <w:rsid w:val="493E4BFE"/>
    <w:rsid w:val="493F41BC"/>
    <w:rsid w:val="494D20FF"/>
    <w:rsid w:val="494E2307"/>
    <w:rsid w:val="494E5361"/>
    <w:rsid w:val="49590DDC"/>
    <w:rsid w:val="495E69EE"/>
    <w:rsid w:val="496071B7"/>
    <w:rsid w:val="49613DC7"/>
    <w:rsid w:val="496B2EB9"/>
    <w:rsid w:val="496D48F7"/>
    <w:rsid w:val="496F0BFB"/>
    <w:rsid w:val="49735BD9"/>
    <w:rsid w:val="497440E9"/>
    <w:rsid w:val="49744707"/>
    <w:rsid w:val="49746212"/>
    <w:rsid w:val="49753D38"/>
    <w:rsid w:val="4981092F"/>
    <w:rsid w:val="4981448B"/>
    <w:rsid w:val="4985446E"/>
    <w:rsid w:val="498849ED"/>
    <w:rsid w:val="49885A6E"/>
    <w:rsid w:val="498F45B7"/>
    <w:rsid w:val="498F5E82"/>
    <w:rsid w:val="49965AB1"/>
    <w:rsid w:val="49995C33"/>
    <w:rsid w:val="499F0DB5"/>
    <w:rsid w:val="49A02672"/>
    <w:rsid w:val="49A160F9"/>
    <w:rsid w:val="49A308A5"/>
    <w:rsid w:val="49B22896"/>
    <w:rsid w:val="49B44860"/>
    <w:rsid w:val="49B74350"/>
    <w:rsid w:val="49B84451"/>
    <w:rsid w:val="49B9097B"/>
    <w:rsid w:val="49BA799D"/>
    <w:rsid w:val="49BD70C6"/>
    <w:rsid w:val="49CC0EE3"/>
    <w:rsid w:val="49CC7DFC"/>
    <w:rsid w:val="49CD2F72"/>
    <w:rsid w:val="49CE1DEB"/>
    <w:rsid w:val="49CE24FF"/>
    <w:rsid w:val="49D2118A"/>
    <w:rsid w:val="49D22F38"/>
    <w:rsid w:val="49D512B1"/>
    <w:rsid w:val="49D84F8F"/>
    <w:rsid w:val="49D97E23"/>
    <w:rsid w:val="49DC1B2F"/>
    <w:rsid w:val="49DC5B65"/>
    <w:rsid w:val="49DC7913"/>
    <w:rsid w:val="49E024C2"/>
    <w:rsid w:val="49E24EA6"/>
    <w:rsid w:val="49E35791"/>
    <w:rsid w:val="49E51633"/>
    <w:rsid w:val="49E545F7"/>
    <w:rsid w:val="49E8450A"/>
    <w:rsid w:val="49EF714E"/>
    <w:rsid w:val="49F11187"/>
    <w:rsid w:val="49F173F8"/>
    <w:rsid w:val="49F26968"/>
    <w:rsid w:val="49F714EE"/>
    <w:rsid w:val="49FB2E51"/>
    <w:rsid w:val="49FB4A02"/>
    <w:rsid w:val="49FC1B85"/>
    <w:rsid w:val="49FC5AB2"/>
    <w:rsid w:val="49FE5ADB"/>
    <w:rsid w:val="4A025BA5"/>
    <w:rsid w:val="4A0333C5"/>
    <w:rsid w:val="4A05330E"/>
    <w:rsid w:val="4A072B75"/>
    <w:rsid w:val="4A086C1A"/>
    <w:rsid w:val="4A0A0924"/>
    <w:rsid w:val="4A0A4480"/>
    <w:rsid w:val="4A0B025D"/>
    <w:rsid w:val="4A0B78AA"/>
    <w:rsid w:val="4A0C644A"/>
    <w:rsid w:val="4A0D5E43"/>
    <w:rsid w:val="4A0E6251"/>
    <w:rsid w:val="4A117A24"/>
    <w:rsid w:val="4A1470AD"/>
    <w:rsid w:val="4A1946C3"/>
    <w:rsid w:val="4A1C51FD"/>
    <w:rsid w:val="4A1D6937"/>
    <w:rsid w:val="4A1E7312"/>
    <w:rsid w:val="4A2113C5"/>
    <w:rsid w:val="4A266D4B"/>
    <w:rsid w:val="4A273284"/>
    <w:rsid w:val="4A273729"/>
    <w:rsid w:val="4A275032"/>
    <w:rsid w:val="4A280A90"/>
    <w:rsid w:val="4A2A4B22"/>
    <w:rsid w:val="4A2C089A"/>
    <w:rsid w:val="4A2C2C3D"/>
    <w:rsid w:val="4A31663E"/>
    <w:rsid w:val="4A317C5F"/>
    <w:rsid w:val="4A3414FD"/>
    <w:rsid w:val="4A371FA0"/>
    <w:rsid w:val="4A381DEA"/>
    <w:rsid w:val="4A420481"/>
    <w:rsid w:val="4A45370A"/>
    <w:rsid w:val="4A471CF2"/>
    <w:rsid w:val="4A4724C1"/>
    <w:rsid w:val="4A484FA8"/>
    <w:rsid w:val="4A4C2CEB"/>
    <w:rsid w:val="4A4D0B59"/>
    <w:rsid w:val="4A5751EC"/>
    <w:rsid w:val="4A590CBE"/>
    <w:rsid w:val="4A5C0A5C"/>
    <w:rsid w:val="4A5D6CA6"/>
    <w:rsid w:val="4A6022F2"/>
    <w:rsid w:val="4A613290"/>
    <w:rsid w:val="4A655B5A"/>
    <w:rsid w:val="4A6718D3"/>
    <w:rsid w:val="4A6C0C97"/>
    <w:rsid w:val="4A6E0EB3"/>
    <w:rsid w:val="4A6F58B8"/>
    <w:rsid w:val="4A7268AA"/>
    <w:rsid w:val="4A727F0E"/>
    <w:rsid w:val="4A7B31CD"/>
    <w:rsid w:val="4A7C0DFC"/>
    <w:rsid w:val="4A802994"/>
    <w:rsid w:val="4A81461F"/>
    <w:rsid w:val="4A835FE1"/>
    <w:rsid w:val="4A843602"/>
    <w:rsid w:val="4A877B8C"/>
    <w:rsid w:val="4A880D41"/>
    <w:rsid w:val="4A8A55C1"/>
    <w:rsid w:val="4A8C5317"/>
    <w:rsid w:val="4A8C758B"/>
    <w:rsid w:val="4A9108C5"/>
    <w:rsid w:val="4A916395"/>
    <w:rsid w:val="4A9232E2"/>
    <w:rsid w:val="4A972179"/>
    <w:rsid w:val="4A9B77CE"/>
    <w:rsid w:val="4A9C318A"/>
    <w:rsid w:val="4A9C70A0"/>
    <w:rsid w:val="4A9D2751"/>
    <w:rsid w:val="4AA04DE4"/>
    <w:rsid w:val="4AA46683"/>
    <w:rsid w:val="4AA50D8F"/>
    <w:rsid w:val="4AA7339A"/>
    <w:rsid w:val="4AA96FA0"/>
    <w:rsid w:val="4AAC2870"/>
    <w:rsid w:val="4AB53175"/>
    <w:rsid w:val="4AB64198"/>
    <w:rsid w:val="4AB810A7"/>
    <w:rsid w:val="4ABA5EA6"/>
    <w:rsid w:val="4ABD7744"/>
    <w:rsid w:val="4ABF34BD"/>
    <w:rsid w:val="4AC22967"/>
    <w:rsid w:val="4AC3309E"/>
    <w:rsid w:val="4AC477B5"/>
    <w:rsid w:val="4AC537A9"/>
    <w:rsid w:val="4AC705C3"/>
    <w:rsid w:val="4AC72A26"/>
    <w:rsid w:val="4AC863D3"/>
    <w:rsid w:val="4ACE7A1F"/>
    <w:rsid w:val="4AD04ADA"/>
    <w:rsid w:val="4AD8632C"/>
    <w:rsid w:val="4ADB406F"/>
    <w:rsid w:val="4ADE6FCD"/>
    <w:rsid w:val="4AE01267"/>
    <w:rsid w:val="4AE03433"/>
    <w:rsid w:val="4AE24894"/>
    <w:rsid w:val="4AE4089B"/>
    <w:rsid w:val="4AE81EC7"/>
    <w:rsid w:val="4AEB535B"/>
    <w:rsid w:val="4AEC002A"/>
    <w:rsid w:val="4AF5622C"/>
    <w:rsid w:val="4AF57D24"/>
    <w:rsid w:val="4AF64A04"/>
    <w:rsid w:val="4AF8077D"/>
    <w:rsid w:val="4AFC3A8D"/>
    <w:rsid w:val="4AFC64BF"/>
    <w:rsid w:val="4AFF7D5D"/>
    <w:rsid w:val="4B003204"/>
    <w:rsid w:val="4B010599"/>
    <w:rsid w:val="4B0215FB"/>
    <w:rsid w:val="4B023413"/>
    <w:rsid w:val="4B0324B1"/>
    <w:rsid w:val="4B0417A1"/>
    <w:rsid w:val="4B054C48"/>
    <w:rsid w:val="4B127D6A"/>
    <w:rsid w:val="4B152F32"/>
    <w:rsid w:val="4B172B5D"/>
    <w:rsid w:val="4B1A79E4"/>
    <w:rsid w:val="4B1C27B7"/>
    <w:rsid w:val="4B1D6435"/>
    <w:rsid w:val="4B223A4B"/>
    <w:rsid w:val="4B23072D"/>
    <w:rsid w:val="4B2652EA"/>
    <w:rsid w:val="4B271062"/>
    <w:rsid w:val="4B28637F"/>
    <w:rsid w:val="4B2B1CE4"/>
    <w:rsid w:val="4B2C3957"/>
    <w:rsid w:val="4B2E0642"/>
    <w:rsid w:val="4B2E1FB3"/>
    <w:rsid w:val="4B3A2B43"/>
    <w:rsid w:val="4B3B2D08"/>
    <w:rsid w:val="4B3C4B0D"/>
    <w:rsid w:val="4B3C656C"/>
    <w:rsid w:val="4B3D6B5E"/>
    <w:rsid w:val="4B4163AA"/>
    <w:rsid w:val="4B425E9C"/>
    <w:rsid w:val="4B427C4A"/>
    <w:rsid w:val="4B4340EE"/>
    <w:rsid w:val="4B4643BA"/>
    <w:rsid w:val="4B4C2876"/>
    <w:rsid w:val="4B4D364F"/>
    <w:rsid w:val="4B5160DF"/>
    <w:rsid w:val="4B517E8D"/>
    <w:rsid w:val="4B582D83"/>
    <w:rsid w:val="4B5D2EF7"/>
    <w:rsid w:val="4B5D4A84"/>
    <w:rsid w:val="4B6171A4"/>
    <w:rsid w:val="4B625472"/>
    <w:rsid w:val="4B685902"/>
    <w:rsid w:val="4B69167A"/>
    <w:rsid w:val="4B6B71A0"/>
    <w:rsid w:val="4B6C1273"/>
    <w:rsid w:val="4B6E0A3F"/>
    <w:rsid w:val="4B6F6C84"/>
    <w:rsid w:val="4B71065E"/>
    <w:rsid w:val="4B734C58"/>
    <w:rsid w:val="4B893ACB"/>
    <w:rsid w:val="4B8A1D1C"/>
    <w:rsid w:val="4B8E4FB7"/>
    <w:rsid w:val="4B9009B5"/>
    <w:rsid w:val="4B912633"/>
    <w:rsid w:val="4B920E8F"/>
    <w:rsid w:val="4B983D0E"/>
    <w:rsid w:val="4B9A3AC1"/>
    <w:rsid w:val="4B9C091C"/>
    <w:rsid w:val="4B9C24EF"/>
    <w:rsid w:val="4B9F2928"/>
    <w:rsid w:val="4BA52AE7"/>
    <w:rsid w:val="4BA57A5E"/>
    <w:rsid w:val="4BA607A4"/>
    <w:rsid w:val="4BA8078D"/>
    <w:rsid w:val="4BAD1567"/>
    <w:rsid w:val="4BAE52DF"/>
    <w:rsid w:val="4BB0030E"/>
    <w:rsid w:val="4BB40B47"/>
    <w:rsid w:val="4BB548C0"/>
    <w:rsid w:val="4BB67028"/>
    <w:rsid w:val="4BC15850"/>
    <w:rsid w:val="4BC32B39"/>
    <w:rsid w:val="4BC8160D"/>
    <w:rsid w:val="4BCC1968"/>
    <w:rsid w:val="4BD01E86"/>
    <w:rsid w:val="4BD05255"/>
    <w:rsid w:val="4BD17D06"/>
    <w:rsid w:val="4BDB7AA5"/>
    <w:rsid w:val="4BDF193C"/>
    <w:rsid w:val="4BE04BDB"/>
    <w:rsid w:val="4BE11211"/>
    <w:rsid w:val="4BE96317"/>
    <w:rsid w:val="4BED22AB"/>
    <w:rsid w:val="4BEE16C5"/>
    <w:rsid w:val="4BEE54DA"/>
    <w:rsid w:val="4BF03050"/>
    <w:rsid w:val="4BF16AF8"/>
    <w:rsid w:val="4BF20AE1"/>
    <w:rsid w:val="4BF8453E"/>
    <w:rsid w:val="4BFA71CA"/>
    <w:rsid w:val="4BFC3B4F"/>
    <w:rsid w:val="4C0113DE"/>
    <w:rsid w:val="4C0575F5"/>
    <w:rsid w:val="4C063748"/>
    <w:rsid w:val="4C066EC9"/>
    <w:rsid w:val="4C084F33"/>
    <w:rsid w:val="4C0E7108"/>
    <w:rsid w:val="4C101AF6"/>
    <w:rsid w:val="4C12660F"/>
    <w:rsid w:val="4C1A176B"/>
    <w:rsid w:val="4C1C1D8F"/>
    <w:rsid w:val="4C222472"/>
    <w:rsid w:val="4C235F3D"/>
    <w:rsid w:val="4C286E40"/>
    <w:rsid w:val="4C2D319E"/>
    <w:rsid w:val="4C2E1DCD"/>
    <w:rsid w:val="4C30172C"/>
    <w:rsid w:val="4C343A36"/>
    <w:rsid w:val="4C345C28"/>
    <w:rsid w:val="4C3954F1"/>
    <w:rsid w:val="4C3974AD"/>
    <w:rsid w:val="4C3D465D"/>
    <w:rsid w:val="4C3D6D8F"/>
    <w:rsid w:val="4C3F2614"/>
    <w:rsid w:val="4C417D2D"/>
    <w:rsid w:val="4C4A5008"/>
    <w:rsid w:val="4C4C6FD2"/>
    <w:rsid w:val="4C4F219F"/>
    <w:rsid w:val="4C536E11"/>
    <w:rsid w:val="4C537014"/>
    <w:rsid w:val="4C5404F6"/>
    <w:rsid w:val="4C544C87"/>
    <w:rsid w:val="4C555E8E"/>
    <w:rsid w:val="4C5D2DC3"/>
    <w:rsid w:val="4C6032AE"/>
    <w:rsid w:val="4C6357CE"/>
    <w:rsid w:val="4C6512EA"/>
    <w:rsid w:val="4C6633B2"/>
    <w:rsid w:val="4C673E0C"/>
    <w:rsid w:val="4C6A56AA"/>
    <w:rsid w:val="4C6A7458"/>
    <w:rsid w:val="4C6C6DEE"/>
    <w:rsid w:val="4C6E266F"/>
    <w:rsid w:val="4C704E40"/>
    <w:rsid w:val="4C79769B"/>
    <w:rsid w:val="4C7A41D5"/>
    <w:rsid w:val="4C7D0683"/>
    <w:rsid w:val="4C8158BA"/>
    <w:rsid w:val="4C841BE9"/>
    <w:rsid w:val="4C85076E"/>
    <w:rsid w:val="4C8936D2"/>
    <w:rsid w:val="4C8B4D74"/>
    <w:rsid w:val="4C8F6405"/>
    <w:rsid w:val="4C9625F5"/>
    <w:rsid w:val="4C9D189B"/>
    <w:rsid w:val="4C9E1CB8"/>
    <w:rsid w:val="4CA26BF2"/>
    <w:rsid w:val="4CA74208"/>
    <w:rsid w:val="4CA87F80"/>
    <w:rsid w:val="4CAD5597"/>
    <w:rsid w:val="4CB37051"/>
    <w:rsid w:val="4CB84667"/>
    <w:rsid w:val="4CB95616"/>
    <w:rsid w:val="4CBD3886"/>
    <w:rsid w:val="4CC21042"/>
    <w:rsid w:val="4CC312AD"/>
    <w:rsid w:val="4CC43E5C"/>
    <w:rsid w:val="4CC44A72"/>
    <w:rsid w:val="4CC748AA"/>
    <w:rsid w:val="4CCD0192"/>
    <w:rsid w:val="4CCE79E7"/>
    <w:rsid w:val="4CD30920"/>
    <w:rsid w:val="4CD6689C"/>
    <w:rsid w:val="4CD82614"/>
    <w:rsid w:val="4CDD47B9"/>
    <w:rsid w:val="4CDF01E2"/>
    <w:rsid w:val="4CE30FB8"/>
    <w:rsid w:val="4CE36D98"/>
    <w:rsid w:val="4CE3798F"/>
    <w:rsid w:val="4CE90CC5"/>
    <w:rsid w:val="4CE9125A"/>
    <w:rsid w:val="4CEA2347"/>
    <w:rsid w:val="4CEC111D"/>
    <w:rsid w:val="4CEF4C08"/>
    <w:rsid w:val="4CF35D79"/>
    <w:rsid w:val="4CF5766A"/>
    <w:rsid w:val="4CF82CB6"/>
    <w:rsid w:val="4CF907DC"/>
    <w:rsid w:val="4CF971F2"/>
    <w:rsid w:val="4CFA2484"/>
    <w:rsid w:val="4CFB09F8"/>
    <w:rsid w:val="4CFB4554"/>
    <w:rsid w:val="4CFC50F9"/>
    <w:rsid w:val="4D0250EF"/>
    <w:rsid w:val="4D031ABB"/>
    <w:rsid w:val="4D035CB7"/>
    <w:rsid w:val="4D0A256D"/>
    <w:rsid w:val="4D0A4797"/>
    <w:rsid w:val="4D0C0929"/>
    <w:rsid w:val="4D0D0088"/>
    <w:rsid w:val="4D0D6D01"/>
    <w:rsid w:val="4D0D6FFE"/>
    <w:rsid w:val="4D0F0ADB"/>
    <w:rsid w:val="4D243AAB"/>
    <w:rsid w:val="4D275349"/>
    <w:rsid w:val="4D281FFF"/>
    <w:rsid w:val="4D2835CE"/>
    <w:rsid w:val="4D2954F0"/>
    <w:rsid w:val="4D2A745D"/>
    <w:rsid w:val="4D2F41FE"/>
    <w:rsid w:val="4D330192"/>
    <w:rsid w:val="4D333CEE"/>
    <w:rsid w:val="4D3772DB"/>
    <w:rsid w:val="4D382CFC"/>
    <w:rsid w:val="4D386DDE"/>
    <w:rsid w:val="4D3A507C"/>
    <w:rsid w:val="4D3B2BA3"/>
    <w:rsid w:val="4D3C0840"/>
    <w:rsid w:val="4D3D6F69"/>
    <w:rsid w:val="4D3E1193"/>
    <w:rsid w:val="4D40640B"/>
    <w:rsid w:val="4D497020"/>
    <w:rsid w:val="4D502CC1"/>
    <w:rsid w:val="4D516F09"/>
    <w:rsid w:val="4D543701"/>
    <w:rsid w:val="4D562E46"/>
    <w:rsid w:val="4D5F1417"/>
    <w:rsid w:val="4D5F2D35"/>
    <w:rsid w:val="4D60260A"/>
    <w:rsid w:val="4D6172BD"/>
    <w:rsid w:val="4D626381"/>
    <w:rsid w:val="4D647C7D"/>
    <w:rsid w:val="4D662315"/>
    <w:rsid w:val="4D72719F"/>
    <w:rsid w:val="4D730311"/>
    <w:rsid w:val="4D782049"/>
    <w:rsid w:val="4D7A621A"/>
    <w:rsid w:val="4D7C1BA8"/>
    <w:rsid w:val="4D7C38E7"/>
    <w:rsid w:val="4D7F33D7"/>
    <w:rsid w:val="4D7F6DB0"/>
    <w:rsid w:val="4D83435C"/>
    <w:rsid w:val="4D8B23ED"/>
    <w:rsid w:val="4D8B58D8"/>
    <w:rsid w:val="4D8B5A4B"/>
    <w:rsid w:val="4D8D5933"/>
    <w:rsid w:val="4D926EBD"/>
    <w:rsid w:val="4D9329DF"/>
    <w:rsid w:val="4D941454"/>
    <w:rsid w:val="4D946F89"/>
    <w:rsid w:val="4D947BB6"/>
    <w:rsid w:val="4D970721"/>
    <w:rsid w:val="4D9B71CF"/>
    <w:rsid w:val="4DA54B5F"/>
    <w:rsid w:val="4DA56B29"/>
    <w:rsid w:val="4DA90454"/>
    <w:rsid w:val="4DAC584E"/>
    <w:rsid w:val="4DAD0871"/>
    <w:rsid w:val="4DB4488C"/>
    <w:rsid w:val="4DB56DF9"/>
    <w:rsid w:val="4DB716E7"/>
    <w:rsid w:val="4DB72B71"/>
    <w:rsid w:val="4DBA440F"/>
    <w:rsid w:val="4DBB336D"/>
    <w:rsid w:val="4DBF5582"/>
    <w:rsid w:val="4DC62C29"/>
    <w:rsid w:val="4DC75B86"/>
    <w:rsid w:val="4DC964E6"/>
    <w:rsid w:val="4DC96CAB"/>
    <w:rsid w:val="4DCD7C9F"/>
    <w:rsid w:val="4DD07177"/>
    <w:rsid w:val="4DDC010C"/>
    <w:rsid w:val="4DDF7095"/>
    <w:rsid w:val="4DE45E34"/>
    <w:rsid w:val="4DE54A50"/>
    <w:rsid w:val="4DE56C61"/>
    <w:rsid w:val="4DE63602"/>
    <w:rsid w:val="4DEA7C96"/>
    <w:rsid w:val="4DEF40B9"/>
    <w:rsid w:val="4DEF5B14"/>
    <w:rsid w:val="4DF72F6D"/>
    <w:rsid w:val="4DFC0584"/>
    <w:rsid w:val="4DFE254E"/>
    <w:rsid w:val="4E036066"/>
    <w:rsid w:val="4E041FC0"/>
    <w:rsid w:val="4E0422D3"/>
    <w:rsid w:val="4E086F29"/>
    <w:rsid w:val="4E0B6A19"/>
    <w:rsid w:val="4E0D2791"/>
    <w:rsid w:val="4E1A0B35"/>
    <w:rsid w:val="4E1D0EF6"/>
    <w:rsid w:val="4E1E04FA"/>
    <w:rsid w:val="4E210EC3"/>
    <w:rsid w:val="4E217FEA"/>
    <w:rsid w:val="4E241889"/>
    <w:rsid w:val="4E28524D"/>
    <w:rsid w:val="4E361CE8"/>
    <w:rsid w:val="4E385BEC"/>
    <w:rsid w:val="4E41068C"/>
    <w:rsid w:val="4E412489"/>
    <w:rsid w:val="4E473EF5"/>
    <w:rsid w:val="4E4D25BD"/>
    <w:rsid w:val="4E4F0F85"/>
    <w:rsid w:val="4E556CBA"/>
    <w:rsid w:val="4E573A0C"/>
    <w:rsid w:val="4E63639B"/>
    <w:rsid w:val="4E6A373F"/>
    <w:rsid w:val="4E6A73C2"/>
    <w:rsid w:val="4E6B60F4"/>
    <w:rsid w:val="4E6B74B7"/>
    <w:rsid w:val="4E6D634E"/>
    <w:rsid w:val="4E742810"/>
    <w:rsid w:val="4E744B9E"/>
    <w:rsid w:val="4E7764BA"/>
    <w:rsid w:val="4E777381"/>
    <w:rsid w:val="4E790FA8"/>
    <w:rsid w:val="4E7968A0"/>
    <w:rsid w:val="4E7C2C65"/>
    <w:rsid w:val="4E7E368F"/>
    <w:rsid w:val="4E8011B5"/>
    <w:rsid w:val="4E816CDB"/>
    <w:rsid w:val="4E824F2D"/>
    <w:rsid w:val="4E854A1D"/>
    <w:rsid w:val="4E8642F1"/>
    <w:rsid w:val="4E864C08"/>
    <w:rsid w:val="4E890A5B"/>
    <w:rsid w:val="4E89214C"/>
    <w:rsid w:val="4E89266D"/>
    <w:rsid w:val="4E8A1D60"/>
    <w:rsid w:val="4E8D4423"/>
    <w:rsid w:val="4E91694B"/>
    <w:rsid w:val="4E936D6F"/>
    <w:rsid w:val="4E94592F"/>
    <w:rsid w:val="4E9465AC"/>
    <w:rsid w:val="4E9B7D9D"/>
    <w:rsid w:val="4E9F040A"/>
    <w:rsid w:val="4E9F7009"/>
    <w:rsid w:val="4EA01857"/>
    <w:rsid w:val="4EA03605"/>
    <w:rsid w:val="4EA3202D"/>
    <w:rsid w:val="4EA36C51"/>
    <w:rsid w:val="4EA66BE5"/>
    <w:rsid w:val="4EA912D8"/>
    <w:rsid w:val="4EAA4484"/>
    <w:rsid w:val="4EAF3848"/>
    <w:rsid w:val="4EB046C9"/>
    <w:rsid w:val="4EBB3AF4"/>
    <w:rsid w:val="4EBF5614"/>
    <w:rsid w:val="4EC05A55"/>
    <w:rsid w:val="4EC2442C"/>
    <w:rsid w:val="4ECC61A8"/>
    <w:rsid w:val="4ECE7217"/>
    <w:rsid w:val="4ED77F34"/>
    <w:rsid w:val="4EE334F2"/>
    <w:rsid w:val="4EE428EB"/>
    <w:rsid w:val="4EE47996"/>
    <w:rsid w:val="4EE47EA1"/>
    <w:rsid w:val="4EE63FE7"/>
    <w:rsid w:val="4EE721F6"/>
    <w:rsid w:val="4EE83656"/>
    <w:rsid w:val="4EEF5A57"/>
    <w:rsid w:val="4EF120B3"/>
    <w:rsid w:val="4EF125E2"/>
    <w:rsid w:val="4EF501CA"/>
    <w:rsid w:val="4EF63D25"/>
    <w:rsid w:val="4EF65CBB"/>
    <w:rsid w:val="4EF86F9D"/>
    <w:rsid w:val="4EFC3A63"/>
    <w:rsid w:val="4EFD7494"/>
    <w:rsid w:val="4F0B287F"/>
    <w:rsid w:val="4F10078B"/>
    <w:rsid w:val="4F104D30"/>
    <w:rsid w:val="4F165675"/>
    <w:rsid w:val="4F1D07B2"/>
    <w:rsid w:val="4F1F274A"/>
    <w:rsid w:val="4F245FE4"/>
    <w:rsid w:val="4F275461"/>
    <w:rsid w:val="4F2F6737"/>
    <w:rsid w:val="4F34700B"/>
    <w:rsid w:val="4F391364"/>
    <w:rsid w:val="4F3B50DC"/>
    <w:rsid w:val="4F3E3209"/>
    <w:rsid w:val="4F407086"/>
    <w:rsid w:val="4F450FC5"/>
    <w:rsid w:val="4F4B778B"/>
    <w:rsid w:val="4F4C5B37"/>
    <w:rsid w:val="4F4E3061"/>
    <w:rsid w:val="4F512B51"/>
    <w:rsid w:val="4F554DBC"/>
    <w:rsid w:val="4F560168"/>
    <w:rsid w:val="4F583EE0"/>
    <w:rsid w:val="4F5939CF"/>
    <w:rsid w:val="4F5E4BF7"/>
    <w:rsid w:val="4F604B42"/>
    <w:rsid w:val="4F622668"/>
    <w:rsid w:val="4F63535B"/>
    <w:rsid w:val="4F641245"/>
    <w:rsid w:val="4F661A47"/>
    <w:rsid w:val="4F661C9A"/>
    <w:rsid w:val="4F675ED1"/>
    <w:rsid w:val="4F681A8F"/>
    <w:rsid w:val="4F6B5248"/>
    <w:rsid w:val="4F6E54B1"/>
    <w:rsid w:val="4F6F0BB5"/>
    <w:rsid w:val="4F702348"/>
    <w:rsid w:val="4F71020E"/>
    <w:rsid w:val="4F754A92"/>
    <w:rsid w:val="4F7A4DC2"/>
    <w:rsid w:val="4F7A5C04"/>
    <w:rsid w:val="4F7B7CD0"/>
    <w:rsid w:val="4F7C1DFF"/>
    <w:rsid w:val="4F7E15F2"/>
    <w:rsid w:val="4F824AB9"/>
    <w:rsid w:val="4F8B55C0"/>
    <w:rsid w:val="4F8E493C"/>
    <w:rsid w:val="4F8E5B53"/>
    <w:rsid w:val="4F9028AF"/>
    <w:rsid w:val="4F936BFA"/>
    <w:rsid w:val="4F974DC6"/>
    <w:rsid w:val="4F985A34"/>
    <w:rsid w:val="4F9A62A6"/>
    <w:rsid w:val="4F9C1AAE"/>
    <w:rsid w:val="4F9C5DAC"/>
    <w:rsid w:val="4FA113E3"/>
    <w:rsid w:val="4FA159C1"/>
    <w:rsid w:val="4FAA7A1B"/>
    <w:rsid w:val="4FAB1E17"/>
    <w:rsid w:val="4FAD7AD7"/>
    <w:rsid w:val="4FB1539E"/>
    <w:rsid w:val="4FB54E8E"/>
    <w:rsid w:val="4FB54EF4"/>
    <w:rsid w:val="4FB871DB"/>
    <w:rsid w:val="4FBE6A18"/>
    <w:rsid w:val="4FC3503C"/>
    <w:rsid w:val="4FC8399D"/>
    <w:rsid w:val="4FC96F38"/>
    <w:rsid w:val="4FD25B70"/>
    <w:rsid w:val="4FD317B8"/>
    <w:rsid w:val="4FD47CD6"/>
    <w:rsid w:val="4FD80B7D"/>
    <w:rsid w:val="4FE40EEA"/>
    <w:rsid w:val="4FE564A3"/>
    <w:rsid w:val="4FE62753"/>
    <w:rsid w:val="4FE6773D"/>
    <w:rsid w:val="4FEC6BDC"/>
    <w:rsid w:val="4FF0750A"/>
    <w:rsid w:val="4FF44BC5"/>
    <w:rsid w:val="4FF52BAA"/>
    <w:rsid w:val="4FF53EAA"/>
    <w:rsid w:val="4FF85B0E"/>
    <w:rsid w:val="4FFA2B56"/>
    <w:rsid w:val="4FFE1E47"/>
    <w:rsid w:val="50015117"/>
    <w:rsid w:val="50063C2D"/>
    <w:rsid w:val="500D4CCA"/>
    <w:rsid w:val="500F1D8D"/>
    <w:rsid w:val="500F288E"/>
    <w:rsid w:val="500F3F71"/>
    <w:rsid w:val="501029BD"/>
    <w:rsid w:val="50114CDC"/>
    <w:rsid w:val="501222E0"/>
    <w:rsid w:val="50123D88"/>
    <w:rsid w:val="5012408F"/>
    <w:rsid w:val="502025E6"/>
    <w:rsid w:val="50211B71"/>
    <w:rsid w:val="502810FF"/>
    <w:rsid w:val="50285660"/>
    <w:rsid w:val="502F4C40"/>
    <w:rsid w:val="503A6AA9"/>
    <w:rsid w:val="503B1837"/>
    <w:rsid w:val="50447FC0"/>
    <w:rsid w:val="50461F8A"/>
    <w:rsid w:val="505259F5"/>
    <w:rsid w:val="505859C5"/>
    <w:rsid w:val="50597F0F"/>
    <w:rsid w:val="505A5A36"/>
    <w:rsid w:val="505C355C"/>
    <w:rsid w:val="505E5FEF"/>
    <w:rsid w:val="506029A7"/>
    <w:rsid w:val="506031C1"/>
    <w:rsid w:val="506077E0"/>
    <w:rsid w:val="50612D70"/>
    <w:rsid w:val="50622F2F"/>
    <w:rsid w:val="50637645"/>
    <w:rsid w:val="50670FCE"/>
    <w:rsid w:val="50714011"/>
    <w:rsid w:val="50724B2D"/>
    <w:rsid w:val="50761362"/>
    <w:rsid w:val="507C59AC"/>
    <w:rsid w:val="507C775A"/>
    <w:rsid w:val="507F724A"/>
    <w:rsid w:val="50831ABD"/>
    <w:rsid w:val="50840B6E"/>
    <w:rsid w:val="50854279"/>
    <w:rsid w:val="508614D1"/>
    <w:rsid w:val="508A3C88"/>
    <w:rsid w:val="508B3E41"/>
    <w:rsid w:val="508B7357"/>
    <w:rsid w:val="508D0102"/>
    <w:rsid w:val="508E356F"/>
    <w:rsid w:val="50937498"/>
    <w:rsid w:val="50966A6E"/>
    <w:rsid w:val="509817C8"/>
    <w:rsid w:val="5099432F"/>
    <w:rsid w:val="509D1E47"/>
    <w:rsid w:val="50A11C75"/>
    <w:rsid w:val="50A223A6"/>
    <w:rsid w:val="50A30B7E"/>
    <w:rsid w:val="50A76ECD"/>
    <w:rsid w:val="50AD3DB7"/>
    <w:rsid w:val="50AF5D81"/>
    <w:rsid w:val="50B040E7"/>
    <w:rsid w:val="50B134F0"/>
    <w:rsid w:val="50BD049E"/>
    <w:rsid w:val="50BE4216"/>
    <w:rsid w:val="50BF670F"/>
    <w:rsid w:val="50C0312F"/>
    <w:rsid w:val="50CB0A5A"/>
    <w:rsid w:val="50D17AA6"/>
    <w:rsid w:val="50D21A70"/>
    <w:rsid w:val="50D37CC2"/>
    <w:rsid w:val="50D47596"/>
    <w:rsid w:val="50DB53CB"/>
    <w:rsid w:val="50DD73D5"/>
    <w:rsid w:val="50DF7281"/>
    <w:rsid w:val="50E13A61"/>
    <w:rsid w:val="50E223BC"/>
    <w:rsid w:val="50EE332C"/>
    <w:rsid w:val="50EF617E"/>
    <w:rsid w:val="50F1639A"/>
    <w:rsid w:val="50F40714"/>
    <w:rsid w:val="50F934A0"/>
    <w:rsid w:val="50FD1B5B"/>
    <w:rsid w:val="50FE35ED"/>
    <w:rsid w:val="51020E71"/>
    <w:rsid w:val="51073C45"/>
    <w:rsid w:val="510B66FD"/>
    <w:rsid w:val="510C4B44"/>
    <w:rsid w:val="510F5125"/>
    <w:rsid w:val="51143E36"/>
    <w:rsid w:val="51154BFB"/>
    <w:rsid w:val="5116195C"/>
    <w:rsid w:val="51190350"/>
    <w:rsid w:val="51200A2D"/>
    <w:rsid w:val="51205D8F"/>
    <w:rsid w:val="512247A5"/>
    <w:rsid w:val="51256043"/>
    <w:rsid w:val="512D4DCF"/>
    <w:rsid w:val="51346287"/>
    <w:rsid w:val="5136577D"/>
    <w:rsid w:val="513675CD"/>
    <w:rsid w:val="51387B25"/>
    <w:rsid w:val="5139564B"/>
    <w:rsid w:val="51397720"/>
    <w:rsid w:val="51404C2B"/>
    <w:rsid w:val="514105EC"/>
    <w:rsid w:val="51431A8C"/>
    <w:rsid w:val="5144296E"/>
    <w:rsid w:val="51450494"/>
    <w:rsid w:val="51456C51"/>
    <w:rsid w:val="514A7858"/>
    <w:rsid w:val="514E41AF"/>
    <w:rsid w:val="515406D7"/>
    <w:rsid w:val="515A72C4"/>
    <w:rsid w:val="515B5FAC"/>
    <w:rsid w:val="515E03EA"/>
    <w:rsid w:val="515F2F10"/>
    <w:rsid w:val="51631511"/>
    <w:rsid w:val="51711289"/>
    <w:rsid w:val="517B3A65"/>
    <w:rsid w:val="517F5754"/>
    <w:rsid w:val="51812115"/>
    <w:rsid w:val="51822362"/>
    <w:rsid w:val="51826FF2"/>
    <w:rsid w:val="51861D6F"/>
    <w:rsid w:val="51872848"/>
    <w:rsid w:val="51897ED9"/>
    <w:rsid w:val="518A0924"/>
    <w:rsid w:val="518B4748"/>
    <w:rsid w:val="51960CEF"/>
    <w:rsid w:val="519B3446"/>
    <w:rsid w:val="51A056CA"/>
    <w:rsid w:val="51A24FBC"/>
    <w:rsid w:val="51A3745F"/>
    <w:rsid w:val="51A63D9D"/>
    <w:rsid w:val="51A67184"/>
    <w:rsid w:val="51A742B0"/>
    <w:rsid w:val="51A76D92"/>
    <w:rsid w:val="51B00003"/>
    <w:rsid w:val="51B27DE8"/>
    <w:rsid w:val="51B3772C"/>
    <w:rsid w:val="51BC5607"/>
    <w:rsid w:val="51C36AAD"/>
    <w:rsid w:val="51C4585C"/>
    <w:rsid w:val="51C63EDC"/>
    <w:rsid w:val="51C84ABF"/>
    <w:rsid w:val="51C94C21"/>
    <w:rsid w:val="51CA1234"/>
    <w:rsid w:val="51D23006"/>
    <w:rsid w:val="51D277EB"/>
    <w:rsid w:val="51D33CF1"/>
    <w:rsid w:val="51D41D38"/>
    <w:rsid w:val="51D756D4"/>
    <w:rsid w:val="51DD247A"/>
    <w:rsid w:val="51E1640E"/>
    <w:rsid w:val="51E83F8F"/>
    <w:rsid w:val="51EB4853"/>
    <w:rsid w:val="51EC036F"/>
    <w:rsid w:val="51F13C85"/>
    <w:rsid w:val="51FF1164"/>
    <w:rsid w:val="51FF4A65"/>
    <w:rsid w:val="52012AC2"/>
    <w:rsid w:val="52016BAE"/>
    <w:rsid w:val="520450CD"/>
    <w:rsid w:val="52087E4A"/>
    <w:rsid w:val="520D3E62"/>
    <w:rsid w:val="520E0886"/>
    <w:rsid w:val="520F426C"/>
    <w:rsid w:val="52103E6C"/>
    <w:rsid w:val="521C11F4"/>
    <w:rsid w:val="521C7446"/>
    <w:rsid w:val="521F422D"/>
    <w:rsid w:val="522066DD"/>
    <w:rsid w:val="52264EDE"/>
    <w:rsid w:val="52280212"/>
    <w:rsid w:val="522A08FB"/>
    <w:rsid w:val="522C63AF"/>
    <w:rsid w:val="522C6DA2"/>
    <w:rsid w:val="522D3402"/>
    <w:rsid w:val="522D519C"/>
    <w:rsid w:val="522D5360"/>
    <w:rsid w:val="52317CFB"/>
    <w:rsid w:val="5232350E"/>
    <w:rsid w:val="523552ED"/>
    <w:rsid w:val="52377DDC"/>
    <w:rsid w:val="523B14E5"/>
    <w:rsid w:val="523E560F"/>
    <w:rsid w:val="523F4EE3"/>
    <w:rsid w:val="52467195"/>
    <w:rsid w:val="524750FE"/>
    <w:rsid w:val="524900FF"/>
    <w:rsid w:val="52493686"/>
    <w:rsid w:val="52515829"/>
    <w:rsid w:val="52583780"/>
    <w:rsid w:val="52592449"/>
    <w:rsid w:val="52593CEF"/>
    <w:rsid w:val="525A2F46"/>
    <w:rsid w:val="525C3CE7"/>
    <w:rsid w:val="525E6E3A"/>
    <w:rsid w:val="526129EE"/>
    <w:rsid w:val="52620EC4"/>
    <w:rsid w:val="52632BDB"/>
    <w:rsid w:val="526951FA"/>
    <w:rsid w:val="526D37FE"/>
    <w:rsid w:val="5272350A"/>
    <w:rsid w:val="527252B8"/>
    <w:rsid w:val="52731A65"/>
    <w:rsid w:val="5274277C"/>
    <w:rsid w:val="52742FD2"/>
    <w:rsid w:val="5274426B"/>
    <w:rsid w:val="527A2A25"/>
    <w:rsid w:val="528337D1"/>
    <w:rsid w:val="528B637A"/>
    <w:rsid w:val="528C7C52"/>
    <w:rsid w:val="528E6CD1"/>
    <w:rsid w:val="528F5F57"/>
    <w:rsid w:val="5290573F"/>
    <w:rsid w:val="5291754B"/>
    <w:rsid w:val="52962304"/>
    <w:rsid w:val="52986F11"/>
    <w:rsid w:val="52A02093"/>
    <w:rsid w:val="52A14897"/>
    <w:rsid w:val="52A15B9E"/>
    <w:rsid w:val="52A2547F"/>
    <w:rsid w:val="52A3455E"/>
    <w:rsid w:val="52A36550"/>
    <w:rsid w:val="52A60B7B"/>
    <w:rsid w:val="52A631B4"/>
    <w:rsid w:val="52A64F62"/>
    <w:rsid w:val="52A80CDA"/>
    <w:rsid w:val="52AD4542"/>
    <w:rsid w:val="52AF3AC4"/>
    <w:rsid w:val="52B15DE1"/>
    <w:rsid w:val="52BF7DD2"/>
    <w:rsid w:val="52C54E91"/>
    <w:rsid w:val="52C736E5"/>
    <w:rsid w:val="52C74A5D"/>
    <w:rsid w:val="52C92E63"/>
    <w:rsid w:val="52CD24EF"/>
    <w:rsid w:val="52CF270B"/>
    <w:rsid w:val="52D00266"/>
    <w:rsid w:val="52D14956"/>
    <w:rsid w:val="52DB734D"/>
    <w:rsid w:val="52DC6BD6"/>
    <w:rsid w:val="52DD0317"/>
    <w:rsid w:val="52DD4E28"/>
    <w:rsid w:val="52E066C6"/>
    <w:rsid w:val="52E327E6"/>
    <w:rsid w:val="52E87329"/>
    <w:rsid w:val="52EB05A3"/>
    <w:rsid w:val="52EB6DCF"/>
    <w:rsid w:val="52EC1EBC"/>
    <w:rsid w:val="52EC506B"/>
    <w:rsid w:val="52EF4B5B"/>
    <w:rsid w:val="52F02F37"/>
    <w:rsid w:val="52F10ABB"/>
    <w:rsid w:val="52F25F10"/>
    <w:rsid w:val="52F62975"/>
    <w:rsid w:val="52F7111C"/>
    <w:rsid w:val="52F8718C"/>
    <w:rsid w:val="52FA2778"/>
    <w:rsid w:val="53002566"/>
    <w:rsid w:val="53011CB7"/>
    <w:rsid w:val="53016EFE"/>
    <w:rsid w:val="53033215"/>
    <w:rsid w:val="53034162"/>
    <w:rsid w:val="53042637"/>
    <w:rsid w:val="5305283D"/>
    <w:rsid w:val="530E2C43"/>
    <w:rsid w:val="530F2B07"/>
    <w:rsid w:val="530F6FAB"/>
    <w:rsid w:val="53104C8E"/>
    <w:rsid w:val="531503B6"/>
    <w:rsid w:val="53153F02"/>
    <w:rsid w:val="531620E8"/>
    <w:rsid w:val="53165C44"/>
    <w:rsid w:val="53221EAE"/>
    <w:rsid w:val="5322283B"/>
    <w:rsid w:val="532760A3"/>
    <w:rsid w:val="532C190B"/>
    <w:rsid w:val="532E7431"/>
    <w:rsid w:val="53302D94"/>
    <w:rsid w:val="53323C10"/>
    <w:rsid w:val="53350184"/>
    <w:rsid w:val="53350B20"/>
    <w:rsid w:val="53371FF4"/>
    <w:rsid w:val="533962C1"/>
    <w:rsid w:val="534053B7"/>
    <w:rsid w:val="53412AA8"/>
    <w:rsid w:val="5345477B"/>
    <w:rsid w:val="534A1DA6"/>
    <w:rsid w:val="534E1C07"/>
    <w:rsid w:val="535006AC"/>
    <w:rsid w:val="5352438E"/>
    <w:rsid w:val="535301E2"/>
    <w:rsid w:val="53542C10"/>
    <w:rsid w:val="5358625C"/>
    <w:rsid w:val="5359222A"/>
    <w:rsid w:val="535A033D"/>
    <w:rsid w:val="535A732F"/>
    <w:rsid w:val="535E37E2"/>
    <w:rsid w:val="53657DAA"/>
    <w:rsid w:val="53666270"/>
    <w:rsid w:val="536966BB"/>
    <w:rsid w:val="536A5207"/>
    <w:rsid w:val="536A66F2"/>
    <w:rsid w:val="536F1F5F"/>
    <w:rsid w:val="537105B7"/>
    <w:rsid w:val="53734A39"/>
    <w:rsid w:val="53746290"/>
    <w:rsid w:val="53766912"/>
    <w:rsid w:val="538C27DE"/>
    <w:rsid w:val="53912A45"/>
    <w:rsid w:val="53937294"/>
    <w:rsid w:val="5395352A"/>
    <w:rsid w:val="539574B0"/>
    <w:rsid w:val="5396496F"/>
    <w:rsid w:val="539900FE"/>
    <w:rsid w:val="539D3210"/>
    <w:rsid w:val="539D6365"/>
    <w:rsid w:val="539F20DD"/>
    <w:rsid w:val="53A53C8D"/>
    <w:rsid w:val="53A83005"/>
    <w:rsid w:val="53A92035"/>
    <w:rsid w:val="53B11E10"/>
    <w:rsid w:val="53B13BBE"/>
    <w:rsid w:val="53B4545D"/>
    <w:rsid w:val="53B45A12"/>
    <w:rsid w:val="53B62CE0"/>
    <w:rsid w:val="53B71A4E"/>
    <w:rsid w:val="53BA0CC5"/>
    <w:rsid w:val="53BB21E3"/>
    <w:rsid w:val="53BB68A5"/>
    <w:rsid w:val="53BD6A07"/>
    <w:rsid w:val="53C24CC5"/>
    <w:rsid w:val="53C70FB9"/>
    <w:rsid w:val="53C90F08"/>
    <w:rsid w:val="53C966E2"/>
    <w:rsid w:val="53CE7C90"/>
    <w:rsid w:val="53CF3920"/>
    <w:rsid w:val="53D004E8"/>
    <w:rsid w:val="53D0195C"/>
    <w:rsid w:val="53D31D87"/>
    <w:rsid w:val="53D91F99"/>
    <w:rsid w:val="53DD3F67"/>
    <w:rsid w:val="53DE6642"/>
    <w:rsid w:val="53DF2BC1"/>
    <w:rsid w:val="53E36393"/>
    <w:rsid w:val="53E421E6"/>
    <w:rsid w:val="53E43F94"/>
    <w:rsid w:val="53E61CC8"/>
    <w:rsid w:val="53E67D0C"/>
    <w:rsid w:val="53E8146A"/>
    <w:rsid w:val="53EA665B"/>
    <w:rsid w:val="53ED0E1F"/>
    <w:rsid w:val="53EE096F"/>
    <w:rsid w:val="53EF7D0D"/>
    <w:rsid w:val="53F109E6"/>
    <w:rsid w:val="53F71F19"/>
    <w:rsid w:val="53FF11CF"/>
    <w:rsid w:val="540006A2"/>
    <w:rsid w:val="540013E2"/>
    <w:rsid w:val="5401519A"/>
    <w:rsid w:val="540208BE"/>
    <w:rsid w:val="54074801"/>
    <w:rsid w:val="540852E9"/>
    <w:rsid w:val="540939FA"/>
    <w:rsid w:val="54094D97"/>
    <w:rsid w:val="540E3B7C"/>
    <w:rsid w:val="54106B37"/>
    <w:rsid w:val="54155558"/>
    <w:rsid w:val="54181E8F"/>
    <w:rsid w:val="54187D2B"/>
    <w:rsid w:val="541A5C08"/>
    <w:rsid w:val="541A6387"/>
    <w:rsid w:val="54210D44"/>
    <w:rsid w:val="54227B92"/>
    <w:rsid w:val="542645AC"/>
    <w:rsid w:val="542A32E8"/>
    <w:rsid w:val="542B1BC3"/>
    <w:rsid w:val="54307C7C"/>
    <w:rsid w:val="543167E2"/>
    <w:rsid w:val="5432400B"/>
    <w:rsid w:val="54332825"/>
    <w:rsid w:val="54351FE7"/>
    <w:rsid w:val="54372316"/>
    <w:rsid w:val="543B3551"/>
    <w:rsid w:val="5442084A"/>
    <w:rsid w:val="5442790A"/>
    <w:rsid w:val="54436F0C"/>
    <w:rsid w:val="544539D9"/>
    <w:rsid w:val="54457B2B"/>
    <w:rsid w:val="54462559"/>
    <w:rsid w:val="54484523"/>
    <w:rsid w:val="54493DF7"/>
    <w:rsid w:val="544B4013"/>
    <w:rsid w:val="544B5DD7"/>
    <w:rsid w:val="544D38E7"/>
    <w:rsid w:val="545033D7"/>
    <w:rsid w:val="54532EC8"/>
    <w:rsid w:val="54534C76"/>
    <w:rsid w:val="54551323"/>
    <w:rsid w:val="54602B84"/>
    <w:rsid w:val="546142C1"/>
    <w:rsid w:val="54646B02"/>
    <w:rsid w:val="54680721"/>
    <w:rsid w:val="546936BD"/>
    <w:rsid w:val="546D3291"/>
    <w:rsid w:val="546D471F"/>
    <w:rsid w:val="546F313A"/>
    <w:rsid w:val="54701BB9"/>
    <w:rsid w:val="54703A7A"/>
    <w:rsid w:val="54714509"/>
    <w:rsid w:val="5473137D"/>
    <w:rsid w:val="54752E3E"/>
    <w:rsid w:val="547A0454"/>
    <w:rsid w:val="547E068A"/>
    <w:rsid w:val="54806B30"/>
    <w:rsid w:val="548478D2"/>
    <w:rsid w:val="548F2152"/>
    <w:rsid w:val="5490036B"/>
    <w:rsid w:val="54920146"/>
    <w:rsid w:val="549A28A4"/>
    <w:rsid w:val="549C661D"/>
    <w:rsid w:val="549E4B44"/>
    <w:rsid w:val="54A133DF"/>
    <w:rsid w:val="54A5508B"/>
    <w:rsid w:val="54A603FE"/>
    <w:rsid w:val="54AB273B"/>
    <w:rsid w:val="54AC4E44"/>
    <w:rsid w:val="54B05583"/>
    <w:rsid w:val="54BB1333"/>
    <w:rsid w:val="54BD2B54"/>
    <w:rsid w:val="54BD6EBD"/>
    <w:rsid w:val="54C6369A"/>
    <w:rsid w:val="54CE6B73"/>
    <w:rsid w:val="54CF69F2"/>
    <w:rsid w:val="54D1276A"/>
    <w:rsid w:val="54D20290"/>
    <w:rsid w:val="54D30C01"/>
    <w:rsid w:val="54DA7145"/>
    <w:rsid w:val="54DD1025"/>
    <w:rsid w:val="54DD70B9"/>
    <w:rsid w:val="54E060E1"/>
    <w:rsid w:val="54E345A3"/>
    <w:rsid w:val="54E405A7"/>
    <w:rsid w:val="54E44363"/>
    <w:rsid w:val="54EB2C91"/>
    <w:rsid w:val="54F22E89"/>
    <w:rsid w:val="54F75836"/>
    <w:rsid w:val="55012924"/>
    <w:rsid w:val="550541C2"/>
    <w:rsid w:val="55061CE8"/>
    <w:rsid w:val="55105E37"/>
    <w:rsid w:val="551843F0"/>
    <w:rsid w:val="551C7092"/>
    <w:rsid w:val="551F124E"/>
    <w:rsid w:val="5520724E"/>
    <w:rsid w:val="552264E9"/>
    <w:rsid w:val="5524472E"/>
    <w:rsid w:val="55245745"/>
    <w:rsid w:val="55254864"/>
    <w:rsid w:val="552A59D6"/>
    <w:rsid w:val="552E6428"/>
    <w:rsid w:val="552F56E3"/>
    <w:rsid w:val="55306D65"/>
    <w:rsid w:val="553222EA"/>
    <w:rsid w:val="554246BD"/>
    <w:rsid w:val="55490A57"/>
    <w:rsid w:val="554A1B2A"/>
    <w:rsid w:val="554A79C4"/>
    <w:rsid w:val="554C67B1"/>
    <w:rsid w:val="554F368F"/>
    <w:rsid w:val="55542D5A"/>
    <w:rsid w:val="555667CB"/>
    <w:rsid w:val="55567947"/>
    <w:rsid w:val="55592260"/>
    <w:rsid w:val="555B0C27"/>
    <w:rsid w:val="555E38D2"/>
    <w:rsid w:val="555F6C5D"/>
    <w:rsid w:val="55674F5D"/>
    <w:rsid w:val="556752C9"/>
    <w:rsid w:val="556A46C4"/>
    <w:rsid w:val="556A671B"/>
    <w:rsid w:val="556F5ADF"/>
    <w:rsid w:val="556F6702"/>
    <w:rsid w:val="557650C0"/>
    <w:rsid w:val="557832DE"/>
    <w:rsid w:val="558110FD"/>
    <w:rsid w:val="5588281F"/>
    <w:rsid w:val="5589186B"/>
    <w:rsid w:val="558C0CBD"/>
    <w:rsid w:val="558F590F"/>
    <w:rsid w:val="558F7F2F"/>
    <w:rsid w:val="559521EB"/>
    <w:rsid w:val="559A21BE"/>
    <w:rsid w:val="559B0682"/>
    <w:rsid w:val="559D2D36"/>
    <w:rsid w:val="55A559A5"/>
    <w:rsid w:val="55A75279"/>
    <w:rsid w:val="55A83C05"/>
    <w:rsid w:val="55AA1204"/>
    <w:rsid w:val="55AA5D17"/>
    <w:rsid w:val="55AA648C"/>
    <w:rsid w:val="55AC07D6"/>
    <w:rsid w:val="55B00076"/>
    <w:rsid w:val="55B00803"/>
    <w:rsid w:val="55B17D6A"/>
    <w:rsid w:val="55B300C2"/>
    <w:rsid w:val="55B35A20"/>
    <w:rsid w:val="55B575E1"/>
    <w:rsid w:val="55B654BC"/>
    <w:rsid w:val="55B94FAC"/>
    <w:rsid w:val="55BE547F"/>
    <w:rsid w:val="55BF5F9F"/>
    <w:rsid w:val="55C01586"/>
    <w:rsid w:val="55C45E2B"/>
    <w:rsid w:val="55CD51E6"/>
    <w:rsid w:val="55CD79BC"/>
    <w:rsid w:val="55D122F6"/>
    <w:rsid w:val="55D51BD5"/>
    <w:rsid w:val="55D6790C"/>
    <w:rsid w:val="55D777B1"/>
    <w:rsid w:val="55D87B28"/>
    <w:rsid w:val="55DF4A13"/>
    <w:rsid w:val="55DF5E4B"/>
    <w:rsid w:val="55E069DD"/>
    <w:rsid w:val="55E5103B"/>
    <w:rsid w:val="55EC3400"/>
    <w:rsid w:val="55F340CF"/>
    <w:rsid w:val="55FD5B5D"/>
    <w:rsid w:val="55FE0D58"/>
    <w:rsid w:val="55FF3307"/>
    <w:rsid w:val="56007482"/>
    <w:rsid w:val="56047862"/>
    <w:rsid w:val="560501F2"/>
    <w:rsid w:val="560846FE"/>
    <w:rsid w:val="56097CE2"/>
    <w:rsid w:val="560A5808"/>
    <w:rsid w:val="560E7AEF"/>
    <w:rsid w:val="561103F0"/>
    <w:rsid w:val="561214D3"/>
    <w:rsid w:val="5612303A"/>
    <w:rsid w:val="56170651"/>
    <w:rsid w:val="56177A73"/>
    <w:rsid w:val="56180500"/>
    <w:rsid w:val="56197C8A"/>
    <w:rsid w:val="561C5C67"/>
    <w:rsid w:val="56206DD9"/>
    <w:rsid w:val="56210514"/>
    <w:rsid w:val="5622341A"/>
    <w:rsid w:val="56245A95"/>
    <w:rsid w:val="56281724"/>
    <w:rsid w:val="562B5DA5"/>
    <w:rsid w:val="562E06B0"/>
    <w:rsid w:val="56300645"/>
    <w:rsid w:val="5633442F"/>
    <w:rsid w:val="56343C81"/>
    <w:rsid w:val="56352885"/>
    <w:rsid w:val="56353ACA"/>
    <w:rsid w:val="5637484F"/>
    <w:rsid w:val="56386553"/>
    <w:rsid w:val="563B5240"/>
    <w:rsid w:val="56431446"/>
    <w:rsid w:val="56464A92"/>
    <w:rsid w:val="564E70AE"/>
    <w:rsid w:val="564F5FD0"/>
    <w:rsid w:val="56501F08"/>
    <w:rsid w:val="56505911"/>
    <w:rsid w:val="56513437"/>
    <w:rsid w:val="56520CEE"/>
    <w:rsid w:val="56550709"/>
    <w:rsid w:val="565508D7"/>
    <w:rsid w:val="5658219A"/>
    <w:rsid w:val="565A61F6"/>
    <w:rsid w:val="565F2458"/>
    <w:rsid w:val="566732D8"/>
    <w:rsid w:val="566C74E0"/>
    <w:rsid w:val="566D6A2E"/>
    <w:rsid w:val="566F703B"/>
    <w:rsid w:val="56715F36"/>
    <w:rsid w:val="56737851"/>
    <w:rsid w:val="567569FC"/>
    <w:rsid w:val="56764586"/>
    <w:rsid w:val="567A55CC"/>
    <w:rsid w:val="567A5B9E"/>
    <w:rsid w:val="567B4032"/>
    <w:rsid w:val="567C1BC5"/>
    <w:rsid w:val="567E247E"/>
    <w:rsid w:val="56815ACA"/>
    <w:rsid w:val="56852B93"/>
    <w:rsid w:val="5689073D"/>
    <w:rsid w:val="56933A4F"/>
    <w:rsid w:val="569752EE"/>
    <w:rsid w:val="56981B5C"/>
    <w:rsid w:val="56982BBC"/>
    <w:rsid w:val="569C50E1"/>
    <w:rsid w:val="569C7E2B"/>
    <w:rsid w:val="569D0BD0"/>
    <w:rsid w:val="569D15C8"/>
    <w:rsid w:val="569F41A2"/>
    <w:rsid w:val="56AD03B8"/>
    <w:rsid w:val="56B063AF"/>
    <w:rsid w:val="56B46EF1"/>
    <w:rsid w:val="56B658D6"/>
    <w:rsid w:val="56B67D43"/>
    <w:rsid w:val="56B761F2"/>
    <w:rsid w:val="56B83613"/>
    <w:rsid w:val="56B954DB"/>
    <w:rsid w:val="56BA6455"/>
    <w:rsid w:val="56BC69FC"/>
    <w:rsid w:val="56C0665E"/>
    <w:rsid w:val="56C60F2C"/>
    <w:rsid w:val="56C70AEA"/>
    <w:rsid w:val="56D074D0"/>
    <w:rsid w:val="56D5388A"/>
    <w:rsid w:val="56D57BC4"/>
    <w:rsid w:val="56D65328"/>
    <w:rsid w:val="56D71B8E"/>
    <w:rsid w:val="56DA0598"/>
    <w:rsid w:val="56E0460C"/>
    <w:rsid w:val="56E10C5F"/>
    <w:rsid w:val="56E209C5"/>
    <w:rsid w:val="56E30533"/>
    <w:rsid w:val="56E41A02"/>
    <w:rsid w:val="56E67CD8"/>
    <w:rsid w:val="56E73333"/>
    <w:rsid w:val="56E9366F"/>
    <w:rsid w:val="56EB5639"/>
    <w:rsid w:val="56EC290E"/>
    <w:rsid w:val="56ED315F"/>
    <w:rsid w:val="56F101F8"/>
    <w:rsid w:val="56FB211B"/>
    <w:rsid w:val="56FC15F5"/>
    <w:rsid w:val="56FF52A9"/>
    <w:rsid w:val="56FF7D3B"/>
    <w:rsid w:val="570263F2"/>
    <w:rsid w:val="570566FB"/>
    <w:rsid w:val="570D66D5"/>
    <w:rsid w:val="57110E64"/>
    <w:rsid w:val="571213B7"/>
    <w:rsid w:val="57140C60"/>
    <w:rsid w:val="57143628"/>
    <w:rsid w:val="57147BD0"/>
    <w:rsid w:val="5717642E"/>
    <w:rsid w:val="57244D8D"/>
    <w:rsid w:val="572528F9"/>
    <w:rsid w:val="57266671"/>
    <w:rsid w:val="572767A5"/>
    <w:rsid w:val="57290510"/>
    <w:rsid w:val="572A46D5"/>
    <w:rsid w:val="572A6162"/>
    <w:rsid w:val="572E39BC"/>
    <w:rsid w:val="5730129E"/>
    <w:rsid w:val="57342B3C"/>
    <w:rsid w:val="57346134"/>
    <w:rsid w:val="573945F7"/>
    <w:rsid w:val="573B70BF"/>
    <w:rsid w:val="573C7C43"/>
    <w:rsid w:val="573E1E8B"/>
    <w:rsid w:val="57430FD1"/>
    <w:rsid w:val="57492578"/>
    <w:rsid w:val="574A2360"/>
    <w:rsid w:val="574F393D"/>
    <w:rsid w:val="57536BCB"/>
    <w:rsid w:val="575427DA"/>
    <w:rsid w:val="57544F8D"/>
    <w:rsid w:val="5754703C"/>
    <w:rsid w:val="575A0E47"/>
    <w:rsid w:val="575C534A"/>
    <w:rsid w:val="575E405D"/>
    <w:rsid w:val="575E5E0B"/>
    <w:rsid w:val="575F5933"/>
    <w:rsid w:val="576158FB"/>
    <w:rsid w:val="5765011C"/>
    <w:rsid w:val="57680A38"/>
    <w:rsid w:val="57681493"/>
    <w:rsid w:val="57690712"/>
    <w:rsid w:val="576A4FA1"/>
    <w:rsid w:val="57730DCF"/>
    <w:rsid w:val="5774562F"/>
    <w:rsid w:val="57765CE5"/>
    <w:rsid w:val="57770EF3"/>
    <w:rsid w:val="577C2659"/>
    <w:rsid w:val="577D2735"/>
    <w:rsid w:val="57836371"/>
    <w:rsid w:val="57855A1D"/>
    <w:rsid w:val="57882BDF"/>
    <w:rsid w:val="57882E88"/>
    <w:rsid w:val="578D2D08"/>
    <w:rsid w:val="57907A5F"/>
    <w:rsid w:val="579100D4"/>
    <w:rsid w:val="57961A49"/>
    <w:rsid w:val="57992783"/>
    <w:rsid w:val="579C07E7"/>
    <w:rsid w:val="579D068E"/>
    <w:rsid w:val="57A27ED1"/>
    <w:rsid w:val="57A31A70"/>
    <w:rsid w:val="57A324C7"/>
    <w:rsid w:val="57AE1DAB"/>
    <w:rsid w:val="57B10631"/>
    <w:rsid w:val="57B911BF"/>
    <w:rsid w:val="57C040B5"/>
    <w:rsid w:val="57C07572"/>
    <w:rsid w:val="57C33EC0"/>
    <w:rsid w:val="57C70F46"/>
    <w:rsid w:val="57D6408A"/>
    <w:rsid w:val="57D6726A"/>
    <w:rsid w:val="57D8796C"/>
    <w:rsid w:val="57D904B8"/>
    <w:rsid w:val="57DB745C"/>
    <w:rsid w:val="57DC14EE"/>
    <w:rsid w:val="57DD3FCD"/>
    <w:rsid w:val="57DD6CC5"/>
    <w:rsid w:val="57E30C41"/>
    <w:rsid w:val="57E36310"/>
    <w:rsid w:val="57E83927"/>
    <w:rsid w:val="57E96DB4"/>
    <w:rsid w:val="57EA3D0E"/>
    <w:rsid w:val="57EB6E8C"/>
    <w:rsid w:val="57ED0501"/>
    <w:rsid w:val="57ED673E"/>
    <w:rsid w:val="58003366"/>
    <w:rsid w:val="5805272B"/>
    <w:rsid w:val="58056CEC"/>
    <w:rsid w:val="58066460"/>
    <w:rsid w:val="581A4428"/>
    <w:rsid w:val="581F37ED"/>
    <w:rsid w:val="58224012"/>
    <w:rsid w:val="58230012"/>
    <w:rsid w:val="582334D9"/>
    <w:rsid w:val="5824731E"/>
    <w:rsid w:val="58283FD4"/>
    <w:rsid w:val="582C5F09"/>
    <w:rsid w:val="582D57FB"/>
    <w:rsid w:val="583121C8"/>
    <w:rsid w:val="58317A1C"/>
    <w:rsid w:val="583D0117"/>
    <w:rsid w:val="583F3E8F"/>
    <w:rsid w:val="58403487"/>
    <w:rsid w:val="58405F36"/>
    <w:rsid w:val="5840624E"/>
    <w:rsid w:val="58472D43"/>
    <w:rsid w:val="58483A19"/>
    <w:rsid w:val="584B45E2"/>
    <w:rsid w:val="584E53EE"/>
    <w:rsid w:val="58507E4A"/>
    <w:rsid w:val="58563648"/>
    <w:rsid w:val="58584F50"/>
    <w:rsid w:val="585D60C3"/>
    <w:rsid w:val="585F1E3B"/>
    <w:rsid w:val="586438F5"/>
    <w:rsid w:val="58670CF0"/>
    <w:rsid w:val="586819A9"/>
    <w:rsid w:val="58690763"/>
    <w:rsid w:val="58690F0C"/>
    <w:rsid w:val="586C0114"/>
    <w:rsid w:val="586C6A02"/>
    <w:rsid w:val="586E4110"/>
    <w:rsid w:val="58711B6E"/>
    <w:rsid w:val="58737108"/>
    <w:rsid w:val="58737694"/>
    <w:rsid w:val="587873A1"/>
    <w:rsid w:val="587F24DD"/>
    <w:rsid w:val="58853B88"/>
    <w:rsid w:val="5888375B"/>
    <w:rsid w:val="588B0E82"/>
    <w:rsid w:val="588B432B"/>
    <w:rsid w:val="588E44CE"/>
    <w:rsid w:val="58906882"/>
    <w:rsid w:val="58951D01"/>
    <w:rsid w:val="5897420A"/>
    <w:rsid w:val="58975E80"/>
    <w:rsid w:val="589A10C5"/>
    <w:rsid w:val="589E6E07"/>
    <w:rsid w:val="58A65CBC"/>
    <w:rsid w:val="58A774A4"/>
    <w:rsid w:val="58A90614"/>
    <w:rsid w:val="58A957AC"/>
    <w:rsid w:val="58AB0126"/>
    <w:rsid w:val="58AB32D2"/>
    <w:rsid w:val="58AC2BA6"/>
    <w:rsid w:val="58AD704A"/>
    <w:rsid w:val="58AE1811"/>
    <w:rsid w:val="58B02697"/>
    <w:rsid w:val="58B41ED8"/>
    <w:rsid w:val="58BA08D1"/>
    <w:rsid w:val="58BB62F1"/>
    <w:rsid w:val="58BB7DD1"/>
    <w:rsid w:val="58BC5F5D"/>
    <w:rsid w:val="58BD6B62"/>
    <w:rsid w:val="58BE3005"/>
    <w:rsid w:val="58C15B38"/>
    <w:rsid w:val="58C3686E"/>
    <w:rsid w:val="58C83DC2"/>
    <w:rsid w:val="58CC01A0"/>
    <w:rsid w:val="58CD149A"/>
    <w:rsid w:val="58D04AE7"/>
    <w:rsid w:val="58D173B3"/>
    <w:rsid w:val="58D17D99"/>
    <w:rsid w:val="58D272B4"/>
    <w:rsid w:val="58D5034F"/>
    <w:rsid w:val="58D77C23"/>
    <w:rsid w:val="58D87C50"/>
    <w:rsid w:val="58D933F7"/>
    <w:rsid w:val="58DD002C"/>
    <w:rsid w:val="58E027F4"/>
    <w:rsid w:val="58E14B93"/>
    <w:rsid w:val="58E40FB6"/>
    <w:rsid w:val="58E56C6E"/>
    <w:rsid w:val="58E80065"/>
    <w:rsid w:val="58E97957"/>
    <w:rsid w:val="58EF09DC"/>
    <w:rsid w:val="58EF7663"/>
    <w:rsid w:val="58F5279F"/>
    <w:rsid w:val="58F71DC4"/>
    <w:rsid w:val="58F84874"/>
    <w:rsid w:val="58F8755B"/>
    <w:rsid w:val="58FA064D"/>
    <w:rsid w:val="58FA1631"/>
    <w:rsid w:val="58FA6FCD"/>
    <w:rsid w:val="59000035"/>
    <w:rsid w:val="59034EBC"/>
    <w:rsid w:val="59050C34"/>
    <w:rsid w:val="59084E06"/>
    <w:rsid w:val="590A1327"/>
    <w:rsid w:val="590A3913"/>
    <w:rsid w:val="591A2165"/>
    <w:rsid w:val="591A30D5"/>
    <w:rsid w:val="591B72E1"/>
    <w:rsid w:val="59205A6E"/>
    <w:rsid w:val="592079E1"/>
    <w:rsid w:val="592631B0"/>
    <w:rsid w:val="59284E5E"/>
    <w:rsid w:val="5928537F"/>
    <w:rsid w:val="592A2449"/>
    <w:rsid w:val="592D4751"/>
    <w:rsid w:val="593015B5"/>
    <w:rsid w:val="59350695"/>
    <w:rsid w:val="593C3FAB"/>
    <w:rsid w:val="593C66C9"/>
    <w:rsid w:val="59410AB2"/>
    <w:rsid w:val="59411541"/>
    <w:rsid w:val="594219F2"/>
    <w:rsid w:val="59434EA7"/>
    <w:rsid w:val="594524EF"/>
    <w:rsid w:val="594B23BF"/>
    <w:rsid w:val="5950629D"/>
    <w:rsid w:val="595353A2"/>
    <w:rsid w:val="59605E6B"/>
    <w:rsid w:val="596110D2"/>
    <w:rsid w:val="59626547"/>
    <w:rsid w:val="596820CB"/>
    <w:rsid w:val="596A4F3B"/>
    <w:rsid w:val="596D0588"/>
    <w:rsid w:val="597436C4"/>
    <w:rsid w:val="5976568E"/>
    <w:rsid w:val="59786D44"/>
    <w:rsid w:val="597933D0"/>
    <w:rsid w:val="59793CD8"/>
    <w:rsid w:val="597D289B"/>
    <w:rsid w:val="597D6155"/>
    <w:rsid w:val="598002BB"/>
    <w:rsid w:val="59835FFD"/>
    <w:rsid w:val="59841054"/>
    <w:rsid w:val="59904470"/>
    <w:rsid w:val="59926ACA"/>
    <w:rsid w:val="59927FEE"/>
    <w:rsid w:val="59994862"/>
    <w:rsid w:val="599D527F"/>
    <w:rsid w:val="59A9274F"/>
    <w:rsid w:val="59AD307A"/>
    <w:rsid w:val="59B12B6A"/>
    <w:rsid w:val="59B14C0B"/>
    <w:rsid w:val="59B276DF"/>
    <w:rsid w:val="59B85CA7"/>
    <w:rsid w:val="59B91A1F"/>
    <w:rsid w:val="59B9487E"/>
    <w:rsid w:val="59BF6235"/>
    <w:rsid w:val="59C35F38"/>
    <w:rsid w:val="59C60694"/>
    <w:rsid w:val="59C6661A"/>
    <w:rsid w:val="59C77C52"/>
    <w:rsid w:val="59CA0875"/>
    <w:rsid w:val="59CA3C2C"/>
    <w:rsid w:val="59CA7788"/>
    <w:rsid w:val="59CA7A9F"/>
    <w:rsid w:val="59D036C7"/>
    <w:rsid w:val="59D14FBA"/>
    <w:rsid w:val="59D625D1"/>
    <w:rsid w:val="59DA7501"/>
    <w:rsid w:val="59E07D10"/>
    <w:rsid w:val="59E24AD2"/>
    <w:rsid w:val="59E64151"/>
    <w:rsid w:val="59E83A86"/>
    <w:rsid w:val="59EC2CC2"/>
    <w:rsid w:val="59EC5950"/>
    <w:rsid w:val="59ED1EFE"/>
    <w:rsid w:val="59ED53AC"/>
    <w:rsid w:val="59F018FA"/>
    <w:rsid w:val="59F06BA2"/>
    <w:rsid w:val="59F52BC6"/>
    <w:rsid w:val="59F81164"/>
    <w:rsid w:val="59F9006D"/>
    <w:rsid w:val="59FD190B"/>
    <w:rsid w:val="59FD5DAF"/>
    <w:rsid w:val="5A0452DA"/>
    <w:rsid w:val="5A056A12"/>
    <w:rsid w:val="5A06469B"/>
    <w:rsid w:val="5A0C1B4F"/>
    <w:rsid w:val="5A0C6277"/>
    <w:rsid w:val="5A0F601A"/>
    <w:rsid w:val="5A112329"/>
    <w:rsid w:val="5A1709E0"/>
    <w:rsid w:val="5A1B7FE4"/>
    <w:rsid w:val="5A1F4951"/>
    <w:rsid w:val="5A1F7AD4"/>
    <w:rsid w:val="5A224567"/>
    <w:rsid w:val="5A225F8E"/>
    <w:rsid w:val="5A262819"/>
    <w:rsid w:val="5A276988"/>
    <w:rsid w:val="5A290952"/>
    <w:rsid w:val="5A2A6008"/>
    <w:rsid w:val="5A2B1553"/>
    <w:rsid w:val="5A2C3F9F"/>
    <w:rsid w:val="5A3317D1"/>
    <w:rsid w:val="5A380165"/>
    <w:rsid w:val="5A390967"/>
    <w:rsid w:val="5A3D2137"/>
    <w:rsid w:val="5A3D6ADB"/>
    <w:rsid w:val="5A405C9C"/>
    <w:rsid w:val="5A407DCA"/>
    <w:rsid w:val="5A4617C5"/>
    <w:rsid w:val="5A494B51"/>
    <w:rsid w:val="5A4C2E1A"/>
    <w:rsid w:val="5A4C769B"/>
    <w:rsid w:val="5A513A05"/>
    <w:rsid w:val="5A533C21"/>
    <w:rsid w:val="5A5359CF"/>
    <w:rsid w:val="5A557999"/>
    <w:rsid w:val="5A5A5442"/>
    <w:rsid w:val="5A5C0D28"/>
    <w:rsid w:val="5A5D23AA"/>
    <w:rsid w:val="5A5D3C88"/>
    <w:rsid w:val="5A5F5B62"/>
    <w:rsid w:val="5A6000EC"/>
    <w:rsid w:val="5A613A17"/>
    <w:rsid w:val="5A62538E"/>
    <w:rsid w:val="5A6279C1"/>
    <w:rsid w:val="5A66396C"/>
    <w:rsid w:val="5A671BA1"/>
    <w:rsid w:val="5A6C1ABB"/>
    <w:rsid w:val="5A7871E4"/>
    <w:rsid w:val="5A7D6AF7"/>
    <w:rsid w:val="5A7E55CE"/>
    <w:rsid w:val="5A855680"/>
    <w:rsid w:val="5A857B52"/>
    <w:rsid w:val="5A8D78D3"/>
    <w:rsid w:val="5A902780"/>
    <w:rsid w:val="5A9541F9"/>
    <w:rsid w:val="5A98455A"/>
    <w:rsid w:val="5A9B7A7C"/>
    <w:rsid w:val="5A9C7376"/>
    <w:rsid w:val="5AA03537"/>
    <w:rsid w:val="5AA0484E"/>
    <w:rsid w:val="5AA224B3"/>
    <w:rsid w:val="5AA31307"/>
    <w:rsid w:val="5AA35262"/>
    <w:rsid w:val="5AA761C6"/>
    <w:rsid w:val="5AAC584A"/>
    <w:rsid w:val="5AAE70AA"/>
    <w:rsid w:val="5AB50438"/>
    <w:rsid w:val="5ABA5A4E"/>
    <w:rsid w:val="5ABA664C"/>
    <w:rsid w:val="5ABE78FA"/>
    <w:rsid w:val="5ABF6B4D"/>
    <w:rsid w:val="5AC06260"/>
    <w:rsid w:val="5AC468CD"/>
    <w:rsid w:val="5AD14B46"/>
    <w:rsid w:val="5AD308BE"/>
    <w:rsid w:val="5AD46E31"/>
    <w:rsid w:val="5AD563E4"/>
    <w:rsid w:val="5AD92379"/>
    <w:rsid w:val="5ADD53B6"/>
    <w:rsid w:val="5ADD5C49"/>
    <w:rsid w:val="5AE42CE5"/>
    <w:rsid w:val="5AEB1FCA"/>
    <w:rsid w:val="5AEB3B2C"/>
    <w:rsid w:val="5AEB5C08"/>
    <w:rsid w:val="5AEC4DDF"/>
    <w:rsid w:val="5AEF4B04"/>
    <w:rsid w:val="5AF0321E"/>
    <w:rsid w:val="5AF12E27"/>
    <w:rsid w:val="5AF716B9"/>
    <w:rsid w:val="5AF84F2F"/>
    <w:rsid w:val="5AF96577"/>
    <w:rsid w:val="5AFD6F18"/>
    <w:rsid w:val="5AFE77AE"/>
    <w:rsid w:val="5AFF5077"/>
    <w:rsid w:val="5B0138B4"/>
    <w:rsid w:val="5B072BC8"/>
    <w:rsid w:val="5B0B62AA"/>
    <w:rsid w:val="5B0F0782"/>
    <w:rsid w:val="5B101B12"/>
    <w:rsid w:val="5B1533D9"/>
    <w:rsid w:val="5B172EA1"/>
    <w:rsid w:val="5B17428E"/>
    <w:rsid w:val="5B1B1D7B"/>
    <w:rsid w:val="5B1D7E6C"/>
    <w:rsid w:val="5B1F6FB6"/>
    <w:rsid w:val="5B207260"/>
    <w:rsid w:val="5B227E5D"/>
    <w:rsid w:val="5B256C20"/>
    <w:rsid w:val="5B266029"/>
    <w:rsid w:val="5B270600"/>
    <w:rsid w:val="5B2939FE"/>
    <w:rsid w:val="5B296730"/>
    <w:rsid w:val="5B2D4472"/>
    <w:rsid w:val="5B303F63"/>
    <w:rsid w:val="5B394BC5"/>
    <w:rsid w:val="5B3D6083"/>
    <w:rsid w:val="5B3E18A3"/>
    <w:rsid w:val="5B4044D2"/>
    <w:rsid w:val="5B404EA8"/>
    <w:rsid w:val="5B41523D"/>
    <w:rsid w:val="5B445318"/>
    <w:rsid w:val="5B5003F0"/>
    <w:rsid w:val="5B514B68"/>
    <w:rsid w:val="5B5437AD"/>
    <w:rsid w:val="5B550097"/>
    <w:rsid w:val="5B5600DB"/>
    <w:rsid w:val="5B5714EF"/>
    <w:rsid w:val="5B587146"/>
    <w:rsid w:val="5B5A324E"/>
    <w:rsid w:val="5B5A3260"/>
    <w:rsid w:val="5B636FA8"/>
    <w:rsid w:val="5B6A7475"/>
    <w:rsid w:val="5B6B1FAD"/>
    <w:rsid w:val="5B6C3DB3"/>
    <w:rsid w:val="5B6D486F"/>
    <w:rsid w:val="5B7023A9"/>
    <w:rsid w:val="5B7704AC"/>
    <w:rsid w:val="5B772C94"/>
    <w:rsid w:val="5B77749C"/>
    <w:rsid w:val="5B7867D7"/>
    <w:rsid w:val="5B7D3AD4"/>
    <w:rsid w:val="5B7E6A7C"/>
    <w:rsid w:val="5B7F7160"/>
    <w:rsid w:val="5B800A46"/>
    <w:rsid w:val="5B8370BF"/>
    <w:rsid w:val="5B8B6988"/>
    <w:rsid w:val="5B8F47E5"/>
    <w:rsid w:val="5B9046FD"/>
    <w:rsid w:val="5BA13FF8"/>
    <w:rsid w:val="5BA56998"/>
    <w:rsid w:val="5BA77686"/>
    <w:rsid w:val="5BA809EE"/>
    <w:rsid w:val="5BAF30D9"/>
    <w:rsid w:val="5BB2247D"/>
    <w:rsid w:val="5BBB4FCE"/>
    <w:rsid w:val="5BBE0308"/>
    <w:rsid w:val="5BC416A9"/>
    <w:rsid w:val="5BC528FD"/>
    <w:rsid w:val="5BC546AB"/>
    <w:rsid w:val="5BC76675"/>
    <w:rsid w:val="5BC84A7C"/>
    <w:rsid w:val="5BCD17B1"/>
    <w:rsid w:val="5BD17EFA"/>
    <w:rsid w:val="5BD448EE"/>
    <w:rsid w:val="5BDD0AD1"/>
    <w:rsid w:val="5BDD5F65"/>
    <w:rsid w:val="5BE33E46"/>
    <w:rsid w:val="5BEC7E8A"/>
    <w:rsid w:val="5BF07D28"/>
    <w:rsid w:val="5BF21CC6"/>
    <w:rsid w:val="5BF255C4"/>
    <w:rsid w:val="5BF70721"/>
    <w:rsid w:val="5BF72FE0"/>
    <w:rsid w:val="5BFC5BF3"/>
    <w:rsid w:val="5C0009AC"/>
    <w:rsid w:val="5C02145B"/>
    <w:rsid w:val="5C04252A"/>
    <w:rsid w:val="5C08561B"/>
    <w:rsid w:val="5C09193A"/>
    <w:rsid w:val="5C0974B1"/>
    <w:rsid w:val="5C0D3F36"/>
    <w:rsid w:val="5C0F3CE3"/>
    <w:rsid w:val="5C11169E"/>
    <w:rsid w:val="5C11535D"/>
    <w:rsid w:val="5C1320FC"/>
    <w:rsid w:val="5C134354"/>
    <w:rsid w:val="5C172F02"/>
    <w:rsid w:val="5C1A7F9B"/>
    <w:rsid w:val="5C1B6DE9"/>
    <w:rsid w:val="5C1E3D97"/>
    <w:rsid w:val="5C1E4AF1"/>
    <w:rsid w:val="5C25643B"/>
    <w:rsid w:val="5C2600A5"/>
    <w:rsid w:val="5C276BA4"/>
    <w:rsid w:val="5C2A6C04"/>
    <w:rsid w:val="5C2F678E"/>
    <w:rsid w:val="5C313AEE"/>
    <w:rsid w:val="5C322BAE"/>
    <w:rsid w:val="5C330AFE"/>
    <w:rsid w:val="5C371D45"/>
    <w:rsid w:val="5C382AFC"/>
    <w:rsid w:val="5C384E7D"/>
    <w:rsid w:val="5C3B671B"/>
    <w:rsid w:val="5C423F4D"/>
    <w:rsid w:val="5C425CFC"/>
    <w:rsid w:val="5C4557EC"/>
    <w:rsid w:val="5C45759A"/>
    <w:rsid w:val="5C4A2E02"/>
    <w:rsid w:val="5C4A3CDA"/>
    <w:rsid w:val="5C4A4BB0"/>
    <w:rsid w:val="5C4A5F64"/>
    <w:rsid w:val="5C4F24DA"/>
    <w:rsid w:val="5C553AD2"/>
    <w:rsid w:val="5C59790E"/>
    <w:rsid w:val="5C5B6DBD"/>
    <w:rsid w:val="5C5D0D87"/>
    <w:rsid w:val="5C642116"/>
    <w:rsid w:val="5C6503EF"/>
    <w:rsid w:val="5C6519EA"/>
    <w:rsid w:val="5C693288"/>
    <w:rsid w:val="5C7259AC"/>
    <w:rsid w:val="5C733341"/>
    <w:rsid w:val="5C7654D3"/>
    <w:rsid w:val="5C777024"/>
    <w:rsid w:val="5C790492"/>
    <w:rsid w:val="5C7A3C61"/>
    <w:rsid w:val="5C7D4F86"/>
    <w:rsid w:val="5C7F353E"/>
    <w:rsid w:val="5C7F4FE8"/>
    <w:rsid w:val="5C817AB3"/>
    <w:rsid w:val="5C82434A"/>
    <w:rsid w:val="5C877453"/>
    <w:rsid w:val="5C8956D8"/>
    <w:rsid w:val="5C913139"/>
    <w:rsid w:val="5C952DE1"/>
    <w:rsid w:val="5C964B20"/>
    <w:rsid w:val="5C98591B"/>
    <w:rsid w:val="5C9E454D"/>
    <w:rsid w:val="5CAD6149"/>
    <w:rsid w:val="5CB0535B"/>
    <w:rsid w:val="5CB169DD"/>
    <w:rsid w:val="5CB42154"/>
    <w:rsid w:val="5CB54D70"/>
    <w:rsid w:val="5CB76176"/>
    <w:rsid w:val="5CB87D6C"/>
    <w:rsid w:val="5CBA7F88"/>
    <w:rsid w:val="5CBD6A4B"/>
    <w:rsid w:val="5CC5548A"/>
    <w:rsid w:val="5CC577A4"/>
    <w:rsid w:val="5CC6692D"/>
    <w:rsid w:val="5CCC13DE"/>
    <w:rsid w:val="5CD04360"/>
    <w:rsid w:val="5CD11697"/>
    <w:rsid w:val="5CD33CCC"/>
    <w:rsid w:val="5CD6633D"/>
    <w:rsid w:val="5CD73C8A"/>
    <w:rsid w:val="5CE13766"/>
    <w:rsid w:val="5CE5125D"/>
    <w:rsid w:val="5CE62B2B"/>
    <w:rsid w:val="5CEB1AB4"/>
    <w:rsid w:val="5CEE378D"/>
    <w:rsid w:val="5CF232C5"/>
    <w:rsid w:val="5CF52D6E"/>
    <w:rsid w:val="5CF70785"/>
    <w:rsid w:val="5CFA65D6"/>
    <w:rsid w:val="5CFB38C2"/>
    <w:rsid w:val="5CFC17AE"/>
    <w:rsid w:val="5CFC19A5"/>
    <w:rsid w:val="5CFC7AD7"/>
    <w:rsid w:val="5CFD46E7"/>
    <w:rsid w:val="5CFE60C6"/>
    <w:rsid w:val="5CFF08C3"/>
    <w:rsid w:val="5CFF599B"/>
    <w:rsid w:val="5CFF7C0E"/>
    <w:rsid w:val="5D003D89"/>
    <w:rsid w:val="5D034069"/>
    <w:rsid w:val="5D060426"/>
    <w:rsid w:val="5D104DA3"/>
    <w:rsid w:val="5D12731D"/>
    <w:rsid w:val="5D1450ED"/>
    <w:rsid w:val="5D18359D"/>
    <w:rsid w:val="5D184CAE"/>
    <w:rsid w:val="5D1965E0"/>
    <w:rsid w:val="5D1A00B4"/>
    <w:rsid w:val="5D1C02FB"/>
    <w:rsid w:val="5D1C654D"/>
    <w:rsid w:val="5D1E6A85"/>
    <w:rsid w:val="5D252FB0"/>
    <w:rsid w:val="5D2A2649"/>
    <w:rsid w:val="5D2B2C34"/>
    <w:rsid w:val="5D2B4EC5"/>
    <w:rsid w:val="5D2C5D69"/>
    <w:rsid w:val="5D347D3A"/>
    <w:rsid w:val="5D360536"/>
    <w:rsid w:val="5D366248"/>
    <w:rsid w:val="5D3904AA"/>
    <w:rsid w:val="5D3A07BB"/>
    <w:rsid w:val="5D41276E"/>
    <w:rsid w:val="5D4D35E4"/>
    <w:rsid w:val="5D50269A"/>
    <w:rsid w:val="5D562F45"/>
    <w:rsid w:val="5D567150"/>
    <w:rsid w:val="5D5A7075"/>
    <w:rsid w:val="5D5F28DD"/>
    <w:rsid w:val="5D635F29"/>
    <w:rsid w:val="5D67422D"/>
    <w:rsid w:val="5D6972B8"/>
    <w:rsid w:val="5D6B2B94"/>
    <w:rsid w:val="5D6F713C"/>
    <w:rsid w:val="5D727175"/>
    <w:rsid w:val="5D836F17"/>
    <w:rsid w:val="5D845954"/>
    <w:rsid w:val="5D852344"/>
    <w:rsid w:val="5D885990"/>
    <w:rsid w:val="5D887BEE"/>
    <w:rsid w:val="5D8D38F8"/>
    <w:rsid w:val="5D916730"/>
    <w:rsid w:val="5D97527E"/>
    <w:rsid w:val="5D987BD2"/>
    <w:rsid w:val="5D9C0177"/>
    <w:rsid w:val="5D9C58DF"/>
    <w:rsid w:val="5D9D3A7F"/>
    <w:rsid w:val="5DA84AAB"/>
    <w:rsid w:val="5DAA7FFC"/>
    <w:rsid w:val="5DAB5B22"/>
    <w:rsid w:val="5DAC0CF7"/>
    <w:rsid w:val="5DC30B65"/>
    <w:rsid w:val="5DC86C75"/>
    <w:rsid w:val="5DD07337"/>
    <w:rsid w:val="5DD35C3F"/>
    <w:rsid w:val="5DD46E27"/>
    <w:rsid w:val="5DDB544E"/>
    <w:rsid w:val="5DDC5CDC"/>
    <w:rsid w:val="5DDD79E4"/>
    <w:rsid w:val="5DDE1A54"/>
    <w:rsid w:val="5DE05293"/>
    <w:rsid w:val="5DE11544"/>
    <w:rsid w:val="5DE30E18"/>
    <w:rsid w:val="5DE973D8"/>
    <w:rsid w:val="5DEA21A7"/>
    <w:rsid w:val="5DED2C36"/>
    <w:rsid w:val="5DEE2D36"/>
    <w:rsid w:val="5DF1718A"/>
    <w:rsid w:val="5DF63241"/>
    <w:rsid w:val="5DF74A5B"/>
    <w:rsid w:val="5DF765ED"/>
    <w:rsid w:val="5DFB7F47"/>
    <w:rsid w:val="5DFC351B"/>
    <w:rsid w:val="5E015742"/>
    <w:rsid w:val="5E076F5E"/>
    <w:rsid w:val="5E0A35D8"/>
    <w:rsid w:val="5E0B0231"/>
    <w:rsid w:val="5E0B3270"/>
    <w:rsid w:val="5E0C7D19"/>
    <w:rsid w:val="5E14191A"/>
    <w:rsid w:val="5E145DB9"/>
    <w:rsid w:val="5E1D07CE"/>
    <w:rsid w:val="5E2D6537"/>
    <w:rsid w:val="5E311924"/>
    <w:rsid w:val="5E331DA0"/>
    <w:rsid w:val="5E3442F0"/>
    <w:rsid w:val="5E371164"/>
    <w:rsid w:val="5E3C677A"/>
    <w:rsid w:val="5E3C796A"/>
    <w:rsid w:val="5E4044BD"/>
    <w:rsid w:val="5E446C17"/>
    <w:rsid w:val="5E457719"/>
    <w:rsid w:val="5E457D25"/>
    <w:rsid w:val="5E4E4E2C"/>
    <w:rsid w:val="5E4E6BDA"/>
    <w:rsid w:val="5E4F4700"/>
    <w:rsid w:val="5E5223CC"/>
    <w:rsid w:val="5E536D21"/>
    <w:rsid w:val="5E540585"/>
    <w:rsid w:val="5E584D9C"/>
    <w:rsid w:val="5E655CD1"/>
    <w:rsid w:val="5E687393"/>
    <w:rsid w:val="5E693E49"/>
    <w:rsid w:val="5E6C6D5B"/>
    <w:rsid w:val="5E6F582C"/>
    <w:rsid w:val="5E6F73B4"/>
    <w:rsid w:val="5E762E97"/>
    <w:rsid w:val="5E767EDE"/>
    <w:rsid w:val="5E7724AD"/>
    <w:rsid w:val="5E78308D"/>
    <w:rsid w:val="5E7D301B"/>
    <w:rsid w:val="5E8039E6"/>
    <w:rsid w:val="5E850121"/>
    <w:rsid w:val="5E863B81"/>
    <w:rsid w:val="5E87693E"/>
    <w:rsid w:val="5E8964C4"/>
    <w:rsid w:val="5E8B3D51"/>
    <w:rsid w:val="5E8C75FF"/>
    <w:rsid w:val="5E8E347A"/>
    <w:rsid w:val="5E9A3B6C"/>
    <w:rsid w:val="5E9F11E3"/>
    <w:rsid w:val="5E9F34C6"/>
    <w:rsid w:val="5EA26296"/>
    <w:rsid w:val="5EA762EA"/>
    <w:rsid w:val="5EAB402C"/>
    <w:rsid w:val="5EAC6BDA"/>
    <w:rsid w:val="5EAD4AD7"/>
    <w:rsid w:val="5EAF36A4"/>
    <w:rsid w:val="5EB10D8F"/>
    <w:rsid w:val="5EB26085"/>
    <w:rsid w:val="5EB427B5"/>
    <w:rsid w:val="5EB568F4"/>
    <w:rsid w:val="5EB804F7"/>
    <w:rsid w:val="5EB91404"/>
    <w:rsid w:val="5EBA601D"/>
    <w:rsid w:val="5EBB205B"/>
    <w:rsid w:val="5EBD78BB"/>
    <w:rsid w:val="5EBE4A9D"/>
    <w:rsid w:val="5EBE53E1"/>
    <w:rsid w:val="5EBF3633"/>
    <w:rsid w:val="5EC155FD"/>
    <w:rsid w:val="5EC23124"/>
    <w:rsid w:val="5EC46E9C"/>
    <w:rsid w:val="5EC57702"/>
    <w:rsid w:val="5ECA1FD8"/>
    <w:rsid w:val="5ECC5D50"/>
    <w:rsid w:val="5ECC64AB"/>
    <w:rsid w:val="5ECF4914"/>
    <w:rsid w:val="5ED54C05"/>
    <w:rsid w:val="5ED73D16"/>
    <w:rsid w:val="5EDA66BF"/>
    <w:rsid w:val="5EDE252C"/>
    <w:rsid w:val="5EDE4B81"/>
    <w:rsid w:val="5EDF7832"/>
    <w:rsid w:val="5EE13A22"/>
    <w:rsid w:val="5EE27322"/>
    <w:rsid w:val="5EE4753E"/>
    <w:rsid w:val="5EE72B8A"/>
    <w:rsid w:val="5EE906B0"/>
    <w:rsid w:val="5EEA61D6"/>
    <w:rsid w:val="5EF05EE3"/>
    <w:rsid w:val="5EF84D97"/>
    <w:rsid w:val="5EFB7E78"/>
    <w:rsid w:val="5F0063F2"/>
    <w:rsid w:val="5F013C4C"/>
    <w:rsid w:val="5F0253EB"/>
    <w:rsid w:val="5F031F17"/>
    <w:rsid w:val="5F037051"/>
    <w:rsid w:val="5F062E67"/>
    <w:rsid w:val="5F0A1663"/>
    <w:rsid w:val="5F0B0097"/>
    <w:rsid w:val="5F0B6879"/>
    <w:rsid w:val="5F0E45BB"/>
    <w:rsid w:val="5F0E5263"/>
    <w:rsid w:val="5F1236FF"/>
    <w:rsid w:val="5F1D47FE"/>
    <w:rsid w:val="5F200665"/>
    <w:rsid w:val="5F2142EE"/>
    <w:rsid w:val="5F221E14"/>
    <w:rsid w:val="5F2268AB"/>
    <w:rsid w:val="5F2416E8"/>
    <w:rsid w:val="5F2711D9"/>
    <w:rsid w:val="5F305DC2"/>
    <w:rsid w:val="5F32658B"/>
    <w:rsid w:val="5F353888"/>
    <w:rsid w:val="5F373B94"/>
    <w:rsid w:val="5F3758C0"/>
    <w:rsid w:val="5F3B1A74"/>
    <w:rsid w:val="5F3D4800"/>
    <w:rsid w:val="5F405E81"/>
    <w:rsid w:val="5F41673E"/>
    <w:rsid w:val="5F425170"/>
    <w:rsid w:val="5F4973A1"/>
    <w:rsid w:val="5F4A0C83"/>
    <w:rsid w:val="5F5226F9"/>
    <w:rsid w:val="5F556A09"/>
    <w:rsid w:val="5F57386C"/>
    <w:rsid w:val="5F5761AC"/>
    <w:rsid w:val="5F5D4BFA"/>
    <w:rsid w:val="5F5E109E"/>
    <w:rsid w:val="5F5E6EB5"/>
    <w:rsid w:val="5F5F6C6D"/>
    <w:rsid w:val="5F645F89"/>
    <w:rsid w:val="5F650AE4"/>
    <w:rsid w:val="5F666AB9"/>
    <w:rsid w:val="5F6917F1"/>
    <w:rsid w:val="5F73441E"/>
    <w:rsid w:val="5F765D41"/>
    <w:rsid w:val="5F775CBC"/>
    <w:rsid w:val="5F781A34"/>
    <w:rsid w:val="5F790D0D"/>
    <w:rsid w:val="5F7C7CBD"/>
    <w:rsid w:val="5F7E529D"/>
    <w:rsid w:val="5F84429E"/>
    <w:rsid w:val="5F88611B"/>
    <w:rsid w:val="5F903222"/>
    <w:rsid w:val="5F904D57"/>
    <w:rsid w:val="5F91757F"/>
    <w:rsid w:val="5F920D48"/>
    <w:rsid w:val="5F942D12"/>
    <w:rsid w:val="5F943B00"/>
    <w:rsid w:val="5F982B01"/>
    <w:rsid w:val="5F992BCB"/>
    <w:rsid w:val="5F9A45BC"/>
    <w:rsid w:val="5F9C09D9"/>
    <w:rsid w:val="5F9C0FF8"/>
    <w:rsid w:val="5F9C7216"/>
    <w:rsid w:val="5FA016B7"/>
    <w:rsid w:val="5FA10F8B"/>
    <w:rsid w:val="5FA62A45"/>
    <w:rsid w:val="5FA82319"/>
    <w:rsid w:val="5FAA6FFB"/>
    <w:rsid w:val="5FAF18FA"/>
    <w:rsid w:val="5FAF36A8"/>
    <w:rsid w:val="5FB0066B"/>
    <w:rsid w:val="5FBA204D"/>
    <w:rsid w:val="5FBE36D4"/>
    <w:rsid w:val="5FC079C0"/>
    <w:rsid w:val="5FC5111D"/>
    <w:rsid w:val="5FC52ECB"/>
    <w:rsid w:val="5FC66C44"/>
    <w:rsid w:val="5FC81CB8"/>
    <w:rsid w:val="5FC92290"/>
    <w:rsid w:val="5FC92506"/>
    <w:rsid w:val="5FCF5AF8"/>
    <w:rsid w:val="5FCF75CA"/>
    <w:rsid w:val="5FD14CB9"/>
    <w:rsid w:val="5FD4310E"/>
    <w:rsid w:val="5FD83A1C"/>
    <w:rsid w:val="5FD924D3"/>
    <w:rsid w:val="5FDC6E9E"/>
    <w:rsid w:val="5FE24921"/>
    <w:rsid w:val="5FE95D9F"/>
    <w:rsid w:val="5FEB0458"/>
    <w:rsid w:val="5FEB66AA"/>
    <w:rsid w:val="5FEF1CF6"/>
    <w:rsid w:val="5FEF7F70"/>
    <w:rsid w:val="5FF003BD"/>
    <w:rsid w:val="5FF12896"/>
    <w:rsid w:val="5FF1664C"/>
    <w:rsid w:val="5FF31262"/>
    <w:rsid w:val="5FF53085"/>
    <w:rsid w:val="5FF676C0"/>
    <w:rsid w:val="5FF7504F"/>
    <w:rsid w:val="5FFE018B"/>
    <w:rsid w:val="5FFE2537"/>
    <w:rsid w:val="5FFE787A"/>
    <w:rsid w:val="60022D3B"/>
    <w:rsid w:val="60055414"/>
    <w:rsid w:val="6005776C"/>
    <w:rsid w:val="60070E56"/>
    <w:rsid w:val="600F05EB"/>
    <w:rsid w:val="60150A21"/>
    <w:rsid w:val="6015606F"/>
    <w:rsid w:val="60163727"/>
    <w:rsid w:val="601A4CDD"/>
    <w:rsid w:val="601D2D07"/>
    <w:rsid w:val="60223D93"/>
    <w:rsid w:val="602441E8"/>
    <w:rsid w:val="602A2D2E"/>
    <w:rsid w:val="602A71D2"/>
    <w:rsid w:val="602D221A"/>
    <w:rsid w:val="602F150C"/>
    <w:rsid w:val="60326087"/>
    <w:rsid w:val="60326B7B"/>
    <w:rsid w:val="60347A9D"/>
    <w:rsid w:val="603616BA"/>
    <w:rsid w:val="6036491B"/>
    <w:rsid w:val="60364E28"/>
    <w:rsid w:val="6036558C"/>
    <w:rsid w:val="60367925"/>
    <w:rsid w:val="603A426A"/>
    <w:rsid w:val="603E2F22"/>
    <w:rsid w:val="60403B29"/>
    <w:rsid w:val="60410E37"/>
    <w:rsid w:val="6042276E"/>
    <w:rsid w:val="60423096"/>
    <w:rsid w:val="604A72F7"/>
    <w:rsid w:val="604E0E63"/>
    <w:rsid w:val="604F65E9"/>
    <w:rsid w:val="60515BF3"/>
    <w:rsid w:val="60563B24"/>
    <w:rsid w:val="60566219"/>
    <w:rsid w:val="6057789C"/>
    <w:rsid w:val="605C4EB2"/>
    <w:rsid w:val="6062696C"/>
    <w:rsid w:val="60687CFB"/>
    <w:rsid w:val="606D70BF"/>
    <w:rsid w:val="60762418"/>
    <w:rsid w:val="607670AA"/>
    <w:rsid w:val="607677B8"/>
    <w:rsid w:val="60791F08"/>
    <w:rsid w:val="607C15BD"/>
    <w:rsid w:val="607E6F5E"/>
    <w:rsid w:val="60820DBC"/>
    <w:rsid w:val="60871E8A"/>
    <w:rsid w:val="60883EF9"/>
    <w:rsid w:val="608B2917"/>
    <w:rsid w:val="608F51B3"/>
    <w:rsid w:val="60966616"/>
    <w:rsid w:val="609B3C2C"/>
    <w:rsid w:val="609D1752"/>
    <w:rsid w:val="609E371C"/>
    <w:rsid w:val="60A2320D"/>
    <w:rsid w:val="60A33E24"/>
    <w:rsid w:val="60A8413E"/>
    <w:rsid w:val="60AA22F9"/>
    <w:rsid w:val="60AC7BE7"/>
    <w:rsid w:val="60AE2ED9"/>
    <w:rsid w:val="60AF09B0"/>
    <w:rsid w:val="60B066F0"/>
    <w:rsid w:val="60B42D27"/>
    <w:rsid w:val="60B439A3"/>
    <w:rsid w:val="60B44CEE"/>
    <w:rsid w:val="60B51AF5"/>
    <w:rsid w:val="60B53011"/>
    <w:rsid w:val="60B53C08"/>
    <w:rsid w:val="60BC2F61"/>
    <w:rsid w:val="60BC38AA"/>
    <w:rsid w:val="60BE5D16"/>
    <w:rsid w:val="60C2740B"/>
    <w:rsid w:val="60C70EC5"/>
    <w:rsid w:val="60D46992"/>
    <w:rsid w:val="60D7697F"/>
    <w:rsid w:val="60DD61AC"/>
    <w:rsid w:val="60E03D35"/>
    <w:rsid w:val="60E47381"/>
    <w:rsid w:val="60E750C3"/>
    <w:rsid w:val="60ED4A84"/>
    <w:rsid w:val="60F04023"/>
    <w:rsid w:val="60FF065F"/>
    <w:rsid w:val="61003B9B"/>
    <w:rsid w:val="61041ACE"/>
    <w:rsid w:val="610958F0"/>
    <w:rsid w:val="610A7B67"/>
    <w:rsid w:val="610B7004"/>
    <w:rsid w:val="610C68D8"/>
    <w:rsid w:val="610D57B4"/>
    <w:rsid w:val="610E5670"/>
    <w:rsid w:val="611063C8"/>
    <w:rsid w:val="6112374F"/>
    <w:rsid w:val="611B49E9"/>
    <w:rsid w:val="611C7A5C"/>
    <w:rsid w:val="612956DC"/>
    <w:rsid w:val="612C0D28"/>
    <w:rsid w:val="612C6BAA"/>
    <w:rsid w:val="612E2CF2"/>
    <w:rsid w:val="61396DD0"/>
    <w:rsid w:val="613972F1"/>
    <w:rsid w:val="613A51F3"/>
    <w:rsid w:val="613C04A0"/>
    <w:rsid w:val="613D0368"/>
    <w:rsid w:val="613D2F35"/>
    <w:rsid w:val="61425ECF"/>
    <w:rsid w:val="614442C4"/>
    <w:rsid w:val="61480013"/>
    <w:rsid w:val="614A28A1"/>
    <w:rsid w:val="614B2421"/>
    <w:rsid w:val="615269E1"/>
    <w:rsid w:val="61572249"/>
    <w:rsid w:val="615B45D6"/>
    <w:rsid w:val="615C33BC"/>
    <w:rsid w:val="615E1DF8"/>
    <w:rsid w:val="615F3904"/>
    <w:rsid w:val="615F4C5A"/>
    <w:rsid w:val="61616C24"/>
    <w:rsid w:val="61633D33"/>
    <w:rsid w:val="616342E1"/>
    <w:rsid w:val="61677366"/>
    <w:rsid w:val="616867C9"/>
    <w:rsid w:val="61692624"/>
    <w:rsid w:val="616B35FF"/>
    <w:rsid w:val="6170330B"/>
    <w:rsid w:val="617209E0"/>
    <w:rsid w:val="6176163F"/>
    <w:rsid w:val="61795D7B"/>
    <w:rsid w:val="617C3A5E"/>
    <w:rsid w:val="617D5A4E"/>
    <w:rsid w:val="617E77D6"/>
    <w:rsid w:val="61801C21"/>
    <w:rsid w:val="61822AEF"/>
    <w:rsid w:val="618337DA"/>
    <w:rsid w:val="6186668A"/>
    <w:rsid w:val="61867087"/>
    <w:rsid w:val="61880654"/>
    <w:rsid w:val="61882403"/>
    <w:rsid w:val="618943CD"/>
    <w:rsid w:val="61926DDD"/>
    <w:rsid w:val="61953B2F"/>
    <w:rsid w:val="619866F3"/>
    <w:rsid w:val="619C4100"/>
    <w:rsid w:val="619D1AA4"/>
    <w:rsid w:val="61A0042E"/>
    <w:rsid w:val="61A24FB0"/>
    <w:rsid w:val="61A87F15"/>
    <w:rsid w:val="61AE5BE1"/>
    <w:rsid w:val="61AE798F"/>
    <w:rsid w:val="61B01AAA"/>
    <w:rsid w:val="61B1247E"/>
    <w:rsid w:val="61B2122D"/>
    <w:rsid w:val="61B825BC"/>
    <w:rsid w:val="61B90FAD"/>
    <w:rsid w:val="61BC36D9"/>
    <w:rsid w:val="61BE2896"/>
    <w:rsid w:val="61BF7437"/>
    <w:rsid w:val="61C15914"/>
    <w:rsid w:val="61C176C2"/>
    <w:rsid w:val="61C86CA3"/>
    <w:rsid w:val="61CA4ED7"/>
    <w:rsid w:val="61CA7231"/>
    <w:rsid w:val="61CB249A"/>
    <w:rsid w:val="61CD6067"/>
    <w:rsid w:val="61CE53C5"/>
    <w:rsid w:val="61CE76AF"/>
    <w:rsid w:val="61CF6E3C"/>
    <w:rsid w:val="61D27B22"/>
    <w:rsid w:val="61DF2081"/>
    <w:rsid w:val="61DF3FED"/>
    <w:rsid w:val="61E742D3"/>
    <w:rsid w:val="61ED6709"/>
    <w:rsid w:val="61EE5FDE"/>
    <w:rsid w:val="61F07FA8"/>
    <w:rsid w:val="61F25ACE"/>
    <w:rsid w:val="61F34E68"/>
    <w:rsid w:val="61F47648"/>
    <w:rsid w:val="61F47A98"/>
    <w:rsid w:val="61F53810"/>
    <w:rsid w:val="61FB0E26"/>
    <w:rsid w:val="61FC1247"/>
    <w:rsid w:val="620F48D2"/>
    <w:rsid w:val="620F5671"/>
    <w:rsid w:val="621106F4"/>
    <w:rsid w:val="62145A44"/>
    <w:rsid w:val="62157664"/>
    <w:rsid w:val="62172710"/>
    <w:rsid w:val="62195498"/>
    <w:rsid w:val="621B3277"/>
    <w:rsid w:val="621B7474"/>
    <w:rsid w:val="621E2D67"/>
    <w:rsid w:val="621E622C"/>
    <w:rsid w:val="621F2D8F"/>
    <w:rsid w:val="62205A89"/>
    <w:rsid w:val="62221DBD"/>
    <w:rsid w:val="622240E6"/>
    <w:rsid w:val="622637C5"/>
    <w:rsid w:val="62265FD3"/>
    <w:rsid w:val="62293B09"/>
    <w:rsid w:val="622D2FAA"/>
    <w:rsid w:val="622D4A52"/>
    <w:rsid w:val="622D5E4B"/>
    <w:rsid w:val="622F041C"/>
    <w:rsid w:val="62307993"/>
    <w:rsid w:val="62326B01"/>
    <w:rsid w:val="62341FB3"/>
    <w:rsid w:val="62375BD7"/>
    <w:rsid w:val="623938F7"/>
    <w:rsid w:val="62397BA1"/>
    <w:rsid w:val="623E0D13"/>
    <w:rsid w:val="624932DB"/>
    <w:rsid w:val="62494022"/>
    <w:rsid w:val="624A590A"/>
    <w:rsid w:val="624A76B8"/>
    <w:rsid w:val="624B51DE"/>
    <w:rsid w:val="62501567"/>
    <w:rsid w:val="625247BE"/>
    <w:rsid w:val="62583ED0"/>
    <w:rsid w:val="625875AC"/>
    <w:rsid w:val="625F6A4A"/>
    <w:rsid w:val="62623484"/>
    <w:rsid w:val="62660010"/>
    <w:rsid w:val="626754CE"/>
    <w:rsid w:val="626C26D7"/>
    <w:rsid w:val="626D4403"/>
    <w:rsid w:val="6270649A"/>
    <w:rsid w:val="62734003"/>
    <w:rsid w:val="62773F76"/>
    <w:rsid w:val="627775D4"/>
    <w:rsid w:val="627C0E5F"/>
    <w:rsid w:val="62854B94"/>
    <w:rsid w:val="628714FA"/>
    <w:rsid w:val="628B2BBB"/>
    <w:rsid w:val="628D3A49"/>
    <w:rsid w:val="62910FA9"/>
    <w:rsid w:val="62922926"/>
    <w:rsid w:val="6293435F"/>
    <w:rsid w:val="6293467C"/>
    <w:rsid w:val="62940A10"/>
    <w:rsid w:val="629D3C5C"/>
    <w:rsid w:val="62A71DE4"/>
    <w:rsid w:val="62A9471D"/>
    <w:rsid w:val="62AA14F0"/>
    <w:rsid w:val="62AA25B6"/>
    <w:rsid w:val="62AA2981"/>
    <w:rsid w:val="62AB386F"/>
    <w:rsid w:val="62AF7E63"/>
    <w:rsid w:val="62B351E0"/>
    <w:rsid w:val="62B66AFB"/>
    <w:rsid w:val="62B86D17"/>
    <w:rsid w:val="62BB6808"/>
    <w:rsid w:val="62BC541B"/>
    <w:rsid w:val="62C456BC"/>
    <w:rsid w:val="62C57457"/>
    <w:rsid w:val="62C647B5"/>
    <w:rsid w:val="62CA07F9"/>
    <w:rsid w:val="62CA6A4B"/>
    <w:rsid w:val="62CC05A9"/>
    <w:rsid w:val="62CC4571"/>
    <w:rsid w:val="62CC6257"/>
    <w:rsid w:val="62CD2097"/>
    <w:rsid w:val="62CD77F4"/>
    <w:rsid w:val="62CF049B"/>
    <w:rsid w:val="62CF4061"/>
    <w:rsid w:val="62D11B87"/>
    <w:rsid w:val="62D11F50"/>
    <w:rsid w:val="62D33D4F"/>
    <w:rsid w:val="62D376AD"/>
    <w:rsid w:val="62D57CDA"/>
    <w:rsid w:val="62D744E1"/>
    <w:rsid w:val="62DF7FAD"/>
    <w:rsid w:val="62E0001C"/>
    <w:rsid w:val="62E16FD3"/>
    <w:rsid w:val="62E553DC"/>
    <w:rsid w:val="62E73159"/>
    <w:rsid w:val="62EA49F7"/>
    <w:rsid w:val="62EC0A13"/>
    <w:rsid w:val="62EF3ED3"/>
    <w:rsid w:val="62F6339C"/>
    <w:rsid w:val="62F7009D"/>
    <w:rsid w:val="62FC74AA"/>
    <w:rsid w:val="62FD7576"/>
    <w:rsid w:val="630104D2"/>
    <w:rsid w:val="63035AB9"/>
    <w:rsid w:val="630370C4"/>
    <w:rsid w:val="63051831"/>
    <w:rsid w:val="630C038D"/>
    <w:rsid w:val="630E6937"/>
    <w:rsid w:val="6311467A"/>
    <w:rsid w:val="63161258"/>
    <w:rsid w:val="63163A3E"/>
    <w:rsid w:val="63163C07"/>
    <w:rsid w:val="63181564"/>
    <w:rsid w:val="63194464"/>
    <w:rsid w:val="631D23E4"/>
    <w:rsid w:val="631D4DCC"/>
    <w:rsid w:val="63220635"/>
    <w:rsid w:val="632444C8"/>
    <w:rsid w:val="63251ED3"/>
    <w:rsid w:val="63252241"/>
    <w:rsid w:val="63261D38"/>
    <w:rsid w:val="63273D88"/>
    <w:rsid w:val="63280FF6"/>
    <w:rsid w:val="632A1F99"/>
    <w:rsid w:val="632C5010"/>
    <w:rsid w:val="632F7DED"/>
    <w:rsid w:val="63302D52"/>
    <w:rsid w:val="63351AF5"/>
    <w:rsid w:val="63387E58"/>
    <w:rsid w:val="633F2F95"/>
    <w:rsid w:val="633F6FCF"/>
    <w:rsid w:val="6340537A"/>
    <w:rsid w:val="634403A1"/>
    <w:rsid w:val="63465DC1"/>
    <w:rsid w:val="63470B89"/>
    <w:rsid w:val="6348311C"/>
    <w:rsid w:val="634C4094"/>
    <w:rsid w:val="634D1BC8"/>
    <w:rsid w:val="634D3CD6"/>
    <w:rsid w:val="634E142A"/>
    <w:rsid w:val="6356208C"/>
    <w:rsid w:val="63567016"/>
    <w:rsid w:val="635763FF"/>
    <w:rsid w:val="636369CE"/>
    <w:rsid w:val="63660521"/>
    <w:rsid w:val="636711F3"/>
    <w:rsid w:val="63691DC0"/>
    <w:rsid w:val="636C6B7F"/>
    <w:rsid w:val="636E387A"/>
    <w:rsid w:val="636F713B"/>
    <w:rsid w:val="63714801"/>
    <w:rsid w:val="63714873"/>
    <w:rsid w:val="63726B37"/>
    <w:rsid w:val="63752CEA"/>
    <w:rsid w:val="637644DD"/>
    <w:rsid w:val="63765A22"/>
    <w:rsid w:val="637848AD"/>
    <w:rsid w:val="637A5D7B"/>
    <w:rsid w:val="637C7D45"/>
    <w:rsid w:val="637D586B"/>
    <w:rsid w:val="637E031B"/>
    <w:rsid w:val="637F4016"/>
    <w:rsid w:val="638D2189"/>
    <w:rsid w:val="6391537A"/>
    <w:rsid w:val="63936E3D"/>
    <w:rsid w:val="63983B47"/>
    <w:rsid w:val="63984453"/>
    <w:rsid w:val="639B1BC7"/>
    <w:rsid w:val="639F01EB"/>
    <w:rsid w:val="63A35A1B"/>
    <w:rsid w:val="63AB062A"/>
    <w:rsid w:val="63AD1F7A"/>
    <w:rsid w:val="63B3276A"/>
    <w:rsid w:val="63B5068B"/>
    <w:rsid w:val="63B53183"/>
    <w:rsid w:val="63B75221"/>
    <w:rsid w:val="63B76CA5"/>
    <w:rsid w:val="63B76FCF"/>
    <w:rsid w:val="63BC2837"/>
    <w:rsid w:val="63BC6393"/>
    <w:rsid w:val="63BC786C"/>
    <w:rsid w:val="63C45248"/>
    <w:rsid w:val="63C609B8"/>
    <w:rsid w:val="63C74D38"/>
    <w:rsid w:val="63C961B8"/>
    <w:rsid w:val="63C97E10"/>
    <w:rsid w:val="63CB474B"/>
    <w:rsid w:val="63CB6BE2"/>
    <w:rsid w:val="63CC4EF8"/>
    <w:rsid w:val="63CD01D2"/>
    <w:rsid w:val="63CD05A1"/>
    <w:rsid w:val="63CD78F2"/>
    <w:rsid w:val="63CE70E0"/>
    <w:rsid w:val="63CF0496"/>
    <w:rsid w:val="63D731CD"/>
    <w:rsid w:val="63DC0140"/>
    <w:rsid w:val="63DC27F1"/>
    <w:rsid w:val="63DC4C88"/>
    <w:rsid w:val="63E17929"/>
    <w:rsid w:val="63E46486"/>
    <w:rsid w:val="63E4712F"/>
    <w:rsid w:val="63E71DC2"/>
    <w:rsid w:val="63EB4ECB"/>
    <w:rsid w:val="63EE515A"/>
    <w:rsid w:val="63EF49BB"/>
    <w:rsid w:val="63EF4C6C"/>
    <w:rsid w:val="63F43D7F"/>
    <w:rsid w:val="63F4603A"/>
    <w:rsid w:val="63F57AF7"/>
    <w:rsid w:val="63FD7E39"/>
    <w:rsid w:val="63FF63BE"/>
    <w:rsid w:val="64032214"/>
    <w:rsid w:val="64034D01"/>
    <w:rsid w:val="64055F8C"/>
    <w:rsid w:val="640857C7"/>
    <w:rsid w:val="640A071A"/>
    <w:rsid w:val="641049B6"/>
    <w:rsid w:val="64112768"/>
    <w:rsid w:val="641206A9"/>
    <w:rsid w:val="64137F7D"/>
    <w:rsid w:val="64153CF6"/>
    <w:rsid w:val="64156FEA"/>
    <w:rsid w:val="641625F3"/>
    <w:rsid w:val="641C7F00"/>
    <w:rsid w:val="641D6FC0"/>
    <w:rsid w:val="641E704E"/>
    <w:rsid w:val="641F2F2F"/>
    <w:rsid w:val="64203389"/>
    <w:rsid w:val="64236413"/>
    <w:rsid w:val="6425344D"/>
    <w:rsid w:val="6427137D"/>
    <w:rsid w:val="642B52C7"/>
    <w:rsid w:val="64326656"/>
    <w:rsid w:val="64361EE4"/>
    <w:rsid w:val="643914ED"/>
    <w:rsid w:val="643A375C"/>
    <w:rsid w:val="643C1EC8"/>
    <w:rsid w:val="643C74D4"/>
    <w:rsid w:val="643E4FFA"/>
    <w:rsid w:val="64426EEF"/>
    <w:rsid w:val="64430863"/>
    <w:rsid w:val="64444A52"/>
    <w:rsid w:val="64490689"/>
    <w:rsid w:val="644B1A3D"/>
    <w:rsid w:val="644B1C02"/>
    <w:rsid w:val="644B46DD"/>
    <w:rsid w:val="644C5374"/>
    <w:rsid w:val="644D348F"/>
    <w:rsid w:val="64516116"/>
    <w:rsid w:val="64520AA6"/>
    <w:rsid w:val="64564115"/>
    <w:rsid w:val="6457430E"/>
    <w:rsid w:val="64590086"/>
    <w:rsid w:val="645A4466"/>
    <w:rsid w:val="645F25EE"/>
    <w:rsid w:val="64607667"/>
    <w:rsid w:val="646802C9"/>
    <w:rsid w:val="646D1A7E"/>
    <w:rsid w:val="646D6FDF"/>
    <w:rsid w:val="646F0C8D"/>
    <w:rsid w:val="646F68BA"/>
    <w:rsid w:val="64731F25"/>
    <w:rsid w:val="64754C21"/>
    <w:rsid w:val="64790728"/>
    <w:rsid w:val="647923D4"/>
    <w:rsid w:val="6479718F"/>
    <w:rsid w:val="64806713"/>
    <w:rsid w:val="6481359B"/>
    <w:rsid w:val="648719B0"/>
    <w:rsid w:val="6488096B"/>
    <w:rsid w:val="648844C8"/>
    <w:rsid w:val="64886C5E"/>
    <w:rsid w:val="648B3FB8"/>
    <w:rsid w:val="648D1DAC"/>
    <w:rsid w:val="648D7D30"/>
    <w:rsid w:val="649317EA"/>
    <w:rsid w:val="64947310"/>
    <w:rsid w:val="64954802"/>
    <w:rsid w:val="64991ECF"/>
    <w:rsid w:val="649E3761"/>
    <w:rsid w:val="64A21A2D"/>
    <w:rsid w:val="64A2233D"/>
    <w:rsid w:val="64A3431D"/>
    <w:rsid w:val="64A621F1"/>
    <w:rsid w:val="64A76B27"/>
    <w:rsid w:val="64A77044"/>
    <w:rsid w:val="64AF44C2"/>
    <w:rsid w:val="64B11C70"/>
    <w:rsid w:val="64B97C2B"/>
    <w:rsid w:val="64BB4DE6"/>
    <w:rsid w:val="64C01EB3"/>
    <w:rsid w:val="64C572FA"/>
    <w:rsid w:val="64CC2606"/>
    <w:rsid w:val="64CE0D28"/>
    <w:rsid w:val="64D25170"/>
    <w:rsid w:val="64D80E30"/>
    <w:rsid w:val="64DC69D5"/>
    <w:rsid w:val="64DD2E2F"/>
    <w:rsid w:val="64DD30FF"/>
    <w:rsid w:val="64E10284"/>
    <w:rsid w:val="64E13006"/>
    <w:rsid w:val="64EE6A20"/>
    <w:rsid w:val="64EF6141"/>
    <w:rsid w:val="64F1206D"/>
    <w:rsid w:val="64F47DAF"/>
    <w:rsid w:val="64F658D5"/>
    <w:rsid w:val="64FA242D"/>
    <w:rsid w:val="64FB4C66"/>
    <w:rsid w:val="64FD6C64"/>
    <w:rsid w:val="65033D1B"/>
    <w:rsid w:val="65037889"/>
    <w:rsid w:val="65040583"/>
    <w:rsid w:val="650A1380"/>
    <w:rsid w:val="651F10E9"/>
    <w:rsid w:val="651F307E"/>
    <w:rsid w:val="65200BA4"/>
    <w:rsid w:val="652052DF"/>
    <w:rsid w:val="652310DA"/>
    <w:rsid w:val="65240177"/>
    <w:rsid w:val="65241346"/>
    <w:rsid w:val="6525716E"/>
    <w:rsid w:val="652818B4"/>
    <w:rsid w:val="65297A59"/>
    <w:rsid w:val="65322E75"/>
    <w:rsid w:val="653A2FAB"/>
    <w:rsid w:val="653B1C4B"/>
    <w:rsid w:val="653D3504"/>
    <w:rsid w:val="653E102A"/>
    <w:rsid w:val="653E3721"/>
    <w:rsid w:val="653F54CE"/>
    <w:rsid w:val="653F727C"/>
    <w:rsid w:val="65416BDC"/>
    <w:rsid w:val="65476131"/>
    <w:rsid w:val="65493C57"/>
    <w:rsid w:val="654C0679"/>
    <w:rsid w:val="654E74BF"/>
    <w:rsid w:val="65510EC8"/>
    <w:rsid w:val="65515201"/>
    <w:rsid w:val="65552763"/>
    <w:rsid w:val="65552D0E"/>
    <w:rsid w:val="65554CF2"/>
    <w:rsid w:val="65556AA0"/>
    <w:rsid w:val="6555791E"/>
    <w:rsid w:val="6556055F"/>
    <w:rsid w:val="65570E1F"/>
    <w:rsid w:val="65574A42"/>
    <w:rsid w:val="655820EC"/>
    <w:rsid w:val="655A4AFE"/>
    <w:rsid w:val="655B7E2E"/>
    <w:rsid w:val="655D3BA6"/>
    <w:rsid w:val="655D7702"/>
    <w:rsid w:val="655E2DC6"/>
    <w:rsid w:val="655E63F3"/>
    <w:rsid w:val="6562740E"/>
    <w:rsid w:val="656324A8"/>
    <w:rsid w:val="65654809"/>
    <w:rsid w:val="657131AE"/>
    <w:rsid w:val="657333CA"/>
    <w:rsid w:val="65764C68"/>
    <w:rsid w:val="6578453C"/>
    <w:rsid w:val="657F57D8"/>
    <w:rsid w:val="657F736B"/>
    <w:rsid w:val="65801643"/>
    <w:rsid w:val="6582360D"/>
    <w:rsid w:val="65893B33"/>
    <w:rsid w:val="658A44B1"/>
    <w:rsid w:val="658B3C29"/>
    <w:rsid w:val="659375C8"/>
    <w:rsid w:val="659405F1"/>
    <w:rsid w:val="659D3FA3"/>
    <w:rsid w:val="659E3EBD"/>
    <w:rsid w:val="659F7764"/>
    <w:rsid w:val="65A16235"/>
    <w:rsid w:val="65A26C1E"/>
    <w:rsid w:val="65A74E21"/>
    <w:rsid w:val="65AA42A3"/>
    <w:rsid w:val="65AB4911"/>
    <w:rsid w:val="65B66DEA"/>
    <w:rsid w:val="65BF216B"/>
    <w:rsid w:val="65C01D6F"/>
    <w:rsid w:val="65C07C91"/>
    <w:rsid w:val="65C16C0B"/>
    <w:rsid w:val="65C50EF1"/>
    <w:rsid w:val="65C6174B"/>
    <w:rsid w:val="65C77271"/>
    <w:rsid w:val="65C9123C"/>
    <w:rsid w:val="65CC7A0B"/>
    <w:rsid w:val="65D02869"/>
    <w:rsid w:val="65D35C16"/>
    <w:rsid w:val="65D379C4"/>
    <w:rsid w:val="65DC6B6D"/>
    <w:rsid w:val="65DD6A95"/>
    <w:rsid w:val="65DF1792"/>
    <w:rsid w:val="65E120E1"/>
    <w:rsid w:val="65E816C2"/>
    <w:rsid w:val="65EB11B2"/>
    <w:rsid w:val="65EB68CD"/>
    <w:rsid w:val="65F31E15"/>
    <w:rsid w:val="65F7026D"/>
    <w:rsid w:val="65F8742B"/>
    <w:rsid w:val="65F91B21"/>
    <w:rsid w:val="65FD165F"/>
    <w:rsid w:val="65FE1159"/>
    <w:rsid w:val="65FE2A7B"/>
    <w:rsid w:val="660C6084"/>
    <w:rsid w:val="660D4DB6"/>
    <w:rsid w:val="661477C5"/>
    <w:rsid w:val="66160A45"/>
    <w:rsid w:val="661A55F3"/>
    <w:rsid w:val="661A6B25"/>
    <w:rsid w:val="661B1DC2"/>
    <w:rsid w:val="662238F4"/>
    <w:rsid w:val="66246472"/>
    <w:rsid w:val="662478D9"/>
    <w:rsid w:val="66287D10"/>
    <w:rsid w:val="662906DB"/>
    <w:rsid w:val="662A2411"/>
    <w:rsid w:val="662F6A60"/>
    <w:rsid w:val="66307176"/>
    <w:rsid w:val="6631337B"/>
    <w:rsid w:val="6632293D"/>
    <w:rsid w:val="663462F7"/>
    <w:rsid w:val="6634777A"/>
    <w:rsid w:val="66387600"/>
    <w:rsid w:val="663C43E2"/>
    <w:rsid w:val="663D4A18"/>
    <w:rsid w:val="663E7534"/>
    <w:rsid w:val="663F2C27"/>
    <w:rsid w:val="664561D7"/>
    <w:rsid w:val="66467401"/>
    <w:rsid w:val="664766ED"/>
    <w:rsid w:val="664D46E2"/>
    <w:rsid w:val="664F4377"/>
    <w:rsid w:val="66551352"/>
    <w:rsid w:val="665519B1"/>
    <w:rsid w:val="665603F0"/>
    <w:rsid w:val="665925BF"/>
    <w:rsid w:val="6659407B"/>
    <w:rsid w:val="665B59B8"/>
    <w:rsid w:val="665E774C"/>
    <w:rsid w:val="666176C6"/>
    <w:rsid w:val="66652D12"/>
    <w:rsid w:val="66660838"/>
    <w:rsid w:val="66680A54"/>
    <w:rsid w:val="66683C35"/>
    <w:rsid w:val="666940AF"/>
    <w:rsid w:val="666B40A1"/>
    <w:rsid w:val="666B5E4F"/>
    <w:rsid w:val="66743622"/>
    <w:rsid w:val="6679056C"/>
    <w:rsid w:val="667B0788"/>
    <w:rsid w:val="667C1E0A"/>
    <w:rsid w:val="667E3DD4"/>
    <w:rsid w:val="66815672"/>
    <w:rsid w:val="66846F11"/>
    <w:rsid w:val="668A09CB"/>
    <w:rsid w:val="668A49D7"/>
    <w:rsid w:val="668A591C"/>
    <w:rsid w:val="669021B9"/>
    <w:rsid w:val="66950805"/>
    <w:rsid w:val="66985D66"/>
    <w:rsid w:val="669B7129"/>
    <w:rsid w:val="669F7A84"/>
    <w:rsid w:val="66A2411E"/>
    <w:rsid w:val="66A7157D"/>
    <w:rsid w:val="66A870A3"/>
    <w:rsid w:val="66AA6977"/>
    <w:rsid w:val="66AC0163"/>
    <w:rsid w:val="66B141AA"/>
    <w:rsid w:val="66B21710"/>
    <w:rsid w:val="66B912B0"/>
    <w:rsid w:val="66B94E0C"/>
    <w:rsid w:val="66B96AA1"/>
    <w:rsid w:val="66BE3A8D"/>
    <w:rsid w:val="66C1798D"/>
    <w:rsid w:val="66C37E56"/>
    <w:rsid w:val="66C537B1"/>
    <w:rsid w:val="66C65E9A"/>
    <w:rsid w:val="66C739CD"/>
    <w:rsid w:val="66CB4B3F"/>
    <w:rsid w:val="66CC2D91"/>
    <w:rsid w:val="66CE32B9"/>
    <w:rsid w:val="66DA451A"/>
    <w:rsid w:val="66DB2FD4"/>
    <w:rsid w:val="66DE0289"/>
    <w:rsid w:val="66DF02D1"/>
    <w:rsid w:val="66E63727"/>
    <w:rsid w:val="66E867D7"/>
    <w:rsid w:val="66E86EAD"/>
    <w:rsid w:val="66E96621"/>
    <w:rsid w:val="66EC26D0"/>
    <w:rsid w:val="66EC6E1E"/>
    <w:rsid w:val="66EF3A3C"/>
    <w:rsid w:val="66F3735A"/>
    <w:rsid w:val="66F45E44"/>
    <w:rsid w:val="66F46F9D"/>
    <w:rsid w:val="66F527A2"/>
    <w:rsid w:val="66F61840"/>
    <w:rsid w:val="66F71579"/>
    <w:rsid w:val="66F95B50"/>
    <w:rsid w:val="66FB3704"/>
    <w:rsid w:val="66FB71D3"/>
    <w:rsid w:val="66FF7DF7"/>
    <w:rsid w:val="67031657"/>
    <w:rsid w:val="670544F5"/>
    <w:rsid w:val="67067252"/>
    <w:rsid w:val="670D7F83"/>
    <w:rsid w:val="671174F0"/>
    <w:rsid w:val="67120CBB"/>
    <w:rsid w:val="67121A66"/>
    <w:rsid w:val="671456E2"/>
    <w:rsid w:val="671A7ADD"/>
    <w:rsid w:val="671B2EE6"/>
    <w:rsid w:val="67210FD7"/>
    <w:rsid w:val="67254250"/>
    <w:rsid w:val="6727446C"/>
    <w:rsid w:val="672A6C3F"/>
    <w:rsid w:val="672C1A82"/>
    <w:rsid w:val="672E75A8"/>
    <w:rsid w:val="672F7CA6"/>
    <w:rsid w:val="67300D71"/>
    <w:rsid w:val="67357576"/>
    <w:rsid w:val="67361402"/>
    <w:rsid w:val="67385CE0"/>
    <w:rsid w:val="673B0745"/>
    <w:rsid w:val="673E5311"/>
    <w:rsid w:val="673E642A"/>
    <w:rsid w:val="67443F40"/>
    <w:rsid w:val="6747393F"/>
    <w:rsid w:val="67476636"/>
    <w:rsid w:val="674C1365"/>
    <w:rsid w:val="674E19F8"/>
    <w:rsid w:val="674E6D56"/>
    <w:rsid w:val="67514164"/>
    <w:rsid w:val="67544F09"/>
    <w:rsid w:val="67545D9F"/>
    <w:rsid w:val="67564D51"/>
    <w:rsid w:val="67566AFF"/>
    <w:rsid w:val="6759039D"/>
    <w:rsid w:val="67591E73"/>
    <w:rsid w:val="675B5EC3"/>
    <w:rsid w:val="675B7C74"/>
    <w:rsid w:val="675C175D"/>
    <w:rsid w:val="675D0ED1"/>
    <w:rsid w:val="676520A4"/>
    <w:rsid w:val="676B148F"/>
    <w:rsid w:val="676F5048"/>
    <w:rsid w:val="677156E7"/>
    <w:rsid w:val="677874AE"/>
    <w:rsid w:val="6778782F"/>
    <w:rsid w:val="677C4367"/>
    <w:rsid w:val="677F6661"/>
    <w:rsid w:val="678715CB"/>
    <w:rsid w:val="67880D3F"/>
    <w:rsid w:val="678A7DDB"/>
    <w:rsid w:val="678C631B"/>
    <w:rsid w:val="67915D89"/>
    <w:rsid w:val="6792745E"/>
    <w:rsid w:val="67980EC5"/>
    <w:rsid w:val="67990800"/>
    <w:rsid w:val="679F2254"/>
    <w:rsid w:val="67A430AC"/>
    <w:rsid w:val="67A61834"/>
    <w:rsid w:val="67A62A28"/>
    <w:rsid w:val="67A77DE6"/>
    <w:rsid w:val="67A927F6"/>
    <w:rsid w:val="67AA0343"/>
    <w:rsid w:val="67AC671F"/>
    <w:rsid w:val="67AD4C6F"/>
    <w:rsid w:val="67AF1415"/>
    <w:rsid w:val="67B04461"/>
    <w:rsid w:val="67B33F51"/>
    <w:rsid w:val="67B6134C"/>
    <w:rsid w:val="67B674A5"/>
    <w:rsid w:val="67BC5C43"/>
    <w:rsid w:val="67BD6B7E"/>
    <w:rsid w:val="67BE6419"/>
    <w:rsid w:val="67C01427"/>
    <w:rsid w:val="67C14C35"/>
    <w:rsid w:val="67C21830"/>
    <w:rsid w:val="67C707BA"/>
    <w:rsid w:val="67C70EB0"/>
    <w:rsid w:val="67C779FD"/>
    <w:rsid w:val="67C87282"/>
    <w:rsid w:val="67C972D1"/>
    <w:rsid w:val="67CD2898"/>
    <w:rsid w:val="67D00CED"/>
    <w:rsid w:val="67D50089"/>
    <w:rsid w:val="67D52F0B"/>
    <w:rsid w:val="67D6486C"/>
    <w:rsid w:val="67DE6F5A"/>
    <w:rsid w:val="67E21D20"/>
    <w:rsid w:val="67E91721"/>
    <w:rsid w:val="67EB4DFC"/>
    <w:rsid w:val="67ED7463"/>
    <w:rsid w:val="67F002AE"/>
    <w:rsid w:val="67F27FA1"/>
    <w:rsid w:val="67F325A0"/>
    <w:rsid w:val="67F500C6"/>
    <w:rsid w:val="67F65BEC"/>
    <w:rsid w:val="67FF7DD7"/>
    <w:rsid w:val="6809724F"/>
    <w:rsid w:val="680E3FBA"/>
    <w:rsid w:val="68116221"/>
    <w:rsid w:val="68152516"/>
    <w:rsid w:val="68155D48"/>
    <w:rsid w:val="681E6EE4"/>
    <w:rsid w:val="6825535F"/>
    <w:rsid w:val="68282249"/>
    <w:rsid w:val="68295FC1"/>
    <w:rsid w:val="682B6A23"/>
    <w:rsid w:val="68336E40"/>
    <w:rsid w:val="683616CA"/>
    <w:rsid w:val="683647B6"/>
    <w:rsid w:val="68371C68"/>
    <w:rsid w:val="6837248C"/>
    <w:rsid w:val="683740E0"/>
    <w:rsid w:val="683B7530"/>
    <w:rsid w:val="683D381B"/>
    <w:rsid w:val="683E47F1"/>
    <w:rsid w:val="6841155D"/>
    <w:rsid w:val="6844104D"/>
    <w:rsid w:val="68441343"/>
    <w:rsid w:val="68456DDE"/>
    <w:rsid w:val="68483F2B"/>
    <w:rsid w:val="685260EC"/>
    <w:rsid w:val="685968A7"/>
    <w:rsid w:val="68620088"/>
    <w:rsid w:val="6864524C"/>
    <w:rsid w:val="686A04C4"/>
    <w:rsid w:val="686B1FC1"/>
    <w:rsid w:val="686F6420"/>
    <w:rsid w:val="68707EE0"/>
    <w:rsid w:val="687C2595"/>
    <w:rsid w:val="687E1980"/>
    <w:rsid w:val="68805C64"/>
    <w:rsid w:val="68826BDD"/>
    <w:rsid w:val="688633EB"/>
    <w:rsid w:val="68880F3A"/>
    <w:rsid w:val="689601C3"/>
    <w:rsid w:val="689618A9"/>
    <w:rsid w:val="68976038"/>
    <w:rsid w:val="689B177B"/>
    <w:rsid w:val="689B6077"/>
    <w:rsid w:val="689D4368"/>
    <w:rsid w:val="68A37B22"/>
    <w:rsid w:val="68A73DDC"/>
    <w:rsid w:val="68A865B1"/>
    <w:rsid w:val="68AA0EB0"/>
    <w:rsid w:val="68AA7102"/>
    <w:rsid w:val="68AB4C28"/>
    <w:rsid w:val="68AB69D7"/>
    <w:rsid w:val="68AD77D5"/>
    <w:rsid w:val="68AE1739"/>
    <w:rsid w:val="68AF2C02"/>
    <w:rsid w:val="68B05B70"/>
    <w:rsid w:val="68B14259"/>
    <w:rsid w:val="68B25DBF"/>
    <w:rsid w:val="68B26C05"/>
    <w:rsid w:val="68B37463"/>
    <w:rsid w:val="68B91D64"/>
    <w:rsid w:val="68B94EF8"/>
    <w:rsid w:val="68BB0096"/>
    <w:rsid w:val="68C006D4"/>
    <w:rsid w:val="68C03D48"/>
    <w:rsid w:val="68C311CF"/>
    <w:rsid w:val="68C37FDA"/>
    <w:rsid w:val="68C43098"/>
    <w:rsid w:val="68C5039D"/>
    <w:rsid w:val="68C66B49"/>
    <w:rsid w:val="68C748AC"/>
    <w:rsid w:val="68C83A2C"/>
    <w:rsid w:val="68CA50AF"/>
    <w:rsid w:val="68D03D4B"/>
    <w:rsid w:val="68D0468F"/>
    <w:rsid w:val="68D26659"/>
    <w:rsid w:val="68D67EF7"/>
    <w:rsid w:val="68D756E5"/>
    <w:rsid w:val="68D75A1D"/>
    <w:rsid w:val="68D777CC"/>
    <w:rsid w:val="68DA3521"/>
    <w:rsid w:val="68DC3034"/>
    <w:rsid w:val="68DC4DE2"/>
    <w:rsid w:val="68DE3A82"/>
    <w:rsid w:val="68DF7E75"/>
    <w:rsid w:val="68E1064A"/>
    <w:rsid w:val="68E11314"/>
    <w:rsid w:val="68E14DB7"/>
    <w:rsid w:val="68E15C4E"/>
    <w:rsid w:val="68E32614"/>
    <w:rsid w:val="68E414FB"/>
    <w:rsid w:val="68E81FE4"/>
    <w:rsid w:val="68E833CD"/>
    <w:rsid w:val="68F23210"/>
    <w:rsid w:val="68F32653"/>
    <w:rsid w:val="68F45DCC"/>
    <w:rsid w:val="68F50E93"/>
    <w:rsid w:val="69006512"/>
    <w:rsid w:val="69006D22"/>
    <w:rsid w:val="690F0E48"/>
    <w:rsid w:val="69107EE6"/>
    <w:rsid w:val="69166546"/>
    <w:rsid w:val="691B590A"/>
    <w:rsid w:val="691C2A18"/>
    <w:rsid w:val="691E5BA6"/>
    <w:rsid w:val="69205616"/>
    <w:rsid w:val="69251F9F"/>
    <w:rsid w:val="69256789"/>
    <w:rsid w:val="692C5FB8"/>
    <w:rsid w:val="692E00F1"/>
    <w:rsid w:val="692E3867"/>
    <w:rsid w:val="693370F8"/>
    <w:rsid w:val="69361AA8"/>
    <w:rsid w:val="693A05DF"/>
    <w:rsid w:val="693B5872"/>
    <w:rsid w:val="693F5556"/>
    <w:rsid w:val="69450035"/>
    <w:rsid w:val="69475FF1"/>
    <w:rsid w:val="69482B46"/>
    <w:rsid w:val="69496CB8"/>
    <w:rsid w:val="694B09D7"/>
    <w:rsid w:val="694C3A9B"/>
    <w:rsid w:val="694D5CE0"/>
    <w:rsid w:val="694F7B92"/>
    <w:rsid w:val="69516660"/>
    <w:rsid w:val="69520CDF"/>
    <w:rsid w:val="695210BC"/>
    <w:rsid w:val="69540E1C"/>
    <w:rsid w:val="69564B94"/>
    <w:rsid w:val="69571B05"/>
    <w:rsid w:val="69576D00"/>
    <w:rsid w:val="695A0B28"/>
    <w:rsid w:val="695C6894"/>
    <w:rsid w:val="6962178B"/>
    <w:rsid w:val="696848C8"/>
    <w:rsid w:val="69692B1A"/>
    <w:rsid w:val="696950E0"/>
    <w:rsid w:val="696C085C"/>
    <w:rsid w:val="696E5FD7"/>
    <w:rsid w:val="697119CE"/>
    <w:rsid w:val="69714E3E"/>
    <w:rsid w:val="6977532A"/>
    <w:rsid w:val="697946C2"/>
    <w:rsid w:val="69796116"/>
    <w:rsid w:val="697F058F"/>
    <w:rsid w:val="69804A23"/>
    <w:rsid w:val="69833C19"/>
    <w:rsid w:val="6984294B"/>
    <w:rsid w:val="69863B36"/>
    <w:rsid w:val="69874FEB"/>
    <w:rsid w:val="698A0CE2"/>
    <w:rsid w:val="699253DC"/>
    <w:rsid w:val="69931944"/>
    <w:rsid w:val="699658D9"/>
    <w:rsid w:val="69967FD4"/>
    <w:rsid w:val="699851AD"/>
    <w:rsid w:val="699B220A"/>
    <w:rsid w:val="699C45B5"/>
    <w:rsid w:val="69A00F73"/>
    <w:rsid w:val="69A94CB8"/>
    <w:rsid w:val="69AE2C22"/>
    <w:rsid w:val="69AE7280"/>
    <w:rsid w:val="69B55D5F"/>
    <w:rsid w:val="69B8584F"/>
    <w:rsid w:val="69B87ED7"/>
    <w:rsid w:val="69C02956"/>
    <w:rsid w:val="69C266CE"/>
    <w:rsid w:val="69C53821"/>
    <w:rsid w:val="69C61E03"/>
    <w:rsid w:val="69CA7570"/>
    <w:rsid w:val="69CD5F85"/>
    <w:rsid w:val="69D0505E"/>
    <w:rsid w:val="69D07E53"/>
    <w:rsid w:val="69D27102"/>
    <w:rsid w:val="69D46133"/>
    <w:rsid w:val="69D501AF"/>
    <w:rsid w:val="69D56401"/>
    <w:rsid w:val="69D65CD5"/>
    <w:rsid w:val="69DA1D9A"/>
    <w:rsid w:val="69DB39D5"/>
    <w:rsid w:val="69DB7765"/>
    <w:rsid w:val="69DC2875"/>
    <w:rsid w:val="69DD2A43"/>
    <w:rsid w:val="69E22B27"/>
    <w:rsid w:val="69E34A96"/>
    <w:rsid w:val="69E421A0"/>
    <w:rsid w:val="69E441B8"/>
    <w:rsid w:val="69E6541E"/>
    <w:rsid w:val="69EB1780"/>
    <w:rsid w:val="69EE302F"/>
    <w:rsid w:val="69EE63B5"/>
    <w:rsid w:val="69EE771E"/>
    <w:rsid w:val="69F0323B"/>
    <w:rsid w:val="69F36887"/>
    <w:rsid w:val="69F50225"/>
    <w:rsid w:val="69FF38B2"/>
    <w:rsid w:val="69FF3DA6"/>
    <w:rsid w:val="69FF522C"/>
    <w:rsid w:val="69FF6FDA"/>
    <w:rsid w:val="6A026ACA"/>
    <w:rsid w:val="6A063897"/>
    <w:rsid w:val="6A063A17"/>
    <w:rsid w:val="6A08085A"/>
    <w:rsid w:val="6A0C0298"/>
    <w:rsid w:val="6A0E546F"/>
    <w:rsid w:val="6A132A85"/>
    <w:rsid w:val="6A134810"/>
    <w:rsid w:val="6A152CA1"/>
    <w:rsid w:val="6A174F99"/>
    <w:rsid w:val="6A184540"/>
    <w:rsid w:val="6A1B2F35"/>
    <w:rsid w:val="6A1E5BA7"/>
    <w:rsid w:val="6A2627B9"/>
    <w:rsid w:val="6A2922A9"/>
    <w:rsid w:val="6A367270"/>
    <w:rsid w:val="6A395960"/>
    <w:rsid w:val="6A3B3D50"/>
    <w:rsid w:val="6A3D5D54"/>
    <w:rsid w:val="6A3F66E8"/>
    <w:rsid w:val="6A4A1BE7"/>
    <w:rsid w:val="6A5013D4"/>
    <w:rsid w:val="6A5437CA"/>
    <w:rsid w:val="6A552B2F"/>
    <w:rsid w:val="6A561A0F"/>
    <w:rsid w:val="6A590DE0"/>
    <w:rsid w:val="6A5A4B58"/>
    <w:rsid w:val="6A5C267E"/>
    <w:rsid w:val="6A5E5639"/>
    <w:rsid w:val="6A5E5B5A"/>
    <w:rsid w:val="6A6000A8"/>
    <w:rsid w:val="6A623291"/>
    <w:rsid w:val="6A627D5F"/>
    <w:rsid w:val="6A6414A6"/>
    <w:rsid w:val="6A6B466F"/>
    <w:rsid w:val="6A6E6993"/>
    <w:rsid w:val="6A6F73FD"/>
    <w:rsid w:val="6A7259FE"/>
    <w:rsid w:val="6A7379C8"/>
    <w:rsid w:val="6A775482"/>
    <w:rsid w:val="6A777481"/>
    <w:rsid w:val="6A786D8C"/>
    <w:rsid w:val="6A794FDE"/>
    <w:rsid w:val="6A7A2B04"/>
    <w:rsid w:val="6A7C187D"/>
    <w:rsid w:val="6A835E5D"/>
    <w:rsid w:val="6A845731"/>
    <w:rsid w:val="6A85621C"/>
    <w:rsid w:val="6A86594D"/>
    <w:rsid w:val="6A89218D"/>
    <w:rsid w:val="6A8A0671"/>
    <w:rsid w:val="6A8E1B5F"/>
    <w:rsid w:val="6A9022F3"/>
    <w:rsid w:val="6A9260A0"/>
    <w:rsid w:val="6A971908"/>
    <w:rsid w:val="6A9763E2"/>
    <w:rsid w:val="6AA06A0F"/>
    <w:rsid w:val="6AA67DE6"/>
    <w:rsid w:val="6AAA163C"/>
    <w:rsid w:val="6AAD269B"/>
    <w:rsid w:val="6AAF0860"/>
    <w:rsid w:val="6AB04778"/>
    <w:rsid w:val="6AB11548"/>
    <w:rsid w:val="6AB37DC4"/>
    <w:rsid w:val="6AB53B3C"/>
    <w:rsid w:val="6AB622C6"/>
    <w:rsid w:val="6AB75B07"/>
    <w:rsid w:val="6AB861F0"/>
    <w:rsid w:val="6ABD522A"/>
    <w:rsid w:val="6ABE033D"/>
    <w:rsid w:val="6ABF3FC7"/>
    <w:rsid w:val="6AC1222E"/>
    <w:rsid w:val="6AC364B9"/>
    <w:rsid w:val="6AC45DE2"/>
    <w:rsid w:val="6AC72CC4"/>
    <w:rsid w:val="6ACA25BB"/>
    <w:rsid w:val="6ACC4647"/>
    <w:rsid w:val="6ACE0582"/>
    <w:rsid w:val="6ACE4BFE"/>
    <w:rsid w:val="6AD009DA"/>
    <w:rsid w:val="6AD93563"/>
    <w:rsid w:val="6ADB724B"/>
    <w:rsid w:val="6ADC7D8D"/>
    <w:rsid w:val="6AE03994"/>
    <w:rsid w:val="6AE26EED"/>
    <w:rsid w:val="6AED2EC7"/>
    <w:rsid w:val="6AEF667C"/>
    <w:rsid w:val="6AF02DC7"/>
    <w:rsid w:val="6AF03FDA"/>
    <w:rsid w:val="6AF134FF"/>
    <w:rsid w:val="6AF74155"/>
    <w:rsid w:val="6AFC176B"/>
    <w:rsid w:val="6AFE3735"/>
    <w:rsid w:val="6AFE54E3"/>
    <w:rsid w:val="6B030D4C"/>
    <w:rsid w:val="6B0845B4"/>
    <w:rsid w:val="6B086FCC"/>
    <w:rsid w:val="6B0B7C00"/>
    <w:rsid w:val="6B0D1BCA"/>
    <w:rsid w:val="6B0E4DBF"/>
    <w:rsid w:val="6B0F4184"/>
    <w:rsid w:val="6B122D3D"/>
    <w:rsid w:val="6B1765A5"/>
    <w:rsid w:val="6B1879B2"/>
    <w:rsid w:val="6B194BB7"/>
    <w:rsid w:val="6B1A4738"/>
    <w:rsid w:val="6B1E7934"/>
    <w:rsid w:val="6B230DD3"/>
    <w:rsid w:val="6B257906"/>
    <w:rsid w:val="6B2A5EB5"/>
    <w:rsid w:val="6B2C2051"/>
    <w:rsid w:val="6B337527"/>
    <w:rsid w:val="6B383F7F"/>
    <w:rsid w:val="6B3A0A14"/>
    <w:rsid w:val="6B3B04E6"/>
    <w:rsid w:val="6B3B7A96"/>
    <w:rsid w:val="6B3D7EA2"/>
    <w:rsid w:val="6B4078AA"/>
    <w:rsid w:val="6B413897"/>
    <w:rsid w:val="6B416772"/>
    <w:rsid w:val="6B43383E"/>
    <w:rsid w:val="6B473025"/>
    <w:rsid w:val="6B4750DC"/>
    <w:rsid w:val="6B481837"/>
    <w:rsid w:val="6B4926B5"/>
    <w:rsid w:val="6B4D66FA"/>
    <w:rsid w:val="6B4F19B6"/>
    <w:rsid w:val="6B4F5D3F"/>
    <w:rsid w:val="6B5415A7"/>
    <w:rsid w:val="6B55691E"/>
    <w:rsid w:val="6B585788"/>
    <w:rsid w:val="6B591326"/>
    <w:rsid w:val="6B5B0500"/>
    <w:rsid w:val="6B616100"/>
    <w:rsid w:val="6B642CD6"/>
    <w:rsid w:val="6B6562D0"/>
    <w:rsid w:val="6B6970A8"/>
    <w:rsid w:val="6B6F4633"/>
    <w:rsid w:val="6B722972"/>
    <w:rsid w:val="6B723074"/>
    <w:rsid w:val="6B767770"/>
    <w:rsid w:val="6B7802AB"/>
    <w:rsid w:val="6B7B2FD8"/>
    <w:rsid w:val="6B7D0AFE"/>
    <w:rsid w:val="6B7D28AC"/>
    <w:rsid w:val="6B7E50FD"/>
    <w:rsid w:val="6B805304"/>
    <w:rsid w:val="6B816C0D"/>
    <w:rsid w:val="6B817F21"/>
    <w:rsid w:val="6B826114"/>
    <w:rsid w:val="6B8A5070"/>
    <w:rsid w:val="6B93461B"/>
    <w:rsid w:val="6B9706BD"/>
    <w:rsid w:val="6B97756C"/>
    <w:rsid w:val="6B9B2D32"/>
    <w:rsid w:val="6B9D2F4E"/>
    <w:rsid w:val="6B9E0FF1"/>
    <w:rsid w:val="6BA50055"/>
    <w:rsid w:val="6BA5696D"/>
    <w:rsid w:val="6BAC0302"/>
    <w:rsid w:val="6BAC3191"/>
    <w:rsid w:val="6BAE234B"/>
    <w:rsid w:val="6BAE6F0A"/>
    <w:rsid w:val="6BAF38BF"/>
    <w:rsid w:val="6BB16398"/>
    <w:rsid w:val="6BC26511"/>
    <w:rsid w:val="6BC56001"/>
    <w:rsid w:val="6BC929AB"/>
    <w:rsid w:val="6BCA3618"/>
    <w:rsid w:val="6BD149A6"/>
    <w:rsid w:val="6BD2533F"/>
    <w:rsid w:val="6BD526E8"/>
    <w:rsid w:val="6BD9385B"/>
    <w:rsid w:val="6BDA7CFF"/>
    <w:rsid w:val="6BE05B99"/>
    <w:rsid w:val="6BE20961"/>
    <w:rsid w:val="6BE261EA"/>
    <w:rsid w:val="6BE82FF2"/>
    <w:rsid w:val="6BE975C7"/>
    <w:rsid w:val="6BEC2833"/>
    <w:rsid w:val="6BEE01E3"/>
    <w:rsid w:val="6BF06166"/>
    <w:rsid w:val="6BF65EA5"/>
    <w:rsid w:val="6BFC2657"/>
    <w:rsid w:val="6BFD1C3F"/>
    <w:rsid w:val="6C0268B3"/>
    <w:rsid w:val="6C032026"/>
    <w:rsid w:val="6C073384"/>
    <w:rsid w:val="6C1238A1"/>
    <w:rsid w:val="6C13023F"/>
    <w:rsid w:val="6C134FBF"/>
    <w:rsid w:val="6C1470FF"/>
    <w:rsid w:val="6C1B1C3B"/>
    <w:rsid w:val="6C1B3174"/>
    <w:rsid w:val="6C1D6B60"/>
    <w:rsid w:val="6C20659F"/>
    <w:rsid w:val="6C25367D"/>
    <w:rsid w:val="6C262F44"/>
    <w:rsid w:val="6C292920"/>
    <w:rsid w:val="6C292A34"/>
    <w:rsid w:val="6C2A2035"/>
    <w:rsid w:val="6C2C3374"/>
    <w:rsid w:val="6C3225AC"/>
    <w:rsid w:val="6C327B3B"/>
    <w:rsid w:val="6C3532EC"/>
    <w:rsid w:val="6C3A69EF"/>
    <w:rsid w:val="6C3D028D"/>
    <w:rsid w:val="6C3F0FBE"/>
    <w:rsid w:val="6C4270CD"/>
    <w:rsid w:val="6C437F3D"/>
    <w:rsid w:val="6C4A4EAE"/>
    <w:rsid w:val="6C4B4758"/>
    <w:rsid w:val="6C4D3E71"/>
    <w:rsid w:val="6C4D6279"/>
    <w:rsid w:val="6C513BCB"/>
    <w:rsid w:val="6C553829"/>
    <w:rsid w:val="6C555C92"/>
    <w:rsid w:val="6C570BA7"/>
    <w:rsid w:val="6C597A48"/>
    <w:rsid w:val="6C5B7090"/>
    <w:rsid w:val="6C5D1302"/>
    <w:rsid w:val="6C5D623A"/>
    <w:rsid w:val="6C5F1FB2"/>
    <w:rsid w:val="6C645983"/>
    <w:rsid w:val="6C6B4DFB"/>
    <w:rsid w:val="6C6C3702"/>
    <w:rsid w:val="6C6D6EED"/>
    <w:rsid w:val="6C6E132E"/>
    <w:rsid w:val="6C6E5E08"/>
    <w:rsid w:val="6C715442"/>
    <w:rsid w:val="6C726722"/>
    <w:rsid w:val="6C77554D"/>
    <w:rsid w:val="6C79198D"/>
    <w:rsid w:val="6C793453"/>
    <w:rsid w:val="6C7A3BB1"/>
    <w:rsid w:val="6C7A6DEC"/>
    <w:rsid w:val="6C7D2592"/>
    <w:rsid w:val="6C8163CC"/>
    <w:rsid w:val="6C8200E2"/>
    <w:rsid w:val="6C866FB2"/>
    <w:rsid w:val="6C87137F"/>
    <w:rsid w:val="6C8753A4"/>
    <w:rsid w:val="6C891725"/>
    <w:rsid w:val="6C8B3EAA"/>
    <w:rsid w:val="6C8D4D71"/>
    <w:rsid w:val="6C8E0883"/>
    <w:rsid w:val="6C8E3E1C"/>
    <w:rsid w:val="6C903F92"/>
    <w:rsid w:val="6C914DA5"/>
    <w:rsid w:val="6C945551"/>
    <w:rsid w:val="6C953C26"/>
    <w:rsid w:val="6C9957BD"/>
    <w:rsid w:val="6C9A56E0"/>
    <w:rsid w:val="6CA33B4D"/>
    <w:rsid w:val="6CA64085"/>
    <w:rsid w:val="6CA976D1"/>
    <w:rsid w:val="6CAB20CE"/>
    <w:rsid w:val="6CAB6A80"/>
    <w:rsid w:val="6CB03BB7"/>
    <w:rsid w:val="6CB15C53"/>
    <w:rsid w:val="6CB24EA6"/>
    <w:rsid w:val="6CB30550"/>
    <w:rsid w:val="6CB46C8A"/>
    <w:rsid w:val="6CBA7B30"/>
    <w:rsid w:val="6CBB4412"/>
    <w:rsid w:val="6CBE4842"/>
    <w:rsid w:val="6CC369E5"/>
    <w:rsid w:val="6CC664D5"/>
    <w:rsid w:val="6CCE77F6"/>
    <w:rsid w:val="6CD16737"/>
    <w:rsid w:val="6CD219EB"/>
    <w:rsid w:val="6CD30260"/>
    <w:rsid w:val="6CD37ECE"/>
    <w:rsid w:val="6CD55BE9"/>
    <w:rsid w:val="6CD7423E"/>
    <w:rsid w:val="6CDE0BFE"/>
    <w:rsid w:val="6CE15AE1"/>
    <w:rsid w:val="6CE626D3"/>
    <w:rsid w:val="6CE93F71"/>
    <w:rsid w:val="6CF256DA"/>
    <w:rsid w:val="6CF566B4"/>
    <w:rsid w:val="6CF92406"/>
    <w:rsid w:val="6CFA588B"/>
    <w:rsid w:val="6CFC0669"/>
    <w:rsid w:val="6D016DCE"/>
    <w:rsid w:val="6D0229F4"/>
    <w:rsid w:val="6D043C4C"/>
    <w:rsid w:val="6D082649"/>
    <w:rsid w:val="6D0D2D09"/>
    <w:rsid w:val="6D0E6EE7"/>
    <w:rsid w:val="6D0F39D8"/>
    <w:rsid w:val="6D12171A"/>
    <w:rsid w:val="6D142D9C"/>
    <w:rsid w:val="6D1C46E8"/>
    <w:rsid w:val="6D2154B9"/>
    <w:rsid w:val="6D25033F"/>
    <w:rsid w:val="6D2862D3"/>
    <w:rsid w:val="6D286848"/>
    <w:rsid w:val="6D2D60D5"/>
    <w:rsid w:val="6D342B2B"/>
    <w:rsid w:val="6D3616A8"/>
    <w:rsid w:val="6D39759E"/>
    <w:rsid w:val="6D4159E8"/>
    <w:rsid w:val="6D45389E"/>
    <w:rsid w:val="6D4F64CA"/>
    <w:rsid w:val="6D52330E"/>
    <w:rsid w:val="6D5263BD"/>
    <w:rsid w:val="6D574E5A"/>
    <w:rsid w:val="6D5835D1"/>
    <w:rsid w:val="6D59444B"/>
    <w:rsid w:val="6D5B75EC"/>
    <w:rsid w:val="6D5C1C06"/>
    <w:rsid w:val="6D5C4743"/>
    <w:rsid w:val="6D5E6D5D"/>
    <w:rsid w:val="6D621AC3"/>
    <w:rsid w:val="6D6A2159"/>
    <w:rsid w:val="6D6C13AB"/>
    <w:rsid w:val="6D76514E"/>
    <w:rsid w:val="6D7E5FDA"/>
    <w:rsid w:val="6D836CE0"/>
    <w:rsid w:val="6D8640B1"/>
    <w:rsid w:val="6D885538"/>
    <w:rsid w:val="6D8D2B4F"/>
    <w:rsid w:val="6D8E0357"/>
    <w:rsid w:val="6D8E6A7C"/>
    <w:rsid w:val="6D936168"/>
    <w:rsid w:val="6D996773"/>
    <w:rsid w:val="6D9F614E"/>
    <w:rsid w:val="6DA0678B"/>
    <w:rsid w:val="6DAA05C8"/>
    <w:rsid w:val="6DAB457E"/>
    <w:rsid w:val="6DAC1227"/>
    <w:rsid w:val="6DAC5B28"/>
    <w:rsid w:val="6DAC7479"/>
    <w:rsid w:val="6DB175E8"/>
    <w:rsid w:val="6DB3035B"/>
    <w:rsid w:val="6DB602F7"/>
    <w:rsid w:val="6DB63E53"/>
    <w:rsid w:val="6DB70E22"/>
    <w:rsid w:val="6DB95EA9"/>
    <w:rsid w:val="6DBA50FC"/>
    <w:rsid w:val="6DBF70D2"/>
    <w:rsid w:val="6DC13572"/>
    <w:rsid w:val="6DC76061"/>
    <w:rsid w:val="6DD16EDF"/>
    <w:rsid w:val="6DD4077E"/>
    <w:rsid w:val="6DD73428"/>
    <w:rsid w:val="6DDF5B5A"/>
    <w:rsid w:val="6DE11C2D"/>
    <w:rsid w:val="6DE44E65"/>
    <w:rsid w:val="6DE54BFE"/>
    <w:rsid w:val="6DEB0C65"/>
    <w:rsid w:val="6DF63D9B"/>
    <w:rsid w:val="6E001573"/>
    <w:rsid w:val="6E003592"/>
    <w:rsid w:val="6E107FD6"/>
    <w:rsid w:val="6E133EA4"/>
    <w:rsid w:val="6E166F6D"/>
    <w:rsid w:val="6E172B8A"/>
    <w:rsid w:val="6E19524B"/>
    <w:rsid w:val="6E1B6B5E"/>
    <w:rsid w:val="6E1F6C4D"/>
    <w:rsid w:val="6E22773B"/>
    <w:rsid w:val="6E2C4E40"/>
    <w:rsid w:val="6E2F79D0"/>
    <w:rsid w:val="6E34279B"/>
    <w:rsid w:val="6E361438"/>
    <w:rsid w:val="6E386F5E"/>
    <w:rsid w:val="6E391D7C"/>
    <w:rsid w:val="6E3B7CA3"/>
    <w:rsid w:val="6E3F048F"/>
    <w:rsid w:val="6E426893"/>
    <w:rsid w:val="6E427DDD"/>
    <w:rsid w:val="6E441C04"/>
    <w:rsid w:val="6E462807"/>
    <w:rsid w:val="6E4D5981"/>
    <w:rsid w:val="6E526272"/>
    <w:rsid w:val="6E56172B"/>
    <w:rsid w:val="6E5636E2"/>
    <w:rsid w:val="6E5A0D71"/>
    <w:rsid w:val="6E5A7209"/>
    <w:rsid w:val="6E5F098F"/>
    <w:rsid w:val="6E624767"/>
    <w:rsid w:val="6E676937"/>
    <w:rsid w:val="6E6C6C08"/>
    <w:rsid w:val="6E6F0B18"/>
    <w:rsid w:val="6E6F18B3"/>
    <w:rsid w:val="6E6F70DA"/>
    <w:rsid w:val="6E734829"/>
    <w:rsid w:val="6E7361E8"/>
    <w:rsid w:val="6E74364F"/>
    <w:rsid w:val="6E7C1985"/>
    <w:rsid w:val="6E7D0E15"/>
    <w:rsid w:val="6E7F49E8"/>
    <w:rsid w:val="6E7F693B"/>
    <w:rsid w:val="6E832FE0"/>
    <w:rsid w:val="6E8421A4"/>
    <w:rsid w:val="6E861814"/>
    <w:rsid w:val="6E867CCA"/>
    <w:rsid w:val="6E881C94"/>
    <w:rsid w:val="6E8C5C00"/>
    <w:rsid w:val="6E8F3F0B"/>
    <w:rsid w:val="6E900300"/>
    <w:rsid w:val="6E91041D"/>
    <w:rsid w:val="6E9437BA"/>
    <w:rsid w:val="6E952928"/>
    <w:rsid w:val="6E961469"/>
    <w:rsid w:val="6E96616B"/>
    <w:rsid w:val="6E970129"/>
    <w:rsid w:val="6E9A3775"/>
    <w:rsid w:val="6E9B2C78"/>
    <w:rsid w:val="6E9C15B0"/>
    <w:rsid w:val="6E9C71CB"/>
    <w:rsid w:val="6E9E1D83"/>
    <w:rsid w:val="6E9E2480"/>
    <w:rsid w:val="6EA13F6B"/>
    <w:rsid w:val="6EA24680"/>
    <w:rsid w:val="6EA42CF3"/>
    <w:rsid w:val="6EA445F4"/>
    <w:rsid w:val="6EA97AE7"/>
    <w:rsid w:val="6EAD7900"/>
    <w:rsid w:val="6EB057E5"/>
    <w:rsid w:val="6EB133F4"/>
    <w:rsid w:val="6EB23BF4"/>
    <w:rsid w:val="6EB32A89"/>
    <w:rsid w:val="6EB64156"/>
    <w:rsid w:val="6EB7074A"/>
    <w:rsid w:val="6EBF142E"/>
    <w:rsid w:val="6EC95E08"/>
    <w:rsid w:val="6ECC42C7"/>
    <w:rsid w:val="6ECE369B"/>
    <w:rsid w:val="6ED245DF"/>
    <w:rsid w:val="6ED24CBD"/>
    <w:rsid w:val="6ED722D3"/>
    <w:rsid w:val="6EDE2372"/>
    <w:rsid w:val="6EDF5678"/>
    <w:rsid w:val="6EE3511C"/>
    <w:rsid w:val="6EE75CE1"/>
    <w:rsid w:val="6EE85F00"/>
    <w:rsid w:val="6EEA513A"/>
    <w:rsid w:val="6EED3F25"/>
    <w:rsid w:val="6EF2710D"/>
    <w:rsid w:val="6EF51E3C"/>
    <w:rsid w:val="6EF778A2"/>
    <w:rsid w:val="6EF844E0"/>
    <w:rsid w:val="6EF90FD5"/>
    <w:rsid w:val="6EF966EE"/>
    <w:rsid w:val="6EFA1771"/>
    <w:rsid w:val="6EFA4214"/>
    <w:rsid w:val="6EFB386B"/>
    <w:rsid w:val="6EFC7579"/>
    <w:rsid w:val="6EFE0E88"/>
    <w:rsid w:val="6F0230C8"/>
    <w:rsid w:val="6F0A5641"/>
    <w:rsid w:val="6F0B072C"/>
    <w:rsid w:val="6F0E2E09"/>
    <w:rsid w:val="6F12155D"/>
    <w:rsid w:val="6F1572A0"/>
    <w:rsid w:val="6F1654F2"/>
    <w:rsid w:val="6F18168D"/>
    <w:rsid w:val="6F1C401B"/>
    <w:rsid w:val="6F1D270A"/>
    <w:rsid w:val="6F217A0F"/>
    <w:rsid w:val="6F267133"/>
    <w:rsid w:val="6F282B2F"/>
    <w:rsid w:val="6F286FD3"/>
    <w:rsid w:val="6F2A4AF9"/>
    <w:rsid w:val="6F2D3D9C"/>
    <w:rsid w:val="6F32291A"/>
    <w:rsid w:val="6F331FE6"/>
    <w:rsid w:val="6F332669"/>
    <w:rsid w:val="6F35349E"/>
    <w:rsid w:val="6F354D8E"/>
    <w:rsid w:val="6F374E5A"/>
    <w:rsid w:val="6F3C349A"/>
    <w:rsid w:val="6F400E21"/>
    <w:rsid w:val="6F421EB3"/>
    <w:rsid w:val="6F433BCC"/>
    <w:rsid w:val="6F4D07E7"/>
    <w:rsid w:val="6F4D36F0"/>
    <w:rsid w:val="6F5161F4"/>
    <w:rsid w:val="6F53573A"/>
    <w:rsid w:val="6F545B52"/>
    <w:rsid w:val="6F563B40"/>
    <w:rsid w:val="6F564378"/>
    <w:rsid w:val="6F59718C"/>
    <w:rsid w:val="6F5B1156"/>
    <w:rsid w:val="6F5B3DB3"/>
    <w:rsid w:val="6F5C4ECE"/>
    <w:rsid w:val="6F60051B"/>
    <w:rsid w:val="6F6647F5"/>
    <w:rsid w:val="6F6859DE"/>
    <w:rsid w:val="6F6B4E7B"/>
    <w:rsid w:val="6F6C7A6A"/>
    <w:rsid w:val="6F6E2C8D"/>
    <w:rsid w:val="6F6E4F23"/>
    <w:rsid w:val="6F6F164B"/>
    <w:rsid w:val="6F7044D6"/>
    <w:rsid w:val="6F742369"/>
    <w:rsid w:val="6F746F20"/>
    <w:rsid w:val="6F775864"/>
    <w:rsid w:val="6F7A7103"/>
    <w:rsid w:val="6F7B61B3"/>
    <w:rsid w:val="6F7E7D16"/>
    <w:rsid w:val="6F7F42B3"/>
    <w:rsid w:val="6F805C7B"/>
    <w:rsid w:val="6F852BA1"/>
    <w:rsid w:val="6F862F96"/>
    <w:rsid w:val="6F863CF9"/>
    <w:rsid w:val="6F865AA7"/>
    <w:rsid w:val="6F896B35"/>
    <w:rsid w:val="6F8B7DFD"/>
    <w:rsid w:val="6F9115F9"/>
    <w:rsid w:val="6F955468"/>
    <w:rsid w:val="6F9811D9"/>
    <w:rsid w:val="6F9D79E9"/>
    <w:rsid w:val="6F9E6F8F"/>
    <w:rsid w:val="6FA1193A"/>
    <w:rsid w:val="6FAA5C3A"/>
    <w:rsid w:val="6FAB550E"/>
    <w:rsid w:val="6FAB6D09"/>
    <w:rsid w:val="6FAC19B2"/>
    <w:rsid w:val="6FB10B8F"/>
    <w:rsid w:val="6FB10D76"/>
    <w:rsid w:val="6FB1521A"/>
    <w:rsid w:val="6FB2063A"/>
    <w:rsid w:val="6FB36D88"/>
    <w:rsid w:val="6FB51F82"/>
    <w:rsid w:val="6FB95E7D"/>
    <w:rsid w:val="6FBD596D"/>
    <w:rsid w:val="6FC00FB9"/>
    <w:rsid w:val="6FC07921"/>
    <w:rsid w:val="6FC50CC6"/>
    <w:rsid w:val="6FC83DE4"/>
    <w:rsid w:val="6FCD36D6"/>
    <w:rsid w:val="6FCE7B7A"/>
    <w:rsid w:val="6FD74555"/>
    <w:rsid w:val="6FD84D70"/>
    <w:rsid w:val="6FDD69B2"/>
    <w:rsid w:val="6FE04479"/>
    <w:rsid w:val="6FE10C9D"/>
    <w:rsid w:val="6FE229A3"/>
    <w:rsid w:val="6FE3074D"/>
    <w:rsid w:val="6FE36E8A"/>
    <w:rsid w:val="6FF15617"/>
    <w:rsid w:val="6FF2313D"/>
    <w:rsid w:val="6FF375E1"/>
    <w:rsid w:val="6FF62C2D"/>
    <w:rsid w:val="6FF64882"/>
    <w:rsid w:val="6FF91777"/>
    <w:rsid w:val="6FFE5F86"/>
    <w:rsid w:val="70001CFE"/>
    <w:rsid w:val="70030506"/>
    <w:rsid w:val="700712E0"/>
    <w:rsid w:val="70076BE8"/>
    <w:rsid w:val="70077D61"/>
    <w:rsid w:val="700C6D4F"/>
    <w:rsid w:val="70111815"/>
    <w:rsid w:val="70180DF5"/>
    <w:rsid w:val="70197BA3"/>
    <w:rsid w:val="701C0F58"/>
    <w:rsid w:val="7020414E"/>
    <w:rsid w:val="70242677"/>
    <w:rsid w:val="70290E4B"/>
    <w:rsid w:val="70293003"/>
    <w:rsid w:val="70294DB1"/>
    <w:rsid w:val="702972D1"/>
    <w:rsid w:val="702C37F5"/>
    <w:rsid w:val="70364FD3"/>
    <w:rsid w:val="70396916"/>
    <w:rsid w:val="703A52D8"/>
    <w:rsid w:val="70454009"/>
    <w:rsid w:val="70473489"/>
    <w:rsid w:val="704A532F"/>
    <w:rsid w:val="704B0EC0"/>
    <w:rsid w:val="704B38BB"/>
    <w:rsid w:val="704E0CBB"/>
    <w:rsid w:val="704F6A48"/>
    <w:rsid w:val="70501F38"/>
    <w:rsid w:val="705520C7"/>
    <w:rsid w:val="70576D06"/>
    <w:rsid w:val="705C7A47"/>
    <w:rsid w:val="705F0494"/>
    <w:rsid w:val="70600519"/>
    <w:rsid w:val="7060454A"/>
    <w:rsid w:val="70641B17"/>
    <w:rsid w:val="7064403B"/>
    <w:rsid w:val="70657DB3"/>
    <w:rsid w:val="70673B2B"/>
    <w:rsid w:val="70681925"/>
    <w:rsid w:val="706930C5"/>
    <w:rsid w:val="706A53C9"/>
    <w:rsid w:val="706B0B16"/>
    <w:rsid w:val="706C2927"/>
    <w:rsid w:val="706F0BCD"/>
    <w:rsid w:val="707115C7"/>
    <w:rsid w:val="70713D35"/>
    <w:rsid w:val="70781894"/>
    <w:rsid w:val="707A1AB0"/>
    <w:rsid w:val="707D474A"/>
    <w:rsid w:val="70840239"/>
    <w:rsid w:val="708560B8"/>
    <w:rsid w:val="70865894"/>
    <w:rsid w:val="708F339A"/>
    <w:rsid w:val="708F53BC"/>
    <w:rsid w:val="70912956"/>
    <w:rsid w:val="70950698"/>
    <w:rsid w:val="709B2FCE"/>
    <w:rsid w:val="709E3B2F"/>
    <w:rsid w:val="70A12DCC"/>
    <w:rsid w:val="70A5584A"/>
    <w:rsid w:val="70A631A8"/>
    <w:rsid w:val="70A633F6"/>
    <w:rsid w:val="70A66FB1"/>
    <w:rsid w:val="70AB1C6A"/>
    <w:rsid w:val="70AF38CE"/>
    <w:rsid w:val="70B07280"/>
    <w:rsid w:val="70B317A6"/>
    <w:rsid w:val="70B51A72"/>
    <w:rsid w:val="70BA00FF"/>
    <w:rsid w:val="70BD6C24"/>
    <w:rsid w:val="70BF14E0"/>
    <w:rsid w:val="70BF74C3"/>
    <w:rsid w:val="70C106A6"/>
    <w:rsid w:val="70C30EE9"/>
    <w:rsid w:val="70C55C06"/>
    <w:rsid w:val="70C66CAF"/>
    <w:rsid w:val="70CB3294"/>
    <w:rsid w:val="70CB40BA"/>
    <w:rsid w:val="70CB5E68"/>
    <w:rsid w:val="70D1376C"/>
    <w:rsid w:val="70D31DA0"/>
    <w:rsid w:val="70D74F20"/>
    <w:rsid w:val="70E21403"/>
    <w:rsid w:val="70E51DA8"/>
    <w:rsid w:val="70E64A50"/>
    <w:rsid w:val="70E707C8"/>
    <w:rsid w:val="70E83B4C"/>
    <w:rsid w:val="70EE4399"/>
    <w:rsid w:val="70F133F4"/>
    <w:rsid w:val="70F25AEA"/>
    <w:rsid w:val="70F32D3F"/>
    <w:rsid w:val="70F3716D"/>
    <w:rsid w:val="70F43EAF"/>
    <w:rsid w:val="70F6526B"/>
    <w:rsid w:val="70F72A2A"/>
    <w:rsid w:val="70F91BE8"/>
    <w:rsid w:val="71045209"/>
    <w:rsid w:val="7104581E"/>
    <w:rsid w:val="71074248"/>
    <w:rsid w:val="710C5D05"/>
    <w:rsid w:val="71155335"/>
    <w:rsid w:val="71184E25"/>
    <w:rsid w:val="712213F6"/>
    <w:rsid w:val="7123303A"/>
    <w:rsid w:val="712471B1"/>
    <w:rsid w:val="71291657"/>
    <w:rsid w:val="71297032"/>
    <w:rsid w:val="712B6D83"/>
    <w:rsid w:val="712D5A7F"/>
    <w:rsid w:val="712E4649"/>
    <w:rsid w:val="712E5F5E"/>
    <w:rsid w:val="71333A0D"/>
    <w:rsid w:val="713530C5"/>
    <w:rsid w:val="713A45C2"/>
    <w:rsid w:val="713D1613"/>
    <w:rsid w:val="713F6856"/>
    <w:rsid w:val="71442D05"/>
    <w:rsid w:val="714528A7"/>
    <w:rsid w:val="71461582"/>
    <w:rsid w:val="7148395C"/>
    <w:rsid w:val="714874B8"/>
    <w:rsid w:val="714C4D5A"/>
    <w:rsid w:val="71520859"/>
    <w:rsid w:val="71526589"/>
    <w:rsid w:val="71573B9F"/>
    <w:rsid w:val="715C1684"/>
    <w:rsid w:val="715F5699"/>
    <w:rsid w:val="71600CA6"/>
    <w:rsid w:val="7162015F"/>
    <w:rsid w:val="716247A9"/>
    <w:rsid w:val="7164052D"/>
    <w:rsid w:val="716419ED"/>
    <w:rsid w:val="71665B90"/>
    <w:rsid w:val="716B31A7"/>
    <w:rsid w:val="716D48D3"/>
    <w:rsid w:val="717604C9"/>
    <w:rsid w:val="71785BFA"/>
    <w:rsid w:val="717A0B13"/>
    <w:rsid w:val="717E779D"/>
    <w:rsid w:val="71800547"/>
    <w:rsid w:val="71811C19"/>
    <w:rsid w:val="71881FAB"/>
    <w:rsid w:val="71883789"/>
    <w:rsid w:val="71915F81"/>
    <w:rsid w:val="71926986"/>
    <w:rsid w:val="71954A73"/>
    <w:rsid w:val="71954C28"/>
    <w:rsid w:val="719730CF"/>
    <w:rsid w:val="7197610A"/>
    <w:rsid w:val="719941B8"/>
    <w:rsid w:val="719A38B5"/>
    <w:rsid w:val="719B4B08"/>
    <w:rsid w:val="719E532A"/>
    <w:rsid w:val="71A0514D"/>
    <w:rsid w:val="71A911D4"/>
    <w:rsid w:val="71B21666"/>
    <w:rsid w:val="71B33CCF"/>
    <w:rsid w:val="71B452B1"/>
    <w:rsid w:val="71B96608"/>
    <w:rsid w:val="71BD658C"/>
    <w:rsid w:val="71C44FC9"/>
    <w:rsid w:val="71C45EE2"/>
    <w:rsid w:val="71C56D5B"/>
    <w:rsid w:val="71C8244B"/>
    <w:rsid w:val="71CC633B"/>
    <w:rsid w:val="71CC72AB"/>
    <w:rsid w:val="71CD79BE"/>
    <w:rsid w:val="71CF5481"/>
    <w:rsid w:val="71D13952"/>
    <w:rsid w:val="71D64AC4"/>
    <w:rsid w:val="71DA4432"/>
    <w:rsid w:val="71DB032D"/>
    <w:rsid w:val="71DC5E53"/>
    <w:rsid w:val="71DE00AC"/>
    <w:rsid w:val="71DE2845"/>
    <w:rsid w:val="71E05943"/>
    <w:rsid w:val="71E31D57"/>
    <w:rsid w:val="71E50484"/>
    <w:rsid w:val="71E60EA3"/>
    <w:rsid w:val="71E80C9B"/>
    <w:rsid w:val="71EB362C"/>
    <w:rsid w:val="71F11525"/>
    <w:rsid w:val="71F43001"/>
    <w:rsid w:val="71F60040"/>
    <w:rsid w:val="71F633B8"/>
    <w:rsid w:val="71F8140B"/>
    <w:rsid w:val="71FA5C5D"/>
    <w:rsid w:val="71FB4625"/>
    <w:rsid w:val="71FD1F1E"/>
    <w:rsid w:val="72007D93"/>
    <w:rsid w:val="72024875"/>
    <w:rsid w:val="72071AF2"/>
    <w:rsid w:val="72086C27"/>
    <w:rsid w:val="720D425E"/>
    <w:rsid w:val="72133F6A"/>
    <w:rsid w:val="72135E5F"/>
    <w:rsid w:val="721E7B7A"/>
    <w:rsid w:val="72243F98"/>
    <w:rsid w:val="722A3062"/>
    <w:rsid w:val="722C2936"/>
    <w:rsid w:val="723119E2"/>
    <w:rsid w:val="72340BE8"/>
    <w:rsid w:val="72361A07"/>
    <w:rsid w:val="72365481"/>
    <w:rsid w:val="72375041"/>
    <w:rsid w:val="7242215A"/>
    <w:rsid w:val="72423D2D"/>
    <w:rsid w:val="72426B0A"/>
    <w:rsid w:val="72430F2C"/>
    <w:rsid w:val="72456A60"/>
    <w:rsid w:val="72495BB3"/>
    <w:rsid w:val="724A7260"/>
    <w:rsid w:val="724B3F40"/>
    <w:rsid w:val="724E5AF5"/>
    <w:rsid w:val="725105EF"/>
    <w:rsid w:val="72511755"/>
    <w:rsid w:val="72531D65"/>
    <w:rsid w:val="72557B5F"/>
    <w:rsid w:val="725620A9"/>
    <w:rsid w:val="7260609B"/>
    <w:rsid w:val="72636269"/>
    <w:rsid w:val="7268204E"/>
    <w:rsid w:val="726A3175"/>
    <w:rsid w:val="726B668A"/>
    <w:rsid w:val="72712988"/>
    <w:rsid w:val="72750781"/>
    <w:rsid w:val="72766E8C"/>
    <w:rsid w:val="727C2B53"/>
    <w:rsid w:val="728B1D53"/>
    <w:rsid w:val="728F1AF8"/>
    <w:rsid w:val="728F5CFA"/>
    <w:rsid w:val="729171F1"/>
    <w:rsid w:val="729A01E8"/>
    <w:rsid w:val="729A3D44"/>
    <w:rsid w:val="729B4B7A"/>
    <w:rsid w:val="729C3F60"/>
    <w:rsid w:val="72A30FC0"/>
    <w:rsid w:val="72A7258E"/>
    <w:rsid w:val="72A90315"/>
    <w:rsid w:val="72A91A40"/>
    <w:rsid w:val="72B1108D"/>
    <w:rsid w:val="72B55021"/>
    <w:rsid w:val="72B62B48"/>
    <w:rsid w:val="72B87A0A"/>
    <w:rsid w:val="72B90511"/>
    <w:rsid w:val="72BF7C4E"/>
    <w:rsid w:val="72C07522"/>
    <w:rsid w:val="72C214EC"/>
    <w:rsid w:val="72C26352"/>
    <w:rsid w:val="72C30339"/>
    <w:rsid w:val="72C52965"/>
    <w:rsid w:val="72C76B03"/>
    <w:rsid w:val="72CC236B"/>
    <w:rsid w:val="72D0391E"/>
    <w:rsid w:val="72D070C3"/>
    <w:rsid w:val="72D23907"/>
    <w:rsid w:val="72D336FA"/>
    <w:rsid w:val="72D446D2"/>
    <w:rsid w:val="72DB435C"/>
    <w:rsid w:val="72DD00D4"/>
    <w:rsid w:val="72E0594C"/>
    <w:rsid w:val="72E256EB"/>
    <w:rsid w:val="72E74AAF"/>
    <w:rsid w:val="72E94CCB"/>
    <w:rsid w:val="72EB4947"/>
    <w:rsid w:val="72EE5E3E"/>
    <w:rsid w:val="72F316A6"/>
    <w:rsid w:val="72F71196"/>
    <w:rsid w:val="72F77378"/>
    <w:rsid w:val="72F773E8"/>
    <w:rsid w:val="72FE1BE9"/>
    <w:rsid w:val="73052032"/>
    <w:rsid w:val="730538B1"/>
    <w:rsid w:val="73076EFF"/>
    <w:rsid w:val="73117D7E"/>
    <w:rsid w:val="73130BD3"/>
    <w:rsid w:val="73137F9A"/>
    <w:rsid w:val="73144AD0"/>
    <w:rsid w:val="73165394"/>
    <w:rsid w:val="7318110C"/>
    <w:rsid w:val="7318735E"/>
    <w:rsid w:val="731A1328"/>
    <w:rsid w:val="731E36F9"/>
    <w:rsid w:val="73220801"/>
    <w:rsid w:val="732A6040"/>
    <w:rsid w:val="733010DA"/>
    <w:rsid w:val="73316AFA"/>
    <w:rsid w:val="73334198"/>
    <w:rsid w:val="73375A36"/>
    <w:rsid w:val="73377EED"/>
    <w:rsid w:val="733B0348"/>
    <w:rsid w:val="733F2B3D"/>
    <w:rsid w:val="734C0980"/>
    <w:rsid w:val="734E051D"/>
    <w:rsid w:val="734F528E"/>
    <w:rsid w:val="734F5E18"/>
    <w:rsid w:val="735008A6"/>
    <w:rsid w:val="73584F97"/>
    <w:rsid w:val="73593BFF"/>
    <w:rsid w:val="735A0C16"/>
    <w:rsid w:val="735B7550"/>
    <w:rsid w:val="73645911"/>
    <w:rsid w:val="73676811"/>
    <w:rsid w:val="736C1AB2"/>
    <w:rsid w:val="736C45DD"/>
    <w:rsid w:val="736D14A9"/>
    <w:rsid w:val="736E37DE"/>
    <w:rsid w:val="737049AE"/>
    <w:rsid w:val="737A4D58"/>
    <w:rsid w:val="737D2B68"/>
    <w:rsid w:val="737E0D44"/>
    <w:rsid w:val="737F118B"/>
    <w:rsid w:val="73823836"/>
    <w:rsid w:val="73834A99"/>
    <w:rsid w:val="738549F4"/>
    <w:rsid w:val="73880040"/>
    <w:rsid w:val="738D1AFA"/>
    <w:rsid w:val="738D38A8"/>
    <w:rsid w:val="73922C6D"/>
    <w:rsid w:val="73927111"/>
    <w:rsid w:val="7395275D"/>
    <w:rsid w:val="73966C01"/>
    <w:rsid w:val="739A5FC5"/>
    <w:rsid w:val="739A69BC"/>
    <w:rsid w:val="739E7864"/>
    <w:rsid w:val="73A02BD2"/>
    <w:rsid w:val="73A17BCB"/>
    <w:rsid w:val="73A305CA"/>
    <w:rsid w:val="73A34E7A"/>
    <w:rsid w:val="73A62BBC"/>
    <w:rsid w:val="73A6496A"/>
    <w:rsid w:val="73A77F74"/>
    <w:rsid w:val="73A92E9F"/>
    <w:rsid w:val="73AB27F6"/>
    <w:rsid w:val="73B24B02"/>
    <w:rsid w:val="73B9469D"/>
    <w:rsid w:val="73BF5BB8"/>
    <w:rsid w:val="73C3376E"/>
    <w:rsid w:val="73C35F2E"/>
    <w:rsid w:val="73C44549"/>
    <w:rsid w:val="73C5699B"/>
    <w:rsid w:val="73C92407"/>
    <w:rsid w:val="73C94E15"/>
    <w:rsid w:val="73CA0659"/>
    <w:rsid w:val="73CA0F4C"/>
    <w:rsid w:val="73CA3E50"/>
    <w:rsid w:val="73CB00D3"/>
    <w:rsid w:val="73CB617F"/>
    <w:rsid w:val="73CD639B"/>
    <w:rsid w:val="73D6685C"/>
    <w:rsid w:val="73D72923"/>
    <w:rsid w:val="73DA6814"/>
    <w:rsid w:val="73DD4830"/>
    <w:rsid w:val="73E44341"/>
    <w:rsid w:val="73E5505E"/>
    <w:rsid w:val="73E6136B"/>
    <w:rsid w:val="73ED4347"/>
    <w:rsid w:val="73EE5DE3"/>
    <w:rsid w:val="73EF3613"/>
    <w:rsid w:val="73EF7D79"/>
    <w:rsid w:val="73F17D13"/>
    <w:rsid w:val="73F25594"/>
    <w:rsid w:val="73FC31F6"/>
    <w:rsid w:val="740006F8"/>
    <w:rsid w:val="74050ECA"/>
    <w:rsid w:val="74081181"/>
    <w:rsid w:val="740A4EF9"/>
    <w:rsid w:val="740B551A"/>
    <w:rsid w:val="740B69EB"/>
    <w:rsid w:val="74100267"/>
    <w:rsid w:val="74143C11"/>
    <w:rsid w:val="7414616A"/>
    <w:rsid w:val="74161AF0"/>
    <w:rsid w:val="7417676A"/>
    <w:rsid w:val="74192573"/>
    <w:rsid w:val="741B1FF8"/>
    <w:rsid w:val="741C4C2C"/>
    <w:rsid w:val="741C7AF1"/>
    <w:rsid w:val="742354A8"/>
    <w:rsid w:val="74244545"/>
    <w:rsid w:val="74257F85"/>
    <w:rsid w:val="742D0BE7"/>
    <w:rsid w:val="742E7D48"/>
    <w:rsid w:val="7431692A"/>
    <w:rsid w:val="743401C8"/>
    <w:rsid w:val="74377827"/>
    <w:rsid w:val="74393A30"/>
    <w:rsid w:val="743B31F1"/>
    <w:rsid w:val="743E7FF1"/>
    <w:rsid w:val="7440091B"/>
    <w:rsid w:val="74445C64"/>
    <w:rsid w:val="744D3038"/>
    <w:rsid w:val="745368A0"/>
    <w:rsid w:val="7456453B"/>
    <w:rsid w:val="745836B2"/>
    <w:rsid w:val="745D14CD"/>
    <w:rsid w:val="745F570D"/>
    <w:rsid w:val="746361DE"/>
    <w:rsid w:val="74645BAD"/>
    <w:rsid w:val="746763C0"/>
    <w:rsid w:val="746B4C90"/>
    <w:rsid w:val="746C1710"/>
    <w:rsid w:val="746C7962"/>
    <w:rsid w:val="747131CA"/>
    <w:rsid w:val="74716D26"/>
    <w:rsid w:val="74743EEC"/>
    <w:rsid w:val="74784559"/>
    <w:rsid w:val="747C40BA"/>
    <w:rsid w:val="748503E7"/>
    <w:rsid w:val="74850A24"/>
    <w:rsid w:val="748922C2"/>
    <w:rsid w:val="74894CED"/>
    <w:rsid w:val="74895648"/>
    <w:rsid w:val="748A428C"/>
    <w:rsid w:val="748C28DF"/>
    <w:rsid w:val="748D2495"/>
    <w:rsid w:val="748D3F00"/>
    <w:rsid w:val="748F203A"/>
    <w:rsid w:val="748F3650"/>
    <w:rsid w:val="7490294A"/>
    <w:rsid w:val="74956EB9"/>
    <w:rsid w:val="74982505"/>
    <w:rsid w:val="749A6048"/>
    <w:rsid w:val="749E1838"/>
    <w:rsid w:val="749F1AE5"/>
    <w:rsid w:val="749F7D37"/>
    <w:rsid w:val="74A02C7E"/>
    <w:rsid w:val="74A4534E"/>
    <w:rsid w:val="74AA048A"/>
    <w:rsid w:val="74AA5F18"/>
    <w:rsid w:val="74AC5FB0"/>
    <w:rsid w:val="74AF5AA0"/>
    <w:rsid w:val="74B65081"/>
    <w:rsid w:val="74B872DE"/>
    <w:rsid w:val="74BA4C31"/>
    <w:rsid w:val="74BC7D90"/>
    <w:rsid w:val="74C04A85"/>
    <w:rsid w:val="74C323D8"/>
    <w:rsid w:val="74C4779E"/>
    <w:rsid w:val="74C648D7"/>
    <w:rsid w:val="74C83AAD"/>
    <w:rsid w:val="74CA6436"/>
    <w:rsid w:val="74CC2762"/>
    <w:rsid w:val="74D04254"/>
    <w:rsid w:val="74D436ED"/>
    <w:rsid w:val="74D84FF7"/>
    <w:rsid w:val="74D9437C"/>
    <w:rsid w:val="74DD6C2D"/>
    <w:rsid w:val="74DF1EE2"/>
    <w:rsid w:val="74DF6386"/>
    <w:rsid w:val="74E03EAC"/>
    <w:rsid w:val="74E042F3"/>
    <w:rsid w:val="74E54C01"/>
    <w:rsid w:val="74F040EF"/>
    <w:rsid w:val="74F20BD2"/>
    <w:rsid w:val="74F51705"/>
    <w:rsid w:val="74F6547D"/>
    <w:rsid w:val="74FD05BA"/>
    <w:rsid w:val="74FF4332"/>
    <w:rsid w:val="74FF5808"/>
    <w:rsid w:val="74FF707E"/>
    <w:rsid w:val="750000AA"/>
    <w:rsid w:val="75005AA8"/>
    <w:rsid w:val="750C29B7"/>
    <w:rsid w:val="750D592E"/>
    <w:rsid w:val="75112770"/>
    <w:rsid w:val="75113DC3"/>
    <w:rsid w:val="7513602F"/>
    <w:rsid w:val="751459A6"/>
    <w:rsid w:val="751531E7"/>
    <w:rsid w:val="75157FF9"/>
    <w:rsid w:val="75162FF9"/>
    <w:rsid w:val="75181898"/>
    <w:rsid w:val="751A5610"/>
    <w:rsid w:val="751D6EAE"/>
    <w:rsid w:val="75255D8D"/>
    <w:rsid w:val="75273889"/>
    <w:rsid w:val="75275F11"/>
    <w:rsid w:val="75277BC3"/>
    <w:rsid w:val="75281F5C"/>
    <w:rsid w:val="75294FAA"/>
    <w:rsid w:val="752C70F1"/>
    <w:rsid w:val="752E07F8"/>
    <w:rsid w:val="752E2E69"/>
    <w:rsid w:val="7532693D"/>
    <w:rsid w:val="753A53EB"/>
    <w:rsid w:val="7541409D"/>
    <w:rsid w:val="75430682"/>
    <w:rsid w:val="75457920"/>
    <w:rsid w:val="7546338F"/>
    <w:rsid w:val="754C7A17"/>
    <w:rsid w:val="754E7067"/>
    <w:rsid w:val="75524DAA"/>
    <w:rsid w:val="75525CC9"/>
    <w:rsid w:val="75530B22"/>
    <w:rsid w:val="75577001"/>
    <w:rsid w:val="755846E6"/>
    <w:rsid w:val="75587EE6"/>
    <w:rsid w:val="75597E87"/>
    <w:rsid w:val="75622B13"/>
    <w:rsid w:val="75673AC6"/>
    <w:rsid w:val="756920F3"/>
    <w:rsid w:val="756D1BE3"/>
    <w:rsid w:val="756F7229"/>
    <w:rsid w:val="756F7B2B"/>
    <w:rsid w:val="75730A07"/>
    <w:rsid w:val="75734D20"/>
    <w:rsid w:val="75767D53"/>
    <w:rsid w:val="757A7E5C"/>
    <w:rsid w:val="757B5F08"/>
    <w:rsid w:val="757E794D"/>
    <w:rsid w:val="757F36C5"/>
    <w:rsid w:val="757F5473"/>
    <w:rsid w:val="75834C4A"/>
    <w:rsid w:val="758807CB"/>
    <w:rsid w:val="758C37C4"/>
    <w:rsid w:val="758E3908"/>
    <w:rsid w:val="758E56B6"/>
    <w:rsid w:val="758F1397"/>
    <w:rsid w:val="759E127A"/>
    <w:rsid w:val="759E18ED"/>
    <w:rsid w:val="759F0318"/>
    <w:rsid w:val="759F2C69"/>
    <w:rsid w:val="759F499F"/>
    <w:rsid w:val="75A02AE6"/>
    <w:rsid w:val="75A10C43"/>
    <w:rsid w:val="75A1363B"/>
    <w:rsid w:val="75A82F77"/>
    <w:rsid w:val="75AA312C"/>
    <w:rsid w:val="75AB572B"/>
    <w:rsid w:val="75AE2AF5"/>
    <w:rsid w:val="75AF6E1A"/>
    <w:rsid w:val="75BA7638"/>
    <w:rsid w:val="75BB1930"/>
    <w:rsid w:val="75BC0B2A"/>
    <w:rsid w:val="75BC2223"/>
    <w:rsid w:val="75BD7F3E"/>
    <w:rsid w:val="75C86E1A"/>
    <w:rsid w:val="75CB06B8"/>
    <w:rsid w:val="75CD61DE"/>
    <w:rsid w:val="75D20025"/>
    <w:rsid w:val="75D21E6C"/>
    <w:rsid w:val="75D251BE"/>
    <w:rsid w:val="75D25EEA"/>
    <w:rsid w:val="75D73501"/>
    <w:rsid w:val="75D82CCE"/>
    <w:rsid w:val="75DC036A"/>
    <w:rsid w:val="75DC1DFD"/>
    <w:rsid w:val="75DC4673"/>
    <w:rsid w:val="75DC7787"/>
    <w:rsid w:val="75E35A02"/>
    <w:rsid w:val="75E65B81"/>
    <w:rsid w:val="75E869F9"/>
    <w:rsid w:val="75E871FC"/>
    <w:rsid w:val="75E90860"/>
    <w:rsid w:val="75EA6D90"/>
    <w:rsid w:val="75EF43A6"/>
    <w:rsid w:val="75F5791D"/>
    <w:rsid w:val="75FB0F9D"/>
    <w:rsid w:val="75FB71EF"/>
    <w:rsid w:val="76004806"/>
    <w:rsid w:val="760342F6"/>
    <w:rsid w:val="7603566C"/>
    <w:rsid w:val="760F0E30"/>
    <w:rsid w:val="76121D0C"/>
    <w:rsid w:val="76146BCC"/>
    <w:rsid w:val="76171B4F"/>
    <w:rsid w:val="761738FD"/>
    <w:rsid w:val="761D1C53"/>
    <w:rsid w:val="761E6A3A"/>
    <w:rsid w:val="761F631D"/>
    <w:rsid w:val="7621652A"/>
    <w:rsid w:val="76261D92"/>
    <w:rsid w:val="76263B40"/>
    <w:rsid w:val="762F0E50"/>
    <w:rsid w:val="762F4977"/>
    <w:rsid w:val="763972B9"/>
    <w:rsid w:val="763B3A90"/>
    <w:rsid w:val="7641097A"/>
    <w:rsid w:val="764127A5"/>
    <w:rsid w:val="76423B48"/>
    <w:rsid w:val="764542B9"/>
    <w:rsid w:val="76481186"/>
    <w:rsid w:val="76490BEF"/>
    <w:rsid w:val="764B0A8B"/>
    <w:rsid w:val="764B35A7"/>
    <w:rsid w:val="764C77AD"/>
    <w:rsid w:val="764F3097"/>
    <w:rsid w:val="76521102"/>
    <w:rsid w:val="765608C9"/>
    <w:rsid w:val="765671CB"/>
    <w:rsid w:val="765863F0"/>
    <w:rsid w:val="765B5EE0"/>
    <w:rsid w:val="7662101C"/>
    <w:rsid w:val="766528BB"/>
    <w:rsid w:val="766905FD"/>
    <w:rsid w:val="76697CF3"/>
    <w:rsid w:val="766A7ED1"/>
    <w:rsid w:val="76735D63"/>
    <w:rsid w:val="76746FA2"/>
    <w:rsid w:val="767604EE"/>
    <w:rsid w:val="767A0B5A"/>
    <w:rsid w:val="767B3AC2"/>
    <w:rsid w:val="767C256D"/>
    <w:rsid w:val="768216BE"/>
    <w:rsid w:val="76832D41"/>
    <w:rsid w:val="7685658D"/>
    <w:rsid w:val="76871D2B"/>
    <w:rsid w:val="768C22CC"/>
    <w:rsid w:val="768C54B3"/>
    <w:rsid w:val="769258D8"/>
    <w:rsid w:val="769413F2"/>
    <w:rsid w:val="76941E85"/>
    <w:rsid w:val="76983FDA"/>
    <w:rsid w:val="769A2990"/>
    <w:rsid w:val="769D2054"/>
    <w:rsid w:val="769D5810"/>
    <w:rsid w:val="769E464F"/>
    <w:rsid w:val="76A31809"/>
    <w:rsid w:val="76A4425C"/>
    <w:rsid w:val="76A5715B"/>
    <w:rsid w:val="76AA6351"/>
    <w:rsid w:val="76AE24B4"/>
    <w:rsid w:val="76AE6010"/>
    <w:rsid w:val="76AF51F7"/>
    <w:rsid w:val="76B178AE"/>
    <w:rsid w:val="76B4497D"/>
    <w:rsid w:val="76B4739E"/>
    <w:rsid w:val="76B816BF"/>
    <w:rsid w:val="76B86899"/>
    <w:rsid w:val="76BA6969"/>
    <w:rsid w:val="76BB072D"/>
    <w:rsid w:val="76BB4733"/>
    <w:rsid w:val="76BB697E"/>
    <w:rsid w:val="76BF7F7F"/>
    <w:rsid w:val="76C23208"/>
    <w:rsid w:val="76C6376F"/>
    <w:rsid w:val="76C8296E"/>
    <w:rsid w:val="76C91F3D"/>
    <w:rsid w:val="76CE0EE6"/>
    <w:rsid w:val="76CF41D8"/>
    <w:rsid w:val="76D025F8"/>
    <w:rsid w:val="76D11CFE"/>
    <w:rsid w:val="76D57A40"/>
    <w:rsid w:val="76D95D6A"/>
    <w:rsid w:val="76DF6568"/>
    <w:rsid w:val="76E40A74"/>
    <w:rsid w:val="76E61C4D"/>
    <w:rsid w:val="76E66C39"/>
    <w:rsid w:val="76F07418"/>
    <w:rsid w:val="76F123A0"/>
    <w:rsid w:val="76F31C74"/>
    <w:rsid w:val="76F53592"/>
    <w:rsid w:val="76F81981"/>
    <w:rsid w:val="76F943F3"/>
    <w:rsid w:val="77021AC6"/>
    <w:rsid w:val="77035357"/>
    <w:rsid w:val="770420D4"/>
    <w:rsid w:val="770526DE"/>
    <w:rsid w:val="77087A55"/>
    <w:rsid w:val="770A361D"/>
    <w:rsid w:val="770B782C"/>
    <w:rsid w:val="77100310"/>
    <w:rsid w:val="77195203"/>
    <w:rsid w:val="77291B3A"/>
    <w:rsid w:val="772938E8"/>
    <w:rsid w:val="772C3513"/>
    <w:rsid w:val="772C5186"/>
    <w:rsid w:val="772D7A86"/>
    <w:rsid w:val="772F253E"/>
    <w:rsid w:val="7733796F"/>
    <w:rsid w:val="77361AE6"/>
    <w:rsid w:val="773723EC"/>
    <w:rsid w:val="773733B3"/>
    <w:rsid w:val="77377BAE"/>
    <w:rsid w:val="773879D3"/>
    <w:rsid w:val="773F135E"/>
    <w:rsid w:val="774626EC"/>
    <w:rsid w:val="77470212"/>
    <w:rsid w:val="774C1366"/>
    <w:rsid w:val="774D5B7D"/>
    <w:rsid w:val="774F616F"/>
    <w:rsid w:val="7750356B"/>
    <w:rsid w:val="775A5C4B"/>
    <w:rsid w:val="775D755B"/>
    <w:rsid w:val="775F555C"/>
    <w:rsid w:val="776479E2"/>
    <w:rsid w:val="776A3FFF"/>
    <w:rsid w:val="776C3FBB"/>
    <w:rsid w:val="776D5A49"/>
    <w:rsid w:val="776D7F8D"/>
    <w:rsid w:val="77711A34"/>
    <w:rsid w:val="77716BFA"/>
    <w:rsid w:val="777A4144"/>
    <w:rsid w:val="777C1765"/>
    <w:rsid w:val="777F5923"/>
    <w:rsid w:val="77811976"/>
    <w:rsid w:val="778154D2"/>
    <w:rsid w:val="77817D6E"/>
    <w:rsid w:val="77820FB7"/>
    <w:rsid w:val="778249A4"/>
    <w:rsid w:val="77860D3A"/>
    <w:rsid w:val="778A7696"/>
    <w:rsid w:val="778B3C09"/>
    <w:rsid w:val="778D5287"/>
    <w:rsid w:val="77933457"/>
    <w:rsid w:val="779807BE"/>
    <w:rsid w:val="77996EDF"/>
    <w:rsid w:val="779C20DA"/>
    <w:rsid w:val="77A90BDD"/>
    <w:rsid w:val="77AA41E1"/>
    <w:rsid w:val="77B07B65"/>
    <w:rsid w:val="77B302A9"/>
    <w:rsid w:val="77B3259B"/>
    <w:rsid w:val="77B37656"/>
    <w:rsid w:val="77B648C6"/>
    <w:rsid w:val="77BE5D78"/>
    <w:rsid w:val="77C443F5"/>
    <w:rsid w:val="77C577DB"/>
    <w:rsid w:val="77CA50CB"/>
    <w:rsid w:val="77D23F80"/>
    <w:rsid w:val="77D52165"/>
    <w:rsid w:val="77DA1086"/>
    <w:rsid w:val="77DE4A6B"/>
    <w:rsid w:val="77EE23B4"/>
    <w:rsid w:val="77EF68E0"/>
    <w:rsid w:val="77F010D7"/>
    <w:rsid w:val="77F71C38"/>
    <w:rsid w:val="77F85AD6"/>
    <w:rsid w:val="77FD2392"/>
    <w:rsid w:val="78012518"/>
    <w:rsid w:val="7801310F"/>
    <w:rsid w:val="780132C5"/>
    <w:rsid w:val="7802176B"/>
    <w:rsid w:val="780364DC"/>
    <w:rsid w:val="78056103"/>
    <w:rsid w:val="78056341"/>
    <w:rsid w:val="780D516E"/>
    <w:rsid w:val="781047D4"/>
    <w:rsid w:val="781400F4"/>
    <w:rsid w:val="781D1FE1"/>
    <w:rsid w:val="781D250B"/>
    <w:rsid w:val="781E0F73"/>
    <w:rsid w:val="781F4CEB"/>
    <w:rsid w:val="78210A63"/>
    <w:rsid w:val="78216CB5"/>
    <w:rsid w:val="782407F3"/>
    <w:rsid w:val="7826607A"/>
    <w:rsid w:val="78296C5A"/>
    <w:rsid w:val="782A1A8E"/>
    <w:rsid w:val="782A7918"/>
    <w:rsid w:val="782B4EBD"/>
    <w:rsid w:val="782D6A3A"/>
    <w:rsid w:val="782E4D78"/>
    <w:rsid w:val="78312DEA"/>
    <w:rsid w:val="78322C70"/>
    <w:rsid w:val="78360C92"/>
    <w:rsid w:val="783A362B"/>
    <w:rsid w:val="783B7D77"/>
    <w:rsid w:val="78432670"/>
    <w:rsid w:val="78450BF6"/>
    <w:rsid w:val="784528F7"/>
    <w:rsid w:val="7846221B"/>
    <w:rsid w:val="78482494"/>
    <w:rsid w:val="784A1D00"/>
    <w:rsid w:val="784B02E5"/>
    <w:rsid w:val="784D371F"/>
    <w:rsid w:val="784F61EC"/>
    <w:rsid w:val="7857462A"/>
    <w:rsid w:val="785B5D23"/>
    <w:rsid w:val="785E7803"/>
    <w:rsid w:val="785F24DC"/>
    <w:rsid w:val="7860158C"/>
    <w:rsid w:val="7863107C"/>
    <w:rsid w:val="786E40D5"/>
    <w:rsid w:val="786F05C8"/>
    <w:rsid w:val="78736247"/>
    <w:rsid w:val="78746DE5"/>
    <w:rsid w:val="7876030D"/>
    <w:rsid w:val="787768D5"/>
    <w:rsid w:val="787D7F2B"/>
    <w:rsid w:val="787E7C64"/>
    <w:rsid w:val="78801C2E"/>
    <w:rsid w:val="78882890"/>
    <w:rsid w:val="788B6236"/>
    <w:rsid w:val="788D45E4"/>
    <w:rsid w:val="788F3C1F"/>
    <w:rsid w:val="789133BB"/>
    <w:rsid w:val="78931961"/>
    <w:rsid w:val="78984EA7"/>
    <w:rsid w:val="78992A73"/>
    <w:rsid w:val="789A7711"/>
    <w:rsid w:val="789C2EFF"/>
    <w:rsid w:val="789E20B4"/>
    <w:rsid w:val="78A13E89"/>
    <w:rsid w:val="78A14715"/>
    <w:rsid w:val="78A34ADC"/>
    <w:rsid w:val="78A53900"/>
    <w:rsid w:val="78A55F58"/>
    <w:rsid w:val="78A63762"/>
    <w:rsid w:val="78A7540C"/>
    <w:rsid w:val="78AC657F"/>
    <w:rsid w:val="78AF69D1"/>
    <w:rsid w:val="78AF797E"/>
    <w:rsid w:val="78B05C24"/>
    <w:rsid w:val="78B10039"/>
    <w:rsid w:val="78B13B95"/>
    <w:rsid w:val="78B83176"/>
    <w:rsid w:val="78BA3AA4"/>
    <w:rsid w:val="78BB3C7E"/>
    <w:rsid w:val="78BD26D3"/>
    <w:rsid w:val="78BF18B9"/>
    <w:rsid w:val="78BF559E"/>
    <w:rsid w:val="78C25DA2"/>
    <w:rsid w:val="78C50594"/>
    <w:rsid w:val="78C67E1F"/>
    <w:rsid w:val="78CE54BC"/>
    <w:rsid w:val="78CF226D"/>
    <w:rsid w:val="78D12489"/>
    <w:rsid w:val="78D62FD9"/>
    <w:rsid w:val="78D6724B"/>
    <w:rsid w:val="78DB6E64"/>
    <w:rsid w:val="78DD317D"/>
    <w:rsid w:val="78E52974"/>
    <w:rsid w:val="78EB3E63"/>
    <w:rsid w:val="78ED2777"/>
    <w:rsid w:val="78ED4AA9"/>
    <w:rsid w:val="78EF0B61"/>
    <w:rsid w:val="78F41CD4"/>
    <w:rsid w:val="78F46178"/>
    <w:rsid w:val="78F47F26"/>
    <w:rsid w:val="78F76154"/>
    <w:rsid w:val="78FA0EF3"/>
    <w:rsid w:val="78FB027D"/>
    <w:rsid w:val="78FC5AE7"/>
    <w:rsid w:val="79006A68"/>
    <w:rsid w:val="79031F40"/>
    <w:rsid w:val="7906554B"/>
    <w:rsid w:val="79083365"/>
    <w:rsid w:val="790A3E34"/>
    <w:rsid w:val="790F4D60"/>
    <w:rsid w:val="79156FC5"/>
    <w:rsid w:val="79165928"/>
    <w:rsid w:val="791D20CB"/>
    <w:rsid w:val="791E69B2"/>
    <w:rsid w:val="792014D6"/>
    <w:rsid w:val="79222C3F"/>
    <w:rsid w:val="792425C0"/>
    <w:rsid w:val="79242614"/>
    <w:rsid w:val="79243EAD"/>
    <w:rsid w:val="7925068A"/>
    <w:rsid w:val="792729FE"/>
    <w:rsid w:val="7927303A"/>
    <w:rsid w:val="7927654D"/>
    <w:rsid w:val="792C2210"/>
    <w:rsid w:val="792E1FD8"/>
    <w:rsid w:val="792F3B87"/>
    <w:rsid w:val="79305402"/>
    <w:rsid w:val="79312F28"/>
    <w:rsid w:val="79323DC9"/>
    <w:rsid w:val="79336CA0"/>
    <w:rsid w:val="7936053E"/>
    <w:rsid w:val="793618D8"/>
    <w:rsid w:val="793622EC"/>
    <w:rsid w:val="793B5B55"/>
    <w:rsid w:val="793D25E0"/>
    <w:rsid w:val="793D367B"/>
    <w:rsid w:val="793E1FD3"/>
    <w:rsid w:val="7940316B"/>
    <w:rsid w:val="79472C05"/>
    <w:rsid w:val="794762A8"/>
    <w:rsid w:val="79480EE6"/>
    <w:rsid w:val="79487052"/>
    <w:rsid w:val="794A3D55"/>
    <w:rsid w:val="794B3FEA"/>
    <w:rsid w:val="794D6469"/>
    <w:rsid w:val="79507852"/>
    <w:rsid w:val="795121EF"/>
    <w:rsid w:val="795135CA"/>
    <w:rsid w:val="79516D09"/>
    <w:rsid w:val="79534C4C"/>
    <w:rsid w:val="795429AF"/>
    <w:rsid w:val="79560597"/>
    <w:rsid w:val="7956298E"/>
    <w:rsid w:val="79567120"/>
    <w:rsid w:val="795A422D"/>
    <w:rsid w:val="79612AC5"/>
    <w:rsid w:val="796706F8"/>
    <w:rsid w:val="796B19CE"/>
    <w:rsid w:val="796C2696"/>
    <w:rsid w:val="79733540"/>
    <w:rsid w:val="797352EE"/>
    <w:rsid w:val="79782905"/>
    <w:rsid w:val="797A042B"/>
    <w:rsid w:val="797A5E06"/>
    <w:rsid w:val="797B41A3"/>
    <w:rsid w:val="797F0A17"/>
    <w:rsid w:val="797F5A41"/>
    <w:rsid w:val="797F7C5A"/>
    <w:rsid w:val="79811FFB"/>
    <w:rsid w:val="79823BDD"/>
    <w:rsid w:val="7983329F"/>
    <w:rsid w:val="79867711"/>
    <w:rsid w:val="79871900"/>
    <w:rsid w:val="798B088A"/>
    <w:rsid w:val="798C63B0"/>
    <w:rsid w:val="798E043E"/>
    <w:rsid w:val="7992018E"/>
    <w:rsid w:val="79960FDD"/>
    <w:rsid w:val="7997528A"/>
    <w:rsid w:val="79986B03"/>
    <w:rsid w:val="79997534"/>
    <w:rsid w:val="799F1DA3"/>
    <w:rsid w:val="799F4335"/>
    <w:rsid w:val="79A100AE"/>
    <w:rsid w:val="79A10E05"/>
    <w:rsid w:val="79A731EA"/>
    <w:rsid w:val="79A90D10"/>
    <w:rsid w:val="79AA77DD"/>
    <w:rsid w:val="79AC0800"/>
    <w:rsid w:val="79AE5B7B"/>
    <w:rsid w:val="79B42F8A"/>
    <w:rsid w:val="79BC0A44"/>
    <w:rsid w:val="79C53BB6"/>
    <w:rsid w:val="79C65908"/>
    <w:rsid w:val="79CB2400"/>
    <w:rsid w:val="79CB6ED9"/>
    <w:rsid w:val="79D02741"/>
    <w:rsid w:val="79D70DC1"/>
    <w:rsid w:val="79DA711C"/>
    <w:rsid w:val="79DE4E5E"/>
    <w:rsid w:val="79E018FF"/>
    <w:rsid w:val="79E0596A"/>
    <w:rsid w:val="79E16533"/>
    <w:rsid w:val="79E17841"/>
    <w:rsid w:val="79E566B5"/>
    <w:rsid w:val="79E61F64"/>
    <w:rsid w:val="79EA1A55"/>
    <w:rsid w:val="79EB65D1"/>
    <w:rsid w:val="79F04B91"/>
    <w:rsid w:val="79F0693F"/>
    <w:rsid w:val="79F12E55"/>
    <w:rsid w:val="79F20909"/>
    <w:rsid w:val="79F265E3"/>
    <w:rsid w:val="79FA77BE"/>
    <w:rsid w:val="79FC28BD"/>
    <w:rsid w:val="79FF3899"/>
    <w:rsid w:val="79FF544F"/>
    <w:rsid w:val="79FF6B82"/>
    <w:rsid w:val="7A036672"/>
    <w:rsid w:val="7A036D91"/>
    <w:rsid w:val="7A0874CF"/>
    <w:rsid w:val="7A0A5C53"/>
    <w:rsid w:val="7A0F377A"/>
    <w:rsid w:val="7A146AD1"/>
    <w:rsid w:val="7A180185"/>
    <w:rsid w:val="7A1A144A"/>
    <w:rsid w:val="7A1C7734"/>
    <w:rsid w:val="7A2017C5"/>
    <w:rsid w:val="7A236D15"/>
    <w:rsid w:val="7A240660"/>
    <w:rsid w:val="7A2451EE"/>
    <w:rsid w:val="7A28432B"/>
    <w:rsid w:val="7A293BFF"/>
    <w:rsid w:val="7A2B1BAD"/>
    <w:rsid w:val="7A332E7D"/>
    <w:rsid w:val="7A3447A2"/>
    <w:rsid w:val="7A361EA8"/>
    <w:rsid w:val="7A3765BA"/>
    <w:rsid w:val="7A3A0003"/>
    <w:rsid w:val="7A3A405E"/>
    <w:rsid w:val="7A3B1C87"/>
    <w:rsid w:val="7A406904"/>
    <w:rsid w:val="7A43483F"/>
    <w:rsid w:val="7A445312"/>
    <w:rsid w:val="7A456023"/>
    <w:rsid w:val="7A457522"/>
    <w:rsid w:val="7A471417"/>
    <w:rsid w:val="7A48669D"/>
    <w:rsid w:val="7A4E3B6B"/>
    <w:rsid w:val="7A520F56"/>
    <w:rsid w:val="7A5213A8"/>
    <w:rsid w:val="7A543630"/>
    <w:rsid w:val="7A55297D"/>
    <w:rsid w:val="7A556746"/>
    <w:rsid w:val="7A5C4DEB"/>
    <w:rsid w:val="7A5C66B0"/>
    <w:rsid w:val="7A6246AE"/>
    <w:rsid w:val="7A643991"/>
    <w:rsid w:val="7A6B1274"/>
    <w:rsid w:val="7A6B246A"/>
    <w:rsid w:val="7A6B4218"/>
    <w:rsid w:val="7A703592"/>
    <w:rsid w:val="7A7426B1"/>
    <w:rsid w:val="7A74539C"/>
    <w:rsid w:val="7A794137"/>
    <w:rsid w:val="7A794E29"/>
    <w:rsid w:val="7A7979F1"/>
    <w:rsid w:val="7A80093C"/>
    <w:rsid w:val="7A807CC3"/>
    <w:rsid w:val="7A811C8D"/>
    <w:rsid w:val="7A8422AE"/>
    <w:rsid w:val="7A8A5A49"/>
    <w:rsid w:val="7A9419C0"/>
    <w:rsid w:val="7A975989"/>
    <w:rsid w:val="7A9B2D4F"/>
    <w:rsid w:val="7A9D7A12"/>
    <w:rsid w:val="7AA15640"/>
    <w:rsid w:val="7AA45081"/>
    <w:rsid w:val="7AAF05A8"/>
    <w:rsid w:val="7AB055C8"/>
    <w:rsid w:val="7AB657F0"/>
    <w:rsid w:val="7AB67B89"/>
    <w:rsid w:val="7AB91427"/>
    <w:rsid w:val="7AB947C6"/>
    <w:rsid w:val="7AC35E02"/>
    <w:rsid w:val="7AC46633"/>
    <w:rsid w:val="7AC5601E"/>
    <w:rsid w:val="7ACB0136"/>
    <w:rsid w:val="7ACC115A"/>
    <w:rsid w:val="7AD63389"/>
    <w:rsid w:val="7AD70D83"/>
    <w:rsid w:val="7AD718AD"/>
    <w:rsid w:val="7AD87AFF"/>
    <w:rsid w:val="7AD95625"/>
    <w:rsid w:val="7AD96FF2"/>
    <w:rsid w:val="7AE00D15"/>
    <w:rsid w:val="7AE55F36"/>
    <w:rsid w:val="7AE666E3"/>
    <w:rsid w:val="7AE92201"/>
    <w:rsid w:val="7AEE59D2"/>
    <w:rsid w:val="7AEF309B"/>
    <w:rsid w:val="7AF6173D"/>
    <w:rsid w:val="7AF71CA6"/>
    <w:rsid w:val="7AF81F4F"/>
    <w:rsid w:val="7AF97A75"/>
    <w:rsid w:val="7AFA24B1"/>
    <w:rsid w:val="7AFC093B"/>
    <w:rsid w:val="7AFF7251"/>
    <w:rsid w:val="7B007056"/>
    <w:rsid w:val="7B0136D8"/>
    <w:rsid w:val="7B014A18"/>
    <w:rsid w:val="7B036FEB"/>
    <w:rsid w:val="7B09415C"/>
    <w:rsid w:val="7B0A0B1E"/>
    <w:rsid w:val="7B0B2431"/>
    <w:rsid w:val="7B0C7CBD"/>
    <w:rsid w:val="7B0E54EC"/>
    <w:rsid w:val="7B113BF4"/>
    <w:rsid w:val="7B1145DA"/>
    <w:rsid w:val="7B145A11"/>
    <w:rsid w:val="7B146EC2"/>
    <w:rsid w:val="7B1B79EC"/>
    <w:rsid w:val="7B2038CF"/>
    <w:rsid w:val="7B217224"/>
    <w:rsid w:val="7B242D44"/>
    <w:rsid w:val="7B293A37"/>
    <w:rsid w:val="7B2A40D3"/>
    <w:rsid w:val="7B2A5E81"/>
    <w:rsid w:val="7B2E4771"/>
    <w:rsid w:val="7B3311D9"/>
    <w:rsid w:val="7B3706BF"/>
    <w:rsid w:val="7B375099"/>
    <w:rsid w:val="7B3C65FF"/>
    <w:rsid w:val="7B3F5288"/>
    <w:rsid w:val="7B435477"/>
    <w:rsid w:val="7B4547DA"/>
    <w:rsid w:val="7B5178B1"/>
    <w:rsid w:val="7B5B5EBA"/>
    <w:rsid w:val="7B5B62B9"/>
    <w:rsid w:val="7B5C7B09"/>
    <w:rsid w:val="7B5F0E32"/>
    <w:rsid w:val="7B615D46"/>
    <w:rsid w:val="7B644926"/>
    <w:rsid w:val="7B696F0A"/>
    <w:rsid w:val="7B7031FD"/>
    <w:rsid w:val="7B711D02"/>
    <w:rsid w:val="7B724432"/>
    <w:rsid w:val="7B7535A0"/>
    <w:rsid w:val="7B7610C6"/>
    <w:rsid w:val="7B767318"/>
    <w:rsid w:val="7B786BEC"/>
    <w:rsid w:val="7B7A4590"/>
    <w:rsid w:val="7B7A5D1A"/>
    <w:rsid w:val="7B7B1E14"/>
    <w:rsid w:val="7B7D678D"/>
    <w:rsid w:val="7B8051F7"/>
    <w:rsid w:val="7B897F6D"/>
    <w:rsid w:val="7B8B4B71"/>
    <w:rsid w:val="7B8C602F"/>
    <w:rsid w:val="7B8D56AB"/>
    <w:rsid w:val="7B922FC1"/>
    <w:rsid w:val="7B933A26"/>
    <w:rsid w:val="7B943056"/>
    <w:rsid w:val="7B946335"/>
    <w:rsid w:val="7B9601F5"/>
    <w:rsid w:val="7B964470"/>
    <w:rsid w:val="7B9849CE"/>
    <w:rsid w:val="7B9B2B47"/>
    <w:rsid w:val="7BA563C1"/>
    <w:rsid w:val="7BA56A97"/>
    <w:rsid w:val="7BA96229"/>
    <w:rsid w:val="7BAB1AFA"/>
    <w:rsid w:val="7BAB6B7E"/>
    <w:rsid w:val="7BAE7D9C"/>
    <w:rsid w:val="7BB120FE"/>
    <w:rsid w:val="7BB15F2C"/>
    <w:rsid w:val="7BB265A2"/>
    <w:rsid w:val="7BB315E0"/>
    <w:rsid w:val="7BB57E40"/>
    <w:rsid w:val="7BB93085"/>
    <w:rsid w:val="7BBB0320"/>
    <w:rsid w:val="7BBB3820"/>
    <w:rsid w:val="7BBC15F0"/>
    <w:rsid w:val="7BC06E6A"/>
    <w:rsid w:val="7BC07F06"/>
    <w:rsid w:val="7BC124E5"/>
    <w:rsid w:val="7BC62874"/>
    <w:rsid w:val="7BC77B74"/>
    <w:rsid w:val="7BCF244A"/>
    <w:rsid w:val="7BCF7F27"/>
    <w:rsid w:val="7BD007D6"/>
    <w:rsid w:val="7BD22903"/>
    <w:rsid w:val="7BD87183"/>
    <w:rsid w:val="7BDD0EAE"/>
    <w:rsid w:val="7BDD2EF3"/>
    <w:rsid w:val="7BDE58C9"/>
    <w:rsid w:val="7BDF68CF"/>
    <w:rsid w:val="7BE3140C"/>
    <w:rsid w:val="7BE424D4"/>
    <w:rsid w:val="7BE97AEA"/>
    <w:rsid w:val="7BEA0511"/>
    <w:rsid w:val="7BEB76E7"/>
    <w:rsid w:val="7BEC3C2A"/>
    <w:rsid w:val="7BED2287"/>
    <w:rsid w:val="7BED3871"/>
    <w:rsid w:val="7BEE6A3B"/>
    <w:rsid w:val="7BF45D32"/>
    <w:rsid w:val="7BFE5F3E"/>
    <w:rsid w:val="7BFF5438"/>
    <w:rsid w:val="7C055DDA"/>
    <w:rsid w:val="7C063270"/>
    <w:rsid w:val="7C092C7C"/>
    <w:rsid w:val="7C116D3D"/>
    <w:rsid w:val="7C120F4C"/>
    <w:rsid w:val="7C156B31"/>
    <w:rsid w:val="7C16073B"/>
    <w:rsid w:val="7C1F38CD"/>
    <w:rsid w:val="7C217361"/>
    <w:rsid w:val="7C2247B1"/>
    <w:rsid w:val="7C23124E"/>
    <w:rsid w:val="7C233ACE"/>
    <w:rsid w:val="7C262AEC"/>
    <w:rsid w:val="7C2737B9"/>
    <w:rsid w:val="7C2743B0"/>
    <w:rsid w:val="7C281C35"/>
    <w:rsid w:val="7C2D0C1D"/>
    <w:rsid w:val="7C3179B7"/>
    <w:rsid w:val="7C353D7B"/>
    <w:rsid w:val="7C39281F"/>
    <w:rsid w:val="7C3A10EC"/>
    <w:rsid w:val="7C3C40BE"/>
    <w:rsid w:val="7C3E56EA"/>
    <w:rsid w:val="7C3E7E36"/>
    <w:rsid w:val="7C4A4A2C"/>
    <w:rsid w:val="7C4A7505"/>
    <w:rsid w:val="7C4C4FF7"/>
    <w:rsid w:val="7C5046ED"/>
    <w:rsid w:val="7C523471"/>
    <w:rsid w:val="7C572037"/>
    <w:rsid w:val="7C594C70"/>
    <w:rsid w:val="7C5970FF"/>
    <w:rsid w:val="7C611D76"/>
    <w:rsid w:val="7C647170"/>
    <w:rsid w:val="7C671D88"/>
    <w:rsid w:val="7C71234B"/>
    <w:rsid w:val="7C7335FC"/>
    <w:rsid w:val="7C773348"/>
    <w:rsid w:val="7C78090E"/>
    <w:rsid w:val="7C792392"/>
    <w:rsid w:val="7C7B69CC"/>
    <w:rsid w:val="7C7D33D3"/>
    <w:rsid w:val="7C7F1785"/>
    <w:rsid w:val="7C815F74"/>
    <w:rsid w:val="7C830F5F"/>
    <w:rsid w:val="7C8372EE"/>
    <w:rsid w:val="7C865339"/>
    <w:rsid w:val="7C890F88"/>
    <w:rsid w:val="7C943B2C"/>
    <w:rsid w:val="7C947A56"/>
    <w:rsid w:val="7C960E67"/>
    <w:rsid w:val="7CA53A11"/>
    <w:rsid w:val="7CAA7279"/>
    <w:rsid w:val="7CAB2FF1"/>
    <w:rsid w:val="7CAD4FBB"/>
    <w:rsid w:val="7CAD6D69"/>
    <w:rsid w:val="7CAE63E6"/>
    <w:rsid w:val="7CB46228"/>
    <w:rsid w:val="7CB545D9"/>
    <w:rsid w:val="7CB71996"/>
    <w:rsid w:val="7CB925E2"/>
    <w:rsid w:val="7CBB1D2C"/>
    <w:rsid w:val="7CBB76D8"/>
    <w:rsid w:val="7CBE0F77"/>
    <w:rsid w:val="7CBF1B84"/>
    <w:rsid w:val="7CBF2B31"/>
    <w:rsid w:val="7CC149E5"/>
    <w:rsid w:val="7CC60DF1"/>
    <w:rsid w:val="7CC757B4"/>
    <w:rsid w:val="7CC82069"/>
    <w:rsid w:val="7CC82746"/>
    <w:rsid w:val="7CCB35F4"/>
    <w:rsid w:val="7CCD2F68"/>
    <w:rsid w:val="7CCF2E49"/>
    <w:rsid w:val="7CD7798D"/>
    <w:rsid w:val="7CD9068C"/>
    <w:rsid w:val="7CD94488"/>
    <w:rsid w:val="7CD95DB0"/>
    <w:rsid w:val="7CDC31AB"/>
    <w:rsid w:val="7CDC6C31"/>
    <w:rsid w:val="7CE074B2"/>
    <w:rsid w:val="7CEA7F18"/>
    <w:rsid w:val="7CEC71FD"/>
    <w:rsid w:val="7CED53B8"/>
    <w:rsid w:val="7CEF35F6"/>
    <w:rsid w:val="7CF159D9"/>
    <w:rsid w:val="7CF25303"/>
    <w:rsid w:val="7CF343A1"/>
    <w:rsid w:val="7CF3470C"/>
    <w:rsid w:val="7CF85971"/>
    <w:rsid w:val="7CF93D5D"/>
    <w:rsid w:val="7CFC55FB"/>
    <w:rsid w:val="7CFE1373"/>
    <w:rsid w:val="7D034BDB"/>
    <w:rsid w:val="7D072A5D"/>
    <w:rsid w:val="7D0A7D18"/>
    <w:rsid w:val="7D126BCC"/>
    <w:rsid w:val="7D133E56"/>
    <w:rsid w:val="7D156A96"/>
    <w:rsid w:val="7D1A6EE0"/>
    <w:rsid w:val="7D1D3EEF"/>
    <w:rsid w:val="7D1E691F"/>
    <w:rsid w:val="7D1F7C67"/>
    <w:rsid w:val="7D20578D"/>
    <w:rsid w:val="7D24527D"/>
    <w:rsid w:val="7D270829"/>
    <w:rsid w:val="7D273BFE"/>
    <w:rsid w:val="7D2868B6"/>
    <w:rsid w:val="7D2A5372"/>
    <w:rsid w:val="7D2B01AA"/>
    <w:rsid w:val="7D2B7798"/>
    <w:rsid w:val="7D2B7FAA"/>
    <w:rsid w:val="7D2C5EE0"/>
    <w:rsid w:val="7D2C615F"/>
    <w:rsid w:val="7D324E19"/>
    <w:rsid w:val="7D3354C1"/>
    <w:rsid w:val="7D376633"/>
    <w:rsid w:val="7D39684F"/>
    <w:rsid w:val="7D3A315F"/>
    <w:rsid w:val="7D3C76D1"/>
    <w:rsid w:val="7D3D1E9B"/>
    <w:rsid w:val="7D3E5C51"/>
    <w:rsid w:val="7D423956"/>
    <w:rsid w:val="7D4274B2"/>
    <w:rsid w:val="7D476CAB"/>
    <w:rsid w:val="7D480840"/>
    <w:rsid w:val="7D494CE4"/>
    <w:rsid w:val="7D4B5616"/>
    <w:rsid w:val="7D4E2F3C"/>
    <w:rsid w:val="7D5028E6"/>
    <w:rsid w:val="7D5316BF"/>
    <w:rsid w:val="7D5A036E"/>
    <w:rsid w:val="7D5A0C9F"/>
    <w:rsid w:val="7D5D1E19"/>
    <w:rsid w:val="7D5F0DFB"/>
    <w:rsid w:val="7D5F1108"/>
    <w:rsid w:val="7D637428"/>
    <w:rsid w:val="7D6438CC"/>
    <w:rsid w:val="7D692C90"/>
    <w:rsid w:val="7D697134"/>
    <w:rsid w:val="7D6A25FD"/>
    <w:rsid w:val="7D6B0F06"/>
    <w:rsid w:val="7D6B2859"/>
    <w:rsid w:val="7D742A66"/>
    <w:rsid w:val="7D7626C8"/>
    <w:rsid w:val="7D7708B8"/>
    <w:rsid w:val="7D7D498E"/>
    <w:rsid w:val="7D8B5A79"/>
    <w:rsid w:val="7D8D47E4"/>
    <w:rsid w:val="7D8D7BA9"/>
    <w:rsid w:val="7D8E26F7"/>
    <w:rsid w:val="7D8F021D"/>
    <w:rsid w:val="7D93419F"/>
    <w:rsid w:val="7D9D2EC1"/>
    <w:rsid w:val="7DA106A4"/>
    <w:rsid w:val="7DAC5273"/>
    <w:rsid w:val="7DAC7021"/>
    <w:rsid w:val="7DAE5661"/>
    <w:rsid w:val="7DAF60BF"/>
    <w:rsid w:val="7DAF6776"/>
    <w:rsid w:val="7DB163E5"/>
    <w:rsid w:val="7DBA1D35"/>
    <w:rsid w:val="7DBB54B6"/>
    <w:rsid w:val="7DBF4FA6"/>
    <w:rsid w:val="7DC01284"/>
    <w:rsid w:val="7DC56B1B"/>
    <w:rsid w:val="7DC573C0"/>
    <w:rsid w:val="7DC63589"/>
    <w:rsid w:val="7DC720AD"/>
    <w:rsid w:val="7DD520D4"/>
    <w:rsid w:val="7DD81BC4"/>
    <w:rsid w:val="7DDB3A07"/>
    <w:rsid w:val="7DDF2D41"/>
    <w:rsid w:val="7DE12EA1"/>
    <w:rsid w:val="7DE467BB"/>
    <w:rsid w:val="7DE60785"/>
    <w:rsid w:val="7DE817F7"/>
    <w:rsid w:val="7DE85837"/>
    <w:rsid w:val="7DF033B2"/>
    <w:rsid w:val="7DF531DE"/>
    <w:rsid w:val="7DF764EE"/>
    <w:rsid w:val="7DFF1847"/>
    <w:rsid w:val="7DFF35F5"/>
    <w:rsid w:val="7E017635"/>
    <w:rsid w:val="7E0A602E"/>
    <w:rsid w:val="7E0D0E8E"/>
    <w:rsid w:val="7E0E3838"/>
    <w:rsid w:val="7E105802"/>
    <w:rsid w:val="7E110063"/>
    <w:rsid w:val="7E132BFC"/>
    <w:rsid w:val="7E1370A0"/>
    <w:rsid w:val="7E150D62"/>
    <w:rsid w:val="7E174C7C"/>
    <w:rsid w:val="7E1A2CFF"/>
    <w:rsid w:val="7E1B1E62"/>
    <w:rsid w:val="7E215319"/>
    <w:rsid w:val="7E226F1F"/>
    <w:rsid w:val="7E2272E3"/>
    <w:rsid w:val="7E2567E2"/>
    <w:rsid w:val="7E2C5B78"/>
    <w:rsid w:val="7E33090F"/>
    <w:rsid w:val="7E33391A"/>
    <w:rsid w:val="7E337F9F"/>
    <w:rsid w:val="7E36348D"/>
    <w:rsid w:val="7E381ED3"/>
    <w:rsid w:val="7E3918B7"/>
    <w:rsid w:val="7E3A462D"/>
    <w:rsid w:val="7E3B0CA2"/>
    <w:rsid w:val="7E3E411D"/>
    <w:rsid w:val="7E3E6591"/>
    <w:rsid w:val="7E400BE6"/>
    <w:rsid w:val="7E411CAA"/>
    <w:rsid w:val="7E417769"/>
    <w:rsid w:val="7E4B4E2F"/>
    <w:rsid w:val="7E5A6A7D"/>
    <w:rsid w:val="7E5C45A3"/>
    <w:rsid w:val="7E5F2161"/>
    <w:rsid w:val="7E617E0B"/>
    <w:rsid w:val="7E655B4E"/>
    <w:rsid w:val="7E6672C6"/>
    <w:rsid w:val="7E6D67B0"/>
    <w:rsid w:val="7E7318ED"/>
    <w:rsid w:val="7E751572"/>
    <w:rsid w:val="7E7A0376"/>
    <w:rsid w:val="7E7A465F"/>
    <w:rsid w:val="7E7B016A"/>
    <w:rsid w:val="7E7B6DC4"/>
    <w:rsid w:val="7E7D1694"/>
    <w:rsid w:val="7E7E0140"/>
    <w:rsid w:val="7E7F4735"/>
    <w:rsid w:val="7E8104AE"/>
    <w:rsid w:val="7E824DDC"/>
    <w:rsid w:val="7E8466A2"/>
    <w:rsid w:val="7E856052"/>
    <w:rsid w:val="7E8B30DA"/>
    <w:rsid w:val="7E937041"/>
    <w:rsid w:val="7E957AF1"/>
    <w:rsid w:val="7E9613B1"/>
    <w:rsid w:val="7E98144C"/>
    <w:rsid w:val="7E9957F7"/>
    <w:rsid w:val="7E9975A5"/>
    <w:rsid w:val="7E99790A"/>
    <w:rsid w:val="7E9B5E7E"/>
    <w:rsid w:val="7E9C3133"/>
    <w:rsid w:val="7E9C784E"/>
    <w:rsid w:val="7EA303A0"/>
    <w:rsid w:val="7EA308AA"/>
    <w:rsid w:val="7EA36676"/>
    <w:rsid w:val="7EA47CF8"/>
    <w:rsid w:val="7EA877E8"/>
    <w:rsid w:val="7EBB14DD"/>
    <w:rsid w:val="7EBC3294"/>
    <w:rsid w:val="7EC14D4E"/>
    <w:rsid w:val="7EC5039A"/>
    <w:rsid w:val="7ECB797B"/>
    <w:rsid w:val="7ECD1584"/>
    <w:rsid w:val="7ECE55AF"/>
    <w:rsid w:val="7ED128C5"/>
    <w:rsid w:val="7EE06E74"/>
    <w:rsid w:val="7EE36B99"/>
    <w:rsid w:val="7EE40E1F"/>
    <w:rsid w:val="7EE44539"/>
    <w:rsid w:val="7EEF71C5"/>
    <w:rsid w:val="7EF36467"/>
    <w:rsid w:val="7EF742CC"/>
    <w:rsid w:val="7EFE38AC"/>
    <w:rsid w:val="7EFE41AD"/>
    <w:rsid w:val="7F030EC3"/>
    <w:rsid w:val="7F032C71"/>
    <w:rsid w:val="7F035AB8"/>
    <w:rsid w:val="7F0569E9"/>
    <w:rsid w:val="7F065A1F"/>
    <w:rsid w:val="7F066FEF"/>
    <w:rsid w:val="7F076C05"/>
    <w:rsid w:val="7F080B24"/>
    <w:rsid w:val="7F096FDA"/>
    <w:rsid w:val="7F0C3488"/>
    <w:rsid w:val="7F0D3DBC"/>
    <w:rsid w:val="7F0E0725"/>
    <w:rsid w:val="7F0F4F9C"/>
    <w:rsid w:val="7F17496E"/>
    <w:rsid w:val="7F1A39AC"/>
    <w:rsid w:val="7F1B4997"/>
    <w:rsid w:val="7F1C1F84"/>
    <w:rsid w:val="7F1E408B"/>
    <w:rsid w:val="7F221CF3"/>
    <w:rsid w:val="7F226621"/>
    <w:rsid w:val="7F280929"/>
    <w:rsid w:val="7F2F36CA"/>
    <w:rsid w:val="7F350BF4"/>
    <w:rsid w:val="7F354C13"/>
    <w:rsid w:val="7F355373"/>
    <w:rsid w:val="7F3C4FE0"/>
    <w:rsid w:val="7F3D5A7B"/>
    <w:rsid w:val="7F40653F"/>
    <w:rsid w:val="7F473538"/>
    <w:rsid w:val="7F482D79"/>
    <w:rsid w:val="7F48624C"/>
    <w:rsid w:val="7F5636E8"/>
    <w:rsid w:val="7F5B7C07"/>
    <w:rsid w:val="7F5F1F6E"/>
    <w:rsid w:val="7F6851CA"/>
    <w:rsid w:val="7F695AFA"/>
    <w:rsid w:val="7F6A3EEA"/>
    <w:rsid w:val="7F6E4353"/>
    <w:rsid w:val="7F6E4CF8"/>
    <w:rsid w:val="7F6E6BBB"/>
    <w:rsid w:val="7F6F0306"/>
    <w:rsid w:val="7F727A42"/>
    <w:rsid w:val="7F73429A"/>
    <w:rsid w:val="7F7A1024"/>
    <w:rsid w:val="7F7A372B"/>
    <w:rsid w:val="7F80416C"/>
    <w:rsid w:val="7F814A6A"/>
    <w:rsid w:val="7F816E5B"/>
    <w:rsid w:val="7F827A93"/>
    <w:rsid w:val="7F845D7D"/>
    <w:rsid w:val="7F8518D8"/>
    <w:rsid w:val="7F852980"/>
    <w:rsid w:val="7F8C2A22"/>
    <w:rsid w:val="7F8C7F60"/>
    <w:rsid w:val="7F8E1597"/>
    <w:rsid w:val="7F8F7867"/>
    <w:rsid w:val="7F913B52"/>
    <w:rsid w:val="7F921E6F"/>
    <w:rsid w:val="7F954211"/>
    <w:rsid w:val="7F970FA8"/>
    <w:rsid w:val="7F975143"/>
    <w:rsid w:val="7F9A1827"/>
    <w:rsid w:val="7F9B0811"/>
    <w:rsid w:val="7FA04963"/>
    <w:rsid w:val="7FA1637C"/>
    <w:rsid w:val="7FA31741"/>
    <w:rsid w:val="7FA51F7A"/>
    <w:rsid w:val="7FA55E06"/>
    <w:rsid w:val="7FA76129"/>
    <w:rsid w:val="7FA91A6A"/>
    <w:rsid w:val="7FAC155A"/>
    <w:rsid w:val="7FAC48D8"/>
    <w:rsid w:val="7FB27CFD"/>
    <w:rsid w:val="7FB50052"/>
    <w:rsid w:val="7FB53D9D"/>
    <w:rsid w:val="7FB7608A"/>
    <w:rsid w:val="7FB76C6D"/>
    <w:rsid w:val="7FB80376"/>
    <w:rsid w:val="7FB81CAD"/>
    <w:rsid w:val="7FB83F11"/>
    <w:rsid w:val="7FB95B5C"/>
    <w:rsid w:val="7FC00B62"/>
    <w:rsid w:val="7FC26DC5"/>
    <w:rsid w:val="7FC30AC5"/>
    <w:rsid w:val="7FC76394"/>
    <w:rsid w:val="7FC87530"/>
    <w:rsid w:val="7FC91371"/>
    <w:rsid w:val="7FCA19E0"/>
    <w:rsid w:val="7FD177BD"/>
    <w:rsid w:val="7FD4460D"/>
    <w:rsid w:val="7FD90024"/>
    <w:rsid w:val="7FDD2E1F"/>
    <w:rsid w:val="7FDD34C2"/>
    <w:rsid w:val="7FE0576A"/>
    <w:rsid w:val="7FE42AA2"/>
    <w:rsid w:val="7FE5681A"/>
    <w:rsid w:val="7FE70E76"/>
    <w:rsid w:val="7FEB5F3C"/>
    <w:rsid w:val="7FF0620B"/>
    <w:rsid w:val="7FF57F11"/>
    <w:rsid w:val="7FF627D5"/>
    <w:rsid w:val="7FF73906"/>
    <w:rsid w:val="7FF73FA7"/>
    <w:rsid w:val="7FFF13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9"/>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line="800" w:lineRule="exact"/>
      <w:jc w:val="center"/>
      <w:outlineLvl w:val="0"/>
    </w:pPr>
    <w:rPr>
      <w:rFonts w:eastAsia="仿宋"/>
      <w:b/>
      <w:bCs/>
      <w:kern w:val="44"/>
      <w:sz w:val="32"/>
      <w:szCs w:val="44"/>
    </w:rPr>
  </w:style>
  <w:style w:type="paragraph" w:styleId="3">
    <w:name w:val="heading 2"/>
    <w:basedOn w:val="1"/>
    <w:next w:val="1"/>
    <w:qFormat/>
    <w:uiPriority w:val="9"/>
    <w:pPr>
      <w:keepNext/>
      <w:keepLines/>
      <w:spacing w:line="416" w:lineRule="auto"/>
      <w:jc w:val="center"/>
      <w:outlineLvl w:val="1"/>
    </w:pPr>
    <w:rPr>
      <w:rFonts w:ascii="Cambria" w:hAnsi="Cambria" w:eastAsia="仿宋" w:cs="Times New Roman"/>
      <w:b/>
      <w:bCs/>
      <w:sz w:val="32"/>
      <w:szCs w:val="32"/>
    </w:rPr>
  </w:style>
  <w:style w:type="paragraph" w:styleId="4">
    <w:name w:val="heading 3"/>
    <w:basedOn w:val="1"/>
    <w:next w:val="1"/>
    <w:qFormat/>
    <w:uiPriority w:val="0"/>
    <w:pPr>
      <w:keepNext/>
      <w:keepLines/>
      <w:numPr>
        <w:ilvl w:val="2"/>
        <w:numId w:val="1"/>
      </w:numPr>
      <w:spacing w:before="260" w:after="260" w:line="416" w:lineRule="atLeast"/>
      <w:outlineLvl w:val="2"/>
    </w:pPr>
    <w:rPr>
      <w:b/>
      <w:bCs/>
      <w:sz w:val="32"/>
      <w:szCs w:val="32"/>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ind w:firstLine="420"/>
    </w:pPr>
    <w:rPr>
      <w:szCs w:val="20"/>
    </w:rPr>
  </w:style>
  <w:style w:type="paragraph" w:styleId="6">
    <w:name w:val="toc 4"/>
    <w:basedOn w:val="1"/>
    <w:next w:val="1"/>
    <w:unhideWhenUsed/>
    <w:qFormat/>
    <w:uiPriority w:val="39"/>
    <w:pPr>
      <w:ind w:left="1260" w:leftChars="600"/>
    </w:pPr>
  </w:style>
  <w:style w:type="paragraph" w:styleId="7">
    <w:name w:val="toa heading"/>
    <w:basedOn w:val="1"/>
    <w:next w:val="1"/>
    <w:qFormat/>
    <w:uiPriority w:val="0"/>
    <w:rPr>
      <w:rFonts w:ascii="Arial" w:hAnsi="Arial" w:eastAsia="宋体" w:cs="Times New Roman"/>
      <w:sz w:val="24"/>
      <w:szCs w:val="24"/>
    </w:rPr>
  </w:style>
  <w:style w:type="paragraph" w:styleId="8">
    <w:name w:val="Body Text"/>
    <w:basedOn w:val="1"/>
    <w:next w:val="1"/>
    <w:qFormat/>
    <w:uiPriority w:val="1"/>
    <w:pPr>
      <w:autoSpaceDE w:val="0"/>
      <w:autoSpaceDN w:val="0"/>
      <w:adjustRightInd w:val="0"/>
      <w:spacing w:before="154"/>
      <w:ind w:left="118"/>
      <w:jc w:val="left"/>
    </w:pPr>
    <w:rPr>
      <w:rFonts w:ascii="仿宋" w:hAnsi="Times New Roman" w:eastAsia="仿宋" w:cs="仿宋"/>
      <w:kern w:val="0"/>
      <w:sz w:val="24"/>
      <w:szCs w:val="24"/>
    </w:rPr>
  </w:style>
  <w:style w:type="paragraph" w:styleId="9">
    <w:name w:val="Body Text Indent"/>
    <w:basedOn w:val="1"/>
    <w:next w:val="10"/>
    <w:unhideWhenUsed/>
    <w:qFormat/>
    <w:uiPriority w:val="99"/>
    <w:pPr>
      <w:spacing w:after="120"/>
      <w:ind w:left="420" w:leftChars="200"/>
    </w:pPr>
  </w:style>
  <w:style w:type="paragraph" w:styleId="10">
    <w:name w:val="Normal (Web)"/>
    <w:basedOn w:val="1"/>
    <w:next w:val="1"/>
    <w:qFormat/>
    <w:uiPriority w:val="0"/>
    <w:pPr>
      <w:widowControl w:val="0"/>
      <w:spacing w:before="100" w:beforeAutospacing="1" w:after="100" w:afterAutospacing="1" w:line="240" w:lineRule="auto"/>
      <w:jc w:val="left"/>
    </w:pPr>
    <w:rPr>
      <w:rFonts w:ascii="宋体" w:hAnsi="Times New Roman" w:eastAsia="宋体" w:cs="Times New Roman"/>
      <w:kern w:val="2"/>
      <w:sz w:val="24"/>
      <w:szCs w:val="21"/>
      <w:lang w:val="en-US" w:eastAsia="zh-CN" w:bidi="ar-SA"/>
    </w:rPr>
  </w:style>
  <w:style w:type="paragraph" w:styleId="11">
    <w:name w:val="Plain Text"/>
    <w:basedOn w:val="1"/>
    <w:qFormat/>
    <w:uiPriority w:val="0"/>
    <w:rPr>
      <w:rFonts w:ascii="宋体" w:hAnsi="Times New Roman"/>
      <w:szCs w:val="24"/>
    </w:rPr>
  </w:style>
  <w:style w:type="paragraph" w:styleId="12">
    <w:name w:val="footer"/>
    <w:basedOn w:val="1"/>
    <w:unhideWhenUsed/>
    <w:qFormat/>
    <w:uiPriority w:val="99"/>
    <w:pPr>
      <w:tabs>
        <w:tab w:val="center" w:pos="4153"/>
        <w:tab w:val="right" w:pos="8306"/>
      </w:tabs>
      <w:snapToGrid w:val="0"/>
      <w:jc w:val="left"/>
    </w:pPr>
    <w:rPr>
      <w:sz w:val="18"/>
      <w:szCs w:val="18"/>
    </w:rPr>
  </w:style>
  <w:style w:type="paragraph" w:styleId="1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tabs>
        <w:tab w:val="right" w:leader="dot" w:pos="9400"/>
      </w:tabs>
      <w:spacing w:line="520" w:lineRule="exact"/>
      <w:jc w:val="left"/>
    </w:pPr>
  </w:style>
  <w:style w:type="paragraph" w:styleId="15">
    <w:name w:val="footnote text"/>
    <w:basedOn w:val="1"/>
    <w:qFormat/>
    <w:uiPriority w:val="0"/>
    <w:pPr>
      <w:snapToGrid w:val="0"/>
      <w:jc w:val="left"/>
    </w:pPr>
    <w:rPr>
      <w:sz w:val="18"/>
    </w:rPr>
  </w:style>
  <w:style w:type="paragraph" w:styleId="16">
    <w:name w:val="Body Text Indent 3"/>
    <w:basedOn w:val="1"/>
    <w:qFormat/>
    <w:uiPriority w:val="0"/>
    <w:pPr>
      <w:spacing w:line="410" w:lineRule="exact"/>
      <w:ind w:left="619" w:leftChars="295" w:firstLine="390" w:firstLineChars="179"/>
    </w:pPr>
    <w:rPr>
      <w:rFonts w:ascii="宋体" w:hAnsi="宋体"/>
      <w:spacing w:val="4"/>
    </w:rPr>
  </w:style>
  <w:style w:type="paragraph" w:styleId="17">
    <w:name w:val="toc 2"/>
    <w:basedOn w:val="1"/>
    <w:next w:val="1"/>
    <w:unhideWhenUsed/>
    <w:qFormat/>
    <w:uiPriority w:val="39"/>
    <w:pPr>
      <w:ind w:left="420" w:leftChars="200"/>
    </w:pPr>
  </w:style>
  <w:style w:type="paragraph" w:styleId="18">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Cs w:val="24"/>
    </w:rPr>
  </w:style>
  <w:style w:type="paragraph" w:styleId="19">
    <w:name w:val="Body Text First Indent"/>
    <w:basedOn w:val="8"/>
    <w:next w:val="1"/>
    <w:qFormat/>
    <w:uiPriority w:val="0"/>
    <w:pPr>
      <w:ind w:firstLine="420" w:firstLineChars="100"/>
    </w:pPr>
  </w:style>
  <w:style w:type="paragraph" w:styleId="20">
    <w:name w:val="Body Text First Indent 2"/>
    <w:basedOn w:val="9"/>
    <w:qFormat/>
    <w:uiPriority w:val="0"/>
    <w:pPr>
      <w:ind w:firstLine="42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0"/>
    <w:rPr>
      <w:b/>
    </w:rPr>
  </w:style>
  <w:style w:type="character" w:styleId="25">
    <w:name w:val="HTML Sample"/>
    <w:qFormat/>
    <w:uiPriority w:val="0"/>
    <w:rPr>
      <w:rFonts w:ascii="Courier New" w:hAnsi="Courier New"/>
    </w:rPr>
  </w:style>
  <w:style w:type="paragraph" w:customStyle="1" w:styleId="26">
    <w:name w:val="Default"/>
    <w:qFormat/>
    <w:uiPriority w:val="0"/>
    <w:pPr>
      <w:widowControl w:val="0"/>
      <w:autoSpaceDE w:val="0"/>
      <w:autoSpaceDN w:val="0"/>
      <w:adjustRightInd w:val="0"/>
    </w:pPr>
    <w:rPr>
      <w:rFonts w:ascii="宋体" w:hAnsi="Calibri" w:eastAsia="宋体" w:cs="Times New Roman"/>
      <w:color w:val="000000"/>
      <w:sz w:val="24"/>
      <w:szCs w:val="22"/>
      <w:lang w:val="en-US" w:eastAsia="zh-CN" w:bidi="ar-SA"/>
    </w:rPr>
  </w:style>
  <w:style w:type="paragraph" w:customStyle="1" w:styleId="27">
    <w:name w:val="列出段落1"/>
    <w:basedOn w:val="1"/>
    <w:qFormat/>
    <w:uiPriority w:val="34"/>
    <w:pPr>
      <w:ind w:firstLine="420" w:firstLineChars="200"/>
    </w:pPr>
  </w:style>
  <w:style w:type="paragraph" w:customStyle="1" w:styleId="28">
    <w:name w:val="正文缩进1"/>
    <w:basedOn w:val="1"/>
    <w:qFormat/>
    <w:uiPriority w:val="0"/>
    <w:pPr>
      <w:ind w:firstLine="420" w:firstLineChars="200"/>
    </w:pPr>
  </w:style>
  <w:style w:type="character" w:customStyle="1" w:styleId="29">
    <w:name w:val="NormalCharacter"/>
    <w:link w:val="1"/>
    <w:semiHidden/>
    <w:qFormat/>
    <w:uiPriority w:val="0"/>
    <w:rPr>
      <w:rFonts w:ascii="Calibri" w:hAnsi="Calibri" w:eastAsia="宋体" w:cs="Times New Roman"/>
      <w:kern w:val="2"/>
      <w:sz w:val="21"/>
      <w:szCs w:val="22"/>
      <w:lang w:val="en-US" w:eastAsia="zh-CN" w:bidi="ar-SA"/>
    </w:rPr>
  </w:style>
  <w:style w:type="paragraph" w:customStyle="1" w:styleId="30">
    <w:name w:val="Table Paragraph"/>
    <w:basedOn w:val="1"/>
    <w:qFormat/>
    <w:uiPriority w:val="1"/>
    <w:pPr>
      <w:autoSpaceDE w:val="0"/>
      <w:autoSpaceDN w:val="0"/>
      <w:adjustRightInd w:val="0"/>
      <w:jc w:val="left"/>
    </w:pPr>
    <w:rPr>
      <w:rFonts w:ascii="Times New Roman" w:hAnsi="Times New Roman" w:eastAsia="宋体"/>
      <w:kern w:val="0"/>
      <w:sz w:val="24"/>
      <w:szCs w:val="24"/>
    </w:rPr>
  </w:style>
  <w:style w:type="character" w:customStyle="1" w:styleId="31">
    <w:name w:val="font41"/>
    <w:qFormat/>
    <w:uiPriority w:val="0"/>
    <w:rPr>
      <w:rFonts w:hint="eastAsia" w:ascii="宋体" w:hAnsi="宋体" w:eastAsia="宋体" w:cs="宋体"/>
      <w:color w:val="000000"/>
      <w:sz w:val="24"/>
      <w:szCs w:val="24"/>
      <w:u w:val="none"/>
    </w:rPr>
  </w:style>
  <w:style w:type="paragraph" w:customStyle="1" w:styleId="32">
    <w:name w:val="Other|1"/>
    <w:basedOn w:val="1"/>
    <w:qFormat/>
    <w:uiPriority w:val="0"/>
    <w:pPr>
      <w:jc w:val="left"/>
    </w:pPr>
    <w:rPr>
      <w:rFonts w:ascii="宋体" w:hAnsi="宋体" w:cs="宋体"/>
      <w:lang w:val="zh-TW" w:eastAsia="zh-TW" w:bidi="zh-TW"/>
    </w:rPr>
  </w:style>
  <w:style w:type="paragraph" w:customStyle="1" w:styleId="33">
    <w:name w:val="标书-正文"/>
    <w:qFormat/>
    <w:uiPriority w:val="0"/>
    <w:pPr>
      <w:widowControl w:val="0"/>
      <w:spacing w:before="56" w:after="113" w:line="360" w:lineRule="auto"/>
      <w:ind w:firstLine="200"/>
      <w:jc w:val="both"/>
    </w:pPr>
    <w:rPr>
      <w:rFonts w:hint="eastAsia" w:ascii="Arial Unicode MS" w:hAnsi="Arial Unicode MS" w:eastAsia="Arial Unicode MS" w:cs="Arial Unicode MS"/>
      <w:color w:val="000000"/>
      <w:sz w:val="24"/>
      <w:szCs w:val="24"/>
      <w:lang w:val="en-US" w:eastAsia="zh-CN" w:bidi="ar-SA"/>
    </w:rPr>
  </w:style>
  <w:style w:type="paragraph" w:customStyle="1" w:styleId="34">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Heading 1"/>
    <w:basedOn w:val="1"/>
    <w:qFormat/>
    <w:uiPriority w:val="1"/>
    <w:pPr>
      <w:autoSpaceDE w:val="0"/>
      <w:autoSpaceDN w:val="0"/>
      <w:adjustRightInd w:val="0"/>
      <w:ind w:left="82"/>
      <w:jc w:val="left"/>
      <w:outlineLvl w:val="0"/>
    </w:pPr>
    <w:rPr>
      <w:rFonts w:ascii="宋体" w:hAnsi="Times New Roman" w:cs="宋体"/>
      <w:b/>
      <w:bCs/>
      <w:kern w:val="0"/>
      <w:sz w:val="32"/>
      <w:szCs w:val="32"/>
    </w:rPr>
  </w:style>
  <w:style w:type="paragraph" w:styleId="36">
    <w:name w:val="List Paragraph"/>
    <w:basedOn w:val="1"/>
    <w:qFormat/>
    <w:uiPriority w:val="99"/>
    <w:pPr>
      <w:ind w:firstLine="420" w:firstLineChars="200"/>
    </w:pPr>
    <w:rPr>
      <w:sz w:val="24"/>
    </w:rPr>
  </w:style>
  <w:style w:type="paragraph" w:customStyle="1" w:styleId="37">
    <w:name w:val="正文（绿盟科技）"/>
    <w:qFormat/>
    <w:uiPriority w:val="0"/>
    <w:pPr>
      <w:spacing w:line="300" w:lineRule="auto"/>
    </w:pPr>
    <w:rPr>
      <w:rFonts w:ascii="Arial" w:hAnsi="Arial" w:eastAsia="宋体" w:cs="黑体"/>
      <w:sz w:val="21"/>
      <w:szCs w:val="21"/>
      <w:lang w:val="en-US" w:eastAsia="zh-CN" w:bidi="ar-SA"/>
    </w:rPr>
  </w:style>
  <w:style w:type="paragraph" w:styleId="38">
    <w:name w:val="No Spacing"/>
    <w:basedOn w:val="1"/>
    <w:qFormat/>
    <w:uiPriority w:val="0"/>
    <w:pPr>
      <w:widowControl w:val="0"/>
      <w:spacing w:line="360" w:lineRule="auto"/>
      <w:jc w:val="both"/>
    </w:pPr>
    <w:rPr>
      <w:rFonts w:ascii="宋体" w:hAnsi="宋体" w:eastAsia="宋体" w:cs="Times New Roman"/>
      <w:kern w:val="2"/>
      <w:sz w:val="21"/>
      <w:szCs w:val="21"/>
      <w:lang w:val="en-US" w:eastAsia="zh-CN" w:bidi="ar-SA"/>
    </w:rPr>
  </w:style>
  <w:style w:type="paragraph" w:customStyle="1" w:styleId="39">
    <w:name w:val="UserStyle_66"/>
    <w:qFormat/>
    <w:uiPriority w:val="0"/>
    <w:pPr>
      <w:jc w:val="both"/>
      <w:textAlignment w:val="baseline"/>
    </w:pPr>
    <w:rPr>
      <w:rFonts w:ascii="Calibri" w:hAnsi="Calibri" w:eastAsia="宋体"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28631</Words>
  <Characters>29706</Characters>
  <Lines>0</Lines>
  <Paragraphs>0</Paragraphs>
  <TotalTime>0</TotalTime>
  <ScaleCrop>false</ScaleCrop>
  <LinksUpToDate>false</LinksUpToDate>
  <CharactersWithSpaces>31963</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2021-04-25T04:02:00Z</dcterms:created>
  <dc:creator>RAZER</dc:creator>
  <cp:lastModifiedBy>lenovo</cp:lastModifiedBy>
  <cp:lastPrinted>2022-08-26T11:40:00Z</cp:lastPrinted>
  <dcterms:modified xsi:type="dcterms:W3CDTF">2023-07-28T05:30:13Z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13B0CD94C17E4FB791133D15CD4A6264_13</vt:lpwstr>
  </property>
</Properties>
</file>