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rPr>
      </w:pPr>
      <w:r>
        <w:rPr>
          <w:rFonts w:ascii="宋体" w:hAnsi="宋体"/>
        </w:rPr>
        <w:t xml:space="preserve"> </w:t>
      </w:r>
    </w:p>
    <w:p>
      <w:pPr>
        <w:adjustRightInd w:val="0"/>
        <w:snapToGrid w:val="0"/>
        <w:jc w:val="left"/>
        <w:rPr>
          <w:rFonts w:ascii="黑体" w:hAnsi="黑体" w:eastAsia="黑体"/>
          <w:bCs/>
          <w:sz w:val="36"/>
          <w:szCs w:val="36"/>
        </w:rPr>
      </w:pPr>
      <w:r>
        <w:rPr>
          <w:rFonts w:ascii="宋体" w:hAnsi="宋体"/>
        </w:rPr>
        <w:t xml:space="preserve">  </w:t>
      </w:r>
    </w:p>
    <w:p>
      <w:pPr>
        <w:pStyle w:val="8"/>
        <w:numPr>
          <w:ilvl w:val="0"/>
          <w:numId w:val="0"/>
        </w:numPr>
        <w:jc w:val="center"/>
      </w:pPr>
      <w:r>
        <w:rPr>
          <w:rFonts w:hint="eastAsia" w:ascii="宋体" w:hAnsi="宋体"/>
          <w:bCs/>
          <w:sz w:val="36"/>
          <w:szCs w:val="36"/>
        </w:rPr>
        <w:t>2023年中央动物防疫补助等（第二批资金）经费项目（一标段牛羊口蹄疫疫苗）</w:t>
      </w:r>
    </w:p>
    <w:p>
      <w:pPr>
        <w:pStyle w:val="8"/>
        <w:numPr>
          <w:ilvl w:val="0"/>
          <w:numId w:val="0"/>
        </w:numPr>
      </w:pPr>
    </w:p>
    <w:p>
      <w:pPr>
        <w:pStyle w:val="8"/>
        <w:numPr>
          <w:ilvl w:val="0"/>
          <w:numId w:val="0"/>
        </w:numPr>
      </w:pPr>
    </w:p>
    <w:p>
      <w:pPr>
        <w:snapToGrid w:val="0"/>
        <w:spacing w:before="480" w:beforeLines="200" w:line="500" w:lineRule="exact"/>
        <w:jc w:val="center"/>
        <w:rPr>
          <w:rFonts w:ascii="Times New Roman" w:hAnsi="Times New Roman" w:eastAsia="黑体"/>
          <w:b/>
          <w:sz w:val="72"/>
          <w:szCs w:val="72"/>
        </w:rPr>
      </w:pPr>
      <w:r>
        <w:rPr>
          <w:rFonts w:hint="eastAsia" w:ascii="Times New Roman" w:hAnsi="Times New Roman" w:eastAsia="黑体"/>
          <w:b/>
          <w:sz w:val="72"/>
          <w:szCs w:val="72"/>
        </w:rPr>
        <w:t>招  标  文  件</w:t>
      </w:r>
    </w:p>
    <w:p>
      <w:pPr>
        <w:spacing w:line="360" w:lineRule="exact"/>
        <w:ind w:left="420" w:hanging="420"/>
        <w:jc w:val="left"/>
        <w:rPr>
          <w:rFonts w:ascii="Times New Roman" w:hAnsi="Times New Roman"/>
          <w:szCs w:val="21"/>
        </w:rPr>
      </w:pPr>
    </w:p>
    <w:p>
      <w:pPr>
        <w:spacing w:line="360" w:lineRule="exact"/>
        <w:ind w:firstLine="2160" w:firstLineChars="900"/>
        <w:rPr>
          <w:rFonts w:ascii="宋体" w:hAnsi="宋体"/>
          <w:sz w:val="24"/>
          <w:szCs w:val="24"/>
        </w:rPr>
      </w:pPr>
      <w:r>
        <w:rPr>
          <w:rFonts w:hint="eastAsia" w:ascii="宋体" w:hAnsi="宋体"/>
          <w:sz w:val="24"/>
          <w:szCs w:val="24"/>
        </w:rPr>
        <w:t>项目编号：XJXZYL-HW20230704-01</w:t>
      </w:r>
    </w:p>
    <w:p>
      <w:pPr>
        <w:spacing w:line="720" w:lineRule="exact"/>
        <w:rPr>
          <w:sz w:val="28"/>
          <w:szCs w:val="28"/>
        </w:rPr>
      </w:pPr>
    </w:p>
    <w:p>
      <w:pPr>
        <w:pStyle w:val="8"/>
        <w:numPr>
          <w:ilvl w:val="0"/>
          <w:numId w:val="0"/>
        </w:numPr>
      </w:pPr>
    </w:p>
    <w:p>
      <w:pPr>
        <w:pStyle w:val="8"/>
        <w:numPr>
          <w:ilvl w:val="0"/>
          <w:numId w:val="0"/>
        </w:numPr>
      </w:pPr>
    </w:p>
    <w:p>
      <w:pPr>
        <w:pStyle w:val="8"/>
        <w:numPr>
          <w:ilvl w:val="0"/>
          <w:numId w:val="0"/>
        </w:numPr>
      </w:pPr>
    </w:p>
    <w:p>
      <w:pPr>
        <w:autoSpaceDE w:val="0"/>
        <w:autoSpaceDN w:val="0"/>
        <w:spacing w:line="400" w:lineRule="exact"/>
        <w:jc w:val="left"/>
        <w:rPr>
          <w:rFonts w:ascii="Times New Roman" w:hAnsi="Times New Roman"/>
          <w:bCs/>
          <w:sz w:val="32"/>
          <w:szCs w:val="24"/>
        </w:rPr>
      </w:pPr>
    </w:p>
    <w:p>
      <w:pPr>
        <w:widowControl/>
        <w:adjustRightInd w:val="0"/>
        <w:snapToGrid w:val="0"/>
        <w:spacing w:line="360" w:lineRule="auto"/>
        <w:textAlignment w:val="baseline"/>
        <w:rPr>
          <w:rFonts w:ascii="宋体" w:hAnsi="宋体"/>
          <w:bCs/>
          <w:sz w:val="28"/>
          <w:szCs w:val="28"/>
        </w:rPr>
      </w:pPr>
      <w:r>
        <w:rPr>
          <w:rFonts w:hint="eastAsia" w:ascii="宋体" w:hAnsi="宋体"/>
          <w:bCs/>
          <w:sz w:val="28"/>
          <w:szCs w:val="28"/>
        </w:rPr>
        <w:t>采 购 人：</w:t>
      </w:r>
      <w:r>
        <w:rPr>
          <w:rFonts w:ascii="宋体" w:hAnsi="宋体"/>
          <w:bCs/>
          <w:sz w:val="28"/>
          <w:szCs w:val="28"/>
        </w:rPr>
        <w:t>伊犁哈萨克自治州动物疾病控制与诊断中心</w:t>
      </w:r>
      <w:r>
        <w:rPr>
          <w:rFonts w:hint="eastAsia" w:ascii="宋体" w:hAnsi="宋体"/>
          <w:bCs/>
          <w:sz w:val="28"/>
          <w:szCs w:val="28"/>
        </w:rPr>
        <w:t>(盖章)</w:t>
      </w:r>
    </w:p>
    <w:p>
      <w:pPr>
        <w:widowControl/>
        <w:adjustRightInd w:val="0"/>
        <w:snapToGrid w:val="0"/>
        <w:spacing w:line="360" w:lineRule="auto"/>
        <w:textAlignment w:val="baseline"/>
        <w:rPr>
          <w:rFonts w:ascii="宋体" w:hAnsi="宋体"/>
          <w:bCs/>
          <w:sz w:val="28"/>
          <w:szCs w:val="28"/>
        </w:rPr>
      </w:pPr>
      <w:r>
        <w:rPr>
          <w:rFonts w:hint="eastAsia" w:ascii="宋体" w:hAnsi="宋体"/>
          <w:bCs/>
          <w:sz w:val="28"/>
          <w:szCs w:val="28"/>
        </w:rPr>
        <w:t>联 系 人：王鹏</w:t>
      </w:r>
    </w:p>
    <w:p>
      <w:pPr>
        <w:widowControl/>
        <w:adjustRightInd w:val="0"/>
        <w:snapToGrid w:val="0"/>
        <w:spacing w:line="360" w:lineRule="auto"/>
        <w:textAlignment w:val="baseline"/>
        <w:rPr>
          <w:rFonts w:ascii="宋体" w:hAnsi="宋体"/>
          <w:bCs/>
          <w:sz w:val="28"/>
          <w:szCs w:val="28"/>
        </w:rPr>
      </w:pPr>
      <w:r>
        <w:rPr>
          <w:rFonts w:hint="eastAsia" w:ascii="宋体" w:hAnsi="宋体"/>
          <w:bCs/>
          <w:sz w:val="28"/>
          <w:szCs w:val="28"/>
        </w:rPr>
        <w:t>联系电话：13369995355</w:t>
      </w:r>
    </w:p>
    <w:p>
      <w:pPr>
        <w:widowControl/>
        <w:spacing w:line="360" w:lineRule="auto"/>
        <w:rPr>
          <w:rFonts w:ascii="宋体" w:hAnsi="宋体"/>
          <w:bCs/>
          <w:sz w:val="28"/>
          <w:szCs w:val="28"/>
        </w:rPr>
      </w:pPr>
      <w:r>
        <w:rPr>
          <w:rFonts w:hint="eastAsia" w:ascii="宋体" w:hAnsi="宋体"/>
          <w:bCs/>
          <w:sz w:val="28"/>
          <w:szCs w:val="28"/>
        </w:rPr>
        <mc:AlternateContent>
          <mc:Choice Requires="wps">
            <w:drawing>
              <wp:anchor distT="0" distB="0" distL="114300" distR="114300" simplePos="0" relativeHeight="251665408" behindDoc="0" locked="0" layoutInCell="1" allowOverlap="1">
                <wp:simplePos x="0" y="0"/>
                <wp:positionH relativeFrom="column">
                  <wp:posOffset>466725</wp:posOffset>
                </wp:positionH>
                <wp:positionV relativeFrom="paragraph">
                  <wp:posOffset>100330</wp:posOffset>
                </wp:positionV>
                <wp:extent cx="5000625" cy="0"/>
                <wp:effectExtent l="0" t="0" r="28575" b="19050"/>
                <wp:wrapNone/>
                <wp:docPr id="3" name="直接连接符 3"/>
                <wp:cNvGraphicFramePr/>
                <a:graphic xmlns:a="http://schemas.openxmlformats.org/drawingml/2006/main">
                  <a:graphicData uri="http://schemas.microsoft.com/office/word/2010/wordprocessingShape">
                    <wps:wsp>
                      <wps:cNvCnPr/>
                      <wps:spPr>
                        <a:xfrm>
                          <a:off x="0" y="0"/>
                          <a:ext cx="5000625" cy="0"/>
                        </a:xfrm>
                        <a:prstGeom prst="line">
                          <a:avLst/>
                        </a:prstGeom>
                        <a:ln w="12700" cap="rnd"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36.75pt;margin-top:7.9pt;height:0pt;width:393.75pt;z-index:251665408;mso-width-relative:page;mso-height-relative:page;" filled="f" stroked="t" coordsize="21600,21600" o:gfxdata="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4NMSdkAAAAIAQAADwAAAAAAAAABACAAAAAiAAAAZHJzL2Rvd25yZXYueG1sUEsBAhQAFAAA&#10;AAgAh07iQDAuDVvuAQAA2QMAAA4AAAAAAAAAAQAgAAAAKAEAAGRycy9lMm9Eb2MueG1sUEsFBgAA&#10;AAAGAAYAWQEAAIgFAAAAAA==&#10;">
                <v:fill on="f" focussize="0,0"/>
                <v:stroke weight="1pt" color="#000000" joinstyle="round" dashstyle="1 1" endcap="round"/>
                <v:imagedata o:title=""/>
                <o:lock v:ext="edit" aspectratio="f"/>
              </v:line>
            </w:pict>
          </mc:Fallback>
        </mc:AlternateContent>
      </w:r>
    </w:p>
    <w:p>
      <w:pPr>
        <w:widowControl/>
        <w:tabs>
          <w:tab w:val="center" w:pos="4509"/>
        </w:tabs>
        <w:spacing w:line="360" w:lineRule="auto"/>
        <w:rPr>
          <w:rFonts w:ascii="宋体" w:hAnsi="宋体"/>
          <w:bCs/>
          <w:sz w:val="28"/>
          <w:szCs w:val="28"/>
        </w:rPr>
      </w:pPr>
      <w:r>
        <w:rPr>
          <w:rFonts w:hint="eastAsia" w:ascii="宋体" w:hAnsi="宋体"/>
          <w:bCs/>
          <w:sz w:val="28"/>
          <w:szCs w:val="28"/>
        </w:rPr>
        <w:t xml:space="preserve">采购代理机构：新疆新招工程项目咨询管理有限公司（盖章） </w:t>
      </w:r>
    </w:p>
    <w:p>
      <w:pPr>
        <w:widowControl/>
        <w:tabs>
          <w:tab w:val="center" w:pos="4509"/>
        </w:tabs>
        <w:spacing w:line="360" w:lineRule="auto"/>
        <w:rPr>
          <w:rFonts w:ascii="宋体" w:hAnsi="宋体"/>
          <w:bCs/>
          <w:sz w:val="28"/>
          <w:szCs w:val="28"/>
        </w:rPr>
      </w:pPr>
      <w:r>
        <w:rPr>
          <w:rFonts w:hint="eastAsia" w:ascii="宋体" w:hAnsi="宋体"/>
          <w:bCs/>
          <w:sz w:val="28"/>
          <w:szCs w:val="28"/>
        </w:rPr>
        <w:t>联 系 人：宋红杰、王少伟</w:t>
      </w:r>
    </w:p>
    <w:p>
      <w:pPr>
        <w:widowControl/>
        <w:tabs>
          <w:tab w:val="center" w:pos="4509"/>
        </w:tabs>
        <w:spacing w:line="360" w:lineRule="auto"/>
        <w:rPr>
          <w:rFonts w:ascii="宋体" w:hAnsi="宋体"/>
          <w:bCs/>
          <w:sz w:val="28"/>
          <w:szCs w:val="28"/>
        </w:rPr>
      </w:pPr>
      <w:r>
        <w:rPr>
          <w:rFonts w:hint="eastAsia" w:ascii="宋体" w:hAnsi="宋体"/>
          <w:bCs/>
          <w:sz w:val="28"/>
          <w:szCs w:val="28"/>
        </w:rPr>
        <w:t>联系电话：</w:t>
      </w:r>
      <w:r>
        <w:rPr>
          <w:rFonts w:ascii="宋体" w:hAnsi="宋体"/>
          <w:bCs/>
          <w:sz w:val="28"/>
          <w:szCs w:val="28"/>
        </w:rPr>
        <w:t>15</w:t>
      </w:r>
      <w:r>
        <w:rPr>
          <w:rFonts w:hint="eastAsia" w:ascii="宋体" w:hAnsi="宋体"/>
          <w:bCs/>
          <w:sz w:val="28"/>
          <w:szCs w:val="28"/>
        </w:rPr>
        <w:t>509992621</w:t>
      </w:r>
    </w:p>
    <w:p>
      <w:pPr>
        <w:widowControl/>
        <w:tabs>
          <w:tab w:val="center" w:pos="4509"/>
        </w:tabs>
        <w:spacing w:line="360" w:lineRule="auto"/>
        <w:rPr>
          <w:rFonts w:ascii="宋体" w:hAnsi="宋体"/>
          <w:bCs/>
          <w:sz w:val="28"/>
          <w:szCs w:val="28"/>
        </w:rPr>
      </w:pPr>
      <w:r>
        <w:rPr>
          <w:rFonts w:hint="eastAsia" w:ascii="宋体" w:hAnsi="宋体"/>
          <w:bCs/>
          <w:sz w:val="28"/>
          <w:szCs w:val="28"/>
        </w:rPr>
        <w:t>详细地址：新疆伊犁州伊宁市开发区如意街新房大厦4楼401室</w:t>
      </w:r>
    </w:p>
    <w:p>
      <w:pPr>
        <w:spacing w:line="360" w:lineRule="exact"/>
        <w:ind w:left="420" w:hanging="420"/>
        <w:jc w:val="left"/>
        <w:rPr>
          <w:rFonts w:ascii="Times New Roman" w:hAnsi="Times New Roman"/>
          <w:szCs w:val="21"/>
        </w:rPr>
      </w:pPr>
    </w:p>
    <w:p>
      <w:pPr>
        <w:autoSpaceDE w:val="0"/>
        <w:autoSpaceDN w:val="0"/>
        <w:jc w:val="center"/>
        <w:rPr>
          <w:rFonts w:ascii="宋体" w:hAnsi="宋体"/>
          <w:bCs/>
          <w:kern w:val="0"/>
          <w:sz w:val="30"/>
          <w:szCs w:val="30"/>
        </w:rPr>
      </w:pPr>
      <w:r>
        <w:rPr>
          <w:rFonts w:hint="eastAsia" w:ascii="宋体" w:hAnsi="宋体"/>
          <w:bCs/>
          <w:kern w:val="0"/>
          <w:sz w:val="30"/>
          <w:szCs w:val="30"/>
        </w:rPr>
        <w:t>二零二三年七月</w:t>
      </w:r>
    </w:p>
    <w:p>
      <w:pPr>
        <w:spacing w:line="276" w:lineRule="auto"/>
        <w:jc w:val="center"/>
        <w:rPr>
          <w:rFonts w:ascii="宋体" w:hAnsi="宋体" w:cs="宋体"/>
          <w:b/>
          <w:bCs/>
          <w:sz w:val="24"/>
          <w:szCs w:val="24"/>
        </w:rPr>
        <w:sectPr>
          <w:headerReference r:id="rId4" w:type="default"/>
          <w:headerReference r:id="rId5" w:type="even"/>
          <w:footerReference r:id="rId6" w:type="even"/>
          <w:pgSz w:w="12240" w:h="15840"/>
          <w:pgMar w:top="1440" w:right="1800" w:bottom="1440" w:left="1800" w:header="851" w:footer="992" w:gutter="0"/>
          <w:cols w:space="720" w:num="1"/>
          <w:titlePg/>
          <w:docGrid w:linePitch="312" w:charSpace="0"/>
        </w:sectPr>
      </w:pPr>
    </w:p>
    <w:p>
      <w:pPr>
        <w:spacing w:line="276" w:lineRule="auto"/>
        <w:jc w:val="center"/>
        <w:rPr>
          <w:rFonts w:ascii="宋体" w:hAnsi="宋体" w:cs="宋体"/>
          <w:b/>
          <w:bCs/>
          <w:sz w:val="24"/>
          <w:szCs w:val="24"/>
        </w:rPr>
      </w:pPr>
    </w:p>
    <w:p>
      <w:pPr>
        <w:spacing w:line="276" w:lineRule="auto"/>
        <w:jc w:val="center"/>
        <w:rPr>
          <w:rFonts w:ascii="宋体" w:hAnsi="宋体" w:cs="宋体"/>
          <w:b/>
          <w:bCs/>
          <w:sz w:val="24"/>
          <w:szCs w:val="24"/>
        </w:rPr>
      </w:pPr>
    </w:p>
    <w:p>
      <w:pPr>
        <w:spacing w:line="276" w:lineRule="auto"/>
        <w:jc w:val="center"/>
        <w:rPr>
          <w:rFonts w:ascii="宋体" w:cs="宋体"/>
          <w:b/>
          <w:bCs/>
          <w:sz w:val="24"/>
          <w:szCs w:val="24"/>
        </w:rPr>
      </w:pPr>
      <w:r>
        <w:rPr>
          <w:rFonts w:hint="eastAsia" w:ascii="宋体" w:hAnsi="宋体" w:cs="宋体"/>
          <w:b/>
          <w:bCs/>
          <w:sz w:val="24"/>
          <w:szCs w:val="24"/>
        </w:rPr>
        <w:t>目</w:t>
      </w:r>
      <w:r>
        <w:rPr>
          <w:rFonts w:ascii="宋体" w:hAnsi="宋体" w:cs="宋体"/>
          <w:b/>
          <w:bCs/>
          <w:sz w:val="24"/>
          <w:szCs w:val="24"/>
        </w:rPr>
        <w:t xml:space="preserve"> </w:t>
      </w:r>
      <w:r>
        <w:rPr>
          <w:rFonts w:hint="eastAsia" w:ascii="宋体" w:hAnsi="宋体" w:cs="宋体"/>
          <w:b/>
          <w:bCs/>
          <w:sz w:val="24"/>
          <w:szCs w:val="24"/>
        </w:rPr>
        <w:t>录</w:t>
      </w:r>
    </w:p>
    <w:p>
      <w:pPr>
        <w:pStyle w:val="16"/>
        <w:tabs>
          <w:tab w:val="right" w:leader="dot" w:pos="8306"/>
        </w:tabs>
        <w:spacing w:line="276" w:lineRule="auto"/>
        <w:rPr>
          <w:sz w:val="24"/>
        </w:rPr>
      </w:pPr>
      <w:r>
        <w:rPr>
          <w:rFonts w:ascii="宋体" w:hAnsi="宋体" w:cs="宋体"/>
          <w:b/>
          <w:bCs/>
          <w:sz w:val="24"/>
        </w:rPr>
        <w:fldChar w:fldCharType="begin"/>
      </w:r>
      <w:r>
        <w:rPr>
          <w:rFonts w:ascii="宋体" w:hAnsi="宋体" w:cs="宋体"/>
          <w:b/>
          <w:bCs/>
          <w:sz w:val="24"/>
        </w:rPr>
        <w:instrText xml:space="preserve">TOC \o "1-3" \h \u </w:instrText>
      </w:r>
      <w:r>
        <w:rPr>
          <w:rFonts w:ascii="宋体" w:hAnsi="宋体" w:cs="宋体"/>
          <w:b/>
          <w:bCs/>
          <w:sz w:val="24"/>
        </w:rPr>
        <w:fldChar w:fldCharType="separate"/>
      </w:r>
      <w:r>
        <w:fldChar w:fldCharType="begin"/>
      </w:r>
      <w:r>
        <w:instrText xml:space="preserve"> HYPERLINK \l "_Toc1076" </w:instrText>
      </w:r>
      <w:r>
        <w:fldChar w:fldCharType="separate"/>
      </w:r>
      <w:r>
        <w:rPr>
          <w:rFonts w:hint="eastAsia" w:ascii="黑体" w:hAnsi="黑体" w:eastAsia="黑体" w:cs="黑体"/>
          <w:bCs/>
          <w:sz w:val="24"/>
        </w:rPr>
        <w:t>第一章 招标公告</w:t>
      </w:r>
      <w:r>
        <w:rPr>
          <w:sz w:val="24"/>
        </w:rPr>
        <w:tab/>
      </w:r>
      <w:r>
        <w:rPr>
          <w:sz w:val="24"/>
        </w:rPr>
        <w:fldChar w:fldCharType="begin"/>
      </w:r>
      <w:r>
        <w:rPr>
          <w:sz w:val="24"/>
        </w:rPr>
        <w:instrText xml:space="preserve"> PAGEREF _Toc1076 \h </w:instrText>
      </w:r>
      <w:r>
        <w:rPr>
          <w:sz w:val="24"/>
        </w:rPr>
        <w:fldChar w:fldCharType="separate"/>
      </w:r>
      <w:r>
        <w:rPr>
          <w:sz w:val="24"/>
        </w:rPr>
        <w:t>2</w:t>
      </w:r>
      <w:r>
        <w:rPr>
          <w:sz w:val="24"/>
        </w:rPr>
        <w:fldChar w:fldCharType="end"/>
      </w:r>
      <w:r>
        <w:rPr>
          <w:sz w:val="24"/>
        </w:rPr>
        <w:fldChar w:fldCharType="end"/>
      </w:r>
    </w:p>
    <w:p>
      <w:pPr>
        <w:pStyle w:val="16"/>
        <w:tabs>
          <w:tab w:val="right" w:leader="dot" w:pos="8306"/>
        </w:tabs>
        <w:spacing w:line="276" w:lineRule="auto"/>
        <w:rPr>
          <w:sz w:val="24"/>
        </w:rPr>
      </w:pPr>
      <w:r>
        <w:fldChar w:fldCharType="begin"/>
      </w:r>
      <w:r>
        <w:instrText xml:space="preserve"> HYPERLINK \l "_Toc27824" </w:instrText>
      </w:r>
      <w:r>
        <w:fldChar w:fldCharType="separate"/>
      </w:r>
      <w:r>
        <w:rPr>
          <w:rFonts w:hint="eastAsia" w:ascii="黑体" w:hAnsi="黑体" w:eastAsia="黑体" w:cs="黑体"/>
          <w:bCs/>
          <w:sz w:val="24"/>
        </w:rPr>
        <w:t>第二章 投标人须知前附表</w:t>
      </w:r>
      <w:r>
        <w:rPr>
          <w:sz w:val="24"/>
        </w:rPr>
        <w:tab/>
      </w:r>
      <w:r>
        <w:rPr>
          <w:rFonts w:hint="eastAsia"/>
          <w:sz w:val="24"/>
        </w:rPr>
        <w:t>6</w:t>
      </w:r>
      <w:r>
        <w:rPr>
          <w:rFonts w:hint="eastAsia"/>
          <w:sz w:val="24"/>
        </w:rPr>
        <w:fldChar w:fldCharType="end"/>
      </w:r>
    </w:p>
    <w:p>
      <w:pPr>
        <w:pStyle w:val="16"/>
        <w:tabs>
          <w:tab w:val="right" w:leader="dot" w:pos="8306"/>
        </w:tabs>
        <w:spacing w:line="276" w:lineRule="auto"/>
        <w:rPr>
          <w:sz w:val="24"/>
        </w:rPr>
      </w:pPr>
      <w:r>
        <w:fldChar w:fldCharType="begin"/>
      </w:r>
      <w:r>
        <w:instrText xml:space="preserve"> HYPERLINK \l "_Toc14733" </w:instrText>
      </w:r>
      <w:r>
        <w:fldChar w:fldCharType="separate"/>
      </w:r>
      <w:r>
        <w:rPr>
          <w:rFonts w:hint="eastAsia" w:ascii="黑体" w:hAnsi="黑体" w:eastAsia="黑体" w:cs="黑体"/>
          <w:bCs/>
          <w:sz w:val="24"/>
        </w:rPr>
        <w:t>第三章 投标须知</w:t>
      </w:r>
      <w:r>
        <w:rPr>
          <w:sz w:val="24"/>
        </w:rPr>
        <w:tab/>
      </w:r>
      <w:r>
        <w:rPr>
          <w:sz w:val="24"/>
        </w:rPr>
        <w:fldChar w:fldCharType="begin"/>
      </w:r>
      <w:r>
        <w:rPr>
          <w:sz w:val="24"/>
        </w:rPr>
        <w:instrText xml:space="preserve"> PAGEREF _Toc14733 \h </w:instrText>
      </w:r>
      <w:r>
        <w:rPr>
          <w:sz w:val="24"/>
        </w:rPr>
        <w:fldChar w:fldCharType="separate"/>
      </w:r>
      <w:r>
        <w:rPr>
          <w:sz w:val="24"/>
        </w:rPr>
        <w:t>11</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"_Toc30774" </w:instrText>
      </w:r>
      <w:r>
        <w:fldChar w:fldCharType="separate"/>
      </w:r>
      <w:r>
        <w:rPr>
          <w:rFonts w:hint="eastAsia" w:ascii="宋体" w:hAnsi="宋体" w:cs="宋体"/>
          <w:sz w:val="24"/>
        </w:rPr>
        <w:t>第一节 总则</w:t>
      </w:r>
      <w:r>
        <w:rPr>
          <w:sz w:val="24"/>
        </w:rPr>
        <w:tab/>
      </w:r>
      <w:r>
        <w:rPr>
          <w:sz w:val="24"/>
        </w:rPr>
        <w:fldChar w:fldCharType="begin"/>
      </w:r>
      <w:r>
        <w:rPr>
          <w:sz w:val="24"/>
        </w:rPr>
        <w:instrText xml:space="preserve"> PAGEREF _Toc30774 \h </w:instrText>
      </w:r>
      <w:r>
        <w:rPr>
          <w:sz w:val="24"/>
        </w:rPr>
        <w:fldChar w:fldCharType="separate"/>
      </w:r>
      <w:r>
        <w:rPr>
          <w:sz w:val="24"/>
        </w:rPr>
        <w:t>11</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"_Toc25582" </w:instrText>
      </w:r>
      <w:r>
        <w:fldChar w:fldCharType="separate"/>
      </w:r>
      <w:r>
        <w:rPr>
          <w:rFonts w:hint="eastAsia" w:ascii="宋体" w:hAnsi="宋体" w:cs="宋体"/>
          <w:sz w:val="24"/>
        </w:rPr>
        <w:t>第二节 招标文件</w:t>
      </w:r>
      <w:r>
        <w:rPr>
          <w:sz w:val="24"/>
        </w:rPr>
        <w:tab/>
      </w:r>
      <w:r>
        <w:rPr>
          <w:sz w:val="24"/>
        </w:rPr>
        <w:fldChar w:fldCharType="begin"/>
      </w:r>
      <w:r>
        <w:rPr>
          <w:sz w:val="24"/>
        </w:rPr>
        <w:instrText xml:space="preserve"> PAGEREF _Toc25582 \h </w:instrText>
      </w:r>
      <w:r>
        <w:rPr>
          <w:sz w:val="24"/>
        </w:rPr>
        <w:fldChar w:fldCharType="separate"/>
      </w:r>
      <w:r>
        <w:rPr>
          <w:sz w:val="24"/>
        </w:rPr>
        <w:t>13</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"_Toc9055" </w:instrText>
      </w:r>
      <w:r>
        <w:fldChar w:fldCharType="separate"/>
      </w:r>
      <w:r>
        <w:rPr>
          <w:rFonts w:hint="eastAsia" w:ascii="宋体" w:hAnsi="宋体" w:cs="宋体"/>
          <w:sz w:val="24"/>
        </w:rPr>
        <w:t>第三节 投标文件</w:t>
      </w:r>
      <w:r>
        <w:rPr>
          <w:sz w:val="24"/>
        </w:rPr>
        <w:tab/>
      </w:r>
      <w:r>
        <w:rPr>
          <w:sz w:val="24"/>
        </w:rPr>
        <w:fldChar w:fldCharType="begin"/>
      </w:r>
      <w:r>
        <w:rPr>
          <w:sz w:val="24"/>
        </w:rPr>
        <w:instrText xml:space="preserve"> PAGEREF _Toc9055 \h </w:instrText>
      </w:r>
      <w:r>
        <w:rPr>
          <w:sz w:val="24"/>
        </w:rPr>
        <w:fldChar w:fldCharType="separate"/>
      </w:r>
      <w:r>
        <w:rPr>
          <w:sz w:val="24"/>
        </w:rPr>
        <w:t>14</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"_Toc12338" </w:instrText>
      </w:r>
      <w:r>
        <w:fldChar w:fldCharType="separate"/>
      </w:r>
      <w:r>
        <w:rPr>
          <w:rFonts w:hint="eastAsia" w:ascii="宋体" w:hAnsi="宋体" w:cs="宋体"/>
          <w:sz w:val="24"/>
        </w:rPr>
        <w:t>第四节 纪律和监督</w:t>
      </w:r>
      <w:r>
        <w:rPr>
          <w:sz w:val="24"/>
        </w:rPr>
        <w:tab/>
      </w:r>
      <w:r>
        <w:rPr>
          <w:sz w:val="24"/>
        </w:rPr>
        <w:fldChar w:fldCharType="begin"/>
      </w:r>
      <w:r>
        <w:rPr>
          <w:sz w:val="24"/>
        </w:rPr>
        <w:instrText xml:space="preserve"> PAGEREF _Toc12338 \h </w:instrText>
      </w:r>
      <w:r>
        <w:rPr>
          <w:sz w:val="24"/>
        </w:rPr>
        <w:fldChar w:fldCharType="separate"/>
      </w:r>
      <w:r>
        <w:rPr>
          <w:sz w:val="24"/>
        </w:rPr>
        <w:t>16</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"_Toc28529" </w:instrText>
      </w:r>
      <w:r>
        <w:fldChar w:fldCharType="separate"/>
      </w:r>
      <w:r>
        <w:rPr>
          <w:rFonts w:hint="eastAsia" w:ascii="宋体" w:hAnsi="宋体" w:cs="宋体"/>
          <w:sz w:val="24"/>
        </w:rPr>
        <w:t>第五节 询问、质疑和投诉</w:t>
      </w:r>
      <w:r>
        <w:rPr>
          <w:sz w:val="24"/>
        </w:rPr>
        <w:tab/>
      </w:r>
      <w:r>
        <w:rPr>
          <w:sz w:val="24"/>
        </w:rPr>
        <w:fldChar w:fldCharType="begin"/>
      </w:r>
      <w:r>
        <w:rPr>
          <w:sz w:val="24"/>
        </w:rPr>
        <w:instrText xml:space="preserve"> PAGEREF _Toc28529 \h </w:instrText>
      </w:r>
      <w:r>
        <w:rPr>
          <w:sz w:val="24"/>
        </w:rPr>
        <w:fldChar w:fldCharType="separate"/>
      </w:r>
      <w:r>
        <w:rPr>
          <w:sz w:val="24"/>
        </w:rPr>
        <w:t>17</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"_Toc27389" </w:instrText>
      </w:r>
      <w:r>
        <w:fldChar w:fldCharType="separate"/>
      </w:r>
      <w:r>
        <w:rPr>
          <w:rFonts w:hint="eastAsia" w:ascii="宋体" w:hAnsi="宋体" w:cs="宋体"/>
          <w:sz w:val="24"/>
        </w:rPr>
        <w:t>第六节 评标</w:t>
      </w:r>
      <w:r>
        <w:rPr>
          <w:sz w:val="24"/>
        </w:rPr>
        <w:tab/>
      </w:r>
      <w:r>
        <w:rPr>
          <w:sz w:val="24"/>
        </w:rPr>
        <w:fldChar w:fldCharType="begin"/>
      </w:r>
      <w:r>
        <w:rPr>
          <w:sz w:val="24"/>
        </w:rPr>
        <w:instrText xml:space="preserve"> PAGEREF _Toc27389 \h </w:instrText>
      </w:r>
      <w:r>
        <w:rPr>
          <w:sz w:val="24"/>
        </w:rPr>
        <w:fldChar w:fldCharType="separate"/>
      </w:r>
      <w:r>
        <w:rPr>
          <w:sz w:val="24"/>
        </w:rPr>
        <w:t>17</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"_Toc19761" </w:instrText>
      </w:r>
      <w:r>
        <w:fldChar w:fldCharType="separate"/>
      </w:r>
      <w:r>
        <w:rPr>
          <w:rFonts w:hint="eastAsia" w:ascii="宋体" w:hAnsi="宋体" w:cs="宋体"/>
          <w:sz w:val="24"/>
        </w:rPr>
        <w:t>第七节 定标及合同授予</w:t>
      </w:r>
      <w:r>
        <w:rPr>
          <w:sz w:val="24"/>
        </w:rPr>
        <w:tab/>
      </w:r>
      <w:r>
        <w:rPr>
          <w:sz w:val="24"/>
        </w:rPr>
        <w:fldChar w:fldCharType="begin"/>
      </w:r>
      <w:r>
        <w:rPr>
          <w:sz w:val="24"/>
        </w:rPr>
        <w:instrText xml:space="preserve"> PAGEREF _Toc19761 \h </w:instrText>
      </w:r>
      <w:r>
        <w:rPr>
          <w:sz w:val="24"/>
        </w:rPr>
        <w:fldChar w:fldCharType="separate"/>
      </w:r>
      <w:r>
        <w:rPr>
          <w:sz w:val="24"/>
        </w:rPr>
        <w:t>31</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"_Toc26112" </w:instrText>
      </w:r>
      <w:r>
        <w:fldChar w:fldCharType="separate"/>
      </w:r>
      <w:r>
        <w:rPr>
          <w:rFonts w:hint="eastAsia" w:ascii="宋体" w:hAnsi="宋体" w:cs="宋体"/>
          <w:sz w:val="24"/>
        </w:rPr>
        <w:t>第八节 合同条款及格式</w:t>
      </w:r>
      <w:r>
        <w:rPr>
          <w:sz w:val="24"/>
        </w:rPr>
        <w:tab/>
      </w:r>
      <w:r>
        <w:rPr>
          <w:sz w:val="24"/>
        </w:rPr>
        <w:fldChar w:fldCharType="begin"/>
      </w:r>
      <w:r>
        <w:rPr>
          <w:sz w:val="24"/>
        </w:rPr>
        <w:instrText xml:space="preserve"> PAGEREF _Toc26112 \h </w:instrText>
      </w:r>
      <w:r>
        <w:rPr>
          <w:sz w:val="24"/>
        </w:rPr>
        <w:fldChar w:fldCharType="separate"/>
      </w:r>
      <w:r>
        <w:rPr>
          <w:sz w:val="24"/>
        </w:rPr>
        <w:t>33</w:t>
      </w:r>
      <w:r>
        <w:rPr>
          <w:sz w:val="24"/>
        </w:rPr>
        <w:fldChar w:fldCharType="end"/>
      </w:r>
      <w:r>
        <w:rPr>
          <w:sz w:val="24"/>
        </w:rPr>
        <w:fldChar w:fldCharType="end"/>
      </w:r>
    </w:p>
    <w:p>
      <w:pPr>
        <w:pStyle w:val="16"/>
        <w:tabs>
          <w:tab w:val="right" w:leader="dot" w:pos="8306"/>
        </w:tabs>
        <w:spacing w:line="276" w:lineRule="auto"/>
        <w:rPr>
          <w:sz w:val="24"/>
        </w:rPr>
      </w:pPr>
      <w:r>
        <w:fldChar w:fldCharType="begin"/>
      </w:r>
      <w:r>
        <w:instrText xml:space="preserve"> HYPERLINK \l "_Toc25473" </w:instrText>
      </w:r>
      <w:r>
        <w:fldChar w:fldCharType="separate"/>
      </w:r>
      <w:r>
        <w:rPr>
          <w:rFonts w:hint="eastAsia" w:ascii="黑体" w:hAnsi="黑体" w:eastAsia="黑体" w:cs="黑体"/>
          <w:bCs/>
          <w:sz w:val="24"/>
        </w:rPr>
        <w:t>第四章 技术标准和服务要求</w:t>
      </w:r>
      <w:r>
        <w:rPr>
          <w:sz w:val="24"/>
        </w:rPr>
        <w:tab/>
      </w:r>
      <w:r>
        <w:rPr>
          <w:sz w:val="24"/>
        </w:rPr>
        <w:fldChar w:fldCharType="begin"/>
      </w:r>
      <w:r>
        <w:rPr>
          <w:sz w:val="24"/>
        </w:rPr>
        <w:instrText xml:space="preserve"> PAGEREF _Toc25473 \h </w:instrText>
      </w:r>
      <w:r>
        <w:rPr>
          <w:sz w:val="24"/>
        </w:rPr>
        <w:fldChar w:fldCharType="separate"/>
      </w:r>
      <w:r>
        <w:rPr>
          <w:sz w:val="24"/>
        </w:rPr>
        <w:t>41</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"_Toc16551" </w:instrText>
      </w:r>
      <w:r>
        <w:fldChar w:fldCharType="separate"/>
      </w:r>
      <w:r>
        <w:rPr>
          <w:rFonts w:hint="eastAsia" w:ascii="宋体" w:hAnsi="宋体" w:cs="宋体"/>
          <w:sz w:val="24"/>
        </w:rPr>
        <w:t xml:space="preserve">第一节 </w:t>
      </w:r>
      <w:r>
        <w:rPr>
          <w:rFonts w:hint="eastAsia" w:ascii="宋体" w:hAnsi="宋体" w:cs="宋体"/>
          <w:bCs/>
          <w:sz w:val="24"/>
        </w:rPr>
        <w:t>重大动物疫病疫苗采购项目需求技术参数</w:t>
      </w:r>
      <w:r>
        <w:rPr>
          <w:sz w:val="24"/>
        </w:rPr>
        <w:tab/>
      </w:r>
      <w:r>
        <w:rPr>
          <w:sz w:val="24"/>
        </w:rPr>
        <w:fldChar w:fldCharType="begin"/>
      </w:r>
      <w:r>
        <w:rPr>
          <w:sz w:val="24"/>
        </w:rPr>
        <w:instrText xml:space="preserve"> PAGEREF _Toc16551 \h </w:instrText>
      </w:r>
      <w:r>
        <w:rPr>
          <w:sz w:val="24"/>
        </w:rPr>
        <w:fldChar w:fldCharType="separate"/>
      </w:r>
      <w:r>
        <w:rPr>
          <w:sz w:val="24"/>
        </w:rPr>
        <w:t>41</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"_Toc30472" </w:instrText>
      </w:r>
      <w:r>
        <w:fldChar w:fldCharType="separate"/>
      </w:r>
      <w:r>
        <w:rPr>
          <w:rFonts w:hint="eastAsia" w:ascii="宋体" w:hAnsi="宋体" w:cs="宋体"/>
          <w:sz w:val="24"/>
        </w:rPr>
        <w:t>第二节 供货服务要求</w:t>
      </w:r>
      <w:r>
        <w:rPr>
          <w:sz w:val="24"/>
        </w:rPr>
        <w:tab/>
      </w:r>
      <w:r>
        <w:rPr>
          <w:sz w:val="24"/>
        </w:rPr>
        <w:fldChar w:fldCharType="begin"/>
      </w:r>
      <w:r>
        <w:rPr>
          <w:sz w:val="24"/>
        </w:rPr>
        <w:instrText xml:space="preserve"> PAGEREF _Toc30472 \h </w:instrText>
      </w:r>
      <w:r>
        <w:rPr>
          <w:sz w:val="24"/>
        </w:rPr>
        <w:fldChar w:fldCharType="separate"/>
      </w:r>
      <w:r>
        <w:rPr>
          <w:sz w:val="24"/>
        </w:rPr>
        <w:t>42</w:t>
      </w:r>
      <w:r>
        <w:rPr>
          <w:sz w:val="24"/>
        </w:rPr>
        <w:fldChar w:fldCharType="end"/>
      </w:r>
      <w:r>
        <w:rPr>
          <w:sz w:val="24"/>
        </w:rPr>
        <w:fldChar w:fldCharType="end"/>
      </w:r>
    </w:p>
    <w:p>
      <w:pPr>
        <w:pStyle w:val="10"/>
        <w:tabs>
          <w:tab w:val="right" w:leader="dot" w:pos="8306"/>
        </w:tabs>
        <w:spacing w:line="276" w:lineRule="auto"/>
        <w:rPr>
          <w:sz w:val="24"/>
        </w:rPr>
      </w:pPr>
      <w:r>
        <w:fldChar w:fldCharType="begin"/>
      </w:r>
      <w:r>
        <w:instrText xml:space="preserve"> HYPERLINK \l "_Toc18492" </w:instrText>
      </w:r>
      <w:r>
        <w:fldChar w:fldCharType="separate"/>
      </w:r>
      <w:r>
        <w:rPr>
          <w:rFonts w:hint="eastAsia" w:ascii="宋体" w:hAnsi="宋体" w:cs="宋体"/>
          <w:sz w:val="24"/>
        </w:rPr>
        <w:t>2.1</w:t>
      </w:r>
      <w:r>
        <w:rPr>
          <w:rFonts w:ascii="宋体" w:hAnsi="宋体" w:cs="宋体"/>
          <w:sz w:val="24"/>
        </w:rPr>
        <w:t xml:space="preserve"> </w:t>
      </w:r>
      <w:r>
        <w:rPr>
          <w:rFonts w:hint="eastAsia" w:ascii="宋体" w:hAnsi="宋体" w:cs="宋体"/>
          <w:sz w:val="24"/>
        </w:rPr>
        <w:t>供货期、地点、运输方式及验收方式</w:t>
      </w:r>
      <w:r>
        <w:rPr>
          <w:sz w:val="24"/>
        </w:rPr>
        <w:tab/>
      </w:r>
      <w:r>
        <w:rPr>
          <w:sz w:val="24"/>
        </w:rPr>
        <w:fldChar w:fldCharType="begin"/>
      </w:r>
      <w:r>
        <w:rPr>
          <w:sz w:val="24"/>
        </w:rPr>
        <w:instrText xml:space="preserve"> PAGEREF _Toc18492 \h </w:instrText>
      </w:r>
      <w:r>
        <w:rPr>
          <w:sz w:val="24"/>
        </w:rPr>
        <w:fldChar w:fldCharType="separate"/>
      </w:r>
      <w:r>
        <w:rPr>
          <w:sz w:val="24"/>
        </w:rPr>
        <w:t>42</w:t>
      </w:r>
      <w:r>
        <w:rPr>
          <w:sz w:val="24"/>
        </w:rPr>
        <w:fldChar w:fldCharType="end"/>
      </w:r>
      <w:r>
        <w:rPr>
          <w:sz w:val="24"/>
        </w:rPr>
        <w:fldChar w:fldCharType="end"/>
      </w:r>
    </w:p>
    <w:p>
      <w:pPr>
        <w:pStyle w:val="10"/>
        <w:tabs>
          <w:tab w:val="right" w:leader="dot" w:pos="8306"/>
        </w:tabs>
        <w:spacing w:line="276" w:lineRule="auto"/>
        <w:rPr>
          <w:sz w:val="24"/>
        </w:rPr>
      </w:pPr>
      <w:r>
        <w:fldChar w:fldCharType="begin"/>
      </w:r>
      <w:r>
        <w:instrText xml:space="preserve"> HYPERLINK \l "_Toc28983" </w:instrText>
      </w:r>
      <w:r>
        <w:fldChar w:fldCharType="separate"/>
      </w:r>
      <w:r>
        <w:rPr>
          <w:rFonts w:hint="eastAsia" w:ascii="宋体" w:hAnsi="宋体" w:cs="宋体"/>
          <w:sz w:val="24"/>
        </w:rPr>
        <w:t>2.</w:t>
      </w:r>
      <w:r>
        <w:rPr>
          <w:rFonts w:ascii="宋体" w:hAnsi="宋体" w:cs="宋体"/>
          <w:sz w:val="24"/>
        </w:rPr>
        <w:t xml:space="preserve">2 </w:t>
      </w:r>
      <w:r>
        <w:rPr>
          <w:rFonts w:hint="eastAsia" w:ascii="宋体" w:hAnsi="宋体" w:cs="宋体"/>
          <w:sz w:val="24"/>
        </w:rPr>
        <w:t>质量责任</w:t>
      </w:r>
      <w:r>
        <w:rPr>
          <w:sz w:val="24"/>
        </w:rPr>
        <w:tab/>
      </w:r>
      <w:r>
        <w:rPr>
          <w:sz w:val="24"/>
        </w:rPr>
        <w:fldChar w:fldCharType="begin"/>
      </w:r>
      <w:r>
        <w:rPr>
          <w:sz w:val="24"/>
        </w:rPr>
        <w:instrText xml:space="preserve"> PAGEREF _Toc28983 \h </w:instrText>
      </w:r>
      <w:r>
        <w:rPr>
          <w:sz w:val="24"/>
        </w:rPr>
        <w:fldChar w:fldCharType="separate"/>
      </w:r>
      <w:r>
        <w:rPr>
          <w:sz w:val="24"/>
        </w:rPr>
        <w:t>42</w:t>
      </w:r>
      <w:r>
        <w:rPr>
          <w:sz w:val="24"/>
        </w:rPr>
        <w:fldChar w:fldCharType="end"/>
      </w:r>
      <w:r>
        <w:rPr>
          <w:sz w:val="24"/>
        </w:rPr>
        <w:fldChar w:fldCharType="end"/>
      </w:r>
    </w:p>
    <w:p>
      <w:pPr>
        <w:pStyle w:val="10"/>
        <w:tabs>
          <w:tab w:val="right" w:leader="dot" w:pos="8306"/>
        </w:tabs>
        <w:spacing w:line="276" w:lineRule="auto"/>
        <w:rPr>
          <w:sz w:val="24"/>
        </w:rPr>
      </w:pPr>
      <w:r>
        <w:fldChar w:fldCharType="begin"/>
      </w:r>
      <w:r>
        <w:instrText xml:space="preserve"> HYPERLINK \l "_Toc16176" </w:instrText>
      </w:r>
      <w:r>
        <w:fldChar w:fldCharType="separate"/>
      </w:r>
      <w:r>
        <w:rPr>
          <w:rFonts w:hint="eastAsia" w:ascii="宋体" w:hAnsi="宋体" w:cs="宋体"/>
          <w:sz w:val="24"/>
        </w:rPr>
        <w:t>2.3</w:t>
      </w:r>
      <w:r>
        <w:rPr>
          <w:rFonts w:ascii="宋体" w:hAnsi="宋体" w:cs="宋体"/>
          <w:sz w:val="24"/>
        </w:rPr>
        <w:t xml:space="preserve"> </w:t>
      </w:r>
      <w:r>
        <w:rPr>
          <w:rFonts w:hint="eastAsia" w:ascii="宋体" w:hAnsi="宋体" w:cs="宋体"/>
          <w:sz w:val="24"/>
        </w:rPr>
        <w:t>质量保证及售后服务</w:t>
      </w:r>
      <w:r>
        <w:rPr>
          <w:sz w:val="24"/>
        </w:rPr>
        <w:tab/>
      </w:r>
      <w:r>
        <w:rPr>
          <w:sz w:val="24"/>
        </w:rPr>
        <w:fldChar w:fldCharType="begin"/>
      </w:r>
      <w:r>
        <w:rPr>
          <w:sz w:val="24"/>
        </w:rPr>
        <w:instrText xml:space="preserve"> PAGEREF _Toc16176 \h </w:instrText>
      </w:r>
      <w:r>
        <w:rPr>
          <w:sz w:val="24"/>
        </w:rPr>
        <w:fldChar w:fldCharType="separate"/>
      </w:r>
      <w:r>
        <w:rPr>
          <w:sz w:val="24"/>
        </w:rPr>
        <w:t>43</w:t>
      </w:r>
      <w:r>
        <w:rPr>
          <w:sz w:val="24"/>
        </w:rPr>
        <w:fldChar w:fldCharType="end"/>
      </w:r>
      <w:r>
        <w:rPr>
          <w:sz w:val="24"/>
        </w:rPr>
        <w:fldChar w:fldCharType="end"/>
      </w:r>
    </w:p>
    <w:p>
      <w:pPr>
        <w:pStyle w:val="10"/>
        <w:tabs>
          <w:tab w:val="right" w:leader="dot" w:pos="8306"/>
        </w:tabs>
        <w:spacing w:line="276" w:lineRule="auto"/>
        <w:rPr>
          <w:sz w:val="24"/>
        </w:rPr>
      </w:pPr>
      <w:r>
        <w:fldChar w:fldCharType="begin"/>
      </w:r>
      <w:r>
        <w:instrText xml:space="preserve"> HYPERLINK \l "_Toc24187" </w:instrText>
      </w:r>
      <w:r>
        <w:fldChar w:fldCharType="separate"/>
      </w:r>
      <w:r>
        <w:rPr>
          <w:rFonts w:hint="eastAsia" w:ascii="宋体" w:hAnsi="宋体" w:cs="宋体"/>
          <w:sz w:val="24"/>
        </w:rPr>
        <w:t>2.4</w:t>
      </w:r>
      <w:r>
        <w:rPr>
          <w:rFonts w:ascii="宋体" w:hAnsi="宋体" w:cs="宋体"/>
          <w:sz w:val="24"/>
        </w:rPr>
        <w:t xml:space="preserve"> </w:t>
      </w:r>
      <w:r>
        <w:rPr>
          <w:rFonts w:hint="eastAsia" w:ascii="宋体" w:hAnsi="宋体" w:cs="宋体"/>
          <w:sz w:val="24"/>
        </w:rPr>
        <w:t>付款方式</w:t>
      </w:r>
      <w:r>
        <w:rPr>
          <w:sz w:val="24"/>
        </w:rPr>
        <w:tab/>
      </w:r>
      <w:r>
        <w:rPr>
          <w:sz w:val="24"/>
        </w:rPr>
        <w:fldChar w:fldCharType="begin"/>
      </w:r>
      <w:r>
        <w:rPr>
          <w:sz w:val="24"/>
        </w:rPr>
        <w:instrText xml:space="preserve"> PAGEREF _Toc24187 \h </w:instrText>
      </w:r>
      <w:r>
        <w:rPr>
          <w:sz w:val="24"/>
        </w:rPr>
        <w:fldChar w:fldCharType="separate"/>
      </w:r>
      <w:r>
        <w:rPr>
          <w:sz w:val="24"/>
        </w:rPr>
        <w:t>44</w:t>
      </w:r>
      <w:r>
        <w:rPr>
          <w:sz w:val="24"/>
        </w:rPr>
        <w:fldChar w:fldCharType="end"/>
      </w:r>
      <w:r>
        <w:rPr>
          <w:sz w:val="24"/>
        </w:rPr>
        <w:fldChar w:fldCharType="end"/>
      </w:r>
    </w:p>
    <w:p>
      <w:pPr>
        <w:pStyle w:val="10"/>
        <w:tabs>
          <w:tab w:val="right" w:leader="dot" w:pos="8306"/>
        </w:tabs>
        <w:spacing w:line="276" w:lineRule="auto"/>
        <w:rPr>
          <w:sz w:val="24"/>
        </w:rPr>
      </w:pPr>
      <w:r>
        <w:fldChar w:fldCharType="begin"/>
      </w:r>
      <w:r>
        <w:instrText xml:space="preserve"> HYPERLINK \l "_Toc31012" </w:instrText>
      </w:r>
      <w:r>
        <w:fldChar w:fldCharType="separate"/>
      </w:r>
      <w:r>
        <w:rPr>
          <w:rFonts w:hint="eastAsia" w:ascii="宋体" w:hAnsi="宋体" w:cs="宋体"/>
          <w:sz w:val="24"/>
        </w:rPr>
        <w:t>2.5</w:t>
      </w:r>
      <w:r>
        <w:rPr>
          <w:rFonts w:ascii="宋体" w:hAnsi="宋体" w:cs="宋体"/>
          <w:sz w:val="24"/>
        </w:rPr>
        <w:t xml:space="preserve"> </w:t>
      </w:r>
      <w:r>
        <w:rPr>
          <w:rFonts w:hint="eastAsia" w:ascii="宋体" w:hAnsi="宋体" w:cs="宋体"/>
          <w:sz w:val="24"/>
        </w:rPr>
        <w:t>知识产权</w:t>
      </w:r>
      <w:r>
        <w:rPr>
          <w:sz w:val="24"/>
        </w:rPr>
        <w:tab/>
      </w:r>
      <w:r>
        <w:rPr>
          <w:sz w:val="24"/>
        </w:rPr>
        <w:fldChar w:fldCharType="begin"/>
      </w:r>
      <w:r>
        <w:rPr>
          <w:sz w:val="24"/>
        </w:rPr>
        <w:instrText xml:space="preserve"> PAGEREF _Toc31012 \h </w:instrText>
      </w:r>
      <w:r>
        <w:rPr>
          <w:sz w:val="24"/>
        </w:rPr>
        <w:fldChar w:fldCharType="separate"/>
      </w:r>
      <w:r>
        <w:rPr>
          <w:sz w:val="24"/>
        </w:rPr>
        <w:t>44</w:t>
      </w:r>
      <w:r>
        <w:rPr>
          <w:sz w:val="24"/>
        </w:rPr>
        <w:fldChar w:fldCharType="end"/>
      </w:r>
      <w:r>
        <w:rPr>
          <w:sz w:val="24"/>
        </w:rPr>
        <w:fldChar w:fldCharType="end"/>
      </w:r>
    </w:p>
    <w:p>
      <w:pPr>
        <w:pStyle w:val="10"/>
        <w:tabs>
          <w:tab w:val="right" w:leader="dot" w:pos="8306"/>
        </w:tabs>
        <w:spacing w:line="276" w:lineRule="auto"/>
        <w:rPr>
          <w:sz w:val="24"/>
        </w:rPr>
      </w:pPr>
      <w:r>
        <w:fldChar w:fldCharType="begin"/>
      </w:r>
      <w:r>
        <w:instrText xml:space="preserve"> HYPERLINK \l "_Toc17147" </w:instrText>
      </w:r>
      <w:r>
        <w:fldChar w:fldCharType="separate"/>
      </w:r>
      <w:r>
        <w:rPr>
          <w:rFonts w:hint="eastAsia" w:ascii="宋体" w:hAnsi="宋体" w:cs="宋体"/>
          <w:sz w:val="24"/>
        </w:rPr>
        <w:t>2.6</w:t>
      </w:r>
      <w:r>
        <w:rPr>
          <w:rFonts w:ascii="宋体" w:hAnsi="宋体" w:cs="宋体"/>
          <w:sz w:val="24"/>
        </w:rPr>
        <w:t xml:space="preserve"> </w:t>
      </w:r>
      <w:r>
        <w:rPr>
          <w:rFonts w:hint="eastAsia" w:ascii="宋体" w:hAnsi="宋体" w:cs="宋体"/>
          <w:sz w:val="24"/>
        </w:rPr>
        <w:t>其他</w:t>
      </w:r>
      <w:r>
        <w:rPr>
          <w:sz w:val="24"/>
        </w:rPr>
        <w:tab/>
      </w:r>
      <w:r>
        <w:rPr>
          <w:sz w:val="24"/>
        </w:rPr>
        <w:fldChar w:fldCharType="begin"/>
      </w:r>
      <w:r>
        <w:rPr>
          <w:sz w:val="24"/>
        </w:rPr>
        <w:instrText xml:space="preserve"> PAGEREF _Toc17147 \h </w:instrText>
      </w:r>
      <w:r>
        <w:rPr>
          <w:sz w:val="24"/>
        </w:rPr>
        <w:fldChar w:fldCharType="separate"/>
      </w:r>
      <w:r>
        <w:rPr>
          <w:sz w:val="24"/>
        </w:rPr>
        <w:t>44</w:t>
      </w:r>
      <w:r>
        <w:rPr>
          <w:sz w:val="24"/>
        </w:rPr>
        <w:fldChar w:fldCharType="end"/>
      </w:r>
      <w:r>
        <w:rPr>
          <w:sz w:val="24"/>
        </w:rPr>
        <w:fldChar w:fldCharType="end"/>
      </w:r>
    </w:p>
    <w:p>
      <w:pPr>
        <w:pStyle w:val="16"/>
        <w:tabs>
          <w:tab w:val="right" w:leader="dot" w:pos="8306"/>
        </w:tabs>
        <w:spacing w:line="276" w:lineRule="auto"/>
        <w:rPr>
          <w:sz w:val="24"/>
        </w:rPr>
      </w:pPr>
      <w:r>
        <w:fldChar w:fldCharType="begin"/>
      </w:r>
      <w:r>
        <w:instrText xml:space="preserve"> HYPERLINK \l "_Toc19890" </w:instrText>
      </w:r>
      <w:r>
        <w:fldChar w:fldCharType="separate"/>
      </w:r>
      <w:r>
        <w:rPr>
          <w:rFonts w:hint="eastAsia" w:ascii="黑体" w:hAnsi="黑体" w:eastAsia="黑体" w:cs="黑体"/>
          <w:bCs/>
          <w:sz w:val="24"/>
        </w:rPr>
        <w:t>第五章 投标文件格式</w:t>
      </w:r>
      <w:r>
        <w:rPr>
          <w:sz w:val="24"/>
        </w:rPr>
        <w:tab/>
      </w:r>
      <w:r>
        <w:rPr>
          <w:sz w:val="24"/>
        </w:rPr>
        <w:fldChar w:fldCharType="begin"/>
      </w:r>
      <w:r>
        <w:rPr>
          <w:sz w:val="24"/>
        </w:rPr>
        <w:instrText xml:space="preserve"> PAGEREF _Toc19890 \h </w:instrText>
      </w:r>
      <w:r>
        <w:rPr>
          <w:sz w:val="24"/>
        </w:rPr>
        <w:fldChar w:fldCharType="separate"/>
      </w:r>
      <w:r>
        <w:rPr>
          <w:sz w:val="24"/>
        </w:rPr>
        <w:t>45</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"_Toc5067" </w:instrText>
      </w:r>
      <w:r>
        <w:fldChar w:fldCharType="separate"/>
      </w:r>
      <w:r>
        <w:rPr>
          <w:rFonts w:hint="eastAsia" w:ascii="宋体" w:hAnsi="宋体" w:cs="宋体"/>
          <w:sz w:val="24"/>
        </w:rPr>
        <w:t>第一节 投标文件封面示例</w:t>
      </w:r>
      <w:r>
        <w:rPr>
          <w:sz w:val="24"/>
        </w:rPr>
        <w:tab/>
      </w:r>
      <w:r>
        <w:rPr>
          <w:sz w:val="24"/>
        </w:rPr>
        <w:fldChar w:fldCharType="begin"/>
      </w:r>
      <w:r>
        <w:rPr>
          <w:sz w:val="24"/>
        </w:rPr>
        <w:instrText xml:space="preserve"> PAGEREF _Toc5067 \h </w:instrText>
      </w:r>
      <w:r>
        <w:rPr>
          <w:sz w:val="24"/>
        </w:rPr>
        <w:fldChar w:fldCharType="separate"/>
      </w:r>
      <w:r>
        <w:rPr>
          <w:sz w:val="24"/>
        </w:rPr>
        <w:t>45</w:t>
      </w:r>
      <w:r>
        <w:rPr>
          <w:sz w:val="24"/>
        </w:rPr>
        <w:fldChar w:fldCharType="end"/>
      </w:r>
      <w:r>
        <w:rPr>
          <w:sz w:val="24"/>
        </w:rPr>
        <w:fldChar w:fldCharType="end"/>
      </w:r>
    </w:p>
    <w:p>
      <w:pPr>
        <w:pStyle w:val="18"/>
        <w:tabs>
          <w:tab w:val="right" w:leader="dot" w:pos="8306"/>
        </w:tabs>
        <w:spacing w:line="276" w:lineRule="auto"/>
        <w:rPr>
          <w:sz w:val="24"/>
        </w:rPr>
      </w:pPr>
      <w:r>
        <w:fldChar w:fldCharType="begin"/>
      </w:r>
      <w:r>
        <w:instrText xml:space="preserve"> HYPERLINK \l "_Toc29172" </w:instrText>
      </w:r>
      <w:r>
        <w:fldChar w:fldCharType="separate"/>
      </w:r>
      <w:r>
        <w:rPr>
          <w:rFonts w:hint="eastAsia" w:ascii="宋体" w:hAnsi="宋体" w:cs="宋体"/>
          <w:sz w:val="24"/>
        </w:rPr>
        <w:t>第二节 投标文件目录示例</w:t>
      </w:r>
      <w:r>
        <w:rPr>
          <w:sz w:val="24"/>
        </w:rPr>
        <w:tab/>
      </w:r>
      <w:r>
        <w:rPr>
          <w:sz w:val="24"/>
        </w:rPr>
        <w:fldChar w:fldCharType="begin"/>
      </w:r>
      <w:r>
        <w:rPr>
          <w:sz w:val="24"/>
        </w:rPr>
        <w:instrText xml:space="preserve"> PAGEREF _Toc29172 \h </w:instrText>
      </w:r>
      <w:r>
        <w:rPr>
          <w:sz w:val="24"/>
        </w:rPr>
        <w:fldChar w:fldCharType="separate"/>
      </w:r>
      <w:r>
        <w:rPr>
          <w:sz w:val="24"/>
        </w:rPr>
        <w:t>46</w:t>
      </w:r>
      <w:r>
        <w:rPr>
          <w:sz w:val="24"/>
        </w:rPr>
        <w:fldChar w:fldCharType="end"/>
      </w:r>
      <w:r>
        <w:rPr>
          <w:sz w:val="24"/>
        </w:rPr>
        <w:fldChar w:fldCharType="end"/>
      </w:r>
    </w:p>
    <w:p>
      <w:pPr>
        <w:pStyle w:val="16"/>
        <w:tabs>
          <w:tab w:val="right" w:leader="dot" w:pos="8306"/>
        </w:tabs>
        <w:spacing w:line="276" w:lineRule="auto"/>
        <w:rPr>
          <w:sz w:val="24"/>
        </w:rPr>
      </w:pPr>
      <w:r>
        <w:fldChar w:fldCharType="begin"/>
      </w:r>
      <w:r>
        <w:instrText xml:space="preserve"> HYPERLINK \l "_Toc23695" </w:instrText>
      </w:r>
      <w:r>
        <w:fldChar w:fldCharType="separate"/>
      </w:r>
      <w:r>
        <w:rPr>
          <w:rFonts w:hint="eastAsia" w:ascii="黑体" w:hAnsi="黑体" w:eastAsia="黑体" w:cs="黑体"/>
          <w:bCs/>
          <w:sz w:val="24"/>
        </w:rPr>
        <w:t>第六章 补充条款</w:t>
      </w:r>
      <w:r>
        <w:rPr>
          <w:sz w:val="24"/>
        </w:rPr>
        <w:tab/>
      </w:r>
      <w:r>
        <w:rPr>
          <w:sz w:val="24"/>
        </w:rPr>
        <w:fldChar w:fldCharType="begin"/>
      </w:r>
      <w:r>
        <w:rPr>
          <w:sz w:val="24"/>
        </w:rPr>
        <w:instrText xml:space="preserve"> PAGEREF _Toc23695 \h </w:instrText>
      </w:r>
      <w:r>
        <w:rPr>
          <w:sz w:val="24"/>
        </w:rPr>
        <w:fldChar w:fldCharType="separate"/>
      </w:r>
      <w:r>
        <w:rPr>
          <w:sz w:val="24"/>
        </w:rPr>
        <w:t>71</w:t>
      </w:r>
      <w:r>
        <w:rPr>
          <w:sz w:val="24"/>
        </w:rPr>
        <w:fldChar w:fldCharType="end"/>
      </w:r>
      <w:r>
        <w:rPr>
          <w:sz w:val="24"/>
        </w:rPr>
        <w:fldChar w:fldCharType="end"/>
      </w:r>
    </w:p>
    <w:p>
      <w:pPr>
        <w:spacing w:line="276" w:lineRule="auto"/>
        <w:rPr>
          <w:rFonts w:ascii="宋体" w:hAnsi="宋体" w:cs="宋体"/>
          <w:bCs/>
        </w:rPr>
      </w:pPr>
      <w:r>
        <w:rPr>
          <w:rFonts w:ascii="宋体" w:hAnsi="宋体" w:cs="宋体"/>
          <w:bCs/>
        </w:rPr>
        <w:fldChar w:fldCharType="end"/>
      </w:r>
    </w:p>
    <w:p/>
    <w:p/>
    <w:p/>
    <w:p/>
    <w:p/>
    <w:p>
      <w:pPr>
        <w:pStyle w:val="8"/>
        <w:numPr>
          <w:ilvl w:val="0"/>
          <w:numId w:val="0"/>
        </w:numPr>
        <w:rPr>
          <w:rFonts w:hAnsi="黑体" w:cs="黑体"/>
          <w:bCs/>
          <w:sz w:val="32"/>
          <w:szCs w:val="32"/>
        </w:rPr>
      </w:pPr>
    </w:p>
    <w:p>
      <w:pPr>
        <w:pStyle w:val="8"/>
        <w:numPr>
          <w:ilvl w:val="0"/>
          <w:numId w:val="0"/>
        </w:numPr>
        <w:rPr>
          <w:rFonts w:hAnsi="黑体" w:cs="黑体"/>
          <w:bCs/>
          <w:sz w:val="32"/>
          <w:szCs w:val="32"/>
        </w:rPr>
      </w:pPr>
    </w:p>
    <w:p>
      <w:pPr>
        <w:rPr>
          <w:rFonts w:ascii="黑体" w:hAnsi="黑体" w:eastAsia="黑体" w:cs="黑体"/>
          <w:bCs/>
          <w:sz w:val="32"/>
          <w:szCs w:val="32"/>
        </w:rPr>
      </w:pPr>
    </w:p>
    <w:p>
      <w:pPr>
        <w:pStyle w:val="8"/>
        <w:numPr>
          <w:ilvl w:val="0"/>
          <w:numId w:val="0"/>
        </w:numPr>
        <w:rPr>
          <w:rFonts w:hAnsi="黑体" w:cs="黑体"/>
          <w:bCs/>
          <w:sz w:val="32"/>
          <w:szCs w:val="32"/>
        </w:rPr>
        <w:sectPr>
          <w:footerReference r:id="rId8" w:type="first"/>
          <w:footerReference r:id="rId7" w:type="default"/>
          <w:pgSz w:w="12240" w:h="15840"/>
          <w:pgMar w:top="1440" w:right="1800" w:bottom="1440" w:left="1800" w:header="851" w:footer="992" w:gutter="0"/>
          <w:pgNumType w:start="1"/>
          <w:cols w:space="720" w:num="1"/>
          <w:titlePg/>
          <w:docGrid w:linePitch="312" w:charSpace="0"/>
        </w:sectPr>
      </w:pPr>
    </w:p>
    <w:p>
      <w:pPr>
        <w:spacing w:line="560" w:lineRule="exact"/>
        <w:jc w:val="center"/>
        <w:outlineLvl w:val="0"/>
        <w:rPr>
          <w:rFonts w:ascii="宋体" w:hAnsi="宋体" w:eastAsia="黑体" w:cs="宋体"/>
          <w:b/>
          <w:sz w:val="24"/>
          <w:szCs w:val="24"/>
        </w:rPr>
      </w:pPr>
      <w:bookmarkStart w:id="0" w:name="_Toc12782"/>
      <w:bookmarkStart w:id="1" w:name="_Toc1076"/>
      <w:bookmarkStart w:id="2" w:name="_Toc27824"/>
      <w:r>
        <w:rPr>
          <w:rFonts w:hint="eastAsia" w:ascii="黑体" w:hAnsi="黑体" w:eastAsia="黑体" w:cs="黑体"/>
          <w:bCs/>
          <w:sz w:val="32"/>
          <w:szCs w:val="32"/>
        </w:rPr>
        <w:t xml:space="preserve">第一章 </w:t>
      </w:r>
      <w:bookmarkEnd w:id="0"/>
      <w:bookmarkEnd w:id="1"/>
      <w:r>
        <w:rPr>
          <w:rFonts w:hint="eastAsia" w:ascii="黑体" w:hAnsi="黑体" w:eastAsia="黑体" w:cs="黑体"/>
          <w:bCs/>
          <w:sz w:val="32"/>
          <w:szCs w:val="32"/>
        </w:rPr>
        <w:t>招标公告</w:t>
      </w:r>
    </w:p>
    <w:tbl>
      <w:tblPr>
        <w:tblStyle w:val="46"/>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9780" w:type="dxa"/>
          </w:tcPr>
          <w:p>
            <w:pPr>
              <w:spacing w:line="460" w:lineRule="exact"/>
              <w:rPr>
                <w:rFonts w:ascii="宋体" w:hAnsi="宋体"/>
                <w:bCs/>
                <w:kern w:val="0"/>
                <w:sz w:val="24"/>
                <w:szCs w:val="20"/>
                <w:shd w:val="clear" w:color="050000" w:fill="auto"/>
              </w:rPr>
            </w:pPr>
            <w:r>
              <w:rPr>
                <w:rFonts w:hint="eastAsia" w:ascii="宋体" w:hAnsi="宋体"/>
                <w:bCs/>
                <w:kern w:val="0"/>
                <w:sz w:val="24"/>
                <w:szCs w:val="20"/>
                <w:shd w:val="clear" w:color="050000" w:fill="auto"/>
              </w:rPr>
              <w:t>项目概况</w:t>
            </w:r>
          </w:p>
          <w:p>
            <w:pPr>
              <w:spacing w:line="460" w:lineRule="exact"/>
              <w:ind w:firstLine="464" w:firstLineChars="200"/>
              <w:rPr>
                <w:rFonts w:ascii="宋体" w:hAnsi="宋体"/>
                <w:bCs/>
                <w:kern w:val="0"/>
                <w:sz w:val="24"/>
                <w:szCs w:val="20"/>
                <w:shd w:val="clear" w:color="050000" w:fill="auto"/>
              </w:rPr>
            </w:pPr>
            <w:r>
              <w:rPr>
                <w:rFonts w:hint="eastAsia" w:ascii="宋体" w:hAnsi="宋体"/>
                <w:bCs/>
                <w:spacing w:val="-4"/>
                <w:kern w:val="0"/>
                <w:sz w:val="24"/>
                <w:u w:val="single"/>
                <w:shd w:val="clear" w:color="050000" w:fill="auto"/>
              </w:rPr>
              <w:t>2023年</w:t>
            </w:r>
            <w:r>
              <w:rPr>
                <w:rFonts w:hint="eastAsia" w:cs="宋体"/>
                <w:kern w:val="0"/>
                <w:sz w:val="24"/>
                <w:szCs w:val="24"/>
                <w:u w:val="single"/>
              </w:rPr>
              <w:t>中央动物防疫补助等（第二批资金）经费项</w:t>
            </w:r>
            <w:r>
              <w:rPr>
                <w:rFonts w:hint="eastAsia" w:cs="宋体"/>
                <w:kern w:val="0"/>
                <w:sz w:val="24"/>
                <w:szCs w:val="24"/>
                <w:highlight w:val="none"/>
                <w:u w:val="single"/>
              </w:rPr>
              <w:t>目</w:t>
            </w:r>
            <w:r>
              <w:rPr>
                <w:rFonts w:hint="eastAsia" w:cs="宋体"/>
                <w:kern w:val="0"/>
                <w:sz w:val="24"/>
                <w:szCs w:val="24"/>
                <w:highlight w:val="none"/>
              </w:rPr>
              <w:t>的潜在投标人应在</w:t>
            </w:r>
            <w:r>
              <w:rPr>
                <w:rFonts w:ascii="宋体" w:hAnsi="宋体"/>
                <w:bCs/>
                <w:sz w:val="24"/>
                <w:szCs w:val="20"/>
                <w:highlight w:val="none"/>
                <w:shd w:val="clear" w:color="050000" w:fill="auto"/>
              </w:rPr>
              <w:t>政采云平台线上获取采购文件</w:t>
            </w:r>
            <w:r>
              <w:rPr>
                <w:rFonts w:hint="eastAsia" w:ascii="宋体" w:hAnsi="宋体" w:cs="宋体"/>
                <w:kern w:val="0"/>
                <w:sz w:val="24"/>
                <w:szCs w:val="24"/>
                <w:highlight w:val="none"/>
              </w:rPr>
              <w:t>，并于</w:t>
            </w:r>
            <w:r>
              <w:rPr>
                <w:rFonts w:hint="eastAsia" w:ascii="宋体" w:hAnsi="宋体" w:cs="宋体"/>
                <w:kern w:val="0"/>
                <w:sz w:val="24"/>
                <w:szCs w:val="24"/>
                <w:highlight w:val="none"/>
                <w:u w:val="single"/>
              </w:rPr>
              <w:t>2023年</w:t>
            </w:r>
            <w:r>
              <w:rPr>
                <w:rFonts w:hint="eastAsia" w:ascii="宋体" w:hAnsi="宋体" w:cs="宋体"/>
                <w:kern w:val="0"/>
                <w:sz w:val="24"/>
                <w:szCs w:val="24"/>
                <w:highlight w:val="none"/>
                <w:u w:val="single"/>
                <w:lang w:eastAsia="zh-CN"/>
              </w:rPr>
              <w:t>8月15日</w:t>
            </w:r>
            <w:r>
              <w:rPr>
                <w:rFonts w:hint="eastAsia" w:ascii="宋体" w:hAnsi="宋体" w:cs="宋体"/>
                <w:kern w:val="0"/>
                <w:sz w:val="24"/>
                <w:szCs w:val="24"/>
                <w:highlight w:val="none"/>
                <w:u w:val="single"/>
              </w:rPr>
              <w:t>10：30（北京时间）</w:t>
            </w:r>
            <w:r>
              <w:rPr>
                <w:rFonts w:hint="eastAsia" w:cs="宋体"/>
                <w:kern w:val="0"/>
                <w:sz w:val="24"/>
                <w:szCs w:val="24"/>
                <w:highlight w:val="none"/>
              </w:rPr>
              <w:t>前递</w:t>
            </w:r>
            <w:r>
              <w:rPr>
                <w:rFonts w:hint="eastAsia" w:cs="宋体"/>
                <w:kern w:val="0"/>
                <w:sz w:val="24"/>
                <w:szCs w:val="24"/>
              </w:rPr>
              <w:t>交投标文件</w:t>
            </w:r>
            <w:r>
              <w:rPr>
                <w:rFonts w:hint="eastAsia" w:ascii="宋体" w:hAnsi="宋体"/>
                <w:bCs/>
                <w:kern w:val="0"/>
                <w:sz w:val="24"/>
                <w:szCs w:val="20"/>
                <w:shd w:val="clear" w:color="050000" w:fill="auto"/>
              </w:rPr>
              <w:t>。</w:t>
            </w:r>
          </w:p>
        </w:tc>
      </w:tr>
    </w:tbl>
    <w:p>
      <w:pPr>
        <w:widowControl/>
        <w:spacing w:line="460" w:lineRule="exact"/>
        <w:ind w:firstLine="482" w:firstLineChars="200"/>
        <w:jc w:val="left"/>
        <w:outlineLvl w:val="0"/>
        <w:rPr>
          <w:rFonts w:ascii="宋体" w:hAnsi="宋体"/>
          <w:b/>
          <w:bCs/>
          <w:kern w:val="0"/>
          <w:sz w:val="24"/>
        </w:rPr>
      </w:pPr>
      <w:bookmarkStart w:id="3" w:name="_Toc18652"/>
      <w:r>
        <w:rPr>
          <w:rFonts w:hint="eastAsia" w:ascii="宋体" w:hAnsi="宋体"/>
          <w:b/>
          <w:bCs/>
          <w:kern w:val="0"/>
          <w:sz w:val="24"/>
        </w:rPr>
        <w:t>一、项目基本情况</w:t>
      </w:r>
      <w:bookmarkEnd w:id="3"/>
    </w:p>
    <w:p>
      <w:pPr>
        <w:widowControl/>
        <w:spacing w:line="460" w:lineRule="exact"/>
        <w:ind w:firstLine="480" w:firstLineChars="200"/>
        <w:jc w:val="left"/>
        <w:outlineLvl w:val="0"/>
        <w:rPr>
          <w:rFonts w:ascii="宋体" w:hAnsi="宋体"/>
          <w:b/>
          <w:bCs/>
          <w:kern w:val="0"/>
          <w:sz w:val="24"/>
        </w:rPr>
      </w:pPr>
      <w:r>
        <w:rPr>
          <w:rFonts w:hint="eastAsia" w:ascii="宋体" w:hAnsi="宋体"/>
          <w:bCs/>
          <w:kern w:val="0"/>
          <w:sz w:val="24"/>
          <w:shd w:val="clear" w:color="050000" w:fill="auto"/>
        </w:rPr>
        <w:t>(1)项目编号：XJXZYL-HW20230704</w:t>
      </w:r>
    </w:p>
    <w:p>
      <w:pPr>
        <w:widowControl/>
        <w:spacing w:line="460" w:lineRule="exact"/>
        <w:ind w:firstLine="480" w:firstLineChars="200"/>
        <w:jc w:val="left"/>
        <w:rPr>
          <w:rFonts w:ascii="宋体" w:hAnsi="宋体"/>
          <w:bCs/>
          <w:spacing w:val="-4"/>
          <w:kern w:val="0"/>
          <w:sz w:val="24"/>
          <w:shd w:val="clear" w:color="050000" w:fill="auto"/>
        </w:rPr>
      </w:pPr>
      <w:r>
        <w:rPr>
          <w:rFonts w:hint="eastAsia" w:ascii="宋体" w:hAnsi="宋体"/>
          <w:bCs/>
          <w:kern w:val="0"/>
          <w:sz w:val="24"/>
          <w:shd w:val="clear" w:color="050000" w:fill="auto"/>
        </w:rPr>
        <w:t>(2)</w:t>
      </w:r>
      <w:r>
        <w:rPr>
          <w:rFonts w:hint="eastAsia" w:ascii="宋体" w:hAnsi="宋体"/>
          <w:bCs/>
          <w:spacing w:val="-4"/>
          <w:kern w:val="0"/>
          <w:sz w:val="24"/>
          <w:shd w:val="clear" w:color="050000" w:fill="auto"/>
        </w:rPr>
        <w:t>项目名称：2023年中央动物防疫补助等（第二批资金）经费项目</w:t>
      </w:r>
    </w:p>
    <w:p>
      <w:pPr>
        <w:widowControl/>
        <w:spacing w:line="460" w:lineRule="exact"/>
        <w:ind w:firstLine="480" w:firstLineChars="200"/>
        <w:jc w:val="left"/>
        <w:rPr>
          <w:rFonts w:ascii="宋体" w:hAnsi="宋体" w:cs="宋体"/>
          <w:bCs/>
          <w:sz w:val="24"/>
          <w:szCs w:val="24"/>
        </w:rPr>
      </w:pPr>
      <w:r>
        <w:rPr>
          <w:rFonts w:hint="eastAsia" w:ascii="宋体" w:hAnsi="宋体" w:cs="宋体"/>
          <w:bCs/>
          <w:sz w:val="24"/>
          <w:szCs w:val="24"/>
        </w:rPr>
        <w:t>(3)预算金额：353.6</w:t>
      </w:r>
      <w:r>
        <w:rPr>
          <w:rFonts w:hint="eastAsia" w:ascii="宋体" w:hAnsi="宋体" w:cs="宋体"/>
          <w:bCs/>
          <w:kern w:val="0"/>
          <w:sz w:val="24"/>
          <w:szCs w:val="24"/>
        </w:rPr>
        <w:t>万元；</w:t>
      </w:r>
    </w:p>
    <w:p>
      <w:pPr>
        <w:widowControl/>
        <w:spacing w:line="460" w:lineRule="exact"/>
        <w:ind w:firstLine="480" w:firstLineChars="200"/>
        <w:jc w:val="left"/>
        <w:rPr>
          <w:rFonts w:ascii="宋体" w:hAnsi="宋体"/>
          <w:bCs/>
          <w:kern w:val="0"/>
          <w:sz w:val="24"/>
          <w:shd w:val="clear" w:color="050000" w:fill="auto"/>
        </w:rPr>
      </w:pPr>
      <w:r>
        <w:rPr>
          <w:rFonts w:hint="eastAsia" w:ascii="宋体" w:hAnsi="宋体"/>
          <w:bCs/>
          <w:kern w:val="0"/>
          <w:sz w:val="24"/>
          <w:shd w:val="clear" w:color="050000" w:fill="auto"/>
        </w:rPr>
        <w:t>(4)采购需求：</w:t>
      </w:r>
    </w:p>
    <w:p>
      <w:pPr>
        <w:widowControl/>
        <w:spacing w:line="460" w:lineRule="exact"/>
        <w:ind w:firstLine="480" w:firstLineChars="200"/>
        <w:jc w:val="left"/>
        <w:rPr>
          <w:rFonts w:ascii="宋体" w:hAnsi="宋体" w:cs="宋体"/>
          <w:bCs/>
          <w:spacing w:val="-4"/>
          <w:sz w:val="24"/>
          <w:szCs w:val="24"/>
        </w:rPr>
      </w:pPr>
      <w:r>
        <w:rPr>
          <w:rFonts w:hint="eastAsia" w:ascii="仿宋" w:hAnsi="仿宋" w:eastAsia="仿宋" w:cs="仿宋"/>
          <w:kern w:val="0"/>
          <w:sz w:val="24"/>
          <w:szCs w:val="24"/>
          <w:lang w:bidi="ar"/>
        </w:rPr>
        <w:t> </w:t>
      </w:r>
      <w:r>
        <w:rPr>
          <w:rFonts w:hint="eastAsia" w:ascii="宋体" w:hAnsi="宋体" w:cs="宋体"/>
          <w:bCs/>
          <w:spacing w:val="-4"/>
          <w:sz w:val="24"/>
          <w:szCs w:val="24"/>
        </w:rPr>
        <w:t>标项一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xml:space="preserve">   标项名称：2023年中央动物防疫补助等（第二批资金）经费项目（一标段牛羊口蹄疫疫苗）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数量：260万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预算金额（元）：1300000.00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单位：毫升 </w:t>
      </w:r>
    </w:p>
    <w:p>
      <w:pPr>
        <w:widowControl/>
        <w:spacing w:line="460" w:lineRule="exact"/>
        <w:ind w:firstLine="960" w:firstLineChars="400"/>
        <w:jc w:val="left"/>
        <w:rPr>
          <w:rFonts w:ascii="宋体" w:hAnsi="宋体" w:cs="宋体"/>
          <w:bCs/>
          <w:spacing w:val="-4"/>
          <w:sz w:val="24"/>
          <w:szCs w:val="24"/>
        </w:rPr>
      </w:pPr>
      <w:r>
        <w:rPr>
          <w:rFonts w:hint="eastAsia" w:ascii="宋体" w:hAnsi="宋体" w:cs="宋体"/>
          <w:bCs/>
          <w:kern w:val="0"/>
          <w:sz w:val="24"/>
          <w:szCs w:val="24"/>
        </w:rPr>
        <w:t>简要规格描述</w:t>
      </w:r>
      <w:r>
        <w:rPr>
          <w:rFonts w:hint="eastAsia" w:ascii="宋体" w:hAnsi="宋体" w:cs="宋体"/>
          <w:bCs/>
          <w:spacing w:val="-4"/>
          <w:sz w:val="24"/>
          <w:szCs w:val="24"/>
        </w:rPr>
        <w:t>：采购牛羊口蹄疫0、A型二价灭活疫苗（具体内容详见招标文件）；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备注： </w:t>
      </w:r>
    </w:p>
    <w:p>
      <w:pPr>
        <w:widowControl/>
        <w:spacing w:line="460" w:lineRule="exact"/>
        <w:ind w:firstLine="696" w:firstLineChars="300"/>
        <w:jc w:val="left"/>
        <w:rPr>
          <w:rFonts w:ascii="宋体" w:hAnsi="宋体" w:cs="宋体"/>
          <w:bCs/>
          <w:spacing w:val="-4"/>
          <w:sz w:val="24"/>
          <w:szCs w:val="24"/>
        </w:rPr>
      </w:pPr>
      <w:r>
        <w:rPr>
          <w:rFonts w:hint="eastAsia" w:ascii="宋体" w:hAnsi="宋体" w:cs="宋体"/>
          <w:bCs/>
          <w:spacing w:val="-4"/>
          <w:sz w:val="24"/>
          <w:szCs w:val="24"/>
        </w:rPr>
        <w:t>标项二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xml:space="preserve">   标项名称：2023年中央动物防疫补助等（第二批资金）经费项目（二标段猪口蹄疫O型合成肽疫苗）                                                        </w:t>
      </w:r>
    </w:p>
    <w:p>
      <w:pPr>
        <w:widowControl/>
        <w:spacing w:line="460" w:lineRule="exact"/>
        <w:ind w:firstLine="928" w:firstLineChars="400"/>
        <w:jc w:val="left"/>
        <w:rPr>
          <w:rFonts w:ascii="宋体" w:hAnsi="宋体" w:cs="宋体"/>
          <w:bCs/>
          <w:spacing w:val="-4"/>
          <w:sz w:val="24"/>
          <w:szCs w:val="24"/>
        </w:rPr>
      </w:pPr>
      <w:r>
        <w:rPr>
          <w:rFonts w:hint="eastAsia" w:ascii="宋体" w:hAnsi="宋体" w:cs="宋体"/>
          <w:bCs/>
          <w:spacing w:val="-4"/>
          <w:sz w:val="24"/>
          <w:szCs w:val="24"/>
        </w:rPr>
        <w:t xml:space="preserve"> 数量：</w:t>
      </w:r>
      <w:r>
        <w:rPr>
          <w:rFonts w:hint="eastAsia" w:ascii="宋体" w:hAnsi="宋体" w:cs="宋体"/>
          <w:bCs/>
          <w:kern w:val="0"/>
          <w:sz w:val="24"/>
          <w:szCs w:val="24"/>
        </w:rPr>
        <w:t>30万</w:t>
      </w:r>
      <w:r>
        <w:rPr>
          <w:rFonts w:hint="eastAsia" w:ascii="宋体" w:hAnsi="宋体" w:cs="宋体"/>
          <w:bCs/>
          <w:spacing w:val="-4"/>
          <w:sz w:val="24"/>
          <w:szCs w:val="24"/>
        </w:rPr>
        <w:t>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预算金额（元）：300000.00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单位：</w:t>
      </w:r>
      <w:r>
        <w:rPr>
          <w:rFonts w:hint="eastAsia" w:ascii="宋体" w:hAnsi="宋体" w:cs="宋体"/>
          <w:bCs/>
          <w:kern w:val="0"/>
          <w:sz w:val="24"/>
          <w:szCs w:val="24"/>
        </w:rPr>
        <w:t>毫升</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简要规格描述：采购猪口蹄疫O型合成肽疫苗（具体内容详见招标文件）；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备注： </w:t>
      </w:r>
    </w:p>
    <w:p>
      <w:pPr>
        <w:widowControl/>
        <w:spacing w:line="460" w:lineRule="exact"/>
        <w:ind w:firstLine="480" w:firstLineChars="200"/>
        <w:jc w:val="left"/>
        <w:rPr>
          <w:rFonts w:ascii="宋体" w:hAnsi="宋体" w:cs="宋体"/>
          <w:bCs/>
          <w:spacing w:val="-4"/>
          <w:sz w:val="24"/>
          <w:szCs w:val="24"/>
        </w:rPr>
      </w:pPr>
      <w:r>
        <w:rPr>
          <w:rFonts w:hint="eastAsia" w:ascii="仿宋" w:hAnsi="仿宋" w:eastAsia="仿宋" w:cs="仿宋"/>
          <w:kern w:val="0"/>
          <w:sz w:val="24"/>
          <w:szCs w:val="24"/>
          <w:lang w:bidi="ar"/>
        </w:rPr>
        <w:t> </w:t>
      </w:r>
      <w:r>
        <w:rPr>
          <w:rFonts w:hint="eastAsia" w:ascii="宋体" w:hAnsi="宋体" w:cs="宋体"/>
          <w:bCs/>
          <w:spacing w:val="-4"/>
          <w:sz w:val="24"/>
          <w:szCs w:val="24"/>
        </w:rPr>
        <w:t>标项三    </w:t>
      </w:r>
    </w:p>
    <w:p>
      <w:pPr>
        <w:widowControl/>
        <w:spacing w:line="460" w:lineRule="exact"/>
        <w:ind w:firstLine="464" w:firstLineChars="200"/>
        <w:jc w:val="left"/>
        <w:rPr>
          <w:rFonts w:ascii="宋体" w:hAnsi="宋体" w:cs="宋体"/>
          <w:bCs/>
          <w:spacing w:val="-4"/>
          <w:sz w:val="24"/>
          <w:szCs w:val="24"/>
          <w:highlight w:val="none"/>
        </w:rPr>
      </w:pPr>
      <w:r>
        <w:rPr>
          <w:rFonts w:hint="eastAsia" w:ascii="宋体" w:hAnsi="宋体" w:cs="宋体"/>
          <w:bCs/>
          <w:spacing w:val="-4"/>
          <w:sz w:val="24"/>
          <w:szCs w:val="24"/>
        </w:rPr>
        <w:t xml:space="preserve">   标项名称：2023年中央动物防疫补助等（第二批资金）经费项目（三标段禽流感疫苗）          </w:t>
      </w:r>
      <w:r>
        <w:rPr>
          <w:rFonts w:hint="eastAsia" w:ascii="宋体" w:hAnsi="宋体" w:cs="宋体"/>
          <w:bCs/>
          <w:spacing w:val="-4"/>
          <w:sz w:val="24"/>
          <w:szCs w:val="24"/>
          <w:highlight w:val="none"/>
        </w:rPr>
        <w:t xml:space="preserve">                                                  </w:t>
      </w:r>
    </w:p>
    <w:p>
      <w:pPr>
        <w:widowControl/>
        <w:spacing w:line="460" w:lineRule="exact"/>
        <w:ind w:firstLine="960" w:firstLineChars="400"/>
        <w:jc w:val="left"/>
        <w:rPr>
          <w:rFonts w:ascii="宋体" w:hAnsi="宋体" w:cs="宋体"/>
          <w:bCs/>
          <w:kern w:val="0"/>
          <w:sz w:val="24"/>
          <w:szCs w:val="24"/>
          <w:highlight w:val="none"/>
        </w:rPr>
      </w:pPr>
      <w:r>
        <w:rPr>
          <w:rFonts w:hint="eastAsia" w:ascii="宋体" w:hAnsi="宋体" w:cs="宋体"/>
          <w:bCs/>
          <w:kern w:val="0"/>
          <w:sz w:val="24"/>
          <w:szCs w:val="24"/>
          <w:highlight w:val="none"/>
        </w:rPr>
        <w:t>数量：300万     </w:t>
      </w:r>
    </w:p>
    <w:p>
      <w:pPr>
        <w:widowControl/>
        <w:spacing w:line="460" w:lineRule="exact"/>
        <w:ind w:firstLine="960" w:firstLineChars="400"/>
        <w:jc w:val="left"/>
        <w:rPr>
          <w:rFonts w:ascii="宋体" w:hAnsi="宋体" w:cs="宋体"/>
          <w:bCs/>
          <w:kern w:val="0"/>
          <w:sz w:val="24"/>
          <w:szCs w:val="24"/>
          <w:highlight w:val="none"/>
        </w:rPr>
      </w:pPr>
      <w:r>
        <w:rPr>
          <w:rFonts w:hint="eastAsia" w:ascii="宋体" w:hAnsi="宋体" w:cs="宋体"/>
          <w:bCs/>
          <w:kern w:val="0"/>
          <w:sz w:val="24"/>
          <w:szCs w:val="24"/>
          <w:highlight w:val="none"/>
        </w:rPr>
        <w:t>预算金额（元）：690000.00 </w:t>
      </w:r>
    </w:p>
    <w:p>
      <w:pPr>
        <w:widowControl/>
        <w:spacing w:line="460" w:lineRule="exact"/>
        <w:ind w:firstLine="960" w:firstLineChars="400"/>
        <w:jc w:val="left"/>
        <w:rPr>
          <w:rFonts w:ascii="宋体" w:hAnsi="宋体" w:cs="宋体"/>
          <w:bCs/>
          <w:kern w:val="0"/>
          <w:sz w:val="24"/>
          <w:szCs w:val="24"/>
          <w:highlight w:val="none"/>
        </w:rPr>
      </w:pPr>
      <w:r>
        <w:rPr>
          <w:rFonts w:hint="eastAsia" w:ascii="宋体" w:hAnsi="宋体" w:cs="宋体"/>
          <w:bCs/>
          <w:kern w:val="0"/>
          <w:sz w:val="24"/>
          <w:szCs w:val="24"/>
          <w:highlight w:val="none"/>
        </w:rPr>
        <w:t>单位：</w:t>
      </w:r>
      <w:r>
        <w:rPr>
          <w:rFonts w:hint="eastAsia" w:ascii="宋体" w:hAnsi="宋体" w:cs="宋体"/>
          <w:bCs/>
          <w:kern w:val="0"/>
          <w:sz w:val="24"/>
          <w:szCs w:val="24"/>
          <w:highlight w:val="none"/>
          <w:lang w:eastAsia="zh-CN"/>
        </w:rPr>
        <w:t>毫升</w:t>
      </w:r>
      <w:r>
        <w:rPr>
          <w:rFonts w:hint="eastAsia" w:ascii="宋体" w:hAnsi="宋体" w:cs="宋体"/>
          <w:bCs/>
          <w:kern w:val="0"/>
          <w:sz w:val="24"/>
          <w:szCs w:val="24"/>
          <w:highlight w:val="none"/>
        </w:rPr>
        <w:t>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highlight w:val="none"/>
        </w:rPr>
        <w:t>简要规格描述：禽</w:t>
      </w:r>
      <w:r>
        <w:rPr>
          <w:rFonts w:hint="eastAsia" w:ascii="宋体" w:hAnsi="宋体" w:cs="宋体"/>
          <w:bCs/>
          <w:kern w:val="0"/>
          <w:sz w:val="24"/>
          <w:szCs w:val="24"/>
        </w:rPr>
        <w:t>流感（H5+H7）三价灭活疫苗（具体内容详见招标文件）；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备注： </w:t>
      </w:r>
    </w:p>
    <w:p>
      <w:pPr>
        <w:widowControl/>
        <w:spacing w:line="460" w:lineRule="exact"/>
        <w:ind w:firstLine="480" w:firstLineChars="200"/>
        <w:jc w:val="left"/>
        <w:rPr>
          <w:rFonts w:ascii="宋体" w:hAnsi="宋体" w:cs="宋体"/>
          <w:bCs/>
          <w:spacing w:val="-4"/>
          <w:sz w:val="24"/>
          <w:szCs w:val="24"/>
        </w:rPr>
      </w:pPr>
      <w:r>
        <w:rPr>
          <w:rFonts w:hint="eastAsia" w:ascii="仿宋" w:hAnsi="仿宋" w:eastAsia="仿宋" w:cs="仿宋"/>
          <w:kern w:val="0"/>
          <w:sz w:val="24"/>
          <w:szCs w:val="24"/>
          <w:lang w:bidi="ar"/>
        </w:rPr>
        <w:t> </w:t>
      </w:r>
      <w:r>
        <w:rPr>
          <w:rFonts w:hint="eastAsia" w:ascii="宋体" w:hAnsi="宋体" w:cs="宋体"/>
          <w:bCs/>
          <w:spacing w:val="-4"/>
          <w:sz w:val="24"/>
          <w:szCs w:val="24"/>
        </w:rPr>
        <w:t>标项四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xml:space="preserve">   标项名称：2023年中央动物防疫补助等（第二批资金）经费项目（四标段布病A19弱毒疫苗）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数量：15万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预算金额（元）：1050000.00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单位：头份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简要规格描述：采购布病A19弱毒疫苗（具体内容详见招标文件）；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备注： </w:t>
      </w:r>
    </w:p>
    <w:p>
      <w:pPr>
        <w:widowControl/>
        <w:spacing w:line="460" w:lineRule="exact"/>
        <w:ind w:firstLine="480" w:firstLineChars="200"/>
        <w:jc w:val="left"/>
        <w:rPr>
          <w:rFonts w:ascii="宋体" w:hAnsi="宋体" w:cs="宋体"/>
          <w:bCs/>
          <w:spacing w:val="-4"/>
          <w:sz w:val="24"/>
          <w:szCs w:val="24"/>
        </w:rPr>
      </w:pPr>
      <w:r>
        <w:rPr>
          <w:rFonts w:hint="eastAsia" w:ascii="仿宋" w:hAnsi="仿宋" w:eastAsia="仿宋" w:cs="仿宋"/>
          <w:kern w:val="0"/>
          <w:sz w:val="24"/>
          <w:szCs w:val="24"/>
          <w:lang w:bidi="ar"/>
        </w:rPr>
        <w:t> </w:t>
      </w:r>
      <w:r>
        <w:rPr>
          <w:rFonts w:hint="eastAsia" w:ascii="宋体" w:hAnsi="宋体" w:cs="宋体"/>
          <w:bCs/>
          <w:spacing w:val="-4"/>
          <w:sz w:val="24"/>
          <w:szCs w:val="24"/>
        </w:rPr>
        <w:t>标项五   </w:t>
      </w:r>
    </w:p>
    <w:p>
      <w:pPr>
        <w:widowControl/>
        <w:spacing w:line="460" w:lineRule="exact"/>
        <w:ind w:firstLine="464" w:firstLineChars="200"/>
        <w:jc w:val="left"/>
        <w:rPr>
          <w:rFonts w:ascii="宋体" w:hAnsi="宋体" w:cs="宋体"/>
          <w:bCs/>
          <w:spacing w:val="-4"/>
          <w:sz w:val="24"/>
          <w:szCs w:val="24"/>
        </w:rPr>
      </w:pPr>
      <w:r>
        <w:rPr>
          <w:rFonts w:hint="eastAsia" w:ascii="宋体" w:hAnsi="宋体" w:cs="宋体"/>
          <w:bCs/>
          <w:spacing w:val="-4"/>
          <w:sz w:val="24"/>
          <w:szCs w:val="24"/>
        </w:rPr>
        <w:t>   标项名称：2023年中央动物防疫补助等（第二批资金）经费项目（五标段羊痘疫苗）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数量：490万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预算金额（元）：196000.00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单位：头份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简要规格描述：采购羊痘疫苗（具体内容详见招标文件）； </w:t>
      </w:r>
    </w:p>
    <w:p>
      <w:pPr>
        <w:widowControl/>
        <w:spacing w:line="460" w:lineRule="exact"/>
        <w:ind w:firstLine="960" w:firstLineChars="400"/>
        <w:jc w:val="left"/>
        <w:rPr>
          <w:rFonts w:ascii="宋体" w:hAnsi="宋体" w:cs="宋体"/>
          <w:bCs/>
          <w:kern w:val="0"/>
          <w:sz w:val="24"/>
          <w:szCs w:val="24"/>
        </w:rPr>
      </w:pPr>
      <w:r>
        <w:rPr>
          <w:rFonts w:hint="eastAsia" w:ascii="宋体" w:hAnsi="宋体" w:cs="宋体"/>
          <w:bCs/>
          <w:kern w:val="0"/>
          <w:sz w:val="24"/>
          <w:szCs w:val="24"/>
        </w:rPr>
        <w:t>备注： </w:t>
      </w:r>
    </w:p>
    <w:p>
      <w:pPr>
        <w:widowControl/>
        <w:spacing w:line="460" w:lineRule="exact"/>
        <w:ind w:firstLine="696" w:firstLineChars="300"/>
        <w:jc w:val="left"/>
        <w:rPr>
          <w:rFonts w:ascii="宋体" w:hAnsi="宋体" w:cs="宋体"/>
          <w:bCs/>
          <w:spacing w:val="-4"/>
          <w:sz w:val="24"/>
          <w:szCs w:val="24"/>
        </w:rPr>
      </w:pPr>
      <w:r>
        <w:rPr>
          <w:rFonts w:hint="eastAsia" w:ascii="宋体" w:hAnsi="宋体" w:cs="宋体"/>
          <w:bCs/>
          <w:spacing w:val="-4"/>
          <w:sz w:val="24"/>
          <w:szCs w:val="24"/>
        </w:rPr>
        <w:t>（5）合同履约期限：合同签订后15日历日内交付使用（具体以采购人通知的时间为准）；   </w:t>
      </w:r>
    </w:p>
    <w:p>
      <w:pPr>
        <w:widowControl/>
        <w:spacing w:line="460" w:lineRule="exact"/>
        <w:ind w:firstLine="464" w:firstLineChars="200"/>
        <w:jc w:val="left"/>
      </w:pPr>
      <w:r>
        <w:rPr>
          <w:rFonts w:hint="eastAsia" w:ascii="宋体" w:hAnsi="宋体" w:cs="宋体"/>
          <w:bCs/>
          <w:spacing w:val="-4"/>
          <w:sz w:val="24"/>
          <w:szCs w:val="24"/>
        </w:rPr>
        <w:t> （6）本项目（否）接受联合体投标。  </w:t>
      </w:r>
    </w:p>
    <w:p>
      <w:pPr>
        <w:widowControl/>
        <w:spacing w:line="460" w:lineRule="exact"/>
        <w:ind w:firstLine="482" w:firstLineChars="200"/>
        <w:jc w:val="left"/>
        <w:outlineLvl w:val="0"/>
        <w:rPr>
          <w:rFonts w:ascii="宋体" w:hAnsi="宋体"/>
          <w:b/>
          <w:bCs/>
          <w:kern w:val="0"/>
          <w:sz w:val="24"/>
          <w:shd w:val="clear" w:color="050000" w:fill="auto"/>
        </w:rPr>
      </w:pPr>
      <w:bookmarkStart w:id="4" w:name="_Toc8213"/>
      <w:r>
        <w:rPr>
          <w:rFonts w:hint="eastAsia" w:ascii="宋体" w:hAnsi="宋体"/>
          <w:b/>
          <w:bCs/>
          <w:kern w:val="0"/>
          <w:sz w:val="24"/>
          <w:shd w:val="clear" w:color="050000" w:fill="auto"/>
        </w:rPr>
        <w:t>二、申请人的资格要求</w:t>
      </w:r>
      <w:bookmarkEnd w:id="4"/>
    </w:p>
    <w:p>
      <w:pPr>
        <w:widowControl/>
        <w:spacing w:line="460" w:lineRule="exact"/>
        <w:ind w:firstLine="480" w:firstLineChars="200"/>
        <w:jc w:val="left"/>
        <w:rPr>
          <w:rFonts w:ascii="宋体" w:hAnsi="宋体"/>
          <w:bCs/>
          <w:kern w:val="0"/>
          <w:sz w:val="24"/>
          <w:shd w:val="clear" w:color="050000" w:fill="auto"/>
        </w:rPr>
      </w:pPr>
      <w:r>
        <w:rPr>
          <w:rFonts w:hint="eastAsia" w:ascii="宋体" w:hAnsi="宋体"/>
          <w:bCs/>
          <w:kern w:val="0"/>
          <w:sz w:val="24"/>
          <w:shd w:val="clear" w:color="050000" w:fill="auto"/>
        </w:rPr>
        <w:t>(1)符合《中华人民共和国政府采购法》第二十二条规定条件，并提供《中华人民共和国政府采购法实施条例》第十七条规定提供的证明材料；</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①具有独立承担民事责任的能力；</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②具有良好的商业信誉和健全的财务会计制度；</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③具有履行合同所必需的设备和专业技术能力；</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④有依法缴纳税收和社会保障资金的良好记录；</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⑤参加招标采购活动前三年内，在经营活动中没有重大违法记录；</w:t>
      </w:r>
    </w:p>
    <w:p>
      <w:pPr>
        <w:widowControl/>
        <w:spacing w:line="460" w:lineRule="exact"/>
        <w:ind w:firstLine="720" w:firstLineChars="300"/>
        <w:jc w:val="left"/>
        <w:rPr>
          <w:rFonts w:ascii="宋体" w:hAnsi="宋体"/>
          <w:bCs/>
          <w:kern w:val="0"/>
          <w:sz w:val="24"/>
          <w:highlight w:val="none"/>
          <w:shd w:val="clear" w:color="050000" w:fill="auto"/>
        </w:rPr>
      </w:pPr>
      <w:r>
        <w:rPr>
          <w:rFonts w:hint="eastAsia" w:ascii="宋体" w:hAnsi="宋体"/>
          <w:bCs/>
          <w:kern w:val="0"/>
          <w:sz w:val="24"/>
          <w:shd w:val="clear" w:color="050000" w:fill="auto"/>
        </w:rPr>
        <w:t>⑥法律、行政法规规定的其他条件。</w:t>
      </w:r>
    </w:p>
    <w:p>
      <w:pPr>
        <w:widowControl/>
        <w:spacing w:line="460" w:lineRule="exact"/>
        <w:ind w:firstLine="480" w:firstLineChars="2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(2)具有经年检合格且在有效期内的工商营业执照；</w:t>
      </w:r>
    </w:p>
    <w:p>
      <w:pPr>
        <w:widowControl/>
        <w:spacing w:line="460" w:lineRule="exact"/>
        <w:ind w:firstLine="480" w:firstLineChars="200"/>
        <w:jc w:val="left"/>
        <w:rPr>
          <w:rFonts w:ascii="宋体" w:hAnsi="宋体"/>
          <w:bCs/>
          <w:kern w:val="0"/>
          <w:sz w:val="24"/>
          <w:highlight w:val="none"/>
          <w:shd w:val="clear" w:color="050000" w:fill="auto"/>
        </w:rPr>
      </w:pPr>
      <w:r>
        <w:rPr>
          <w:rFonts w:hint="eastAsia" w:ascii="宋体" w:hAnsi="宋体"/>
          <w:bCs/>
          <w:kern w:val="0"/>
          <w:sz w:val="24"/>
          <w:highlight w:val="none"/>
          <w:shd w:val="clear" w:color="050000" w:fill="auto"/>
        </w:rPr>
        <w:t>(3)投标人</w:t>
      </w:r>
      <w:r>
        <w:rPr>
          <w:rFonts w:ascii="宋体" w:hAnsi="宋体"/>
          <w:bCs/>
          <w:kern w:val="0"/>
          <w:sz w:val="24"/>
          <w:highlight w:val="none"/>
          <w:shd w:val="clear" w:color="050000" w:fill="auto"/>
        </w:rPr>
        <w:t>不得为“信用中国”网站（网址http://www.creditchina.gov.cn ）中列入失信被执行人和重大税收违法案件当事人名单的</w:t>
      </w:r>
      <w:r>
        <w:rPr>
          <w:rFonts w:hint="eastAsia" w:ascii="宋体" w:hAnsi="宋体"/>
          <w:bCs/>
          <w:kern w:val="0"/>
          <w:sz w:val="24"/>
          <w:highlight w:val="none"/>
          <w:shd w:val="clear" w:color="050000" w:fill="auto"/>
        </w:rPr>
        <w:t>投标人</w:t>
      </w:r>
      <w:r>
        <w:rPr>
          <w:rFonts w:ascii="宋体" w:hAnsi="宋体"/>
          <w:bCs/>
          <w:kern w:val="0"/>
          <w:sz w:val="24"/>
          <w:highlight w:val="none"/>
          <w:shd w:val="clear" w:color="050000" w:fill="auto"/>
        </w:rPr>
        <w:t>；不得为中国政府采购网（网址http://www.ccgp.gov.cn ）政府采购严重违法失信行为记录名单中被财政部门禁止参加政府采购活动的</w:t>
      </w:r>
      <w:r>
        <w:rPr>
          <w:rFonts w:hint="eastAsia" w:ascii="宋体" w:hAnsi="宋体"/>
          <w:bCs/>
          <w:kern w:val="0"/>
          <w:sz w:val="24"/>
          <w:highlight w:val="none"/>
          <w:shd w:val="clear" w:color="050000" w:fill="auto"/>
        </w:rPr>
        <w:t>投标人</w:t>
      </w:r>
      <w:r>
        <w:rPr>
          <w:rFonts w:ascii="宋体" w:hAnsi="宋体"/>
          <w:bCs/>
          <w:kern w:val="0"/>
          <w:sz w:val="24"/>
          <w:highlight w:val="none"/>
          <w:shd w:val="clear" w:color="050000" w:fill="auto"/>
        </w:rPr>
        <w:t>（处罚决定规定的时间和地域范围内），投标人及法定代表人不得</w:t>
      </w:r>
      <w:r>
        <w:rPr>
          <w:rFonts w:hint="eastAsia" w:ascii="宋体" w:hAnsi="宋体"/>
          <w:bCs/>
          <w:kern w:val="0"/>
          <w:sz w:val="24"/>
          <w:highlight w:val="none"/>
          <w:shd w:val="clear" w:color="050000" w:fill="auto"/>
        </w:rPr>
        <w:t>存在行贿</w:t>
      </w:r>
      <w:r>
        <w:rPr>
          <w:rFonts w:ascii="宋体" w:hAnsi="宋体"/>
          <w:bCs/>
          <w:kern w:val="0"/>
          <w:sz w:val="24"/>
          <w:highlight w:val="none"/>
          <w:shd w:val="clear" w:color="050000" w:fill="auto"/>
        </w:rPr>
        <w:t>犯罪记录行为</w:t>
      </w:r>
      <w:r>
        <w:rPr>
          <w:rFonts w:hint="eastAsia" w:ascii="宋体" w:hAnsi="宋体"/>
          <w:bCs/>
          <w:kern w:val="0"/>
          <w:sz w:val="24"/>
          <w:highlight w:val="none"/>
          <w:shd w:val="clear" w:color="050000" w:fill="auto"/>
        </w:rPr>
        <w:t>，</w:t>
      </w:r>
      <w:r>
        <w:rPr>
          <w:rFonts w:ascii="宋体" w:hAnsi="宋体"/>
          <w:bCs/>
          <w:kern w:val="0"/>
          <w:sz w:val="24"/>
          <w:highlight w:val="none"/>
          <w:shd w:val="clear" w:color="050000" w:fill="auto"/>
        </w:rPr>
        <w:t>须提供中国裁判文书网</w:t>
      </w:r>
      <w:r>
        <w:rPr>
          <w:rFonts w:hint="eastAsia" w:ascii="宋体" w:hAnsi="宋体"/>
          <w:bCs/>
          <w:kern w:val="0"/>
          <w:sz w:val="24"/>
          <w:highlight w:val="none"/>
          <w:shd w:val="clear" w:color="050000" w:fill="auto"/>
        </w:rPr>
        <w:t>（</w:t>
      </w:r>
      <w:r>
        <w:rPr>
          <w:rFonts w:ascii="宋体" w:hAnsi="宋体"/>
          <w:bCs/>
          <w:kern w:val="0"/>
          <w:sz w:val="24"/>
          <w:highlight w:val="none"/>
          <w:shd w:val="clear" w:color="050000" w:fill="auto"/>
        </w:rPr>
        <w:t>https://wenshu.court.gov.cn/</w:t>
      </w:r>
      <w:r>
        <w:rPr>
          <w:rFonts w:hint="eastAsia" w:ascii="宋体" w:hAnsi="宋体"/>
          <w:bCs/>
          <w:kern w:val="0"/>
          <w:sz w:val="24"/>
          <w:highlight w:val="none"/>
          <w:shd w:val="clear" w:color="050000" w:fill="auto"/>
        </w:rPr>
        <w:t>）行贿</w:t>
      </w:r>
      <w:r>
        <w:rPr>
          <w:rFonts w:ascii="宋体" w:hAnsi="宋体"/>
          <w:bCs/>
          <w:kern w:val="0"/>
          <w:sz w:val="24"/>
          <w:highlight w:val="none"/>
          <w:shd w:val="clear" w:color="050000" w:fill="auto"/>
        </w:rPr>
        <w:t>犯罪记录行为</w:t>
      </w:r>
      <w:r>
        <w:rPr>
          <w:rFonts w:hint="eastAsia" w:ascii="宋体" w:hAnsi="宋体"/>
          <w:bCs/>
          <w:kern w:val="0"/>
          <w:sz w:val="24"/>
          <w:highlight w:val="none"/>
          <w:shd w:val="clear" w:color="050000" w:fill="auto"/>
        </w:rPr>
        <w:t>查询截图，</w:t>
      </w:r>
      <w:r>
        <w:rPr>
          <w:rFonts w:ascii="宋体" w:hAnsi="宋体"/>
          <w:bCs/>
          <w:kern w:val="0"/>
          <w:sz w:val="24"/>
          <w:highlight w:val="none"/>
          <w:shd w:val="clear" w:color="050000" w:fill="auto"/>
        </w:rPr>
        <w:t>均须提供查询结果打印件（加盖企业公章）</w:t>
      </w:r>
      <w:r>
        <w:rPr>
          <w:rFonts w:hint="eastAsia" w:ascii="宋体" w:hAnsi="宋体"/>
          <w:bCs/>
          <w:kern w:val="0"/>
          <w:sz w:val="24"/>
          <w:highlight w:val="none"/>
          <w:shd w:val="clear" w:color="050000" w:fill="auto"/>
        </w:rPr>
        <w:t>；</w:t>
      </w:r>
    </w:p>
    <w:p>
      <w:pPr>
        <w:widowControl/>
        <w:spacing w:line="460" w:lineRule="exact"/>
        <w:ind w:firstLine="480" w:firstLineChars="200"/>
        <w:jc w:val="left"/>
        <w:rPr>
          <w:rFonts w:ascii="宋体" w:hAnsi="宋体"/>
          <w:bCs/>
          <w:kern w:val="0"/>
          <w:sz w:val="24"/>
          <w:shd w:val="clear" w:color="050000" w:fill="auto"/>
        </w:rPr>
      </w:pPr>
      <w:r>
        <w:rPr>
          <w:rFonts w:hint="eastAsia" w:ascii="宋体" w:hAnsi="宋体"/>
          <w:bCs/>
          <w:kern w:val="0"/>
          <w:sz w:val="24"/>
          <w:highlight w:val="none"/>
          <w:shd w:val="clear" w:color="050000" w:fill="auto"/>
        </w:rPr>
        <w:t>（4）</w:t>
      </w:r>
      <w:r>
        <w:rPr>
          <w:rFonts w:ascii="宋体" w:hAnsi="宋体"/>
          <w:bCs/>
          <w:kern w:val="0"/>
          <w:sz w:val="24"/>
          <w:highlight w:val="none"/>
          <w:shd w:val="clear" w:color="050000" w:fill="auto"/>
        </w:rPr>
        <w:t>采购项目需要落实的政府采购政策</w:t>
      </w:r>
      <w:r>
        <w:rPr>
          <w:rFonts w:hint="eastAsia" w:ascii="宋体" w:hAnsi="宋体"/>
          <w:bCs/>
          <w:kern w:val="0"/>
          <w:sz w:val="24"/>
          <w:highlight w:val="none"/>
          <w:shd w:val="clear" w:color="050000" w:fill="auto"/>
        </w:rPr>
        <w:t>：根据《关于印发&lt;政府采购促进中小企业发展管理办法&gt;的通知》（财库[2020]46号）、《关于促进残疾人就</w:t>
      </w:r>
      <w:r>
        <w:rPr>
          <w:rFonts w:hint="eastAsia" w:ascii="宋体" w:hAnsi="宋体"/>
          <w:bCs/>
          <w:kern w:val="0"/>
          <w:sz w:val="24"/>
          <w:shd w:val="clear" w:color="050000" w:fill="auto"/>
        </w:rPr>
        <w:t>业政府采购政策的通知》（财库〔2017〕141号）《关于政府采购支持监狱企业发展有关问题的通知》（财库〔2014〕68号）和《关于调整优化节能产品、环境标志产品政府采购执行机制的通知》（财库[2019]9号）的规定，对满足价格扣除条件且在投标文件中提交了《投标人企业类型声明函》或省级以上监狱管理局、戒毒管理局（含新疆生产建设兵团）出具的属于监狱企业的证明文件的投标人，其投标报价扣除10%后参与评审；</w:t>
      </w:r>
    </w:p>
    <w:p>
      <w:pPr>
        <w:widowControl/>
        <w:spacing w:line="460" w:lineRule="exact"/>
        <w:ind w:firstLine="480" w:firstLineChars="200"/>
        <w:jc w:val="left"/>
        <w:rPr>
          <w:rFonts w:ascii="宋体" w:hAnsi="宋体"/>
          <w:bCs/>
          <w:sz w:val="24"/>
          <w:shd w:val="clear" w:color="050000" w:fill="auto"/>
        </w:rPr>
      </w:pPr>
      <w:r>
        <w:rPr>
          <w:rFonts w:hint="eastAsia" w:ascii="宋体" w:hAnsi="宋体"/>
          <w:bCs/>
          <w:sz w:val="24"/>
          <w:shd w:val="clear" w:color="050000" w:fill="auto"/>
        </w:rPr>
        <w:t>（5）</w:t>
      </w:r>
      <w:r>
        <w:rPr>
          <w:rFonts w:ascii="宋体" w:hAnsi="宋体"/>
          <w:bCs/>
          <w:sz w:val="24"/>
          <w:shd w:val="clear" w:color="050000" w:fill="auto"/>
        </w:rPr>
        <w:t>本项目的特定资格要求：</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①投标人具有有效的《兽药经营许可证》或《兽药生产许可证》；</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②兽药产品批准文号；有效期内的兽药GMP证书；</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③供应商须在中国兽药信息网兽药产品登记；</w:t>
      </w:r>
    </w:p>
    <w:p>
      <w:pPr>
        <w:widowControl/>
        <w:spacing w:line="460" w:lineRule="exact"/>
        <w:ind w:firstLine="720" w:firstLineChars="300"/>
        <w:jc w:val="left"/>
        <w:rPr>
          <w:rFonts w:ascii="宋体" w:hAnsi="宋体"/>
          <w:bCs/>
          <w:kern w:val="0"/>
          <w:sz w:val="24"/>
          <w:shd w:val="clear" w:color="050000" w:fill="auto"/>
        </w:rPr>
      </w:pPr>
      <w:r>
        <w:rPr>
          <w:rFonts w:hint="eastAsia" w:ascii="宋体" w:hAnsi="宋体"/>
          <w:bCs/>
          <w:kern w:val="0"/>
          <w:sz w:val="24"/>
          <w:shd w:val="clear" w:color="050000" w:fill="auto"/>
        </w:rPr>
        <w:t>④从未在新疆维吾尔自治区地州级范围内使用过的疫苗，须有小范围田间试验，并提供新疆维吾尔自治区或相关省份畜牧兽医主管部门出具的免疫效果检验评估报告；</w:t>
      </w:r>
      <w:bookmarkStart w:id="5" w:name="_Toc12882"/>
    </w:p>
    <w:p>
      <w:pPr>
        <w:widowControl/>
        <w:spacing w:line="460" w:lineRule="exact"/>
        <w:ind w:firstLine="482" w:firstLineChars="200"/>
        <w:jc w:val="left"/>
        <w:outlineLvl w:val="0"/>
        <w:rPr>
          <w:rFonts w:ascii="宋体" w:hAnsi="宋体"/>
          <w:b/>
          <w:bCs/>
          <w:kern w:val="0"/>
          <w:sz w:val="24"/>
          <w:shd w:val="clear" w:color="050000" w:fill="auto"/>
        </w:rPr>
      </w:pPr>
      <w:r>
        <w:rPr>
          <w:rFonts w:hint="eastAsia" w:ascii="宋体" w:hAnsi="宋体"/>
          <w:b/>
          <w:bCs/>
          <w:kern w:val="0"/>
          <w:sz w:val="24"/>
          <w:shd w:val="clear" w:color="050000" w:fill="auto"/>
        </w:rPr>
        <w:t>三、获取招标文件</w:t>
      </w:r>
      <w:bookmarkEnd w:id="5"/>
    </w:p>
    <w:p>
      <w:pPr>
        <w:widowControl/>
        <w:spacing w:line="460" w:lineRule="exact"/>
        <w:ind w:firstLine="480" w:firstLineChars="200"/>
        <w:jc w:val="left"/>
        <w:rPr>
          <w:rFonts w:ascii="宋体" w:hAnsi="宋体"/>
          <w:kern w:val="0"/>
          <w:sz w:val="24"/>
          <w:shd w:val="clear" w:color="050000" w:fill="auto"/>
        </w:rPr>
      </w:pPr>
      <w:r>
        <w:rPr>
          <w:rFonts w:hint="eastAsia" w:ascii="宋体" w:hAnsi="宋体"/>
          <w:kern w:val="0"/>
          <w:sz w:val="24"/>
          <w:shd w:val="clear" w:color="050000" w:fill="auto"/>
        </w:rPr>
        <w:t>时间：2023年</w:t>
      </w:r>
      <w:r>
        <w:rPr>
          <w:rFonts w:hint="eastAsia" w:ascii="宋体" w:hAnsi="宋体"/>
          <w:kern w:val="0"/>
          <w:sz w:val="24"/>
          <w:shd w:val="clear" w:color="050000" w:fill="auto"/>
          <w:lang w:eastAsia="zh-CN"/>
        </w:rPr>
        <w:t>7月25日</w:t>
      </w:r>
      <w:r>
        <w:rPr>
          <w:rFonts w:hint="eastAsia" w:ascii="宋体" w:hAnsi="宋体"/>
          <w:kern w:val="0"/>
          <w:sz w:val="24"/>
          <w:shd w:val="clear" w:color="050000" w:fill="auto"/>
        </w:rPr>
        <w:t>起至2023年</w:t>
      </w:r>
      <w:r>
        <w:rPr>
          <w:rFonts w:hint="eastAsia" w:ascii="宋体" w:hAnsi="宋体"/>
          <w:kern w:val="0"/>
          <w:sz w:val="24"/>
          <w:shd w:val="clear" w:color="050000" w:fill="auto"/>
          <w:lang w:eastAsia="zh-CN"/>
        </w:rPr>
        <w:t>8月1日</w:t>
      </w:r>
      <w:r>
        <w:rPr>
          <w:rFonts w:hint="eastAsia" w:ascii="宋体" w:hAnsi="宋体"/>
          <w:kern w:val="0"/>
          <w:sz w:val="24"/>
          <w:shd w:val="clear" w:color="050000" w:fill="auto"/>
        </w:rPr>
        <w:t>，每日上午10:00-14:00时，下午16:00-20:00时（京时，下同；法定节假日除外）；</w:t>
      </w:r>
    </w:p>
    <w:p>
      <w:pPr>
        <w:spacing w:line="460" w:lineRule="exact"/>
        <w:ind w:firstLine="480" w:firstLineChars="200"/>
        <w:rPr>
          <w:rFonts w:ascii="宋体" w:hAnsi="宋体"/>
          <w:bCs/>
          <w:sz w:val="24"/>
          <w:szCs w:val="20"/>
          <w:shd w:val="clear" w:color="050000" w:fill="auto"/>
        </w:rPr>
      </w:pPr>
      <w:r>
        <w:rPr>
          <w:rFonts w:hint="eastAsia" w:ascii="宋体" w:hAnsi="宋体"/>
          <w:sz w:val="24"/>
          <w:shd w:val="clear" w:color="050000" w:fill="auto"/>
        </w:rPr>
        <w:t>地</w:t>
      </w:r>
      <w:r>
        <w:rPr>
          <w:rFonts w:hint="eastAsia" w:ascii="宋体" w:hAnsi="宋体"/>
          <w:bCs/>
          <w:sz w:val="24"/>
          <w:szCs w:val="20"/>
          <w:shd w:val="clear" w:color="050000" w:fill="auto"/>
        </w:rPr>
        <w:t>点：新疆政采云平台线上获取；</w:t>
      </w:r>
    </w:p>
    <w:p>
      <w:pPr>
        <w:spacing w:line="460" w:lineRule="exact"/>
        <w:ind w:firstLine="480" w:firstLineChars="200"/>
        <w:rPr>
          <w:rFonts w:ascii="宋体" w:hAnsi="宋体"/>
          <w:bCs/>
          <w:sz w:val="24"/>
          <w:szCs w:val="20"/>
          <w:shd w:val="clear" w:color="050000" w:fill="auto"/>
        </w:rPr>
      </w:pPr>
      <w:r>
        <w:rPr>
          <w:rFonts w:hint="eastAsia" w:ascii="宋体" w:hAnsi="宋体"/>
          <w:bCs/>
          <w:sz w:val="24"/>
          <w:szCs w:val="20"/>
          <w:shd w:val="clear" w:color="050000" w:fill="auto"/>
        </w:rPr>
        <w:t xml:space="preserve">方式：供应商登陆政采云平台http://www.zcygov.cn/，在线申请获取采购文件（登录政府采购云平台 → 项目采购 → 获取采购文件 → 申请后可下载招标文件，如有操作性问题，可与政采云在线客服进行咨询，咨询电话：95763）； </w:t>
      </w:r>
    </w:p>
    <w:p>
      <w:pPr>
        <w:widowControl/>
        <w:spacing w:line="460" w:lineRule="exact"/>
        <w:ind w:firstLine="480" w:firstLineChars="200"/>
        <w:jc w:val="left"/>
        <w:rPr>
          <w:rFonts w:ascii="宋体" w:hAnsi="宋体"/>
          <w:kern w:val="0"/>
          <w:sz w:val="24"/>
          <w:highlight w:val="none"/>
        </w:rPr>
      </w:pPr>
      <w:r>
        <w:rPr>
          <w:rFonts w:hint="eastAsia" w:ascii="宋体" w:hAnsi="宋体"/>
          <w:sz w:val="24"/>
          <w:shd w:val="clear" w:color="050000" w:fill="auto"/>
        </w:rPr>
        <w:t>售价</w:t>
      </w:r>
      <w:r>
        <w:rPr>
          <w:rFonts w:hint="eastAsia" w:ascii="宋体" w:hAnsi="宋体"/>
          <w:sz w:val="24"/>
        </w:rPr>
        <w:t>：0</w:t>
      </w:r>
      <w:r>
        <w:rPr>
          <w:rFonts w:hint="eastAsia" w:ascii="宋体" w:hAnsi="宋体"/>
          <w:sz w:val="24"/>
          <w:highlight w:val="none"/>
        </w:rPr>
        <w:t>元/本；</w:t>
      </w:r>
      <w:r>
        <w:rPr>
          <w:rFonts w:hint="eastAsia" w:ascii="宋体" w:hAnsi="宋体"/>
          <w:kern w:val="0"/>
          <w:sz w:val="24"/>
          <w:highlight w:val="none"/>
        </w:rPr>
        <w:t xml:space="preserve"> </w:t>
      </w:r>
    </w:p>
    <w:p>
      <w:pPr>
        <w:widowControl/>
        <w:spacing w:line="460" w:lineRule="exact"/>
        <w:ind w:firstLine="482" w:firstLineChars="200"/>
        <w:jc w:val="left"/>
        <w:outlineLvl w:val="0"/>
        <w:rPr>
          <w:rFonts w:ascii="宋体" w:hAnsi="宋体"/>
          <w:b/>
          <w:bCs/>
          <w:kern w:val="0"/>
          <w:sz w:val="24"/>
          <w:highlight w:val="none"/>
        </w:rPr>
      </w:pPr>
      <w:bookmarkStart w:id="6" w:name="_Toc4111"/>
      <w:r>
        <w:rPr>
          <w:rFonts w:hint="eastAsia" w:ascii="宋体" w:hAnsi="宋体"/>
          <w:b/>
          <w:bCs/>
          <w:kern w:val="0"/>
          <w:sz w:val="24"/>
          <w:highlight w:val="none"/>
        </w:rPr>
        <w:t>四、提交投标文件截止时间、开标时间和地点</w:t>
      </w:r>
      <w:bookmarkEnd w:id="6"/>
    </w:p>
    <w:p>
      <w:pPr>
        <w:spacing w:line="440" w:lineRule="exact"/>
        <w:ind w:firstLine="480" w:firstLineChars="200"/>
        <w:rPr>
          <w:rFonts w:ascii="宋体" w:hAnsi="宋体"/>
          <w:sz w:val="24"/>
          <w:highlight w:val="none"/>
          <w:shd w:val="clear" w:color="050000" w:fill="auto"/>
        </w:rPr>
      </w:pPr>
      <w:bookmarkStart w:id="7" w:name="_Toc25835"/>
      <w:r>
        <w:rPr>
          <w:rFonts w:ascii="宋体" w:hAnsi="宋体"/>
          <w:sz w:val="24"/>
          <w:highlight w:val="none"/>
          <w:shd w:val="clear" w:color="050000" w:fill="auto"/>
        </w:rPr>
        <w:t>提交投标文件截止时间：</w:t>
      </w:r>
      <w:r>
        <w:rPr>
          <w:rFonts w:hint="eastAsia" w:ascii="宋体" w:hAnsi="宋体"/>
          <w:kern w:val="0"/>
          <w:sz w:val="24"/>
          <w:highlight w:val="none"/>
        </w:rPr>
        <w:t>2023年</w:t>
      </w:r>
      <w:r>
        <w:rPr>
          <w:rFonts w:hint="eastAsia" w:ascii="宋体" w:hAnsi="宋体"/>
          <w:kern w:val="0"/>
          <w:sz w:val="24"/>
          <w:highlight w:val="none"/>
          <w:lang w:eastAsia="zh-CN"/>
        </w:rPr>
        <w:t>8月15日</w:t>
      </w:r>
      <w:r>
        <w:rPr>
          <w:rFonts w:hint="eastAsia" w:ascii="宋体" w:hAnsi="宋体"/>
          <w:kern w:val="0"/>
          <w:sz w:val="24"/>
          <w:highlight w:val="none"/>
        </w:rPr>
        <w:t>10点30分（北京时间）</w:t>
      </w:r>
      <w:r>
        <w:rPr>
          <w:rFonts w:hint="eastAsia" w:ascii="宋体" w:hAnsi="宋体"/>
          <w:sz w:val="24"/>
          <w:highlight w:val="none"/>
          <w:shd w:val="clear" w:color="050000" w:fill="auto"/>
        </w:rPr>
        <w:t>；</w:t>
      </w:r>
    </w:p>
    <w:p>
      <w:pPr>
        <w:spacing w:line="440" w:lineRule="exact"/>
        <w:ind w:firstLine="480" w:firstLineChars="200"/>
        <w:rPr>
          <w:rFonts w:ascii="宋体" w:hAnsi="宋体"/>
          <w:sz w:val="24"/>
          <w:highlight w:val="none"/>
          <w:shd w:val="clear" w:color="050000" w:fill="auto"/>
        </w:rPr>
      </w:pPr>
      <w:r>
        <w:rPr>
          <w:rFonts w:ascii="宋体" w:hAnsi="宋体"/>
          <w:sz w:val="24"/>
          <w:highlight w:val="none"/>
          <w:shd w:val="clear" w:color="050000" w:fill="auto"/>
        </w:rPr>
        <w:t>投标地点：</w:t>
      </w:r>
      <w:r>
        <w:rPr>
          <w:rFonts w:hint="eastAsia" w:ascii="宋体" w:hAnsi="宋体"/>
          <w:bCs/>
          <w:sz w:val="24"/>
          <w:szCs w:val="20"/>
          <w:highlight w:val="none"/>
          <w:shd w:val="clear" w:color="050000" w:fill="auto"/>
        </w:rPr>
        <w:t>政采云平台客户端投标；</w:t>
      </w:r>
    </w:p>
    <w:p>
      <w:pPr>
        <w:spacing w:line="440" w:lineRule="exact"/>
        <w:ind w:firstLine="480" w:firstLineChars="200"/>
        <w:rPr>
          <w:rFonts w:ascii="宋体" w:hAnsi="宋体"/>
          <w:sz w:val="24"/>
          <w:shd w:val="clear" w:color="050000" w:fill="auto"/>
        </w:rPr>
      </w:pPr>
      <w:r>
        <w:rPr>
          <w:rFonts w:ascii="宋体" w:hAnsi="宋体"/>
          <w:sz w:val="24"/>
          <w:highlight w:val="none"/>
          <w:shd w:val="clear" w:color="050000" w:fill="auto"/>
        </w:rPr>
        <w:t>开标时间：202</w:t>
      </w:r>
      <w:r>
        <w:rPr>
          <w:rFonts w:hint="eastAsia" w:ascii="宋体" w:hAnsi="宋体"/>
          <w:sz w:val="24"/>
          <w:highlight w:val="none"/>
          <w:shd w:val="clear" w:color="050000" w:fill="auto"/>
        </w:rPr>
        <w:t>3</w:t>
      </w:r>
      <w:r>
        <w:rPr>
          <w:rFonts w:ascii="宋体" w:hAnsi="宋体"/>
          <w:sz w:val="24"/>
          <w:highlight w:val="none"/>
          <w:shd w:val="clear" w:color="050000" w:fill="auto"/>
        </w:rPr>
        <w:t>年</w:t>
      </w:r>
      <w:r>
        <w:rPr>
          <w:rFonts w:hint="eastAsia" w:ascii="宋体" w:hAnsi="宋体"/>
          <w:kern w:val="0"/>
          <w:sz w:val="24"/>
          <w:highlight w:val="none"/>
          <w:lang w:eastAsia="zh-CN"/>
        </w:rPr>
        <w:t>8月15日</w:t>
      </w:r>
      <w:r>
        <w:rPr>
          <w:rFonts w:hint="eastAsia" w:ascii="宋体" w:hAnsi="宋体"/>
          <w:kern w:val="0"/>
          <w:sz w:val="24"/>
          <w:highlight w:val="none"/>
        </w:rPr>
        <w:t>10点30分（北京时间</w:t>
      </w:r>
      <w:r>
        <w:rPr>
          <w:rFonts w:hint="eastAsia" w:ascii="宋体" w:hAnsi="宋体"/>
          <w:kern w:val="0"/>
          <w:sz w:val="24"/>
        </w:rPr>
        <w:t>）</w:t>
      </w:r>
      <w:r>
        <w:rPr>
          <w:rFonts w:hint="eastAsia" w:ascii="宋体" w:hAnsi="宋体"/>
          <w:sz w:val="24"/>
          <w:shd w:val="clear" w:color="050000" w:fill="auto"/>
        </w:rPr>
        <w:t>；</w:t>
      </w:r>
    </w:p>
    <w:p>
      <w:pPr>
        <w:spacing w:line="440" w:lineRule="exact"/>
        <w:ind w:firstLine="480" w:firstLineChars="200"/>
        <w:rPr>
          <w:rFonts w:ascii="宋体" w:hAnsi="宋体"/>
          <w:sz w:val="24"/>
          <w:shd w:val="clear" w:color="050000" w:fill="auto"/>
        </w:rPr>
      </w:pPr>
      <w:r>
        <w:rPr>
          <w:rFonts w:ascii="宋体" w:hAnsi="宋体"/>
          <w:sz w:val="24"/>
          <w:shd w:val="clear" w:color="050000" w:fill="auto"/>
        </w:rPr>
        <w:t>开标地点</w:t>
      </w:r>
      <w:r>
        <w:rPr>
          <w:rFonts w:hint="eastAsia" w:ascii="宋体" w:hAnsi="宋体"/>
          <w:bCs/>
          <w:sz w:val="24"/>
          <w:szCs w:val="20"/>
          <w:shd w:val="clear" w:color="050000" w:fill="auto"/>
        </w:rPr>
        <w:t>：政采云电子开标大厅；</w:t>
      </w:r>
    </w:p>
    <w:p>
      <w:pPr>
        <w:widowControl/>
        <w:numPr>
          <w:ilvl w:val="0"/>
          <w:numId w:val="2"/>
        </w:numPr>
        <w:tabs>
          <w:tab w:val="left" w:pos="4980"/>
          <w:tab w:val="right" w:pos="8312"/>
        </w:tabs>
        <w:spacing w:line="460" w:lineRule="exact"/>
        <w:ind w:firstLine="482" w:firstLineChars="200"/>
        <w:jc w:val="left"/>
        <w:outlineLvl w:val="0"/>
        <w:rPr>
          <w:rFonts w:ascii="宋体" w:hAnsi="宋体"/>
          <w:b/>
          <w:bCs/>
          <w:kern w:val="0"/>
          <w:sz w:val="24"/>
        </w:rPr>
      </w:pPr>
      <w:r>
        <w:rPr>
          <w:rFonts w:hint="eastAsia" w:ascii="宋体" w:hAnsi="宋体"/>
          <w:b/>
          <w:bCs/>
          <w:kern w:val="0"/>
          <w:sz w:val="24"/>
        </w:rPr>
        <w:t>招标公告期限：</w:t>
      </w:r>
      <w:bookmarkEnd w:id="7"/>
    </w:p>
    <w:p>
      <w:pPr>
        <w:widowControl/>
        <w:tabs>
          <w:tab w:val="left" w:pos="4980"/>
          <w:tab w:val="right" w:pos="8312"/>
        </w:tabs>
        <w:spacing w:line="460" w:lineRule="exact"/>
        <w:ind w:firstLine="480" w:firstLineChars="200"/>
        <w:jc w:val="left"/>
        <w:rPr>
          <w:rFonts w:ascii="宋体" w:hAnsi="宋体"/>
          <w:kern w:val="0"/>
          <w:sz w:val="24"/>
        </w:rPr>
      </w:pPr>
      <w:r>
        <w:rPr>
          <w:rFonts w:hint="eastAsia" w:ascii="宋体" w:hAnsi="宋体"/>
          <w:kern w:val="0"/>
          <w:sz w:val="24"/>
        </w:rPr>
        <w:t>自本公告发出之日起5个工作日</w:t>
      </w:r>
    </w:p>
    <w:p>
      <w:pPr>
        <w:widowControl/>
        <w:tabs>
          <w:tab w:val="left" w:pos="4980"/>
          <w:tab w:val="right" w:pos="8312"/>
        </w:tabs>
        <w:spacing w:line="460" w:lineRule="exact"/>
        <w:ind w:firstLine="482" w:firstLineChars="200"/>
        <w:jc w:val="left"/>
        <w:outlineLvl w:val="0"/>
        <w:rPr>
          <w:rFonts w:ascii="宋体" w:hAnsi="宋体"/>
          <w:b/>
          <w:bCs/>
          <w:kern w:val="0"/>
          <w:sz w:val="24"/>
        </w:rPr>
      </w:pPr>
      <w:bookmarkStart w:id="8" w:name="_Toc22988"/>
      <w:r>
        <w:rPr>
          <w:rFonts w:hint="eastAsia" w:ascii="宋体" w:hAnsi="宋体"/>
          <w:b/>
          <w:bCs/>
          <w:kern w:val="0"/>
          <w:sz w:val="24"/>
        </w:rPr>
        <w:t>六、其他补充事宜</w:t>
      </w:r>
      <w:bookmarkEnd w:id="8"/>
    </w:p>
    <w:p>
      <w:pPr>
        <w:spacing w:line="440" w:lineRule="exact"/>
        <w:ind w:firstLine="480" w:firstLineChars="200"/>
        <w:rPr>
          <w:rFonts w:ascii="宋体" w:hAnsi="宋体"/>
          <w:bCs/>
          <w:sz w:val="24"/>
          <w:szCs w:val="20"/>
          <w:shd w:val="clear" w:color="050000" w:fill="auto"/>
        </w:rPr>
      </w:pPr>
      <w:bookmarkStart w:id="9" w:name="_Toc10170"/>
      <w:r>
        <w:rPr>
          <w:rFonts w:hint="eastAsia" w:ascii="宋体" w:hAnsi="宋体"/>
          <w:bCs/>
          <w:sz w:val="24"/>
          <w:szCs w:val="20"/>
          <w:shd w:val="clear" w:color="050000" w:fill="auto"/>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spacing w:line="440" w:lineRule="exact"/>
        <w:ind w:firstLine="480" w:firstLineChars="200"/>
        <w:rPr>
          <w:rFonts w:ascii="宋体" w:hAnsi="宋体"/>
          <w:bCs/>
          <w:sz w:val="24"/>
          <w:szCs w:val="20"/>
          <w:shd w:val="clear" w:color="050000" w:fill="auto"/>
        </w:rPr>
      </w:pPr>
      <w:r>
        <w:rPr>
          <w:rFonts w:hint="eastAsia" w:ascii="宋体" w:hAnsi="宋体"/>
          <w:bCs/>
          <w:sz w:val="24"/>
          <w:szCs w:val="20"/>
          <w:shd w:val="clear" w:color="050000" w:fill="auto"/>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spacing w:line="440" w:lineRule="exact"/>
        <w:ind w:firstLine="480" w:firstLineChars="200"/>
        <w:rPr>
          <w:rFonts w:ascii="宋体" w:hAnsi="宋体"/>
          <w:bCs/>
          <w:sz w:val="24"/>
          <w:szCs w:val="20"/>
          <w:shd w:val="clear" w:color="050000" w:fill="auto"/>
        </w:rPr>
      </w:pPr>
      <w:r>
        <w:rPr>
          <w:rFonts w:hint="eastAsia" w:ascii="宋体" w:hAnsi="宋体"/>
          <w:bCs/>
          <w:sz w:val="24"/>
          <w:szCs w:val="20"/>
          <w:shd w:val="clear" w:color="050000" w:fill="auto"/>
        </w:rPr>
        <w:t>3、供应商应当在投标截止时间前，将“电子招投标供应商客户端”生成的“电子加密投标文件”上传电子交易平台。</w:t>
      </w:r>
    </w:p>
    <w:p>
      <w:pPr>
        <w:spacing w:line="440" w:lineRule="exact"/>
        <w:ind w:firstLine="480" w:firstLineChars="200"/>
        <w:rPr>
          <w:rFonts w:ascii="宋体" w:hAnsi="宋体"/>
          <w:bCs/>
          <w:sz w:val="24"/>
          <w:szCs w:val="20"/>
          <w:shd w:val="clear" w:color="050000" w:fill="auto"/>
        </w:rPr>
      </w:pPr>
      <w:r>
        <w:rPr>
          <w:rFonts w:hint="eastAsia" w:ascii="宋体" w:hAnsi="宋体"/>
          <w:bCs/>
          <w:sz w:val="24"/>
          <w:szCs w:val="20"/>
          <w:shd w:val="clear" w:color="050000" w:fill="auto"/>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w:t>
      </w:r>
    </w:p>
    <w:p>
      <w:pPr>
        <w:widowControl/>
        <w:tabs>
          <w:tab w:val="left" w:pos="4980"/>
          <w:tab w:val="right" w:pos="8312"/>
        </w:tabs>
        <w:spacing w:line="460" w:lineRule="exact"/>
        <w:ind w:firstLine="414" w:firstLineChars="200"/>
        <w:jc w:val="left"/>
        <w:outlineLvl w:val="0"/>
        <w:rPr>
          <w:rFonts w:ascii="宋体" w:hAnsi="宋体"/>
          <w:b/>
          <w:bCs/>
          <w:kern w:val="0"/>
          <w:sz w:val="24"/>
        </w:rPr>
      </w:pPr>
      <w:r>
        <w:rPr>
          <w:rFonts w:hint="eastAsia" w:ascii="宋体" w:hAnsi="宋体"/>
          <w:b/>
          <w:bCs/>
          <w:spacing w:val="-17"/>
          <w:kern w:val="0"/>
          <w:sz w:val="24"/>
          <w:szCs w:val="24"/>
        </w:rPr>
        <w:t>七、</w:t>
      </w:r>
      <w:r>
        <w:rPr>
          <w:rFonts w:hint="eastAsia" w:ascii="宋体" w:hAnsi="宋体"/>
          <w:b/>
          <w:bCs/>
          <w:kern w:val="0"/>
          <w:sz w:val="24"/>
          <w:szCs w:val="24"/>
        </w:rPr>
        <w:t>联系方式：</w:t>
      </w:r>
      <w:bookmarkEnd w:id="9"/>
    </w:p>
    <w:p>
      <w:pPr>
        <w:widowControl/>
        <w:spacing w:line="460" w:lineRule="exact"/>
        <w:ind w:firstLine="480" w:firstLineChars="200"/>
        <w:jc w:val="left"/>
        <w:outlineLvl w:val="1"/>
        <w:rPr>
          <w:rFonts w:ascii="宋体" w:hAnsi="宋体"/>
          <w:kern w:val="0"/>
          <w:sz w:val="24"/>
        </w:rPr>
      </w:pPr>
      <w:r>
        <w:rPr>
          <w:rFonts w:hint="eastAsia" w:ascii="宋体" w:hAnsi="宋体"/>
          <w:kern w:val="0"/>
          <w:sz w:val="24"/>
        </w:rPr>
        <w:t>1.采购人信息：</w:t>
      </w:r>
    </w:p>
    <w:p>
      <w:pPr>
        <w:widowControl/>
        <w:tabs>
          <w:tab w:val="left" w:pos="4980"/>
          <w:tab w:val="right" w:pos="8312"/>
        </w:tabs>
        <w:spacing w:line="460" w:lineRule="exact"/>
        <w:ind w:firstLine="480" w:firstLineChars="200"/>
        <w:jc w:val="left"/>
        <w:rPr>
          <w:rFonts w:ascii="宋体" w:hAnsi="宋体"/>
          <w:kern w:val="0"/>
          <w:sz w:val="24"/>
          <w:shd w:val="clear" w:color="050000" w:fill="auto"/>
        </w:rPr>
      </w:pPr>
      <w:r>
        <w:rPr>
          <w:rFonts w:hint="eastAsia" w:ascii="宋体" w:hAnsi="宋体"/>
          <w:kern w:val="0"/>
          <w:sz w:val="24"/>
          <w:shd w:val="clear" w:color="050000" w:fill="auto"/>
        </w:rPr>
        <w:t>名 称：伊犁哈萨克自治州动物疾病控制与诊断中心</w:t>
      </w:r>
    </w:p>
    <w:p>
      <w:pPr>
        <w:widowControl/>
        <w:tabs>
          <w:tab w:val="left" w:pos="4980"/>
          <w:tab w:val="right" w:pos="8312"/>
        </w:tabs>
        <w:spacing w:line="460" w:lineRule="exact"/>
        <w:ind w:firstLine="480" w:firstLineChars="200"/>
        <w:jc w:val="left"/>
        <w:rPr>
          <w:rFonts w:ascii="宋体" w:hAnsi="宋体"/>
          <w:kern w:val="0"/>
          <w:sz w:val="24"/>
          <w:shd w:val="clear" w:color="050000" w:fill="auto"/>
        </w:rPr>
      </w:pPr>
      <w:r>
        <w:rPr>
          <w:rFonts w:hint="eastAsia" w:ascii="宋体" w:hAnsi="宋体"/>
          <w:kern w:val="0"/>
          <w:sz w:val="24"/>
          <w:shd w:val="clear" w:color="050000" w:fill="auto"/>
        </w:rPr>
        <w:t>地 址：新疆伊宁市胜利街</w:t>
      </w:r>
    </w:p>
    <w:p>
      <w:pPr>
        <w:widowControl/>
        <w:tabs>
          <w:tab w:val="left" w:pos="4980"/>
          <w:tab w:val="right" w:pos="8312"/>
        </w:tabs>
        <w:spacing w:line="460" w:lineRule="exact"/>
        <w:ind w:firstLine="480" w:firstLineChars="200"/>
        <w:jc w:val="left"/>
        <w:rPr>
          <w:rFonts w:ascii="宋体" w:hAnsi="宋体"/>
          <w:kern w:val="0"/>
          <w:sz w:val="24"/>
          <w:shd w:val="clear" w:color="050000" w:fill="auto"/>
        </w:rPr>
      </w:pPr>
      <w:r>
        <w:rPr>
          <w:rFonts w:hint="eastAsia" w:ascii="宋体" w:hAnsi="宋体"/>
          <w:kern w:val="0"/>
          <w:sz w:val="24"/>
          <w:shd w:val="clear" w:color="050000" w:fill="auto"/>
        </w:rPr>
        <w:t>联系人：王鹏    联系电话：13369995355</w:t>
      </w:r>
    </w:p>
    <w:p>
      <w:pPr>
        <w:widowControl/>
        <w:spacing w:line="460" w:lineRule="exact"/>
        <w:ind w:firstLine="480" w:firstLineChars="200"/>
        <w:jc w:val="left"/>
        <w:outlineLvl w:val="1"/>
        <w:rPr>
          <w:rFonts w:ascii="宋体" w:hAnsi="宋体"/>
          <w:kern w:val="0"/>
          <w:sz w:val="24"/>
        </w:rPr>
      </w:pPr>
      <w:r>
        <w:rPr>
          <w:rFonts w:hint="eastAsia" w:ascii="宋体" w:hAnsi="宋体"/>
          <w:kern w:val="0"/>
          <w:sz w:val="24"/>
        </w:rPr>
        <w:t>2.采购代理机构信息</w:t>
      </w:r>
    </w:p>
    <w:p>
      <w:pPr>
        <w:widowControl/>
        <w:spacing w:line="460" w:lineRule="exact"/>
        <w:ind w:firstLine="480" w:firstLineChars="200"/>
        <w:jc w:val="left"/>
        <w:rPr>
          <w:rFonts w:ascii="宋体" w:hAnsi="宋体"/>
          <w:spacing w:val="-17"/>
          <w:kern w:val="0"/>
          <w:sz w:val="24"/>
        </w:rPr>
      </w:pPr>
      <w:r>
        <w:rPr>
          <w:rFonts w:hint="eastAsia" w:ascii="宋体" w:hAnsi="宋体"/>
          <w:kern w:val="0"/>
          <w:sz w:val="24"/>
        </w:rPr>
        <w:t>名    称： 新疆新招工程项目咨询管理有限公司</w:t>
      </w:r>
    </w:p>
    <w:p>
      <w:pPr>
        <w:widowControl/>
        <w:tabs>
          <w:tab w:val="left" w:pos="4980"/>
          <w:tab w:val="right" w:pos="8312"/>
        </w:tabs>
        <w:spacing w:line="460" w:lineRule="exact"/>
        <w:ind w:firstLine="480" w:firstLineChars="200"/>
        <w:jc w:val="left"/>
        <w:rPr>
          <w:rFonts w:ascii="宋体" w:hAnsi="宋体"/>
          <w:kern w:val="0"/>
          <w:sz w:val="24"/>
          <w:shd w:val="clear" w:color="050000" w:fill="auto"/>
        </w:rPr>
      </w:pPr>
      <w:r>
        <w:rPr>
          <w:rFonts w:hint="eastAsia" w:ascii="宋体" w:hAnsi="宋体"/>
          <w:kern w:val="0"/>
          <w:sz w:val="24"/>
          <w:shd w:val="clear" w:color="050000" w:fill="auto"/>
        </w:rPr>
        <w:t>地    址： 新疆伊宁市开发区如意街新房大厦4楼</w:t>
      </w:r>
    </w:p>
    <w:p>
      <w:pPr>
        <w:widowControl/>
        <w:tabs>
          <w:tab w:val="left" w:pos="4980"/>
          <w:tab w:val="right" w:pos="8312"/>
        </w:tabs>
        <w:spacing w:line="460" w:lineRule="exact"/>
        <w:ind w:firstLine="480" w:firstLineChars="200"/>
        <w:jc w:val="left"/>
        <w:rPr>
          <w:rFonts w:ascii="宋体" w:hAnsi="宋体"/>
          <w:kern w:val="0"/>
          <w:sz w:val="24"/>
          <w:shd w:val="clear" w:color="050000" w:fill="auto"/>
        </w:rPr>
      </w:pPr>
      <w:r>
        <w:rPr>
          <w:rFonts w:hint="eastAsia" w:ascii="宋体" w:hAnsi="宋体"/>
          <w:bCs/>
          <w:kern w:val="0"/>
          <w:sz w:val="24"/>
          <w:shd w:val="clear" w:color="050000" w:fill="auto"/>
        </w:rPr>
        <w:t>项目联系人：王少伟</w:t>
      </w:r>
    </w:p>
    <w:p>
      <w:pPr>
        <w:widowControl/>
        <w:tabs>
          <w:tab w:val="left" w:pos="4980"/>
          <w:tab w:val="right" w:pos="8312"/>
        </w:tabs>
        <w:spacing w:line="460" w:lineRule="exact"/>
        <w:ind w:firstLine="480" w:firstLineChars="200"/>
        <w:jc w:val="left"/>
        <w:rPr>
          <w:rFonts w:ascii="宋体" w:hAnsi="宋体"/>
          <w:kern w:val="0"/>
          <w:sz w:val="24"/>
          <w:shd w:val="clear" w:color="050000" w:fill="auto"/>
        </w:rPr>
      </w:pPr>
      <w:r>
        <w:rPr>
          <w:rFonts w:hint="eastAsia" w:ascii="宋体" w:hAnsi="宋体"/>
          <w:kern w:val="0"/>
          <w:sz w:val="24"/>
          <w:shd w:val="clear" w:color="050000" w:fill="auto"/>
        </w:rPr>
        <w:t>联系方式： 15509992621</w:t>
      </w:r>
    </w:p>
    <w:p>
      <w:pPr>
        <w:widowControl/>
        <w:spacing w:line="460" w:lineRule="exact"/>
        <w:ind w:firstLine="480" w:firstLineChars="200"/>
        <w:jc w:val="right"/>
        <w:rPr>
          <w:rFonts w:ascii="宋体" w:hAnsi="宋体"/>
          <w:kern w:val="0"/>
          <w:sz w:val="24"/>
          <w:shd w:val="clear" w:color="050000" w:fill="auto"/>
        </w:rPr>
      </w:pPr>
      <w:r>
        <w:rPr>
          <w:rFonts w:hint="eastAsia" w:ascii="宋体" w:hAnsi="宋体"/>
          <w:kern w:val="0"/>
          <w:sz w:val="24"/>
          <w:shd w:val="clear" w:color="050000" w:fill="auto"/>
        </w:rPr>
        <w:t xml:space="preserve">                </w:t>
      </w:r>
    </w:p>
    <w:p>
      <w:pPr>
        <w:widowControl/>
        <w:spacing w:line="460" w:lineRule="exact"/>
        <w:ind w:firstLine="480" w:firstLineChars="200"/>
        <w:jc w:val="right"/>
        <w:rPr>
          <w:rFonts w:ascii="宋体" w:hAnsi="宋体"/>
          <w:kern w:val="0"/>
          <w:sz w:val="24"/>
          <w:shd w:val="clear" w:color="050000" w:fill="auto"/>
        </w:rPr>
      </w:pPr>
      <w:r>
        <w:rPr>
          <w:rFonts w:hint="eastAsia" w:ascii="宋体" w:hAnsi="宋体"/>
          <w:kern w:val="0"/>
          <w:sz w:val="24"/>
          <w:shd w:val="clear" w:color="050000" w:fill="auto"/>
        </w:rPr>
        <w:t xml:space="preserve">     </w:t>
      </w:r>
      <w:r>
        <w:rPr>
          <w:rFonts w:hint="eastAsia"/>
          <w:bCs/>
          <w:kern w:val="0"/>
          <w:sz w:val="24"/>
          <w:shd w:val="clear" w:color="050000" w:fill="auto"/>
        </w:rPr>
        <w:t xml:space="preserve">  </w:t>
      </w:r>
      <w:r>
        <w:rPr>
          <w:rFonts w:hint="eastAsia" w:ascii="宋体" w:hAnsi="宋体"/>
          <w:kern w:val="0"/>
          <w:sz w:val="24"/>
          <w:shd w:val="clear" w:color="050000" w:fill="auto"/>
        </w:rPr>
        <w:t xml:space="preserve">新疆新招工程项目咨询管理有限公司    </w:t>
      </w:r>
      <w:r>
        <w:rPr>
          <w:rFonts w:hint="eastAsia"/>
          <w:bCs/>
          <w:kern w:val="0"/>
          <w:sz w:val="24"/>
          <w:shd w:val="clear" w:color="050000" w:fill="auto"/>
        </w:rPr>
        <w:t xml:space="preserve">          </w:t>
      </w:r>
      <w:r>
        <w:rPr>
          <w:rFonts w:hint="eastAsia" w:ascii="宋体" w:hAnsi="宋体"/>
          <w:kern w:val="0"/>
          <w:sz w:val="24"/>
          <w:shd w:val="clear" w:color="050000" w:fill="auto"/>
        </w:rPr>
        <w:t xml:space="preserve">                              </w:t>
      </w:r>
    </w:p>
    <w:p>
      <w:pPr>
        <w:pStyle w:val="3"/>
        <w:spacing w:line="440" w:lineRule="exact"/>
        <w:rPr>
          <w:b w:val="0"/>
          <w:kern w:val="0"/>
          <w:sz w:val="24"/>
          <w:shd w:val="clear" w:color="050000" w:fill="auto"/>
        </w:rPr>
      </w:pPr>
      <w:r>
        <w:rPr>
          <w:rFonts w:hint="eastAsia"/>
          <w:kern w:val="0"/>
          <w:sz w:val="24"/>
          <w:shd w:val="clear" w:color="050000" w:fill="auto"/>
        </w:rPr>
        <w:t xml:space="preserve">                          </w:t>
      </w:r>
      <w:bookmarkStart w:id="10" w:name="_Toc25453"/>
      <w:r>
        <w:rPr>
          <w:rFonts w:hint="eastAsia"/>
          <w:kern w:val="0"/>
          <w:sz w:val="24"/>
          <w:shd w:val="clear" w:color="050000" w:fill="auto"/>
        </w:rPr>
        <w:t xml:space="preserve">                              </w:t>
      </w:r>
      <w:r>
        <w:rPr>
          <w:rFonts w:hint="eastAsia"/>
          <w:b w:val="0"/>
          <w:kern w:val="0"/>
          <w:sz w:val="24"/>
          <w:shd w:val="clear" w:color="050000" w:fill="auto"/>
        </w:rPr>
        <w:t>2023年7月</w:t>
      </w:r>
      <w:r>
        <w:rPr>
          <w:rFonts w:hint="eastAsia"/>
          <w:b w:val="0"/>
          <w:kern w:val="0"/>
          <w:sz w:val="24"/>
          <w:shd w:val="clear" w:color="050000" w:fill="auto"/>
          <w:lang w:val="en-US" w:eastAsia="zh-CN"/>
        </w:rPr>
        <w:t>21</w:t>
      </w:r>
      <w:r>
        <w:rPr>
          <w:rFonts w:hint="eastAsia"/>
          <w:b w:val="0"/>
          <w:kern w:val="0"/>
          <w:sz w:val="24"/>
          <w:shd w:val="clear" w:color="050000" w:fill="auto"/>
        </w:rPr>
        <w:t>日</w:t>
      </w:r>
      <w:bookmarkEnd w:id="10"/>
    </w:p>
    <w:p>
      <w:pPr>
        <w:pStyle w:val="3"/>
        <w:rPr>
          <w:b w:val="0"/>
          <w:kern w:val="0"/>
          <w:sz w:val="24"/>
          <w:shd w:val="clear" w:color="050000" w:fill="auto"/>
        </w:rPr>
      </w:pPr>
    </w:p>
    <w:p>
      <w:pPr>
        <w:pStyle w:val="3"/>
        <w:rPr>
          <w:b w:val="0"/>
          <w:kern w:val="0"/>
          <w:sz w:val="24"/>
          <w:shd w:val="clear" w:color="050000" w:fill="auto"/>
        </w:rPr>
      </w:pPr>
    </w:p>
    <w:p>
      <w:pPr>
        <w:pStyle w:val="3"/>
        <w:ind w:firstLine="0"/>
        <w:rPr>
          <w:rFonts w:ascii="黑体" w:hAnsi="黑体" w:eastAsia="黑体" w:cs="黑体"/>
          <w:sz w:val="32"/>
          <w:szCs w:val="32"/>
        </w:rPr>
      </w:pPr>
    </w:p>
    <w:p>
      <w:pPr>
        <w:pStyle w:val="3"/>
        <w:ind w:firstLine="0"/>
        <w:rPr>
          <w:rFonts w:hint="eastAsia" w:ascii="黑体" w:hAnsi="黑体" w:eastAsia="黑体" w:cs="黑体"/>
          <w:sz w:val="32"/>
          <w:szCs w:val="32"/>
        </w:rPr>
      </w:pPr>
    </w:p>
    <w:p>
      <w:pPr>
        <w:pStyle w:val="3"/>
        <w:ind w:firstLine="0"/>
        <w:rPr>
          <w:rFonts w:hint="eastAsia" w:ascii="黑体" w:hAnsi="黑体" w:eastAsia="黑体" w:cs="黑体"/>
          <w:sz w:val="32"/>
          <w:szCs w:val="32"/>
        </w:rPr>
      </w:pPr>
    </w:p>
    <w:p>
      <w:pPr>
        <w:pStyle w:val="3"/>
        <w:ind w:firstLine="0"/>
        <w:rPr>
          <w:rFonts w:ascii="黑体" w:hAnsi="黑体" w:eastAsia="黑体" w:cs="黑体"/>
          <w:sz w:val="32"/>
          <w:szCs w:val="32"/>
        </w:rPr>
      </w:pPr>
    </w:p>
    <w:p>
      <w:pPr>
        <w:pStyle w:val="3"/>
        <w:ind w:firstLine="0"/>
        <w:rPr>
          <w:rFonts w:ascii="黑体" w:hAnsi="黑体" w:eastAsia="黑体" w:cs="黑体"/>
          <w:sz w:val="32"/>
          <w:szCs w:val="32"/>
        </w:rPr>
      </w:pPr>
    </w:p>
    <w:bookmarkEnd w:id="2"/>
    <w:p>
      <w:pPr>
        <w:pStyle w:val="3"/>
        <w:spacing w:line="560" w:lineRule="exact"/>
        <w:jc w:val="center"/>
        <w:rPr>
          <w:rFonts w:ascii="黑体" w:hAnsi="黑体" w:eastAsia="黑体" w:cs="黑体"/>
          <w:b w:val="0"/>
          <w:sz w:val="32"/>
          <w:szCs w:val="32"/>
        </w:rPr>
      </w:pPr>
      <w:r>
        <w:rPr>
          <w:rFonts w:hint="eastAsia" w:ascii="黑体" w:hAnsi="黑体" w:eastAsia="黑体" w:cs="黑体"/>
          <w:b w:val="0"/>
          <w:sz w:val="32"/>
          <w:szCs w:val="32"/>
        </w:rPr>
        <w:t>第二章 投标人须知前附表</w:t>
      </w:r>
    </w:p>
    <w:tbl>
      <w:tblPr>
        <w:tblStyle w:val="22"/>
        <w:tblW w:w="9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648"/>
        <w:gridCol w:w="1531"/>
        <w:gridCol w:w="7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6" w:hRule="atLeast"/>
          <w:jc w:val="center"/>
        </w:trPr>
        <w:tc>
          <w:tcPr>
            <w:tcW w:w="648" w:type="dxa"/>
            <w:vAlign w:val="center"/>
          </w:tcPr>
          <w:p>
            <w:pPr>
              <w:spacing w:line="440" w:lineRule="exact"/>
              <w:jc w:val="center"/>
              <w:rPr>
                <w:rFonts w:ascii="宋体" w:hAnsi="宋体"/>
                <w:b/>
                <w:kern w:val="0"/>
                <w:szCs w:val="21"/>
              </w:rPr>
            </w:pPr>
            <w:r>
              <w:rPr>
                <w:rFonts w:hint="eastAsia" w:ascii="宋体" w:hAnsi="宋体"/>
                <w:b/>
                <w:kern w:val="0"/>
                <w:szCs w:val="21"/>
              </w:rPr>
              <w:t>项号</w:t>
            </w:r>
          </w:p>
        </w:tc>
        <w:tc>
          <w:tcPr>
            <w:tcW w:w="9211" w:type="dxa"/>
            <w:gridSpan w:val="2"/>
            <w:vAlign w:val="center"/>
          </w:tcPr>
          <w:p>
            <w:pPr>
              <w:spacing w:line="440" w:lineRule="exact"/>
              <w:jc w:val="center"/>
              <w:rPr>
                <w:rFonts w:ascii="宋体" w:hAnsi="宋体"/>
                <w:b/>
                <w:kern w:val="0"/>
                <w:szCs w:val="21"/>
              </w:rPr>
            </w:pPr>
            <w:r>
              <w:rPr>
                <w:rFonts w:hint="eastAsia" w:ascii="宋体" w:hAnsi="宋体"/>
                <w:b/>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kern w:val="0"/>
                <w:szCs w:val="21"/>
              </w:rPr>
            </w:pPr>
            <w:r>
              <w:rPr>
                <w:rFonts w:hint="eastAsia" w:ascii="宋体" w:hAnsi="宋体"/>
                <w:kern w:val="0"/>
                <w:szCs w:val="21"/>
              </w:rPr>
              <w:t>1</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采购人</w:t>
            </w:r>
          </w:p>
        </w:tc>
        <w:tc>
          <w:tcPr>
            <w:tcW w:w="7680" w:type="dxa"/>
            <w:vAlign w:val="center"/>
          </w:tcPr>
          <w:p>
            <w:pPr>
              <w:keepNext/>
              <w:widowControl/>
              <w:jc w:val="left"/>
              <w:rPr>
                <w:rFonts w:ascii="宋体" w:hAnsi="宋体" w:cs="宋体"/>
                <w:szCs w:val="21"/>
              </w:rPr>
            </w:pPr>
            <w:r>
              <w:rPr>
                <w:rFonts w:hint="eastAsia" w:ascii="宋体" w:hAnsi="宋体" w:cs="宋体"/>
                <w:szCs w:val="21"/>
              </w:rPr>
              <w:t>采购人名称：伊犁哈萨克自治州动物疾病控制与诊断中心</w:t>
            </w:r>
          </w:p>
          <w:p>
            <w:pPr>
              <w:pStyle w:val="8"/>
              <w:numPr>
                <w:ilvl w:val="0"/>
                <w:numId w:val="0"/>
              </w:numPr>
              <w:rPr>
                <w:rFonts w:ascii="宋体" w:hAnsi="宋体" w:eastAsia="宋体" w:cs="宋体"/>
                <w:kern w:val="0"/>
                <w:sz w:val="21"/>
                <w:szCs w:val="21"/>
              </w:rPr>
            </w:pPr>
            <w:r>
              <w:rPr>
                <w:rFonts w:hint="eastAsia" w:ascii="宋体" w:hAnsi="宋体" w:eastAsia="宋体" w:cs="宋体"/>
                <w:kern w:val="0"/>
                <w:sz w:val="21"/>
                <w:szCs w:val="21"/>
              </w:rPr>
              <w:t>地址：</w:t>
            </w:r>
            <w:r>
              <w:rPr>
                <w:rFonts w:hint="eastAsia" w:ascii="宋体" w:hAnsi="宋体" w:eastAsia="宋体" w:cs="宋体"/>
                <w:sz w:val="21"/>
                <w:szCs w:val="21"/>
              </w:rPr>
              <w:t>新疆伊宁市胜利街</w:t>
            </w:r>
          </w:p>
          <w:p>
            <w:pPr>
              <w:pStyle w:val="8"/>
              <w:numPr>
                <w:ilvl w:val="0"/>
                <w:numId w:val="0"/>
              </w:numPr>
              <w:rPr>
                <w:rFonts w:ascii="宋体" w:hAnsi="宋体" w:eastAsia="宋体" w:cs="宋体"/>
                <w:kern w:val="0"/>
                <w:sz w:val="21"/>
                <w:szCs w:val="21"/>
              </w:rPr>
            </w:pPr>
            <w:r>
              <w:rPr>
                <w:rFonts w:hint="eastAsia" w:ascii="宋体" w:hAnsi="宋体" w:eastAsia="宋体" w:cs="宋体"/>
                <w:kern w:val="0"/>
                <w:sz w:val="21"/>
                <w:szCs w:val="21"/>
              </w:rPr>
              <w:t>联系人：</w:t>
            </w:r>
            <w:r>
              <w:rPr>
                <w:rFonts w:hint="eastAsia" w:ascii="宋体" w:hAnsi="宋体" w:eastAsia="宋体" w:cs="宋体"/>
                <w:sz w:val="21"/>
                <w:szCs w:val="21"/>
              </w:rPr>
              <w:t>王鹏</w:t>
            </w:r>
          </w:p>
          <w:p>
            <w:pPr>
              <w:pStyle w:val="8"/>
              <w:numPr>
                <w:ilvl w:val="0"/>
                <w:numId w:val="0"/>
              </w:numPr>
              <w:rPr>
                <w:rFonts w:ascii="宋体" w:hAnsi="宋体" w:eastAsia="宋体" w:cs="宋体"/>
                <w:kern w:val="0"/>
                <w:sz w:val="21"/>
                <w:szCs w:val="21"/>
              </w:rPr>
            </w:pPr>
            <w:r>
              <w:rPr>
                <w:rFonts w:hint="eastAsia" w:ascii="宋体" w:hAnsi="宋体" w:eastAsia="宋体" w:cs="宋体"/>
                <w:kern w:val="0"/>
                <w:sz w:val="21"/>
                <w:szCs w:val="21"/>
              </w:rPr>
              <w:t>联系电话：</w:t>
            </w:r>
            <w:r>
              <w:rPr>
                <w:rFonts w:hint="eastAsia" w:ascii="宋体" w:hAnsi="宋体" w:eastAsia="宋体"/>
                <w:kern w:val="0"/>
                <w:sz w:val="21"/>
                <w:szCs w:val="21"/>
                <w:shd w:val="clear" w:color="050000" w:fill="auto"/>
              </w:rPr>
              <w:t>13369995355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采购代理机构</w:t>
            </w:r>
          </w:p>
        </w:tc>
        <w:tc>
          <w:tcPr>
            <w:tcW w:w="7680" w:type="dxa"/>
            <w:vAlign w:val="center"/>
          </w:tcPr>
          <w:p>
            <w:pPr>
              <w:keepNext/>
              <w:widowControl/>
              <w:jc w:val="left"/>
              <w:rPr>
                <w:rFonts w:ascii="宋体" w:hAnsi="宋体"/>
                <w:szCs w:val="21"/>
              </w:rPr>
            </w:pPr>
            <w:r>
              <w:rPr>
                <w:rFonts w:hint="eastAsia" w:ascii="宋体" w:hAnsi="宋体"/>
                <w:szCs w:val="21"/>
              </w:rPr>
              <w:t>采购代理机构：新疆新招工程项目咨询管理有限公司</w:t>
            </w:r>
          </w:p>
          <w:p>
            <w:pPr>
              <w:pStyle w:val="8"/>
              <w:numPr>
                <w:ilvl w:val="0"/>
                <w:numId w:val="0"/>
              </w:numPr>
              <w:rPr>
                <w:rFonts w:ascii="宋体" w:hAnsi="宋体" w:eastAsia="宋体" w:cs="宋体"/>
                <w:kern w:val="0"/>
                <w:sz w:val="21"/>
                <w:szCs w:val="21"/>
              </w:rPr>
            </w:pPr>
            <w:r>
              <w:rPr>
                <w:rFonts w:hint="eastAsia" w:ascii="宋体" w:hAnsi="宋体" w:eastAsia="宋体" w:cs="宋体"/>
                <w:kern w:val="0"/>
                <w:sz w:val="21"/>
                <w:szCs w:val="21"/>
              </w:rPr>
              <w:t>地址：新疆伊宁市开发区如意街新房大厦4楼</w:t>
            </w:r>
          </w:p>
          <w:p>
            <w:pPr>
              <w:pStyle w:val="8"/>
              <w:numPr>
                <w:ilvl w:val="0"/>
                <w:numId w:val="0"/>
              </w:numPr>
              <w:rPr>
                <w:rFonts w:ascii="宋体" w:hAnsi="宋体" w:eastAsia="宋体" w:cs="宋体"/>
                <w:kern w:val="0"/>
                <w:sz w:val="21"/>
                <w:szCs w:val="21"/>
              </w:rPr>
            </w:pPr>
            <w:r>
              <w:rPr>
                <w:rFonts w:hint="eastAsia" w:ascii="宋体" w:hAnsi="宋体" w:eastAsia="宋体" w:cs="宋体"/>
                <w:kern w:val="0"/>
                <w:sz w:val="21"/>
                <w:szCs w:val="21"/>
              </w:rPr>
              <w:t>联系人：宋红杰、王少伟</w:t>
            </w:r>
          </w:p>
          <w:p>
            <w:pPr>
              <w:pStyle w:val="8"/>
              <w:numPr>
                <w:ilvl w:val="0"/>
                <w:numId w:val="0"/>
              </w:numPr>
              <w:rPr>
                <w:rFonts w:ascii="宋体" w:hAnsi="宋体" w:eastAsia="宋体" w:cs="宋体"/>
                <w:kern w:val="0"/>
                <w:sz w:val="21"/>
                <w:szCs w:val="21"/>
              </w:rPr>
            </w:pPr>
            <w:r>
              <w:rPr>
                <w:rFonts w:hint="eastAsia" w:ascii="宋体" w:hAnsi="宋体" w:eastAsia="宋体" w:cs="宋体"/>
                <w:kern w:val="0"/>
                <w:sz w:val="21"/>
                <w:szCs w:val="21"/>
              </w:rPr>
              <w:t>联系电话：15509992621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kern w:val="0"/>
                <w:szCs w:val="21"/>
              </w:rPr>
            </w:pPr>
            <w:r>
              <w:rPr>
                <w:rFonts w:hint="eastAsia" w:ascii="宋体" w:hAnsi="宋体"/>
                <w:kern w:val="0"/>
                <w:szCs w:val="21"/>
              </w:rPr>
              <w:t>2</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项 目 名 称</w:t>
            </w:r>
          </w:p>
        </w:tc>
        <w:tc>
          <w:tcPr>
            <w:tcW w:w="7680" w:type="dxa"/>
            <w:vAlign w:val="center"/>
          </w:tcPr>
          <w:p>
            <w:pPr>
              <w:keepNext/>
              <w:widowControl/>
              <w:rPr>
                <w:rFonts w:ascii="宋体" w:hAnsi="宋体" w:cs="Arial"/>
                <w:b/>
                <w:bCs/>
                <w:kern w:val="0"/>
                <w:szCs w:val="21"/>
              </w:rPr>
            </w:pPr>
            <w:r>
              <w:rPr>
                <w:rFonts w:hint="eastAsia" w:ascii="宋体" w:hAnsi="宋体" w:cs="宋体"/>
                <w:kern w:val="0"/>
                <w:szCs w:val="21"/>
              </w:rPr>
              <w:t>2023年中央动物防疫补助等（第二批资金）经费项目（一标段牛羊口蹄疫疫苗）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56"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项目编号</w:t>
            </w:r>
          </w:p>
        </w:tc>
        <w:tc>
          <w:tcPr>
            <w:tcW w:w="7680" w:type="dxa"/>
            <w:vAlign w:val="center"/>
          </w:tcPr>
          <w:p>
            <w:pPr>
              <w:keepNext/>
              <w:widowControl/>
              <w:jc w:val="left"/>
              <w:rPr>
                <w:rFonts w:ascii="宋体" w:hAnsi="宋体" w:cs="Arial"/>
                <w:b/>
                <w:bCs/>
                <w:kern w:val="0"/>
                <w:szCs w:val="21"/>
              </w:rPr>
            </w:pPr>
            <w:r>
              <w:rPr>
                <w:rFonts w:hint="eastAsia" w:ascii="宋体" w:hAnsi="宋体" w:cs="宋体"/>
                <w:kern w:val="0"/>
                <w:szCs w:val="21"/>
              </w:rPr>
              <w:t>XJXZYL-HW20230704-01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项目地点</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新疆维吾尔自治区伊犁哈萨克自治州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交货地点</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中标企业通过冷链运输疫苗送达至采购人指定地点</w:t>
            </w:r>
          </w:p>
          <w:p>
            <w:pPr>
              <w:keepNext/>
              <w:widowControl/>
              <w:jc w:val="left"/>
              <w:rPr>
                <w:rFonts w:ascii="宋体" w:hAnsi="宋体" w:cs="宋体"/>
                <w:kern w:val="0"/>
                <w:szCs w:val="21"/>
              </w:rPr>
            </w:pPr>
            <w:r>
              <w:rPr>
                <w:rFonts w:hint="eastAsia" w:ascii="宋体" w:hAnsi="宋体" w:cs="宋体"/>
                <w:kern w:val="0"/>
                <w:szCs w:val="21"/>
              </w:rPr>
              <w:t>（</w:t>
            </w:r>
            <w:r>
              <w:rPr>
                <w:rFonts w:hint="eastAsia" w:ascii="宋体" w:hAnsi="宋体" w:cs="宋体"/>
                <w:szCs w:val="21"/>
              </w:rPr>
              <w:t>伊犁哈萨克自治州动物疾病控制与诊断中心</w:t>
            </w:r>
            <w:r>
              <w:rPr>
                <w:rFonts w:hint="eastAsia" w:ascii="宋体" w:hAns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供货时间</w:t>
            </w:r>
          </w:p>
        </w:tc>
        <w:tc>
          <w:tcPr>
            <w:tcW w:w="7680" w:type="dxa"/>
            <w:vAlign w:val="center"/>
          </w:tcPr>
          <w:p>
            <w:pPr>
              <w:keepNext/>
              <w:widowControl/>
              <w:jc w:val="left"/>
              <w:rPr>
                <w:rFonts w:ascii="宋体" w:hAnsi="宋体" w:cs="宋体"/>
                <w:kern w:val="0"/>
                <w:szCs w:val="21"/>
              </w:rPr>
            </w:pPr>
            <w:r>
              <w:rPr>
                <w:rFonts w:hint="eastAsia" w:ascii="宋体" w:hAnsi="宋体"/>
                <w:bCs/>
                <w:kern w:val="0"/>
                <w:szCs w:val="21"/>
                <w:shd w:val="clear" w:color="050000" w:fill="auto"/>
              </w:rPr>
              <w:t>合同签订后15日历日内交付使用（具体以采购人通知的时间为准）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资金来源</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16"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预算金额</w:t>
            </w:r>
          </w:p>
        </w:tc>
        <w:tc>
          <w:tcPr>
            <w:tcW w:w="7680" w:type="dxa"/>
            <w:vAlign w:val="center"/>
          </w:tcPr>
          <w:p>
            <w:pPr>
              <w:keepNext/>
              <w:widowControl/>
              <w:jc w:val="left"/>
              <w:rPr>
                <w:rFonts w:ascii="宋体" w:hAnsi="宋体" w:cs="宋体"/>
                <w:kern w:val="0"/>
                <w:szCs w:val="21"/>
              </w:rPr>
            </w:pPr>
            <w:r>
              <w:rPr>
                <w:rFonts w:hint="eastAsia" w:ascii="宋体" w:hAnsi="宋体" w:cs="宋体"/>
                <w:bCs/>
                <w:szCs w:val="21"/>
              </w:rPr>
              <w:t>130万元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99"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最高限价</w:t>
            </w:r>
          </w:p>
        </w:tc>
        <w:tc>
          <w:tcPr>
            <w:tcW w:w="7680" w:type="dxa"/>
            <w:vAlign w:val="center"/>
          </w:tcPr>
          <w:p>
            <w:pPr>
              <w:pStyle w:val="8"/>
              <w:numPr>
                <w:ilvl w:val="0"/>
                <w:numId w:val="0"/>
              </w:numPr>
              <w:rPr>
                <w:rFonts w:ascii="宋体" w:hAnsi="宋体" w:eastAsia="宋体"/>
                <w:sz w:val="21"/>
                <w:szCs w:val="21"/>
              </w:rPr>
            </w:pPr>
            <w:r>
              <w:rPr>
                <w:rFonts w:hint="eastAsia" w:ascii="宋体" w:hAnsi="宋体" w:eastAsia="宋体" w:cs="宋体"/>
                <w:kern w:val="0"/>
                <w:sz w:val="21"/>
                <w:szCs w:val="21"/>
              </w:rPr>
              <w:t>牛羊口蹄疫0、A型二价灭活疫苗，单价0.5元/毫升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货款支付</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经疫苗接收单位验收合格并在每批次疫苗投入使用2个月无异常后，凭验收合格证明、合同及按合同总价开据的发票（完税价），甲方积极协调本级财政拨付货款，严格按照合同约定，按供货数量向乙方支付货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招标方式</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现场踏勘</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不组织现场考察或者召开答疑会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评比办法</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 xml:space="preserve">本项目采用综合评分法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资格审查方式</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3</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采购需求</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2023年中央动物防疫补助等（第二批资金）经费项目（一标段牛羊口蹄疫疫苗）</w:t>
            </w:r>
            <w:r>
              <w:rPr>
                <w:rFonts w:hint="eastAsia" w:ascii="宋体" w:hAnsi="宋体" w:cs="宋体"/>
                <w:szCs w:val="21"/>
              </w:rPr>
              <w:t>，</w:t>
            </w:r>
            <w:r>
              <w:rPr>
                <w:rFonts w:hint="eastAsia" w:ascii="宋体" w:hAnsi="宋体" w:cs="宋体"/>
                <w:kern w:val="0"/>
                <w:szCs w:val="21"/>
              </w:rPr>
              <w:t>采购牛羊口蹄疫0、A型二价灭活疫苗260万毫升，关于招标范围的详细说明见第四章“技术标准和服务要求”。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4</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投标人的资格要求</w:t>
            </w:r>
          </w:p>
        </w:tc>
        <w:tc>
          <w:tcPr>
            <w:tcW w:w="7680" w:type="dxa"/>
            <w:vAlign w:val="center"/>
          </w:tcPr>
          <w:p>
            <w:pPr>
              <w:widowControl/>
              <w:spacing w:line="360" w:lineRule="exact"/>
              <w:jc w:val="left"/>
              <w:rPr>
                <w:rFonts w:ascii="宋体" w:hAnsi="宋体" w:cs="宋体"/>
                <w:szCs w:val="21"/>
              </w:rPr>
            </w:pPr>
            <w:r>
              <w:rPr>
                <w:rFonts w:hint="eastAsia" w:ascii="宋体" w:hAnsi="宋体" w:cs="宋体"/>
                <w:szCs w:val="21"/>
              </w:rPr>
              <w:t>4.1.1符合《中华人民共和国政府采购法》第二十二条规定条件，并提供《中华人民共和国政府采购法实施条例》第十七条规定提供的证明材料；</w:t>
            </w:r>
          </w:p>
          <w:p>
            <w:pPr>
              <w:widowControl/>
              <w:spacing w:line="360" w:lineRule="exact"/>
              <w:jc w:val="left"/>
              <w:rPr>
                <w:rFonts w:ascii="宋体" w:hAnsi="宋体" w:cs="宋体"/>
                <w:szCs w:val="21"/>
              </w:rPr>
            </w:pPr>
            <w:r>
              <w:rPr>
                <w:rFonts w:hint="eastAsia" w:ascii="宋体" w:hAnsi="宋体" w:cs="宋体"/>
                <w:szCs w:val="21"/>
              </w:rPr>
              <w:t>①具有独立承担民事责任的能力；</w:t>
            </w:r>
          </w:p>
          <w:p>
            <w:pPr>
              <w:widowControl/>
              <w:spacing w:line="360" w:lineRule="exact"/>
              <w:jc w:val="left"/>
              <w:rPr>
                <w:rFonts w:ascii="宋体" w:hAnsi="宋体" w:cs="宋体"/>
                <w:szCs w:val="21"/>
              </w:rPr>
            </w:pPr>
            <w:r>
              <w:rPr>
                <w:rFonts w:hint="eastAsia" w:ascii="宋体" w:hAnsi="宋体" w:cs="宋体"/>
                <w:szCs w:val="21"/>
              </w:rPr>
              <w:t>②具有良好的商业信誉和健全的财务会计制度；</w:t>
            </w:r>
          </w:p>
          <w:p>
            <w:pPr>
              <w:widowControl/>
              <w:spacing w:line="360" w:lineRule="exact"/>
              <w:jc w:val="left"/>
              <w:rPr>
                <w:rFonts w:ascii="宋体" w:hAnsi="宋体" w:cs="宋体"/>
                <w:szCs w:val="21"/>
              </w:rPr>
            </w:pPr>
            <w:r>
              <w:rPr>
                <w:rFonts w:hint="eastAsia" w:ascii="宋体" w:hAnsi="宋体" w:cs="宋体"/>
                <w:szCs w:val="21"/>
              </w:rPr>
              <w:t>③具有履行合同所必需的设备和专业技术能力；</w:t>
            </w:r>
          </w:p>
          <w:p>
            <w:pPr>
              <w:widowControl/>
              <w:spacing w:line="360" w:lineRule="exact"/>
              <w:jc w:val="left"/>
              <w:rPr>
                <w:rFonts w:ascii="宋体" w:hAnsi="宋体" w:cs="宋体"/>
                <w:szCs w:val="21"/>
              </w:rPr>
            </w:pPr>
            <w:r>
              <w:rPr>
                <w:rFonts w:hint="eastAsia" w:ascii="宋体" w:hAnsi="宋体" w:cs="宋体"/>
                <w:szCs w:val="21"/>
              </w:rPr>
              <w:t>④有依法缴纳税收和社会保障资金的良好记录；</w:t>
            </w:r>
          </w:p>
          <w:p>
            <w:pPr>
              <w:widowControl/>
              <w:spacing w:line="360" w:lineRule="exact"/>
              <w:jc w:val="left"/>
              <w:rPr>
                <w:rFonts w:ascii="宋体" w:hAnsi="宋体" w:cs="宋体"/>
                <w:szCs w:val="21"/>
              </w:rPr>
            </w:pPr>
            <w:r>
              <w:rPr>
                <w:rFonts w:hint="eastAsia" w:ascii="宋体" w:hAnsi="宋体" w:cs="宋体"/>
                <w:szCs w:val="21"/>
              </w:rPr>
              <w:t>⑤参加招标采购活动前三年内，在经营活动中没有重大违法记录；</w:t>
            </w:r>
          </w:p>
          <w:p>
            <w:pPr>
              <w:widowControl/>
              <w:spacing w:line="360" w:lineRule="exact"/>
              <w:jc w:val="left"/>
              <w:rPr>
                <w:rFonts w:ascii="宋体" w:hAnsi="宋体" w:cs="宋体"/>
                <w:szCs w:val="21"/>
                <w:highlight w:val="none"/>
              </w:rPr>
            </w:pPr>
            <w:r>
              <w:rPr>
                <w:rFonts w:hint="eastAsia" w:ascii="宋体" w:hAnsi="宋体" w:cs="宋体"/>
                <w:szCs w:val="21"/>
              </w:rPr>
              <w:t>⑥法律、行政法规规定的其他</w:t>
            </w:r>
            <w:r>
              <w:rPr>
                <w:rFonts w:hint="eastAsia" w:ascii="宋体" w:hAnsi="宋体" w:cs="宋体"/>
                <w:szCs w:val="21"/>
                <w:highlight w:val="none"/>
              </w:rPr>
              <w:t>条件。</w:t>
            </w:r>
          </w:p>
          <w:p>
            <w:pPr>
              <w:widowControl/>
              <w:spacing w:line="360" w:lineRule="exact"/>
              <w:jc w:val="left"/>
              <w:rPr>
                <w:rFonts w:ascii="宋体" w:hAnsi="宋体" w:cs="宋体"/>
                <w:szCs w:val="21"/>
                <w:highlight w:val="none"/>
              </w:rPr>
            </w:pPr>
            <w:r>
              <w:rPr>
                <w:rFonts w:hint="eastAsia" w:ascii="宋体" w:hAnsi="宋体" w:cs="宋体"/>
                <w:szCs w:val="21"/>
                <w:highlight w:val="none"/>
              </w:rPr>
              <w:t>4.1.2具有经年检合格且在有效期内的工商营业执照；</w:t>
            </w:r>
          </w:p>
          <w:p>
            <w:pPr>
              <w:widowControl/>
              <w:spacing w:line="360" w:lineRule="exact"/>
              <w:jc w:val="left"/>
              <w:rPr>
                <w:rFonts w:ascii="宋体" w:hAnsi="宋体" w:cs="宋体"/>
                <w:szCs w:val="21"/>
                <w:highlight w:val="none"/>
              </w:rPr>
            </w:pPr>
            <w:r>
              <w:rPr>
                <w:rFonts w:hint="eastAsia" w:ascii="宋体" w:hAnsi="宋体" w:cs="宋体"/>
                <w:szCs w:val="21"/>
                <w:highlight w:val="none"/>
              </w:rPr>
              <w:t>4.1.3</w:t>
            </w:r>
            <w:r>
              <w:rPr>
                <w:rFonts w:hint="eastAsia" w:ascii="宋体" w:hAnsi="宋体"/>
                <w:bCs/>
                <w:kern w:val="0"/>
                <w:szCs w:val="21"/>
                <w:highlight w:val="none"/>
                <w:shd w:val="clear" w:color="050000" w:fill="auto"/>
              </w:rPr>
              <w:t>投标人</w:t>
            </w:r>
            <w:r>
              <w:rPr>
                <w:rFonts w:ascii="宋体" w:hAnsi="宋体"/>
                <w:bCs/>
                <w:kern w:val="0"/>
                <w:szCs w:val="21"/>
                <w:highlight w:val="none"/>
                <w:shd w:val="clear" w:color="050000" w:fill="auto"/>
              </w:rPr>
              <w:t>不得为“信用中国”网站（网址http://www.creditchina.gov.cn ）中列入失信被执行人和重大税收违法案件当事人名单的</w:t>
            </w:r>
            <w:r>
              <w:rPr>
                <w:rFonts w:hint="eastAsia" w:ascii="宋体" w:hAnsi="宋体"/>
                <w:bCs/>
                <w:kern w:val="0"/>
                <w:szCs w:val="21"/>
                <w:highlight w:val="none"/>
                <w:shd w:val="clear" w:color="050000" w:fill="auto"/>
              </w:rPr>
              <w:t>投标人</w:t>
            </w:r>
            <w:r>
              <w:rPr>
                <w:rFonts w:ascii="宋体" w:hAnsi="宋体"/>
                <w:bCs/>
                <w:kern w:val="0"/>
                <w:szCs w:val="21"/>
                <w:highlight w:val="none"/>
                <w:shd w:val="clear" w:color="050000" w:fill="auto"/>
              </w:rPr>
              <w:t>；不得为中国政府采购网（网址http://www.ccgp.gov.cn ）政府采购严重违法失信行为记录名单中被财政部门禁止参加政府采购活动的</w:t>
            </w:r>
            <w:r>
              <w:rPr>
                <w:rFonts w:hint="eastAsia" w:ascii="宋体" w:hAnsi="宋体"/>
                <w:bCs/>
                <w:kern w:val="0"/>
                <w:szCs w:val="21"/>
                <w:highlight w:val="none"/>
                <w:shd w:val="clear" w:color="050000" w:fill="auto"/>
              </w:rPr>
              <w:t>投标人</w:t>
            </w:r>
            <w:r>
              <w:rPr>
                <w:rFonts w:ascii="宋体" w:hAnsi="宋体"/>
                <w:bCs/>
                <w:kern w:val="0"/>
                <w:szCs w:val="21"/>
                <w:highlight w:val="none"/>
                <w:shd w:val="clear" w:color="050000" w:fill="auto"/>
              </w:rPr>
              <w:t>（处罚决定规定的时间和地域范围内），投标人及法定代表人不得</w:t>
            </w:r>
            <w:r>
              <w:rPr>
                <w:rFonts w:hint="eastAsia" w:ascii="宋体" w:hAnsi="宋体"/>
                <w:bCs/>
                <w:kern w:val="0"/>
                <w:szCs w:val="21"/>
                <w:highlight w:val="none"/>
                <w:shd w:val="clear" w:color="050000" w:fill="auto"/>
              </w:rPr>
              <w:t>存在行贿</w:t>
            </w:r>
            <w:r>
              <w:rPr>
                <w:rFonts w:ascii="宋体" w:hAnsi="宋体"/>
                <w:bCs/>
                <w:kern w:val="0"/>
                <w:szCs w:val="21"/>
                <w:highlight w:val="none"/>
                <w:shd w:val="clear" w:color="050000" w:fill="auto"/>
              </w:rPr>
              <w:t>犯罪记录行为</w:t>
            </w:r>
            <w:r>
              <w:rPr>
                <w:rFonts w:hint="eastAsia" w:ascii="宋体" w:hAnsi="宋体"/>
                <w:bCs/>
                <w:kern w:val="0"/>
                <w:szCs w:val="21"/>
                <w:highlight w:val="none"/>
                <w:shd w:val="clear" w:color="050000" w:fill="auto"/>
              </w:rPr>
              <w:t>，</w:t>
            </w:r>
            <w:r>
              <w:rPr>
                <w:rFonts w:ascii="宋体" w:hAnsi="宋体"/>
                <w:bCs/>
                <w:kern w:val="0"/>
                <w:szCs w:val="21"/>
                <w:highlight w:val="none"/>
                <w:shd w:val="clear" w:color="050000" w:fill="auto"/>
              </w:rPr>
              <w:t>须提供中国裁判文书网</w:t>
            </w:r>
            <w:r>
              <w:rPr>
                <w:rFonts w:hint="eastAsia" w:ascii="宋体" w:hAnsi="宋体"/>
                <w:bCs/>
                <w:kern w:val="0"/>
                <w:szCs w:val="21"/>
                <w:highlight w:val="none"/>
                <w:shd w:val="clear" w:color="050000" w:fill="auto"/>
              </w:rPr>
              <w:t>（</w:t>
            </w:r>
            <w:r>
              <w:rPr>
                <w:rFonts w:ascii="宋体" w:hAnsi="宋体"/>
                <w:bCs/>
                <w:kern w:val="0"/>
                <w:szCs w:val="21"/>
                <w:highlight w:val="none"/>
                <w:shd w:val="clear" w:color="050000" w:fill="auto"/>
              </w:rPr>
              <w:t>https://wenshu.court.gov.cn/</w:t>
            </w:r>
            <w:r>
              <w:rPr>
                <w:rFonts w:hint="eastAsia" w:ascii="宋体" w:hAnsi="宋体"/>
                <w:bCs/>
                <w:kern w:val="0"/>
                <w:szCs w:val="21"/>
                <w:highlight w:val="none"/>
                <w:shd w:val="clear" w:color="050000" w:fill="auto"/>
              </w:rPr>
              <w:t>）行贿</w:t>
            </w:r>
            <w:r>
              <w:rPr>
                <w:rFonts w:ascii="宋体" w:hAnsi="宋体"/>
                <w:bCs/>
                <w:kern w:val="0"/>
                <w:szCs w:val="21"/>
                <w:highlight w:val="none"/>
                <w:shd w:val="clear" w:color="050000" w:fill="auto"/>
              </w:rPr>
              <w:t>犯罪记录行为</w:t>
            </w:r>
            <w:r>
              <w:rPr>
                <w:rFonts w:hint="eastAsia" w:ascii="宋体" w:hAnsi="宋体"/>
                <w:bCs/>
                <w:kern w:val="0"/>
                <w:szCs w:val="21"/>
                <w:highlight w:val="none"/>
                <w:shd w:val="clear" w:color="050000" w:fill="auto"/>
              </w:rPr>
              <w:t>查询截图，</w:t>
            </w:r>
            <w:r>
              <w:rPr>
                <w:rFonts w:ascii="宋体" w:hAnsi="宋体"/>
                <w:bCs/>
                <w:kern w:val="0"/>
                <w:szCs w:val="21"/>
                <w:highlight w:val="none"/>
                <w:shd w:val="clear" w:color="050000" w:fill="auto"/>
              </w:rPr>
              <w:t>均须提供查询结果打印件（加盖企业公章）</w:t>
            </w:r>
            <w:r>
              <w:rPr>
                <w:rFonts w:hint="eastAsia" w:ascii="宋体" w:hAnsi="宋体" w:cs="宋体"/>
                <w:szCs w:val="21"/>
                <w:highlight w:val="none"/>
              </w:rPr>
              <w:t>；</w:t>
            </w:r>
            <w:r>
              <w:rPr>
                <w:rFonts w:hint="eastAsia" w:ascii="宋体" w:hAnsi="宋体"/>
                <w:szCs w:val="21"/>
                <w:highlight w:val="none"/>
              </w:rPr>
              <w:t>查询截止时点为递交投标文件截止时间前；</w:t>
            </w:r>
          </w:p>
          <w:p>
            <w:pPr>
              <w:jc w:val="left"/>
              <w:rPr>
                <w:highlight w:val="none"/>
              </w:rPr>
            </w:pPr>
            <w:r>
              <w:rPr>
                <w:rFonts w:hint="eastAsia"/>
                <w:highlight w:val="none"/>
              </w:rPr>
              <w:t>4.2特殊资格要求</w:t>
            </w:r>
          </w:p>
          <w:p>
            <w:pPr>
              <w:pStyle w:val="8"/>
              <w:numPr>
                <w:ilvl w:val="0"/>
                <w:numId w:val="0"/>
              </w:numPr>
              <w:rPr>
                <w:rFonts w:ascii="宋体" w:hAnsi="宋体" w:eastAsia="宋体" w:cs="宋体"/>
                <w:b/>
                <w:bCs/>
                <w:highlight w:val="none"/>
              </w:rPr>
            </w:pPr>
            <w:r>
              <w:rPr>
                <w:rFonts w:hint="eastAsia" w:ascii="宋体" w:hAnsi="宋体" w:eastAsia="宋体" w:cs="宋体"/>
                <w:b/>
                <w:bCs/>
                <w:highlight w:val="none"/>
              </w:rPr>
              <w:t>4.2.1投标人具有有效期内的《兽药经营许可证》或《兽药生产许可证》；</w:t>
            </w:r>
          </w:p>
          <w:p>
            <w:pPr>
              <w:spacing w:line="300" w:lineRule="exact"/>
              <w:rPr>
                <w:rFonts w:ascii="宋体" w:hAnsi="宋体" w:cs="宋体"/>
                <w:b/>
                <w:bCs/>
                <w:highlight w:val="none"/>
              </w:rPr>
            </w:pPr>
            <w:r>
              <w:rPr>
                <w:rFonts w:hint="eastAsia" w:ascii="宋体" w:hAnsi="宋体" w:cs="宋体"/>
                <w:b/>
                <w:bCs/>
                <w:highlight w:val="none"/>
              </w:rPr>
              <w:t>4.2.2兽药产品批准文号；有效期内的兽药GMP证书；</w:t>
            </w:r>
          </w:p>
          <w:p>
            <w:pPr>
              <w:spacing w:line="300" w:lineRule="exact"/>
              <w:rPr>
                <w:rFonts w:ascii="宋体" w:hAnsi="宋体" w:cs="宋体"/>
                <w:b/>
                <w:bCs/>
                <w:highlight w:val="none"/>
              </w:rPr>
            </w:pPr>
            <w:r>
              <w:rPr>
                <w:rFonts w:hint="eastAsia" w:ascii="宋体" w:hAnsi="宋体" w:cs="宋体"/>
                <w:b/>
                <w:bCs/>
                <w:highlight w:val="none"/>
              </w:rPr>
              <w:t>4.2.3 供应商须在中国兽药信息网兽药产品登记；</w:t>
            </w:r>
          </w:p>
          <w:p>
            <w:pPr>
              <w:spacing w:line="300" w:lineRule="exact"/>
              <w:rPr>
                <w:rFonts w:ascii="宋体" w:hAnsi="宋体" w:cs="宋体"/>
                <w:b/>
                <w:bCs/>
              </w:rPr>
            </w:pPr>
            <w:r>
              <w:rPr>
                <w:rFonts w:hint="eastAsia" w:ascii="宋体" w:hAnsi="宋体" w:cs="宋体"/>
                <w:b/>
                <w:bCs/>
                <w:highlight w:val="none"/>
              </w:rPr>
              <w:t>4.2.4 从未在新疆维吾尔自</w:t>
            </w:r>
            <w:r>
              <w:rPr>
                <w:rFonts w:hint="eastAsia" w:ascii="宋体" w:hAnsi="宋体" w:cs="宋体"/>
                <w:b/>
                <w:bCs/>
              </w:rPr>
              <w:t>治区地州级范围内使用过的疫苗，须有小范围田间试验，并提供新疆维吾尔自治区或相关省份畜牧兽医主管部门出具的免疫效果检验评估报告；</w:t>
            </w:r>
          </w:p>
          <w:p>
            <w:pPr>
              <w:jc w:val="left"/>
              <w:rPr>
                <w:rFonts w:ascii="宋体" w:hAnsi="宋体" w:cs="宋体"/>
                <w:szCs w:val="21"/>
              </w:rPr>
            </w:pPr>
            <w:r>
              <w:rPr>
                <w:rFonts w:hint="eastAsia" w:ascii="宋体" w:hAnsi="宋体" w:cs="宋体"/>
                <w:b/>
                <w:bCs/>
                <w:szCs w:val="21"/>
              </w:rPr>
              <w:t>4.3本项目不接受联合体投标。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restart"/>
            <w:vAlign w:val="center"/>
          </w:tcPr>
          <w:p>
            <w:pPr>
              <w:jc w:val="center"/>
              <w:rPr>
                <w:rFonts w:ascii="宋体" w:hAnsi="宋体"/>
                <w:kern w:val="0"/>
                <w:szCs w:val="21"/>
              </w:rPr>
            </w:pPr>
            <w:r>
              <w:rPr>
                <w:rFonts w:hint="eastAsia" w:ascii="宋体" w:hAnsi="宋体"/>
                <w:kern w:val="0"/>
                <w:szCs w:val="21"/>
              </w:rPr>
              <w:t>5</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获取招标文件</w:t>
            </w:r>
          </w:p>
        </w:tc>
        <w:tc>
          <w:tcPr>
            <w:tcW w:w="7680" w:type="dxa"/>
            <w:vAlign w:val="center"/>
          </w:tcPr>
          <w:p>
            <w:pPr>
              <w:keepNext/>
              <w:widowControl/>
              <w:jc w:val="left"/>
              <w:rPr>
                <w:rFonts w:ascii="宋体" w:hAnsi="宋体" w:cs="宋体"/>
                <w:szCs w:val="21"/>
              </w:rPr>
            </w:pPr>
            <w:r>
              <w:rPr>
                <w:rFonts w:hint="eastAsia" w:ascii="宋体" w:hAnsi="宋体" w:cs="宋体"/>
                <w:szCs w:val="21"/>
              </w:rPr>
              <w:t>时间：2023年</w:t>
            </w:r>
            <w:r>
              <w:rPr>
                <w:rFonts w:hint="eastAsia" w:ascii="宋体" w:hAnsi="宋体" w:cs="宋体"/>
                <w:szCs w:val="21"/>
                <w:lang w:eastAsia="zh-CN"/>
              </w:rPr>
              <w:t>7月25日</w:t>
            </w:r>
            <w:r>
              <w:rPr>
                <w:rFonts w:hint="eastAsia" w:ascii="宋体" w:hAnsi="宋体" w:cs="宋体"/>
                <w:szCs w:val="21"/>
              </w:rPr>
              <w:t>起至2023年</w:t>
            </w:r>
            <w:r>
              <w:rPr>
                <w:rFonts w:hint="eastAsia" w:ascii="宋体" w:hAnsi="宋体" w:cs="宋体"/>
                <w:szCs w:val="21"/>
                <w:lang w:eastAsia="zh-CN"/>
              </w:rPr>
              <w:t>8月1日</w:t>
            </w:r>
            <w:r>
              <w:rPr>
                <w:rFonts w:hint="eastAsia" w:ascii="宋体" w:hAnsi="宋体" w:cs="宋体"/>
                <w:szCs w:val="21"/>
              </w:rPr>
              <w:t>，每日上午10:00-14:00时，下午10：00-20：00时（京时，法定节假日除外）</w:t>
            </w:r>
          </w:p>
          <w:p>
            <w:pPr>
              <w:keepNext/>
              <w:widowControl/>
              <w:jc w:val="left"/>
              <w:rPr>
                <w:rFonts w:ascii="宋体" w:hAnsi="宋体" w:cs="宋体"/>
                <w:kern w:val="0"/>
                <w:szCs w:val="21"/>
              </w:rPr>
            </w:pPr>
            <w:r>
              <w:rPr>
                <w:rFonts w:hint="eastAsia" w:ascii="宋体" w:hAnsi="宋体" w:cs="宋体"/>
                <w:kern w:val="0"/>
                <w:szCs w:val="21"/>
              </w:rPr>
              <w:t>地点：新疆政采云平台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方式</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线上获取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01"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招标文件费</w:t>
            </w:r>
          </w:p>
        </w:tc>
        <w:tc>
          <w:tcPr>
            <w:tcW w:w="7680" w:type="dxa"/>
            <w:vAlign w:val="center"/>
          </w:tcPr>
          <w:p>
            <w:pPr>
              <w:keepNext/>
              <w:widowControl/>
              <w:jc w:val="left"/>
              <w:rPr>
                <w:rFonts w:ascii="宋体" w:hAnsi="宋体" w:cs="宋体"/>
                <w:kern w:val="0"/>
                <w:szCs w:val="21"/>
              </w:rPr>
            </w:pPr>
            <w:r>
              <w:rPr>
                <w:rFonts w:hint="eastAsia" w:ascii="宋体" w:hAnsi="宋体" w:cs="宋体"/>
                <w:kern w:val="0"/>
                <w:szCs w:val="21"/>
              </w:rPr>
              <w:t>0元/标段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31" w:hRule="atLeast"/>
          <w:jc w:val="center"/>
        </w:trPr>
        <w:tc>
          <w:tcPr>
            <w:tcW w:w="648" w:type="dxa"/>
            <w:vAlign w:val="center"/>
          </w:tcPr>
          <w:p>
            <w:pPr>
              <w:jc w:val="center"/>
              <w:rPr>
                <w:rFonts w:ascii="宋体" w:hAnsi="宋体"/>
                <w:kern w:val="0"/>
                <w:szCs w:val="21"/>
              </w:rPr>
            </w:pPr>
            <w:r>
              <w:rPr>
                <w:rFonts w:hint="eastAsia" w:ascii="宋体" w:hAnsi="宋体"/>
                <w:kern w:val="0"/>
                <w:szCs w:val="21"/>
              </w:rPr>
              <w:t>6</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公告期限</w:t>
            </w:r>
          </w:p>
        </w:tc>
        <w:tc>
          <w:tcPr>
            <w:tcW w:w="7680" w:type="dxa"/>
            <w:vAlign w:val="center"/>
          </w:tcPr>
          <w:p>
            <w:pPr>
              <w:pStyle w:val="20"/>
              <w:spacing w:before="75" w:beforeAutospacing="0" w:after="75" w:afterAutospacing="0" w:line="264" w:lineRule="auto"/>
              <w:rPr>
                <w:b/>
                <w:bCs/>
                <w:sz w:val="21"/>
                <w:szCs w:val="21"/>
              </w:rPr>
            </w:pPr>
            <w:r>
              <w:rPr>
                <w:rFonts w:hint="eastAsia"/>
                <w:sz w:val="21"/>
                <w:szCs w:val="21"/>
              </w:rPr>
              <w:t>自本公告发布之日起5个工作日内领取招标文件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618" w:hRule="atLeast"/>
          <w:jc w:val="center"/>
        </w:trPr>
        <w:tc>
          <w:tcPr>
            <w:tcW w:w="648" w:type="dxa"/>
            <w:vMerge w:val="restart"/>
            <w:vAlign w:val="center"/>
          </w:tcPr>
          <w:p>
            <w:pPr>
              <w:jc w:val="center"/>
              <w:rPr>
                <w:rFonts w:ascii="宋体" w:hAnsi="宋体"/>
                <w:kern w:val="0"/>
                <w:szCs w:val="21"/>
              </w:rPr>
            </w:pPr>
            <w:r>
              <w:rPr>
                <w:rFonts w:hint="eastAsia" w:ascii="宋体" w:hAnsi="宋体"/>
                <w:kern w:val="0"/>
                <w:szCs w:val="21"/>
              </w:rPr>
              <w:t>7</w:t>
            </w:r>
          </w:p>
        </w:tc>
        <w:tc>
          <w:tcPr>
            <w:tcW w:w="1531" w:type="dxa"/>
            <w:vAlign w:val="center"/>
          </w:tcPr>
          <w:p>
            <w:pPr>
              <w:keepNext/>
              <w:widowControl/>
              <w:jc w:val="distribute"/>
              <w:rPr>
                <w:rFonts w:ascii="宋体" w:hAnsi="宋体" w:cs="黑体"/>
                <w:kern w:val="0"/>
                <w:szCs w:val="21"/>
              </w:rPr>
            </w:pPr>
            <w:r>
              <w:rPr>
                <w:rFonts w:hint="eastAsia" w:ascii="宋体" w:hAnsi="宋体"/>
                <w:szCs w:val="21"/>
              </w:rPr>
              <w:t>递交投标文件地点</w:t>
            </w:r>
          </w:p>
        </w:tc>
        <w:tc>
          <w:tcPr>
            <w:tcW w:w="7680" w:type="dxa"/>
            <w:vAlign w:val="center"/>
          </w:tcPr>
          <w:p>
            <w:pPr>
              <w:keepNext/>
              <w:widowControl/>
              <w:jc w:val="left"/>
              <w:rPr>
                <w:rFonts w:ascii="宋体" w:hAnsi="宋体" w:cs="宋体"/>
                <w:b/>
                <w:bCs/>
                <w:kern w:val="0"/>
                <w:szCs w:val="21"/>
              </w:rPr>
            </w:pPr>
            <w:r>
              <w:rPr>
                <w:rFonts w:hint="eastAsia" w:ascii="宋体" w:hAnsi="宋体"/>
                <w:szCs w:val="21"/>
              </w:rPr>
              <w:t>供应商应在投标截止时间前将“电子加密投标文件”成功上传递交至“政府采购云平台”，否则投标无效。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Merge w:val="continue"/>
            <w:vAlign w:val="center"/>
          </w:tcPr>
          <w:p>
            <w:pPr>
              <w:jc w:val="center"/>
              <w:rPr>
                <w:rFonts w:ascii="宋体" w:hAnsi="宋体"/>
                <w:kern w:val="0"/>
                <w:szCs w:val="21"/>
              </w:rPr>
            </w:pPr>
          </w:p>
        </w:tc>
        <w:tc>
          <w:tcPr>
            <w:tcW w:w="1531" w:type="dxa"/>
            <w:vAlign w:val="center"/>
          </w:tcPr>
          <w:p>
            <w:pPr>
              <w:keepNext/>
              <w:widowControl/>
              <w:jc w:val="distribute"/>
              <w:rPr>
                <w:rFonts w:ascii="宋体" w:hAnsi="宋体" w:cs="黑体"/>
                <w:kern w:val="0"/>
                <w:szCs w:val="21"/>
              </w:rPr>
            </w:pPr>
            <w:r>
              <w:rPr>
                <w:rFonts w:hint="eastAsia" w:ascii="宋体" w:hAnsi="宋体"/>
                <w:szCs w:val="21"/>
              </w:rPr>
              <w:t>投标截止时间</w:t>
            </w:r>
          </w:p>
        </w:tc>
        <w:tc>
          <w:tcPr>
            <w:tcW w:w="7680" w:type="dxa"/>
            <w:vAlign w:val="center"/>
          </w:tcPr>
          <w:p>
            <w:pPr>
              <w:keepNext/>
              <w:widowControl/>
              <w:jc w:val="left"/>
              <w:rPr>
                <w:rFonts w:ascii="宋体" w:hAnsi="宋体" w:cs="宋体"/>
                <w:b/>
                <w:bCs/>
                <w:kern w:val="0"/>
                <w:szCs w:val="21"/>
                <w:highlight w:val="none"/>
              </w:rPr>
            </w:pPr>
            <w:r>
              <w:rPr>
                <w:rFonts w:hint="eastAsia" w:ascii="宋体" w:hAnsi="宋体"/>
                <w:szCs w:val="21"/>
                <w:highlight w:val="none"/>
              </w:rPr>
              <w:t>投标人应于</w:t>
            </w:r>
            <w:r>
              <w:rPr>
                <w:rFonts w:hint="eastAsia" w:ascii="宋体" w:hAnsi="宋体" w:cs="宋体"/>
                <w:szCs w:val="21"/>
                <w:highlight w:val="none"/>
              </w:rPr>
              <w:t>2023年</w:t>
            </w:r>
            <w:r>
              <w:rPr>
                <w:rFonts w:hint="eastAsia" w:ascii="宋体" w:hAnsi="宋体" w:cs="宋体"/>
                <w:szCs w:val="21"/>
                <w:highlight w:val="none"/>
                <w:lang w:eastAsia="zh-CN"/>
              </w:rPr>
              <w:t>8月15日</w:t>
            </w:r>
            <w:r>
              <w:rPr>
                <w:rFonts w:hint="eastAsia" w:ascii="宋体" w:hAnsi="宋体" w:cs="宋体"/>
                <w:szCs w:val="21"/>
                <w:highlight w:val="none"/>
              </w:rPr>
              <w:t>10:30（北京时间）之前将</w:t>
            </w:r>
            <w:r>
              <w:rPr>
                <w:rFonts w:hint="eastAsia" w:ascii="宋体" w:hAnsi="宋体"/>
                <w:szCs w:val="21"/>
                <w:highlight w:val="none"/>
              </w:rPr>
              <w:t>电子投标文件上传到“政采云”平台。</w:t>
            </w:r>
            <w:r>
              <w:rPr>
                <w:rFonts w:hint="eastAsia" w:ascii="宋体" w:hAnsi="宋体"/>
                <w:b/>
                <w:szCs w:val="21"/>
                <w:highlight w:val="none"/>
              </w:rPr>
              <w:t>开标时间后30分钟内供应商登录“政采云”平台，用“项目采购-开标评标”功能进行解密投标文件。若供应商在规定时间内未按时解密的，视为无效投标。</w:t>
            </w:r>
            <w:r>
              <w:rPr>
                <w:rFonts w:hint="eastAsia" w:ascii="宋体" w:hAnsi="宋体"/>
                <w:b/>
                <w:szCs w:val="21"/>
                <w:highlight w:val="none"/>
                <w:u w:val="single"/>
              </w:rPr>
              <w:t>（解密时间开始时政采云平台将以短信形式向供应商在政采云平台预留的手机号发送短信通知，请供应商及时关注。）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8</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投标保证金</w:t>
            </w:r>
          </w:p>
        </w:tc>
        <w:tc>
          <w:tcPr>
            <w:tcW w:w="7680" w:type="dxa"/>
            <w:vAlign w:val="center"/>
          </w:tcPr>
          <w:p>
            <w:pPr>
              <w:spacing w:line="360" w:lineRule="exact"/>
              <w:rPr>
                <w:rFonts w:ascii="宋体" w:hAnsi="宋体"/>
                <w:szCs w:val="21"/>
              </w:rPr>
            </w:pPr>
            <w:r>
              <w:rPr>
                <w:rFonts w:hint="eastAsia" w:ascii="宋体" w:hAnsi="宋体"/>
                <w:szCs w:val="21"/>
              </w:rPr>
              <w:t>1.投标保证金的金额：人民币</w:t>
            </w:r>
            <w:r>
              <w:rPr>
                <w:rFonts w:hint="eastAsia" w:ascii="宋体" w:hAnsi="宋体"/>
                <w:szCs w:val="21"/>
                <w:lang w:val="en-US" w:eastAsia="zh-CN"/>
              </w:rPr>
              <w:t>贰万伍仟元整</w:t>
            </w:r>
            <w:r>
              <w:rPr>
                <w:rFonts w:hint="eastAsia" w:ascii="宋体" w:hAnsi="宋体"/>
                <w:szCs w:val="21"/>
              </w:rPr>
              <w:t>；</w:t>
            </w:r>
          </w:p>
          <w:p>
            <w:pPr>
              <w:spacing w:line="360" w:lineRule="exact"/>
              <w:rPr>
                <w:rFonts w:ascii="宋体" w:hAnsi="宋体"/>
                <w:szCs w:val="21"/>
              </w:rPr>
            </w:pPr>
            <w:r>
              <w:rPr>
                <w:rFonts w:hint="eastAsia" w:ascii="宋体" w:hAnsi="宋体"/>
                <w:szCs w:val="21"/>
              </w:rPr>
              <w:t>2.投标保证金的</w:t>
            </w:r>
            <w:r>
              <w:rPr>
                <w:rFonts w:ascii="宋体" w:hAnsi="宋体"/>
                <w:szCs w:val="21"/>
              </w:rPr>
              <w:t>形式：</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ascii="宋体" w:hAnsi="宋体"/>
                <w:szCs w:val="21"/>
              </w:rPr>
              <w:t>①</w:t>
            </w:r>
            <w:r>
              <w:rPr>
                <w:rFonts w:hint="eastAsia" w:ascii="宋体" w:hAnsi="宋体"/>
                <w:szCs w:val="21"/>
              </w:rPr>
              <w:fldChar w:fldCharType="end"/>
            </w:r>
            <w:r>
              <w:rPr>
                <w:rFonts w:hint="eastAsia" w:ascii="宋体" w:hAnsi="宋体"/>
                <w:szCs w:val="21"/>
              </w:rPr>
              <w:t>电汇；</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ascii="宋体" w:hAnsi="宋体"/>
                <w:szCs w:val="21"/>
              </w:rPr>
              <w:t>②</w:t>
            </w:r>
            <w:r>
              <w:rPr>
                <w:rFonts w:hint="eastAsia" w:ascii="宋体" w:hAnsi="宋体"/>
                <w:szCs w:val="21"/>
              </w:rPr>
              <w:fldChar w:fldCharType="end"/>
            </w:r>
            <w:r>
              <w:rPr>
                <w:rFonts w:hint="eastAsia" w:ascii="宋体" w:hAnsi="宋体"/>
                <w:szCs w:val="21"/>
              </w:rPr>
              <w:t>保函；</w:t>
            </w:r>
          </w:p>
          <w:p>
            <w:pPr>
              <w:spacing w:line="360" w:lineRule="exact"/>
              <w:rPr>
                <w:rFonts w:ascii="宋体" w:hAnsi="宋体"/>
                <w:szCs w:val="21"/>
              </w:rPr>
            </w:pPr>
            <w:r>
              <w:rPr>
                <w:rFonts w:hint="eastAsia" w:ascii="宋体" w:hAnsi="宋体"/>
                <w:szCs w:val="21"/>
              </w:rPr>
              <w:t>3.投标保证金的递交方式：</w:t>
            </w:r>
          </w:p>
          <w:p>
            <w:pPr>
              <w:spacing w:line="360" w:lineRule="exact"/>
              <w:rPr>
                <w:rFonts w:ascii="宋体" w:hAnsi="宋体"/>
                <w:szCs w:val="21"/>
              </w:rPr>
            </w:pPr>
            <w:r>
              <w:rPr>
                <w:rFonts w:hint="eastAsia" w:ascii="宋体" w:hAnsi="宋体"/>
                <w:szCs w:val="21"/>
              </w:rPr>
              <w:t>3.1采用第</w:t>
            </w:r>
            <w:r>
              <w:rPr>
                <w:rFonts w:hint="eastAsia" w:ascii="宋体" w:hAnsi="宋体"/>
                <w:szCs w:val="21"/>
              </w:rPr>
              <w:fldChar w:fldCharType="begin"/>
            </w:r>
            <w:r>
              <w:rPr>
                <w:rFonts w:hint="eastAsia" w:ascii="宋体" w:hAnsi="宋体"/>
                <w:szCs w:val="21"/>
              </w:rPr>
              <w:instrText xml:space="preserve"> = 1 \* GB3 \* MERGEFORMAT </w:instrText>
            </w:r>
            <w:r>
              <w:rPr>
                <w:rFonts w:hint="eastAsia" w:ascii="宋体" w:hAnsi="宋体"/>
                <w:szCs w:val="21"/>
              </w:rPr>
              <w:fldChar w:fldCharType="separate"/>
            </w:r>
            <w:r>
              <w:rPr>
                <w:rFonts w:ascii="宋体" w:hAnsi="宋体"/>
                <w:szCs w:val="21"/>
              </w:rPr>
              <w:t>①</w:t>
            </w:r>
            <w:r>
              <w:rPr>
                <w:rFonts w:hint="eastAsia" w:ascii="宋体" w:hAnsi="宋体"/>
                <w:szCs w:val="21"/>
              </w:rPr>
              <w:fldChar w:fldCharType="end"/>
            </w:r>
            <w:r>
              <w:rPr>
                <w:rFonts w:hint="eastAsia" w:ascii="宋体" w:hAnsi="宋体"/>
                <w:szCs w:val="21"/>
              </w:rPr>
              <w:t>种形式递交保证金的，收款账户信息如下：</w:t>
            </w:r>
          </w:p>
          <w:p>
            <w:pPr>
              <w:spacing w:line="360" w:lineRule="exact"/>
              <w:rPr>
                <w:rFonts w:ascii="宋体" w:hAnsi="宋体"/>
                <w:szCs w:val="21"/>
              </w:rPr>
            </w:pPr>
            <w:r>
              <w:rPr>
                <w:rFonts w:hint="eastAsia" w:ascii="宋体" w:hAnsi="宋体"/>
                <w:szCs w:val="21"/>
              </w:rPr>
              <w:t>单位名称：新疆新招工程项目咨询管理有限公司伊犁分公司</w:t>
            </w:r>
          </w:p>
          <w:p>
            <w:pPr>
              <w:spacing w:line="360" w:lineRule="exact"/>
              <w:rPr>
                <w:rFonts w:ascii="宋体" w:hAnsi="宋体"/>
                <w:szCs w:val="21"/>
              </w:rPr>
            </w:pPr>
            <w:r>
              <w:rPr>
                <w:rFonts w:hint="eastAsia" w:ascii="宋体" w:hAnsi="宋体"/>
                <w:szCs w:val="21"/>
              </w:rPr>
              <w:t>账    号：107083061966</w:t>
            </w:r>
          </w:p>
          <w:p>
            <w:pPr>
              <w:spacing w:line="360" w:lineRule="exact"/>
              <w:rPr>
                <w:rFonts w:ascii="宋体" w:hAnsi="宋体"/>
                <w:szCs w:val="21"/>
              </w:rPr>
            </w:pPr>
            <w:r>
              <w:rPr>
                <w:rFonts w:hint="eastAsia" w:ascii="宋体" w:hAnsi="宋体"/>
                <w:szCs w:val="21"/>
              </w:rPr>
              <w:t>开户行名称：中国银行伊宁市边境经济合作区四川路支行</w:t>
            </w:r>
          </w:p>
          <w:p>
            <w:pPr>
              <w:spacing w:line="360" w:lineRule="exact"/>
              <w:rPr>
                <w:rFonts w:ascii="宋体" w:hAnsi="宋体"/>
                <w:szCs w:val="21"/>
              </w:rPr>
            </w:pPr>
            <w:r>
              <w:rPr>
                <w:rFonts w:hint="eastAsia" w:ascii="宋体" w:hAnsi="宋体"/>
                <w:szCs w:val="21"/>
              </w:rPr>
              <w:t>注：投标保证金必须从投标人企业基本账户转入到指定账户，并注明“2023年中央动物防疫补助等（第二批资金）经费项目（一标段牛羊口蹄疫疫苗）”字样；</w:t>
            </w:r>
          </w:p>
          <w:p>
            <w:pPr>
              <w:spacing w:line="360" w:lineRule="exact"/>
              <w:rPr>
                <w:rFonts w:ascii="宋体" w:hAnsi="宋体"/>
                <w:szCs w:val="21"/>
              </w:rPr>
            </w:pPr>
            <w:r>
              <w:rPr>
                <w:rFonts w:hint="eastAsia" w:ascii="宋体" w:hAnsi="宋体"/>
                <w:szCs w:val="21"/>
              </w:rPr>
              <w:t>3.2采用第</w:t>
            </w:r>
            <w:r>
              <w:rPr>
                <w:rFonts w:hint="eastAsia" w:ascii="宋体" w:hAnsi="宋体"/>
                <w:szCs w:val="21"/>
              </w:rPr>
              <w:fldChar w:fldCharType="begin"/>
            </w:r>
            <w:r>
              <w:rPr>
                <w:rFonts w:hint="eastAsia" w:ascii="宋体" w:hAnsi="宋体"/>
                <w:szCs w:val="21"/>
              </w:rPr>
              <w:instrText xml:space="preserve"> = 2 \* GB3 \* MERGEFORMAT </w:instrText>
            </w:r>
            <w:r>
              <w:rPr>
                <w:rFonts w:hint="eastAsia" w:ascii="宋体" w:hAnsi="宋体"/>
                <w:szCs w:val="21"/>
              </w:rPr>
              <w:fldChar w:fldCharType="separate"/>
            </w:r>
            <w:r>
              <w:rPr>
                <w:rFonts w:ascii="宋体" w:hAnsi="宋体"/>
                <w:szCs w:val="21"/>
              </w:rPr>
              <w:t>②</w:t>
            </w:r>
            <w:r>
              <w:rPr>
                <w:rFonts w:hint="eastAsia" w:ascii="宋体" w:hAnsi="宋体"/>
                <w:szCs w:val="21"/>
              </w:rPr>
              <w:fldChar w:fldCharType="end"/>
            </w:r>
            <w:r>
              <w:rPr>
                <w:rFonts w:hint="eastAsia" w:ascii="宋体" w:hAnsi="宋体"/>
                <w:szCs w:val="21"/>
              </w:rPr>
              <w:t>种形式递交保证金的，投标人须在投标截止时间前，将所投项目对应的保函扫描件随投标文件一起提交；</w:t>
            </w:r>
          </w:p>
          <w:p>
            <w:pPr>
              <w:jc w:val="left"/>
              <w:rPr>
                <w:rFonts w:ascii="宋体" w:hAnsi="宋体" w:cs="Arial"/>
                <w:kern w:val="0"/>
                <w:szCs w:val="21"/>
              </w:rPr>
            </w:pPr>
            <w:r>
              <w:rPr>
                <w:rFonts w:hint="eastAsia" w:ascii="宋体" w:hAnsi="宋体"/>
                <w:szCs w:val="21"/>
              </w:rPr>
              <w:t>4.潜在投标人可以自主选择以上任一种形式递交保证金。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9</w:t>
            </w:r>
          </w:p>
        </w:tc>
        <w:tc>
          <w:tcPr>
            <w:tcW w:w="1531" w:type="dxa"/>
            <w:vAlign w:val="center"/>
          </w:tcPr>
          <w:p>
            <w:pPr>
              <w:keepNext/>
              <w:widowControl/>
              <w:jc w:val="distribute"/>
              <w:rPr>
                <w:rFonts w:ascii="宋体" w:hAnsi="宋体"/>
                <w:szCs w:val="21"/>
              </w:rPr>
            </w:pPr>
            <w:r>
              <w:rPr>
                <w:rFonts w:hint="eastAsia" w:ascii="宋体" w:hAnsi="宋体"/>
                <w:szCs w:val="21"/>
              </w:rPr>
              <w:t>招标文件澄清发出的形式</w:t>
            </w:r>
          </w:p>
        </w:tc>
        <w:tc>
          <w:tcPr>
            <w:tcW w:w="7680" w:type="dxa"/>
            <w:vAlign w:val="center"/>
          </w:tcPr>
          <w:p>
            <w:pPr>
              <w:jc w:val="left"/>
              <w:rPr>
                <w:rFonts w:ascii="宋体" w:hAnsi="宋体"/>
                <w:szCs w:val="21"/>
              </w:rPr>
            </w:pPr>
            <w:r>
              <w:rPr>
                <w:rFonts w:hint="eastAsia" w:ascii="宋体" w:hAnsi="宋体"/>
                <w:szCs w:val="21"/>
              </w:rPr>
              <w:t>政采云平台发布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821" w:hRule="atLeast"/>
          <w:jc w:val="center"/>
        </w:trPr>
        <w:tc>
          <w:tcPr>
            <w:tcW w:w="648" w:type="dxa"/>
            <w:vAlign w:val="center"/>
          </w:tcPr>
          <w:p>
            <w:pPr>
              <w:jc w:val="center"/>
              <w:rPr>
                <w:rFonts w:ascii="宋体" w:hAnsi="宋体"/>
                <w:kern w:val="0"/>
                <w:szCs w:val="21"/>
              </w:rPr>
            </w:pPr>
            <w:r>
              <w:rPr>
                <w:rFonts w:hint="eastAsia" w:ascii="宋体" w:hAnsi="宋体"/>
                <w:kern w:val="0"/>
                <w:szCs w:val="21"/>
              </w:rPr>
              <w:t>10</w:t>
            </w:r>
          </w:p>
        </w:tc>
        <w:tc>
          <w:tcPr>
            <w:tcW w:w="1531" w:type="dxa"/>
            <w:vAlign w:val="center"/>
          </w:tcPr>
          <w:p>
            <w:pPr>
              <w:keepNext/>
              <w:widowControl/>
              <w:jc w:val="distribute"/>
              <w:rPr>
                <w:rFonts w:ascii="宋体" w:hAnsi="宋体"/>
                <w:szCs w:val="21"/>
              </w:rPr>
            </w:pPr>
            <w:r>
              <w:rPr>
                <w:rFonts w:hint="eastAsia" w:ascii="宋体" w:hAnsi="宋体"/>
                <w:szCs w:val="21"/>
              </w:rPr>
              <w:t>投标人在投标预备会前提出问题</w:t>
            </w:r>
          </w:p>
        </w:tc>
        <w:tc>
          <w:tcPr>
            <w:tcW w:w="7680" w:type="dxa"/>
            <w:vAlign w:val="center"/>
          </w:tcPr>
          <w:p>
            <w:pPr>
              <w:jc w:val="left"/>
              <w:rPr>
                <w:rFonts w:ascii="宋体" w:hAnsi="宋体"/>
                <w:szCs w:val="21"/>
              </w:rPr>
            </w:pPr>
            <w:r>
              <w:rPr>
                <w:rFonts w:hint="eastAsia" w:ascii="宋体" w:hAnsi="宋体"/>
                <w:szCs w:val="21"/>
              </w:rPr>
              <w:t>时间：开标前15天</w:t>
            </w:r>
          </w:p>
          <w:p>
            <w:pPr>
              <w:jc w:val="left"/>
              <w:rPr>
                <w:rFonts w:ascii="宋体" w:hAnsi="宋体"/>
                <w:szCs w:val="21"/>
              </w:rPr>
            </w:pPr>
            <w:r>
              <w:rPr>
                <w:rFonts w:hint="eastAsia" w:ascii="宋体" w:hAnsi="宋体"/>
                <w:szCs w:val="21"/>
              </w:rPr>
              <w:t>形式：政采云平台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648" w:type="dxa"/>
            <w:vAlign w:val="center"/>
          </w:tcPr>
          <w:p>
            <w:pPr>
              <w:jc w:val="center"/>
              <w:rPr>
                <w:rFonts w:ascii="宋体" w:hAnsi="宋体"/>
                <w:kern w:val="0"/>
                <w:szCs w:val="21"/>
              </w:rPr>
            </w:pPr>
            <w:r>
              <w:rPr>
                <w:rFonts w:hint="eastAsia" w:ascii="宋体" w:hAnsi="宋体"/>
                <w:kern w:val="0"/>
                <w:szCs w:val="21"/>
              </w:rPr>
              <w:t>11</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投标文件份数</w:t>
            </w:r>
          </w:p>
        </w:tc>
        <w:tc>
          <w:tcPr>
            <w:tcW w:w="7680" w:type="dxa"/>
            <w:vAlign w:val="center"/>
          </w:tcPr>
          <w:p>
            <w:pPr>
              <w:keepNext/>
              <w:widowControl/>
              <w:jc w:val="left"/>
              <w:rPr>
                <w:rFonts w:ascii="宋体" w:hAnsi="宋体" w:cs="宋体"/>
                <w:b/>
                <w:bCs/>
                <w:kern w:val="0"/>
                <w:szCs w:val="21"/>
              </w:rPr>
            </w:pPr>
            <w:r>
              <w:rPr>
                <w:rFonts w:hint="eastAsia" w:ascii="宋体" w:hAnsi="宋体" w:cs="宋体"/>
                <w:b/>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12</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投标有效期</w:t>
            </w:r>
          </w:p>
        </w:tc>
        <w:tc>
          <w:tcPr>
            <w:tcW w:w="7680" w:type="dxa"/>
            <w:vAlign w:val="center"/>
          </w:tcPr>
          <w:p>
            <w:pPr>
              <w:jc w:val="left"/>
              <w:rPr>
                <w:rFonts w:ascii="宋体" w:hAnsi="宋体" w:cs="宋体"/>
                <w:kern w:val="0"/>
                <w:szCs w:val="21"/>
              </w:rPr>
            </w:pPr>
            <w:r>
              <w:rPr>
                <w:rFonts w:hint="eastAsia" w:ascii="宋体" w:hAnsi="宋体" w:cs="宋体"/>
                <w:kern w:val="0"/>
                <w:szCs w:val="21"/>
              </w:rPr>
              <w:t>自投标截止之日起</w:t>
            </w:r>
            <w:r>
              <w:rPr>
                <w:rFonts w:hint="eastAsia" w:ascii="宋体" w:hAnsi="宋体" w:cs="宋体"/>
                <w:kern w:val="0"/>
                <w:szCs w:val="21"/>
                <w:lang w:val="en-US" w:eastAsia="zh-CN"/>
              </w:rPr>
              <w:t>3</w:t>
            </w:r>
            <w:r>
              <w:rPr>
                <w:rFonts w:hint="eastAsia" w:ascii="宋体" w:hAnsi="宋体" w:cs="宋体"/>
                <w:kern w:val="0"/>
                <w:szCs w:val="21"/>
              </w:rPr>
              <w:t>0个日历日，有效期不满足要求的投标将被视为非实质性响应投标。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13</w:t>
            </w:r>
          </w:p>
        </w:tc>
        <w:tc>
          <w:tcPr>
            <w:tcW w:w="1531" w:type="dxa"/>
            <w:vAlign w:val="center"/>
          </w:tcPr>
          <w:p>
            <w:pPr>
              <w:jc w:val="distribute"/>
              <w:rPr>
                <w:rFonts w:ascii="宋体" w:hAnsi="宋体" w:cs="黑体"/>
                <w:kern w:val="0"/>
                <w:szCs w:val="21"/>
              </w:rPr>
            </w:pPr>
            <w:r>
              <w:rPr>
                <w:rFonts w:hint="eastAsia" w:ascii="宋体" w:hAnsi="宋体" w:cs="黑体"/>
                <w:kern w:val="0"/>
                <w:szCs w:val="21"/>
              </w:rPr>
              <w:t>招标公告发布媒体</w:t>
            </w:r>
          </w:p>
        </w:tc>
        <w:tc>
          <w:tcPr>
            <w:tcW w:w="7680" w:type="dxa"/>
            <w:vAlign w:val="center"/>
          </w:tcPr>
          <w:p>
            <w:pPr>
              <w:jc w:val="left"/>
              <w:rPr>
                <w:rFonts w:ascii="宋体" w:hAnsi="宋体" w:cs="宋体"/>
                <w:kern w:val="0"/>
                <w:szCs w:val="21"/>
              </w:rPr>
            </w:pPr>
            <w:r>
              <w:rPr>
                <w:rFonts w:hint="eastAsia" w:ascii="宋体" w:hAnsi="宋体" w:cs="宋体"/>
                <w:kern w:val="0"/>
                <w:szCs w:val="21"/>
              </w:rPr>
              <w:t>新疆政府采购网（http://www.ccgp-xinjiang.gov.cn/）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14</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履约保证金</w:t>
            </w:r>
          </w:p>
        </w:tc>
        <w:tc>
          <w:tcPr>
            <w:tcW w:w="7680" w:type="dxa"/>
            <w:vAlign w:val="center"/>
          </w:tcPr>
          <w:p>
            <w:pPr>
              <w:jc w:val="left"/>
              <w:rPr>
                <w:rFonts w:ascii="宋体" w:hAnsi="宋体" w:cs="宋体"/>
                <w:szCs w:val="21"/>
              </w:rPr>
            </w:pPr>
            <w:r>
              <w:rPr>
                <w:rFonts w:hint="eastAsia" w:ascii="宋体" w:hAnsi="宋体" w:cs="宋体"/>
                <w:szCs w:val="21"/>
              </w:rPr>
              <w:t>4.1.履约保证金的形式为履约保函；金额为合同总额的10%；</w:t>
            </w:r>
          </w:p>
          <w:p>
            <w:pPr>
              <w:jc w:val="left"/>
              <w:rPr>
                <w:rFonts w:ascii="宋体" w:hAnsi="宋体" w:cs="宋体"/>
                <w:szCs w:val="21"/>
              </w:rPr>
            </w:pPr>
            <w:r>
              <w:rPr>
                <w:rFonts w:hint="eastAsia" w:ascii="宋体" w:hAnsi="宋体" w:cs="宋体"/>
                <w:szCs w:val="21"/>
              </w:rPr>
              <w:t>14.2.中标企业收到中标通知书后（签订协议前）向采购人提交；</w:t>
            </w:r>
          </w:p>
          <w:p>
            <w:pPr>
              <w:jc w:val="left"/>
              <w:rPr>
                <w:rFonts w:ascii="宋体" w:hAnsi="宋体" w:cs="宋体"/>
                <w:szCs w:val="21"/>
              </w:rPr>
            </w:pPr>
            <w:r>
              <w:rPr>
                <w:rFonts w:hint="eastAsia" w:ascii="宋体" w:hAnsi="宋体" w:cs="宋体"/>
                <w:szCs w:val="21"/>
              </w:rPr>
              <w:t>14.3.在合同签订时中标企业须同时提供履约保函；</w:t>
            </w:r>
          </w:p>
          <w:p>
            <w:pPr>
              <w:jc w:val="left"/>
              <w:rPr>
                <w:rFonts w:ascii="宋体" w:hAnsi="宋体" w:cs="宋体"/>
                <w:kern w:val="0"/>
                <w:szCs w:val="21"/>
              </w:rPr>
            </w:pPr>
            <w:r>
              <w:rPr>
                <w:rFonts w:hint="eastAsia" w:ascii="宋体" w:hAnsi="宋体" w:cs="宋体"/>
                <w:szCs w:val="21"/>
              </w:rPr>
              <w:t>14.4.</w:t>
            </w:r>
            <w:r>
              <w:rPr>
                <w:rFonts w:hint="eastAsia" w:ascii="宋体" w:hAnsi="宋体"/>
                <w:szCs w:val="21"/>
              </w:rPr>
              <w:t>投标人未按招标文件规定缴纳履约保证金的，视为自动放弃本次中标项目并且投标保证金将不予退还。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15</w:t>
            </w:r>
          </w:p>
        </w:tc>
        <w:tc>
          <w:tcPr>
            <w:tcW w:w="1531" w:type="dxa"/>
            <w:vAlign w:val="center"/>
          </w:tcPr>
          <w:p>
            <w:pPr>
              <w:keepNext/>
              <w:widowControl/>
              <w:jc w:val="distribute"/>
              <w:rPr>
                <w:rFonts w:ascii="宋体" w:hAnsi="宋体" w:cs="黑体"/>
                <w:kern w:val="0"/>
                <w:szCs w:val="21"/>
              </w:rPr>
            </w:pPr>
            <w:r>
              <w:rPr>
                <w:rFonts w:hint="eastAsia" w:ascii="宋体" w:hAnsi="宋体"/>
                <w:szCs w:val="21"/>
              </w:rPr>
              <w:t>开标程序</w:t>
            </w:r>
          </w:p>
        </w:tc>
        <w:tc>
          <w:tcPr>
            <w:tcW w:w="7680" w:type="dxa"/>
            <w:vAlign w:val="center"/>
          </w:tcPr>
          <w:p>
            <w:pPr>
              <w:spacing w:line="360" w:lineRule="exact"/>
              <w:rPr>
                <w:rFonts w:ascii="宋体" w:hAnsi="宋体"/>
                <w:szCs w:val="21"/>
              </w:rPr>
            </w:pPr>
            <w:r>
              <w:rPr>
                <w:rFonts w:hint="eastAsia" w:ascii="宋体" w:hAnsi="宋体"/>
                <w:szCs w:val="21"/>
              </w:rPr>
              <w:t>资格审查文件：</w:t>
            </w:r>
          </w:p>
          <w:p>
            <w:pPr>
              <w:spacing w:line="360" w:lineRule="exact"/>
              <w:rPr>
                <w:rFonts w:ascii="宋体" w:hAnsi="宋体" w:cs="宋体"/>
                <w:kern w:val="0"/>
                <w:szCs w:val="21"/>
              </w:rPr>
            </w:pPr>
            <w:r>
              <w:rPr>
                <w:rFonts w:hint="eastAsia" w:ascii="宋体" w:hAnsi="宋体"/>
                <w:szCs w:val="21"/>
              </w:rPr>
              <w:t>开标前，请各投标人将下</w:t>
            </w:r>
            <w:r>
              <w:rPr>
                <w:rFonts w:hint="eastAsia" w:ascii="宋体" w:hAnsi="宋体" w:cs="宋体"/>
                <w:kern w:val="0"/>
                <w:szCs w:val="21"/>
              </w:rPr>
              <w:t>列有效证件上传到“政采云”平台查验：</w:t>
            </w:r>
          </w:p>
          <w:p>
            <w:pPr>
              <w:widowControl/>
              <w:spacing w:line="360" w:lineRule="exact"/>
              <w:jc w:val="left"/>
              <w:rPr>
                <w:rFonts w:ascii="宋体" w:hAnsi="宋体" w:cs="宋体"/>
                <w:kern w:val="0"/>
                <w:szCs w:val="21"/>
              </w:rPr>
            </w:pPr>
            <w:r>
              <w:rPr>
                <w:rFonts w:hint="eastAsia" w:ascii="宋体" w:hAnsi="宋体" w:cs="宋体"/>
                <w:kern w:val="0"/>
                <w:szCs w:val="21"/>
              </w:rPr>
              <w:t>（1）</w:t>
            </w:r>
            <w:r>
              <w:rPr>
                <w:rFonts w:hint="eastAsia" w:ascii="宋体" w:hAnsi="宋体"/>
                <w:szCs w:val="21"/>
              </w:rPr>
              <w:t>法定代表人（单位负责人）身份证明及本人身份证（或法定代表人授权委托书及委托代理人的身份证）</w:t>
            </w:r>
            <w:r>
              <w:rPr>
                <w:rFonts w:hint="eastAsia" w:ascii="宋体" w:hAnsi="宋体" w:cs="宋体"/>
                <w:kern w:val="0"/>
                <w:szCs w:val="21"/>
              </w:rPr>
              <w:t>；</w:t>
            </w:r>
          </w:p>
          <w:p>
            <w:pPr>
              <w:spacing w:line="360" w:lineRule="exact"/>
              <w:rPr>
                <w:rFonts w:ascii="宋体" w:hAnsi="宋体" w:cs="宋体"/>
                <w:kern w:val="0"/>
                <w:szCs w:val="21"/>
              </w:rPr>
            </w:pPr>
            <w:r>
              <w:rPr>
                <w:rFonts w:hint="eastAsia" w:ascii="宋体" w:hAnsi="宋体" w:cs="宋体"/>
                <w:kern w:val="0"/>
                <w:szCs w:val="21"/>
              </w:rPr>
              <w:t>（2）企业营业执照；</w:t>
            </w:r>
          </w:p>
          <w:p>
            <w:pPr>
              <w:spacing w:line="360" w:lineRule="exact"/>
              <w:rPr>
                <w:rFonts w:ascii="宋体" w:hAnsi="宋体" w:cs="宋体"/>
                <w:kern w:val="0"/>
                <w:szCs w:val="21"/>
                <w:highlight w:val="none"/>
              </w:rPr>
            </w:pPr>
            <w:r>
              <w:rPr>
                <w:rFonts w:hint="eastAsia" w:ascii="宋体" w:hAnsi="宋体" w:cs="宋体"/>
                <w:kern w:val="0"/>
                <w:szCs w:val="21"/>
              </w:rPr>
              <w:t>（3）《兽药经营许可证》或《</w:t>
            </w:r>
            <w:r>
              <w:rPr>
                <w:rFonts w:hint="eastAsia" w:ascii="宋体" w:hAnsi="宋体" w:cs="宋体"/>
                <w:kern w:val="0"/>
                <w:szCs w:val="21"/>
                <w:highlight w:val="none"/>
              </w:rPr>
              <w:t>兽药生产许可证》；</w:t>
            </w:r>
          </w:p>
          <w:p>
            <w:pPr>
              <w:spacing w:line="360" w:lineRule="exact"/>
              <w:rPr>
                <w:rFonts w:ascii="宋体" w:hAnsi="宋体" w:cs="宋体"/>
                <w:kern w:val="0"/>
                <w:szCs w:val="21"/>
                <w:highlight w:val="none"/>
              </w:rPr>
            </w:pPr>
            <w:r>
              <w:rPr>
                <w:rFonts w:hint="eastAsia" w:ascii="宋体" w:hAnsi="宋体" w:cs="宋体"/>
                <w:kern w:val="0"/>
                <w:szCs w:val="21"/>
                <w:highlight w:val="none"/>
              </w:rPr>
              <w:t>（4）</w:t>
            </w:r>
            <w:r>
              <w:rPr>
                <w:rFonts w:hint="eastAsia" w:ascii="宋体" w:hAnsi="宋体" w:cs="宋体"/>
                <w:szCs w:val="21"/>
                <w:highlight w:val="none"/>
              </w:rPr>
              <w:t>兽药产品批准文号；有效期内的兽药GMP证书；</w:t>
            </w:r>
          </w:p>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（5）企业2022年度财务审计报告（新公司除外）（注：投标人的成立时间少于规定年份的，应提供成立以来的财务状况表）；</w:t>
            </w:r>
          </w:p>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（6）近一年被授权人及法定代表人的社保缴纳证明；</w:t>
            </w:r>
          </w:p>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（7）企业近一年完税证明；</w:t>
            </w:r>
          </w:p>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（8）针对本次项目的反商业贿赂承诺书；</w:t>
            </w:r>
          </w:p>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（9）供应商须在中国兽药信息网兽药产品登记提供登记截图（加盖企业公章）；</w:t>
            </w:r>
          </w:p>
          <w:p>
            <w:pPr>
              <w:widowControl/>
              <w:spacing w:line="360" w:lineRule="exact"/>
              <w:jc w:val="left"/>
              <w:rPr>
                <w:rFonts w:ascii="宋体" w:hAnsi="宋体" w:cs="宋体"/>
                <w:kern w:val="0"/>
                <w:szCs w:val="21"/>
                <w:highlight w:val="none"/>
              </w:rPr>
            </w:pPr>
            <w:r>
              <w:rPr>
                <w:rFonts w:hint="eastAsia" w:ascii="宋体" w:hAnsi="宋体" w:cs="宋体"/>
                <w:kern w:val="0"/>
                <w:szCs w:val="21"/>
                <w:highlight w:val="none"/>
              </w:rPr>
              <w:t>（10）提供“信用中国”网站（www.creditchina.gov.cn ）、中国政府采购网（www.ccgp.gov.cn ）、中国裁判文书网（https://wenshu.court.gov.cn/）查询结果打印件（加盖企业公章）；</w:t>
            </w:r>
          </w:p>
          <w:p>
            <w:pPr>
              <w:widowControl/>
              <w:spacing w:line="360" w:lineRule="exact"/>
              <w:jc w:val="left"/>
              <w:rPr>
                <w:rFonts w:ascii="宋体" w:hAnsi="宋体" w:cs="宋体"/>
                <w:kern w:val="0"/>
                <w:szCs w:val="21"/>
              </w:rPr>
            </w:pPr>
            <w:r>
              <w:rPr>
                <w:rFonts w:hint="eastAsia" w:ascii="宋体" w:hAnsi="宋体" w:cs="宋体"/>
                <w:kern w:val="0"/>
                <w:szCs w:val="21"/>
                <w:highlight w:val="none"/>
              </w:rPr>
              <w:t>（11）</w:t>
            </w:r>
            <w:r>
              <w:rPr>
                <w:rFonts w:hint="eastAsia" w:ascii="宋体" w:hAnsi="宋体"/>
                <w:highlight w:val="none"/>
              </w:rPr>
              <w:t>投标保证金递交证明资料（汇款凭</w:t>
            </w:r>
            <w:r>
              <w:rPr>
                <w:rFonts w:hint="eastAsia" w:ascii="宋体" w:hAnsi="宋体"/>
              </w:rPr>
              <w:t>证或代理公司出具的投标保证金收据或投标保函）</w:t>
            </w:r>
            <w:r>
              <w:rPr>
                <w:rFonts w:hint="eastAsia" w:ascii="宋体" w:hAnsi="宋体" w:cs="宋体"/>
                <w:kern w:val="0"/>
                <w:szCs w:val="21"/>
              </w:rPr>
              <w:t>；</w:t>
            </w:r>
          </w:p>
          <w:p>
            <w:pPr>
              <w:widowControl/>
              <w:spacing w:line="360" w:lineRule="exact"/>
              <w:jc w:val="left"/>
              <w:rPr>
                <w:rFonts w:ascii="宋体" w:hAnsi="宋体" w:cs="宋体"/>
                <w:kern w:val="0"/>
                <w:szCs w:val="21"/>
              </w:rPr>
            </w:pPr>
            <w:r>
              <w:rPr>
                <w:rFonts w:hint="eastAsia" w:ascii="宋体" w:hAnsi="宋体" w:cs="宋体"/>
                <w:kern w:val="0"/>
                <w:szCs w:val="21"/>
              </w:rPr>
              <w:t>（12）从未在新疆维吾尔自治区地州级范围内使用过的疫苗，须有小范围田间试验，并提供新疆维吾尔自治区或相关省份畜牧兽医主管部门出具的免疫效果检验评估报告；</w:t>
            </w:r>
          </w:p>
          <w:p>
            <w:pPr>
              <w:widowControl/>
              <w:spacing w:line="360" w:lineRule="exact"/>
              <w:jc w:val="left"/>
              <w:rPr>
                <w:rFonts w:ascii="宋体" w:hAnsi="宋体" w:cs="宋体"/>
                <w:kern w:val="0"/>
                <w:szCs w:val="21"/>
              </w:rPr>
            </w:pPr>
            <w:r>
              <w:rPr>
                <w:rFonts w:hint="eastAsia" w:ascii="宋体" w:hAnsi="宋体" w:cs="宋体"/>
                <w:kern w:val="0"/>
                <w:szCs w:val="21"/>
              </w:rPr>
              <w:t>开标顺序：以递交投标文件的确认收到时间正顺序依次唱标。</w:t>
            </w:r>
          </w:p>
          <w:p>
            <w:pPr>
              <w:jc w:val="left"/>
              <w:rPr>
                <w:rFonts w:ascii="宋体" w:hAnsi="宋体" w:cs="宋体"/>
                <w:b/>
                <w:bCs/>
                <w:kern w:val="0"/>
                <w:szCs w:val="21"/>
              </w:rPr>
            </w:pPr>
            <w:r>
              <w:rPr>
                <w:rFonts w:hint="eastAsia" w:ascii="宋体" w:hAnsi="宋体" w:cs="宋体"/>
                <w:b/>
                <w:bCs/>
                <w:szCs w:val="21"/>
              </w:rPr>
              <w:t>备注：</w:t>
            </w:r>
            <w:r>
              <w:rPr>
                <w:rFonts w:hint="eastAsia" w:ascii="宋体" w:hAnsi="宋体"/>
                <w:b/>
                <w:bCs/>
                <w:szCs w:val="21"/>
              </w:rPr>
              <w:t>上述证件原件扫描加盖公章或电子章，证件齐全有效满足要求的投标人为有效投标人；上述证件的公证件，本次招标不予认可</w:t>
            </w:r>
            <w:r>
              <w:rPr>
                <w:rFonts w:hint="eastAsia" w:ascii="宋体" w:hAnsi="宋体" w:cs="宋体"/>
                <w:b/>
                <w:bCs/>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16</w:t>
            </w:r>
          </w:p>
        </w:tc>
        <w:tc>
          <w:tcPr>
            <w:tcW w:w="1531" w:type="dxa"/>
            <w:vAlign w:val="center"/>
          </w:tcPr>
          <w:p>
            <w:pPr>
              <w:spacing w:line="360" w:lineRule="exact"/>
              <w:jc w:val="center"/>
              <w:rPr>
                <w:rFonts w:ascii="宋体" w:hAnsi="宋体"/>
                <w:szCs w:val="21"/>
              </w:rPr>
            </w:pPr>
            <w:r>
              <w:rPr>
                <w:rFonts w:hint="eastAsia" w:ascii="宋体" w:hAnsi="宋体"/>
                <w:szCs w:val="21"/>
              </w:rPr>
              <w:t>评标委员会的组建</w:t>
            </w:r>
          </w:p>
        </w:tc>
        <w:tc>
          <w:tcPr>
            <w:tcW w:w="7680" w:type="dxa"/>
            <w:vAlign w:val="center"/>
          </w:tcPr>
          <w:p>
            <w:pPr>
              <w:spacing w:line="360" w:lineRule="exact"/>
              <w:rPr>
                <w:rFonts w:ascii="宋体" w:hAnsi="宋体"/>
                <w:szCs w:val="21"/>
              </w:rPr>
            </w:pPr>
            <w:r>
              <w:rPr>
                <w:rFonts w:hint="eastAsia" w:ascii="宋体" w:hAnsi="宋体"/>
                <w:szCs w:val="21"/>
              </w:rPr>
              <w:t>评标委员会构成：5人，其中采购人代表1人，评标专家4人。</w:t>
            </w:r>
          </w:p>
          <w:p>
            <w:pPr>
              <w:spacing w:line="360" w:lineRule="exact"/>
              <w:rPr>
                <w:rFonts w:ascii="宋体" w:hAnsi="宋体"/>
                <w:szCs w:val="21"/>
              </w:rPr>
            </w:pPr>
            <w:r>
              <w:rPr>
                <w:rFonts w:hint="eastAsia" w:ascii="宋体" w:hAnsi="宋体"/>
                <w:szCs w:val="21"/>
              </w:rPr>
              <w:t>评标专家确定方式：评标专家由随机抽取的方式确定。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77" w:hRule="atLeast"/>
          <w:jc w:val="center"/>
        </w:trPr>
        <w:tc>
          <w:tcPr>
            <w:tcW w:w="648" w:type="dxa"/>
            <w:vAlign w:val="center"/>
          </w:tcPr>
          <w:p>
            <w:pPr>
              <w:jc w:val="center"/>
              <w:rPr>
                <w:rFonts w:ascii="宋体" w:hAnsi="宋体"/>
                <w:kern w:val="0"/>
                <w:szCs w:val="21"/>
              </w:rPr>
            </w:pPr>
            <w:r>
              <w:rPr>
                <w:rFonts w:hint="eastAsia" w:ascii="宋体" w:hAnsi="宋体"/>
                <w:kern w:val="0"/>
                <w:szCs w:val="21"/>
              </w:rPr>
              <w:t>17</w:t>
            </w:r>
          </w:p>
        </w:tc>
        <w:tc>
          <w:tcPr>
            <w:tcW w:w="1531" w:type="dxa"/>
            <w:vAlign w:val="center"/>
          </w:tcPr>
          <w:p>
            <w:pPr>
              <w:spacing w:line="360" w:lineRule="exact"/>
              <w:jc w:val="center"/>
              <w:rPr>
                <w:rFonts w:ascii="宋体" w:hAnsi="宋体"/>
                <w:szCs w:val="21"/>
              </w:rPr>
            </w:pPr>
            <w:r>
              <w:rPr>
                <w:rFonts w:hint="eastAsia" w:ascii="宋体" w:hAnsi="宋体"/>
                <w:szCs w:val="21"/>
              </w:rPr>
              <w:t>是否采用电子招标投标</w:t>
            </w:r>
          </w:p>
        </w:tc>
        <w:tc>
          <w:tcPr>
            <w:tcW w:w="7680" w:type="dxa"/>
          </w:tcPr>
          <w:p>
            <w:pPr>
              <w:spacing w:line="360" w:lineRule="exact"/>
              <w:rPr>
                <w:rFonts w:ascii="宋体" w:hAnsi="宋体"/>
                <w:szCs w:val="21"/>
              </w:rPr>
            </w:pPr>
            <w:r>
              <w:rPr>
                <w:rFonts w:hint="eastAsia" w:ascii="宋体" w:hAnsi="宋体"/>
                <w:szCs w:val="21"/>
              </w:rPr>
              <w:t>□否</w:t>
            </w:r>
          </w:p>
          <w:p>
            <w:pPr>
              <w:adjustRightInd w:val="0"/>
              <w:snapToGrid w:val="0"/>
              <w:spacing w:line="400" w:lineRule="exact"/>
              <w:rPr>
                <w:rFonts w:ascii="宋体" w:hAnsi="宋体"/>
                <w:szCs w:val="21"/>
              </w:rPr>
            </w:pPr>
            <w:r>
              <w:rPr>
                <w:rFonts w:hint="eastAsia" w:ascii="宋体" w:hAnsi="宋体"/>
                <w:szCs w:val="21"/>
              </w:rPr>
              <w:t>■是，具体要求：</w:t>
            </w:r>
          </w:p>
          <w:p>
            <w:pPr>
              <w:adjustRightInd w:val="0"/>
              <w:snapToGrid w:val="0"/>
              <w:spacing w:line="400" w:lineRule="exact"/>
              <w:rPr>
                <w:rFonts w:ascii="宋体" w:hAnsi="宋体"/>
                <w:szCs w:val="24"/>
              </w:rPr>
            </w:pPr>
            <w:r>
              <w:rPr>
                <w:rFonts w:hint="eastAsia" w:ascii="Times New Roman" w:hAnsi="Times New Roman"/>
                <w:b/>
                <w:bCs/>
                <w:szCs w:val="24"/>
              </w:rPr>
              <w:t>1、</w:t>
            </w:r>
            <w:r>
              <w:rPr>
                <w:rFonts w:hint="eastAsia" w:ascii="宋体" w:hAnsi="宋体"/>
                <w:b/>
                <w:bCs/>
                <w:szCs w:val="24"/>
              </w:rPr>
              <w:t>投标文件解密时间：</w:t>
            </w:r>
            <w:r>
              <w:rPr>
                <w:rFonts w:hint="eastAsia" w:ascii="宋体" w:hAnsi="宋体"/>
                <w:szCs w:val="24"/>
              </w:rPr>
              <w:t>投标文件解密时间30分钟，开标前需投标单位</w:t>
            </w:r>
            <w:r>
              <w:rPr>
                <w:rFonts w:hint="eastAsia" w:ascii="宋体" w:hAnsi="宋体"/>
                <w:b/>
                <w:szCs w:val="21"/>
                <w:u w:val="single"/>
              </w:rPr>
              <w:t>用CA证书登录政采云平台开标大</w:t>
            </w:r>
            <w:r>
              <w:rPr>
                <w:rFonts w:hint="eastAsia" w:ascii="宋体" w:hAnsi="宋体"/>
                <w:szCs w:val="24"/>
              </w:rPr>
              <w:t>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adjustRightInd w:val="0"/>
              <w:snapToGrid w:val="0"/>
              <w:spacing w:line="400" w:lineRule="exact"/>
              <w:rPr>
                <w:rFonts w:ascii="宋体" w:hAnsi="宋体"/>
                <w:szCs w:val="24"/>
              </w:rPr>
            </w:pPr>
            <w:r>
              <w:rPr>
                <w:rFonts w:hint="eastAsia" w:ascii="宋体" w:hAnsi="宋体"/>
                <w:b/>
                <w:bCs/>
                <w:szCs w:val="24"/>
              </w:rPr>
              <w:t>2、供应商报价CA签字确认：</w:t>
            </w:r>
            <w:r>
              <w:rPr>
                <w:rFonts w:hint="eastAsia" w:ascii="宋体" w:hAnsi="宋体"/>
                <w:szCs w:val="24"/>
              </w:rPr>
              <w:t>报价文件开启后将开启签字时段，供应商须在20分钟内用CA证书对报价进行签字确认。</w:t>
            </w:r>
          </w:p>
          <w:p>
            <w:pPr>
              <w:adjustRightInd w:val="0"/>
              <w:snapToGrid w:val="0"/>
              <w:spacing w:line="400" w:lineRule="exact"/>
              <w:rPr>
                <w:rFonts w:ascii="宋体" w:hAnsi="宋体"/>
                <w:b/>
                <w:bCs/>
                <w:szCs w:val="24"/>
              </w:rPr>
            </w:pPr>
            <w:r>
              <w:rPr>
                <w:rFonts w:hint="eastAsia" w:ascii="宋体" w:hAnsi="宋体"/>
                <w:b/>
                <w:bCs/>
                <w:szCs w:val="24"/>
              </w:rPr>
              <w:t>3、备注:</w:t>
            </w:r>
          </w:p>
          <w:p>
            <w:pPr>
              <w:adjustRightInd w:val="0"/>
              <w:snapToGrid w:val="0"/>
              <w:spacing w:line="400" w:lineRule="exact"/>
              <w:rPr>
                <w:rFonts w:ascii="宋体" w:hAnsi="宋体"/>
                <w:szCs w:val="24"/>
              </w:rPr>
            </w:pPr>
            <w:r>
              <w:rPr>
                <w:rFonts w:hint="eastAsia" w:ascii="宋体" w:hAnsi="宋体"/>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adjustRightInd w:val="0"/>
              <w:snapToGrid w:val="0"/>
              <w:spacing w:line="400" w:lineRule="exact"/>
              <w:rPr>
                <w:rFonts w:ascii="宋体" w:hAnsi="宋体"/>
                <w:szCs w:val="24"/>
              </w:rPr>
            </w:pPr>
            <w:r>
              <w:rPr>
                <w:rFonts w:hint="eastAsia" w:ascii="宋体" w:hAnsi="宋体"/>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rPr>
                <w:rFonts w:ascii="宋体" w:hAnsi="宋体"/>
                <w:szCs w:val="24"/>
              </w:rPr>
            </w:pPr>
            <w:r>
              <w:rPr>
                <w:rFonts w:hint="eastAsia" w:ascii="宋体" w:hAnsi="宋体"/>
                <w:szCs w:val="24"/>
              </w:rPr>
              <w:t>（3）供应商应当在投标截止时间前，将“电子招投标供应商客户端”生成的“电子加密投标文件”上传电子交易平台。</w:t>
            </w:r>
          </w:p>
          <w:p>
            <w:pPr>
              <w:spacing w:line="360" w:lineRule="exact"/>
              <w:rPr>
                <w:rFonts w:ascii="宋体" w:hAnsi="宋体"/>
                <w:szCs w:val="21"/>
              </w:rPr>
            </w:pPr>
            <w:r>
              <w:rPr>
                <w:rFonts w:hint="eastAsia" w:ascii="宋体" w:hAnsi="宋体"/>
                <w:szCs w:val="24"/>
              </w:rPr>
              <w:t>（5）服务与支持。各政府采购代理机构（含集采机构）及供应商对不见面开评标系统的技术操作咨询，可通过</w:t>
            </w:r>
            <w:r>
              <w:fldChar w:fldCharType="begin"/>
            </w:r>
            <w:r>
              <w:instrText xml:space="preserve"> HYPERLINK "https://edu.zcygov.cn/luban/xinjiang-e-biding" </w:instrText>
            </w:r>
            <w:r>
              <w:fldChar w:fldCharType="separate"/>
            </w:r>
            <w:r>
              <w:rPr>
                <w:rFonts w:hint="eastAsia" w:ascii="宋体" w:hAnsi="宋体"/>
                <w:szCs w:val="24"/>
              </w:rPr>
              <w:t>https://edu.zcygov.cn/luban/xinjiang-e-biding</w:t>
            </w:r>
            <w:r>
              <w:rPr>
                <w:rFonts w:hint="eastAsia" w:ascii="宋体" w:hAnsi="宋体"/>
                <w:szCs w:val="24"/>
              </w:rPr>
              <w:fldChar w:fldCharType="end"/>
            </w:r>
            <w:r>
              <w:rPr>
                <w:rFonts w:hint="eastAsia" w:ascii="宋体" w:hAnsi="宋体"/>
                <w:szCs w:val="24"/>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ascii="宋体" w:hAnsi="宋体"/>
                <w:szCs w:val="24"/>
              </w:rPr>
              <w:t>https://service.zcygov.cn/#/help</w:t>
            </w:r>
            <w:r>
              <w:rPr>
                <w:rFonts w:hint="eastAsia" w:ascii="宋体" w:hAnsi="宋体"/>
                <w:szCs w:val="24"/>
              </w:rPr>
              <w:fldChar w:fldCharType="end"/>
            </w:r>
            <w:r>
              <w:rPr>
                <w:rFonts w:hint="eastAsia" w:ascii="宋体" w:hAnsi="宋体"/>
                <w:szCs w:val="24"/>
              </w:rPr>
              <w:t>，“项目采购—操作流程—电子招投标—政府采购项目电子交易管理操作指南-供应商”版面获取操作指南，同时对自助查询无法解决的问题可通过钉钉群及政采云在线客服获取服务支</w:t>
            </w:r>
            <w:r>
              <w:rPr>
                <w:rFonts w:ascii="宋体" w:hAnsi="宋体"/>
                <w:szCs w:val="24"/>
              </w:rPr>
              <w:t>持。</w:t>
            </w:r>
            <w:r>
              <w:rPr>
                <w:rFonts w:hint="eastAsia" w:ascii="宋体" w:hAnsi="宋体"/>
                <w:szCs w:val="24"/>
              </w:rPr>
              <w:t>政采云热线人工号码：95763（工作时间：工作日08:00~20：00）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4" w:hRule="atLeast"/>
          <w:jc w:val="center"/>
        </w:trPr>
        <w:tc>
          <w:tcPr>
            <w:tcW w:w="648" w:type="dxa"/>
            <w:vAlign w:val="center"/>
          </w:tcPr>
          <w:p>
            <w:pPr>
              <w:jc w:val="center"/>
              <w:rPr>
                <w:rFonts w:ascii="宋体" w:hAnsi="宋体"/>
                <w:kern w:val="0"/>
                <w:szCs w:val="21"/>
              </w:rPr>
            </w:pPr>
            <w:r>
              <w:rPr>
                <w:rFonts w:hint="eastAsia" w:ascii="宋体" w:hAnsi="宋体"/>
                <w:kern w:val="0"/>
                <w:szCs w:val="21"/>
              </w:rPr>
              <w:t>18</w:t>
            </w:r>
          </w:p>
        </w:tc>
        <w:tc>
          <w:tcPr>
            <w:tcW w:w="1531" w:type="dxa"/>
            <w:vAlign w:val="center"/>
          </w:tcPr>
          <w:p>
            <w:pPr>
              <w:keepNext/>
              <w:widowControl/>
              <w:jc w:val="distribute"/>
              <w:rPr>
                <w:rFonts w:ascii="宋体" w:hAnsi="宋体" w:cs="黑体"/>
                <w:kern w:val="0"/>
                <w:szCs w:val="21"/>
              </w:rPr>
            </w:pPr>
            <w:r>
              <w:rPr>
                <w:rFonts w:hint="eastAsia" w:ascii="宋体" w:hAnsi="宋体" w:cs="黑体"/>
                <w:kern w:val="0"/>
                <w:szCs w:val="21"/>
              </w:rPr>
              <w:t>投标人应考虑多方因素</w:t>
            </w:r>
          </w:p>
        </w:tc>
        <w:tc>
          <w:tcPr>
            <w:tcW w:w="7680" w:type="dxa"/>
            <w:vAlign w:val="center"/>
          </w:tcPr>
          <w:p>
            <w:pPr>
              <w:spacing w:line="360" w:lineRule="exact"/>
              <w:jc w:val="left"/>
              <w:rPr>
                <w:rFonts w:ascii="宋体" w:hAnsi="宋体"/>
                <w:b/>
                <w:bCs/>
                <w:szCs w:val="21"/>
              </w:rPr>
            </w:pPr>
            <w:r>
              <w:rPr>
                <w:rFonts w:hint="eastAsia" w:ascii="宋体" w:hAnsi="宋体"/>
                <w:b/>
                <w:bCs/>
                <w:szCs w:val="21"/>
              </w:rPr>
              <w:t>1.采购人根据中标企业生产规模、供货能力、社会公认度及工作实际需要情况综合分配供货比例；</w:t>
            </w:r>
          </w:p>
          <w:p>
            <w:pPr>
              <w:spacing w:line="360" w:lineRule="exact"/>
              <w:jc w:val="left"/>
              <w:rPr>
                <w:rFonts w:ascii="宋体" w:hAnsi="宋体"/>
                <w:b/>
                <w:bCs/>
                <w:szCs w:val="21"/>
              </w:rPr>
            </w:pPr>
            <w:r>
              <w:rPr>
                <w:rFonts w:hint="eastAsia" w:ascii="宋体" w:hAnsi="宋体"/>
                <w:b/>
                <w:bCs/>
                <w:szCs w:val="21"/>
              </w:rPr>
              <w:t>2.国家政策调整或取消该招标品种的，该品种将不再列入招标计划或如果已经进行了招标的该品种将作为无效招标处理，由此产生的一切费用和损失由投标人承担，采购人不承担任何责任；</w:t>
            </w:r>
          </w:p>
          <w:p>
            <w:pPr>
              <w:widowControl/>
              <w:spacing w:line="360" w:lineRule="exact"/>
              <w:jc w:val="left"/>
              <w:rPr>
                <w:rFonts w:ascii="宋体" w:hAnsi="宋体"/>
                <w:b/>
                <w:bCs/>
                <w:szCs w:val="21"/>
              </w:rPr>
            </w:pPr>
            <w:r>
              <w:rPr>
                <w:rFonts w:hint="eastAsia" w:ascii="宋体" w:hAnsi="宋体"/>
                <w:b/>
                <w:bCs/>
                <w:szCs w:val="21"/>
              </w:rPr>
              <w:t>3、质保期：除“产品需求一览表”载明的特殊规定外，本项目质保期不得少于9个月；</w:t>
            </w:r>
          </w:p>
          <w:p>
            <w:pPr>
              <w:widowControl/>
              <w:spacing w:line="360" w:lineRule="exact"/>
              <w:jc w:val="left"/>
              <w:rPr>
                <w:rFonts w:ascii="宋体" w:hAnsi="宋体"/>
                <w:b/>
                <w:bCs/>
                <w:szCs w:val="21"/>
              </w:rPr>
            </w:pPr>
            <w:r>
              <w:rPr>
                <w:rFonts w:hint="eastAsia" w:ascii="宋体" w:hAnsi="宋体"/>
                <w:b/>
                <w:bCs/>
                <w:szCs w:val="21"/>
              </w:rPr>
              <w:t>4、质量要求：合格；</w:t>
            </w:r>
          </w:p>
          <w:p>
            <w:pPr>
              <w:widowControl/>
              <w:spacing w:line="360" w:lineRule="exact"/>
              <w:jc w:val="left"/>
              <w:rPr>
                <w:rFonts w:ascii="宋体" w:hAnsi="宋体"/>
                <w:b/>
                <w:bCs/>
                <w:szCs w:val="21"/>
              </w:rPr>
            </w:pPr>
            <w:r>
              <w:rPr>
                <w:rFonts w:hint="eastAsia" w:ascii="宋体" w:hAnsi="宋体"/>
                <w:b/>
                <w:bCs/>
                <w:szCs w:val="21"/>
              </w:rPr>
              <w:t>5、售后服务响应时间：本项目的售后服务响应时间为2小时；</w:t>
            </w:r>
          </w:p>
          <w:p>
            <w:pPr>
              <w:widowControl/>
              <w:spacing w:line="360" w:lineRule="exact"/>
              <w:jc w:val="left"/>
              <w:rPr>
                <w:rFonts w:ascii="宋体" w:hAnsi="宋体"/>
                <w:b/>
                <w:bCs/>
                <w:szCs w:val="21"/>
              </w:rPr>
            </w:pPr>
            <w:r>
              <w:rPr>
                <w:rFonts w:hint="eastAsia" w:ascii="宋体" w:hAnsi="宋体"/>
                <w:b/>
                <w:bCs/>
                <w:szCs w:val="21"/>
              </w:rPr>
              <w:t>6、为确保投标人充分了解采购需求，投标人须认真阅读第五章供货需求；</w:t>
            </w:r>
          </w:p>
          <w:p>
            <w:pPr>
              <w:pStyle w:val="2"/>
              <w:spacing w:before="0" w:line="360" w:lineRule="exact"/>
              <w:jc w:val="left"/>
              <w:rPr>
                <w:rFonts w:ascii="宋体" w:hAnsi="宋体" w:eastAsia="宋体"/>
                <w:bCs/>
                <w:kern w:val="2"/>
                <w:sz w:val="21"/>
                <w:szCs w:val="21"/>
              </w:rPr>
            </w:pPr>
            <w:r>
              <w:rPr>
                <w:rFonts w:hint="eastAsia" w:ascii="宋体" w:hAnsi="宋体" w:eastAsia="宋体"/>
                <w:bCs/>
                <w:kern w:val="2"/>
                <w:sz w:val="21"/>
                <w:szCs w:val="21"/>
              </w:rPr>
              <w:t>7、投标文件中描述的投标货物参数与投标人提供的产品实物必须完全吻合，严禁弄虚作假以次充好骗取评标加分；如投标人违反上述规定，评标委员会将否决其投标，采购人将没收其投标保证金并提请行业监管部门将该投标人列入“严重违法失信行为记录名单”中，三年内禁止参加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4" w:hRule="atLeast"/>
          <w:jc w:val="center"/>
        </w:trPr>
        <w:tc>
          <w:tcPr>
            <w:tcW w:w="648" w:type="dxa"/>
            <w:vAlign w:val="center"/>
          </w:tcPr>
          <w:p>
            <w:pPr>
              <w:spacing w:line="360" w:lineRule="exact"/>
              <w:jc w:val="center"/>
              <w:rPr>
                <w:rFonts w:ascii="宋体" w:hAnsi="宋体"/>
                <w:szCs w:val="21"/>
              </w:rPr>
            </w:pPr>
            <w:r>
              <w:rPr>
                <w:rFonts w:hint="eastAsia" w:ascii="宋体" w:hAnsi="宋体"/>
                <w:szCs w:val="21"/>
              </w:rPr>
              <w:t>19</w:t>
            </w:r>
          </w:p>
        </w:tc>
        <w:tc>
          <w:tcPr>
            <w:tcW w:w="1531" w:type="dxa"/>
            <w:vAlign w:val="center"/>
          </w:tcPr>
          <w:p>
            <w:pPr>
              <w:spacing w:line="360" w:lineRule="exact"/>
              <w:jc w:val="center"/>
              <w:rPr>
                <w:rFonts w:ascii="宋体" w:hAnsi="宋体"/>
                <w:szCs w:val="21"/>
              </w:rPr>
            </w:pPr>
            <w:r>
              <w:rPr>
                <w:rFonts w:hint="eastAsia" w:ascii="宋体" w:hAnsi="宋体"/>
                <w:szCs w:val="21"/>
              </w:rPr>
              <w:t>采购代理费</w:t>
            </w:r>
          </w:p>
        </w:tc>
        <w:tc>
          <w:tcPr>
            <w:tcW w:w="7680" w:type="dxa"/>
          </w:tcPr>
          <w:p>
            <w:pPr>
              <w:pStyle w:val="49"/>
              <w:spacing w:line="360" w:lineRule="exact"/>
              <w:rPr>
                <w:rFonts w:ascii="宋体" w:hAnsi="宋体"/>
                <w:szCs w:val="21"/>
              </w:rPr>
            </w:pPr>
            <w:r>
              <w:rPr>
                <w:rFonts w:hint="eastAsia" w:ascii="宋体" w:hAnsi="宋体"/>
                <w:szCs w:val="21"/>
              </w:rPr>
              <w:t>采购代理费：20300.00元，由中标方向采购代理机构缴纳。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94" w:hRule="atLeast"/>
          <w:jc w:val="center"/>
        </w:trPr>
        <w:tc>
          <w:tcPr>
            <w:tcW w:w="648" w:type="dxa"/>
            <w:vAlign w:val="center"/>
          </w:tcPr>
          <w:p>
            <w:pPr>
              <w:spacing w:line="360" w:lineRule="exact"/>
              <w:jc w:val="center"/>
              <w:rPr>
                <w:rFonts w:ascii="宋体" w:hAnsi="宋体"/>
                <w:kern w:val="0"/>
                <w:szCs w:val="21"/>
              </w:rPr>
            </w:pPr>
            <w:r>
              <w:rPr>
                <w:rFonts w:hint="eastAsia" w:ascii="宋体" w:hAnsi="宋体"/>
                <w:szCs w:val="21"/>
              </w:rPr>
              <w:t>20</w:t>
            </w:r>
          </w:p>
        </w:tc>
        <w:tc>
          <w:tcPr>
            <w:tcW w:w="1531" w:type="dxa"/>
            <w:vAlign w:val="center"/>
          </w:tcPr>
          <w:p>
            <w:pPr>
              <w:spacing w:line="360" w:lineRule="exact"/>
              <w:jc w:val="center"/>
              <w:rPr>
                <w:rFonts w:ascii="宋体" w:hAnsi="宋体"/>
                <w:szCs w:val="21"/>
              </w:rPr>
            </w:pPr>
            <w:r>
              <w:rPr>
                <w:rFonts w:hint="eastAsia" w:ascii="宋体" w:hAnsi="宋体"/>
                <w:szCs w:val="21"/>
              </w:rPr>
              <w:t>本项目所属</w:t>
            </w:r>
          </w:p>
          <w:p>
            <w:pPr>
              <w:spacing w:line="360" w:lineRule="exact"/>
              <w:jc w:val="center"/>
              <w:rPr>
                <w:rFonts w:ascii="宋体" w:hAnsi="宋体" w:cs="黑体"/>
                <w:kern w:val="0"/>
                <w:szCs w:val="21"/>
              </w:rPr>
            </w:pPr>
            <w:r>
              <w:rPr>
                <w:rFonts w:hint="eastAsia" w:ascii="宋体" w:hAnsi="宋体"/>
                <w:szCs w:val="21"/>
              </w:rPr>
              <w:t>行业</w:t>
            </w:r>
          </w:p>
        </w:tc>
        <w:tc>
          <w:tcPr>
            <w:tcW w:w="7680" w:type="dxa"/>
            <w:vAlign w:val="center"/>
          </w:tcPr>
          <w:p>
            <w:pPr>
              <w:spacing w:line="360" w:lineRule="exact"/>
              <w:jc w:val="left"/>
              <w:rPr>
                <w:rFonts w:ascii="宋体" w:hAnsi="宋体"/>
                <w:b/>
                <w:bCs/>
                <w:szCs w:val="21"/>
              </w:rPr>
            </w:pPr>
            <w:r>
              <w:rPr>
                <w:rFonts w:hint="eastAsia" w:ascii="宋体" w:hAnsi="宋体"/>
                <w:szCs w:val="21"/>
              </w:rPr>
              <w:t>工业</w:t>
            </w:r>
          </w:p>
        </w:tc>
      </w:tr>
    </w:tbl>
    <w:p>
      <w:pPr>
        <w:ind w:firstLine="211" w:firstLineChars="100"/>
        <w:jc w:val="left"/>
        <w:rPr>
          <w:rFonts w:ascii="宋体" w:hAnsi="宋体"/>
          <w:b/>
          <w:bCs/>
          <w:szCs w:val="21"/>
        </w:rPr>
      </w:pPr>
      <w:r>
        <w:rPr>
          <w:rFonts w:hint="eastAsia" w:ascii="宋体" w:hAnsi="宋体"/>
          <w:b/>
          <w:bCs/>
          <w:szCs w:val="21"/>
        </w:rPr>
        <w:t>本表是本</w:t>
      </w:r>
      <w:r>
        <w:rPr>
          <w:rFonts w:ascii="宋体" w:hAnsi="宋体"/>
          <w:b/>
          <w:bCs/>
          <w:szCs w:val="21"/>
        </w:rPr>
        <w:t>招标项目</w:t>
      </w:r>
      <w:r>
        <w:rPr>
          <w:rFonts w:hint="eastAsia" w:ascii="宋体" w:hAnsi="宋体"/>
          <w:b/>
          <w:bCs/>
          <w:szCs w:val="21"/>
        </w:rPr>
        <w:t>的具体资料，是对投标人须知的具体补充和修改，如有矛盾，以本资料表为准。</w:t>
      </w:r>
      <w:bookmarkStart w:id="11" w:name="_Toc14733"/>
    </w:p>
    <w:p>
      <w:pPr>
        <w:jc w:val="center"/>
        <w:rPr>
          <w:rFonts w:hint="eastAsia" w:ascii="黑体" w:hAnsi="黑体" w:eastAsia="黑体" w:cs="黑体"/>
          <w:sz w:val="32"/>
          <w:szCs w:val="32"/>
        </w:rPr>
      </w:pPr>
    </w:p>
    <w:p>
      <w:pPr>
        <w:pStyle w:val="2"/>
        <w:rPr>
          <w:rFonts w:hint="eastAsia"/>
        </w:rPr>
      </w:pPr>
    </w:p>
    <w:p>
      <w:pPr>
        <w:pStyle w:val="3"/>
        <w:rPr>
          <w:rFonts w:hint="eastAsia"/>
        </w:rPr>
      </w:pPr>
    </w:p>
    <w:p>
      <w:pPr>
        <w:pStyle w:val="3"/>
        <w:rPr>
          <w:rFonts w:hint="eastAsia"/>
        </w:rPr>
      </w:pPr>
    </w:p>
    <w:p>
      <w:pPr>
        <w:pStyle w:val="3"/>
      </w:pPr>
    </w:p>
    <w:p>
      <w:pPr>
        <w:jc w:val="center"/>
        <w:rPr>
          <w:rFonts w:ascii="黑体" w:hAnsi="黑体" w:eastAsia="黑体" w:cs="黑体"/>
          <w:sz w:val="32"/>
          <w:szCs w:val="32"/>
        </w:rPr>
      </w:pPr>
      <w:r>
        <w:rPr>
          <w:rFonts w:hint="eastAsia" w:ascii="黑体" w:hAnsi="黑体" w:eastAsia="黑体" w:cs="黑体"/>
          <w:sz w:val="32"/>
          <w:szCs w:val="32"/>
        </w:rPr>
        <w:t>第三章 投标须知</w:t>
      </w:r>
      <w:bookmarkEnd w:id="11"/>
      <w:bookmarkStart w:id="12" w:name="_BookMark_2"/>
      <w:bookmarkEnd w:id="12"/>
    </w:p>
    <w:p>
      <w:pPr>
        <w:tabs>
          <w:tab w:val="center" w:pos="4832"/>
          <w:tab w:val="left" w:pos="7140"/>
        </w:tabs>
        <w:spacing w:line="360" w:lineRule="auto"/>
        <w:jc w:val="center"/>
        <w:outlineLvl w:val="1"/>
        <w:rPr>
          <w:rFonts w:ascii="宋体" w:hAnsi="宋体" w:cs="宋体"/>
          <w:b/>
          <w:szCs w:val="21"/>
        </w:rPr>
      </w:pPr>
      <w:bookmarkStart w:id="13" w:name="_Toc30774"/>
    </w:p>
    <w:p>
      <w:pPr>
        <w:tabs>
          <w:tab w:val="center" w:pos="4832"/>
          <w:tab w:val="left" w:pos="7140"/>
        </w:tabs>
        <w:spacing w:line="360" w:lineRule="auto"/>
        <w:jc w:val="center"/>
        <w:outlineLvl w:val="1"/>
        <w:rPr>
          <w:rFonts w:ascii="宋体" w:hAnsi="宋体" w:cs="宋体"/>
          <w:b/>
          <w:szCs w:val="21"/>
        </w:rPr>
      </w:pPr>
      <w:r>
        <w:rPr>
          <w:rFonts w:hint="eastAsia" w:ascii="宋体" w:hAnsi="宋体" w:cs="宋体"/>
          <w:b/>
          <w:szCs w:val="21"/>
        </w:rPr>
        <w:t>第一节 总则</w:t>
      </w:r>
      <w:bookmarkEnd w:id="13"/>
    </w:p>
    <w:p>
      <w:pPr>
        <w:widowControl/>
        <w:shd w:val="clear" w:color="auto" w:fill="FFFFFF"/>
        <w:snapToGrid w:val="0"/>
        <w:spacing w:line="360" w:lineRule="auto"/>
        <w:rPr>
          <w:rFonts w:ascii="宋体" w:hAnsi="宋体" w:cs="宋体"/>
          <w:b/>
          <w:bCs/>
          <w:kern w:val="0"/>
          <w:szCs w:val="21"/>
        </w:rPr>
      </w:pPr>
      <w:r>
        <w:rPr>
          <w:rFonts w:hint="eastAsia" w:ascii="宋体" w:hAnsi="宋体" w:cs="宋体"/>
          <w:b/>
          <w:bCs/>
          <w:kern w:val="0"/>
          <w:szCs w:val="21"/>
        </w:rPr>
        <w:t>1.1 项目适用范围</w:t>
      </w:r>
    </w:p>
    <w:p>
      <w:pPr>
        <w:spacing w:line="360" w:lineRule="auto"/>
        <w:ind w:firstLine="420" w:firstLineChars="200"/>
        <w:rPr>
          <w:rFonts w:ascii="宋体" w:hAnsi="宋体" w:cs="宋体"/>
          <w:szCs w:val="21"/>
        </w:rPr>
      </w:pPr>
      <w:r>
        <w:rPr>
          <w:rFonts w:hint="eastAsia" w:ascii="宋体" w:hAnsi="宋体"/>
          <w:szCs w:val="21"/>
        </w:rPr>
        <w:t>根据《中华人民共和国政府采购法》、《中华人民共和国政府采购法实施条例》、《政府采购货物和服务招标投标管理办法》（财政部令第87号）等有关法律、法规和规章的规定，本招标项目已具备招标条件，现对本次货物采购及服务进行招标。</w:t>
      </w:r>
    </w:p>
    <w:p>
      <w:pPr>
        <w:spacing w:line="360" w:lineRule="auto"/>
        <w:rPr>
          <w:rFonts w:ascii="宋体" w:hAnsi="宋体" w:cs="宋体"/>
          <w:b/>
          <w:bCs/>
          <w:szCs w:val="21"/>
        </w:rPr>
      </w:pPr>
      <w:r>
        <w:rPr>
          <w:rFonts w:hint="eastAsia" w:ascii="宋体" w:hAnsi="宋体" w:cs="宋体"/>
          <w:b/>
          <w:bCs/>
          <w:szCs w:val="21"/>
        </w:rPr>
        <w:t>1.2 项目的一般概述</w:t>
      </w:r>
    </w:p>
    <w:p>
      <w:pPr>
        <w:spacing w:line="360" w:lineRule="auto"/>
        <w:ind w:firstLine="420" w:firstLineChars="200"/>
        <w:rPr>
          <w:rFonts w:ascii="宋体" w:hAnsi="宋体" w:cs="宋体"/>
          <w:szCs w:val="21"/>
        </w:rPr>
      </w:pPr>
      <w:r>
        <w:rPr>
          <w:rFonts w:hint="eastAsia" w:ascii="宋体" w:hAnsi="宋体" w:cs="宋体"/>
          <w:szCs w:val="21"/>
        </w:rPr>
        <w:t>1.2.1 采购人：见投标人须知前附表</w:t>
      </w:r>
    </w:p>
    <w:p>
      <w:pPr>
        <w:spacing w:line="360" w:lineRule="auto"/>
        <w:ind w:firstLine="420" w:firstLineChars="200"/>
        <w:rPr>
          <w:rFonts w:ascii="宋体" w:hAnsi="宋体" w:cs="宋体"/>
          <w:szCs w:val="21"/>
        </w:rPr>
      </w:pPr>
      <w:r>
        <w:rPr>
          <w:rFonts w:hint="eastAsia" w:ascii="宋体" w:hAnsi="宋体" w:cs="宋体"/>
          <w:szCs w:val="21"/>
        </w:rPr>
        <w:t>1.2.2 采购代理机构：见投标人须知前附表</w:t>
      </w:r>
    </w:p>
    <w:p>
      <w:pPr>
        <w:spacing w:line="360" w:lineRule="auto"/>
        <w:ind w:firstLine="420" w:firstLineChars="200"/>
        <w:rPr>
          <w:rFonts w:ascii="宋体" w:hAnsi="宋体" w:cs="宋体"/>
          <w:szCs w:val="21"/>
        </w:rPr>
      </w:pPr>
      <w:r>
        <w:rPr>
          <w:rFonts w:hint="eastAsia" w:ascii="宋体" w:hAnsi="宋体" w:cs="宋体"/>
          <w:szCs w:val="21"/>
        </w:rPr>
        <w:t>1.2.3 项目名称、编号、地址：见投标人须知前附表</w:t>
      </w:r>
    </w:p>
    <w:p>
      <w:pPr>
        <w:spacing w:line="360" w:lineRule="auto"/>
        <w:ind w:firstLine="420" w:firstLineChars="200"/>
        <w:rPr>
          <w:rFonts w:ascii="宋体" w:hAnsi="宋体" w:cs="宋体"/>
          <w:szCs w:val="21"/>
        </w:rPr>
      </w:pPr>
      <w:r>
        <w:rPr>
          <w:rFonts w:hint="eastAsia" w:ascii="宋体" w:hAnsi="宋体" w:cs="宋体"/>
          <w:szCs w:val="21"/>
        </w:rPr>
        <w:t>1.2.4 供货时间、地址：见投标人须知前附表</w:t>
      </w:r>
    </w:p>
    <w:p>
      <w:pPr>
        <w:spacing w:line="360" w:lineRule="auto"/>
        <w:ind w:firstLine="420" w:firstLineChars="200"/>
        <w:rPr>
          <w:rFonts w:ascii="宋体" w:hAnsi="宋体" w:cs="宋体"/>
          <w:szCs w:val="21"/>
        </w:rPr>
      </w:pPr>
      <w:r>
        <w:rPr>
          <w:rFonts w:hint="eastAsia" w:ascii="宋体" w:hAnsi="宋体" w:cs="宋体"/>
          <w:szCs w:val="21"/>
        </w:rPr>
        <w:t>1.2.5 采购需求：见投标人须知前附表</w:t>
      </w:r>
    </w:p>
    <w:p>
      <w:pPr>
        <w:spacing w:line="360" w:lineRule="auto"/>
        <w:ind w:firstLine="420" w:firstLineChars="200"/>
        <w:rPr>
          <w:rFonts w:ascii="宋体" w:hAnsi="宋体" w:cs="宋体"/>
          <w:szCs w:val="21"/>
        </w:rPr>
      </w:pPr>
      <w:r>
        <w:rPr>
          <w:rFonts w:hint="eastAsia" w:ascii="宋体" w:hAnsi="宋体" w:cs="宋体"/>
          <w:szCs w:val="21"/>
        </w:rPr>
        <w:t>1.2.6 投标人应考虑多方因素：见投标人须知前附表。</w:t>
      </w:r>
    </w:p>
    <w:p>
      <w:pPr>
        <w:widowControl/>
        <w:shd w:val="clear" w:color="auto" w:fill="FFFFFF"/>
        <w:snapToGrid w:val="0"/>
        <w:spacing w:line="360" w:lineRule="auto"/>
        <w:rPr>
          <w:rFonts w:ascii="宋体" w:hAnsi="宋体" w:cs="Arial"/>
          <w:b/>
          <w:bCs/>
          <w:kern w:val="0"/>
          <w:szCs w:val="21"/>
        </w:rPr>
      </w:pPr>
      <w:r>
        <w:rPr>
          <w:rFonts w:hint="eastAsia" w:ascii="宋体" w:hAnsi="宋体" w:cs="宋体"/>
          <w:b/>
          <w:bCs/>
          <w:szCs w:val="21"/>
        </w:rPr>
        <w:t xml:space="preserve">1.3 </w:t>
      </w:r>
      <w:r>
        <w:rPr>
          <w:rFonts w:hint="eastAsia" w:ascii="宋体" w:hAnsi="宋体" w:cs="Arial"/>
          <w:b/>
          <w:bCs/>
          <w:kern w:val="0"/>
          <w:szCs w:val="21"/>
        </w:rPr>
        <w:t>费用承担</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1.3.1招标文件费：见投标人须知前附表。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1.3.2</w:t>
      </w:r>
      <w:r>
        <w:rPr>
          <w:rFonts w:hint="eastAsia" w:ascii="宋体" w:hAnsi="宋体" w:cstheme="majorEastAsia"/>
          <w:szCs w:val="21"/>
        </w:rPr>
        <w:t>投标人自行承担响应招标、参加投标竞争的一切费用。不论投标的结果如何，采购人或采购代理机构在任何情况下均无义务和责任,承担因投标所发生的一切费用。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1.3.3</w:t>
      </w:r>
      <w:r>
        <w:rPr>
          <w:rFonts w:ascii="宋体" w:hAnsi="宋体" w:cs="Arial"/>
          <w:szCs w:val="21"/>
        </w:rPr>
        <w:t>招标代理服务费</w:t>
      </w:r>
      <w:r>
        <w:rPr>
          <w:rFonts w:hint="eastAsia" w:ascii="宋体" w:hAnsi="宋体" w:cs="Arial"/>
          <w:szCs w:val="21"/>
        </w:rPr>
        <w:t>在中标结果公告发出后2个工作日内</w:t>
      </w:r>
      <w:r>
        <w:rPr>
          <w:rFonts w:ascii="宋体" w:hAnsi="宋体" w:cs="Arial"/>
          <w:szCs w:val="21"/>
        </w:rPr>
        <w:t>由</w:t>
      </w:r>
      <w:r>
        <w:rPr>
          <w:rFonts w:hint="eastAsia" w:ascii="宋体" w:hAnsi="宋体" w:cs="Arial"/>
          <w:szCs w:val="21"/>
        </w:rPr>
        <w:t>中标企业</w:t>
      </w:r>
      <w:r>
        <w:rPr>
          <w:rFonts w:ascii="宋体" w:hAnsi="宋体" w:cs="Arial"/>
          <w:szCs w:val="21"/>
        </w:rPr>
        <w:t>支付</w:t>
      </w:r>
      <w:r>
        <w:rPr>
          <w:rFonts w:hint="eastAsia" w:ascii="宋体" w:hAnsi="宋体" w:cstheme="majorEastAsia"/>
          <w:szCs w:val="21"/>
        </w:rPr>
        <w:t>。</w:t>
      </w:r>
    </w:p>
    <w:p>
      <w:pPr>
        <w:pStyle w:val="4"/>
        <w:spacing w:line="360" w:lineRule="auto"/>
        <w:ind w:firstLineChars="200"/>
        <w:rPr>
          <w:rFonts w:ascii="宋体" w:hAnsi="宋体"/>
          <w:szCs w:val="21"/>
        </w:rPr>
      </w:pPr>
      <w:r>
        <w:rPr>
          <w:rFonts w:hint="eastAsia" w:ascii="宋体" w:hAnsi="宋体" w:cs="Arial"/>
          <w:kern w:val="0"/>
          <w:szCs w:val="21"/>
        </w:rPr>
        <w:t>1.3.4</w:t>
      </w:r>
      <w:r>
        <w:rPr>
          <w:rFonts w:hint="eastAsia" w:ascii="宋体" w:hAnsi="宋体" w:cs="宋体"/>
          <w:szCs w:val="21"/>
        </w:rPr>
        <w:t>如</w:t>
      </w:r>
      <w:r>
        <w:rPr>
          <w:rFonts w:hint="eastAsia" w:ascii="宋体" w:hAnsi="宋体" w:cs="Arial"/>
          <w:szCs w:val="21"/>
        </w:rPr>
        <w:t>中标企业</w:t>
      </w:r>
      <w:r>
        <w:rPr>
          <w:rFonts w:hint="eastAsia" w:ascii="宋体" w:hAnsi="宋体" w:cs="宋体"/>
          <w:szCs w:val="21"/>
        </w:rPr>
        <w:t>未在规定时间内向采购代理机构支付招标代理服务费，</w:t>
      </w:r>
      <w:r>
        <w:rPr>
          <w:rFonts w:hint="eastAsia" w:ascii="宋体" w:hAnsi="宋体" w:cs="Arial"/>
          <w:szCs w:val="21"/>
        </w:rPr>
        <w:t>中标企业承诺同意应当支付的招标代理服务费从其</w:t>
      </w:r>
      <w:r>
        <w:rPr>
          <w:rFonts w:hint="eastAsia" w:ascii="宋体" w:hAnsi="宋体" w:cs="宋体"/>
          <w:szCs w:val="21"/>
        </w:rPr>
        <w:t>递交的投标保证金中扣除</w:t>
      </w:r>
      <w:r>
        <w:rPr>
          <w:rFonts w:hint="eastAsia" w:ascii="宋体" w:hAnsi="宋体" w:cstheme="minorEastAsia"/>
          <w:szCs w:val="21"/>
        </w:rPr>
        <w:t>。</w:t>
      </w:r>
    </w:p>
    <w:p>
      <w:pPr>
        <w:widowControl/>
        <w:shd w:val="clear" w:color="auto" w:fill="FFFFFF"/>
        <w:snapToGrid w:val="0"/>
        <w:spacing w:line="360" w:lineRule="auto"/>
        <w:rPr>
          <w:rFonts w:ascii="宋体" w:hAnsi="宋体" w:cs="Arial"/>
          <w:b/>
          <w:bCs/>
          <w:kern w:val="0"/>
          <w:szCs w:val="21"/>
        </w:rPr>
      </w:pPr>
      <w:r>
        <w:rPr>
          <w:rFonts w:ascii="宋体" w:hAnsi="宋体" w:cs="Arial"/>
          <w:b/>
          <w:bCs/>
          <w:kern w:val="0"/>
          <w:szCs w:val="21"/>
        </w:rPr>
        <w:t>1.</w:t>
      </w:r>
      <w:r>
        <w:rPr>
          <w:rFonts w:hint="eastAsia" w:ascii="宋体" w:hAnsi="宋体" w:cs="Arial"/>
          <w:b/>
          <w:bCs/>
          <w:kern w:val="0"/>
          <w:szCs w:val="21"/>
        </w:rPr>
        <w:t>4投标保证金</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1.4.1投标人在提交投标文件时，应提交不少于《投标人须知前附表》第</w:t>
      </w:r>
      <w:r>
        <w:rPr>
          <w:rFonts w:hint="eastAsia" w:ascii="宋体" w:hAnsi="宋体" w:cstheme="majorEastAsia"/>
          <w:szCs w:val="21"/>
          <w:u w:val="single"/>
        </w:rPr>
        <w:t xml:space="preserve"> 8 </w:t>
      </w:r>
      <w:r>
        <w:rPr>
          <w:rFonts w:hint="eastAsia" w:ascii="宋体" w:hAnsi="宋体" w:cstheme="majorEastAsia"/>
          <w:szCs w:val="21"/>
        </w:rPr>
        <w:t>条约定的投标保证金数额，按要求缴纳；并作为其投标的一部分。</w:t>
      </w:r>
    </w:p>
    <w:p>
      <w:pPr>
        <w:spacing w:line="360" w:lineRule="auto"/>
        <w:ind w:firstLine="211" w:firstLineChars="100"/>
        <w:jc w:val="left"/>
        <w:rPr>
          <w:rFonts w:ascii="宋体" w:hAnsi="宋体"/>
          <w:b/>
          <w:bCs/>
          <w:kern w:val="0"/>
          <w:szCs w:val="21"/>
        </w:rPr>
      </w:pPr>
      <w:r>
        <w:rPr>
          <w:rFonts w:hint="eastAsia" w:ascii="宋体" w:hAnsi="宋体" w:cs="宋体"/>
          <w:b/>
          <w:bCs/>
          <w:szCs w:val="21"/>
          <w:shd w:val="clear" w:color="auto" w:fill="FFFFFF"/>
        </w:rPr>
        <w:t>（1）</w:t>
      </w:r>
      <w:r>
        <w:rPr>
          <w:rFonts w:hint="eastAsia" w:ascii="宋体" w:hAnsi="宋体"/>
          <w:b/>
          <w:bCs/>
          <w:kern w:val="0"/>
          <w:szCs w:val="21"/>
        </w:rPr>
        <w:t>投标保证金额缴纳形式：</w:t>
      </w:r>
      <w:r>
        <w:rPr>
          <w:rFonts w:hint="eastAsia" w:ascii="宋体" w:hAnsi="宋体"/>
          <w:b/>
          <w:bCs/>
          <w:kern w:val="0"/>
          <w:szCs w:val="21"/>
        </w:rPr>
        <w:fldChar w:fldCharType="begin"/>
      </w:r>
      <w:r>
        <w:rPr>
          <w:rFonts w:hint="eastAsia" w:ascii="宋体" w:hAnsi="宋体"/>
          <w:b/>
          <w:bCs/>
          <w:kern w:val="0"/>
          <w:szCs w:val="21"/>
        </w:rPr>
        <w:instrText xml:space="preserve"> = 1 \* GB3 \* MERGEFORMAT </w:instrText>
      </w:r>
      <w:r>
        <w:rPr>
          <w:rFonts w:hint="eastAsia" w:ascii="宋体" w:hAnsi="宋体"/>
          <w:b/>
          <w:bCs/>
          <w:kern w:val="0"/>
          <w:szCs w:val="21"/>
        </w:rPr>
        <w:fldChar w:fldCharType="separate"/>
      </w:r>
      <w:r>
        <w:rPr>
          <w:rFonts w:hint="eastAsia" w:ascii="宋体" w:hAnsi="宋体"/>
          <w:b/>
          <w:bCs/>
          <w:kern w:val="0"/>
          <w:szCs w:val="21"/>
        </w:rPr>
        <w:t>①</w:t>
      </w:r>
      <w:r>
        <w:rPr>
          <w:rFonts w:hint="eastAsia" w:ascii="宋体" w:hAnsi="宋体"/>
          <w:b/>
          <w:bCs/>
          <w:kern w:val="0"/>
          <w:szCs w:val="21"/>
        </w:rPr>
        <w:fldChar w:fldCharType="end"/>
      </w:r>
      <w:r>
        <w:rPr>
          <w:rFonts w:hint="eastAsia" w:ascii="宋体" w:hAnsi="宋体"/>
          <w:b/>
          <w:bCs/>
          <w:kern w:val="0"/>
          <w:szCs w:val="21"/>
        </w:rPr>
        <w:t>电汇；</w:t>
      </w:r>
      <w:r>
        <w:rPr>
          <w:rFonts w:hint="eastAsia" w:ascii="宋体" w:hAnsi="宋体"/>
          <w:b/>
          <w:bCs/>
          <w:kern w:val="0"/>
          <w:szCs w:val="21"/>
        </w:rPr>
        <w:fldChar w:fldCharType="begin"/>
      </w:r>
      <w:r>
        <w:rPr>
          <w:rFonts w:hint="eastAsia" w:ascii="宋体" w:hAnsi="宋体"/>
          <w:b/>
          <w:bCs/>
          <w:kern w:val="0"/>
          <w:szCs w:val="21"/>
        </w:rPr>
        <w:instrText xml:space="preserve"> = 2 \* GB3 \* MERGEFORMAT </w:instrText>
      </w:r>
      <w:r>
        <w:rPr>
          <w:rFonts w:hint="eastAsia" w:ascii="宋体" w:hAnsi="宋体"/>
          <w:b/>
          <w:bCs/>
          <w:kern w:val="0"/>
          <w:szCs w:val="21"/>
        </w:rPr>
        <w:fldChar w:fldCharType="separate"/>
      </w:r>
      <w:r>
        <w:rPr>
          <w:rFonts w:hint="eastAsia" w:ascii="宋体" w:hAnsi="宋体"/>
          <w:b/>
          <w:bCs/>
          <w:kern w:val="0"/>
          <w:szCs w:val="21"/>
        </w:rPr>
        <w:t>②</w:t>
      </w:r>
      <w:r>
        <w:rPr>
          <w:rFonts w:hint="eastAsia" w:ascii="宋体" w:hAnsi="宋体"/>
          <w:b/>
          <w:bCs/>
          <w:kern w:val="0"/>
          <w:szCs w:val="21"/>
        </w:rPr>
        <w:fldChar w:fldCharType="end"/>
      </w:r>
      <w:r>
        <w:rPr>
          <w:rFonts w:hint="eastAsia" w:ascii="宋体" w:hAnsi="宋体"/>
          <w:b/>
          <w:bCs/>
          <w:kern w:val="0"/>
          <w:szCs w:val="21"/>
        </w:rPr>
        <w:t>保函；</w:t>
      </w:r>
    </w:p>
    <w:p>
      <w:pPr>
        <w:keepNext/>
        <w:widowControl/>
        <w:spacing w:line="360" w:lineRule="auto"/>
        <w:ind w:firstLine="211" w:firstLineChars="100"/>
        <w:jc w:val="left"/>
        <w:rPr>
          <w:rFonts w:ascii="宋体" w:hAnsi="宋体"/>
          <w:b/>
          <w:bCs/>
          <w:szCs w:val="21"/>
        </w:rPr>
      </w:pPr>
      <w:r>
        <w:rPr>
          <w:rFonts w:hint="eastAsia" w:ascii="宋体" w:hAnsi="宋体" w:cs="宋体"/>
          <w:b/>
          <w:bCs/>
          <w:szCs w:val="21"/>
          <w:shd w:val="clear" w:color="auto" w:fill="FFFFFF"/>
        </w:rPr>
        <w:t>（2）</w:t>
      </w:r>
      <w:r>
        <w:rPr>
          <w:rFonts w:hint="eastAsia" w:ascii="宋体" w:hAnsi="宋体"/>
          <w:b/>
          <w:bCs/>
          <w:kern w:val="0"/>
          <w:szCs w:val="21"/>
        </w:rPr>
        <w:t>递交时间：在</w:t>
      </w:r>
      <w:r>
        <w:rPr>
          <w:rFonts w:hint="eastAsia" w:ascii="宋体" w:hAnsi="宋体" w:cs="宋体"/>
          <w:b/>
          <w:bCs/>
          <w:szCs w:val="21"/>
          <w:shd w:val="clear" w:color="auto" w:fill="FFFFFF"/>
        </w:rPr>
        <w:t>投标文件截止时间</w:t>
      </w:r>
      <w:r>
        <w:rPr>
          <w:rFonts w:hint="eastAsia" w:ascii="宋体" w:hAnsi="宋体"/>
          <w:b/>
          <w:bCs/>
          <w:kern w:val="0"/>
          <w:szCs w:val="21"/>
        </w:rPr>
        <w:t>前提交</w:t>
      </w:r>
      <w:r>
        <w:rPr>
          <w:rFonts w:hint="eastAsia" w:ascii="宋体" w:hAnsi="宋体" w:cs="宋体"/>
          <w:b/>
          <w:bCs/>
          <w:kern w:val="0"/>
          <w:szCs w:val="21"/>
        </w:rPr>
        <w:t>(以银行到账信息为准）</w:t>
      </w:r>
      <w:r>
        <w:rPr>
          <w:rFonts w:hint="eastAsia" w:ascii="宋体" w:hAnsi="宋体"/>
          <w:b/>
          <w:bCs/>
          <w:kern w:val="0"/>
          <w:szCs w:val="21"/>
        </w:rPr>
        <w:t>；</w:t>
      </w:r>
    </w:p>
    <w:p>
      <w:pPr>
        <w:spacing w:line="360" w:lineRule="auto"/>
        <w:ind w:firstLine="211" w:firstLineChars="100"/>
        <w:jc w:val="left"/>
        <w:rPr>
          <w:rFonts w:ascii="宋体" w:hAnsi="宋体" w:cs="宋体"/>
          <w:b/>
          <w:bCs/>
          <w:szCs w:val="21"/>
          <w:shd w:val="clear" w:color="auto" w:fill="FFFFFF"/>
        </w:rPr>
      </w:pPr>
      <w:r>
        <w:rPr>
          <w:rFonts w:hint="eastAsia" w:ascii="宋体" w:hAnsi="宋体" w:cs="宋体"/>
          <w:b/>
          <w:bCs/>
          <w:szCs w:val="21"/>
          <w:shd w:val="clear" w:color="auto" w:fill="FFFFFF"/>
        </w:rPr>
        <w:t>（3）采用第①种形式递交保证金的，收款账户信息如下：</w:t>
      </w:r>
    </w:p>
    <w:p>
      <w:pPr>
        <w:spacing w:line="360" w:lineRule="auto"/>
        <w:ind w:firstLine="422" w:firstLineChars="200"/>
        <w:jc w:val="left"/>
        <w:rPr>
          <w:rFonts w:ascii="宋体" w:hAnsi="宋体" w:cs="宋体"/>
          <w:b/>
          <w:bCs/>
          <w:szCs w:val="21"/>
          <w:shd w:val="clear" w:color="auto" w:fill="FFFFFF"/>
        </w:rPr>
      </w:pPr>
      <w:r>
        <w:rPr>
          <w:rFonts w:hint="eastAsia" w:ascii="宋体" w:hAnsi="宋体" w:cs="宋体"/>
          <w:b/>
          <w:bCs/>
          <w:szCs w:val="21"/>
          <w:shd w:val="clear" w:color="auto" w:fill="FFFFFF"/>
        </w:rPr>
        <w:t>单位名称：新疆新招工程项目咨询管理有限公司伊犁分公司</w:t>
      </w:r>
    </w:p>
    <w:p>
      <w:pPr>
        <w:spacing w:line="360" w:lineRule="auto"/>
        <w:ind w:firstLine="422" w:firstLineChars="200"/>
        <w:jc w:val="left"/>
        <w:rPr>
          <w:rFonts w:ascii="宋体" w:hAnsi="宋体" w:cs="宋体"/>
          <w:b/>
          <w:bCs/>
          <w:szCs w:val="21"/>
          <w:shd w:val="clear" w:color="auto" w:fill="FFFFFF"/>
        </w:rPr>
      </w:pPr>
      <w:r>
        <w:rPr>
          <w:rFonts w:hint="eastAsia" w:ascii="宋体" w:hAnsi="宋体" w:cs="宋体"/>
          <w:b/>
          <w:bCs/>
          <w:szCs w:val="21"/>
          <w:shd w:val="clear" w:color="auto" w:fill="FFFFFF"/>
        </w:rPr>
        <w:t>账    号：107083061966</w:t>
      </w:r>
    </w:p>
    <w:p>
      <w:pPr>
        <w:spacing w:line="360" w:lineRule="auto"/>
        <w:ind w:firstLine="422" w:firstLineChars="200"/>
        <w:jc w:val="left"/>
        <w:rPr>
          <w:rFonts w:ascii="宋体" w:hAnsi="宋体" w:cs="宋体"/>
          <w:b/>
          <w:bCs/>
          <w:szCs w:val="21"/>
          <w:shd w:val="clear" w:color="auto" w:fill="FFFFFF"/>
        </w:rPr>
      </w:pPr>
      <w:r>
        <w:rPr>
          <w:rFonts w:hint="eastAsia" w:ascii="宋体" w:hAnsi="宋体" w:cs="宋体"/>
          <w:b/>
          <w:bCs/>
          <w:szCs w:val="21"/>
          <w:shd w:val="clear" w:color="auto" w:fill="FFFFFF"/>
        </w:rPr>
        <w:t>开户行名称：中国银行伊宁市边境经济合作区四川路支行</w:t>
      </w:r>
    </w:p>
    <w:p>
      <w:pPr>
        <w:spacing w:line="360" w:lineRule="auto"/>
        <w:ind w:firstLine="422" w:firstLineChars="200"/>
        <w:jc w:val="left"/>
        <w:rPr>
          <w:rFonts w:ascii="宋体" w:hAnsi="宋体" w:cs="宋体"/>
          <w:b/>
          <w:bCs/>
          <w:szCs w:val="21"/>
          <w:shd w:val="clear" w:color="auto" w:fill="FFFFFF"/>
        </w:rPr>
      </w:pPr>
      <w:r>
        <w:rPr>
          <w:rFonts w:hint="eastAsia" w:ascii="宋体" w:hAnsi="宋体" w:cs="宋体"/>
          <w:b/>
          <w:bCs/>
          <w:szCs w:val="21"/>
          <w:shd w:val="clear" w:color="auto" w:fill="FFFFFF"/>
        </w:rPr>
        <w:t>注：投标保证金必须从投标人企业基本账户转入到指定账户，并注明“2023年中央动物防疫补助等（第二批资金）经费项目（一标段牛羊口蹄疫疫苗）”字样；</w:t>
      </w:r>
    </w:p>
    <w:p>
      <w:pPr>
        <w:spacing w:line="360" w:lineRule="auto"/>
        <w:ind w:firstLine="422" w:firstLineChars="200"/>
        <w:jc w:val="left"/>
        <w:rPr>
          <w:rFonts w:ascii="宋体" w:hAnsi="宋体" w:cs="宋体"/>
          <w:b/>
          <w:bCs/>
          <w:szCs w:val="21"/>
          <w:shd w:val="clear" w:color="auto" w:fill="FFFFFF"/>
        </w:rPr>
      </w:pPr>
      <w:r>
        <w:rPr>
          <w:rFonts w:hint="eastAsia" w:ascii="宋体" w:hAnsi="宋体" w:cs="宋体"/>
          <w:b/>
          <w:bCs/>
          <w:szCs w:val="21"/>
          <w:shd w:val="clear" w:color="auto" w:fill="FFFFFF"/>
        </w:rPr>
        <w:t>采用第②种形式递交保证金的，投标人须在投标截止时间前，将所投项目对应的保函扫描件随投标文件一起提交；</w:t>
      </w:r>
    </w:p>
    <w:p>
      <w:pPr>
        <w:spacing w:line="360" w:lineRule="auto"/>
        <w:ind w:firstLine="422" w:firstLineChars="200"/>
        <w:jc w:val="left"/>
        <w:rPr>
          <w:rFonts w:ascii="宋体" w:hAnsi="宋体" w:cs="宋体"/>
          <w:b/>
          <w:bCs/>
          <w:szCs w:val="21"/>
          <w:shd w:val="clear" w:color="auto" w:fill="FFFFFF"/>
        </w:rPr>
      </w:pPr>
      <w:r>
        <w:rPr>
          <w:rFonts w:hint="eastAsia" w:ascii="宋体" w:hAnsi="宋体" w:cs="宋体"/>
          <w:b/>
          <w:bCs/>
          <w:szCs w:val="21"/>
          <w:shd w:val="clear" w:color="auto" w:fill="FFFFFF"/>
        </w:rPr>
        <w:t>（4）潜在投标人可以自主选择以上任一种形式递交保证金。</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1.4.2 采购人投标保证金退还</w:t>
      </w:r>
    </w:p>
    <w:p>
      <w:pPr>
        <w:spacing w:line="360" w:lineRule="auto"/>
        <w:ind w:firstLine="420" w:firstLineChars="200"/>
        <w:jc w:val="left"/>
        <w:rPr>
          <w:rFonts w:ascii="宋体" w:hAnsi="宋体" w:cs="宋体"/>
          <w:szCs w:val="21"/>
        </w:rPr>
      </w:pPr>
      <w:r>
        <w:rPr>
          <w:rFonts w:hint="eastAsia" w:ascii="宋体" w:hAnsi="宋体" w:cs="宋体"/>
          <w:szCs w:val="21"/>
        </w:rPr>
        <w:t>（1）投标人在投标截止时间前撤回已提交的投标文件的，采购人或者采购代理机构应当自收到投标人书面撤回通知之日起5个工作日内，退还已收取的投标保证金，但因投标人自身原因导致无法及时退还的除外。</w:t>
      </w:r>
    </w:p>
    <w:p>
      <w:pPr>
        <w:spacing w:line="360" w:lineRule="auto"/>
        <w:ind w:firstLine="420" w:firstLineChars="200"/>
        <w:jc w:val="left"/>
        <w:rPr>
          <w:rFonts w:ascii="宋体" w:hAnsi="宋体" w:cstheme="majorEastAsia"/>
          <w:szCs w:val="21"/>
        </w:rPr>
      </w:pPr>
      <w:r>
        <w:rPr>
          <w:rFonts w:hint="eastAsia" w:ascii="宋体" w:hAnsi="宋体" w:cs="宋体"/>
          <w:szCs w:val="21"/>
        </w:rPr>
        <w:t>（2）中标企业自收到中标通知书之日三十日内与采购人签订《合同》，自采购合同签订之日并送一份《合同》原件及履约保函复印件加盖公章给采购代理机构，按每标段，单个中标产品的合同实际总金额计算招标代理服务费，成功缴纳后，5个工作日内退还该中标企业的投标保证金或者转为中标人的履约保证金。</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1.4.3 投标保证金有效期与投标有效期一致。</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1.4.4 不予退还投标保证金的情形：</w:t>
      </w:r>
    </w:p>
    <w:p>
      <w:pPr>
        <w:spacing w:line="360" w:lineRule="auto"/>
        <w:ind w:firstLine="420" w:firstLineChars="200"/>
        <w:jc w:val="left"/>
        <w:rPr>
          <w:rFonts w:ascii="宋体" w:hAnsi="宋体" w:cs="宋体"/>
          <w:szCs w:val="21"/>
        </w:rPr>
      </w:pPr>
      <w:r>
        <w:rPr>
          <w:rFonts w:hint="eastAsia" w:ascii="宋体" w:hAnsi="宋体" w:cs="宋体"/>
          <w:szCs w:val="21"/>
        </w:rPr>
        <w:t>（1）投标人在规定的投标有效期内撤销或修改其投标文件的；</w:t>
      </w:r>
    </w:p>
    <w:p>
      <w:pPr>
        <w:spacing w:line="360" w:lineRule="auto"/>
        <w:ind w:firstLine="420" w:firstLineChars="200"/>
        <w:jc w:val="left"/>
        <w:rPr>
          <w:rFonts w:ascii="宋体" w:hAnsi="宋体" w:cs="宋体"/>
          <w:szCs w:val="21"/>
        </w:rPr>
      </w:pPr>
      <w:r>
        <w:rPr>
          <w:rFonts w:hint="eastAsia" w:ascii="宋体" w:hAnsi="宋体" w:cs="宋体"/>
          <w:szCs w:val="21"/>
        </w:rPr>
        <w:t>（2）投标文件中提供虚假材料的；</w:t>
      </w:r>
    </w:p>
    <w:p>
      <w:pPr>
        <w:spacing w:line="360" w:lineRule="auto"/>
        <w:ind w:firstLine="420" w:firstLineChars="200"/>
        <w:jc w:val="left"/>
        <w:rPr>
          <w:rFonts w:ascii="宋体" w:hAnsi="宋体" w:cs="宋体"/>
          <w:szCs w:val="21"/>
        </w:rPr>
      </w:pPr>
      <w:r>
        <w:rPr>
          <w:rFonts w:hint="eastAsia" w:ascii="宋体" w:hAnsi="宋体" w:cs="宋体"/>
          <w:szCs w:val="21"/>
        </w:rPr>
        <w:t>（3）未按招标文件规定提交履约保证金的；</w:t>
      </w:r>
    </w:p>
    <w:p>
      <w:pPr>
        <w:spacing w:line="360" w:lineRule="auto"/>
        <w:ind w:firstLine="420" w:firstLineChars="200"/>
        <w:jc w:val="left"/>
        <w:rPr>
          <w:rFonts w:ascii="宋体" w:hAnsi="宋体" w:cs="宋体"/>
          <w:szCs w:val="21"/>
        </w:rPr>
      </w:pPr>
      <w:r>
        <w:rPr>
          <w:rFonts w:hint="eastAsia" w:ascii="宋体" w:hAnsi="宋体" w:cs="宋体"/>
          <w:szCs w:val="21"/>
        </w:rPr>
        <w:t>（4）除因不可抗力或招标文件认可的情形外，中标人无正当理由不与招标人订立合同、在签订合同时向采购人提出附加条件或者更改合同实质性内容的；</w:t>
      </w:r>
    </w:p>
    <w:p>
      <w:pPr>
        <w:spacing w:line="360" w:lineRule="auto"/>
        <w:ind w:firstLine="420" w:firstLineChars="200"/>
        <w:jc w:val="left"/>
      </w:pPr>
      <w:r>
        <w:rPr>
          <w:rFonts w:hint="eastAsia" w:ascii="宋体" w:hAnsi="宋体" w:cstheme="majorEastAsia"/>
          <w:szCs w:val="21"/>
        </w:rPr>
        <w:t>（5）中标人放弃中标的。</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1.4.5下列任何情况发生时，情节严重的，由采购人或采购代理机构上报相关财政监督部门，将其列入不良行为记录名单，在一至三年内禁止参加政府采购活动，并予以通报：</w:t>
      </w:r>
    </w:p>
    <w:p>
      <w:pPr>
        <w:spacing w:line="360" w:lineRule="auto"/>
        <w:ind w:firstLine="210" w:firstLineChars="100"/>
        <w:jc w:val="left"/>
        <w:rPr>
          <w:rFonts w:ascii="宋体" w:hAnsi="宋体" w:cstheme="majorEastAsia"/>
          <w:szCs w:val="21"/>
        </w:rPr>
      </w:pPr>
      <w:r>
        <w:rPr>
          <w:rFonts w:hint="eastAsia" w:ascii="宋体" w:hAnsi="宋体" w:cstheme="majorEastAsia"/>
          <w:szCs w:val="21"/>
        </w:rPr>
        <w:t>（1）投标人在投标有效期内采用不正当的手段扰乱招投标秩序；</w:t>
      </w:r>
    </w:p>
    <w:p>
      <w:pPr>
        <w:spacing w:line="360" w:lineRule="auto"/>
        <w:ind w:firstLine="210" w:firstLineChars="100"/>
        <w:jc w:val="left"/>
        <w:rPr>
          <w:rFonts w:ascii="宋体" w:hAnsi="宋体" w:cstheme="majorEastAsia"/>
          <w:szCs w:val="21"/>
        </w:rPr>
      </w:pPr>
      <w:r>
        <w:rPr>
          <w:rFonts w:hint="eastAsia" w:ascii="宋体" w:hAnsi="宋体" w:cstheme="majorEastAsia"/>
          <w:szCs w:val="21"/>
        </w:rPr>
        <w:t xml:space="preserve">（2）将中标项目转让给他人，或者在投标文件中未说明，且未经批准，将中标项目分包给他人的； </w:t>
      </w:r>
    </w:p>
    <w:p>
      <w:pPr>
        <w:spacing w:line="360" w:lineRule="auto"/>
        <w:ind w:firstLine="210" w:firstLineChars="100"/>
        <w:jc w:val="left"/>
        <w:rPr>
          <w:rFonts w:ascii="宋体" w:hAnsi="宋体" w:cstheme="majorEastAsia"/>
          <w:szCs w:val="21"/>
        </w:rPr>
      </w:pPr>
      <w:r>
        <w:rPr>
          <w:rFonts w:hint="eastAsia" w:ascii="宋体" w:hAnsi="宋体" w:cstheme="majorEastAsia"/>
          <w:szCs w:val="21"/>
        </w:rPr>
        <w:t>（3）拒绝履行合同义务的；</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1.5投标有效期：</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cs="Arial"/>
          <w:kern w:val="0"/>
          <w:szCs w:val="21"/>
        </w:rPr>
        <w:t xml:space="preserve"> </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1.6踏勘现场</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1.</w:t>
      </w:r>
      <w:r>
        <w:rPr>
          <w:rFonts w:hint="eastAsia" w:ascii="宋体" w:hAnsi="宋体" w:cs="Arial"/>
          <w:kern w:val="0"/>
          <w:szCs w:val="21"/>
        </w:rPr>
        <w:t>6</w:t>
      </w:r>
      <w:r>
        <w:rPr>
          <w:rFonts w:ascii="宋体" w:hAnsi="宋体" w:cs="Arial"/>
          <w:kern w:val="0"/>
          <w:szCs w:val="21"/>
        </w:rPr>
        <w:t xml:space="preserve">.1 </w:t>
      </w:r>
      <w:r>
        <w:rPr>
          <w:rFonts w:hint="eastAsia" w:ascii="宋体" w:hAnsi="宋体" w:cs="Arial"/>
          <w:kern w:val="0"/>
          <w:szCs w:val="21"/>
        </w:rPr>
        <w:t>投标人须知前附表规定组织踏勘现场的，采购人或采购代理机构按投标人须知前附表规定的时间、地点组织投标人踏勘项目现场。</w:t>
      </w:r>
      <w:r>
        <w:rPr>
          <w:rFonts w:ascii="宋体" w:hAnsi="宋体" w:cs="Arial"/>
          <w:kern w:val="0"/>
          <w:szCs w:val="21"/>
        </w:rPr>
        <w:t xml:space="preserve"> </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1.</w:t>
      </w:r>
      <w:r>
        <w:rPr>
          <w:rFonts w:hint="eastAsia" w:ascii="宋体" w:hAnsi="宋体" w:cs="Arial"/>
          <w:kern w:val="0"/>
          <w:szCs w:val="21"/>
        </w:rPr>
        <w:t>6</w:t>
      </w:r>
      <w:r>
        <w:rPr>
          <w:rFonts w:ascii="宋体" w:hAnsi="宋体" w:cs="Arial"/>
          <w:kern w:val="0"/>
          <w:szCs w:val="21"/>
        </w:rPr>
        <w:t xml:space="preserve">.2 </w:t>
      </w:r>
      <w:r>
        <w:rPr>
          <w:rFonts w:hint="eastAsia" w:ascii="宋体" w:hAnsi="宋体" w:cs="Arial"/>
          <w:kern w:val="0"/>
          <w:szCs w:val="21"/>
        </w:rPr>
        <w:t>投标人踏勘现场发生的费用自理。</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1.</w:t>
      </w:r>
      <w:r>
        <w:rPr>
          <w:rFonts w:hint="eastAsia" w:ascii="宋体" w:hAnsi="宋体" w:cs="Arial"/>
          <w:kern w:val="0"/>
          <w:szCs w:val="21"/>
        </w:rPr>
        <w:t>6</w:t>
      </w:r>
      <w:r>
        <w:rPr>
          <w:rFonts w:ascii="宋体" w:hAnsi="宋体" w:cs="Arial"/>
          <w:kern w:val="0"/>
          <w:szCs w:val="21"/>
        </w:rPr>
        <w:t xml:space="preserve">.3 </w:t>
      </w:r>
      <w:r>
        <w:rPr>
          <w:rFonts w:hint="eastAsia" w:ascii="宋体" w:hAnsi="宋体" w:cs="Arial"/>
          <w:kern w:val="0"/>
          <w:szCs w:val="21"/>
        </w:rPr>
        <w:t>除采购人或采购代理机构的原因外，投标人自行负责在踏勘现场中所发生的人员伤亡和财产损失。</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1.</w:t>
      </w:r>
      <w:r>
        <w:rPr>
          <w:rFonts w:hint="eastAsia" w:ascii="宋体" w:hAnsi="宋体" w:cs="Arial"/>
          <w:kern w:val="0"/>
          <w:szCs w:val="21"/>
        </w:rPr>
        <w:t>6</w:t>
      </w:r>
      <w:r>
        <w:rPr>
          <w:rFonts w:ascii="宋体" w:hAnsi="宋体" w:cs="Arial"/>
          <w:kern w:val="0"/>
          <w:szCs w:val="21"/>
        </w:rPr>
        <w:t xml:space="preserve">.4 </w:t>
      </w:r>
      <w:r>
        <w:rPr>
          <w:rFonts w:hint="eastAsia" w:ascii="宋体" w:hAnsi="宋体" w:cs="Arial"/>
          <w:kern w:val="0"/>
          <w:szCs w:val="21"/>
        </w:rPr>
        <w:t>采购人或采购代理机构在踏勘现场中介绍的项目有关情况，供投标人在编制投标文件时参考，采购人或采购代理机构不对投标人据此作出的判断和决策负责。</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1.</w:t>
      </w:r>
      <w:r>
        <w:rPr>
          <w:rFonts w:hint="eastAsia" w:ascii="宋体" w:hAnsi="宋体" w:cs="Arial"/>
          <w:kern w:val="0"/>
          <w:szCs w:val="21"/>
        </w:rPr>
        <w:t>6</w:t>
      </w:r>
      <w:r>
        <w:rPr>
          <w:rFonts w:ascii="宋体" w:hAnsi="宋体" w:cs="Arial"/>
          <w:kern w:val="0"/>
          <w:szCs w:val="21"/>
        </w:rPr>
        <w:t>.</w:t>
      </w:r>
      <w:r>
        <w:rPr>
          <w:rFonts w:hint="eastAsia" w:ascii="宋体" w:hAnsi="宋体" w:cs="Arial"/>
          <w:kern w:val="0"/>
          <w:szCs w:val="21"/>
        </w:rPr>
        <w:t>5</w:t>
      </w:r>
      <w:r>
        <w:rPr>
          <w:rFonts w:ascii="宋体" w:hAnsi="宋体" w:cs="Arial"/>
          <w:kern w:val="0"/>
          <w:szCs w:val="21"/>
        </w:rPr>
        <w:t xml:space="preserve"> </w:t>
      </w:r>
      <w:r>
        <w:rPr>
          <w:rFonts w:hint="eastAsia" w:ascii="宋体" w:hAnsi="宋体" w:cs="Arial"/>
          <w:kern w:val="0"/>
          <w:szCs w:val="21"/>
        </w:rPr>
        <w:t>本项目不组织现场考察或者开答疑会。</w:t>
      </w:r>
    </w:p>
    <w:p>
      <w:pPr>
        <w:widowControl/>
        <w:shd w:val="clear" w:color="auto" w:fill="FFFFFF"/>
        <w:snapToGrid w:val="0"/>
        <w:spacing w:line="360" w:lineRule="auto"/>
        <w:rPr>
          <w:rFonts w:ascii="宋体" w:hAnsi="宋体" w:cs="Arial"/>
          <w:b/>
          <w:bCs/>
          <w:kern w:val="0"/>
          <w:szCs w:val="21"/>
        </w:rPr>
      </w:pPr>
      <w:r>
        <w:rPr>
          <w:rFonts w:hint="eastAsia" w:ascii="宋体" w:hAnsi="宋体" w:cs="宋体"/>
          <w:b/>
          <w:bCs/>
          <w:szCs w:val="21"/>
        </w:rPr>
        <w:t xml:space="preserve">1.7 </w:t>
      </w:r>
      <w:r>
        <w:rPr>
          <w:rFonts w:hint="eastAsia" w:ascii="宋体" w:hAnsi="宋体" w:cs="Arial"/>
          <w:b/>
          <w:bCs/>
          <w:kern w:val="0"/>
          <w:szCs w:val="21"/>
        </w:rPr>
        <w:t>投标人存在下列情况之一的，投标无效：</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1.7.1未按照招标文件的规定提交投标保证金的；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1.7.2投标文件未按招标文件要求签署、盖章的；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1.7.3不具备招标文件中规定的资格要求的；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1.7.4报价超过招标文件中规定的预算金额或者最高限价的；</w:t>
      </w:r>
    </w:p>
    <w:p>
      <w:pPr>
        <w:widowControl/>
        <w:shd w:val="clear" w:color="auto" w:fill="FFFFFF"/>
        <w:tabs>
          <w:tab w:val="left" w:pos="754"/>
        </w:tabs>
        <w:snapToGrid w:val="0"/>
        <w:spacing w:line="360" w:lineRule="auto"/>
        <w:ind w:firstLine="420" w:firstLineChars="200"/>
        <w:rPr>
          <w:rFonts w:ascii="宋体" w:hAnsi="宋体" w:cs="Arial"/>
          <w:kern w:val="0"/>
          <w:szCs w:val="21"/>
        </w:rPr>
      </w:pPr>
      <w:r>
        <w:rPr>
          <w:rFonts w:hint="eastAsia" w:ascii="宋体" w:hAnsi="宋体" w:cs="Arial"/>
          <w:kern w:val="0"/>
          <w:szCs w:val="21"/>
        </w:rPr>
        <w:t>1.</w:t>
      </w:r>
      <w:r>
        <w:rPr>
          <w:rFonts w:hint="eastAsia" w:ascii="宋体" w:hAnsi="宋体" w:cs="Arial"/>
          <w:kern w:val="0"/>
          <w:szCs w:val="21"/>
        </w:rPr>
        <w:tab/>
      </w:r>
      <w:r>
        <w:rPr>
          <w:rFonts w:hint="eastAsia" w:ascii="宋体" w:hAnsi="宋体" w:cs="Arial"/>
          <w:kern w:val="0"/>
          <w:szCs w:val="21"/>
        </w:rPr>
        <w:t>7.5投标文件含有采购人不能接受的附加条件的；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1.7.6不具备招标文件中规定的资格要求的；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1.7.7与采购人存在利害关系可能影响招标公正性的法人、其他组织或者个人的；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1.7.8单位负责人为同一人或者存在控股、管理关系的不同单位，参加同四标段投标或者未划分标段的同一招标项目投标的；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1.7.9法定代表人为同一个人的两个及两个以上法人，母公司、全资子公司及其控股公司，参加同四标段投标或者未划分标段的同一招标项目投标的；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1.7.10被责令停业的；</w:t>
      </w:r>
      <w:r>
        <w:rPr>
          <w:rFonts w:ascii="宋体" w:hAnsi="宋体" w:cs="Arial"/>
          <w:kern w:val="0"/>
          <w:szCs w:val="21"/>
        </w:rPr>
        <w:t xml:space="preserve"> </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1.7.11被暂停或取消投标资格的；</w:t>
      </w:r>
      <w:r>
        <w:rPr>
          <w:rFonts w:ascii="宋体" w:hAnsi="宋体" w:cs="Arial"/>
          <w:kern w:val="0"/>
          <w:szCs w:val="21"/>
        </w:rPr>
        <w:t xml:space="preserve"> </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1.7.12财产被接管或冻结的；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1.7.13在最近三年内有骗取中标或严重违约或重大质量问题的；</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1.7.14投标文件中有弄虚作假的内容，其投标文件作废（假证书、假业绩、隐瞒不良行为记录、夸大荣誉）；</w:t>
      </w:r>
      <w:r>
        <w:rPr>
          <w:rFonts w:ascii="宋体" w:hAnsi="宋体" w:cs="Arial"/>
          <w:kern w:val="0"/>
          <w:szCs w:val="21"/>
        </w:rPr>
        <w:t xml:space="preserve"> </w:t>
      </w:r>
    </w:p>
    <w:p>
      <w:pPr>
        <w:pStyle w:val="4"/>
        <w:spacing w:line="360" w:lineRule="auto"/>
        <w:ind w:firstLineChars="200"/>
        <w:rPr>
          <w:rFonts w:ascii="宋体" w:hAnsi="宋体" w:cs="@仿宋_GB2312"/>
          <w:szCs w:val="21"/>
        </w:rPr>
      </w:pPr>
      <w:r>
        <w:rPr>
          <w:rFonts w:hint="eastAsia" w:ascii="宋体" w:hAnsi="宋体" w:cs="Arial"/>
          <w:kern w:val="0"/>
          <w:szCs w:val="21"/>
        </w:rPr>
        <w:t>1.7.15法律、规定和招标文件规定的其他无效情形</w:t>
      </w:r>
    </w:p>
    <w:p>
      <w:pPr>
        <w:widowControl/>
        <w:shd w:val="clear" w:color="auto" w:fill="FFFFFF"/>
        <w:snapToGrid w:val="0"/>
        <w:spacing w:line="360" w:lineRule="auto"/>
        <w:rPr>
          <w:rFonts w:ascii="宋体" w:hAnsi="宋体" w:cs="Arial"/>
          <w:b/>
          <w:bCs/>
          <w:kern w:val="0"/>
          <w:szCs w:val="21"/>
        </w:rPr>
      </w:pPr>
      <w:r>
        <w:rPr>
          <w:rFonts w:hint="eastAsia" w:ascii="宋体" w:hAnsi="宋体" w:cs="宋体"/>
          <w:b/>
          <w:bCs/>
          <w:szCs w:val="21"/>
        </w:rPr>
        <w:t>1.8 投标人应具备承担本招标项目的资格条件和能力：</w:t>
      </w:r>
    </w:p>
    <w:p>
      <w:pPr>
        <w:spacing w:line="360" w:lineRule="auto"/>
        <w:ind w:firstLine="420" w:firstLineChars="200"/>
        <w:rPr>
          <w:rFonts w:ascii="宋体" w:hAnsi="宋体" w:cs="宋体"/>
          <w:kern w:val="0"/>
          <w:szCs w:val="21"/>
        </w:rPr>
      </w:pPr>
      <w:r>
        <w:rPr>
          <w:rFonts w:hint="eastAsia" w:ascii="宋体" w:hAnsi="宋体" w:cs="宋体"/>
          <w:szCs w:val="21"/>
        </w:rPr>
        <w:t>1.8.1投标人的资格要求见投标人须知前附表</w:t>
      </w:r>
      <w:r>
        <w:rPr>
          <w:rFonts w:hint="eastAsia" w:ascii="宋体" w:hAnsi="宋体" w:cs="宋体"/>
          <w:kern w:val="0"/>
          <w:szCs w:val="21"/>
        </w:rPr>
        <w:t>；</w:t>
      </w:r>
    </w:p>
    <w:p>
      <w:pPr>
        <w:spacing w:line="360" w:lineRule="auto"/>
        <w:ind w:firstLine="420" w:firstLineChars="200"/>
        <w:jc w:val="left"/>
        <w:rPr>
          <w:rFonts w:ascii="宋体" w:hAnsi="宋体" w:cs="宋体"/>
          <w:szCs w:val="21"/>
        </w:rPr>
      </w:pPr>
      <w:r>
        <w:rPr>
          <w:rFonts w:hint="eastAsia" w:ascii="宋体" w:hAnsi="宋体" w:cs="宋体"/>
          <w:szCs w:val="21"/>
          <w:shd w:val="clear" w:color="auto" w:fill="FFFFFF"/>
        </w:rPr>
        <w:t>1.</w:t>
      </w:r>
      <w:r>
        <w:rPr>
          <w:rFonts w:hint="eastAsia" w:ascii="宋体" w:hAnsi="宋体" w:cs="宋体"/>
          <w:szCs w:val="21"/>
        </w:rPr>
        <w:t>8</w:t>
      </w:r>
      <w:r>
        <w:rPr>
          <w:rFonts w:hint="eastAsia" w:ascii="宋体" w:hAnsi="宋体" w:cs="宋体"/>
          <w:szCs w:val="21"/>
          <w:shd w:val="clear" w:color="auto" w:fill="FFFFFF"/>
        </w:rPr>
        <w:t>.2便于采购人完成评标定标工作，资质有效期应覆盖投标有效期，资质证书报名阶段没过期，开标时可能过期时须提供资质审批部门开具的证明，证明正在履行复验程序且无导致企业资质降级或撤销事由的书面证明。</w:t>
      </w:r>
    </w:p>
    <w:p>
      <w:pPr>
        <w:pStyle w:val="4"/>
        <w:spacing w:line="360" w:lineRule="auto"/>
        <w:ind w:firstLineChars="200"/>
        <w:rPr>
          <w:rFonts w:ascii="宋体" w:hAnsi="宋体" w:cs="宋体"/>
          <w:szCs w:val="21"/>
        </w:rPr>
      </w:pPr>
      <w:r>
        <w:rPr>
          <w:rFonts w:hint="eastAsia" w:ascii="宋体" w:hAnsi="宋体" w:cs="宋体"/>
          <w:szCs w:val="21"/>
          <w:shd w:val="clear" w:color="auto" w:fill="FFFFFF"/>
        </w:rPr>
        <w:t>1.</w:t>
      </w:r>
      <w:r>
        <w:rPr>
          <w:rFonts w:hint="eastAsia" w:ascii="宋体" w:hAnsi="宋体" w:cs="宋体"/>
          <w:szCs w:val="21"/>
        </w:rPr>
        <w:t>8</w:t>
      </w:r>
      <w:r>
        <w:rPr>
          <w:rFonts w:hint="eastAsia" w:ascii="宋体" w:hAnsi="宋体" w:cs="宋体"/>
          <w:szCs w:val="21"/>
          <w:shd w:val="clear" w:color="auto" w:fill="FFFFFF"/>
        </w:rPr>
        <w:t>.3</w:t>
      </w:r>
      <w:r>
        <w:rPr>
          <w:rFonts w:hint="eastAsia" w:ascii="宋体" w:hAnsi="宋体" w:cs="宋体"/>
          <w:szCs w:val="21"/>
        </w:rPr>
        <w:t>法律、法规规定的其他条件。</w:t>
      </w:r>
    </w:p>
    <w:p>
      <w:pPr>
        <w:widowControl/>
        <w:shd w:val="clear" w:color="auto" w:fill="FFFFFF"/>
        <w:snapToGrid w:val="0"/>
        <w:spacing w:line="360" w:lineRule="auto"/>
        <w:rPr>
          <w:rFonts w:ascii="宋体" w:hAnsi="宋体" w:cs="Arial"/>
          <w:b/>
          <w:bCs/>
          <w:kern w:val="0"/>
          <w:szCs w:val="21"/>
        </w:rPr>
      </w:pPr>
      <w:r>
        <w:rPr>
          <w:rFonts w:hint="eastAsia" w:ascii="宋体" w:hAnsi="宋体" w:cstheme="majorEastAsia"/>
          <w:b/>
          <w:szCs w:val="21"/>
        </w:rPr>
        <w:t>1.9</w:t>
      </w:r>
      <w:r>
        <w:rPr>
          <w:rFonts w:hint="eastAsia" w:ascii="宋体" w:hAnsi="宋体" w:cs="宋体"/>
          <w:b/>
          <w:bCs/>
          <w:szCs w:val="21"/>
        </w:rPr>
        <w:t>招标文件的约束力：</w:t>
      </w:r>
    </w:p>
    <w:p>
      <w:pPr>
        <w:pStyle w:val="8"/>
        <w:numPr>
          <w:ilvl w:val="0"/>
          <w:numId w:val="0"/>
        </w:numPr>
        <w:spacing w:line="360" w:lineRule="auto"/>
        <w:rPr>
          <w:rFonts w:ascii="宋体" w:hAnsi="宋体" w:eastAsia="宋体" w:cs="宋体"/>
          <w:kern w:val="0"/>
          <w:sz w:val="21"/>
          <w:szCs w:val="21"/>
        </w:rPr>
      </w:pPr>
      <w:r>
        <w:rPr>
          <w:rFonts w:hint="eastAsia" w:ascii="宋体" w:hAnsi="宋体" w:eastAsia="宋体" w:cs="宋体"/>
          <w:sz w:val="21"/>
          <w:szCs w:val="21"/>
        </w:rPr>
        <w:t xml:space="preserve">    投标人报名参与本项目即被认可接受本招标文件中的所有条款和规定。</w:t>
      </w:r>
    </w:p>
    <w:p>
      <w:pPr>
        <w:pStyle w:val="11"/>
        <w:rPr>
          <w:rFonts w:cs="宋体"/>
          <w:kern w:val="0"/>
          <w:szCs w:val="21"/>
        </w:rPr>
      </w:pPr>
    </w:p>
    <w:p>
      <w:pPr>
        <w:pStyle w:val="11"/>
        <w:rPr>
          <w:rFonts w:cs="宋体"/>
          <w:kern w:val="0"/>
          <w:szCs w:val="21"/>
        </w:rPr>
      </w:pPr>
    </w:p>
    <w:p>
      <w:pPr>
        <w:tabs>
          <w:tab w:val="center" w:pos="4832"/>
          <w:tab w:val="left" w:pos="7140"/>
        </w:tabs>
        <w:spacing w:line="360" w:lineRule="auto"/>
        <w:jc w:val="center"/>
        <w:outlineLvl w:val="1"/>
        <w:rPr>
          <w:rFonts w:ascii="宋体" w:hAnsi="宋体" w:cs="宋体"/>
          <w:b/>
          <w:szCs w:val="21"/>
        </w:rPr>
      </w:pPr>
      <w:bookmarkStart w:id="14" w:name="_Toc13635"/>
      <w:bookmarkStart w:id="15" w:name="_Toc25582"/>
      <w:r>
        <w:rPr>
          <w:rFonts w:hint="eastAsia" w:ascii="宋体" w:hAnsi="宋体" w:cs="宋体"/>
          <w:b/>
          <w:szCs w:val="21"/>
        </w:rPr>
        <w:t xml:space="preserve">第二节 </w:t>
      </w:r>
      <w:bookmarkEnd w:id="14"/>
      <w:r>
        <w:rPr>
          <w:rFonts w:hint="eastAsia" w:ascii="宋体" w:hAnsi="宋体" w:cs="宋体"/>
          <w:b/>
          <w:szCs w:val="21"/>
        </w:rPr>
        <w:t>招标文件</w:t>
      </w:r>
      <w:bookmarkEnd w:id="15"/>
    </w:p>
    <w:p>
      <w:pPr>
        <w:widowControl/>
        <w:shd w:val="clear" w:color="auto" w:fill="FFFFFF"/>
        <w:snapToGrid w:val="0"/>
        <w:spacing w:line="360" w:lineRule="auto"/>
        <w:rPr>
          <w:rFonts w:ascii="宋体" w:hAnsi="宋体" w:cs="Arial"/>
          <w:b/>
          <w:bCs/>
          <w:kern w:val="0"/>
          <w:szCs w:val="21"/>
        </w:rPr>
      </w:pPr>
      <w:r>
        <w:rPr>
          <w:rFonts w:ascii="宋体" w:hAnsi="宋体" w:cs="Arial"/>
          <w:b/>
          <w:bCs/>
          <w:kern w:val="0"/>
          <w:szCs w:val="21"/>
        </w:rPr>
        <w:t xml:space="preserve">2.1 </w:t>
      </w:r>
      <w:r>
        <w:rPr>
          <w:rFonts w:hint="eastAsia" w:ascii="宋体" w:hAnsi="宋体" w:cs="Arial"/>
          <w:b/>
          <w:bCs/>
          <w:kern w:val="0"/>
          <w:szCs w:val="21"/>
        </w:rPr>
        <w:t>招标文件的组成</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2.1.1招标公告；</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2.1.2投标人须知前附表；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2.1.3投标人须知</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2.1.4技术标准和服务要求；</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2.1.5投标文件格式（附文件后）；</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2.1.6补充条款。</w:t>
      </w:r>
    </w:p>
    <w:p>
      <w:pPr>
        <w:widowControl/>
        <w:shd w:val="clear" w:color="auto" w:fill="FFFFFF"/>
        <w:snapToGrid w:val="0"/>
        <w:spacing w:line="360" w:lineRule="auto"/>
        <w:rPr>
          <w:rFonts w:ascii="宋体" w:hAnsi="宋体" w:cs="Arial"/>
          <w:b/>
          <w:bCs/>
          <w:kern w:val="0"/>
          <w:szCs w:val="21"/>
        </w:rPr>
      </w:pPr>
      <w:r>
        <w:rPr>
          <w:rFonts w:ascii="宋体" w:hAnsi="宋体" w:cs="Arial"/>
          <w:b/>
          <w:bCs/>
          <w:kern w:val="0"/>
          <w:szCs w:val="21"/>
        </w:rPr>
        <w:t>2.</w:t>
      </w:r>
      <w:r>
        <w:rPr>
          <w:rFonts w:hint="eastAsia" w:ascii="宋体" w:hAnsi="宋体" w:cs="Arial"/>
          <w:b/>
          <w:bCs/>
          <w:kern w:val="0"/>
          <w:szCs w:val="21"/>
        </w:rPr>
        <w:t>2</w:t>
      </w:r>
      <w:r>
        <w:rPr>
          <w:rFonts w:ascii="宋体" w:hAnsi="宋体" w:cs="Arial"/>
          <w:b/>
          <w:bCs/>
          <w:kern w:val="0"/>
          <w:szCs w:val="21"/>
        </w:rPr>
        <w:t xml:space="preserve"> </w:t>
      </w:r>
      <w:r>
        <w:rPr>
          <w:rFonts w:hint="eastAsia" w:ascii="宋体" w:hAnsi="宋体" w:cs="Arial"/>
          <w:b/>
          <w:bCs/>
          <w:kern w:val="0"/>
          <w:szCs w:val="21"/>
        </w:rPr>
        <w:t>招标文件的澄清</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2</w:t>
      </w:r>
      <w:r>
        <w:rPr>
          <w:rFonts w:ascii="宋体" w:hAnsi="宋体" w:cs="Arial"/>
          <w:kern w:val="0"/>
          <w:szCs w:val="21"/>
        </w:rPr>
        <w:t xml:space="preserve">.1 </w:t>
      </w:r>
      <w:r>
        <w:rPr>
          <w:rFonts w:hint="eastAsia" w:ascii="宋体" w:hAnsi="宋体" w:cs="Arial"/>
          <w:kern w:val="0"/>
          <w:szCs w:val="21"/>
        </w:rPr>
        <w:t>投标人应当仔细阅读和检查招标文件的全部内容。如发现缺页或附件不全，应当及时向采购代理机构提出，以便补齐。如有疑问，应当在投标人须知前附表规定的时间、方式向采购代理机构提出，要求采购代理机构对招标文件予以澄清。</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2</w:t>
      </w:r>
      <w:r>
        <w:rPr>
          <w:rFonts w:ascii="宋体" w:hAnsi="宋体" w:cs="Arial"/>
          <w:kern w:val="0"/>
          <w:szCs w:val="21"/>
        </w:rPr>
        <w:t xml:space="preserve">.2 </w:t>
      </w:r>
      <w:r>
        <w:rPr>
          <w:rFonts w:hint="eastAsia" w:ascii="宋体" w:hAnsi="宋体" w:cs="Arial"/>
          <w:kern w:val="0"/>
          <w:szCs w:val="21"/>
        </w:rPr>
        <w:t>招标文件的澄清将按照投标人须知前附表规定的时间、方式发布，但不指明澄清问题的来源。</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2.3招标文件的修改</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.1 </w:t>
      </w:r>
      <w:r>
        <w:rPr>
          <w:rFonts w:hint="eastAsia" w:ascii="宋体" w:hAnsi="宋体" w:cs="Arial"/>
          <w:kern w:val="0"/>
          <w:szCs w:val="21"/>
        </w:rPr>
        <w:t>招标文件的修改将按照投标人须知前附表规定的时间、方式发布，但不指明澄清问题的来源。</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.2 </w:t>
      </w:r>
      <w:r>
        <w:rPr>
          <w:rFonts w:hint="eastAsia" w:ascii="宋体" w:hAnsi="宋体" w:cs="Arial"/>
          <w:kern w:val="0"/>
          <w:szCs w:val="21"/>
        </w:rPr>
        <w:t>在投标人须知前附表规定的截止时间前，无论出于何种原因，采购代理机构和采购人可主动地或在解答潜在投标人提出的澄清问题时对招标文件进行修改。</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.3 </w:t>
      </w:r>
      <w:r>
        <w:rPr>
          <w:rFonts w:hint="eastAsia" w:ascii="宋体" w:hAnsi="宋体" w:cs="Arial"/>
          <w:kern w:val="0"/>
          <w:szCs w:val="21"/>
        </w:rPr>
        <w:t>招标文件的修改部分是招标文件的组成部分对投标人具有约束力。</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.4 </w:t>
      </w:r>
      <w:r>
        <w:rPr>
          <w:rFonts w:hint="eastAsia" w:ascii="宋体" w:hAnsi="宋体" w:cs="Arial"/>
          <w:kern w:val="0"/>
          <w:szCs w:val="21"/>
        </w:rPr>
        <w:t>为使投标人准备投标时有充分时间对招标文件的修改部分进行研究，采购人可适当推迟投标截止期。</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.5 </w:t>
      </w:r>
      <w:r>
        <w:rPr>
          <w:rFonts w:hint="eastAsia" w:ascii="宋体" w:hAnsi="宋体" w:cs="Arial"/>
          <w:kern w:val="0"/>
          <w:szCs w:val="21"/>
        </w:rPr>
        <w:t>当采购人发放的招标文件及招标文件的答疑文件、修改文件、补充文件前后不一致，发生矛盾情况时，以最后发出的为准。</w:t>
      </w:r>
    </w:p>
    <w:p>
      <w:pPr>
        <w:tabs>
          <w:tab w:val="left" w:pos="630"/>
        </w:tabs>
        <w:spacing w:line="360" w:lineRule="auto"/>
        <w:ind w:firstLine="420" w:firstLineChars="200"/>
        <w:jc w:val="left"/>
        <w:textAlignment w:val="center"/>
        <w:rPr>
          <w:rFonts w:ascii="宋体" w:hAnsi="宋体" w:cstheme="majorEastAsia"/>
          <w:szCs w:val="21"/>
        </w:rPr>
      </w:pPr>
      <w:r>
        <w:rPr>
          <w:rFonts w:ascii="宋体" w:hAnsi="宋体" w:cs="Arial"/>
          <w:kern w:val="0"/>
          <w:szCs w:val="21"/>
        </w:rPr>
        <w:t>2.</w:t>
      </w:r>
      <w:r>
        <w:rPr>
          <w:rFonts w:hint="eastAsia" w:ascii="宋体" w:hAnsi="宋体" w:cs="Arial"/>
          <w:kern w:val="0"/>
          <w:szCs w:val="21"/>
        </w:rPr>
        <w:t>3</w:t>
      </w:r>
      <w:r>
        <w:rPr>
          <w:rFonts w:ascii="宋体" w:hAnsi="宋体" w:cs="Arial"/>
          <w:kern w:val="0"/>
          <w:szCs w:val="21"/>
        </w:rPr>
        <w:t xml:space="preserve">.6 </w:t>
      </w:r>
      <w:r>
        <w:rPr>
          <w:rFonts w:hint="eastAsia" w:ascii="宋体" w:hAnsi="宋体" w:cs="Arial"/>
          <w:kern w:val="0"/>
          <w:szCs w:val="21"/>
        </w:rPr>
        <w:t>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w:t>
      </w:r>
      <w:r>
        <w:rPr>
          <w:rFonts w:hint="eastAsia" w:ascii="宋体" w:hAnsi="宋体" w:cstheme="majorEastAsia"/>
          <w:szCs w:val="21"/>
        </w:rPr>
        <w:t>中标企业</w:t>
      </w:r>
      <w:r>
        <w:rPr>
          <w:rFonts w:hint="eastAsia" w:ascii="宋体" w:hAnsi="宋体" w:cs="Arial"/>
          <w:kern w:val="0"/>
          <w:szCs w:val="21"/>
        </w:rPr>
        <w:t>将必须接受由采购人依据合同有关条款而做出的书面澄清</w:t>
      </w:r>
      <w:r>
        <w:rPr>
          <w:rFonts w:hint="eastAsia" w:ascii="宋体" w:hAnsi="宋体" w:cstheme="majorEastAsia"/>
          <w:szCs w:val="21"/>
        </w:rPr>
        <w:t>。</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2.4保密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参与招标投标活动的各方应当对招标文件和投标文件中的商业和技术等秘密保密，否则应当承担相应的法律责任。</w:t>
      </w:r>
    </w:p>
    <w:p>
      <w:pPr>
        <w:pStyle w:val="4"/>
        <w:rPr>
          <w:rFonts w:ascii="宋体" w:hAnsi="宋体"/>
          <w:szCs w:val="21"/>
        </w:rPr>
      </w:pPr>
    </w:p>
    <w:p>
      <w:pPr>
        <w:tabs>
          <w:tab w:val="center" w:pos="4832"/>
          <w:tab w:val="left" w:pos="7140"/>
        </w:tabs>
        <w:spacing w:line="360" w:lineRule="auto"/>
        <w:jc w:val="center"/>
        <w:outlineLvl w:val="1"/>
        <w:rPr>
          <w:rFonts w:ascii="宋体" w:hAnsi="宋体" w:cs="宋体"/>
          <w:b/>
          <w:szCs w:val="21"/>
        </w:rPr>
      </w:pPr>
      <w:bookmarkStart w:id="16" w:name="_Toc9055"/>
      <w:r>
        <w:rPr>
          <w:rFonts w:hint="eastAsia" w:ascii="宋体" w:hAnsi="宋体" w:cs="宋体"/>
          <w:b/>
          <w:szCs w:val="21"/>
        </w:rPr>
        <w:t>第三节 投标文件</w:t>
      </w:r>
      <w:bookmarkEnd w:id="16"/>
    </w:p>
    <w:p>
      <w:pPr>
        <w:tabs>
          <w:tab w:val="left" w:pos="630"/>
        </w:tabs>
        <w:spacing w:line="360" w:lineRule="auto"/>
        <w:jc w:val="left"/>
        <w:textAlignment w:val="center"/>
        <w:rPr>
          <w:rFonts w:ascii="宋体" w:hAnsi="宋体" w:cstheme="majorEastAsia"/>
          <w:b/>
          <w:bCs/>
          <w:szCs w:val="21"/>
        </w:rPr>
      </w:pPr>
      <w:r>
        <w:rPr>
          <w:rFonts w:hint="eastAsia" w:ascii="宋体" w:hAnsi="宋体" w:cs="Arial"/>
          <w:b/>
          <w:bCs/>
          <w:kern w:val="0"/>
          <w:szCs w:val="21"/>
        </w:rPr>
        <w:t>3</w:t>
      </w:r>
      <w:r>
        <w:rPr>
          <w:rFonts w:ascii="宋体" w:hAnsi="宋体" w:cs="Arial"/>
          <w:b/>
          <w:bCs/>
          <w:kern w:val="0"/>
          <w:szCs w:val="21"/>
        </w:rPr>
        <w:t xml:space="preserve">.1 </w:t>
      </w:r>
      <w:r>
        <w:rPr>
          <w:rFonts w:hint="eastAsia" w:ascii="宋体" w:hAnsi="宋体" w:cs="Arial"/>
          <w:b/>
          <w:bCs/>
          <w:kern w:val="0"/>
          <w:szCs w:val="21"/>
        </w:rPr>
        <w:t>投标文件的组成</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（1）投标函</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（2）开标一览表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（3）法定代表人身份证明书</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（4）授权委托书</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（5）无重大违法记录的承诺书</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（6）投标人概况</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（7）项目负责人简历表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（8）项目管理人员表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（9）技术条款偏离表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（10）商务条款偏离表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（11）反商业贿赂承诺书</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（12）中小微企业声明函</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（13）资格声明</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（14）投标人近年类似项目业绩情况表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（15）供货计划</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（16）服务方案</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（17）其他需要提交的资料</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（18）其他需要提交的资料（根据招标文件的要求和投标人认为需要提供的资料）</w:t>
      </w:r>
    </w:p>
    <w:p>
      <w:pPr>
        <w:widowControl/>
        <w:shd w:val="clear" w:color="auto" w:fill="FFFFFF"/>
        <w:snapToGrid w:val="0"/>
        <w:spacing w:line="360" w:lineRule="auto"/>
        <w:rPr>
          <w:rFonts w:ascii="宋体" w:hAnsi="宋体" w:cs="Arial"/>
          <w:b/>
          <w:bCs/>
          <w:kern w:val="0"/>
          <w:szCs w:val="21"/>
        </w:rPr>
      </w:pPr>
      <w:r>
        <w:rPr>
          <w:rFonts w:ascii="宋体" w:hAnsi="宋体" w:cs="Arial"/>
          <w:b/>
          <w:bCs/>
          <w:kern w:val="0"/>
          <w:szCs w:val="21"/>
        </w:rPr>
        <w:t xml:space="preserve">3.2 </w:t>
      </w:r>
      <w:r>
        <w:rPr>
          <w:rFonts w:hint="eastAsia" w:ascii="宋体" w:hAnsi="宋体" w:cs="Arial"/>
          <w:b/>
          <w:bCs/>
          <w:kern w:val="0"/>
          <w:szCs w:val="21"/>
        </w:rPr>
        <w:t>投标价格</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 xml:space="preserve">3.2.1 </w:t>
      </w:r>
      <w:r>
        <w:rPr>
          <w:rFonts w:hint="eastAsia" w:ascii="宋体" w:hAnsi="宋体" w:cs="Arial"/>
          <w:kern w:val="0"/>
          <w:szCs w:val="21"/>
        </w:rPr>
        <w:t>投标人应当按第四章“技术标准和服务要求”的规定进行报价，并填写第五章“投标文件格式”中开标一览表（报价单）的投标报价表。</w:t>
      </w:r>
    </w:p>
    <w:p>
      <w:pPr>
        <w:widowControl/>
        <w:shd w:val="clear" w:color="auto" w:fill="FFFFFF"/>
        <w:snapToGrid w:val="0"/>
        <w:spacing w:line="360" w:lineRule="auto"/>
        <w:ind w:firstLine="420" w:firstLineChars="200"/>
        <w:rPr>
          <w:rFonts w:ascii="宋体" w:hAnsi="宋体" w:cs="Arial"/>
          <w:kern w:val="0"/>
          <w:szCs w:val="21"/>
        </w:rPr>
      </w:pPr>
      <w:r>
        <w:rPr>
          <w:rFonts w:ascii="宋体" w:hAnsi="宋体" w:cs="Arial"/>
          <w:kern w:val="0"/>
          <w:szCs w:val="21"/>
        </w:rPr>
        <w:t xml:space="preserve">3.2.2 </w:t>
      </w:r>
      <w:r>
        <w:rPr>
          <w:rFonts w:hint="eastAsia" w:ascii="宋体" w:hAnsi="宋体" w:cs="Arial"/>
          <w:kern w:val="0"/>
          <w:szCs w:val="21"/>
        </w:rPr>
        <w:t>投标人的投标价格不能超出本项目最高限价。</w:t>
      </w:r>
    </w:p>
    <w:p>
      <w:pPr>
        <w:tabs>
          <w:tab w:val="left" w:pos="630"/>
        </w:tabs>
        <w:spacing w:line="360" w:lineRule="auto"/>
        <w:ind w:firstLine="420" w:firstLineChars="200"/>
        <w:jc w:val="left"/>
        <w:textAlignment w:val="center"/>
        <w:rPr>
          <w:rFonts w:ascii="宋体" w:hAnsi="宋体" w:cstheme="majorEastAsia"/>
          <w:szCs w:val="21"/>
        </w:rPr>
      </w:pPr>
      <w:r>
        <w:rPr>
          <w:rFonts w:ascii="宋体" w:hAnsi="宋体" w:cs="Arial"/>
          <w:kern w:val="0"/>
          <w:szCs w:val="21"/>
        </w:rPr>
        <w:t>3.2.3</w:t>
      </w:r>
      <w:r>
        <w:rPr>
          <w:rFonts w:hint="eastAsia" w:ascii="宋体" w:hAnsi="宋体" w:cs="Arial"/>
          <w:kern w:val="0"/>
          <w:szCs w:val="21"/>
        </w:rPr>
        <w:t>投标人在投标截止时间前修改投标函中的投标报价的，应同时修改第五章“投标文件格式”中开标一览表（报价单）的相应报价。</w:t>
      </w:r>
    </w:p>
    <w:p>
      <w:pPr>
        <w:spacing w:line="360" w:lineRule="auto"/>
        <w:jc w:val="left"/>
        <w:rPr>
          <w:rFonts w:ascii="宋体" w:hAnsi="宋体" w:cstheme="majorEastAsia"/>
          <w:b/>
          <w:bCs/>
          <w:szCs w:val="21"/>
        </w:rPr>
      </w:pPr>
      <w:r>
        <w:rPr>
          <w:rFonts w:hint="eastAsia" w:ascii="宋体" w:hAnsi="宋体" w:cs="Arial"/>
          <w:b/>
          <w:bCs/>
          <w:kern w:val="0"/>
          <w:szCs w:val="21"/>
        </w:rPr>
        <w:t>3.3投标文件</w:t>
      </w:r>
      <w:r>
        <w:rPr>
          <w:rFonts w:hint="eastAsia" w:ascii="宋体" w:hAnsi="宋体" w:cstheme="majorEastAsia"/>
          <w:b/>
          <w:bCs/>
          <w:szCs w:val="21"/>
        </w:rPr>
        <w:t>密封</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3.3.1投标文件按标段分别编制递交，不允许将两个及以上标段的投标文件编制在一起，否则，届时其投标将被拒绝。</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3.3.2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 “投标文件格式”的要求。投标文件应尽量避免涂改、行间插字或删除。如果出现上述情况，改动之处应由投标人的法定代表人（单位负责人）或其授权的代理人签字或盖单位章。</w:t>
      </w:r>
    </w:p>
    <w:p>
      <w:pPr>
        <w:widowControl/>
        <w:shd w:val="clear" w:color="auto" w:fill="FFFFFF"/>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3.3.3投标人投标文件若有以下情况的采购代理机构有权拒绝：</w:t>
      </w:r>
    </w:p>
    <w:p>
      <w:pPr>
        <w:pStyle w:val="8"/>
        <w:numPr>
          <w:ilvl w:val="0"/>
          <w:numId w:val="0"/>
        </w:numPr>
        <w:spacing w:line="360" w:lineRule="auto"/>
        <w:ind w:firstLine="630" w:firstLineChars="300"/>
        <w:rPr>
          <w:rFonts w:ascii="宋体" w:hAnsi="宋体" w:eastAsia="宋体" w:cs="宋体"/>
          <w:kern w:val="0"/>
          <w:sz w:val="21"/>
          <w:szCs w:val="21"/>
        </w:rPr>
      </w:pPr>
      <w:r>
        <w:rPr>
          <w:rFonts w:hint="eastAsia" w:ascii="宋体" w:hAnsi="宋体" w:eastAsia="宋体" w:cs="宋体"/>
          <w:kern w:val="0"/>
          <w:sz w:val="21"/>
          <w:szCs w:val="21"/>
        </w:rPr>
        <w:t>①投标文件在递交截止时间后递交的；</w:t>
      </w:r>
    </w:p>
    <w:p>
      <w:pPr>
        <w:pStyle w:val="8"/>
        <w:numPr>
          <w:ilvl w:val="0"/>
          <w:numId w:val="0"/>
        </w:numPr>
        <w:spacing w:line="360" w:lineRule="auto"/>
        <w:ind w:firstLine="630" w:firstLineChars="300"/>
        <w:rPr>
          <w:rFonts w:ascii="宋体" w:hAnsi="宋体" w:eastAsia="宋体" w:cs="宋体"/>
          <w:kern w:val="0"/>
          <w:sz w:val="21"/>
          <w:szCs w:val="21"/>
        </w:rPr>
      </w:pPr>
      <w:r>
        <w:rPr>
          <w:rFonts w:hint="eastAsia" w:ascii="宋体" w:hAnsi="宋体" w:eastAsia="宋体" w:cs="宋体"/>
          <w:kern w:val="0"/>
          <w:sz w:val="21"/>
          <w:szCs w:val="21"/>
        </w:rPr>
        <w:t>②投标文件不完整或有附加条件的，有保留的，有涂改的，有变更的；</w:t>
      </w:r>
    </w:p>
    <w:p>
      <w:pPr>
        <w:widowControl/>
        <w:shd w:val="clear" w:color="auto" w:fill="FFFFFF"/>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3.3.4 投标文件格式</w:t>
      </w:r>
    </w:p>
    <w:p>
      <w:pPr>
        <w:widowControl/>
        <w:shd w:val="clear" w:color="auto" w:fill="FFFFFF"/>
        <w:snapToGrid w:val="0"/>
        <w:spacing w:line="360" w:lineRule="auto"/>
        <w:ind w:firstLine="630" w:firstLineChars="300"/>
        <w:rPr>
          <w:rFonts w:ascii="宋体" w:hAnsi="宋体" w:cs="Arial"/>
          <w:b/>
          <w:bCs/>
          <w:kern w:val="0"/>
          <w:szCs w:val="21"/>
        </w:rPr>
      </w:pPr>
      <w:r>
        <w:rPr>
          <w:rFonts w:hint="eastAsia" w:ascii="宋体" w:hAnsi="宋体" w:cs="宋体"/>
          <w:kern w:val="0"/>
          <w:szCs w:val="21"/>
        </w:rPr>
        <w:t>① 投标文件电子版要求包含投标文件全部内容，投标文件电子版与开标后提供的纸质版一致。</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投标文件应当对招标文件有关招标范围、技术与服务要求等实质性内容做出响应。</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宋体"/>
          <w:b/>
          <w:bCs/>
          <w:kern w:val="0"/>
          <w:szCs w:val="21"/>
        </w:rPr>
        <w:t>3.3.5</w:t>
      </w:r>
      <w:r>
        <w:rPr>
          <w:rFonts w:ascii="宋体" w:hAnsi="宋体" w:cs="Arial"/>
          <w:b/>
          <w:bCs/>
          <w:kern w:val="0"/>
          <w:szCs w:val="21"/>
        </w:rPr>
        <w:t xml:space="preserve"> </w:t>
      </w:r>
      <w:r>
        <w:rPr>
          <w:rFonts w:hint="eastAsia" w:ascii="宋体" w:hAnsi="宋体" w:cs="Arial"/>
          <w:b/>
          <w:bCs/>
          <w:kern w:val="0"/>
          <w:szCs w:val="21"/>
        </w:rPr>
        <w:t>投标文件的修改与撤回</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投标人递交投标文件后，在规定投标截止时间前，可以书面形式向采购人递交修改或撤回其投标文件的通知，采用电子采购交易方式，执行相关政策。</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修改的内容为投标文件的组成部分。修改的投标文件应按照本招标文件的规定进行编制、标记和递交，并标明“修改”字样。</w:t>
      </w:r>
    </w:p>
    <w:p>
      <w:pPr>
        <w:tabs>
          <w:tab w:val="center" w:pos="4832"/>
          <w:tab w:val="left" w:pos="7140"/>
        </w:tabs>
        <w:spacing w:line="360" w:lineRule="auto"/>
        <w:jc w:val="center"/>
        <w:outlineLvl w:val="1"/>
        <w:rPr>
          <w:rFonts w:ascii="宋体" w:hAnsi="宋体" w:cs="宋体"/>
          <w:b/>
          <w:szCs w:val="21"/>
        </w:rPr>
      </w:pPr>
      <w:bookmarkStart w:id="17" w:name="_Toc2117"/>
      <w:bookmarkStart w:id="18" w:name="_Toc12338"/>
    </w:p>
    <w:p>
      <w:pPr>
        <w:tabs>
          <w:tab w:val="center" w:pos="4832"/>
          <w:tab w:val="left" w:pos="7140"/>
        </w:tabs>
        <w:spacing w:line="360" w:lineRule="auto"/>
        <w:jc w:val="center"/>
        <w:outlineLvl w:val="1"/>
        <w:rPr>
          <w:rFonts w:ascii="宋体" w:hAnsi="宋体" w:cs="宋体"/>
          <w:b/>
          <w:szCs w:val="21"/>
        </w:rPr>
      </w:pPr>
      <w:r>
        <w:rPr>
          <w:rFonts w:hint="eastAsia" w:ascii="宋体" w:hAnsi="宋体" w:cs="宋体"/>
          <w:b/>
          <w:szCs w:val="21"/>
        </w:rPr>
        <w:t>第四节 纪律和监督</w:t>
      </w:r>
      <w:bookmarkEnd w:id="17"/>
      <w:bookmarkEnd w:id="18"/>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w:t>
      </w:r>
      <w:r>
        <w:rPr>
          <w:rFonts w:ascii="宋体" w:hAnsi="宋体" w:cs="Arial"/>
          <w:b/>
          <w:bCs/>
          <w:kern w:val="0"/>
          <w:szCs w:val="21"/>
        </w:rPr>
        <w:t xml:space="preserve">.1 </w:t>
      </w:r>
      <w:r>
        <w:rPr>
          <w:rFonts w:hint="eastAsia" w:ascii="宋体" w:hAnsi="宋体" w:cs="Arial"/>
          <w:b/>
          <w:bCs/>
          <w:kern w:val="0"/>
          <w:szCs w:val="21"/>
        </w:rPr>
        <w:t>对采购人的纪律要求</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采购人不得泄漏招标投标活动中应当保密的情况和资料，不得与投标人串通损害国家利益、社会公共利益或者他人合法权益。</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w:t>
      </w:r>
      <w:r>
        <w:rPr>
          <w:rFonts w:ascii="宋体" w:hAnsi="宋体" w:cs="Arial"/>
          <w:b/>
          <w:bCs/>
          <w:kern w:val="0"/>
          <w:szCs w:val="21"/>
        </w:rPr>
        <w:t xml:space="preserve">.2 </w:t>
      </w:r>
      <w:r>
        <w:rPr>
          <w:rFonts w:hint="eastAsia" w:ascii="宋体" w:hAnsi="宋体" w:cs="Arial"/>
          <w:b/>
          <w:bCs/>
          <w:kern w:val="0"/>
          <w:szCs w:val="21"/>
        </w:rPr>
        <w:t>对投标人的纪律要求</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投标人有下列情形之一的，视为投标人串通投标，其投标无效：</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4.2.1不同投标人的投标文件由同一单位或者个人编制；</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4.2.2不同投标人委托同一单位或者个人办理投标事宜；</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4.2.3不同投标人的投标文件载明的项目管理成员或者联系人员为同一人；</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4.2.4</w:t>
      </w:r>
      <w:r>
        <w:rPr>
          <w:rFonts w:hint="eastAsia" w:ascii="宋体" w:hAnsi="宋体" w:cs="宋体"/>
          <w:kern w:val="0"/>
          <w:szCs w:val="21"/>
        </w:rPr>
        <w:t>不同投标人的投标文件异常一致或者投标报价呈现规律性差异；</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4.2.5不同投标人的投标文件相互混装；</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Arial"/>
          <w:kern w:val="0"/>
          <w:szCs w:val="21"/>
        </w:rPr>
        <w:t>4.2.6</w:t>
      </w:r>
      <w:r>
        <w:rPr>
          <w:rFonts w:hint="eastAsia" w:ascii="宋体" w:hAnsi="宋体" w:cs="宋体"/>
          <w:kern w:val="0"/>
          <w:szCs w:val="21"/>
        </w:rPr>
        <w:t>不同投标人的投标保证金从同一单位或者个人的账户转出。</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w:t>
      </w:r>
      <w:r>
        <w:rPr>
          <w:rFonts w:ascii="宋体" w:hAnsi="宋体" w:cs="Arial"/>
          <w:b/>
          <w:bCs/>
          <w:kern w:val="0"/>
          <w:szCs w:val="21"/>
        </w:rPr>
        <w:t xml:space="preserve">.3 </w:t>
      </w:r>
      <w:r>
        <w:rPr>
          <w:rFonts w:hint="eastAsia" w:ascii="宋体" w:hAnsi="宋体" w:cs="Arial"/>
          <w:b/>
          <w:bCs/>
          <w:kern w:val="0"/>
          <w:szCs w:val="21"/>
        </w:rPr>
        <w:t>对评标委员会成员的纪律要求</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评标办法没有规定的评审因素和标准进行评标。</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w:t>
      </w:r>
      <w:r>
        <w:rPr>
          <w:rFonts w:ascii="宋体" w:hAnsi="宋体" w:cs="Arial"/>
          <w:b/>
          <w:bCs/>
          <w:kern w:val="0"/>
          <w:szCs w:val="21"/>
        </w:rPr>
        <w:t xml:space="preserve">.4 </w:t>
      </w:r>
      <w:r>
        <w:rPr>
          <w:rFonts w:hint="eastAsia" w:ascii="宋体" w:hAnsi="宋体" w:cs="Arial"/>
          <w:b/>
          <w:bCs/>
          <w:kern w:val="0"/>
          <w:szCs w:val="21"/>
        </w:rPr>
        <w:t>对与评标活动有关的工作人员的纪律要求</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w:t>
      </w:r>
      <w:r>
        <w:rPr>
          <w:rFonts w:ascii="宋体" w:hAnsi="宋体" w:cs="Arial"/>
          <w:b/>
          <w:bCs/>
          <w:kern w:val="0"/>
          <w:szCs w:val="21"/>
        </w:rPr>
        <w:t xml:space="preserve">.5 </w:t>
      </w:r>
      <w:r>
        <w:rPr>
          <w:rFonts w:hint="eastAsia" w:ascii="宋体" w:hAnsi="宋体" w:cs="Arial"/>
          <w:b/>
          <w:bCs/>
          <w:kern w:val="0"/>
          <w:szCs w:val="21"/>
        </w:rPr>
        <w:t>监督</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本项目的招标投标活动及其相关当事人应当接受有管辖权的监督部门依法实施的监督。</w:t>
      </w:r>
    </w:p>
    <w:p>
      <w:pPr>
        <w:pStyle w:val="2"/>
        <w:rPr>
          <w:rFonts w:ascii="宋体" w:hAnsi="宋体" w:eastAsia="宋体"/>
          <w:sz w:val="21"/>
          <w:szCs w:val="21"/>
        </w:rPr>
      </w:pPr>
    </w:p>
    <w:p>
      <w:pPr>
        <w:tabs>
          <w:tab w:val="center" w:pos="4832"/>
          <w:tab w:val="left" w:pos="7140"/>
        </w:tabs>
        <w:spacing w:line="360" w:lineRule="auto"/>
        <w:jc w:val="center"/>
        <w:outlineLvl w:val="1"/>
        <w:rPr>
          <w:rFonts w:ascii="宋体" w:hAnsi="宋体" w:cs="宋体"/>
          <w:szCs w:val="21"/>
        </w:rPr>
      </w:pPr>
      <w:bookmarkStart w:id="19" w:name="_Toc5106"/>
      <w:bookmarkStart w:id="20" w:name="_Toc28529"/>
      <w:r>
        <w:rPr>
          <w:rFonts w:hint="eastAsia" w:ascii="宋体" w:hAnsi="宋体" w:cs="宋体"/>
          <w:b/>
          <w:szCs w:val="21"/>
        </w:rPr>
        <w:t>第五节 询问、质疑和投诉</w:t>
      </w:r>
      <w:bookmarkEnd w:id="19"/>
      <w:bookmarkEnd w:id="20"/>
    </w:p>
    <w:p>
      <w:pPr>
        <w:spacing w:line="360" w:lineRule="auto"/>
        <w:rPr>
          <w:rFonts w:ascii="宋体" w:hAnsi="宋体" w:cs="宋体"/>
          <w:b/>
          <w:bCs/>
          <w:szCs w:val="21"/>
        </w:rPr>
      </w:pPr>
      <w:r>
        <w:rPr>
          <w:rFonts w:hint="eastAsia" w:ascii="宋体" w:hAnsi="宋体" w:cs="宋体"/>
          <w:b/>
          <w:bCs/>
          <w:szCs w:val="21"/>
        </w:rPr>
        <w:t>5.1 询问</w:t>
      </w:r>
    </w:p>
    <w:p>
      <w:pPr>
        <w:spacing w:line="360" w:lineRule="auto"/>
        <w:ind w:firstLine="420" w:firstLineChars="200"/>
        <w:rPr>
          <w:rFonts w:ascii="宋体" w:hAnsi="宋体" w:cs="宋体"/>
          <w:szCs w:val="21"/>
          <w:lang w:val="zh-CN"/>
        </w:rPr>
      </w:pPr>
      <w:r>
        <w:rPr>
          <w:rFonts w:hint="eastAsia" w:ascii="宋体" w:hAnsi="宋体" w:cs="宋体"/>
          <w:szCs w:val="21"/>
          <w:lang w:val="zh-CN"/>
        </w:rPr>
        <w:t>投标人对采购活动事项有疑问的，可以提出询问，我公司将在两个工作日内作出答复，但答复的内容不涉及商业秘密。</w:t>
      </w:r>
    </w:p>
    <w:p>
      <w:pPr>
        <w:spacing w:line="360" w:lineRule="auto"/>
        <w:rPr>
          <w:rFonts w:ascii="宋体" w:hAnsi="宋体" w:cs="宋体"/>
          <w:b/>
          <w:bCs/>
          <w:szCs w:val="21"/>
        </w:rPr>
      </w:pPr>
      <w:r>
        <w:rPr>
          <w:rFonts w:hint="eastAsia" w:ascii="宋体" w:hAnsi="宋体" w:cs="宋体"/>
          <w:b/>
          <w:bCs/>
          <w:szCs w:val="21"/>
        </w:rPr>
        <w:t>5.2 质疑</w:t>
      </w:r>
    </w:p>
    <w:p>
      <w:pPr>
        <w:spacing w:line="360" w:lineRule="auto"/>
        <w:ind w:firstLine="420" w:firstLineChars="200"/>
        <w:rPr>
          <w:rFonts w:ascii="宋体" w:hAnsi="宋体" w:cs="宋体"/>
          <w:szCs w:val="21"/>
        </w:rPr>
      </w:pPr>
      <w:r>
        <w:rPr>
          <w:rFonts w:hint="eastAsia" w:ascii="宋体" w:hAnsi="宋体" w:cs="宋体"/>
          <w:szCs w:val="21"/>
        </w:rPr>
        <w:t>5.2.1提出质疑的</w:t>
      </w:r>
      <w:r>
        <w:rPr>
          <w:rFonts w:hint="eastAsia" w:ascii="宋体" w:hAnsi="宋体" w:cs="宋体"/>
          <w:szCs w:val="21"/>
          <w:lang w:val="zh-CN"/>
        </w:rPr>
        <w:t>投标人</w:t>
      </w:r>
      <w:r>
        <w:rPr>
          <w:rFonts w:hint="eastAsia" w:ascii="宋体" w:hAnsi="宋体" w:cs="宋体"/>
          <w:szCs w:val="21"/>
        </w:rPr>
        <w:t>应当是参与所质疑项目采购活动的供应商。潜在供应商依法获取其可质疑的采购文件的，可以对采购文件提出质疑。</w:t>
      </w:r>
    </w:p>
    <w:p>
      <w:pPr>
        <w:snapToGrid w:val="0"/>
        <w:spacing w:line="360" w:lineRule="auto"/>
        <w:ind w:firstLine="480"/>
        <w:rPr>
          <w:rFonts w:ascii="宋体" w:hAnsi="宋体" w:cs="宋体"/>
          <w:kern w:val="0"/>
          <w:szCs w:val="21"/>
        </w:rPr>
      </w:pPr>
      <w:r>
        <w:rPr>
          <w:rFonts w:hint="eastAsia" w:ascii="宋体" w:hAnsi="宋体" w:cs="宋体"/>
          <w:szCs w:val="21"/>
        </w:rPr>
        <w:t>5.2.2</w:t>
      </w:r>
      <w:r>
        <w:rPr>
          <w:rFonts w:hint="eastAsia" w:ascii="宋体" w:hAnsi="宋体" w:cs="宋体"/>
          <w:szCs w:val="21"/>
          <w:lang w:val="zh-CN"/>
        </w:rPr>
        <w:t>投标人</w:t>
      </w:r>
      <w:r>
        <w:rPr>
          <w:rFonts w:hint="eastAsia" w:ascii="宋体" w:hAnsi="宋体" w:cs="宋体"/>
          <w:szCs w:val="21"/>
        </w:rPr>
        <w:t>认为采购文件、采购过程和采购结果使自己的权益受到损害的，可以在知道或应知其权益受到损害之日起七个工作日内，以书面形式提出质疑。</w:t>
      </w:r>
    </w:p>
    <w:p>
      <w:pPr>
        <w:snapToGrid w:val="0"/>
        <w:spacing w:line="360" w:lineRule="auto"/>
        <w:ind w:firstLine="480"/>
        <w:rPr>
          <w:rFonts w:ascii="宋体" w:hAnsi="宋体" w:cs="宋体"/>
          <w:kern w:val="0"/>
          <w:szCs w:val="21"/>
        </w:rPr>
      </w:pPr>
      <w:r>
        <w:rPr>
          <w:rFonts w:hint="eastAsia" w:ascii="宋体" w:hAnsi="宋体" w:cs="宋体"/>
          <w:szCs w:val="21"/>
        </w:rPr>
        <w:t>5.2.3</w:t>
      </w:r>
      <w:r>
        <w:rPr>
          <w:rFonts w:hint="eastAsia" w:ascii="宋体" w:hAnsi="宋体" w:cs="宋体"/>
          <w:szCs w:val="21"/>
          <w:lang w:val="zh-CN"/>
        </w:rPr>
        <w:t>投标人</w:t>
      </w:r>
      <w:r>
        <w:rPr>
          <w:rFonts w:hint="eastAsia" w:ascii="宋体" w:hAnsi="宋体" w:cs="宋体"/>
          <w:kern w:val="0"/>
          <w:szCs w:val="21"/>
        </w:rPr>
        <w:t>应当在法定质疑期内一次性提出针对同一采购程序环节的质疑。</w:t>
      </w:r>
      <w:r>
        <w:rPr>
          <w:rFonts w:hint="eastAsia" w:ascii="宋体" w:hAnsi="宋体" w:cs="宋体"/>
          <w:szCs w:val="21"/>
          <w:lang w:val="zh-CN"/>
        </w:rPr>
        <w:t>投标人</w:t>
      </w:r>
      <w:r>
        <w:rPr>
          <w:rFonts w:hint="eastAsia" w:ascii="宋体" w:hAnsi="宋体" w:cs="宋体"/>
          <w:kern w:val="0"/>
          <w:szCs w:val="21"/>
        </w:rPr>
        <w:t>如在法定期限内对同一采购程序环节提出多次质疑的，将只对供应商第一次质疑作出答复。</w:t>
      </w:r>
    </w:p>
    <w:p>
      <w:pPr>
        <w:snapToGrid w:val="0"/>
        <w:spacing w:line="360" w:lineRule="auto"/>
        <w:ind w:firstLine="480"/>
        <w:rPr>
          <w:rFonts w:ascii="宋体" w:hAnsi="宋体" w:cs="宋体"/>
          <w:szCs w:val="21"/>
        </w:rPr>
      </w:pPr>
      <w:r>
        <w:rPr>
          <w:rFonts w:hint="eastAsia" w:ascii="宋体" w:hAnsi="宋体" w:cs="宋体"/>
          <w:szCs w:val="21"/>
        </w:rPr>
        <w:t>5.2.4质疑函必须按要求的格式和内容进行填写。</w:t>
      </w:r>
      <w:r>
        <w:rPr>
          <w:rFonts w:hint="eastAsia" w:ascii="宋体" w:hAnsi="宋体" w:cs="宋体"/>
          <w:szCs w:val="21"/>
          <w:lang w:val="zh-CN"/>
        </w:rPr>
        <w:t>投标人</w:t>
      </w:r>
      <w:r>
        <w:rPr>
          <w:rFonts w:hint="eastAsia" w:ascii="宋体" w:hAnsi="宋体" w:cs="宋体"/>
          <w:szCs w:val="21"/>
        </w:rPr>
        <w:t>如组成联合体参加投标，则《质疑函范本》中要求签字、盖章、加盖公章之处，联合体各方均须按要求签字、盖章、加盖公章。</w:t>
      </w:r>
    </w:p>
    <w:p>
      <w:pPr>
        <w:snapToGrid w:val="0"/>
        <w:spacing w:line="360" w:lineRule="auto"/>
        <w:ind w:firstLine="480"/>
        <w:rPr>
          <w:rFonts w:ascii="宋体" w:hAnsi="宋体" w:cs="宋体"/>
          <w:szCs w:val="21"/>
        </w:rPr>
      </w:pPr>
      <w:r>
        <w:rPr>
          <w:rFonts w:hint="eastAsia" w:ascii="宋体" w:hAnsi="宋体" w:cs="宋体"/>
          <w:szCs w:val="21"/>
        </w:rPr>
        <w:t>5.2.5只接收以纸质原件形式送达的质疑。项目开标前的质疑（针对采购文件的质疑），由采购人负责回复答疑。项目开评标中评标结束后由代理公司负责回复。</w:t>
      </w:r>
    </w:p>
    <w:p>
      <w:pPr>
        <w:snapToGrid w:val="0"/>
        <w:spacing w:line="360" w:lineRule="auto"/>
        <w:ind w:firstLine="480"/>
        <w:rPr>
          <w:rFonts w:ascii="宋体" w:hAnsi="宋体" w:cs="宋体"/>
          <w:szCs w:val="21"/>
        </w:rPr>
      </w:pPr>
      <w:r>
        <w:rPr>
          <w:rFonts w:hint="eastAsia" w:ascii="宋体" w:hAnsi="宋体" w:cs="宋体"/>
          <w:szCs w:val="21"/>
        </w:rPr>
        <w:t>开标前、后质疑（针对采购文件的质疑）接收人：本项目采购单位联系人，联系地址：见第一章 。</w:t>
      </w:r>
    </w:p>
    <w:p>
      <w:pPr>
        <w:snapToGrid w:val="0"/>
        <w:spacing w:line="360" w:lineRule="auto"/>
        <w:ind w:firstLine="480"/>
        <w:rPr>
          <w:rFonts w:ascii="宋体" w:hAnsi="宋体" w:cs="宋体"/>
          <w:szCs w:val="21"/>
        </w:rPr>
      </w:pPr>
      <w:r>
        <w:rPr>
          <w:rFonts w:hint="eastAsia" w:ascii="宋体" w:hAnsi="宋体" w:cs="宋体"/>
          <w:szCs w:val="21"/>
        </w:rPr>
        <w:t>5.2.6以下情形的质疑不予受理</w:t>
      </w:r>
    </w:p>
    <w:p>
      <w:pPr>
        <w:snapToGrid w:val="0"/>
        <w:spacing w:line="360" w:lineRule="auto"/>
        <w:ind w:firstLine="480"/>
        <w:rPr>
          <w:rFonts w:ascii="宋体" w:hAnsi="宋体" w:cs="宋体"/>
          <w:szCs w:val="21"/>
        </w:rPr>
      </w:pPr>
      <w:r>
        <w:rPr>
          <w:rFonts w:hint="eastAsia" w:ascii="宋体" w:hAnsi="宋体" w:cs="宋体"/>
          <w:szCs w:val="21"/>
        </w:rPr>
        <w:t>①内容不符合《政府采购质疑和投诉办法》第十二条规定的质疑。</w:t>
      </w:r>
    </w:p>
    <w:p>
      <w:pPr>
        <w:snapToGrid w:val="0"/>
        <w:spacing w:line="360" w:lineRule="auto"/>
        <w:ind w:firstLine="480"/>
        <w:rPr>
          <w:rFonts w:ascii="宋体" w:hAnsi="宋体" w:cs="宋体"/>
          <w:szCs w:val="21"/>
        </w:rPr>
      </w:pPr>
      <w:r>
        <w:rPr>
          <w:rFonts w:hint="eastAsia" w:ascii="宋体" w:hAnsi="宋体" w:cs="宋体"/>
          <w:szCs w:val="21"/>
        </w:rPr>
        <w:t>②超出政府采购法定期限的质疑。</w:t>
      </w:r>
    </w:p>
    <w:p>
      <w:pPr>
        <w:snapToGrid w:val="0"/>
        <w:spacing w:line="360" w:lineRule="auto"/>
        <w:ind w:firstLine="480"/>
        <w:rPr>
          <w:rFonts w:ascii="宋体" w:hAnsi="宋体" w:cs="宋体"/>
          <w:szCs w:val="21"/>
        </w:rPr>
      </w:pPr>
      <w:r>
        <w:rPr>
          <w:rFonts w:hint="eastAsia" w:ascii="宋体" w:hAnsi="宋体" w:cs="宋体"/>
          <w:szCs w:val="21"/>
        </w:rPr>
        <w:t>③以传真、电子邮件等方式递交的非原件形式的质疑。</w:t>
      </w:r>
    </w:p>
    <w:p>
      <w:pPr>
        <w:snapToGrid w:val="0"/>
        <w:spacing w:line="360" w:lineRule="auto"/>
        <w:ind w:firstLine="480"/>
        <w:rPr>
          <w:rFonts w:ascii="宋体" w:hAnsi="宋体" w:cs="宋体"/>
          <w:szCs w:val="21"/>
        </w:rPr>
      </w:pPr>
      <w:r>
        <w:rPr>
          <w:rFonts w:hint="eastAsia" w:ascii="宋体" w:hAnsi="宋体" w:cs="宋体"/>
          <w:szCs w:val="21"/>
        </w:rPr>
        <w:t>④未参加投标活动的投标人或在投标活动中自身权益未受到损害的投标人所提出的质疑。</w:t>
      </w:r>
    </w:p>
    <w:p>
      <w:pPr>
        <w:snapToGrid w:val="0"/>
        <w:spacing w:line="360" w:lineRule="auto"/>
        <w:ind w:firstLine="480"/>
        <w:rPr>
          <w:rFonts w:ascii="宋体" w:hAnsi="宋体" w:cs="宋体"/>
          <w:szCs w:val="21"/>
        </w:rPr>
      </w:pPr>
      <w:r>
        <w:rPr>
          <w:rFonts w:hint="eastAsia" w:ascii="宋体" w:hAnsi="宋体" w:cs="宋体"/>
          <w:szCs w:val="21"/>
        </w:rPr>
        <w:t>⑤投标人组成联合体参加投标，联合体中任何一方或多方未按要求签字、盖章、加盖公章的质疑。</w:t>
      </w:r>
    </w:p>
    <w:p>
      <w:pPr>
        <w:spacing w:line="360" w:lineRule="auto"/>
        <w:ind w:firstLine="420" w:firstLineChars="200"/>
        <w:rPr>
          <w:rFonts w:ascii="宋体" w:hAnsi="宋体" w:cs="宋体"/>
          <w:szCs w:val="21"/>
        </w:rPr>
      </w:pPr>
      <w:r>
        <w:rPr>
          <w:rFonts w:hint="eastAsia" w:ascii="宋体" w:hAnsi="宋体" w:cs="宋体"/>
          <w:szCs w:val="21"/>
        </w:rPr>
        <w:t>5.2.7投标人提出书面质疑必须有理、有据，不得捏造事实、提供虚假材料进行恶意质疑。否则，一经查实，依据政府采购的有关规定，报请政府采购监管部门对该投标人进行相应的行政处罚和记录该供应商的失信信息。</w:t>
      </w:r>
    </w:p>
    <w:p>
      <w:pPr>
        <w:spacing w:line="360" w:lineRule="auto"/>
        <w:rPr>
          <w:rFonts w:ascii="宋体" w:hAnsi="宋体" w:cs="宋体"/>
          <w:b/>
          <w:bCs/>
          <w:szCs w:val="21"/>
        </w:rPr>
      </w:pPr>
      <w:r>
        <w:rPr>
          <w:rFonts w:hint="eastAsia" w:ascii="宋体" w:hAnsi="宋体" w:cs="宋体"/>
          <w:b/>
          <w:bCs/>
          <w:szCs w:val="21"/>
        </w:rPr>
        <w:t>5.3 投诉</w:t>
      </w:r>
    </w:p>
    <w:p>
      <w:pPr>
        <w:spacing w:line="360" w:lineRule="auto"/>
        <w:ind w:firstLine="420" w:firstLineChars="200"/>
        <w:rPr>
          <w:rFonts w:ascii="宋体" w:hAnsi="宋体"/>
          <w:szCs w:val="21"/>
        </w:rPr>
      </w:pPr>
      <w:r>
        <w:rPr>
          <w:rFonts w:hint="eastAsia" w:ascii="宋体" w:hAnsi="宋体" w:cs="宋体"/>
          <w:szCs w:val="21"/>
          <w:lang w:val="zh-CN"/>
        </w:rPr>
        <w:t>质疑供应商对我单位的答复不满意，或未在规定的时间内作出答复的，可以在答复期满</w:t>
      </w:r>
      <w:r>
        <w:rPr>
          <w:rFonts w:hint="eastAsia" w:ascii="宋体" w:hAnsi="宋体" w:cs="宋体"/>
          <w:szCs w:val="21"/>
        </w:rPr>
        <w:t>后十五个工作日内向财政局</w:t>
      </w:r>
      <w:r>
        <w:rPr>
          <w:rFonts w:hint="eastAsia" w:ascii="宋体" w:hAnsi="宋体" w:cs="宋体"/>
          <w:szCs w:val="21"/>
          <w:lang w:val="zh-CN"/>
        </w:rPr>
        <w:t>投诉。</w:t>
      </w:r>
      <w:bookmarkStart w:id="21" w:name="_BookMark_1"/>
      <w:bookmarkEnd w:id="21"/>
    </w:p>
    <w:p>
      <w:pPr>
        <w:pStyle w:val="8"/>
        <w:numPr>
          <w:ilvl w:val="0"/>
          <w:numId w:val="0"/>
        </w:numPr>
        <w:rPr>
          <w:rFonts w:ascii="宋体" w:hAnsi="宋体" w:eastAsia="宋体"/>
          <w:sz w:val="21"/>
          <w:szCs w:val="21"/>
        </w:rPr>
      </w:pPr>
    </w:p>
    <w:p>
      <w:pPr>
        <w:pStyle w:val="8"/>
        <w:numPr>
          <w:ilvl w:val="0"/>
          <w:numId w:val="0"/>
        </w:numPr>
        <w:rPr>
          <w:rFonts w:ascii="宋体" w:hAnsi="宋体" w:eastAsia="宋体"/>
          <w:sz w:val="21"/>
          <w:szCs w:val="21"/>
        </w:rPr>
      </w:pPr>
    </w:p>
    <w:p>
      <w:pPr>
        <w:tabs>
          <w:tab w:val="center" w:pos="4832"/>
          <w:tab w:val="left" w:pos="7140"/>
        </w:tabs>
        <w:spacing w:line="360" w:lineRule="auto"/>
        <w:jc w:val="center"/>
        <w:outlineLvl w:val="1"/>
        <w:rPr>
          <w:rFonts w:ascii="宋体" w:hAnsi="宋体" w:cs="宋体"/>
          <w:b/>
          <w:szCs w:val="21"/>
        </w:rPr>
      </w:pPr>
      <w:bookmarkStart w:id="22" w:name="_Toc27389"/>
      <w:r>
        <w:rPr>
          <w:rFonts w:hint="eastAsia" w:ascii="宋体" w:hAnsi="宋体" w:cs="宋体"/>
          <w:b/>
          <w:szCs w:val="21"/>
        </w:rPr>
        <w:t>第六节 评标</w:t>
      </w:r>
      <w:bookmarkEnd w:id="22"/>
    </w:p>
    <w:p>
      <w:pPr>
        <w:tabs>
          <w:tab w:val="left" w:pos="630"/>
        </w:tabs>
        <w:spacing w:line="360" w:lineRule="auto"/>
        <w:jc w:val="left"/>
        <w:textAlignment w:val="center"/>
        <w:rPr>
          <w:rFonts w:ascii="宋体" w:hAnsi="宋体" w:cstheme="majorEastAsia"/>
          <w:b/>
          <w:bCs/>
          <w:szCs w:val="21"/>
        </w:rPr>
      </w:pPr>
      <w:r>
        <w:rPr>
          <w:rFonts w:hint="eastAsia" w:ascii="宋体" w:hAnsi="宋体" w:cs="Arial"/>
          <w:b/>
          <w:bCs/>
          <w:kern w:val="0"/>
          <w:szCs w:val="21"/>
        </w:rPr>
        <w:t>6</w:t>
      </w:r>
      <w:r>
        <w:rPr>
          <w:rFonts w:ascii="宋体" w:hAnsi="宋体" w:cs="Arial"/>
          <w:b/>
          <w:bCs/>
          <w:kern w:val="0"/>
          <w:szCs w:val="21"/>
        </w:rPr>
        <w:t>.</w:t>
      </w:r>
      <w:r>
        <w:rPr>
          <w:rFonts w:hint="eastAsia" w:ascii="宋体" w:hAnsi="宋体" w:cs="Arial"/>
          <w:b/>
          <w:bCs/>
          <w:kern w:val="0"/>
          <w:szCs w:val="21"/>
        </w:rPr>
        <w:t>1</w:t>
      </w:r>
      <w:r>
        <w:rPr>
          <w:rFonts w:hint="eastAsia" w:ascii="宋体" w:hAnsi="宋体" w:cstheme="majorEastAsia"/>
          <w:b/>
          <w:bCs/>
          <w:szCs w:val="21"/>
        </w:rPr>
        <w:t xml:space="preserve"> 评标委员会</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w:t>
      </w:r>
      <w:r>
        <w:rPr>
          <w:rFonts w:ascii="宋体" w:hAnsi="宋体" w:cs="Arial"/>
          <w:kern w:val="0"/>
          <w:szCs w:val="21"/>
        </w:rPr>
        <w:t xml:space="preserve">.1.1 </w:t>
      </w:r>
      <w:r>
        <w:rPr>
          <w:rFonts w:hint="eastAsia" w:ascii="宋体" w:hAnsi="宋体" w:cs="Arial"/>
          <w:kern w:val="0"/>
          <w:szCs w:val="21"/>
        </w:rPr>
        <w:t>评标由采购人按照《政府采购评审专家管理办法》财库〔2016〕198号，依法组建的评标委员会负责。</w:t>
      </w:r>
      <w:r>
        <w:rPr>
          <w:rFonts w:hint="eastAsia" w:ascii="宋体" w:hAnsi="宋体" w:cs="Arial"/>
          <w:b/>
          <w:bCs/>
          <w:kern w:val="0"/>
          <w:szCs w:val="21"/>
        </w:rPr>
        <w:t>评标委员会由采购人1人和评审专家4人，共5人组成。</w:t>
      </w:r>
      <w:r>
        <w:rPr>
          <w:rFonts w:hint="eastAsia" w:ascii="宋体" w:hAnsi="宋体" w:cs="Arial"/>
          <w:kern w:val="0"/>
          <w:szCs w:val="21"/>
        </w:rPr>
        <w:t>根据项目特点，于开标前从评审专家库中随机抽取专家组建评标委员会。评标委员会在监督人员的监督下独立完成评标工作，负责对投标文件进行审查、质询、评审、推选中标候选人。</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w:t>
      </w:r>
      <w:r>
        <w:rPr>
          <w:rFonts w:ascii="宋体" w:hAnsi="宋体" w:cs="Arial"/>
          <w:kern w:val="0"/>
          <w:szCs w:val="21"/>
        </w:rPr>
        <w:t xml:space="preserve">.1.2 </w:t>
      </w:r>
      <w:r>
        <w:rPr>
          <w:rFonts w:hint="eastAsia" w:ascii="宋体" w:hAnsi="宋体" w:cs="Arial"/>
          <w:kern w:val="0"/>
          <w:szCs w:val="21"/>
        </w:rPr>
        <w:t>评标委员会按照规定履行下列职责：</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承担投标文件的审核工作，并作出评价；</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要求投标人对投标文件有关事宜作出澄清或答复；</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③ </w:t>
      </w:r>
      <w:r>
        <w:rPr>
          <w:rFonts w:hint="eastAsia" w:ascii="宋体" w:hAnsi="宋体" w:cs="Arial"/>
          <w:kern w:val="0"/>
          <w:szCs w:val="21"/>
        </w:rPr>
        <w:t>对质疑问题的审议工作；</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④ </w:t>
      </w:r>
      <w:r>
        <w:rPr>
          <w:rFonts w:hint="eastAsia" w:ascii="宋体" w:hAnsi="宋体" w:cs="Arial"/>
          <w:kern w:val="0"/>
          <w:szCs w:val="21"/>
        </w:rPr>
        <w:t>推荐中标候选供应商名单或者直接确定入中标应商；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微软雅黑"/>
          <w:kern w:val="0"/>
          <w:szCs w:val="21"/>
        </w:rPr>
        <w:t xml:space="preserve">⑤ </w:t>
      </w:r>
      <w:r>
        <w:rPr>
          <w:rFonts w:hint="eastAsia" w:ascii="宋体" w:hAnsi="宋体" w:cs="Arial"/>
          <w:kern w:val="0"/>
          <w:szCs w:val="21"/>
        </w:rPr>
        <w:t>向有关部门反映招标项目评审过程中的问题，提出意见和建议。专家对评审的招标内容负责，并承担相应的责任。</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w:t>
      </w:r>
      <w:r>
        <w:rPr>
          <w:rFonts w:ascii="宋体" w:hAnsi="宋体" w:cs="Arial"/>
          <w:kern w:val="0"/>
          <w:szCs w:val="21"/>
        </w:rPr>
        <w:t>.1.</w:t>
      </w:r>
      <w:r>
        <w:rPr>
          <w:rFonts w:hint="eastAsia" w:ascii="宋体" w:hAnsi="宋体" w:cs="Arial"/>
          <w:kern w:val="0"/>
          <w:szCs w:val="21"/>
        </w:rPr>
        <w:t>3</w:t>
      </w:r>
      <w:r>
        <w:rPr>
          <w:rFonts w:ascii="宋体" w:hAnsi="宋体" w:cs="Arial"/>
          <w:kern w:val="0"/>
          <w:szCs w:val="21"/>
        </w:rPr>
        <w:t xml:space="preserve"> </w:t>
      </w:r>
      <w:r>
        <w:rPr>
          <w:rFonts w:hint="eastAsia" w:ascii="宋体" w:hAnsi="宋体" w:cs="Arial"/>
          <w:kern w:val="0"/>
          <w:szCs w:val="21"/>
        </w:rPr>
        <w:t>评标委员会享有以下权利：</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对供应商所供货物、服务质量的评审权；</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按照招标文件对评审意见承担相应责任；</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③ </w:t>
      </w:r>
      <w:r>
        <w:rPr>
          <w:rFonts w:hint="eastAsia" w:ascii="宋体" w:hAnsi="宋体" w:cs="Arial"/>
          <w:kern w:val="0"/>
          <w:szCs w:val="21"/>
        </w:rPr>
        <w:t>推荐中标候选人供应商的表决权；</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④ </w:t>
      </w:r>
      <w:r>
        <w:rPr>
          <w:rFonts w:hint="eastAsia" w:ascii="宋体" w:hAnsi="宋体" w:cs="Arial"/>
          <w:kern w:val="0"/>
          <w:szCs w:val="21"/>
        </w:rPr>
        <w:t>参与评标报告的书写；</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微软雅黑"/>
          <w:kern w:val="0"/>
          <w:szCs w:val="21"/>
        </w:rPr>
        <w:t xml:space="preserve">⑤ </w:t>
      </w:r>
      <w:r>
        <w:rPr>
          <w:rFonts w:hint="eastAsia" w:ascii="宋体" w:hAnsi="宋体" w:cs="Arial"/>
          <w:kern w:val="0"/>
          <w:szCs w:val="21"/>
        </w:rPr>
        <w:t>配合相关部门的投诉处理工作；</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微软雅黑"/>
          <w:kern w:val="0"/>
          <w:szCs w:val="21"/>
        </w:rPr>
        <w:t xml:space="preserve">⑥ </w:t>
      </w:r>
      <w:r>
        <w:rPr>
          <w:rFonts w:hint="eastAsia" w:ascii="宋体" w:hAnsi="宋体" w:cs="Arial"/>
          <w:kern w:val="0"/>
          <w:szCs w:val="21"/>
        </w:rPr>
        <w:t>配合答复投标人提出的质疑。</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w:t>
      </w:r>
      <w:r>
        <w:rPr>
          <w:rFonts w:ascii="宋体" w:hAnsi="宋体" w:cs="Arial"/>
          <w:kern w:val="0"/>
          <w:szCs w:val="21"/>
        </w:rPr>
        <w:t>.1.</w:t>
      </w:r>
      <w:r>
        <w:rPr>
          <w:rFonts w:hint="eastAsia" w:ascii="宋体" w:hAnsi="宋体" w:cs="Arial"/>
          <w:kern w:val="0"/>
          <w:szCs w:val="21"/>
        </w:rPr>
        <w:t>4</w:t>
      </w:r>
      <w:r>
        <w:rPr>
          <w:rFonts w:ascii="宋体" w:hAnsi="宋体" w:cs="Arial"/>
          <w:kern w:val="0"/>
          <w:szCs w:val="21"/>
        </w:rPr>
        <w:t xml:space="preserve"> </w:t>
      </w:r>
      <w:r>
        <w:rPr>
          <w:rFonts w:hint="eastAsia" w:ascii="宋体" w:hAnsi="宋体" w:cs="Arial"/>
          <w:kern w:val="0"/>
          <w:szCs w:val="21"/>
        </w:rPr>
        <w:t>评标委员会成员有下列情形之一的，应当回避：</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参加采购活动前三年内,与投标人存在劳动关系,或者担任过投标人的董事、监事,或者是投标人的控股股东或实际控制人。</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与投标人的法定代表人或者负责人有夫妻、直系血亲、三代以内旁系血亲或者近姻亲关系。</w:t>
      </w:r>
    </w:p>
    <w:p>
      <w:pPr>
        <w:spacing w:line="360" w:lineRule="auto"/>
        <w:ind w:left="420" w:leftChars="200"/>
        <w:jc w:val="left"/>
        <w:rPr>
          <w:rFonts w:ascii="宋体" w:hAnsi="宋体" w:cstheme="majorEastAsia"/>
          <w:szCs w:val="21"/>
        </w:rPr>
      </w:pPr>
      <w:r>
        <w:rPr>
          <w:rFonts w:hint="eastAsia" w:ascii="宋体" w:hAnsi="宋体" w:cs="宋体"/>
          <w:kern w:val="0"/>
          <w:szCs w:val="21"/>
        </w:rPr>
        <w:t xml:space="preserve">③ </w:t>
      </w:r>
      <w:r>
        <w:rPr>
          <w:rFonts w:hint="eastAsia" w:ascii="宋体" w:hAnsi="宋体" w:cs="Arial"/>
          <w:kern w:val="0"/>
          <w:szCs w:val="21"/>
        </w:rPr>
        <w:t>与投标人有其他可能影响政府采购活动公平、公正进行的关系。</w:t>
      </w:r>
    </w:p>
    <w:p>
      <w:pPr>
        <w:tabs>
          <w:tab w:val="left" w:pos="630"/>
        </w:tabs>
        <w:spacing w:line="360" w:lineRule="auto"/>
        <w:jc w:val="left"/>
        <w:textAlignment w:val="center"/>
        <w:rPr>
          <w:rFonts w:ascii="宋体" w:hAnsi="宋体" w:cstheme="majorEastAsia"/>
          <w:b/>
          <w:bCs/>
          <w:szCs w:val="21"/>
        </w:rPr>
      </w:pPr>
      <w:r>
        <w:rPr>
          <w:rFonts w:hint="eastAsia" w:ascii="宋体" w:hAnsi="宋体" w:cstheme="majorEastAsia"/>
          <w:b/>
          <w:bCs/>
          <w:szCs w:val="21"/>
        </w:rPr>
        <w:t>6.2 评标原则</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6.2.1 评标过程中应遵循公开、公平、公正、择优的原则；</w:t>
      </w:r>
    </w:p>
    <w:p>
      <w:pPr>
        <w:tabs>
          <w:tab w:val="left" w:pos="210"/>
        </w:tabs>
        <w:spacing w:line="360" w:lineRule="auto"/>
        <w:ind w:firstLine="420" w:firstLineChars="200"/>
        <w:jc w:val="left"/>
        <w:rPr>
          <w:rFonts w:ascii="宋体" w:hAnsi="宋体" w:cstheme="majorEastAsia"/>
          <w:szCs w:val="21"/>
        </w:rPr>
      </w:pPr>
      <w:r>
        <w:rPr>
          <w:rFonts w:hint="eastAsia" w:ascii="宋体" w:hAnsi="宋体" w:cstheme="majorEastAsia"/>
          <w:szCs w:val="21"/>
        </w:rPr>
        <w:t>6.2.2 评标应同时维护用户单位和投标单位的利益；</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6.2.3 资格审查合格的投标企业，中标机会均等；</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6.2.4 评标人员应独立进行评审，对个人的评审意见承担法律责任；</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6.2.5 评标人员不得私自泄露评标内容；</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6.2.6 评标采取质量、性能、价格、服务综合比、物有所值；</w:t>
      </w:r>
    </w:p>
    <w:p>
      <w:pPr>
        <w:spacing w:line="360" w:lineRule="auto"/>
        <w:ind w:firstLine="420" w:firstLineChars="200"/>
        <w:jc w:val="left"/>
        <w:rPr>
          <w:rFonts w:ascii="宋体" w:hAnsi="宋体" w:cstheme="majorEastAsia"/>
          <w:szCs w:val="21"/>
        </w:rPr>
      </w:pPr>
      <w:r>
        <w:rPr>
          <w:rFonts w:hint="eastAsia" w:ascii="宋体" w:hAnsi="宋体" w:cstheme="majorEastAsia"/>
          <w:szCs w:val="21"/>
        </w:rPr>
        <w:t>6.2.7 本次采购方式为公开招标方式，各投标单位的报价为最终报价不得更改。</w:t>
      </w:r>
    </w:p>
    <w:p>
      <w:pPr>
        <w:tabs>
          <w:tab w:val="left" w:pos="210"/>
        </w:tabs>
        <w:spacing w:line="360" w:lineRule="auto"/>
        <w:jc w:val="left"/>
        <w:rPr>
          <w:rFonts w:ascii="宋体" w:hAnsi="宋体" w:cstheme="majorEastAsia"/>
          <w:b/>
          <w:bCs/>
          <w:szCs w:val="21"/>
        </w:rPr>
      </w:pPr>
      <w:r>
        <w:rPr>
          <w:rFonts w:hint="eastAsia" w:ascii="宋体" w:hAnsi="宋体" w:cstheme="majorEastAsia"/>
          <w:b/>
          <w:bCs/>
          <w:szCs w:val="21"/>
        </w:rPr>
        <w:t>6.3 评标方法</w:t>
      </w:r>
    </w:p>
    <w:p>
      <w:pPr>
        <w:spacing w:line="360" w:lineRule="auto"/>
        <w:ind w:firstLine="420" w:firstLineChars="200"/>
        <w:jc w:val="left"/>
        <w:rPr>
          <w:rFonts w:ascii="宋体" w:hAnsi="宋体" w:cstheme="majorEastAsia"/>
          <w:szCs w:val="21"/>
        </w:rPr>
      </w:pPr>
      <w:r>
        <w:rPr>
          <w:rFonts w:hint="eastAsia" w:ascii="宋体" w:hAnsi="宋体" w:cs="Arial"/>
          <w:kern w:val="0"/>
          <w:szCs w:val="21"/>
        </w:rPr>
        <w:t>本次评标采用综合评分法。评标委员会对满足招标文件实质性要求的投标文件，按照本节规定的评审标准进行评审。评标中各评委若发生意见分歧，以少数服从多数原则确定。</w:t>
      </w:r>
    </w:p>
    <w:p>
      <w:pPr>
        <w:tabs>
          <w:tab w:val="left" w:pos="630"/>
        </w:tabs>
        <w:spacing w:line="360" w:lineRule="auto"/>
        <w:jc w:val="left"/>
        <w:textAlignment w:val="center"/>
        <w:rPr>
          <w:rFonts w:ascii="宋体" w:hAnsi="宋体" w:cstheme="majorEastAsia"/>
          <w:b/>
          <w:bCs/>
          <w:szCs w:val="21"/>
        </w:rPr>
      </w:pPr>
      <w:r>
        <w:rPr>
          <w:rFonts w:hint="eastAsia" w:ascii="宋体" w:hAnsi="宋体" w:cstheme="majorEastAsia"/>
          <w:b/>
          <w:bCs/>
          <w:szCs w:val="21"/>
        </w:rPr>
        <w:t>6.4 评标标准</w:t>
      </w:r>
    </w:p>
    <w:p>
      <w:pPr>
        <w:pStyle w:val="12"/>
        <w:ind w:firstLine="420" w:firstLineChars="200"/>
        <w:jc w:val="left"/>
        <w:rPr>
          <w:rFonts w:ascii="宋体" w:hAnsi="宋体" w:cstheme="majorEastAsia"/>
          <w:sz w:val="21"/>
          <w:szCs w:val="21"/>
        </w:rPr>
      </w:pPr>
      <w:r>
        <w:rPr>
          <w:rFonts w:hint="eastAsia" w:ascii="宋体" w:hAnsi="宋体" w:cstheme="majorEastAsia"/>
          <w:sz w:val="21"/>
          <w:szCs w:val="21"/>
        </w:rPr>
        <w:t>根据综合评分法最大限度的满足招标文件中规定的各项综合评价的投标，且综合得分高低确定中标企业顺序排名。</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6.4</w:t>
      </w:r>
      <w:r>
        <w:rPr>
          <w:rFonts w:ascii="宋体" w:hAnsi="宋体" w:cs="Arial"/>
          <w:kern w:val="0"/>
          <w:szCs w:val="21"/>
        </w:rPr>
        <w:t>.</w:t>
      </w:r>
      <w:r>
        <w:rPr>
          <w:rFonts w:hint="eastAsia" w:ascii="宋体" w:hAnsi="宋体" w:cs="Arial"/>
          <w:kern w:val="0"/>
          <w:szCs w:val="21"/>
        </w:rPr>
        <w:t>1</w:t>
      </w:r>
      <w:r>
        <w:rPr>
          <w:rFonts w:ascii="宋体" w:hAnsi="宋体" w:cs="Arial"/>
          <w:kern w:val="0"/>
          <w:szCs w:val="21"/>
        </w:rPr>
        <w:t xml:space="preserve"> </w:t>
      </w:r>
      <w:r>
        <w:rPr>
          <w:rFonts w:hint="eastAsia" w:ascii="宋体" w:hAnsi="宋体" w:cs="Arial"/>
          <w:kern w:val="0"/>
          <w:szCs w:val="21"/>
        </w:rPr>
        <w:t>资格审查：评审因素和评审标准见《资格审查标准》。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6.4</w:t>
      </w:r>
      <w:r>
        <w:rPr>
          <w:rFonts w:ascii="宋体" w:hAnsi="宋体" w:cs="Arial"/>
          <w:kern w:val="0"/>
          <w:szCs w:val="21"/>
        </w:rPr>
        <w:t>.</w:t>
      </w:r>
      <w:r>
        <w:rPr>
          <w:rFonts w:hint="eastAsia" w:ascii="宋体" w:hAnsi="宋体" w:cs="Arial"/>
          <w:kern w:val="0"/>
          <w:szCs w:val="21"/>
        </w:rPr>
        <w:t>2</w:t>
      </w:r>
      <w:r>
        <w:rPr>
          <w:rFonts w:ascii="宋体" w:hAnsi="宋体" w:cs="Arial"/>
          <w:kern w:val="0"/>
          <w:szCs w:val="21"/>
        </w:rPr>
        <w:t xml:space="preserve"> </w:t>
      </w:r>
      <w:r>
        <w:rPr>
          <w:rFonts w:hint="eastAsia" w:ascii="宋体" w:hAnsi="宋体" w:cs="Arial"/>
          <w:kern w:val="0"/>
          <w:szCs w:val="21"/>
        </w:rPr>
        <w:t>完备性及符合性审查：评审因素和评审标准见《完备性及符合性审查标准》。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6.4</w:t>
      </w:r>
      <w:r>
        <w:rPr>
          <w:rFonts w:ascii="宋体" w:hAnsi="宋体" w:cs="Arial"/>
          <w:kern w:val="0"/>
          <w:szCs w:val="21"/>
        </w:rPr>
        <w:t>.</w:t>
      </w:r>
      <w:r>
        <w:rPr>
          <w:rFonts w:hint="eastAsia" w:ascii="宋体" w:hAnsi="宋体" w:cs="Arial"/>
          <w:kern w:val="0"/>
          <w:szCs w:val="21"/>
        </w:rPr>
        <w:t>3</w:t>
      </w:r>
      <w:r>
        <w:rPr>
          <w:rFonts w:ascii="宋体" w:hAnsi="宋体" w:cs="Arial"/>
          <w:kern w:val="0"/>
          <w:szCs w:val="21"/>
        </w:rPr>
        <w:t xml:space="preserve"> </w:t>
      </w:r>
      <w:r>
        <w:rPr>
          <w:rFonts w:hint="eastAsia" w:ascii="宋体" w:hAnsi="宋体" w:cs="Arial"/>
          <w:kern w:val="0"/>
          <w:szCs w:val="21"/>
        </w:rPr>
        <w:t>详细评审：评审因素和评审标准见《详细评审标准》。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6.4</w:t>
      </w:r>
      <w:r>
        <w:rPr>
          <w:rFonts w:ascii="宋体" w:hAnsi="宋体" w:cs="Arial"/>
          <w:kern w:val="0"/>
          <w:szCs w:val="21"/>
        </w:rPr>
        <w:t>.</w:t>
      </w:r>
      <w:r>
        <w:rPr>
          <w:rFonts w:hint="eastAsia" w:ascii="宋体" w:hAnsi="宋体" w:cs="Arial"/>
          <w:kern w:val="0"/>
          <w:szCs w:val="21"/>
        </w:rPr>
        <w:t>4</w:t>
      </w:r>
      <w:r>
        <w:rPr>
          <w:rFonts w:ascii="宋体" w:hAnsi="宋体" w:cs="Arial"/>
          <w:kern w:val="0"/>
          <w:szCs w:val="21"/>
        </w:rPr>
        <w:t xml:space="preserve"> </w:t>
      </w:r>
      <w:r>
        <w:rPr>
          <w:rFonts w:hint="eastAsia" w:ascii="宋体" w:hAnsi="宋体" w:cs="Arial"/>
          <w:kern w:val="0"/>
          <w:szCs w:val="21"/>
        </w:rPr>
        <w:t>投标报价评分标准：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分值构成及权重：见评标办法前附表。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微软雅黑"/>
          <w:kern w:val="0"/>
          <w:szCs w:val="21"/>
        </w:rPr>
        <w:t xml:space="preserve">② </w:t>
      </w:r>
      <w:r>
        <w:rPr>
          <w:rFonts w:hint="eastAsia" w:ascii="宋体" w:hAnsi="宋体" w:cs="Arial"/>
          <w:kern w:val="0"/>
          <w:szCs w:val="21"/>
        </w:rPr>
        <w:t>评标基准价计算：见评标办法前附表。</w:t>
      </w:r>
    </w:p>
    <w:p>
      <w:pPr>
        <w:spacing w:line="360" w:lineRule="auto"/>
        <w:ind w:firstLine="420" w:firstLineChars="200"/>
        <w:jc w:val="left"/>
        <w:rPr>
          <w:rFonts w:ascii="宋体" w:hAnsi="宋体" w:cstheme="majorEastAsia"/>
          <w:szCs w:val="21"/>
        </w:rPr>
      </w:pPr>
      <w:r>
        <w:rPr>
          <w:rFonts w:hint="eastAsia" w:ascii="宋体" w:hAnsi="宋体" w:cs="宋体"/>
          <w:kern w:val="0"/>
          <w:szCs w:val="21"/>
        </w:rPr>
        <w:t xml:space="preserve">③ </w:t>
      </w:r>
      <w:r>
        <w:rPr>
          <w:rFonts w:hint="eastAsia" w:ascii="宋体" w:hAnsi="宋体" w:cs="Arial"/>
          <w:kern w:val="0"/>
          <w:szCs w:val="21"/>
        </w:rPr>
        <w:t>投标报价得分的计算：见评标办法前附表。</w:t>
      </w:r>
    </w:p>
    <w:p>
      <w:pPr>
        <w:jc w:val="center"/>
        <w:rPr>
          <w:rFonts w:ascii="宋体" w:hAnsi="宋体"/>
          <w:b/>
          <w:bCs/>
          <w:szCs w:val="21"/>
        </w:rPr>
      </w:pPr>
      <w:bookmarkStart w:id="23" w:name="_BookMark_10"/>
      <w:bookmarkEnd w:id="23"/>
      <w:bookmarkStart w:id="24" w:name="_Toc501719167"/>
      <w:r>
        <w:rPr>
          <w:rFonts w:hint="eastAsia" w:ascii="宋体" w:hAnsi="宋体"/>
          <w:b/>
          <w:bCs/>
          <w:szCs w:val="21"/>
        </w:rPr>
        <w:t>综合评分法</w:t>
      </w:r>
    </w:p>
    <w:p>
      <w:pPr>
        <w:jc w:val="center"/>
        <w:rPr>
          <w:rFonts w:ascii="宋体" w:hAnsi="宋体"/>
          <w:szCs w:val="21"/>
        </w:rPr>
      </w:pPr>
      <w:bookmarkStart w:id="25" w:name="_Toc1514"/>
      <w:r>
        <w:rPr>
          <w:rFonts w:hint="eastAsia" w:ascii="宋体" w:hAnsi="宋体"/>
          <w:szCs w:val="21"/>
        </w:rPr>
        <w:t>评标办法前附表</w:t>
      </w:r>
      <w:bookmarkEnd w:id="25"/>
    </w:p>
    <w:tbl>
      <w:tblPr>
        <w:tblStyle w:val="21"/>
        <w:tblW w:w="9160" w:type="dxa"/>
        <w:jc w:val="center"/>
        <w:tblLayout w:type="fixed"/>
        <w:tblCellMar>
          <w:top w:w="0" w:type="dxa"/>
          <w:left w:w="0" w:type="dxa"/>
          <w:bottom w:w="0" w:type="dxa"/>
          <w:right w:w="0" w:type="dxa"/>
        </w:tblCellMar>
      </w:tblPr>
      <w:tblGrid>
        <w:gridCol w:w="612"/>
        <w:gridCol w:w="1418"/>
        <w:gridCol w:w="7130"/>
      </w:tblGrid>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序号</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条款内容</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编列内容</w:t>
            </w:r>
          </w:p>
        </w:tc>
      </w:tr>
      <w:tr>
        <w:tblPrEx>
          <w:tblCellMar>
            <w:top w:w="0" w:type="dxa"/>
            <w:left w:w="0" w:type="dxa"/>
            <w:bottom w:w="0" w:type="dxa"/>
            <w:right w:w="0" w:type="dxa"/>
          </w:tblCellMar>
        </w:tblPrEx>
        <w:trPr>
          <w:cantSplit/>
          <w:trHeight w:val="630"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ascii="宋体" w:hAnsi="宋体"/>
                <w:szCs w:val="21"/>
              </w:rPr>
              <w:t>1</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分值构成及权重</w:t>
            </w:r>
          </w:p>
          <w:p>
            <w:pPr>
              <w:spacing w:line="276" w:lineRule="auto"/>
              <w:jc w:val="center"/>
              <w:rPr>
                <w:rFonts w:ascii="宋体" w:hAnsi="宋体"/>
                <w:szCs w:val="21"/>
              </w:rPr>
            </w:pPr>
            <w:r>
              <w:rPr>
                <w:rFonts w:ascii="宋体" w:hAnsi="宋体"/>
                <w:szCs w:val="21"/>
              </w:rPr>
              <w:t>(</w:t>
            </w:r>
            <w:r>
              <w:rPr>
                <w:rFonts w:hint="eastAsia" w:ascii="宋体" w:hAnsi="宋体"/>
                <w:szCs w:val="21"/>
              </w:rPr>
              <w:t>总分</w:t>
            </w:r>
            <w:r>
              <w:rPr>
                <w:rFonts w:ascii="宋体" w:hAnsi="宋体"/>
                <w:szCs w:val="21"/>
              </w:rPr>
              <w:t>100</w:t>
            </w:r>
            <w:r>
              <w:rPr>
                <w:rFonts w:hint="eastAsia" w:ascii="宋体" w:hAnsi="宋体"/>
                <w:szCs w:val="21"/>
              </w:rPr>
              <w:t>分</w:t>
            </w:r>
            <w:r>
              <w:rPr>
                <w:rFonts w:ascii="宋体" w:hAnsi="宋体"/>
                <w:szCs w:val="21"/>
              </w:rPr>
              <w:t>)</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rPr>
            </w:pPr>
            <w:r>
              <w:rPr>
                <w:rFonts w:ascii="宋体" w:hAnsi="宋体"/>
                <w:szCs w:val="21"/>
              </w:rPr>
              <w:t>1.</w:t>
            </w:r>
            <w:r>
              <w:rPr>
                <w:rFonts w:hint="eastAsia" w:ascii="宋体" w:hAnsi="宋体"/>
                <w:szCs w:val="21"/>
              </w:rPr>
              <w:t>详细评审部分权重</w:t>
            </w:r>
            <w:r>
              <w:rPr>
                <w:rFonts w:ascii="宋体" w:hAnsi="宋体"/>
                <w:szCs w:val="21"/>
              </w:rPr>
              <w:t>Q1=70%</w:t>
            </w:r>
          </w:p>
          <w:p>
            <w:pPr>
              <w:spacing w:line="276" w:lineRule="auto"/>
              <w:rPr>
                <w:rFonts w:ascii="宋体" w:hAnsi="宋体"/>
                <w:szCs w:val="21"/>
              </w:rPr>
            </w:pPr>
            <w:r>
              <w:rPr>
                <w:rFonts w:ascii="宋体" w:hAnsi="宋体"/>
                <w:szCs w:val="21"/>
              </w:rPr>
              <w:t>2.</w:t>
            </w:r>
            <w:r>
              <w:rPr>
                <w:rFonts w:hint="eastAsia" w:ascii="宋体" w:hAnsi="宋体"/>
                <w:szCs w:val="21"/>
              </w:rPr>
              <w:t>投标报价权重</w:t>
            </w:r>
            <w:r>
              <w:rPr>
                <w:rFonts w:ascii="宋体" w:hAnsi="宋体"/>
                <w:szCs w:val="21"/>
              </w:rPr>
              <w:t>Q2=30%</w:t>
            </w:r>
          </w:p>
        </w:tc>
      </w:tr>
      <w:tr>
        <w:tblPrEx>
          <w:tblCellMar>
            <w:top w:w="0" w:type="dxa"/>
            <w:left w:w="0" w:type="dxa"/>
            <w:bottom w:w="0" w:type="dxa"/>
            <w:right w:w="0" w:type="dxa"/>
          </w:tblCellMar>
        </w:tblPrEx>
        <w:trPr>
          <w:cantSplit/>
          <w:trHeight w:val="147"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2</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资格审查</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rPr>
            </w:pPr>
            <w:r>
              <w:rPr>
                <w:rFonts w:hint="eastAsia" w:ascii="宋体" w:hAnsi="宋体"/>
                <w:szCs w:val="21"/>
              </w:rPr>
              <w:t>详见《资格审查标准》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3</w:t>
            </w:r>
          </w:p>
        </w:tc>
        <w:tc>
          <w:tcPr>
            <w:tcW w:w="1418"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完备性及符合性审查</w:t>
            </w:r>
          </w:p>
        </w:tc>
        <w:tc>
          <w:tcPr>
            <w:tcW w:w="7130" w:type="dxa"/>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rPr>
            </w:pPr>
            <w:r>
              <w:rPr>
                <w:rFonts w:hint="eastAsia" w:ascii="宋体" w:hAnsi="宋体"/>
                <w:szCs w:val="21"/>
              </w:rPr>
              <w:t>详见《完备性及符合性审查标准》</w:t>
            </w:r>
          </w:p>
        </w:tc>
      </w:tr>
      <w:tr>
        <w:tblPrEx>
          <w:tblCellMar>
            <w:top w:w="0" w:type="dxa"/>
            <w:left w:w="0" w:type="dxa"/>
            <w:bottom w:w="0" w:type="dxa"/>
            <w:right w:w="0" w:type="dxa"/>
          </w:tblCellMar>
        </w:tblPrEx>
        <w:trPr>
          <w:cantSplit/>
          <w:trHeight w:val="325" w:hRule="atLeast"/>
          <w:jc w:val="center"/>
        </w:trPr>
        <w:tc>
          <w:tcPr>
            <w:tcW w:w="612"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4</w:t>
            </w:r>
          </w:p>
        </w:tc>
        <w:tc>
          <w:tcPr>
            <w:tcW w:w="1418"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投标品牌</w:t>
            </w:r>
          </w:p>
        </w:tc>
        <w:tc>
          <w:tcPr>
            <w:tcW w:w="7130" w:type="dxa"/>
            <w:tcBorders>
              <w:top w:val="single" w:color="auto" w:sz="8"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rPr>
                <w:rFonts w:ascii="宋体" w:hAnsi="宋体"/>
                <w:szCs w:val="21"/>
              </w:rPr>
            </w:pPr>
            <w:r>
              <w:rPr>
                <w:rFonts w:hint="eastAsia" w:ascii="宋体" w:hAnsi="宋体"/>
                <w:szCs w:val="21"/>
              </w:rPr>
              <w:t>详见《投标品牌统计》</w:t>
            </w:r>
          </w:p>
        </w:tc>
      </w:tr>
      <w:tr>
        <w:tblPrEx>
          <w:tblCellMar>
            <w:top w:w="0" w:type="dxa"/>
            <w:left w:w="0" w:type="dxa"/>
            <w:bottom w:w="0" w:type="dxa"/>
            <w:right w:w="0" w:type="dxa"/>
          </w:tblCellMar>
        </w:tblPrEx>
        <w:trPr>
          <w:cantSplit/>
          <w:trHeight w:val="325" w:hRule="atLeast"/>
          <w:jc w:val="center"/>
        </w:trPr>
        <w:tc>
          <w:tcPr>
            <w:tcW w:w="612" w:type="dxa"/>
            <w:vMerge w:val="restart"/>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5</w:t>
            </w:r>
          </w:p>
        </w:tc>
        <w:tc>
          <w:tcPr>
            <w:tcW w:w="1418" w:type="dxa"/>
            <w:vMerge w:val="restart"/>
            <w:tcBorders>
              <w:top w:val="single" w:color="auto" w:sz="4" w:space="0"/>
              <w:left w:val="single" w:color="auto" w:sz="8" w:space="0"/>
              <w:bottom w:val="single" w:color="auto" w:sz="4"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r>
              <w:rPr>
                <w:rFonts w:hint="eastAsia" w:ascii="宋体" w:hAnsi="宋体"/>
                <w:szCs w:val="21"/>
              </w:rPr>
              <w:t>详细评审</w:t>
            </w:r>
          </w:p>
        </w:tc>
        <w:tc>
          <w:tcPr>
            <w:tcW w:w="7130" w:type="dxa"/>
            <w:tcBorders>
              <w:top w:val="single" w:color="auto" w:sz="4" w:space="0"/>
              <w:left w:val="single" w:color="auto" w:sz="8" w:space="0"/>
              <w:bottom w:val="single" w:color="auto" w:sz="4" w:space="0"/>
              <w:right w:val="single" w:color="auto" w:sz="4" w:space="0"/>
            </w:tcBorders>
            <w:tcMar>
              <w:top w:w="0" w:type="dxa"/>
              <w:left w:w="28" w:type="dxa"/>
              <w:bottom w:w="0" w:type="dxa"/>
              <w:right w:w="28" w:type="dxa"/>
            </w:tcMar>
            <w:vAlign w:val="center"/>
          </w:tcPr>
          <w:p>
            <w:pPr>
              <w:spacing w:line="276" w:lineRule="auto"/>
              <w:rPr>
                <w:rFonts w:ascii="宋体" w:hAnsi="宋体"/>
                <w:szCs w:val="21"/>
              </w:rPr>
            </w:pPr>
            <w:r>
              <w:rPr>
                <w:rFonts w:hint="eastAsia" w:ascii="宋体" w:hAnsi="宋体"/>
                <w:szCs w:val="21"/>
              </w:rPr>
              <w:t>详见《详细评审标准》及</w:t>
            </w:r>
            <w:r>
              <w:rPr>
                <w:rFonts w:hint="eastAsia" w:ascii="宋体" w:hAnsi="宋体" w:cs="Arial"/>
                <w:kern w:val="0"/>
                <w:szCs w:val="21"/>
              </w:rPr>
              <w:t>本节第3.7款</w:t>
            </w:r>
          </w:p>
        </w:tc>
      </w:tr>
      <w:tr>
        <w:tblPrEx>
          <w:tblCellMar>
            <w:top w:w="0" w:type="dxa"/>
            <w:left w:w="0" w:type="dxa"/>
            <w:bottom w:w="0" w:type="dxa"/>
            <w:right w:w="0" w:type="dxa"/>
          </w:tblCellMar>
        </w:tblPrEx>
        <w:trPr>
          <w:cantSplit/>
          <w:trHeight w:val="2577" w:hRule="atLeast"/>
          <w:jc w:val="center"/>
        </w:trPr>
        <w:tc>
          <w:tcPr>
            <w:tcW w:w="612" w:type="dxa"/>
            <w:vMerge w:val="continue"/>
            <w:tcBorders>
              <w:top w:val="single" w:color="auto" w:sz="4" w:space="0"/>
              <w:left w:val="single" w:color="auto" w:sz="4" w:space="0"/>
              <w:bottom w:val="single" w:color="auto" w:sz="8" w:space="0"/>
              <w:right w:val="single" w:color="auto" w:sz="8" w:space="0"/>
            </w:tcBorders>
            <w:tcMar>
              <w:top w:w="0" w:type="dxa"/>
              <w:left w:w="28" w:type="dxa"/>
              <w:bottom w:w="0" w:type="dxa"/>
              <w:right w:w="28" w:type="dxa"/>
            </w:tcMar>
            <w:vAlign w:val="center"/>
          </w:tcPr>
          <w:p>
            <w:pPr>
              <w:spacing w:line="276" w:lineRule="auto"/>
              <w:jc w:val="center"/>
              <w:rPr>
                <w:rFonts w:ascii="宋体" w:hAnsi="宋体"/>
                <w:szCs w:val="21"/>
              </w:rPr>
            </w:pPr>
          </w:p>
        </w:tc>
        <w:tc>
          <w:tcPr>
            <w:tcW w:w="1418" w:type="dxa"/>
            <w:vMerge w:val="continue"/>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spacing w:line="276" w:lineRule="auto"/>
              <w:rPr>
                <w:rFonts w:ascii="宋体" w:hAnsi="宋体"/>
                <w:szCs w:val="21"/>
              </w:rPr>
            </w:pPr>
          </w:p>
        </w:tc>
        <w:tc>
          <w:tcPr>
            <w:tcW w:w="7130" w:type="dxa"/>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tcPr>
          <w:p>
            <w:pPr>
              <w:spacing w:line="276" w:lineRule="auto"/>
              <w:rPr>
                <w:rFonts w:ascii="宋体" w:hAnsi="宋体"/>
                <w:szCs w:val="21"/>
              </w:rPr>
            </w:pPr>
            <w:r>
              <w:rPr>
                <w:rFonts w:hint="eastAsia" w:ascii="宋体" w:hAnsi="宋体"/>
                <w:szCs w:val="21"/>
              </w:rPr>
              <w:t>投标报价得分计算方法：</w:t>
            </w:r>
          </w:p>
          <w:p>
            <w:pPr>
              <w:spacing w:line="276" w:lineRule="auto"/>
              <w:rPr>
                <w:rFonts w:ascii="宋体" w:hAnsi="宋体"/>
                <w:bCs/>
                <w:szCs w:val="21"/>
              </w:rPr>
            </w:pPr>
            <w:r>
              <w:rPr>
                <w:rFonts w:hint="eastAsia" w:ascii="宋体" w:hAnsi="宋体"/>
                <w:szCs w:val="21"/>
              </w:rPr>
              <w:t>1</w:t>
            </w:r>
            <w:r>
              <w:rPr>
                <w:rFonts w:hint="eastAsia" w:ascii="宋体" w:hAnsi="宋体"/>
                <w:bCs/>
                <w:szCs w:val="21"/>
              </w:rPr>
              <w:t>.投标报价的确定</w:t>
            </w:r>
          </w:p>
          <w:p>
            <w:pPr>
              <w:spacing w:line="276" w:lineRule="auto"/>
              <w:rPr>
                <w:rFonts w:ascii="宋体" w:hAnsi="宋体"/>
                <w:bCs/>
                <w:szCs w:val="21"/>
              </w:rPr>
            </w:pPr>
            <w:r>
              <w:rPr>
                <w:rFonts w:hint="eastAsia" w:ascii="宋体" w:hAnsi="宋体"/>
                <w:bCs/>
                <w:szCs w:val="21"/>
              </w:rPr>
              <w:t>投标报价是指经评审的且不超过采购预算金额的投标价格</w:t>
            </w:r>
          </w:p>
          <w:p>
            <w:pPr>
              <w:spacing w:line="276" w:lineRule="auto"/>
              <w:rPr>
                <w:rFonts w:ascii="宋体" w:hAnsi="宋体"/>
                <w:bCs/>
                <w:szCs w:val="21"/>
              </w:rPr>
            </w:pPr>
            <w:r>
              <w:rPr>
                <w:rFonts w:hint="eastAsia" w:ascii="宋体" w:hAnsi="宋体"/>
                <w:bCs/>
                <w:szCs w:val="21"/>
              </w:rPr>
              <w:t>2.评标基准价的确定</w:t>
            </w:r>
          </w:p>
          <w:p>
            <w:pPr>
              <w:spacing w:line="276" w:lineRule="auto"/>
              <w:rPr>
                <w:rFonts w:ascii="宋体" w:hAnsi="宋体"/>
                <w:bCs/>
                <w:szCs w:val="21"/>
              </w:rPr>
            </w:pPr>
            <w:r>
              <w:rPr>
                <w:rFonts w:ascii="宋体" w:hAnsi="宋体"/>
                <w:bCs/>
                <w:szCs w:val="21"/>
              </w:rPr>
              <w:t>满足招标文件要求且</w:t>
            </w:r>
            <w:r>
              <w:rPr>
                <w:rFonts w:hint="eastAsia" w:ascii="宋体" w:hAnsi="宋体"/>
                <w:bCs/>
                <w:szCs w:val="21"/>
              </w:rPr>
              <w:t>投标报价</w:t>
            </w:r>
            <w:r>
              <w:rPr>
                <w:rFonts w:ascii="宋体" w:hAnsi="宋体"/>
                <w:bCs/>
                <w:szCs w:val="21"/>
              </w:rPr>
              <w:t>最低的为评标基准价</w:t>
            </w:r>
          </w:p>
          <w:p>
            <w:pPr>
              <w:spacing w:line="276" w:lineRule="auto"/>
              <w:rPr>
                <w:rFonts w:ascii="宋体" w:hAnsi="宋体"/>
                <w:bCs/>
                <w:szCs w:val="21"/>
              </w:rPr>
            </w:pPr>
            <w:r>
              <w:rPr>
                <w:rFonts w:hint="eastAsia" w:ascii="宋体" w:hAnsi="宋体"/>
                <w:bCs/>
                <w:szCs w:val="21"/>
              </w:rPr>
              <w:t>3.</w:t>
            </w:r>
            <w:r>
              <w:rPr>
                <w:rFonts w:ascii="宋体" w:hAnsi="宋体"/>
                <w:bCs/>
                <w:szCs w:val="21"/>
              </w:rPr>
              <w:t>投标报价得分=(评标基准价／投标报价)×100×</w:t>
            </w:r>
            <w:r>
              <w:rPr>
                <w:rFonts w:hint="eastAsia" w:ascii="宋体" w:hAnsi="宋体"/>
                <w:bCs/>
                <w:szCs w:val="21"/>
              </w:rPr>
              <w:t>Q2</w:t>
            </w:r>
          </w:p>
          <w:p>
            <w:pPr>
              <w:spacing w:line="276" w:lineRule="auto"/>
              <w:rPr>
                <w:rFonts w:ascii="宋体" w:hAnsi="宋体"/>
                <w:szCs w:val="21"/>
              </w:rPr>
            </w:pPr>
            <w:r>
              <w:rPr>
                <w:rFonts w:hint="eastAsia" w:ascii="宋体" w:hAnsi="宋体"/>
                <w:bCs/>
                <w:szCs w:val="21"/>
              </w:rPr>
              <w:t>4.</w:t>
            </w:r>
            <w:r>
              <w:rPr>
                <w:rFonts w:hint="eastAsia" w:ascii="宋体" w:hAnsi="宋体"/>
                <w:szCs w:val="21"/>
              </w:rPr>
              <w:t>评分分值计算保留小数点后两位，小数点后三位“四舍五入”。</w:t>
            </w:r>
          </w:p>
          <w:p>
            <w:pPr>
              <w:spacing w:line="276" w:lineRule="auto"/>
              <w:rPr>
                <w:rFonts w:ascii="宋体" w:hAnsi="宋体"/>
                <w:b/>
                <w:szCs w:val="21"/>
              </w:rPr>
            </w:pPr>
            <w:r>
              <w:rPr>
                <w:rFonts w:hint="eastAsia" w:ascii="宋体" w:hAnsi="宋体"/>
                <w:b/>
                <w:szCs w:val="21"/>
              </w:rPr>
              <w:t>落实政府采购政策：</w:t>
            </w:r>
          </w:p>
          <w:p>
            <w:pPr>
              <w:spacing w:line="276" w:lineRule="auto"/>
              <w:rPr>
                <w:rFonts w:ascii="宋体" w:hAnsi="宋体"/>
                <w:szCs w:val="21"/>
              </w:rPr>
            </w:pPr>
            <w:r>
              <w:rPr>
                <w:rFonts w:ascii="宋体" w:hAnsi="宋体"/>
                <w:bCs/>
                <w:szCs w:val="21"/>
              </w:rPr>
              <w:t>根据</w:t>
            </w:r>
            <w:r>
              <w:rPr>
                <w:rFonts w:hint="eastAsia" w:ascii="宋体" w:hAnsi="宋体"/>
                <w:bCs/>
                <w:szCs w:val="21"/>
              </w:rPr>
              <w:t>《关于印发&lt;</w:t>
            </w:r>
            <w:r>
              <w:rPr>
                <w:rFonts w:ascii="宋体" w:hAnsi="宋体"/>
                <w:bCs/>
                <w:szCs w:val="21"/>
              </w:rPr>
              <w:t>政府采购促进中小企业发展</w:t>
            </w:r>
            <w:r>
              <w:rPr>
                <w:rFonts w:hint="eastAsia" w:ascii="宋体" w:hAnsi="宋体"/>
                <w:bCs/>
                <w:szCs w:val="21"/>
              </w:rPr>
              <w:t>管理</w:t>
            </w:r>
            <w:r>
              <w:rPr>
                <w:rFonts w:ascii="宋体" w:hAnsi="宋体"/>
                <w:bCs/>
                <w:szCs w:val="21"/>
              </w:rPr>
              <w:t>办法</w:t>
            </w:r>
            <w:r>
              <w:rPr>
                <w:rFonts w:hint="eastAsia" w:ascii="宋体" w:hAnsi="宋体"/>
                <w:bCs/>
                <w:szCs w:val="21"/>
              </w:rPr>
              <w:t>&gt;的通知》</w:t>
            </w:r>
            <w:r>
              <w:rPr>
                <w:rFonts w:ascii="宋体" w:hAnsi="宋体"/>
                <w:bCs/>
                <w:szCs w:val="21"/>
              </w:rPr>
              <w:t>（财库[20</w:t>
            </w:r>
            <w:r>
              <w:rPr>
                <w:rFonts w:hint="eastAsia" w:ascii="宋体" w:hAnsi="宋体"/>
                <w:bCs/>
                <w:szCs w:val="21"/>
              </w:rPr>
              <w:t>20</w:t>
            </w:r>
            <w:r>
              <w:rPr>
                <w:rFonts w:ascii="宋体" w:hAnsi="宋体"/>
                <w:bCs/>
                <w:szCs w:val="21"/>
              </w:rPr>
              <w:t>]</w:t>
            </w:r>
            <w:r>
              <w:rPr>
                <w:rFonts w:hint="eastAsia" w:ascii="宋体" w:hAnsi="宋体"/>
                <w:bCs/>
                <w:szCs w:val="21"/>
              </w:rPr>
              <w:t>46</w:t>
            </w:r>
            <w:r>
              <w:rPr>
                <w:rFonts w:ascii="宋体" w:hAnsi="宋体"/>
                <w:bCs/>
                <w:szCs w:val="21"/>
              </w:rPr>
              <w:t>号）、《关于促进残疾人就业政府采购政策的通知》（财库〔2017〕141号）《关于政府采购支持监狱企业发展有关问题的通知》（财库〔2014〕68号）和《</w:t>
            </w:r>
            <w:r>
              <w:rPr>
                <w:rFonts w:hint="eastAsia" w:ascii="宋体" w:hAnsi="宋体"/>
                <w:bCs/>
                <w:szCs w:val="21"/>
              </w:rPr>
              <w:t>关于调整优化节能产品、环境标志产品政府采购执行机制的通知》</w:t>
            </w:r>
            <w:r>
              <w:rPr>
                <w:rFonts w:ascii="宋体" w:hAnsi="宋体"/>
                <w:bCs/>
                <w:szCs w:val="21"/>
              </w:rPr>
              <w:t>（财库[</w:t>
            </w:r>
            <w:r>
              <w:rPr>
                <w:rFonts w:hint="eastAsia" w:ascii="宋体" w:hAnsi="宋体"/>
                <w:bCs/>
                <w:szCs w:val="21"/>
              </w:rPr>
              <w:t>2019</w:t>
            </w:r>
            <w:r>
              <w:rPr>
                <w:rFonts w:ascii="宋体" w:hAnsi="宋体"/>
                <w:bCs/>
                <w:szCs w:val="21"/>
              </w:rPr>
              <w:t>]</w:t>
            </w:r>
            <w:r>
              <w:rPr>
                <w:rFonts w:hint="eastAsia" w:ascii="宋体" w:hAnsi="宋体"/>
                <w:bCs/>
                <w:szCs w:val="21"/>
              </w:rPr>
              <w:t>9</w:t>
            </w:r>
            <w:r>
              <w:rPr>
                <w:rFonts w:ascii="宋体" w:hAnsi="宋体"/>
                <w:bCs/>
                <w:szCs w:val="21"/>
              </w:rPr>
              <w:t>号）的规定，对满足价格扣除条件且在投标文件中提交了《投标人企业类型声明函》或省级以上监狱管理局、戒毒管理局（含新疆生产建设兵团）出具的属于监狱企业的证明文件的投标人，</w:t>
            </w:r>
            <w:r>
              <w:rPr>
                <w:rFonts w:hint="eastAsia" w:ascii="宋体" w:hAnsi="宋体"/>
                <w:bCs/>
                <w:szCs w:val="21"/>
              </w:rPr>
              <w:t>其投标报价扣除10%后参与评审。</w:t>
            </w:r>
          </w:p>
        </w:tc>
      </w:tr>
    </w:tbl>
    <w:p>
      <w:pPr>
        <w:widowControl/>
        <w:shd w:val="clear" w:color="auto" w:fill="FFFFFF"/>
        <w:snapToGrid w:val="0"/>
        <w:jc w:val="center"/>
        <w:rPr>
          <w:rFonts w:ascii="宋体" w:hAnsi="宋体" w:cs="Arial"/>
          <w:b/>
          <w:kern w:val="0"/>
          <w:szCs w:val="21"/>
        </w:rPr>
      </w:pPr>
      <w:bookmarkStart w:id="26" w:name="_Toc501719166"/>
    </w:p>
    <w:bookmarkEnd w:id="26"/>
    <w:p>
      <w:pPr>
        <w:widowControl/>
        <w:shd w:val="clear" w:color="auto" w:fill="FFFFFF"/>
        <w:snapToGrid w:val="0"/>
        <w:jc w:val="center"/>
        <w:rPr>
          <w:rFonts w:ascii="宋体" w:hAnsi="宋体" w:cs="Arial"/>
          <w:b/>
          <w:kern w:val="0"/>
          <w:szCs w:val="21"/>
        </w:rPr>
      </w:pPr>
      <w:r>
        <w:rPr>
          <w:rFonts w:hint="eastAsia" w:ascii="宋体" w:hAnsi="宋体" w:cs="Arial"/>
          <w:b/>
          <w:kern w:val="0"/>
          <w:szCs w:val="21"/>
        </w:rPr>
        <w:t>《资格审查标准》</w:t>
      </w:r>
    </w:p>
    <w:tbl>
      <w:tblPr>
        <w:tblStyle w:val="21"/>
        <w:tblW w:w="9160" w:type="dxa"/>
        <w:jc w:val="center"/>
        <w:tblLayout w:type="fixed"/>
        <w:tblCellMar>
          <w:top w:w="0" w:type="dxa"/>
          <w:left w:w="0" w:type="dxa"/>
          <w:bottom w:w="0" w:type="dxa"/>
          <w:right w:w="0" w:type="dxa"/>
        </w:tblCellMar>
      </w:tblPr>
      <w:tblGrid>
        <w:gridCol w:w="628"/>
        <w:gridCol w:w="8532"/>
      </w:tblGrid>
      <w:tr>
        <w:tblPrEx>
          <w:tblCellMar>
            <w:top w:w="0" w:type="dxa"/>
            <w:left w:w="0" w:type="dxa"/>
            <w:bottom w:w="0" w:type="dxa"/>
            <w:right w:w="0" w:type="dxa"/>
          </w:tblCellMar>
        </w:tblPrEx>
        <w:trPr>
          <w:cantSplit/>
          <w:trHeight w:val="67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b/>
                <w:bCs/>
                <w:kern w:val="0"/>
                <w:szCs w:val="21"/>
              </w:rPr>
            </w:pPr>
            <w:r>
              <w:rPr>
                <w:rFonts w:hint="eastAsia" w:ascii="宋体" w:hAnsi="宋体" w:cs="Arial"/>
                <w:b/>
                <w:bCs/>
                <w:kern w:val="0"/>
                <w:szCs w:val="21"/>
              </w:rPr>
              <w:t>序号</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b/>
                <w:bCs/>
                <w:kern w:val="0"/>
                <w:szCs w:val="21"/>
              </w:rPr>
            </w:pPr>
            <w:r>
              <w:rPr>
                <w:rFonts w:hint="eastAsia" w:ascii="宋体" w:hAnsi="宋体" w:cs="Arial"/>
                <w:b/>
                <w:bCs/>
                <w:kern w:val="0"/>
                <w:szCs w:val="21"/>
              </w:rPr>
              <w:t>审查标准</w:t>
            </w:r>
          </w:p>
        </w:tc>
      </w:tr>
      <w:tr>
        <w:trPr>
          <w:cantSplit/>
          <w:trHeight w:val="629"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1</w:t>
            </w:r>
          </w:p>
        </w:tc>
        <w:tc>
          <w:tcPr>
            <w:tcW w:w="85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76" w:lineRule="auto"/>
              <w:jc w:val="left"/>
              <w:rPr>
                <w:rFonts w:ascii="宋体" w:hAnsi="宋体" w:cs="Arial"/>
                <w:kern w:val="0"/>
                <w:szCs w:val="21"/>
              </w:rPr>
            </w:pPr>
            <w:r>
              <w:rPr>
                <w:rFonts w:hint="eastAsia" w:ascii="宋体" w:hAnsi="宋体" w:cs="Arial"/>
                <w:kern w:val="0"/>
                <w:szCs w:val="21"/>
              </w:rPr>
              <w:t>资格审查的内容详见本招标文件第二章《投标人须知前附表》知第15条规定；</w:t>
            </w:r>
          </w:p>
        </w:tc>
      </w:tr>
      <w:tr>
        <w:trPr>
          <w:cantSplit/>
          <w:trHeight w:val="950" w:hRule="atLeast"/>
          <w:jc w:val="center"/>
        </w:trPr>
        <w:tc>
          <w:tcPr>
            <w:tcW w:w="9160" w:type="dxa"/>
            <w:gridSpan w:val="2"/>
            <w:tcBorders>
              <w:top w:val="single" w:color="auto" w:sz="4"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rPr>
            </w:pPr>
            <w:r>
              <w:rPr>
                <w:rFonts w:hint="eastAsia" w:ascii="宋体" w:hAnsi="宋体" w:cs="Arial"/>
                <w:b/>
                <w:bCs/>
                <w:kern w:val="0"/>
                <w:szCs w:val="21"/>
              </w:rPr>
              <w:t>备注：</w:t>
            </w:r>
            <w:r>
              <w:rPr>
                <w:rFonts w:ascii="宋体" w:hAnsi="宋体" w:cs="Arial"/>
                <w:b/>
                <w:bCs/>
                <w:kern w:val="0"/>
                <w:szCs w:val="21"/>
              </w:rPr>
              <w:t xml:space="preserve"> </w:t>
            </w:r>
            <w:r>
              <w:rPr>
                <w:rFonts w:hint="eastAsia" w:ascii="宋体" w:hAnsi="宋体" w:cs="Arial"/>
                <w:b/>
                <w:bCs/>
                <w:kern w:val="0"/>
                <w:szCs w:val="21"/>
              </w:rPr>
              <w:t>通过打“√”，不通过打“×”；如果资格评审中有一项不满足审查标准的，采购人将认定该投标人不通过资格审查，投标文件将被拒绝评审。并且不允许投标人通过修改或撤销其不符合要求的差异或保留，使之成为具有响应性的投标。</w:t>
            </w:r>
          </w:p>
        </w:tc>
      </w:tr>
    </w:tbl>
    <w:p>
      <w:pPr>
        <w:widowControl/>
        <w:shd w:val="clear" w:color="auto" w:fill="FFFFFF"/>
        <w:snapToGrid w:val="0"/>
        <w:jc w:val="center"/>
        <w:rPr>
          <w:rFonts w:ascii="宋体" w:hAnsi="宋体" w:cs="Arial"/>
          <w:b/>
          <w:kern w:val="0"/>
          <w:szCs w:val="21"/>
        </w:rPr>
      </w:pPr>
    </w:p>
    <w:p>
      <w:pPr>
        <w:widowControl/>
        <w:shd w:val="clear" w:color="auto" w:fill="FFFFFF"/>
        <w:snapToGrid w:val="0"/>
        <w:jc w:val="center"/>
        <w:rPr>
          <w:rFonts w:ascii="宋体" w:hAnsi="宋体" w:cs="Arial"/>
          <w:b/>
          <w:kern w:val="0"/>
          <w:szCs w:val="21"/>
        </w:rPr>
      </w:pPr>
      <w:r>
        <w:rPr>
          <w:rFonts w:hint="eastAsia" w:ascii="宋体" w:hAnsi="宋体" w:cs="Arial"/>
          <w:b/>
          <w:kern w:val="0"/>
          <w:szCs w:val="21"/>
        </w:rPr>
        <w:t>《完备性及符合性审查标准》</w:t>
      </w:r>
      <w:bookmarkEnd w:id="24"/>
    </w:p>
    <w:tbl>
      <w:tblPr>
        <w:tblStyle w:val="21"/>
        <w:tblW w:w="9255" w:type="dxa"/>
        <w:jc w:val="center"/>
        <w:tblLayout w:type="fixed"/>
        <w:tblCellMar>
          <w:top w:w="0" w:type="dxa"/>
          <w:left w:w="0" w:type="dxa"/>
          <w:bottom w:w="0" w:type="dxa"/>
          <w:right w:w="0" w:type="dxa"/>
        </w:tblCellMar>
      </w:tblPr>
      <w:tblGrid>
        <w:gridCol w:w="623"/>
        <w:gridCol w:w="8632"/>
      </w:tblGrid>
      <w:tr>
        <w:tblPrEx>
          <w:tblCellMar>
            <w:top w:w="0" w:type="dxa"/>
            <w:left w:w="0" w:type="dxa"/>
            <w:bottom w:w="0" w:type="dxa"/>
            <w:right w:w="0" w:type="dxa"/>
          </w:tblCellMar>
        </w:tblPrEx>
        <w:trPr>
          <w:cantSplit/>
          <w:trHeight w:val="505" w:hRule="atLeast"/>
          <w:jc w:val="center"/>
        </w:trPr>
        <w:tc>
          <w:tcPr>
            <w:tcW w:w="62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rPr>
                <w:rFonts w:ascii="宋体" w:hAnsi="宋体" w:cs="Arial"/>
                <w:kern w:val="0"/>
                <w:szCs w:val="21"/>
              </w:rPr>
            </w:pPr>
            <w:r>
              <w:rPr>
                <w:rFonts w:hint="eastAsia" w:ascii="宋体" w:hAnsi="宋体" w:cs="Arial"/>
                <w:kern w:val="0"/>
                <w:szCs w:val="21"/>
              </w:rPr>
              <w:t>序号</w:t>
            </w:r>
          </w:p>
        </w:tc>
        <w:tc>
          <w:tcPr>
            <w:tcW w:w="8632"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jc w:val="center"/>
              <w:rPr>
                <w:rFonts w:ascii="宋体" w:hAnsi="宋体" w:cs="Arial"/>
                <w:kern w:val="0"/>
                <w:szCs w:val="21"/>
              </w:rPr>
            </w:pPr>
            <w:r>
              <w:rPr>
                <w:rFonts w:hint="eastAsia" w:ascii="宋体" w:hAnsi="宋体" w:cs="Arial"/>
                <w:kern w:val="0"/>
                <w:szCs w:val="21"/>
              </w:rPr>
              <w:t>评审标准</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ascii="宋体" w:hAnsi="宋体" w:cs="Arial"/>
                <w:kern w:val="0"/>
                <w:szCs w:val="21"/>
              </w:rPr>
              <w:t>1</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rPr>
            </w:pPr>
            <w:r>
              <w:rPr>
                <w:rFonts w:hint="eastAsia" w:ascii="宋体" w:hAnsi="宋体" w:cs="Arial"/>
                <w:kern w:val="0"/>
                <w:szCs w:val="21"/>
              </w:rPr>
              <w:t>投标文件要求签署并加盖投标人章、法定代表人章处未签署和加盖的；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2</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rPr>
            </w:pPr>
            <w:r>
              <w:rPr>
                <w:rFonts w:hint="eastAsia" w:ascii="宋体" w:hAnsi="宋体" w:cs="Arial"/>
                <w:kern w:val="0"/>
                <w:szCs w:val="21"/>
              </w:rPr>
              <w:t>投标价格不得超过投标人须知前附表中的采购预算金额及最高限价的；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3</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rPr>
            </w:pPr>
            <w:r>
              <w:rPr>
                <w:rFonts w:hint="eastAsia" w:ascii="宋体" w:hAnsi="宋体" w:cs="宋体"/>
                <w:szCs w:val="21"/>
              </w:rPr>
              <w:t>投标人所报交货期是否满足招标文件规定期限的；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4</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投标人所报</w:t>
            </w:r>
            <w:r>
              <w:rPr>
                <w:rFonts w:hint="eastAsia" w:ascii="宋体" w:hAnsi="宋体"/>
                <w:szCs w:val="21"/>
              </w:rPr>
              <w:t>交货地点</w:t>
            </w:r>
            <w:r>
              <w:rPr>
                <w:rFonts w:hint="eastAsia" w:ascii="宋体" w:hAnsi="宋体" w:cs="宋体"/>
                <w:szCs w:val="21"/>
              </w:rPr>
              <w:t>是否满足招标文件规定的；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5</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szCs w:val="21"/>
              </w:rPr>
              <w:t>技术性能指标是否满足招标文件要求；</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6</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投标有效期是否满足招标文件要求的；</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7</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投标文件是否按招标文件规定格式完整准确填写；</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8</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投标文件是否按照招标文件要求编写、装订并依照商务技术评分标准逐条对应编制评标索引目录；</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jc w:val="center"/>
              <w:rPr>
                <w:rFonts w:ascii="宋体" w:hAnsi="宋体" w:cs="Arial"/>
                <w:kern w:val="0"/>
                <w:szCs w:val="21"/>
              </w:rPr>
            </w:pPr>
            <w:r>
              <w:rPr>
                <w:rFonts w:hint="eastAsia" w:ascii="宋体" w:hAnsi="宋体" w:cs="Arial"/>
                <w:kern w:val="0"/>
                <w:szCs w:val="21"/>
              </w:rPr>
              <w:t>9</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宋体"/>
                <w:szCs w:val="21"/>
              </w:rPr>
              <w:t>是否承诺按采购人的要求提供疫苗产品包装规格；</w:t>
            </w:r>
          </w:p>
        </w:tc>
      </w:tr>
      <w:tr>
        <w:tblPrEx>
          <w:tblCellMar>
            <w:top w:w="0" w:type="dxa"/>
            <w:left w:w="0" w:type="dxa"/>
            <w:bottom w:w="0" w:type="dxa"/>
            <w:right w:w="0" w:type="dxa"/>
          </w:tblCellMar>
        </w:tblPrEx>
        <w:trPr>
          <w:cantSplit/>
          <w:trHeight w:val="22" w:hRule="atLeast"/>
          <w:jc w:val="center"/>
        </w:trPr>
        <w:tc>
          <w:tcPr>
            <w:tcW w:w="623"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ind w:firstLine="210" w:firstLineChars="100"/>
              <w:rPr>
                <w:rFonts w:ascii="宋体" w:hAnsi="宋体" w:cs="Arial"/>
                <w:kern w:val="0"/>
                <w:szCs w:val="21"/>
              </w:rPr>
            </w:pPr>
            <w:r>
              <w:rPr>
                <w:rFonts w:hint="eastAsia" w:ascii="宋体" w:hAnsi="宋体" w:cs="Arial"/>
                <w:kern w:val="0"/>
                <w:szCs w:val="21"/>
              </w:rPr>
              <w:t>10</w:t>
            </w:r>
          </w:p>
        </w:tc>
        <w:tc>
          <w:tcPr>
            <w:tcW w:w="8632" w:type="dxa"/>
            <w:tcBorders>
              <w:top w:val="nil"/>
              <w:left w:val="nil"/>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宋体"/>
                <w:szCs w:val="21"/>
              </w:rPr>
            </w:pPr>
            <w:r>
              <w:rPr>
                <w:rFonts w:hint="eastAsia" w:ascii="宋体" w:hAnsi="宋体" w:cs="Arial"/>
                <w:kern w:val="0"/>
                <w:szCs w:val="21"/>
              </w:rPr>
              <w:t>投标文件有无符合招标文件实质性要求的。</w:t>
            </w:r>
          </w:p>
        </w:tc>
      </w:tr>
      <w:tr>
        <w:tblPrEx>
          <w:tblCellMar>
            <w:top w:w="0" w:type="dxa"/>
            <w:left w:w="0" w:type="dxa"/>
            <w:bottom w:w="0" w:type="dxa"/>
            <w:right w:w="0" w:type="dxa"/>
          </w:tblCellMar>
        </w:tblPrEx>
        <w:trPr>
          <w:cantSplit/>
          <w:trHeight w:val="22" w:hRule="atLeast"/>
          <w:jc w:val="center"/>
        </w:trPr>
        <w:tc>
          <w:tcPr>
            <w:tcW w:w="9255"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widowControl/>
              <w:shd w:val="clear" w:color="auto" w:fill="FFFFFF"/>
              <w:snapToGrid w:val="0"/>
              <w:spacing w:line="276" w:lineRule="auto"/>
              <w:rPr>
                <w:rFonts w:ascii="宋体" w:hAnsi="宋体" w:cs="Arial"/>
                <w:kern w:val="0"/>
                <w:szCs w:val="21"/>
              </w:rPr>
            </w:pPr>
            <w:r>
              <w:rPr>
                <w:rFonts w:hint="eastAsia" w:ascii="宋体" w:hAnsi="宋体" w:cs="Arial"/>
                <w:b/>
                <w:bCs/>
                <w:kern w:val="0"/>
                <w:szCs w:val="21"/>
              </w:rPr>
              <w:t>备注：通过打“√”，不通过打“×”；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pPr>
        <w:jc w:val="left"/>
        <w:rPr>
          <w:rFonts w:ascii="宋体" w:hAnsi="宋体" w:cs="Arial"/>
          <w:kern w:val="0"/>
          <w:szCs w:val="21"/>
        </w:rPr>
      </w:pPr>
      <w:r>
        <w:rPr>
          <w:rFonts w:hint="eastAsia" w:ascii="宋体" w:hAnsi="宋体" w:cs="Arial"/>
          <w:kern w:val="0"/>
          <w:szCs w:val="21"/>
        </w:rPr>
        <w:t>只有通过了资格审查、完备性及符合性审查且投标</w:t>
      </w:r>
      <w:r>
        <w:rPr>
          <w:rFonts w:hint="eastAsia" w:ascii="宋体" w:hAnsi="宋体" w:cs="Arial"/>
          <w:kern w:val="0"/>
          <w:szCs w:val="21"/>
          <w:lang w:eastAsia="zh-Hans"/>
        </w:rPr>
        <w:t>人</w:t>
      </w:r>
      <w:r>
        <w:rPr>
          <w:rFonts w:hint="eastAsia" w:ascii="宋体" w:hAnsi="宋体" w:cs="Arial"/>
          <w:kern w:val="0"/>
          <w:szCs w:val="21"/>
        </w:rPr>
        <w:t>不少于3个方可进入详细评审。</w:t>
      </w:r>
    </w:p>
    <w:p>
      <w:pPr>
        <w:pStyle w:val="2"/>
        <w:rPr>
          <w:rFonts w:ascii="宋体" w:hAnsi="宋体" w:eastAsia="宋体"/>
          <w:sz w:val="21"/>
          <w:szCs w:val="21"/>
        </w:rPr>
      </w:pPr>
    </w:p>
    <w:p>
      <w:pPr>
        <w:jc w:val="center"/>
        <w:rPr>
          <w:rFonts w:ascii="宋体" w:hAnsi="宋体" w:cs="Arial"/>
          <w:b/>
          <w:kern w:val="0"/>
          <w:szCs w:val="21"/>
        </w:rPr>
      </w:pPr>
      <w:r>
        <w:rPr>
          <w:rFonts w:hint="eastAsia" w:ascii="宋体" w:hAnsi="宋体" w:cs="Arial"/>
          <w:b/>
          <w:kern w:val="0"/>
          <w:szCs w:val="21"/>
        </w:rPr>
        <w:t>《详细评审标准》</w:t>
      </w:r>
    </w:p>
    <w:p>
      <w:pPr>
        <w:snapToGrid w:val="0"/>
        <w:spacing w:line="360" w:lineRule="auto"/>
        <w:jc w:val="left"/>
        <w:rPr>
          <w:rFonts w:ascii="宋体" w:hAnsi="宋体" w:cs="宋体"/>
          <w:b/>
          <w:bCs/>
          <w:szCs w:val="21"/>
        </w:rPr>
      </w:pPr>
      <w:r>
        <w:rPr>
          <w:rFonts w:hint="eastAsia" w:ascii="宋体" w:hAnsi="宋体" w:cs="宋体"/>
          <w:b/>
          <w:bCs/>
          <w:szCs w:val="21"/>
        </w:rPr>
        <w:t>1、价格部分（满分30分）</w:t>
      </w:r>
    </w:p>
    <w:p>
      <w:pPr>
        <w:snapToGrid w:val="0"/>
        <w:spacing w:line="360" w:lineRule="auto"/>
        <w:ind w:firstLine="420" w:firstLineChars="200"/>
        <w:jc w:val="left"/>
        <w:rPr>
          <w:rFonts w:ascii="宋体" w:hAnsi="宋体" w:cs="宋体"/>
          <w:szCs w:val="21"/>
        </w:rPr>
      </w:pPr>
      <w:r>
        <w:rPr>
          <w:rFonts w:hint="eastAsia" w:ascii="宋体" w:hAnsi="宋体" w:cs="宋体"/>
          <w:bCs/>
          <w:szCs w:val="21"/>
        </w:rPr>
        <w:t>综合评分法中的价格分统一采用低价优先法计算，即满足投标文件要求且最后报价最低的供应商的价格为评标基准价，其价格分为满分</w:t>
      </w:r>
      <w:r>
        <w:rPr>
          <w:rFonts w:hint="eastAsia" w:ascii="宋体" w:hAnsi="宋体" w:cs="宋体"/>
          <w:szCs w:val="21"/>
        </w:rPr>
        <w:t>。其他投标人的价格分统一按照下列公式计算：</w:t>
      </w:r>
    </w:p>
    <w:p>
      <w:pPr>
        <w:snapToGrid w:val="0"/>
        <w:spacing w:line="360" w:lineRule="auto"/>
        <w:ind w:firstLine="420" w:firstLineChars="200"/>
        <w:jc w:val="left"/>
        <w:rPr>
          <w:rFonts w:ascii="宋体" w:hAnsi="宋体" w:cs="宋体"/>
          <w:szCs w:val="21"/>
        </w:rPr>
      </w:pPr>
      <w:r>
        <w:rPr>
          <w:rFonts w:hint="eastAsia" w:ascii="宋体" w:hAnsi="宋体" w:cs="宋体"/>
          <w:szCs w:val="21"/>
        </w:rPr>
        <w:t>投标报价得分=(评标基准价／评标报价)×投标报价权重</w:t>
      </w:r>
    </w:p>
    <w:p>
      <w:pPr>
        <w:spacing w:line="400" w:lineRule="exact"/>
        <w:ind w:firstLine="422" w:firstLineChars="200"/>
        <w:rPr>
          <w:rStyle w:val="48"/>
          <w:rFonts w:hint="default" w:ascii="Times New Roman" w:hAnsi="Times New Roman" w:eastAsiaTheme="minorEastAsia"/>
          <w:b/>
          <w:color w:val="auto"/>
          <w:sz w:val="21"/>
          <w:szCs w:val="21"/>
        </w:rPr>
      </w:pPr>
      <w:r>
        <w:rPr>
          <w:rStyle w:val="48"/>
          <w:rFonts w:hint="default" w:ascii="Times New Roman" w:hAnsi="Times New Roman" w:eastAsiaTheme="minorEastAsia"/>
          <w:b/>
          <w:color w:val="auto"/>
          <w:sz w:val="21"/>
          <w:szCs w:val="21"/>
        </w:rPr>
        <w:t>注：根据《2020国家动物疫病强制免疫计划》（农牧发【2019】44号）规定，“疫苗生产企业禁止恶意竞标，不得以低于成本的价格参与投标。”</w:t>
      </w:r>
    </w:p>
    <w:p>
      <w:pPr>
        <w:spacing w:line="400" w:lineRule="exact"/>
        <w:ind w:firstLine="435"/>
        <w:rPr>
          <w:rFonts w:ascii="宋体" w:hAnsi="宋体"/>
          <w:szCs w:val="21"/>
        </w:rPr>
      </w:pPr>
      <w:r>
        <w:rPr>
          <w:rStyle w:val="48"/>
          <w:rFonts w:hint="default" w:ascii="Times New Roman" w:hAnsi="Times New Roman" w:eastAsiaTheme="minorEastAsia"/>
          <w:b/>
          <w:color w:val="auto"/>
          <w:sz w:val="21"/>
          <w:szCs w:val="21"/>
        </w:rPr>
        <w:t>在本次招标中，各投标人不得采取恶意竞价方式投标，不得以低于成本的价格参与投标。评标委员会认为投标人的报价明显低于其他通过符合性审查投标人的报价，有可能影响产品质量或者不能诚信履约的，评标委员会应当要求其在评标现场合理的时间内提供该投标人相关资料（包括但不限于投标人近三年的审计报告原件、该投标产品成本核算表原件、投标人近三年以该价格履行完成的业绩资料原件及对应的用户反馈资料原件等）进行查证；投标人未在规定时间提供或者提供的资料不能证明其报价合理性的，评标委员会应当将其作为无效投标处理。</w:t>
      </w: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p>
    <w:p>
      <w:pPr>
        <w:pStyle w:val="15"/>
        <w:jc w:val="left"/>
        <w:rPr>
          <w:rFonts w:ascii="宋体" w:hAnsi="宋体" w:cs="宋体"/>
          <w:b/>
          <w:bCs/>
          <w:sz w:val="21"/>
          <w:szCs w:val="21"/>
        </w:rPr>
      </w:pPr>
      <w:r>
        <w:rPr>
          <w:rFonts w:hint="eastAsia" w:ascii="宋体" w:hAnsi="宋体" w:cs="宋体"/>
          <w:b/>
          <w:bCs/>
          <w:sz w:val="21"/>
          <w:szCs w:val="21"/>
        </w:rPr>
        <w:t>2、商务评分标准（</w:t>
      </w:r>
      <w:r>
        <w:rPr>
          <w:rFonts w:ascii="宋体" w:hAnsi="宋体" w:cs="宋体"/>
          <w:b/>
          <w:bCs/>
          <w:sz w:val="21"/>
          <w:szCs w:val="21"/>
        </w:rPr>
        <w:t>4</w:t>
      </w:r>
      <w:r>
        <w:rPr>
          <w:rFonts w:hint="eastAsia" w:ascii="宋体" w:hAnsi="宋体" w:cs="宋体"/>
          <w:b/>
          <w:bCs/>
          <w:sz w:val="21"/>
          <w:szCs w:val="21"/>
        </w:rPr>
        <w:t>5分）</w:t>
      </w:r>
    </w:p>
    <w:tbl>
      <w:tblPr>
        <w:tblStyle w:val="22"/>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17"/>
        <w:gridCol w:w="7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88"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序号</w:t>
            </w:r>
          </w:p>
        </w:tc>
        <w:tc>
          <w:tcPr>
            <w:tcW w:w="1417"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评分因素</w:t>
            </w:r>
          </w:p>
        </w:tc>
        <w:tc>
          <w:tcPr>
            <w:tcW w:w="7414"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评分标准</w:t>
            </w:r>
          </w:p>
        </w:tc>
        <w:tc>
          <w:tcPr>
            <w:tcW w:w="700"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产品业绩</w:t>
            </w:r>
          </w:p>
        </w:tc>
        <w:tc>
          <w:tcPr>
            <w:tcW w:w="7414"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1、投标人2022年以来本投标产品业绩，</w:t>
            </w:r>
            <w:r>
              <w:rPr>
                <w:rFonts w:hint="eastAsia" w:ascii="宋体" w:hAnsi="宋体"/>
                <w:b/>
                <w:bCs/>
                <w:kern w:val="0"/>
                <w:sz w:val="21"/>
                <w:szCs w:val="21"/>
              </w:rPr>
              <w:t>（须提供省级采购合同原件和中标通知书原件，并在投标文件中附复印件，否则不得分）</w:t>
            </w:r>
            <w:r>
              <w:rPr>
                <w:rFonts w:hint="eastAsia" w:ascii="宋体" w:hAnsi="宋体" w:cs="宋体"/>
                <w:kern w:val="0"/>
                <w:sz w:val="21"/>
                <w:szCs w:val="21"/>
              </w:rPr>
              <w:t>（满分8分）；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①提供15个及以上的得8分；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②提供11-14个的得5分；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③提供5-10个的得3分；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④提供5个以下得1分；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70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培训</w:t>
            </w:r>
          </w:p>
        </w:tc>
        <w:tc>
          <w:tcPr>
            <w:tcW w:w="7414" w:type="dxa"/>
            <w:vMerge w:val="restart"/>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2、投标企业对采购方各县市、乡镇、村防疫人员进行技术培训并制定培训方案，并提供相关类似项目实施证明材料（满分6分）：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提供2022年内受训地州市和省级动物疫控机构出具的针对中标产品的培训履约证明，并出具地州市及省级畜牧兽医机构培训材料</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①提供10个及以上的得6分；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②提供5-9个的得3分；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③提供1-4个的得1分；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④没有的不得分；</w:t>
            </w:r>
          </w:p>
        </w:tc>
        <w:tc>
          <w:tcPr>
            <w:tcW w:w="70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14" w:type="dxa"/>
            <w:vMerge w:val="continue"/>
          </w:tcPr>
          <w:p>
            <w:pPr>
              <w:pStyle w:val="15"/>
              <w:pBdr>
                <w:bottom w:val="none" w:color="auto" w:sz="0" w:space="0"/>
              </w:pBdr>
              <w:spacing w:line="276" w:lineRule="auto"/>
              <w:jc w:val="left"/>
              <w:rPr>
                <w:rFonts w:ascii="宋体" w:hAnsi="宋体" w:cs="宋体"/>
                <w:kern w:val="0"/>
                <w:sz w:val="21"/>
                <w:szCs w:val="21"/>
              </w:rPr>
            </w:pPr>
          </w:p>
        </w:tc>
        <w:tc>
          <w:tcPr>
            <w:tcW w:w="700"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疫苗免疫副反应、免疫失败、产品质量问题等处理方案损失补偿</w:t>
            </w:r>
          </w:p>
        </w:tc>
        <w:tc>
          <w:tcPr>
            <w:tcW w:w="7414"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3.1、疫苗免疫副反应处理（满分3分）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①投标企业承诺因疫苗</w:t>
            </w:r>
            <w:r>
              <w:rPr>
                <w:rFonts w:hint="eastAsia" w:ascii="宋体" w:hAnsi="宋体" w:cs="宋体"/>
                <w:kern w:val="0"/>
                <w:sz w:val="21"/>
                <w:szCs w:val="21"/>
                <w:lang w:eastAsia="zh-Hans"/>
              </w:rPr>
              <w:t>副</w:t>
            </w:r>
            <w:r>
              <w:rPr>
                <w:rFonts w:hint="eastAsia" w:ascii="宋体" w:hAnsi="宋体" w:cs="宋体"/>
                <w:kern w:val="0"/>
                <w:sz w:val="21"/>
                <w:szCs w:val="21"/>
              </w:rPr>
              <w:t>反应、免疫失败、产品质量导致畜禽死亡或流产造成损失按照不低于国家标准补偿得1分（满分1分）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②提供近两年2021年1月1日起副反应赔付响应程度证明（以赔付发票为准）提供一个得1分(满分2分)</w:t>
            </w:r>
          </w:p>
        </w:tc>
        <w:tc>
          <w:tcPr>
            <w:tcW w:w="70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14"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3.2、补偿方案并建立补偿准备金（满分6分）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lang w:val="en-US" w:eastAsia="zh-CN"/>
              </w:rPr>
              <w:t>3.2.1</w:t>
            </w:r>
            <w:r>
              <w:rPr>
                <w:rFonts w:hint="eastAsia" w:ascii="宋体" w:hAnsi="宋体" w:cs="宋体"/>
                <w:kern w:val="0"/>
                <w:sz w:val="21"/>
                <w:szCs w:val="21"/>
              </w:rPr>
              <w:t>补偿方案建立补偿准备金的得1分；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lang w:val="en-US" w:eastAsia="zh-CN"/>
              </w:rPr>
              <w:t>3.2.2</w:t>
            </w:r>
            <w:r>
              <w:rPr>
                <w:rFonts w:hint="eastAsia" w:ascii="宋体" w:hAnsi="宋体" w:cs="宋体"/>
                <w:kern w:val="0"/>
                <w:sz w:val="21"/>
                <w:szCs w:val="21"/>
              </w:rPr>
              <w:t>提供2022年省级动物疫控机构对产品使用效果和副反应赔付等售后服务满意度证明资料</w:t>
            </w:r>
            <w:r>
              <w:rPr>
                <w:rFonts w:ascii="宋体" w:hAnsi="宋体" w:cs="宋体"/>
                <w:kern w:val="0"/>
                <w:sz w:val="21"/>
                <w:szCs w:val="21"/>
              </w:rPr>
              <w:t>（</w:t>
            </w:r>
            <w:r>
              <w:rPr>
                <w:rFonts w:hint="eastAsia" w:ascii="宋体" w:hAnsi="宋体"/>
                <w:b/>
                <w:bCs/>
                <w:kern w:val="0"/>
                <w:sz w:val="21"/>
                <w:szCs w:val="21"/>
              </w:rPr>
              <w:t>须提供省级售后服务满意度证明资料原件，并在投标文件中附复印件，否则不得分</w:t>
            </w:r>
            <w:r>
              <w:rPr>
                <w:rFonts w:ascii="宋体" w:hAnsi="宋体" w:cs="宋体"/>
                <w:kern w:val="0"/>
                <w:sz w:val="21"/>
                <w:szCs w:val="21"/>
              </w:rPr>
              <w:t>）</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①提供15个及以上的得5分；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②提供11-14个的得3分；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③提供5-10个的得2分；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④提供5个以下得1分；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700"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4</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抗体水平监测</w:t>
            </w:r>
          </w:p>
        </w:tc>
        <w:tc>
          <w:tcPr>
            <w:tcW w:w="7414"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lang w:val="en-US" w:eastAsia="zh-CN"/>
              </w:rPr>
              <w:t>4、</w:t>
            </w:r>
            <w:r>
              <w:rPr>
                <w:rFonts w:hint="eastAsia" w:ascii="宋体" w:hAnsi="宋体" w:cs="宋体"/>
                <w:kern w:val="0"/>
                <w:sz w:val="21"/>
                <w:szCs w:val="21"/>
              </w:rPr>
              <w:t>投标企业进行抗体水平监测并制定监测方案（免疫抗体监测比例为中标产品免疫数量的万分之一</w:t>
            </w:r>
            <w:r>
              <w:rPr>
                <w:rFonts w:ascii="宋体" w:hAnsi="宋体" w:cs="宋体"/>
                <w:kern w:val="0"/>
                <w:sz w:val="21"/>
                <w:szCs w:val="21"/>
              </w:rPr>
              <w:t>。</w:t>
            </w:r>
            <w:r>
              <w:rPr>
                <w:rFonts w:hint="eastAsia" w:ascii="宋体" w:hAnsi="宋体" w:cs="宋体"/>
                <w:kern w:val="0"/>
                <w:sz w:val="21"/>
                <w:szCs w:val="21"/>
              </w:rPr>
              <w:t>）（满分</w:t>
            </w:r>
            <w:r>
              <w:rPr>
                <w:rFonts w:ascii="宋体" w:hAnsi="宋体" w:cs="宋体"/>
                <w:kern w:val="0"/>
                <w:sz w:val="21"/>
                <w:szCs w:val="21"/>
              </w:rPr>
              <w:t>5</w:t>
            </w:r>
            <w:r>
              <w:rPr>
                <w:rFonts w:hint="eastAsia" w:ascii="宋体" w:hAnsi="宋体" w:cs="宋体"/>
                <w:kern w:val="0"/>
                <w:sz w:val="21"/>
                <w:szCs w:val="21"/>
              </w:rPr>
              <w:t>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①制定监测方案的得</w:t>
            </w:r>
            <w:r>
              <w:rPr>
                <w:rFonts w:ascii="宋体" w:hAnsi="宋体" w:cs="宋体"/>
                <w:kern w:val="0"/>
                <w:sz w:val="21"/>
                <w:szCs w:val="21"/>
              </w:rPr>
              <w:t>1</w:t>
            </w:r>
            <w:r>
              <w:rPr>
                <w:rFonts w:hint="eastAsia" w:ascii="宋体" w:hAnsi="宋体" w:cs="宋体"/>
                <w:kern w:val="0"/>
                <w:sz w:val="21"/>
                <w:szCs w:val="21"/>
              </w:rPr>
              <w:t>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②承诺提供满足中标产品免疫抗体水平监测所需的技术支持且监测方案操作性强的得1-2分，操作性较好得0-1分，操作性一般不得分；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③承诺提供满足中标产品免疫抗体水平监测所需的材料支持且不额外收费的，得2分，否则不得分；</w:t>
            </w:r>
          </w:p>
        </w:tc>
        <w:tc>
          <w:tcPr>
            <w:tcW w:w="70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5</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售后服务及质量保障措施</w:t>
            </w:r>
          </w:p>
        </w:tc>
        <w:tc>
          <w:tcPr>
            <w:tcW w:w="7414"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lang w:val="en-US" w:eastAsia="zh-CN"/>
              </w:rPr>
              <w:t>5</w:t>
            </w:r>
            <w:r>
              <w:rPr>
                <w:rFonts w:hint="eastAsia" w:ascii="宋体" w:hAnsi="宋体" w:cs="宋体"/>
                <w:kern w:val="0"/>
                <w:sz w:val="21"/>
                <w:szCs w:val="21"/>
              </w:rPr>
              <w:t>.1、针对本</w:t>
            </w:r>
            <w:r>
              <w:rPr>
                <w:rFonts w:hint="eastAsia" w:ascii="宋体" w:hAnsi="宋体" w:cs="Arial"/>
                <w:kern w:val="0"/>
                <w:sz w:val="21"/>
                <w:szCs w:val="21"/>
              </w:rPr>
              <w:t>项目进度计划安排、配送方案、验收组织安排是否完整合理、是否符合需求，以及质量保证措施、等综合情况</w:t>
            </w:r>
            <w:r>
              <w:rPr>
                <w:rFonts w:hint="eastAsia" w:ascii="宋体" w:hAnsi="宋体" w:cs="宋体"/>
                <w:kern w:val="0"/>
                <w:sz w:val="21"/>
                <w:szCs w:val="21"/>
              </w:rPr>
              <w:t>进行赋分（满分4分）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①横向比较</w:t>
            </w:r>
            <w:r>
              <w:rPr>
                <w:rFonts w:hint="eastAsia" w:ascii="宋体" w:hAnsi="宋体" w:cs="Arial"/>
                <w:kern w:val="0"/>
                <w:sz w:val="21"/>
                <w:szCs w:val="21"/>
              </w:rPr>
              <w:t>项目进度计划安排、配送方案、验收组织安排完整合理、符合需求，以及质量保证措施完善</w:t>
            </w:r>
            <w:r>
              <w:rPr>
                <w:rFonts w:hint="eastAsia" w:ascii="宋体" w:hAnsi="宋体" w:cs="宋体"/>
                <w:kern w:val="0"/>
                <w:sz w:val="21"/>
                <w:szCs w:val="21"/>
              </w:rPr>
              <w:t>的得1-3分；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②疫苗供应企业在自治区及伊犁州内设立售后保障服务网点，配备专业技术服务人员（包括委托相关有资质机构，如有委托，提供被委托机构能力证明材料）的得1分；没有不得分。（满分1分）</w:t>
            </w:r>
          </w:p>
        </w:tc>
        <w:tc>
          <w:tcPr>
            <w:tcW w:w="70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14"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lang w:val="en-US" w:eastAsia="zh-CN"/>
              </w:rPr>
              <w:t>5</w:t>
            </w:r>
            <w:r>
              <w:rPr>
                <w:rFonts w:hint="eastAsia" w:ascii="宋体" w:hAnsi="宋体" w:cs="宋体"/>
                <w:kern w:val="0"/>
                <w:sz w:val="21"/>
                <w:szCs w:val="21"/>
              </w:rPr>
              <w:t>.2、疫苗的冷链运输（满分2分）：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lang w:val="en-US" w:eastAsia="zh-CN"/>
              </w:rPr>
              <w:t>5</w:t>
            </w:r>
            <w:r>
              <w:rPr>
                <w:rFonts w:hint="eastAsia" w:ascii="宋体" w:hAnsi="宋体" w:cs="宋体"/>
                <w:kern w:val="0"/>
                <w:sz w:val="21"/>
                <w:szCs w:val="21"/>
              </w:rPr>
              <w:t>.2.1（满分1分）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①承诺疫苗用专用冷藏车运输不超过36小时或航空运输不超过12小时，有全程温控记录设备和数据的得1分；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②疫苗用冷藏车运输不超过72小时或航空运输不超过24小时，全程温控记录设备和数据的得0.5分；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③超过以上最低时限或未采取规定运载工具运输的不得分。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lang w:val="en-US" w:eastAsia="zh-CN"/>
              </w:rPr>
              <w:t>5</w:t>
            </w:r>
            <w:r>
              <w:rPr>
                <w:rFonts w:hint="eastAsia" w:ascii="宋体" w:hAnsi="宋体" w:cs="宋体"/>
                <w:kern w:val="0"/>
                <w:sz w:val="21"/>
                <w:szCs w:val="21"/>
              </w:rPr>
              <w:t>.2.2（满分1分）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①提供2022年内5个地市级的冷链运输供货完整记录凭证的得1分，不提供不得分。</w:t>
            </w:r>
          </w:p>
        </w:tc>
        <w:tc>
          <w:tcPr>
            <w:tcW w:w="700"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交货日期</w:t>
            </w:r>
          </w:p>
        </w:tc>
        <w:tc>
          <w:tcPr>
            <w:tcW w:w="7414" w:type="dxa"/>
          </w:tcPr>
          <w:p>
            <w:pPr>
              <w:pStyle w:val="15"/>
              <w:pBdr>
                <w:bottom w:val="none" w:color="auto" w:sz="0" w:space="0"/>
              </w:pBdr>
              <w:jc w:val="left"/>
              <w:rPr>
                <w:rFonts w:ascii="宋体" w:hAnsi="宋体" w:cs="Arial"/>
                <w:kern w:val="0"/>
                <w:sz w:val="21"/>
                <w:szCs w:val="21"/>
              </w:rPr>
            </w:pPr>
            <w:r>
              <w:rPr>
                <w:rFonts w:hint="eastAsia" w:ascii="宋体" w:hAnsi="宋体" w:cs="Arial"/>
                <w:kern w:val="0"/>
                <w:sz w:val="21"/>
                <w:szCs w:val="21"/>
                <w:lang w:val="en-US" w:eastAsia="zh-CN"/>
              </w:rPr>
              <w:t>6、</w:t>
            </w:r>
            <w:r>
              <w:rPr>
                <w:rFonts w:hint="eastAsia" w:ascii="宋体" w:hAnsi="宋体" w:cs="Arial"/>
                <w:kern w:val="0"/>
                <w:sz w:val="21"/>
                <w:szCs w:val="21"/>
              </w:rPr>
              <w:t>交货日期</w:t>
            </w:r>
            <w:r>
              <w:rPr>
                <w:rFonts w:hint="eastAsia" w:ascii="宋体" w:hAnsi="宋体" w:cs="宋体"/>
                <w:sz w:val="21"/>
                <w:szCs w:val="21"/>
              </w:rPr>
              <w:t>（满分2分）：</w:t>
            </w:r>
          </w:p>
          <w:p>
            <w:pPr>
              <w:pStyle w:val="15"/>
              <w:pBdr>
                <w:bottom w:val="none" w:color="auto" w:sz="0" w:space="0"/>
              </w:pBdr>
              <w:jc w:val="left"/>
              <w:rPr>
                <w:rFonts w:ascii="宋体" w:hAnsi="宋体" w:cs="宋体"/>
                <w:sz w:val="21"/>
                <w:szCs w:val="21"/>
              </w:rPr>
            </w:pPr>
            <w:r>
              <w:rPr>
                <w:rFonts w:hint="eastAsia" w:ascii="宋体" w:hAnsi="宋体" w:cs="宋体"/>
                <w:sz w:val="21"/>
                <w:szCs w:val="21"/>
              </w:rPr>
              <w:t>①采购人要求15日内交付使用</w:t>
            </w:r>
            <w:r>
              <w:rPr>
                <w:rFonts w:hint="eastAsia" w:ascii="宋体" w:hAnsi="宋体" w:cs="Arial"/>
                <w:kern w:val="0"/>
                <w:sz w:val="21"/>
                <w:szCs w:val="21"/>
              </w:rPr>
              <w:t>，如因特殊情况需要提前在3日内供货的，投标人能够按采购人通知要求执行</w:t>
            </w:r>
            <w:r>
              <w:rPr>
                <w:rFonts w:hint="eastAsia" w:ascii="宋体" w:hAnsi="宋体" w:cs="宋体"/>
                <w:sz w:val="21"/>
                <w:szCs w:val="21"/>
              </w:rPr>
              <w:t>，得2分；</w:t>
            </w:r>
          </w:p>
          <w:p>
            <w:pPr>
              <w:pStyle w:val="15"/>
              <w:pBdr>
                <w:bottom w:val="none" w:color="auto" w:sz="0" w:space="0"/>
              </w:pBdr>
              <w:jc w:val="left"/>
              <w:rPr>
                <w:rFonts w:ascii="宋体" w:hAnsi="宋体" w:cs="宋体"/>
                <w:sz w:val="21"/>
                <w:szCs w:val="21"/>
              </w:rPr>
            </w:pPr>
            <w:r>
              <w:rPr>
                <w:rFonts w:hint="eastAsia" w:ascii="宋体" w:hAnsi="宋体" w:cs="宋体"/>
                <w:sz w:val="21"/>
                <w:szCs w:val="21"/>
              </w:rPr>
              <w:t>②承诺不清楚或</w:t>
            </w:r>
            <w:r>
              <w:rPr>
                <w:rFonts w:hint="eastAsia" w:ascii="宋体" w:hAnsi="宋体" w:cs="Arial"/>
                <w:kern w:val="0"/>
                <w:sz w:val="21"/>
                <w:szCs w:val="21"/>
              </w:rPr>
              <w:t>未承诺的，不</w:t>
            </w:r>
            <w:r>
              <w:rPr>
                <w:rFonts w:hint="eastAsia" w:ascii="宋体" w:hAnsi="宋体" w:cs="宋体"/>
                <w:sz w:val="21"/>
                <w:szCs w:val="21"/>
              </w:rPr>
              <w:t>得分。</w:t>
            </w:r>
          </w:p>
        </w:tc>
        <w:tc>
          <w:tcPr>
            <w:tcW w:w="70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7</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响应时间及承诺</w:t>
            </w:r>
          </w:p>
        </w:tc>
        <w:tc>
          <w:tcPr>
            <w:tcW w:w="7414" w:type="dxa"/>
          </w:tcPr>
          <w:p>
            <w:pPr>
              <w:spacing w:line="276" w:lineRule="auto"/>
              <w:rPr>
                <w:rFonts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.1投标人承诺响应时间（满分5分）：</w:t>
            </w:r>
          </w:p>
          <w:p>
            <w:pPr>
              <w:spacing w:line="276" w:lineRule="auto"/>
              <w:rPr>
                <w:rFonts w:ascii="宋体" w:hAnsi="宋体" w:cs="宋体"/>
                <w:kern w:val="0"/>
                <w:szCs w:val="21"/>
              </w:rPr>
            </w:pPr>
            <w:r>
              <w:rPr>
                <w:rFonts w:hint="eastAsia" w:ascii="宋体" w:hAnsi="宋体" w:cs="宋体"/>
                <w:kern w:val="0"/>
                <w:szCs w:val="21"/>
              </w:rPr>
              <w:t xml:space="preserve">①投标人承诺措施全面、可行性强，对疫苗免疫严重副反应（免疫日县级区域内副反应数量≥1‰）现场处置响应时间 </w:t>
            </w:r>
            <w:r>
              <w:rPr>
                <w:rFonts w:ascii="宋体" w:hAnsi="宋体" w:cs="Arial"/>
                <w:kern w:val="0"/>
                <w:szCs w:val="21"/>
              </w:rPr>
              <w:t>≤</w:t>
            </w:r>
            <w:r>
              <w:rPr>
                <w:rFonts w:hint="eastAsia" w:ascii="宋体" w:hAnsi="宋体" w:cs="Arial"/>
                <w:kern w:val="0"/>
                <w:szCs w:val="21"/>
              </w:rPr>
              <w:t>12</w:t>
            </w:r>
            <w:r>
              <w:rPr>
                <w:rFonts w:hint="eastAsia" w:ascii="宋体" w:hAnsi="宋体" w:cs="宋体"/>
                <w:kern w:val="0"/>
                <w:szCs w:val="21"/>
              </w:rPr>
              <w:t>小时，得2分，没有不得分；</w:t>
            </w:r>
          </w:p>
          <w:p>
            <w:pPr>
              <w:spacing w:line="276" w:lineRule="auto"/>
              <w:rPr>
                <w:rFonts w:ascii="宋体" w:hAnsi="宋体" w:cs="宋体"/>
                <w:kern w:val="0"/>
                <w:szCs w:val="21"/>
              </w:rPr>
            </w:pPr>
            <w:r>
              <w:rPr>
                <w:rFonts w:hint="eastAsia" w:ascii="宋体" w:hAnsi="宋体" w:cs="宋体"/>
                <w:kern w:val="0"/>
                <w:szCs w:val="21"/>
              </w:rPr>
              <w:t>②投标人承诺在采购人规定时间内给予反应死亡赔偿费（按死亡牲畜实际价值的50%进行赔偿，实际价值以县级物价部门核定为准）的，得3分；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③承诺不全面或无承诺不得分。</w:t>
            </w:r>
          </w:p>
        </w:tc>
        <w:tc>
          <w:tcPr>
            <w:tcW w:w="700"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7414"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lang w:val="en-US" w:eastAsia="zh-CN"/>
              </w:rPr>
              <w:t>7</w:t>
            </w:r>
            <w:r>
              <w:rPr>
                <w:rFonts w:hint="eastAsia" w:ascii="宋体" w:hAnsi="宋体" w:cs="宋体"/>
                <w:kern w:val="0"/>
                <w:sz w:val="21"/>
                <w:szCs w:val="21"/>
              </w:rPr>
              <w:t>.2投标人承诺（满分1分）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①投标人针对本项目自主承诺的各项优惠事项，经评标委员会判定确实有利项目推进、安全保障等事项的，得1分；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②投标人针对本项目自主承诺的各项优惠事项，经评标委员会判定与项目推进、安全保障等无关的或者无承诺的，不得分。</w:t>
            </w:r>
          </w:p>
        </w:tc>
        <w:tc>
          <w:tcPr>
            <w:tcW w:w="700"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8</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包装要求</w:t>
            </w:r>
          </w:p>
        </w:tc>
        <w:tc>
          <w:tcPr>
            <w:tcW w:w="7414" w:type="dxa"/>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lang w:val="en-US" w:eastAsia="zh-CN"/>
              </w:rPr>
              <w:t>8、</w:t>
            </w:r>
            <w:r>
              <w:rPr>
                <w:rFonts w:hint="eastAsia" w:ascii="宋体" w:hAnsi="宋体" w:cs="宋体"/>
                <w:kern w:val="0"/>
                <w:sz w:val="21"/>
                <w:szCs w:val="21"/>
              </w:rPr>
              <w:t>投标产品的包装应低碳环保、实用性强，不浪费、利于使用；标签印刷规范明晰，利于运输保存（须提供证明材料彩页并清晰可辨），提供得2分，不提供得0分。</w:t>
            </w:r>
          </w:p>
        </w:tc>
        <w:tc>
          <w:tcPr>
            <w:tcW w:w="70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9</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产品保险</w:t>
            </w:r>
          </w:p>
        </w:tc>
        <w:tc>
          <w:tcPr>
            <w:tcW w:w="7414" w:type="dxa"/>
            <w:vAlign w:val="center"/>
          </w:tcPr>
          <w:p>
            <w:pPr>
              <w:pStyle w:val="15"/>
              <w:numPr>
                <w:ilvl w:val="0"/>
                <w:numId w:val="3"/>
              </w:numPr>
              <w:pBdr>
                <w:bottom w:val="none" w:color="auto" w:sz="0" w:space="0"/>
              </w:pBdr>
              <w:spacing w:line="276" w:lineRule="auto"/>
              <w:jc w:val="both"/>
              <w:rPr>
                <w:rFonts w:hint="eastAsia" w:ascii="宋体" w:hAnsi="宋体" w:cs="宋体"/>
                <w:kern w:val="0"/>
                <w:sz w:val="21"/>
                <w:szCs w:val="21"/>
                <w:lang w:val="en-US" w:eastAsia="zh-CN"/>
              </w:rPr>
            </w:pPr>
            <w:r>
              <w:rPr>
                <w:rFonts w:hint="eastAsia" w:ascii="宋体" w:hAnsi="宋体" w:cs="宋体"/>
                <w:kern w:val="0"/>
                <w:sz w:val="21"/>
                <w:szCs w:val="21"/>
                <w:lang w:val="en-US" w:eastAsia="zh-CN"/>
              </w:rPr>
              <w:t>产品保险</w:t>
            </w:r>
          </w:p>
          <w:p>
            <w:pPr>
              <w:pStyle w:val="15"/>
              <w:numPr>
                <w:ilvl w:val="0"/>
                <w:numId w:val="0"/>
              </w:numPr>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①投标产品应参加相关保险，并在保险有效期内（须提供有效的证明材料）得1分；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②没有参加保险或保险已过期的不得分。</w:t>
            </w:r>
          </w:p>
        </w:tc>
        <w:tc>
          <w:tcPr>
            <w:tcW w:w="70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205" w:type="dxa"/>
            <w:gridSpan w:val="2"/>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小计</w:t>
            </w:r>
          </w:p>
        </w:tc>
        <w:tc>
          <w:tcPr>
            <w:tcW w:w="7414" w:type="dxa"/>
          </w:tcPr>
          <w:p>
            <w:pPr>
              <w:pStyle w:val="15"/>
              <w:pBdr>
                <w:bottom w:val="none" w:color="auto" w:sz="0" w:space="0"/>
              </w:pBdr>
              <w:spacing w:line="276" w:lineRule="auto"/>
              <w:jc w:val="left"/>
              <w:rPr>
                <w:rFonts w:ascii="宋体" w:hAnsi="宋体" w:cs="宋体"/>
                <w:kern w:val="0"/>
                <w:sz w:val="21"/>
                <w:szCs w:val="21"/>
              </w:rPr>
            </w:pPr>
          </w:p>
        </w:tc>
        <w:tc>
          <w:tcPr>
            <w:tcW w:w="700"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4</w:t>
            </w:r>
            <w:r>
              <w:rPr>
                <w:rFonts w:hint="eastAsia" w:ascii="宋体" w:hAnsi="宋体" w:cs="宋体"/>
                <w:kern w:val="0"/>
                <w:sz w:val="21"/>
                <w:szCs w:val="21"/>
              </w:rPr>
              <w:t>5</w:t>
            </w:r>
          </w:p>
        </w:tc>
      </w:tr>
    </w:tbl>
    <w:p>
      <w:pPr>
        <w:rPr>
          <w:rFonts w:hint="eastAsia" w:ascii="宋体" w:hAnsi="宋体" w:cs="宋体"/>
          <w:b/>
          <w:bCs/>
          <w:szCs w:val="21"/>
        </w:rPr>
      </w:pPr>
    </w:p>
    <w:p>
      <w:pPr>
        <w:rPr>
          <w:rFonts w:hint="eastAsia" w:ascii="宋体" w:hAnsi="宋体" w:cs="宋体"/>
          <w:b/>
          <w:bCs/>
          <w:szCs w:val="21"/>
        </w:rPr>
      </w:pPr>
    </w:p>
    <w:p>
      <w:pPr>
        <w:rPr>
          <w:rFonts w:ascii="宋体" w:hAnsi="宋体" w:cs="宋体"/>
          <w:b/>
          <w:bCs/>
          <w:szCs w:val="21"/>
        </w:rPr>
      </w:pPr>
      <w:r>
        <w:rPr>
          <w:rFonts w:hint="eastAsia" w:ascii="宋体" w:hAnsi="宋体" w:cs="宋体"/>
          <w:b/>
          <w:bCs/>
          <w:szCs w:val="21"/>
        </w:rPr>
        <w:t>技术评分标准（25分）</w:t>
      </w:r>
    </w:p>
    <w:tbl>
      <w:tblPr>
        <w:tblStyle w:val="2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48"/>
        <w:gridCol w:w="6520"/>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序号</w:t>
            </w:r>
          </w:p>
        </w:tc>
        <w:tc>
          <w:tcPr>
            <w:tcW w:w="144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评分因素及权值</w:t>
            </w:r>
          </w:p>
        </w:tc>
        <w:tc>
          <w:tcPr>
            <w:tcW w:w="6520"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评分标准</w:t>
            </w:r>
          </w:p>
        </w:tc>
        <w:tc>
          <w:tcPr>
            <w:tcW w:w="1017"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c>
          <w:tcPr>
            <w:tcW w:w="144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产品技术指标及生产能力技术部分（25%）</w:t>
            </w:r>
          </w:p>
        </w:tc>
        <w:tc>
          <w:tcPr>
            <w:tcW w:w="6520" w:type="dxa"/>
          </w:tcPr>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1</w:t>
            </w:r>
            <w:r>
              <w:rPr>
                <w:rFonts w:ascii="宋体" w:hAnsi="宋体" w:cs="宋体"/>
                <w:kern w:val="0"/>
                <w:sz w:val="21"/>
                <w:szCs w:val="21"/>
              </w:rPr>
              <w:t>.</w:t>
            </w:r>
            <w:r>
              <w:rPr>
                <w:rFonts w:hint="eastAsia" w:ascii="宋体" w:hAnsi="宋体" w:cs="宋体"/>
                <w:kern w:val="0"/>
                <w:sz w:val="21"/>
                <w:szCs w:val="21"/>
              </w:rPr>
              <w:t>生产技术（满分</w:t>
            </w:r>
            <w:r>
              <w:rPr>
                <w:rFonts w:ascii="宋体" w:hAnsi="宋体" w:cs="宋体"/>
                <w:kern w:val="0"/>
                <w:sz w:val="21"/>
                <w:szCs w:val="21"/>
              </w:rPr>
              <w:t>2</w:t>
            </w:r>
            <w:r>
              <w:rPr>
                <w:rFonts w:hint="eastAsia" w:ascii="宋体" w:hAnsi="宋体" w:cs="宋体"/>
                <w:kern w:val="0"/>
                <w:sz w:val="21"/>
                <w:szCs w:val="21"/>
              </w:rPr>
              <w:t>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生产线设备满足并优于本次疫苗采购，提供相关疫苗生产线GMP验收证明材料（相关设备购置合同、发票等）的加2分，没有的不得分。</w:t>
            </w:r>
          </w:p>
        </w:tc>
        <w:tc>
          <w:tcPr>
            <w:tcW w:w="1017"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520" w:type="dxa"/>
          </w:tcPr>
          <w:p>
            <w:pPr>
              <w:pStyle w:val="11"/>
              <w:rPr>
                <w:rFonts w:cs="宋体"/>
                <w:kern w:val="0"/>
                <w:szCs w:val="21"/>
              </w:rPr>
            </w:pPr>
            <w:r>
              <w:rPr>
                <w:rFonts w:hint="eastAsia" w:cs="宋体"/>
                <w:kern w:val="0"/>
                <w:szCs w:val="21"/>
              </w:rPr>
              <w:t>2、产品功能（满分1分）：</w:t>
            </w:r>
          </w:p>
          <w:p>
            <w:pPr>
              <w:pStyle w:val="11"/>
              <w:rPr>
                <w:rFonts w:cs="宋体"/>
                <w:kern w:val="0"/>
                <w:szCs w:val="21"/>
              </w:rPr>
            </w:pPr>
            <w:r>
              <w:rPr>
                <w:rFonts w:hint="eastAsia" w:cs="宋体"/>
                <w:kern w:val="0"/>
                <w:szCs w:val="21"/>
              </w:rPr>
              <w:t>①所投产品满足国家对该产品的技术生产要求具有完整的产品说明书、使用范围、使用方法，注意事项等情况。说明书全面分项介绍详细，配图完整易理解。得1分；</w:t>
            </w:r>
          </w:p>
          <w:p>
            <w:pPr>
              <w:pStyle w:val="11"/>
              <w:rPr>
                <w:rFonts w:cs="宋体"/>
                <w:kern w:val="0"/>
                <w:szCs w:val="21"/>
              </w:rPr>
            </w:pPr>
            <w:r>
              <w:rPr>
                <w:rFonts w:hint="eastAsia" w:cs="宋体"/>
                <w:kern w:val="0"/>
                <w:szCs w:val="21"/>
              </w:rPr>
              <w:t>②说明书简略分项介绍内容不明确、不清晰得0.5分；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③未提供说明书不得分。</w:t>
            </w:r>
          </w:p>
        </w:tc>
        <w:tc>
          <w:tcPr>
            <w:tcW w:w="1017"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520" w:type="dxa"/>
          </w:tcPr>
          <w:p>
            <w:pPr>
              <w:pStyle w:val="15"/>
              <w:pBdr>
                <w:bottom w:val="none" w:color="auto" w:sz="0" w:space="0"/>
              </w:pBdr>
              <w:jc w:val="left"/>
              <w:rPr>
                <w:rFonts w:ascii="宋体" w:hAnsi="宋体" w:cs="Arial"/>
                <w:kern w:val="0"/>
                <w:sz w:val="21"/>
                <w:szCs w:val="21"/>
              </w:rPr>
            </w:pPr>
            <w:r>
              <w:rPr>
                <w:rFonts w:hint="eastAsia" w:ascii="宋体" w:hAnsi="宋体" w:cs="Arial"/>
                <w:kern w:val="0"/>
                <w:sz w:val="21"/>
                <w:szCs w:val="21"/>
              </w:rPr>
              <w:t>3、安全性（满分</w:t>
            </w:r>
            <w:r>
              <w:rPr>
                <w:rFonts w:ascii="宋体" w:hAnsi="宋体" w:cs="Arial"/>
                <w:kern w:val="0"/>
                <w:sz w:val="21"/>
                <w:szCs w:val="21"/>
              </w:rPr>
              <w:t>3</w:t>
            </w:r>
            <w:r>
              <w:rPr>
                <w:rFonts w:hint="eastAsia" w:ascii="宋体" w:hAnsi="宋体" w:cs="Arial"/>
                <w:kern w:val="0"/>
                <w:sz w:val="21"/>
                <w:szCs w:val="21"/>
              </w:rPr>
              <w:t>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提供20</w:t>
            </w:r>
            <w:r>
              <w:rPr>
                <w:rFonts w:ascii="宋体" w:hAnsi="宋体" w:cs="宋体"/>
                <w:kern w:val="0"/>
                <w:sz w:val="21"/>
                <w:szCs w:val="21"/>
              </w:rPr>
              <w:t>2</w:t>
            </w:r>
            <w:r>
              <w:rPr>
                <w:rFonts w:hint="eastAsia" w:ascii="宋体" w:hAnsi="宋体" w:cs="宋体"/>
                <w:kern w:val="0"/>
                <w:sz w:val="21"/>
                <w:szCs w:val="21"/>
              </w:rPr>
              <w:t>2年购买</w:t>
            </w:r>
            <w:r>
              <w:rPr>
                <w:rFonts w:hint="eastAsia" w:ascii="宋体" w:hAnsi="宋体" w:cs="宋体"/>
                <w:bCs/>
                <w:kern w:val="0"/>
                <w:sz w:val="21"/>
                <w:szCs w:val="21"/>
              </w:rPr>
              <w:t>进口佐剂</w:t>
            </w:r>
            <w:r>
              <w:rPr>
                <w:rFonts w:hint="eastAsia" w:ascii="宋体" w:hAnsi="宋体" w:cs="宋体"/>
                <w:kern w:val="0"/>
                <w:sz w:val="21"/>
                <w:szCs w:val="21"/>
              </w:rPr>
              <w:t>合同及发票复印件的得</w:t>
            </w:r>
            <w:r>
              <w:rPr>
                <w:rFonts w:ascii="宋体" w:hAnsi="宋体" w:cs="宋体"/>
                <w:kern w:val="0"/>
                <w:sz w:val="21"/>
                <w:szCs w:val="21"/>
              </w:rPr>
              <w:t>2</w:t>
            </w:r>
            <w:r>
              <w:rPr>
                <w:rFonts w:hint="eastAsia" w:ascii="宋体" w:hAnsi="宋体" w:cs="宋体"/>
                <w:kern w:val="0"/>
                <w:sz w:val="21"/>
                <w:szCs w:val="21"/>
              </w:rPr>
              <w:t>分。承诺供货产品1</w:t>
            </w:r>
            <w:r>
              <w:rPr>
                <w:rFonts w:ascii="宋体" w:hAnsi="宋体" w:cs="宋体"/>
                <w:kern w:val="0"/>
                <w:sz w:val="21"/>
                <w:szCs w:val="21"/>
              </w:rPr>
              <w:t>00</w:t>
            </w:r>
            <w:r>
              <w:rPr>
                <w:rFonts w:hint="eastAsia" w:ascii="宋体" w:hAnsi="宋体" w:cs="宋体"/>
                <w:kern w:val="0"/>
                <w:sz w:val="21"/>
                <w:szCs w:val="21"/>
              </w:rPr>
              <w:t>%使用进口佐剂</w:t>
            </w:r>
            <w:r>
              <w:rPr>
                <w:rFonts w:hint="eastAsia" w:ascii="宋体" w:hAnsi="宋体" w:cs="宋体"/>
                <w:bCs/>
                <w:kern w:val="0"/>
                <w:sz w:val="21"/>
                <w:szCs w:val="21"/>
              </w:rPr>
              <w:t>的得1分。</w:t>
            </w:r>
            <w:r>
              <w:rPr>
                <w:rFonts w:hint="eastAsia" w:ascii="宋体" w:hAnsi="宋体" w:cs="Arial"/>
                <w:kern w:val="0"/>
                <w:sz w:val="21"/>
                <w:szCs w:val="21"/>
              </w:rPr>
              <w:t>没有不得分</w:t>
            </w:r>
          </w:p>
        </w:tc>
        <w:tc>
          <w:tcPr>
            <w:tcW w:w="1017"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4</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520" w:type="dxa"/>
          </w:tcPr>
          <w:p>
            <w:pPr>
              <w:rPr>
                <w:rFonts w:ascii="宋体" w:hAnsi="宋体" w:cs="Arial"/>
                <w:kern w:val="0"/>
                <w:szCs w:val="21"/>
                <w:highlight w:val="none"/>
              </w:rPr>
            </w:pPr>
            <w:r>
              <w:rPr>
                <w:rFonts w:hint="eastAsia" w:ascii="宋体" w:hAnsi="宋体" w:cs="宋体"/>
                <w:kern w:val="0"/>
                <w:szCs w:val="21"/>
                <w:highlight w:val="none"/>
              </w:rPr>
              <w:t>4</w:t>
            </w:r>
            <w:r>
              <w:rPr>
                <w:rFonts w:ascii="宋体" w:hAnsi="宋体" w:cs="宋体"/>
                <w:kern w:val="0"/>
                <w:szCs w:val="21"/>
                <w:highlight w:val="none"/>
              </w:rPr>
              <w:t>.</w:t>
            </w:r>
            <w:r>
              <w:rPr>
                <w:rFonts w:hint="eastAsia" w:ascii="宋体" w:hAnsi="宋体" w:cs="宋体"/>
                <w:kern w:val="0"/>
                <w:szCs w:val="21"/>
                <w:highlight w:val="none"/>
              </w:rPr>
              <w:t>企业技术研发能力</w:t>
            </w:r>
            <w:r>
              <w:rPr>
                <w:rFonts w:hint="eastAsia" w:ascii="宋体" w:hAnsi="宋体" w:cs="Arial"/>
                <w:kern w:val="0"/>
                <w:szCs w:val="21"/>
                <w:highlight w:val="none"/>
              </w:rPr>
              <w:t>（满分</w:t>
            </w:r>
            <w:r>
              <w:rPr>
                <w:rFonts w:ascii="宋体" w:hAnsi="宋体" w:cs="Arial"/>
                <w:kern w:val="0"/>
                <w:szCs w:val="21"/>
                <w:highlight w:val="none"/>
              </w:rPr>
              <w:t>8</w:t>
            </w:r>
            <w:r>
              <w:rPr>
                <w:rFonts w:hint="eastAsia" w:ascii="宋体" w:hAnsi="宋体" w:cs="Arial"/>
                <w:kern w:val="0"/>
                <w:szCs w:val="21"/>
                <w:highlight w:val="none"/>
              </w:rPr>
              <w:t>分）：</w:t>
            </w:r>
          </w:p>
          <w:p>
            <w:pPr>
              <w:rPr>
                <w:rFonts w:ascii="宋体" w:hAnsi="宋体" w:cs="宋体"/>
                <w:kern w:val="0"/>
                <w:szCs w:val="21"/>
                <w:highlight w:val="none"/>
                <w:lang w:eastAsia="zh-Hans"/>
              </w:rPr>
            </w:pPr>
            <w:r>
              <w:rPr>
                <w:rFonts w:hint="eastAsia" w:ascii="宋体" w:hAnsi="宋体" w:cs="宋体"/>
                <w:kern w:val="0"/>
                <w:szCs w:val="21"/>
                <w:highlight w:val="none"/>
              </w:rPr>
              <w:t>①投标人</w:t>
            </w:r>
            <w:r>
              <w:rPr>
                <w:rFonts w:hint="eastAsia" w:ascii="宋体" w:hAnsi="宋体" w:cs="宋体"/>
                <w:kern w:val="0"/>
                <w:szCs w:val="21"/>
                <w:highlight w:val="none"/>
                <w:lang w:eastAsia="zh-Hans"/>
              </w:rPr>
              <w:t>获得</w:t>
            </w:r>
            <w:r>
              <w:rPr>
                <w:rFonts w:hint="eastAsia" w:ascii="宋体" w:hAnsi="宋体" w:cs="宋体"/>
                <w:kern w:val="0"/>
                <w:szCs w:val="21"/>
                <w:highlight w:val="none"/>
              </w:rPr>
              <w:t>“国家认定企业技术中心”得</w:t>
            </w:r>
            <w:r>
              <w:rPr>
                <w:rFonts w:ascii="宋体" w:hAnsi="宋体" w:cs="宋体"/>
                <w:kern w:val="0"/>
                <w:szCs w:val="21"/>
                <w:highlight w:val="none"/>
              </w:rPr>
              <w:t>2</w:t>
            </w:r>
            <w:r>
              <w:rPr>
                <w:rFonts w:hint="eastAsia" w:ascii="宋体" w:hAnsi="宋体" w:cs="宋体"/>
                <w:kern w:val="0"/>
                <w:szCs w:val="21"/>
                <w:highlight w:val="none"/>
              </w:rPr>
              <w:t>分，没有的不得分</w:t>
            </w:r>
            <w:r>
              <w:rPr>
                <w:rFonts w:ascii="宋体" w:hAnsi="宋体" w:cs="宋体"/>
                <w:kern w:val="0"/>
                <w:szCs w:val="21"/>
                <w:highlight w:val="none"/>
                <w:lang w:eastAsia="zh-Hans"/>
              </w:rPr>
              <w:t>。</w:t>
            </w:r>
          </w:p>
          <w:p>
            <w:pPr>
              <w:rPr>
                <w:rFonts w:ascii="宋体" w:hAnsi="宋体" w:cs="宋体"/>
                <w:kern w:val="0"/>
                <w:szCs w:val="21"/>
                <w:highlight w:val="none"/>
              </w:rPr>
            </w:pPr>
            <w:r>
              <w:rPr>
                <w:rFonts w:hint="eastAsia" w:ascii="宋体" w:hAnsi="宋体" w:cs="宋体"/>
                <w:kern w:val="0"/>
                <w:szCs w:val="21"/>
                <w:highlight w:val="none"/>
              </w:rPr>
              <w:t>②投标人</w:t>
            </w:r>
            <w:r>
              <w:rPr>
                <w:rFonts w:hint="eastAsia" w:ascii="宋体" w:hAnsi="宋体" w:cs="宋体"/>
                <w:kern w:val="0"/>
                <w:szCs w:val="21"/>
                <w:highlight w:val="none"/>
                <w:lang w:eastAsia="zh-Hans"/>
              </w:rPr>
              <w:t>获得“动物用生物制品技术国家地方联合工程实验室”</w:t>
            </w:r>
            <w:r>
              <w:rPr>
                <w:rFonts w:hint="eastAsia" w:ascii="宋体" w:hAnsi="宋体" w:cs="宋体"/>
                <w:kern w:val="0"/>
                <w:szCs w:val="21"/>
                <w:highlight w:val="none"/>
              </w:rPr>
              <w:t>得</w:t>
            </w:r>
            <w:r>
              <w:rPr>
                <w:rFonts w:ascii="宋体" w:hAnsi="宋体" w:cs="宋体"/>
                <w:kern w:val="0"/>
                <w:szCs w:val="21"/>
                <w:highlight w:val="none"/>
              </w:rPr>
              <w:t>2</w:t>
            </w:r>
            <w:r>
              <w:rPr>
                <w:rFonts w:hint="eastAsia" w:ascii="宋体" w:hAnsi="宋体" w:cs="宋体"/>
                <w:kern w:val="0"/>
                <w:szCs w:val="21"/>
                <w:highlight w:val="none"/>
              </w:rPr>
              <w:t>分</w:t>
            </w:r>
            <w:r>
              <w:rPr>
                <w:rFonts w:ascii="宋体" w:hAnsi="宋体" w:cs="宋体"/>
                <w:kern w:val="0"/>
                <w:szCs w:val="21"/>
                <w:highlight w:val="none"/>
              </w:rPr>
              <w:t>，</w:t>
            </w:r>
            <w:r>
              <w:rPr>
                <w:rFonts w:hint="eastAsia" w:ascii="宋体" w:hAnsi="宋体" w:cs="宋体"/>
                <w:kern w:val="0"/>
                <w:szCs w:val="21"/>
                <w:highlight w:val="none"/>
              </w:rPr>
              <w:t>没有的不得分</w:t>
            </w:r>
            <w:r>
              <w:rPr>
                <w:rFonts w:ascii="宋体" w:hAnsi="宋体" w:cs="宋体"/>
                <w:kern w:val="0"/>
                <w:szCs w:val="21"/>
                <w:highlight w:val="none"/>
                <w:lang w:eastAsia="zh-Hans"/>
              </w:rPr>
              <w:t>。</w:t>
            </w:r>
          </w:p>
          <w:p>
            <w:pPr>
              <w:rPr>
                <w:rFonts w:ascii="宋体" w:hAnsi="宋体" w:cs="宋体"/>
                <w:kern w:val="0"/>
                <w:szCs w:val="21"/>
                <w:highlight w:val="none"/>
              </w:rPr>
            </w:pPr>
            <w:r>
              <w:rPr>
                <w:rFonts w:hint="eastAsia" w:ascii="宋体" w:hAnsi="宋体" w:cs="宋体"/>
                <w:kern w:val="0"/>
                <w:szCs w:val="21"/>
                <w:highlight w:val="none"/>
              </w:rPr>
              <w:t>③投标疫苗由投标人自主研发，且取得相关新兽药注册证书的，得</w:t>
            </w:r>
            <w:r>
              <w:rPr>
                <w:rFonts w:ascii="宋体" w:hAnsi="宋体" w:cs="宋体"/>
                <w:kern w:val="0"/>
                <w:szCs w:val="21"/>
                <w:highlight w:val="none"/>
              </w:rPr>
              <w:t>4</w:t>
            </w:r>
            <w:r>
              <w:rPr>
                <w:rFonts w:hint="eastAsia" w:ascii="宋体" w:hAnsi="宋体" w:cs="宋体"/>
                <w:kern w:val="0"/>
                <w:szCs w:val="21"/>
                <w:highlight w:val="none"/>
              </w:rPr>
              <w:t>分，没有的不得分。</w:t>
            </w:r>
          </w:p>
          <w:p>
            <w:pPr>
              <w:rPr>
                <w:rFonts w:ascii="宋体" w:hAnsi="宋体" w:cs="宋体"/>
                <w:kern w:val="0"/>
                <w:szCs w:val="21"/>
                <w:highlight w:val="none"/>
              </w:rPr>
            </w:pPr>
            <w:r>
              <w:rPr>
                <w:rFonts w:hint="eastAsia" w:ascii="宋体" w:hAnsi="宋体" w:cs="宋体"/>
                <w:b/>
                <w:bCs/>
                <w:kern w:val="0"/>
                <w:szCs w:val="21"/>
                <w:highlight w:val="none"/>
              </w:rPr>
              <w:t>（以上需提供证明材料）</w:t>
            </w:r>
          </w:p>
        </w:tc>
        <w:tc>
          <w:tcPr>
            <w:tcW w:w="1017" w:type="dxa"/>
            <w:vAlign w:val="center"/>
          </w:tcPr>
          <w:p>
            <w:pPr>
              <w:pStyle w:val="15"/>
              <w:pBdr>
                <w:bottom w:val="none" w:color="auto" w:sz="0" w:space="0"/>
              </w:pBdr>
              <w:rPr>
                <w:rFonts w:ascii="宋体" w:hAnsi="宋体" w:cs="宋体"/>
                <w:kern w:val="0"/>
                <w:sz w:val="21"/>
                <w:szCs w:val="21"/>
              </w:rPr>
            </w:pPr>
            <w:r>
              <w:rPr>
                <w:rFonts w:ascii="宋体" w:hAnsi="宋体" w:cs="宋体"/>
                <w:kern w:val="0"/>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5</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520" w:type="dxa"/>
          </w:tcPr>
          <w:p>
            <w:pPr>
              <w:pStyle w:val="15"/>
              <w:pBdr>
                <w:bottom w:val="none" w:color="auto" w:sz="0" w:space="0"/>
              </w:pBdr>
              <w:jc w:val="left"/>
              <w:rPr>
                <w:rFonts w:ascii="宋体" w:hAnsi="宋体"/>
                <w:kern w:val="0"/>
                <w:sz w:val="21"/>
                <w:szCs w:val="21"/>
                <w:highlight w:val="none"/>
              </w:rPr>
            </w:pPr>
            <w:r>
              <w:rPr>
                <w:rFonts w:hint="eastAsia" w:ascii="宋体" w:hAnsi="宋体" w:cs="宋体"/>
                <w:kern w:val="0"/>
                <w:sz w:val="21"/>
                <w:szCs w:val="21"/>
                <w:highlight w:val="none"/>
              </w:rPr>
              <w:t>5、疫苗效力（满分9分）：</w:t>
            </w:r>
          </w:p>
          <w:p>
            <w:pPr>
              <w:pStyle w:val="15"/>
              <w:pBdr>
                <w:bottom w:val="none" w:color="auto" w:sz="0" w:space="0"/>
              </w:pBdr>
              <w:jc w:val="left"/>
              <w:rPr>
                <w:rFonts w:ascii="宋体" w:hAnsi="宋体" w:cs="宋体"/>
                <w:kern w:val="0"/>
                <w:sz w:val="21"/>
                <w:szCs w:val="21"/>
                <w:highlight w:val="none"/>
              </w:rPr>
            </w:pPr>
            <w:r>
              <w:rPr>
                <w:rFonts w:hint="eastAsia" w:ascii="宋体" w:hAnsi="宋体" w:cs="宋体"/>
                <w:kern w:val="0"/>
                <w:sz w:val="21"/>
                <w:szCs w:val="21"/>
                <w:highlight w:val="none"/>
              </w:rPr>
              <w:t>①</w:t>
            </w:r>
            <w:r>
              <w:rPr>
                <w:rFonts w:hint="eastAsia" w:ascii="宋体" w:hAnsi="宋体" w:cs="宋体"/>
                <w:b/>
                <w:bCs/>
                <w:kern w:val="0"/>
                <w:sz w:val="21"/>
                <w:szCs w:val="21"/>
                <w:highlight w:val="none"/>
              </w:rPr>
              <w:t xml:space="preserve"> </w:t>
            </w:r>
            <w:r>
              <w:rPr>
                <w:rFonts w:hint="eastAsia" w:ascii="宋体" w:hAnsi="宋体" w:cs="宋体"/>
                <w:kern w:val="0"/>
                <w:sz w:val="21"/>
                <w:szCs w:val="21"/>
                <w:highlight w:val="none"/>
              </w:rPr>
              <w:t>提供2023年1月1日以来连续</w:t>
            </w:r>
            <w:r>
              <w:rPr>
                <w:rFonts w:ascii="宋体" w:hAnsi="宋体" w:cs="宋体"/>
                <w:kern w:val="0"/>
                <w:sz w:val="21"/>
                <w:szCs w:val="21"/>
                <w:highlight w:val="none"/>
              </w:rPr>
              <w:t>5</w:t>
            </w:r>
            <w:r>
              <w:rPr>
                <w:rFonts w:hint="eastAsia" w:ascii="宋体" w:hAnsi="宋体" w:cs="宋体"/>
                <w:kern w:val="0"/>
                <w:sz w:val="21"/>
                <w:szCs w:val="21"/>
                <w:highlight w:val="none"/>
              </w:rPr>
              <w:t>个批次的批签发（共3分）：</w:t>
            </w:r>
          </w:p>
          <w:p>
            <w:pPr>
              <w:pStyle w:val="15"/>
              <w:pBdr>
                <w:bottom w:val="none" w:color="auto" w:sz="0" w:space="0"/>
              </w:pBdr>
              <w:jc w:val="left"/>
              <w:rPr>
                <w:rFonts w:ascii="宋体" w:hAnsi="宋体" w:cs="宋体"/>
                <w:b/>
                <w:bCs/>
                <w:kern w:val="0"/>
                <w:sz w:val="21"/>
                <w:szCs w:val="21"/>
                <w:highlight w:val="none"/>
              </w:rPr>
            </w:pPr>
            <w:r>
              <w:rPr>
                <w:rFonts w:ascii="宋体" w:hAnsi="宋体" w:cs="宋体"/>
                <w:kern w:val="0"/>
                <w:sz w:val="21"/>
                <w:szCs w:val="21"/>
                <w:highlight w:val="none"/>
              </w:rPr>
              <w:t>5</w:t>
            </w:r>
            <w:r>
              <w:rPr>
                <w:rFonts w:hint="eastAsia" w:ascii="宋体" w:hAnsi="宋体" w:cs="宋体"/>
                <w:kern w:val="0"/>
                <w:sz w:val="21"/>
                <w:szCs w:val="21"/>
                <w:highlight w:val="none"/>
              </w:rPr>
              <w:t>个批次在同一月内生产的得3分；二个月内生产的得2分；半年内的得1分；超过半年以上不得分；</w:t>
            </w:r>
          </w:p>
          <w:p>
            <w:pPr>
              <w:pStyle w:val="15"/>
              <w:pBdr>
                <w:bottom w:val="none" w:color="auto" w:sz="0" w:space="0"/>
              </w:pBdr>
              <w:jc w:val="left"/>
              <w:rPr>
                <w:rFonts w:ascii="宋体" w:hAnsi="宋体" w:cs="宋体"/>
                <w:b/>
                <w:bCs/>
                <w:kern w:val="0"/>
                <w:sz w:val="21"/>
                <w:szCs w:val="21"/>
                <w:highlight w:val="none"/>
              </w:rPr>
            </w:pPr>
            <w:r>
              <w:rPr>
                <w:rFonts w:hint="eastAsia" w:ascii="宋体" w:hAnsi="宋体" w:cs="宋体"/>
                <w:kern w:val="0"/>
                <w:sz w:val="21"/>
                <w:szCs w:val="21"/>
                <w:highlight w:val="none"/>
              </w:rPr>
              <w:t>②计算上述</w:t>
            </w:r>
            <w:r>
              <w:rPr>
                <w:rFonts w:ascii="宋体" w:hAnsi="宋体" w:cs="宋体"/>
                <w:kern w:val="0"/>
                <w:sz w:val="21"/>
                <w:szCs w:val="21"/>
                <w:highlight w:val="none"/>
              </w:rPr>
              <w:t>5</w:t>
            </w:r>
            <w:r>
              <w:rPr>
                <w:rFonts w:hint="eastAsia" w:ascii="宋体" w:hAnsi="宋体" w:cs="宋体"/>
                <w:kern w:val="0"/>
                <w:sz w:val="21"/>
                <w:szCs w:val="21"/>
                <w:highlight w:val="none"/>
              </w:rPr>
              <w:t>批次疫苗的PD50平均值（满分5分）：达到6个PD50的得2分；每高一个PD50加1分，加到满分为止；</w:t>
            </w:r>
          </w:p>
          <w:p>
            <w:pPr>
              <w:pStyle w:val="15"/>
              <w:pBdr>
                <w:bottom w:val="none" w:color="auto" w:sz="0" w:space="0"/>
              </w:pBdr>
              <w:jc w:val="left"/>
              <w:rPr>
                <w:rFonts w:ascii="宋体" w:hAnsi="宋体" w:cs="宋体"/>
                <w:kern w:val="0"/>
                <w:sz w:val="21"/>
                <w:szCs w:val="21"/>
                <w:highlight w:val="none"/>
              </w:rPr>
            </w:pPr>
            <w:r>
              <w:rPr>
                <w:rFonts w:hint="eastAsia" w:ascii="宋体" w:hAnsi="宋体" w:cs="宋体"/>
                <w:kern w:val="0"/>
                <w:sz w:val="21"/>
                <w:szCs w:val="21"/>
                <w:highlight w:val="none"/>
              </w:rPr>
              <w:t>③</w:t>
            </w:r>
            <w:r>
              <w:rPr>
                <w:rFonts w:hint="eastAsia" w:ascii="宋体" w:hAnsi="宋体" w:cs="宋体"/>
                <w:b/>
                <w:bCs/>
                <w:kern w:val="0"/>
                <w:sz w:val="21"/>
                <w:szCs w:val="21"/>
                <w:highlight w:val="none"/>
              </w:rPr>
              <w:t xml:space="preserve"> </w:t>
            </w:r>
            <w:r>
              <w:rPr>
                <w:rFonts w:hint="eastAsia" w:ascii="宋体" w:hAnsi="宋体" w:cs="宋体"/>
                <w:kern w:val="0"/>
                <w:sz w:val="21"/>
                <w:szCs w:val="21"/>
                <w:highlight w:val="none"/>
              </w:rPr>
              <w:t>PD50值的离散度（满分1分）：</w:t>
            </w:r>
          </w:p>
          <w:p>
            <w:pPr>
              <w:pStyle w:val="15"/>
              <w:pBdr>
                <w:bottom w:val="none" w:color="auto" w:sz="0" w:space="0"/>
              </w:pBdr>
              <w:jc w:val="left"/>
              <w:rPr>
                <w:rFonts w:ascii="宋体" w:hAnsi="宋体" w:cs="宋体"/>
                <w:kern w:val="0"/>
                <w:sz w:val="21"/>
                <w:szCs w:val="21"/>
                <w:highlight w:val="none"/>
              </w:rPr>
            </w:pPr>
            <w:r>
              <w:rPr>
                <w:rFonts w:hint="eastAsia" w:ascii="宋体" w:hAnsi="宋体" w:cs="宋体"/>
                <w:kern w:val="0"/>
                <w:sz w:val="21"/>
                <w:szCs w:val="21"/>
                <w:highlight w:val="none"/>
              </w:rPr>
              <w:t>上述</w:t>
            </w:r>
            <w:r>
              <w:rPr>
                <w:rFonts w:ascii="宋体" w:hAnsi="宋体" w:cs="宋体"/>
                <w:kern w:val="0"/>
                <w:sz w:val="21"/>
                <w:szCs w:val="21"/>
                <w:highlight w:val="none"/>
              </w:rPr>
              <w:t>5</w:t>
            </w:r>
            <w:r>
              <w:rPr>
                <w:rFonts w:hint="eastAsia" w:ascii="宋体" w:hAnsi="宋体" w:cs="宋体"/>
                <w:kern w:val="0"/>
                <w:sz w:val="21"/>
                <w:szCs w:val="21"/>
                <w:highlight w:val="none"/>
              </w:rPr>
              <w:t>个批次双组份疫苗的离散度在±1以内得1分，±2以内得0.5分，有一个批次及以上PD50值的离散度不在此范围不得分。（示例：PD50值的离散度均值为10，则</w:t>
            </w:r>
            <w:r>
              <w:rPr>
                <w:rFonts w:ascii="宋体" w:hAnsi="宋体" w:cs="宋体"/>
                <w:kern w:val="0"/>
                <w:sz w:val="21"/>
                <w:szCs w:val="21"/>
                <w:highlight w:val="none"/>
              </w:rPr>
              <w:t>5</w:t>
            </w:r>
            <w:r>
              <w:rPr>
                <w:rFonts w:hint="eastAsia" w:ascii="宋体" w:hAnsi="宋体" w:cs="宋体"/>
                <w:kern w:val="0"/>
                <w:sz w:val="21"/>
                <w:szCs w:val="21"/>
                <w:highlight w:val="none"/>
              </w:rPr>
              <w:t>个批次批签发PD50值的离散度在9～11之间的得1分，8～12之间的得0.5分，除此以外不得分；</w:t>
            </w:r>
          </w:p>
          <w:p>
            <w:pPr>
              <w:pStyle w:val="15"/>
              <w:pBdr>
                <w:bottom w:val="none" w:color="auto" w:sz="0" w:space="0"/>
              </w:pBdr>
              <w:jc w:val="left"/>
              <w:rPr>
                <w:rFonts w:ascii="宋体" w:hAnsi="宋体" w:cs="宋体"/>
                <w:b/>
                <w:bCs/>
                <w:kern w:val="0"/>
                <w:sz w:val="21"/>
                <w:szCs w:val="21"/>
                <w:highlight w:val="none"/>
              </w:rPr>
            </w:pPr>
            <w:r>
              <w:rPr>
                <w:rFonts w:hint="eastAsia" w:ascii="宋体" w:hAnsi="宋体" w:cs="宋体"/>
                <w:b/>
                <w:bCs/>
                <w:kern w:val="0"/>
                <w:sz w:val="21"/>
                <w:szCs w:val="21"/>
                <w:highlight w:val="none"/>
              </w:rPr>
              <w:t>（提供批签发报告复印件）</w:t>
            </w:r>
          </w:p>
        </w:tc>
        <w:tc>
          <w:tcPr>
            <w:tcW w:w="1017"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520" w:type="dxa"/>
          </w:tcPr>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6、内毒素检测（满分2分）：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提供上述2023年1月1日以来连续5个批次产品内毒素检验报告单</w:t>
            </w:r>
          </w:p>
          <w:p>
            <w:pPr>
              <w:pStyle w:val="15"/>
              <w:pBdr>
                <w:bottom w:val="none" w:color="auto" w:sz="0" w:space="0"/>
              </w:pBdr>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证明低于20EU/ml加0.5分；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w:t>
            </w:r>
            <w:r>
              <w:rPr>
                <w:rFonts w:hint="eastAsia" w:ascii="宋体" w:hAnsi="宋体" w:cs="宋体"/>
                <w:kern w:val="0"/>
                <w:sz w:val="21"/>
                <w:szCs w:val="21"/>
              </w:rPr>
              <w:t>证明低于10EU/ml加1分；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3</w:t>
            </w:r>
            <w:r>
              <w:rPr>
                <w:rFonts w:ascii="宋体" w:hAnsi="宋体" w:cs="宋体"/>
                <w:kern w:val="0"/>
                <w:sz w:val="21"/>
                <w:szCs w:val="21"/>
              </w:rPr>
              <w:t>.</w:t>
            </w:r>
            <w:r>
              <w:rPr>
                <w:rFonts w:hint="eastAsia" w:ascii="宋体" w:hAnsi="宋体" w:cs="宋体"/>
                <w:kern w:val="0"/>
                <w:sz w:val="21"/>
                <w:szCs w:val="21"/>
              </w:rPr>
              <w:t>证明低于 5EU/ml加</w:t>
            </w:r>
            <w:r>
              <w:rPr>
                <w:rFonts w:ascii="宋体" w:hAnsi="宋体" w:cs="宋体"/>
                <w:kern w:val="0"/>
                <w:sz w:val="21"/>
                <w:szCs w:val="21"/>
              </w:rPr>
              <w:t>2</w:t>
            </w:r>
            <w:r>
              <w:rPr>
                <w:rFonts w:hint="eastAsia" w:ascii="宋体" w:hAnsi="宋体" w:cs="宋体"/>
                <w:kern w:val="0"/>
                <w:sz w:val="21"/>
                <w:szCs w:val="21"/>
              </w:rPr>
              <w:t>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4</w:t>
            </w:r>
            <w:r>
              <w:rPr>
                <w:rFonts w:ascii="宋体" w:hAnsi="宋体" w:cs="宋体"/>
                <w:kern w:val="0"/>
                <w:sz w:val="21"/>
                <w:szCs w:val="21"/>
              </w:rPr>
              <w:t>.</w:t>
            </w:r>
            <w:r>
              <w:rPr>
                <w:rFonts w:hint="eastAsia" w:ascii="宋体" w:hAnsi="宋体" w:cs="宋体"/>
                <w:kern w:val="0"/>
                <w:sz w:val="21"/>
                <w:szCs w:val="21"/>
              </w:rPr>
              <w:t>内毒素超过50EU/ml不得分；</w:t>
            </w:r>
          </w:p>
        </w:tc>
        <w:tc>
          <w:tcPr>
            <w:tcW w:w="1017"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101" w:type="dxa"/>
            <w:gridSpan w:val="2"/>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小计</w:t>
            </w:r>
          </w:p>
        </w:tc>
        <w:tc>
          <w:tcPr>
            <w:tcW w:w="6520" w:type="dxa"/>
          </w:tcPr>
          <w:p>
            <w:pPr>
              <w:pStyle w:val="15"/>
              <w:pBdr>
                <w:bottom w:val="none" w:color="auto" w:sz="0" w:space="0"/>
              </w:pBdr>
              <w:jc w:val="left"/>
              <w:rPr>
                <w:rFonts w:ascii="宋体" w:hAnsi="宋体" w:cs="宋体"/>
                <w:kern w:val="0"/>
                <w:sz w:val="21"/>
                <w:szCs w:val="21"/>
              </w:rPr>
            </w:pPr>
          </w:p>
        </w:tc>
        <w:tc>
          <w:tcPr>
            <w:tcW w:w="1017"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25</w:t>
            </w:r>
          </w:p>
        </w:tc>
      </w:tr>
    </w:tbl>
    <w:p>
      <w:pPr>
        <w:tabs>
          <w:tab w:val="left" w:pos="210"/>
        </w:tabs>
        <w:spacing w:line="360" w:lineRule="auto"/>
        <w:jc w:val="left"/>
        <w:rPr>
          <w:rFonts w:ascii="宋体" w:hAnsi="宋体" w:cstheme="majorEastAsia"/>
          <w:b/>
          <w:bCs/>
          <w:szCs w:val="21"/>
        </w:rPr>
      </w:pPr>
      <w:r>
        <w:rPr>
          <w:rFonts w:hint="eastAsia" w:ascii="宋体" w:hAnsi="宋体" w:cstheme="majorEastAsia"/>
          <w:b/>
          <w:bCs/>
          <w:szCs w:val="21"/>
        </w:rPr>
        <w:t>4、1评标程序</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评标活动将按以下步骤进行：评标准备，资格审查，完备性及符合性审查，详细评审，澄清、说明或补正，推荐中标候选人及提交评标报告。</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4.1.1评标准备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评标委员会成员签到</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评标委员会成员到达评标现场时应当在签到表上签到以证明其出席。</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评标委员会的分工</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③ </w:t>
      </w:r>
      <w:r>
        <w:rPr>
          <w:rFonts w:hint="eastAsia" w:ascii="宋体" w:hAnsi="宋体" w:cs="Arial"/>
          <w:kern w:val="0"/>
          <w:szCs w:val="21"/>
        </w:rPr>
        <w:t>评标委员会首先推选一名评标委员会主任</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⒈评标委员会主任负责评标活动的组织领导工作。评标委员会主任与评标委员会其他成员具有同等的评标权力。</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 xml:space="preserve">⒉评标委员会主任除履行自己作为评标委员会成员独立评标的职责外，主要负责以下工作： </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⒊组织评标委员会成员学习招标文件；</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⒋汇总各评标委员会成员认为需要投标人澄清、说明或者补正的问题；</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⒌组织评标委员会对投标人质询并对投标人的答复进行评审；</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⒍对出现较大争议的事项进行书面记录；</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⒎组织收回评标过程中使用的文件、表格和评标记录以及其他资料，并查验评标记录的完整性及有效性；</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⒏组织对评标结论进行复核确认；</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⒐组织编写评标报告。</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④ 熟悉文件资料</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⑤ 采购人或采购代理机构应当向评标委员会提供评标所需的信息和数据，包括：</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⒈招标文件及其澄清修改等招标文件补充；</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⒉未在开标会上当场拒绝的各投标文件；</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⒊开标会记录；</w:t>
      </w:r>
    </w:p>
    <w:p>
      <w:pPr>
        <w:widowControl/>
        <w:shd w:val="clear" w:color="auto" w:fill="FFFFFF"/>
        <w:snapToGrid w:val="0"/>
        <w:spacing w:line="360" w:lineRule="auto"/>
        <w:ind w:firstLine="630" w:firstLineChars="300"/>
        <w:rPr>
          <w:rFonts w:ascii="宋体" w:hAnsi="宋体" w:cs="宋体"/>
          <w:kern w:val="0"/>
          <w:szCs w:val="21"/>
        </w:rPr>
      </w:pPr>
      <w:r>
        <w:rPr>
          <w:rFonts w:hint="eastAsia" w:ascii="宋体" w:hAnsi="宋体" w:cs="宋体"/>
          <w:kern w:val="0"/>
          <w:szCs w:val="21"/>
        </w:rPr>
        <w:t>⒋评标表格；</w:t>
      </w:r>
    </w:p>
    <w:p>
      <w:pPr>
        <w:widowControl/>
        <w:shd w:val="clear" w:color="auto" w:fill="FFFFFF"/>
        <w:snapToGrid w:val="0"/>
        <w:spacing w:line="360" w:lineRule="auto"/>
        <w:ind w:firstLine="630" w:firstLineChars="300"/>
        <w:rPr>
          <w:rFonts w:ascii="宋体" w:hAnsi="宋体" w:cs="Arial"/>
          <w:kern w:val="0"/>
          <w:szCs w:val="21"/>
        </w:rPr>
      </w:pPr>
      <w:r>
        <w:rPr>
          <w:rFonts w:hint="eastAsia" w:ascii="宋体" w:hAnsi="宋体" w:cs="宋体"/>
          <w:kern w:val="0"/>
          <w:szCs w:val="21"/>
        </w:rPr>
        <w:t>⒌其他信息和数据</w:t>
      </w:r>
      <w:r>
        <w:rPr>
          <w:rFonts w:hint="eastAsia" w:ascii="宋体" w:hAnsi="宋体" w:cs="Arial"/>
          <w:kern w:val="0"/>
          <w:szCs w:val="21"/>
        </w:rPr>
        <w:t>；</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4.2.2资格审查（适用于资格后审）</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采购人会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4.3.3完备性及符合性审查</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① </w:t>
      </w:r>
      <w:r>
        <w:rPr>
          <w:rFonts w:hint="eastAsia" w:ascii="宋体" w:hAnsi="宋体" w:cs="Arial"/>
          <w:kern w:val="0"/>
          <w:szCs w:val="21"/>
        </w:rPr>
        <w:t>评标委员会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② </w:t>
      </w:r>
      <w:r>
        <w:rPr>
          <w:rFonts w:hint="eastAsia" w:ascii="宋体" w:hAnsi="宋体" w:cs="Arial"/>
          <w:kern w:val="0"/>
          <w:szCs w:val="21"/>
        </w:rPr>
        <w:t>完备性及符合性审查条款是指对本招标项目产生了重大影响的重大偏差，而且纠正此类偏差将会对响应本次招标的其他投标人的竞争地位产生不公正的影响。</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 xml:space="preserve">③ </w:t>
      </w:r>
      <w:r>
        <w:rPr>
          <w:rFonts w:hint="eastAsia" w:ascii="宋体" w:hAnsi="宋体" w:cs="Arial"/>
          <w:kern w:val="0"/>
          <w:szCs w:val="21"/>
        </w:rPr>
        <w:t>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委员会可要求存在细微偏差的投标人予以补正。</w:t>
      </w:r>
    </w:p>
    <w:p>
      <w:pPr>
        <w:widowControl/>
        <w:shd w:val="clear" w:color="auto" w:fill="FFFFFF"/>
        <w:snapToGrid w:val="0"/>
        <w:spacing w:line="360" w:lineRule="auto"/>
        <w:ind w:firstLine="422" w:firstLineChars="200"/>
        <w:rPr>
          <w:rFonts w:ascii="宋体" w:hAnsi="宋体" w:cs="Arial"/>
          <w:b/>
          <w:bCs/>
          <w:kern w:val="0"/>
          <w:szCs w:val="21"/>
        </w:rPr>
      </w:pPr>
      <w:r>
        <w:rPr>
          <w:rFonts w:hint="eastAsia" w:ascii="宋体" w:hAnsi="宋体" w:cs="Arial"/>
          <w:b/>
          <w:bCs/>
          <w:kern w:val="0"/>
          <w:szCs w:val="21"/>
        </w:rPr>
        <w:t>5、详细评审</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只有通过了资格审查、完备性及符合性审查且投标人不少于3个方可进入详细评审。</w:t>
      </w:r>
    </w:p>
    <w:p>
      <w:pPr>
        <w:widowControl/>
        <w:shd w:val="clear" w:color="auto" w:fill="FFFFFF"/>
        <w:snapToGrid w:val="0"/>
        <w:spacing w:line="360" w:lineRule="auto"/>
        <w:rPr>
          <w:rFonts w:ascii="宋体" w:hAnsi="宋体" w:cs="Arial"/>
          <w:kern w:val="0"/>
          <w:szCs w:val="21"/>
        </w:rPr>
      </w:pPr>
      <w:r>
        <w:rPr>
          <w:rFonts w:hint="eastAsia" w:ascii="宋体" w:hAnsi="宋体" w:cs="Arial"/>
          <w:b/>
          <w:bCs/>
          <w:kern w:val="0"/>
          <w:szCs w:val="21"/>
        </w:rPr>
        <w:t>6.6开标程序</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按下列程序进行开标：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6.6.1宣布开标纪律；</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6.6.2开标会主持人介绍参加会议的人员；；</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6.6.3公布在投标截止时间前递交投标文件的投标人名称；</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6.6.4投标人在规定的时间解密投标文件，由采购代理机构工作人员宣布公开唱标。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6.6.5按照规定采购代理机构工作人员当众宣布投标人名称、投标价格和招标文件规定的需要宣布的其他内容，并作记录；</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6.6.6投标人不足3家的，不得开标。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6.6.7评标委员会成员不得参加开标活动。</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6.6.8投标文件报价出现前后不一致的，除招标文件另有规定外，按照下列规定修正：</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①</w:t>
      </w:r>
      <w:r>
        <w:rPr>
          <w:rFonts w:hint="eastAsia" w:ascii="宋体" w:hAnsi="宋体" w:cs="Arial"/>
          <w:kern w:val="0"/>
          <w:szCs w:val="21"/>
        </w:rPr>
        <w:t>投标文件中开标一览表（报价表）内容与投标文件中相应内容不一致的，以开标一览表（报价表）为准。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②</w:t>
      </w:r>
      <w:r>
        <w:rPr>
          <w:rFonts w:hint="eastAsia" w:ascii="宋体" w:hAnsi="宋体" w:cs="Arial"/>
          <w:kern w:val="0"/>
          <w:szCs w:val="21"/>
        </w:rPr>
        <w:t>大写金额和小写金额不一致的，以大写金额为准。</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③</w:t>
      </w:r>
      <w:r>
        <w:rPr>
          <w:rFonts w:hint="eastAsia" w:ascii="宋体" w:hAnsi="宋体" w:cs="Arial"/>
          <w:kern w:val="0"/>
          <w:szCs w:val="21"/>
        </w:rPr>
        <w:t>总价金额与按单价汇总金额不一致的，以单价金额计算结果为准；单价金额小数点或者百分比有明显错位的，以开标一览表（报价表）的总价为准，并修改单价。</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④</w:t>
      </w:r>
      <w:r>
        <w:rPr>
          <w:rFonts w:hint="eastAsia" w:ascii="宋体" w:hAnsi="宋体" w:cs="Arial"/>
          <w:kern w:val="0"/>
          <w:szCs w:val="21"/>
        </w:rPr>
        <w:t>对不同文字文本投标文件的解释发生异议的，以中文文本为准。</w:t>
      </w:r>
    </w:p>
    <w:p>
      <w:pPr>
        <w:widowControl/>
        <w:shd w:val="clear" w:color="auto" w:fill="FFFFFF"/>
        <w:snapToGrid w:val="0"/>
        <w:spacing w:line="360" w:lineRule="auto"/>
        <w:ind w:firstLine="420" w:firstLineChars="200"/>
        <w:rPr>
          <w:rFonts w:ascii="宋体" w:hAnsi="宋体"/>
          <w:szCs w:val="21"/>
        </w:rPr>
      </w:pPr>
      <w:r>
        <w:rPr>
          <w:rFonts w:hint="eastAsia" w:ascii="宋体" w:hAnsi="宋体" w:cs="微软雅黑"/>
          <w:kern w:val="0"/>
          <w:szCs w:val="21"/>
        </w:rPr>
        <w:t>⑤</w:t>
      </w:r>
      <w:r>
        <w:rPr>
          <w:rFonts w:hint="eastAsia" w:ascii="宋体" w:hAnsi="宋体" w:cs="Arial"/>
          <w:kern w:val="0"/>
          <w:szCs w:val="21"/>
        </w:rPr>
        <w:t>同时出现两种以上不一致的，按照前款规定的顺序修正。修正后的报价须经授权委托代理人签字并加盖公章后产生约束力，投标人不确认的，其投标无效。</w:t>
      </w:r>
    </w:p>
    <w:p>
      <w:pPr>
        <w:widowControl/>
        <w:shd w:val="clear" w:color="auto" w:fill="FFFFFF"/>
        <w:snapToGrid w:val="0"/>
        <w:spacing w:line="360" w:lineRule="auto"/>
        <w:rPr>
          <w:rFonts w:ascii="宋体" w:hAnsi="宋体" w:cs="宋体"/>
          <w:b/>
          <w:bCs/>
          <w:kern w:val="0"/>
          <w:szCs w:val="21"/>
        </w:rPr>
      </w:pPr>
      <w:r>
        <w:rPr>
          <w:rFonts w:hint="eastAsia" w:ascii="宋体" w:hAnsi="宋体" w:cs="宋体"/>
          <w:b/>
          <w:bCs/>
          <w:kern w:val="0"/>
          <w:szCs w:val="21"/>
        </w:rPr>
        <w:t>6.7澄清、说明和补正</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6.7.2澄清、说明和补正内容不得改变投标文件的实质性内容（算术性错误修正的除外）。投标人的书面澄清、说明和补正属于投标文件的组成部分。</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6.7.4评标委员会对投标人提交的澄清、说明或补正有疑问的，可以要求投标人进一步澄清、说明或补正，直至满足评标委员会的要求。</w:t>
      </w:r>
    </w:p>
    <w:p>
      <w:pPr>
        <w:widowControl/>
        <w:shd w:val="clear" w:color="auto" w:fill="FFFFFF"/>
        <w:snapToGrid w:val="0"/>
        <w:spacing w:line="360" w:lineRule="auto"/>
        <w:ind w:firstLine="420" w:firstLineChars="200"/>
        <w:rPr>
          <w:rFonts w:ascii="宋体" w:hAnsi="宋体" w:cs="宋体"/>
          <w:b/>
          <w:bCs/>
          <w:kern w:val="0"/>
          <w:szCs w:val="21"/>
        </w:rPr>
      </w:pPr>
      <w:r>
        <w:rPr>
          <w:rFonts w:hint="eastAsia" w:ascii="宋体" w:hAnsi="宋体" w:cs="宋体"/>
          <w:kern w:val="0"/>
          <w:szCs w:val="21"/>
        </w:rPr>
        <w:t>6.7.5</w:t>
      </w:r>
      <w:r>
        <w:rPr>
          <w:rFonts w:hint="eastAsia" w:ascii="宋体" w:hAnsi="宋体" w:cs="宋体"/>
          <w:b/>
          <w:bCs/>
          <w:kern w:val="0"/>
          <w:szCs w:val="21"/>
        </w:rPr>
        <w:t>评标委员会发现投标人的报价明显低于其他投标人投标价格，使得其投标价格可能低于其成本的，应当要求该投标人作出书面说明并提供相应的证明材料。投标人不能合理说明或者不能提供相应证明材料的，由评标委员会认定该投标人以低于成本报价竞标，否决其投标。</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6.7.6投标报价评分：对投标报价进行投标报价得分计算，计算方法详见评标办法前附表。</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6.7.7汇总评分结果，评分分值计算保留小数点后两位，小数点后第三位“四舍五入”。</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6.7.8详细评审工作全部结束后，投标人总得分排序按照以下原则进行。</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6.7.9按照总得分由高到低顺序对投标人进行排序；</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6.7.10总得分相同时报价低的投标人排序靠前；</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6.7.11总得分相同且报价相同的投标人，采取随机抽取方式确定排序顺序。</w:t>
      </w:r>
    </w:p>
    <w:p>
      <w:pPr>
        <w:widowControl/>
        <w:shd w:val="clear" w:color="auto" w:fill="FFFFFF"/>
        <w:snapToGrid w:val="0"/>
        <w:spacing w:line="360" w:lineRule="auto"/>
        <w:rPr>
          <w:rFonts w:ascii="宋体" w:hAnsi="宋体" w:cs="宋体"/>
          <w:b/>
          <w:bCs/>
          <w:kern w:val="0"/>
          <w:szCs w:val="21"/>
        </w:rPr>
      </w:pPr>
      <w:r>
        <w:rPr>
          <w:rFonts w:hint="eastAsia" w:ascii="宋体" w:hAnsi="宋体" w:cs="宋体"/>
          <w:b/>
          <w:bCs/>
          <w:kern w:val="0"/>
          <w:szCs w:val="21"/>
        </w:rPr>
        <w:t>6.8推荐中标候选人及提交评标报告</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6.8.1评标委员会推荐中标候选人，得分由高到低顺序排列排序第一的投标人将被确定为第一中标候选人，以此类推确定出规定数量的中标候选人。</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6.8.2当通过了资格审查、完备性及符合性审查后，投标人少于3个时，采购人应当依法重新招标。</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6.8.3评标委员会完成评标后，应当向采购人提交书面评标报告。</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6.8.4特殊情况的处置程序</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①关于评标活动暂停</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②关于评标中途更换评委</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除非发生下列情况之一，评标委员会成员不得在评标中途更换：</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⒈因不可抗拒的客观原因，不能到场或需在评标中途退出评标活动。</w:t>
      </w:r>
    </w:p>
    <w:p>
      <w:pPr>
        <w:widowControl/>
        <w:shd w:val="clear" w:color="auto" w:fill="FFFFFF"/>
        <w:snapToGrid w:val="0"/>
        <w:spacing w:line="360" w:lineRule="auto"/>
        <w:ind w:firstLine="420" w:firstLineChars="200"/>
        <w:rPr>
          <w:rFonts w:ascii="宋体" w:hAnsi="宋体" w:cs="宋体"/>
          <w:kern w:val="0"/>
          <w:szCs w:val="21"/>
        </w:rPr>
      </w:pPr>
      <w:r>
        <w:rPr>
          <w:rFonts w:hint="eastAsia" w:ascii="宋体" w:hAnsi="宋体" w:cs="宋体"/>
          <w:kern w:val="0"/>
          <w:szCs w:val="21"/>
        </w:rPr>
        <w:t>⒉根据法律法规规定，某个或某几个评标委员会成员需要回避。</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退出评标的评标委员会成员，</w:t>
      </w:r>
      <w:r>
        <w:rPr>
          <w:rFonts w:hint="eastAsia" w:ascii="宋体" w:hAnsi="宋体" w:cs="Arial"/>
          <w:kern w:val="0"/>
          <w:szCs w:val="21"/>
        </w:rPr>
        <w:t>其已完成的评标行为无效，由更换的评委进行评标。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在评标环节中，需评标委员会就某项定性的评审结论做出表决的，由评标委员会全体成员按照少数服从多数的原则确定。</w:t>
      </w:r>
    </w:p>
    <w:p>
      <w:pPr>
        <w:pStyle w:val="3"/>
        <w:rPr>
          <w:rFonts w:cs="Arial"/>
          <w:kern w:val="0"/>
          <w:szCs w:val="21"/>
        </w:rPr>
      </w:pPr>
    </w:p>
    <w:p>
      <w:pPr>
        <w:pStyle w:val="3"/>
        <w:rPr>
          <w:rFonts w:cs="Arial"/>
          <w:kern w:val="0"/>
          <w:szCs w:val="21"/>
        </w:rPr>
      </w:pPr>
    </w:p>
    <w:p>
      <w:pPr>
        <w:pStyle w:val="3"/>
        <w:rPr>
          <w:rFonts w:cs="Arial"/>
          <w:kern w:val="0"/>
          <w:szCs w:val="21"/>
        </w:rPr>
      </w:pPr>
    </w:p>
    <w:p>
      <w:pPr>
        <w:pStyle w:val="3"/>
        <w:ind w:firstLine="0"/>
        <w:rPr>
          <w:rFonts w:cs="Arial"/>
          <w:kern w:val="0"/>
          <w:szCs w:val="21"/>
        </w:rPr>
      </w:pPr>
    </w:p>
    <w:p>
      <w:pPr>
        <w:widowControl/>
        <w:shd w:val="clear" w:color="auto" w:fill="FFFFFF"/>
        <w:snapToGrid w:val="0"/>
        <w:spacing w:line="360" w:lineRule="auto"/>
        <w:ind w:firstLine="422" w:firstLineChars="200"/>
        <w:jc w:val="center"/>
        <w:rPr>
          <w:rFonts w:ascii="宋体" w:hAnsi="宋体"/>
          <w:b/>
          <w:szCs w:val="21"/>
        </w:rPr>
      </w:pPr>
    </w:p>
    <w:p>
      <w:pPr>
        <w:widowControl/>
        <w:shd w:val="clear" w:color="auto" w:fill="FFFFFF"/>
        <w:snapToGrid w:val="0"/>
        <w:spacing w:line="360" w:lineRule="auto"/>
        <w:ind w:firstLine="422" w:firstLineChars="200"/>
        <w:jc w:val="center"/>
        <w:rPr>
          <w:rFonts w:ascii="宋体" w:hAnsi="宋体"/>
          <w:b/>
          <w:szCs w:val="21"/>
        </w:rPr>
      </w:pPr>
    </w:p>
    <w:p>
      <w:pPr>
        <w:widowControl/>
        <w:shd w:val="clear" w:color="auto" w:fill="FFFFFF"/>
        <w:snapToGrid w:val="0"/>
        <w:spacing w:line="360" w:lineRule="auto"/>
        <w:ind w:firstLine="422" w:firstLineChars="200"/>
        <w:jc w:val="center"/>
        <w:rPr>
          <w:rFonts w:ascii="宋体" w:hAnsi="宋体"/>
          <w:b/>
          <w:szCs w:val="21"/>
        </w:rPr>
      </w:pPr>
      <w:r>
        <w:rPr>
          <w:rFonts w:hint="eastAsia" w:ascii="宋体" w:hAnsi="宋体"/>
          <w:b/>
          <w:szCs w:val="21"/>
        </w:rPr>
        <w:t>问题澄清通知</w:t>
      </w:r>
    </w:p>
    <w:p>
      <w:pPr>
        <w:rPr>
          <w:rFonts w:ascii="宋体" w:hAnsi="宋体"/>
          <w:szCs w:val="21"/>
        </w:rPr>
      </w:pPr>
    </w:p>
    <w:p>
      <w:pPr>
        <w:rPr>
          <w:rFonts w:ascii="宋体" w:hAnsi="宋体" w:cs="Arial"/>
          <w:kern w:val="0"/>
          <w:szCs w:val="21"/>
        </w:rPr>
      </w:pPr>
      <w:r>
        <w:rPr>
          <w:rFonts w:ascii="宋体" w:hAnsi="宋体" w:cs="Arial"/>
          <w:kern w:val="0"/>
          <w:szCs w:val="21"/>
          <w:u w:val="single"/>
        </w:rPr>
        <w:t xml:space="preserve">                         </w:t>
      </w:r>
      <w:r>
        <w:rPr>
          <w:rFonts w:hint="eastAsia" w:ascii="宋体" w:hAnsi="宋体" w:cs="Arial"/>
          <w:kern w:val="0"/>
          <w:szCs w:val="21"/>
        </w:rPr>
        <w:t>（投标人名称）：</w:t>
      </w:r>
    </w:p>
    <w:p>
      <w:pPr>
        <w:pStyle w:val="8"/>
        <w:numPr>
          <w:ilvl w:val="0"/>
          <w:numId w:val="0"/>
        </w:numPr>
        <w:spacing w:line="335" w:lineRule="exact"/>
        <w:ind w:left="420" w:leftChars="200" w:firstLine="440" w:firstLineChars="200"/>
        <w:rPr>
          <w:rFonts w:ascii="宋体" w:hAnsi="宋体" w:eastAsia="宋体"/>
        </w:rPr>
      </w:pPr>
      <w:r>
        <w:rPr>
          <w:rFonts w:hint="eastAsia" w:ascii="宋体" w:hAnsi="宋体" w:eastAsia="宋体"/>
        </w:rPr>
        <w:t>评标委员会对你方的投标文件进行了仔细的审查，现需你方对下列问题以书面形式予以澄清、说明或补正：</w:t>
      </w:r>
    </w:p>
    <w:p>
      <w:pPr>
        <w:spacing w:line="220" w:lineRule="exact"/>
        <w:ind w:firstLine="420" w:firstLineChars="200"/>
        <w:rPr>
          <w:rFonts w:ascii="宋体" w:hAnsi="宋体"/>
          <w:szCs w:val="21"/>
        </w:rPr>
      </w:pPr>
    </w:p>
    <w:p>
      <w:pPr>
        <w:pStyle w:val="8"/>
        <w:numPr>
          <w:ilvl w:val="0"/>
          <w:numId w:val="0"/>
        </w:numPr>
        <w:ind w:left="420" w:leftChars="200"/>
        <w:rPr>
          <w:rFonts w:ascii="宋体" w:hAnsi="宋体" w:eastAsia="宋体"/>
        </w:rPr>
      </w:pPr>
      <w:r>
        <w:rPr>
          <w:rFonts w:hint="eastAsia" w:ascii="宋体" w:hAnsi="宋体" w:eastAsia="宋体"/>
        </w:rPr>
        <w:t>1.</w:t>
      </w:r>
    </w:p>
    <w:p>
      <w:pPr>
        <w:spacing w:line="190" w:lineRule="exact"/>
        <w:ind w:firstLine="420" w:firstLineChars="200"/>
        <w:rPr>
          <w:rFonts w:ascii="宋体" w:hAnsi="宋体"/>
          <w:szCs w:val="21"/>
        </w:rPr>
      </w:pPr>
    </w:p>
    <w:p>
      <w:pPr>
        <w:pStyle w:val="8"/>
        <w:numPr>
          <w:ilvl w:val="0"/>
          <w:numId w:val="0"/>
        </w:numPr>
        <w:ind w:left="420" w:leftChars="200"/>
        <w:rPr>
          <w:rFonts w:ascii="宋体" w:hAnsi="宋体"/>
          <w:sz w:val="21"/>
          <w:szCs w:val="21"/>
        </w:rPr>
      </w:pPr>
      <w:r>
        <w:rPr>
          <w:rFonts w:hint="eastAsia" w:ascii="宋体" w:hAnsi="宋体" w:eastAsia="宋体"/>
        </w:rPr>
        <w:t>2.</w:t>
      </w:r>
    </w:p>
    <w:p>
      <w:pPr>
        <w:pStyle w:val="8"/>
        <w:numPr>
          <w:ilvl w:val="0"/>
          <w:numId w:val="0"/>
        </w:numPr>
        <w:ind w:left="420" w:leftChars="200"/>
        <w:rPr>
          <w:rFonts w:ascii="宋体" w:hAnsi="宋体" w:eastAsia="宋体"/>
        </w:rPr>
      </w:pPr>
      <w:r>
        <w:rPr>
          <w:rFonts w:hint="eastAsia" w:ascii="宋体" w:hAnsi="宋体" w:eastAsia="宋体"/>
        </w:rPr>
        <w:t>3......</w:t>
      </w:r>
    </w:p>
    <w:p>
      <w:pPr>
        <w:ind w:firstLine="420" w:firstLineChars="200"/>
        <w:rPr>
          <w:rFonts w:ascii="宋体" w:hAnsi="宋体" w:cs="Arial"/>
          <w:kern w:val="0"/>
          <w:szCs w:val="21"/>
        </w:rPr>
      </w:pPr>
    </w:p>
    <w:p>
      <w:pPr>
        <w:pStyle w:val="8"/>
        <w:numPr>
          <w:ilvl w:val="0"/>
          <w:numId w:val="0"/>
        </w:numPr>
        <w:tabs>
          <w:tab w:val="left" w:pos="4603"/>
          <w:tab w:val="left" w:pos="5549"/>
          <w:tab w:val="left" w:pos="6494"/>
          <w:tab w:val="left" w:pos="7438"/>
        </w:tabs>
        <w:ind w:left="420" w:leftChars="200"/>
        <w:rPr>
          <w:rFonts w:ascii="宋体" w:hAnsi="宋体" w:eastAsia="宋体"/>
        </w:rPr>
      </w:pPr>
      <w:r>
        <w:rPr>
          <w:rFonts w:hint="eastAsia" w:ascii="宋体" w:hAnsi="宋体" w:eastAsia="宋体"/>
        </w:rPr>
        <w:t>请将上述问题的澄清、说明或补正于</w:t>
      </w: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r>
        <w:rPr>
          <w:rFonts w:hint="eastAsia" w:ascii="宋体" w:hAnsi="宋体" w:eastAsia="宋体"/>
          <w:u w:val="single" w:color="000000"/>
        </w:rPr>
        <w:tab/>
      </w:r>
      <w:r>
        <w:rPr>
          <w:rFonts w:hint="eastAsia" w:ascii="宋体" w:hAnsi="宋体" w:eastAsia="宋体"/>
        </w:rPr>
        <w:t>时前递交至</w:t>
      </w:r>
    </w:p>
    <w:p>
      <w:pPr>
        <w:spacing w:line="100" w:lineRule="exact"/>
        <w:ind w:firstLine="420" w:firstLineChars="200"/>
        <w:rPr>
          <w:rFonts w:ascii="宋体" w:hAnsi="宋体"/>
          <w:szCs w:val="21"/>
        </w:rPr>
      </w:pPr>
    </w:p>
    <w:p>
      <w:pPr>
        <w:pStyle w:val="8"/>
        <w:numPr>
          <w:ilvl w:val="0"/>
          <w:numId w:val="0"/>
        </w:numPr>
        <w:tabs>
          <w:tab w:val="left" w:pos="3040"/>
          <w:tab w:val="left" w:pos="7320"/>
        </w:tabs>
        <w:spacing w:line="335" w:lineRule="exact"/>
        <w:ind w:left="420" w:leftChars="200"/>
        <w:rPr>
          <w:rFonts w:ascii="宋体" w:hAnsi="宋体" w:eastAsia="宋体"/>
        </w:rPr>
      </w:pPr>
      <w:r>
        <w:rPr>
          <w:rFonts w:hint="eastAsia" w:ascii="宋体" w:hAnsi="宋体" w:eastAsia="宋体"/>
          <w:u w:val="single" w:color="000000"/>
        </w:rPr>
        <w:tab/>
      </w:r>
      <w:r>
        <w:rPr>
          <w:rFonts w:hint="eastAsia" w:ascii="宋体" w:hAnsi="宋体" w:eastAsia="宋体"/>
        </w:rPr>
        <w:t>（详细地址）或传真至</w:t>
      </w:r>
      <w:r>
        <w:rPr>
          <w:rFonts w:hint="eastAsia" w:ascii="宋体" w:hAnsi="宋体" w:eastAsia="宋体"/>
          <w:u w:val="single" w:color="000000"/>
        </w:rPr>
        <w:tab/>
      </w:r>
      <w:r>
        <w:rPr>
          <w:rFonts w:hint="eastAsia" w:ascii="宋体" w:hAnsi="宋体" w:eastAsia="宋体"/>
        </w:rPr>
        <w:t>（传真号码）或</w:t>
      </w:r>
    </w:p>
    <w:p>
      <w:pPr>
        <w:spacing w:line="100" w:lineRule="exact"/>
        <w:ind w:firstLine="420" w:firstLineChars="200"/>
        <w:rPr>
          <w:rFonts w:ascii="宋体" w:hAnsi="宋体"/>
          <w:szCs w:val="21"/>
        </w:rPr>
      </w:pPr>
    </w:p>
    <w:p>
      <w:pPr>
        <w:pStyle w:val="8"/>
        <w:numPr>
          <w:ilvl w:val="0"/>
          <w:numId w:val="0"/>
        </w:numPr>
        <w:tabs>
          <w:tab w:val="left" w:pos="7138"/>
          <w:tab w:val="left" w:pos="8084"/>
        </w:tabs>
        <w:spacing w:line="335" w:lineRule="exact"/>
        <w:ind w:left="420" w:leftChars="200"/>
        <w:rPr>
          <w:rFonts w:ascii="宋体" w:hAnsi="宋体" w:eastAsia="宋体"/>
        </w:rPr>
      </w:pPr>
      <w:r>
        <w:rPr>
          <w:rFonts w:hint="eastAsia" w:ascii="宋体" w:hAnsi="宋体" w:eastAsia="宋体"/>
        </w:rPr>
        <w:t>通过下载招标文件的电子招标交易平台上传。采用传真方式的，应在</w:t>
      </w: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p>
    <w:p>
      <w:pPr>
        <w:spacing w:line="100" w:lineRule="exact"/>
        <w:ind w:firstLine="420" w:firstLineChars="200"/>
        <w:rPr>
          <w:rFonts w:ascii="宋体" w:hAnsi="宋体"/>
          <w:szCs w:val="21"/>
        </w:rPr>
      </w:pPr>
    </w:p>
    <w:p>
      <w:pPr>
        <w:pStyle w:val="8"/>
        <w:numPr>
          <w:ilvl w:val="0"/>
          <w:numId w:val="0"/>
        </w:numPr>
        <w:tabs>
          <w:tab w:val="left" w:pos="837"/>
          <w:tab w:val="left" w:pos="1782"/>
          <w:tab w:val="left" w:pos="5669"/>
        </w:tabs>
        <w:spacing w:line="335" w:lineRule="exact"/>
        <w:ind w:left="420" w:leftChars="200"/>
        <w:rPr>
          <w:rFonts w:ascii="宋体" w:hAnsi="宋体" w:eastAsia="宋体"/>
        </w:rPr>
      </w:pPr>
      <w:r>
        <w:rPr>
          <w:rFonts w:hint="eastAsia" w:ascii="宋体" w:hAnsi="宋体" w:eastAsia="宋体"/>
          <w:u w:val="single" w:color="000000"/>
        </w:rPr>
        <w:tab/>
      </w:r>
      <w:r>
        <w:rPr>
          <w:rFonts w:hint="eastAsia" w:ascii="宋体" w:hAnsi="宋体" w:eastAsia="宋体"/>
        </w:rPr>
        <w:t>日</w:t>
      </w:r>
      <w:r>
        <w:rPr>
          <w:rFonts w:hint="eastAsia" w:ascii="宋体" w:hAnsi="宋体" w:eastAsia="宋体"/>
          <w:u w:val="single" w:color="000000"/>
        </w:rPr>
        <w:tab/>
      </w:r>
      <w:r>
        <w:rPr>
          <w:rFonts w:hint="eastAsia" w:ascii="宋体" w:hAnsi="宋体" w:eastAsia="宋体"/>
        </w:rPr>
        <w:t>时前将原件递交至</w:t>
      </w:r>
      <w:r>
        <w:rPr>
          <w:rFonts w:hint="eastAsia" w:ascii="宋体" w:hAnsi="宋体" w:eastAsia="宋体"/>
          <w:u w:val="single" w:color="000000"/>
        </w:rPr>
        <w:tab/>
      </w:r>
      <w:r>
        <w:rPr>
          <w:rFonts w:hint="eastAsia" w:ascii="宋体" w:hAnsi="宋体" w:eastAsia="宋体"/>
        </w:rPr>
        <w:t>（详细地址）。</w:t>
      </w: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rPr>
          <w:rFonts w:ascii="宋体" w:hAnsi="宋体" w:cs="Arial"/>
          <w:kern w:val="0"/>
          <w:szCs w:val="21"/>
        </w:rPr>
      </w:pPr>
    </w:p>
    <w:p>
      <w:pPr>
        <w:pStyle w:val="8"/>
        <w:numPr>
          <w:ilvl w:val="0"/>
          <w:numId w:val="0"/>
        </w:numPr>
        <w:tabs>
          <w:tab w:val="left" w:pos="7032"/>
        </w:tabs>
        <w:spacing w:line="335" w:lineRule="exact"/>
        <w:ind w:left="420" w:leftChars="200"/>
        <w:rPr>
          <w:rFonts w:ascii="宋体" w:hAnsi="宋体" w:eastAsia="宋体"/>
        </w:rPr>
      </w:pPr>
      <w:r>
        <w:rPr>
          <w:rFonts w:hint="eastAsia" w:ascii="宋体" w:hAnsi="宋体" w:eastAsia="宋体"/>
        </w:rPr>
        <w:t>评标委员会授权的采购人或采购代理机构：</w:t>
      </w:r>
      <w:r>
        <w:rPr>
          <w:rFonts w:hint="eastAsia" w:ascii="宋体" w:hAnsi="宋体" w:eastAsia="宋体"/>
          <w:u w:val="single" w:color="000000"/>
        </w:rPr>
        <w:tab/>
      </w:r>
      <w:r>
        <w:rPr>
          <w:rFonts w:hint="eastAsia" w:ascii="宋体" w:hAnsi="宋体" w:eastAsia="宋体"/>
        </w:rPr>
        <w:t>（签字或盖章）</w:t>
      </w:r>
    </w:p>
    <w:p>
      <w:pPr>
        <w:spacing w:line="140" w:lineRule="exact"/>
        <w:ind w:firstLine="420" w:firstLineChars="200"/>
        <w:rPr>
          <w:rFonts w:ascii="宋体" w:hAnsi="宋体"/>
          <w:szCs w:val="21"/>
        </w:rPr>
      </w:pPr>
    </w:p>
    <w:p>
      <w:pPr>
        <w:spacing w:line="200" w:lineRule="exact"/>
        <w:ind w:firstLine="420" w:firstLineChars="200"/>
        <w:rPr>
          <w:rFonts w:ascii="宋体" w:hAnsi="宋体"/>
          <w:szCs w:val="21"/>
        </w:rPr>
      </w:pPr>
    </w:p>
    <w:p>
      <w:pPr>
        <w:spacing w:line="200" w:lineRule="exact"/>
        <w:ind w:firstLine="420" w:firstLineChars="200"/>
        <w:rPr>
          <w:rFonts w:ascii="宋体" w:hAnsi="宋体"/>
          <w:szCs w:val="21"/>
        </w:rPr>
      </w:pPr>
    </w:p>
    <w:p>
      <w:pPr>
        <w:pStyle w:val="8"/>
        <w:numPr>
          <w:ilvl w:val="0"/>
          <w:numId w:val="0"/>
        </w:numPr>
        <w:tabs>
          <w:tab w:val="left" w:pos="5803"/>
          <w:tab w:val="left" w:pos="6746"/>
          <w:tab w:val="left" w:pos="7692"/>
        </w:tabs>
        <w:spacing w:line="335" w:lineRule="exact"/>
        <w:ind w:left="420" w:leftChars="200"/>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jc w:val="center"/>
        <w:rPr>
          <w:rFonts w:ascii="宋体" w:hAnsi="宋体"/>
          <w:b/>
          <w:szCs w:val="21"/>
        </w:rPr>
      </w:pPr>
    </w:p>
    <w:p>
      <w:pPr>
        <w:jc w:val="center"/>
        <w:rPr>
          <w:rFonts w:ascii="宋体" w:hAnsi="宋体"/>
          <w:b/>
          <w:szCs w:val="21"/>
        </w:rPr>
      </w:pPr>
    </w:p>
    <w:p>
      <w:pPr>
        <w:jc w:val="center"/>
        <w:rPr>
          <w:rFonts w:ascii="宋体" w:hAnsi="宋体"/>
          <w:b/>
          <w:szCs w:val="21"/>
        </w:rPr>
      </w:pPr>
    </w:p>
    <w:p>
      <w:pPr>
        <w:pStyle w:val="2"/>
        <w:rPr>
          <w:rFonts w:ascii="宋体" w:hAnsi="宋体" w:eastAsia="宋体"/>
          <w:sz w:val="21"/>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pStyle w:val="3"/>
        <w:rPr>
          <w:szCs w:val="21"/>
        </w:rPr>
      </w:pPr>
    </w:p>
    <w:p>
      <w:pPr>
        <w:jc w:val="center"/>
        <w:rPr>
          <w:rFonts w:ascii="宋体" w:hAnsi="宋体"/>
          <w:b/>
          <w:szCs w:val="21"/>
        </w:rPr>
      </w:pPr>
      <w:r>
        <w:rPr>
          <w:rFonts w:hint="eastAsia" w:ascii="宋体" w:hAnsi="宋体"/>
          <w:b/>
          <w:szCs w:val="21"/>
        </w:rPr>
        <w:t>问题的澄清、说明或补正</w:t>
      </w:r>
    </w:p>
    <w:p>
      <w:pPr>
        <w:rPr>
          <w:rFonts w:ascii="宋体" w:hAnsi="宋体" w:cs="Arial"/>
          <w:kern w:val="0"/>
          <w:szCs w:val="21"/>
        </w:rPr>
      </w:pPr>
    </w:p>
    <w:p>
      <w:pPr>
        <w:pStyle w:val="8"/>
        <w:numPr>
          <w:ilvl w:val="0"/>
          <w:numId w:val="0"/>
        </w:numPr>
        <w:tabs>
          <w:tab w:val="left" w:pos="5947"/>
        </w:tabs>
        <w:ind w:left="420" w:leftChars="200"/>
        <w:rPr>
          <w:rFonts w:ascii="宋体" w:hAnsi="宋体" w:eastAsia="宋体"/>
        </w:rPr>
      </w:pPr>
      <w:r>
        <w:rPr>
          <w:rFonts w:hint="eastAsia" w:ascii="宋体" w:hAnsi="宋体" w:eastAsia="宋体"/>
        </w:rPr>
        <w:t>（编号：</w:t>
      </w:r>
      <w:r>
        <w:rPr>
          <w:rFonts w:hint="eastAsia" w:ascii="宋体" w:hAnsi="宋体" w:eastAsia="宋体"/>
          <w:u w:val="single" w:color="000000"/>
        </w:rPr>
        <w:tab/>
      </w:r>
      <w:r>
        <w:rPr>
          <w:rFonts w:hint="eastAsia" w:ascii="宋体" w:hAnsi="宋体" w:eastAsia="宋体"/>
        </w:rPr>
        <w:t>）</w:t>
      </w:r>
    </w:p>
    <w:p>
      <w:pPr>
        <w:spacing w:line="100" w:lineRule="exact"/>
        <w:ind w:firstLine="200" w:firstLineChars="200"/>
        <w:rPr>
          <w:rFonts w:ascii="宋体" w:hAnsi="宋体"/>
          <w:sz w:val="10"/>
          <w:szCs w:val="1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8"/>
        <w:numPr>
          <w:ilvl w:val="0"/>
          <w:numId w:val="0"/>
        </w:numPr>
        <w:spacing w:line="335" w:lineRule="exact"/>
        <w:ind w:left="420" w:leftChars="200" w:right="118"/>
        <w:rPr>
          <w:rFonts w:ascii="宋体" w:hAnsi="宋体" w:eastAsia="宋体"/>
        </w:rPr>
      </w:pPr>
      <w:r>
        <w:rPr>
          <w:rFonts w:hint="eastAsia" w:ascii="宋体" w:hAnsi="宋体" w:eastAsia="宋体"/>
        </w:rPr>
        <w:t>评标委员会：</w:t>
      </w:r>
    </w:p>
    <w:p>
      <w:pPr>
        <w:spacing w:line="110" w:lineRule="exact"/>
        <w:ind w:firstLine="220" w:firstLineChars="200"/>
        <w:rPr>
          <w:rFonts w:ascii="宋体" w:hAnsi="宋体"/>
          <w:sz w:val="11"/>
          <w:szCs w:val="11"/>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8"/>
        <w:numPr>
          <w:ilvl w:val="0"/>
          <w:numId w:val="0"/>
        </w:numPr>
        <w:tabs>
          <w:tab w:val="left" w:pos="3460"/>
        </w:tabs>
        <w:ind w:left="420" w:leftChars="200"/>
        <w:rPr>
          <w:rFonts w:ascii="宋体" w:hAnsi="宋体" w:eastAsia="宋体"/>
        </w:rPr>
      </w:pPr>
      <w:r>
        <w:rPr>
          <w:rFonts w:hint="eastAsia" w:ascii="宋体" w:hAnsi="宋体" w:eastAsia="宋体"/>
        </w:rPr>
        <w:t>问题澄清通知（编号：</w:t>
      </w:r>
      <w:r>
        <w:rPr>
          <w:rFonts w:hint="eastAsia" w:ascii="宋体" w:hAnsi="宋体" w:eastAsia="宋体"/>
          <w:u w:val="single" w:color="000000"/>
        </w:rPr>
        <w:tab/>
      </w:r>
      <w:r>
        <w:rPr>
          <w:rFonts w:hint="eastAsia" w:ascii="宋体" w:hAnsi="宋体" w:eastAsia="宋体"/>
        </w:rPr>
        <w:t>）已收悉，现澄清、说明或补正如下：</w:t>
      </w:r>
    </w:p>
    <w:p>
      <w:pPr>
        <w:spacing w:line="110" w:lineRule="exact"/>
        <w:ind w:firstLine="220" w:firstLineChars="200"/>
        <w:rPr>
          <w:rFonts w:ascii="宋体" w:hAnsi="宋体"/>
          <w:sz w:val="11"/>
          <w:szCs w:val="11"/>
        </w:rPr>
      </w:pPr>
    </w:p>
    <w:p>
      <w:pPr>
        <w:pStyle w:val="8"/>
        <w:numPr>
          <w:ilvl w:val="0"/>
          <w:numId w:val="0"/>
        </w:numPr>
        <w:ind w:left="420" w:leftChars="200" w:right="7027" w:firstLine="950" w:firstLineChars="500"/>
        <w:rPr>
          <w:rFonts w:ascii="宋体" w:hAnsi="宋体"/>
          <w:sz w:val="19"/>
          <w:szCs w:val="19"/>
        </w:rPr>
      </w:pPr>
      <w:r>
        <w:rPr>
          <w:rFonts w:hint="eastAsia" w:ascii="宋体" w:hAnsi="宋体"/>
          <w:sz w:val="19"/>
          <w:szCs w:val="19"/>
        </w:rPr>
        <w:t>1.</w:t>
      </w:r>
    </w:p>
    <w:p>
      <w:pPr>
        <w:pStyle w:val="8"/>
        <w:numPr>
          <w:ilvl w:val="0"/>
          <w:numId w:val="0"/>
        </w:numPr>
        <w:ind w:left="420" w:leftChars="200" w:right="7027" w:firstLine="950" w:firstLineChars="500"/>
        <w:rPr>
          <w:rFonts w:ascii="宋体" w:hAnsi="宋体" w:eastAsia="宋体"/>
        </w:rPr>
      </w:pPr>
      <w:r>
        <w:rPr>
          <w:rFonts w:hint="eastAsia" w:ascii="宋体" w:hAnsi="宋体"/>
          <w:sz w:val="19"/>
          <w:szCs w:val="19"/>
        </w:rPr>
        <w:t>2.</w:t>
      </w:r>
    </w:p>
    <w:p>
      <w:pPr>
        <w:spacing w:line="190" w:lineRule="exact"/>
        <w:ind w:firstLine="380" w:firstLineChars="200"/>
        <w:rPr>
          <w:rFonts w:ascii="宋体" w:hAnsi="宋体"/>
          <w:sz w:val="19"/>
          <w:szCs w:val="19"/>
        </w:rPr>
      </w:pPr>
    </w:p>
    <w:p>
      <w:pPr>
        <w:pStyle w:val="8"/>
        <w:numPr>
          <w:ilvl w:val="0"/>
          <w:numId w:val="0"/>
        </w:numPr>
        <w:ind w:left="420" w:leftChars="200" w:right="7132" w:firstLine="1100" w:firstLineChars="500"/>
        <w:rPr>
          <w:rFonts w:ascii="宋体" w:hAnsi="宋体" w:eastAsia="宋体"/>
        </w:rPr>
      </w:pPr>
      <w:r>
        <w:rPr>
          <w:rFonts w:hint="eastAsia" w:ascii="宋体" w:hAnsi="宋体" w:eastAsia="宋体"/>
        </w:rPr>
        <w:t>......</w:t>
      </w: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8"/>
        <w:numPr>
          <w:ilvl w:val="0"/>
          <w:numId w:val="0"/>
        </w:numPr>
        <w:spacing w:line="291" w:lineRule="auto"/>
        <w:ind w:left="420" w:leftChars="200"/>
        <w:rPr>
          <w:rFonts w:ascii="宋体" w:hAnsi="宋体" w:eastAsia="宋体"/>
        </w:rPr>
      </w:pPr>
      <w:r>
        <w:rPr>
          <w:rFonts w:hint="eastAsia" w:ascii="宋体" w:hAnsi="宋体" w:eastAsia="宋体"/>
        </w:rPr>
        <w:t>上述问题澄清、说明或补正，不改变我方投标文件的实质性内容，构成我方投标文件的组 成部分。</w:t>
      </w:r>
    </w:p>
    <w:p>
      <w:pPr>
        <w:spacing w:line="150" w:lineRule="exact"/>
        <w:ind w:firstLine="300" w:firstLineChars="200"/>
        <w:rPr>
          <w:rFonts w:ascii="宋体" w:hAnsi="宋体"/>
          <w:sz w:val="15"/>
          <w:szCs w:val="15"/>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8"/>
        <w:numPr>
          <w:ilvl w:val="0"/>
          <w:numId w:val="0"/>
        </w:numPr>
        <w:tabs>
          <w:tab w:val="left" w:pos="7382"/>
        </w:tabs>
        <w:ind w:left="420" w:leftChars="200"/>
        <w:rPr>
          <w:rFonts w:ascii="宋体" w:hAnsi="宋体" w:eastAsia="宋体"/>
        </w:rPr>
      </w:pPr>
      <w:r>
        <w:rPr>
          <w:rFonts w:hint="eastAsia" w:ascii="宋体" w:hAnsi="宋体" w:eastAsia="宋体"/>
        </w:rPr>
        <w:t>投标人：</w:t>
      </w:r>
      <w:r>
        <w:rPr>
          <w:rFonts w:hint="eastAsia" w:ascii="宋体" w:hAnsi="宋体" w:eastAsia="宋体"/>
          <w:u w:val="single" w:color="000000"/>
        </w:rPr>
        <w:tab/>
      </w:r>
      <w:r>
        <w:rPr>
          <w:rFonts w:hint="eastAsia" w:ascii="宋体" w:hAnsi="宋体" w:eastAsia="宋体"/>
        </w:rPr>
        <w:t>（盖单位章）</w:t>
      </w:r>
    </w:p>
    <w:p>
      <w:pPr>
        <w:spacing w:line="200" w:lineRule="exact"/>
        <w:ind w:firstLine="400" w:firstLineChars="200"/>
        <w:rPr>
          <w:rFonts w:ascii="宋体" w:hAnsi="宋体"/>
          <w:sz w:val="20"/>
          <w:szCs w:val="20"/>
        </w:rPr>
      </w:pPr>
    </w:p>
    <w:p>
      <w:pPr>
        <w:pStyle w:val="8"/>
        <w:numPr>
          <w:ilvl w:val="0"/>
          <w:numId w:val="0"/>
        </w:numPr>
        <w:tabs>
          <w:tab w:val="left" w:pos="7904"/>
        </w:tabs>
        <w:spacing w:line="335" w:lineRule="exact"/>
        <w:ind w:left="420" w:leftChars="200"/>
        <w:rPr>
          <w:rFonts w:ascii="宋体" w:hAnsi="宋体" w:eastAsia="宋体"/>
        </w:rPr>
      </w:pPr>
      <w:r>
        <w:rPr>
          <w:rFonts w:hint="eastAsia" w:ascii="宋体" w:hAnsi="宋体" w:eastAsia="宋体"/>
        </w:rPr>
        <w:t>法定代表人（单位负责人）或其委托代理人：</w:t>
      </w:r>
      <w:r>
        <w:rPr>
          <w:rFonts w:hint="eastAsia" w:ascii="宋体" w:hAnsi="宋体" w:eastAsia="宋体"/>
          <w:u w:val="single" w:color="000000"/>
        </w:rPr>
        <w:tab/>
      </w:r>
      <w:r>
        <w:rPr>
          <w:rFonts w:hint="eastAsia" w:ascii="宋体" w:hAnsi="宋体" w:eastAsia="宋体"/>
          <w:u w:val="single" w:color="000000"/>
        </w:rPr>
        <w:t>（签</w:t>
      </w:r>
      <w:r>
        <w:rPr>
          <w:rFonts w:hint="eastAsia" w:ascii="宋体" w:hAnsi="宋体" w:eastAsia="宋体"/>
        </w:rPr>
        <w:t>字）</w:t>
      </w:r>
    </w:p>
    <w:p>
      <w:pPr>
        <w:spacing w:line="190" w:lineRule="exact"/>
        <w:ind w:firstLine="380" w:firstLineChars="200"/>
        <w:rPr>
          <w:rFonts w:ascii="宋体" w:hAnsi="宋体"/>
          <w:sz w:val="19"/>
          <w:szCs w:val="19"/>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pStyle w:val="8"/>
        <w:numPr>
          <w:ilvl w:val="0"/>
          <w:numId w:val="0"/>
        </w:numPr>
        <w:tabs>
          <w:tab w:val="left" w:pos="6434"/>
          <w:tab w:val="left" w:pos="7483"/>
          <w:tab w:val="left" w:pos="8533"/>
        </w:tabs>
        <w:spacing w:line="335" w:lineRule="exact"/>
        <w:ind w:left="420" w:leftChars="200"/>
        <w:rPr>
          <w:rFonts w:ascii="宋体" w:hAnsi="宋体" w:eastAsia="宋体"/>
        </w:rPr>
      </w:pPr>
      <w:r>
        <w:rPr>
          <w:rFonts w:hint="eastAsia" w:ascii="宋体" w:hAnsi="宋体" w:eastAsia="宋体"/>
          <w:u w:val="single" w:color="000000"/>
        </w:rPr>
        <w:tab/>
      </w:r>
      <w:r>
        <w:rPr>
          <w:rFonts w:hint="eastAsia" w:ascii="宋体" w:hAnsi="宋体" w:eastAsia="宋体"/>
        </w:rPr>
        <w:t>年</w:t>
      </w:r>
      <w:r>
        <w:rPr>
          <w:rFonts w:hint="eastAsia" w:ascii="宋体" w:hAnsi="宋体" w:eastAsia="宋体"/>
          <w:u w:val="single" w:color="000000"/>
        </w:rPr>
        <w:tab/>
      </w:r>
      <w:r>
        <w:rPr>
          <w:rFonts w:hint="eastAsia" w:ascii="宋体" w:hAnsi="宋体" w:eastAsia="宋体"/>
        </w:rPr>
        <w:t>月</w:t>
      </w:r>
      <w:r>
        <w:rPr>
          <w:rFonts w:hint="eastAsia" w:ascii="宋体" w:hAnsi="宋体" w:eastAsia="宋体"/>
          <w:u w:val="single" w:color="000000"/>
        </w:rPr>
        <w:tab/>
      </w:r>
      <w:r>
        <w:rPr>
          <w:rFonts w:hint="eastAsia" w:ascii="宋体" w:hAnsi="宋体" w:eastAsia="宋体"/>
        </w:rPr>
        <w:t>日</w:t>
      </w:r>
    </w:p>
    <w:p>
      <w:pPr>
        <w:pStyle w:val="3"/>
        <w:ind w:firstLine="0"/>
        <w:rPr>
          <w:szCs w:val="21"/>
        </w:rPr>
      </w:pPr>
    </w:p>
    <w:p>
      <w:pPr>
        <w:pStyle w:val="3"/>
        <w:ind w:firstLine="0"/>
        <w:rPr>
          <w:szCs w:val="21"/>
        </w:rPr>
      </w:pPr>
    </w:p>
    <w:p>
      <w:pPr>
        <w:pStyle w:val="3"/>
        <w:ind w:firstLine="0"/>
        <w:rPr>
          <w:szCs w:val="21"/>
        </w:rPr>
      </w:pPr>
    </w:p>
    <w:p>
      <w:pPr>
        <w:rPr>
          <w:rFonts w:ascii="宋体" w:hAnsi="宋体" w:cs="宋体"/>
          <w:b/>
          <w:szCs w:val="21"/>
        </w:rPr>
      </w:pPr>
      <w:bookmarkStart w:id="27" w:name="_Toc21324"/>
      <w:bookmarkStart w:id="28" w:name="_Toc19761"/>
      <w:r>
        <w:rPr>
          <w:rFonts w:hint="eastAsia" w:ascii="宋体" w:hAnsi="宋体" w:cs="宋体"/>
          <w:b/>
          <w:szCs w:val="21"/>
        </w:rPr>
        <w:br w:type="page"/>
      </w:r>
    </w:p>
    <w:p>
      <w:pPr>
        <w:tabs>
          <w:tab w:val="center" w:pos="4832"/>
          <w:tab w:val="left" w:pos="7140"/>
        </w:tabs>
        <w:spacing w:line="360" w:lineRule="auto"/>
        <w:jc w:val="center"/>
        <w:outlineLvl w:val="1"/>
        <w:rPr>
          <w:rFonts w:ascii="宋体" w:hAnsi="宋体" w:cs="宋体"/>
          <w:b/>
          <w:szCs w:val="21"/>
        </w:rPr>
      </w:pPr>
      <w:r>
        <w:rPr>
          <w:rFonts w:hint="eastAsia" w:ascii="宋体" w:hAnsi="宋体" w:cs="宋体"/>
          <w:b/>
          <w:szCs w:val="21"/>
        </w:rPr>
        <w:t>第七节 定标及合同授予</w:t>
      </w:r>
      <w:bookmarkEnd w:id="27"/>
      <w:bookmarkEnd w:id="28"/>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7</w:t>
      </w:r>
      <w:r>
        <w:rPr>
          <w:rFonts w:ascii="宋体" w:hAnsi="宋体" w:cs="Arial"/>
          <w:b/>
          <w:bCs/>
          <w:kern w:val="0"/>
          <w:szCs w:val="21"/>
        </w:rPr>
        <w:t xml:space="preserve">.1 </w:t>
      </w:r>
      <w:r>
        <w:rPr>
          <w:rFonts w:hint="eastAsia" w:ascii="宋体" w:hAnsi="宋体" w:cs="Arial"/>
          <w:b/>
          <w:bCs/>
          <w:kern w:val="0"/>
          <w:szCs w:val="21"/>
        </w:rPr>
        <w:t>定标方法</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 xml:space="preserve">.1.1 </w:t>
      </w:r>
      <w:r>
        <w:rPr>
          <w:rFonts w:hint="eastAsia" w:ascii="宋体" w:hAnsi="宋体" w:cs="Arial"/>
          <w:kern w:val="0"/>
          <w:szCs w:val="21"/>
        </w:rPr>
        <w:t>评标活动遵循公平、公正、科学和择优的原则。评标委员会按照招标文件中规定的方法、评审因素、标准和程序对投标文件进行评审，并按投标人须知前附表的规定，综合评估得分最高的为中标候选人顺序排名。</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①</w:t>
      </w:r>
      <w:r>
        <w:rPr>
          <w:rFonts w:hint="eastAsia" w:ascii="宋体" w:hAnsi="宋体" w:cs="Arial"/>
          <w:kern w:val="0"/>
          <w:szCs w:val="21"/>
        </w:rPr>
        <w:t>未通过审查的投标文件为无效标。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②</w:t>
      </w:r>
      <w:r>
        <w:rPr>
          <w:rFonts w:hint="eastAsia" w:ascii="宋体" w:hAnsi="宋体" w:cs="Arial"/>
          <w:kern w:val="0"/>
          <w:szCs w:val="21"/>
        </w:rPr>
        <w:t>经评标委员会三分之二以上组员同意对存在重大偏离的投标文件可判定为无效标。</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③</w:t>
      </w:r>
      <w:r>
        <w:rPr>
          <w:rFonts w:hint="eastAsia" w:ascii="宋体" w:hAnsi="宋体" w:cs="Arial"/>
          <w:kern w:val="0"/>
          <w:szCs w:val="21"/>
        </w:rPr>
        <w:t>对投标文件中含义不明确、同类问题表述不一致或者有明显错误的内容，评标委员会可以书面要求投标人作出必要的澄清说明或者纠正（应由评标委员会签字）。投标人的澄清说明或补正也须书面形式（由其授权代表签字），并不得超出投标文件的范围或者改变投标文件的实质性内容。。</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宋体"/>
          <w:kern w:val="0"/>
          <w:szCs w:val="21"/>
        </w:rPr>
        <w:t>④</w:t>
      </w:r>
      <w:r>
        <w:rPr>
          <w:rFonts w:hint="eastAsia" w:ascii="宋体" w:hAnsi="宋体" w:cs="Arial"/>
          <w:kern w:val="0"/>
          <w:szCs w:val="21"/>
        </w:rPr>
        <w:t>评标过程出现异议的，由评标委员会共同商讨决定，需要投标人澄清的，评标委员会将以书面形式通知投标人。</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.1.</w:t>
      </w:r>
      <w:r>
        <w:rPr>
          <w:rFonts w:hint="eastAsia" w:ascii="宋体" w:hAnsi="宋体" w:cs="Arial"/>
          <w:kern w:val="0"/>
          <w:szCs w:val="21"/>
        </w:rPr>
        <w:t>2</w:t>
      </w:r>
      <w:r>
        <w:rPr>
          <w:rFonts w:ascii="宋体" w:hAnsi="宋体" w:cs="Arial"/>
          <w:kern w:val="0"/>
          <w:szCs w:val="21"/>
        </w:rPr>
        <w:t xml:space="preserve"> </w:t>
      </w:r>
      <w:r>
        <w:rPr>
          <w:rFonts w:hint="eastAsia" w:ascii="宋体" w:hAnsi="宋体" w:cs="宋体"/>
          <w:szCs w:val="21"/>
        </w:rPr>
        <w:t>评标委员会按综合得分高低推荐中标候选人或者确定中标人，得分相同的，以报价低的为优先中标候选人。</w:t>
      </w:r>
      <w:r>
        <w:rPr>
          <w:rFonts w:hint="eastAsia" w:ascii="宋体" w:hAnsi="宋体" w:cs="Arial"/>
          <w:kern w:val="0"/>
          <w:szCs w:val="21"/>
        </w:rPr>
        <w:t xml:space="preserve"> </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.1.</w:t>
      </w:r>
      <w:r>
        <w:rPr>
          <w:rFonts w:hint="eastAsia" w:ascii="宋体" w:hAnsi="宋体" w:cs="Arial"/>
          <w:kern w:val="0"/>
          <w:szCs w:val="21"/>
        </w:rPr>
        <w:t>3</w:t>
      </w:r>
      <w:r>
        <w:rPr>
          <w:rFonts w:ascii="宋体" w:hAnsi="宋体" w:cs="Arial"/>
          <w:kern w:val="0"/>
          <w:szCs w:val="21"/>
        </w:rPr>
        <w:t xml:space="preserve"> </w:t>
      </w:r>
      <w:r>
        <w:rPr>
          <w:rFonts w:hint="eastAsia" w:ascii="宋体" w:hAnsi="宋体" w:cs="Arial"/>
          <w:kern w:val="0"/>
          <w:szCs w:val="21"/>
        </w:rPr>
        <w:t>评标委员会认为</w:t>
      </w:r>
      <w:r>
        <w:rPr>
          <w:rFonts w:hint="eastAsia" w:ascii="宋体" w:hAnsi="宋体" w:cs="宋体"/>
          <w:szCs w:val="21"/>
        </w:rPr>
        <w:t>中标</w:t>
      </w:r>
      <w:r>
        <w:rPr>
          <w:rFonts w:hint="eastAsia" w:ascii="宋体" w:hAnsi="宋体" w:cs="Arial"/>
          <w:kern w:val="0"/>
          <w:szCs w:val="21"/>
        </w:rPr>
        <w:t>候选人投标价或某些分项报价明显不合理或低于成本，有可能影响商品质量和不能诚信履约的，可要求其在规定期限内提供书面文件及相关证明材料解释说明，否则，可取消其候选资格，按排名顺序递补候选人，以此类推。若排名第一的候选人，放弃中标、因不可抗力提出不能履行合同等情况，根据《评标委员会和评标方法暂行规定》执行。</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.1.</w:t>
      </w:r>
      <w:r>
        <w:rPr>
          <w:rFonts w:hint="eastAsia" w:ascii="宋体" w:hAnsi="宋体" w:cs="Arial"/>
          <w:kern w:val="0"/>
          <w:szCs w:val="21"/>
        </w:rPr>
        <w:t>4</w:t>
      </w:r>
      <w:r>
        <w:rPr>
          <w:rFonts w:ascii="宋体" w:hAnsi="宋体" w:cs="Arial"/>
          <w:kern w:val="0"/>
          <w:szCs w:val="21"/>
        </w:rPr>
        <w:t xml:space="preserve"> </w:t>
      </w:r>
      <w:r>
        <w:rPr>
          <w:rFonts w:hint="eastAsia" w:ascii="宋体" w:hAnsi="宋体" w:cs="Arial"/>
          <w:kern w:val="0"/>
          <w:szCs w:val="21"/>
        </w:rPr>
        <w:t>如成交候选投标人被确认为不具备执行合同的能力，采购人将考虑按同样的程序审查下一个</w:t>
      </w:r>
      <w:r>
        <w:rPr>
          <w:rFonts w:hint="eastAsia" w:ascii="宋体" w:hAnsi="宋体" w:cs="宋体"/>
          <w:szCs w:val="21"/>
        </w:rPr>
        <w:t>中标</w:t>
      </w:r>
      <w:r>
        <w:rPr>
          <w:rFonts w:hint="eastAsia" w:ascii="宋体" w:hAnsi="宋体" w:cs="Arial"/>
          <w:kern w:val="0"/>
          <w:szCs w:val="21"/>
        </w:rPr>
        <w:t xml:space="preserve">候选人。 </w:t>
      </w:r>
    </w:p>
    <w:p>
      <w:pPr>
        <w:widowControl/>
        <w:shd w:val="clear" w:color="auto" w:fill="FFFFFF"/>
        <w:snapToGrid w:val="0"/>
        <w:spacing w:line="360" w:lineRule="auto"/>
        <w:ind w:firstLine="420" w:firstLineChars="200"/>
        <w:rPr>
          <w:rFonts w:ascii="宋体" w:hAnsi="宋体" w:cs="Arial"/>
          <w:b/>
          <w:bCs/>
          <w:kern w:val="0"/>
          <w:szCs w:val="21"/>
        </w:rPr>
      </w:pPr>
      <w:r>
        <w:rPr>
          <w:rFonts w:hint="eastAsia" w:ascii="宋体" w:hAnsi="宋体" w:cs="Arial"/>
          <w:kern w:val="0"/>
          <w:szCs w:val="21"/>
        </w:rPr>
        <w:t>7</w:t>
      </w:r>
      <w:r>
        <w:rPr>
          <w:rFonts w:ascii="宋体" w:hAnsi="宋体" w:cs="Arial"/>
          <w:kern w:val="0"/>
          <w:szCs w:val="21"/>
        </w:rPr>
        <w:t>.1.</w:t>
      </w:r>
      <w:r>
        <w:rPr>
          <w:rFonts w:hint="eastAsia" w:ascii="宋体" w:hAnsi="宋体" w:cs="Arial"/>
          <w:kern w:val="0"/>
          <w:szCs w:val="21"/>
        </w:rPr>
        <w:t>5</w:t>
      </w:r>
      <w:r>
        <w:rPr>
          <w:rFonts w:ascii="宋体" w:hAnsi="宋体" w:cs="Arial"/>
          <w:kern w:val="0"/>
          <w:szCs w:val="21"/>
        </w:rPr>
        <w:t xml:space="preserve"> </w:t>
      </w:r>
      <w:r>
        <w:rPr>
          <w:rFonts w:hint="eastAsia" w:ascii="宋体" w:hAnsi="宋体" w:cs="Arial"/>
          <w:b/>
          <w:bCs/>
          <w:kern w:val="0"/>
          <w:szCs w:val="21"/>
        </w:rPr>
        <w:t>对未成交的供应企业不作未成交原因的解释</w:t>
      </w:r>
      <w:r>
        <w:rPr>
          <w:rFonts w:hint="eastAsia" w:ascii="宋体" w:hAnsi="宋体" w:cs="Arial"/>
          <w:kern w:val="0"/>
          <w:szCs w:val="21"/>
        </w:rPr>
        <w:t>。</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7</w:t>
      </w:r>
      <w:r>
        <w:rPr>
          <w:rFonts w:ascii="宋体" w:hAnsi="宋体" w:cs="Arial"/>
          <w:b/>
          <w:bCs/>
          <w:kern w:val="0"/>
          <w:szCs w:val="21"/>
        </w:rPr>
        <w:t xml:space="preserve">.2 </w:t>
      </w:r>
      <w:r>
        <w:rPr>
          <w:rFonts w:hint="eastAsia" w:ascii="宋体" w:hAnsi="宋体" w:cs="Arial"/>
          <w:b/>
          <w:bCs/>
          <w:kern w:val="0"/>
          <w:szCs w:val="21"/>
        </w:rPr>
        <w:t>中标候选人公示</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在中标通知书发出前，中标候选人的情况将在招标公告发布的媒体上公示，公示期为1个工作日。</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7</w:t>
      </w:r>
      <w:r>
        <w:rPr>
          <w:rFonts w:ascii="宋体" w:hAnsi="宋体" w:cs="Arial"/>
          <w:b/>
          <w:bCs/>
          <w:kern w:val="0"/>
          <w:szCs w:val="21"/>
        </w:rPr>
        <w:t xml:space="preserve">.3 </w:t>
      </w:r>
      <w:r>
        <w:rPr>
          <w:rFonts w:hint="eastAsia" w:ascii="宋体" w:hAnsi="宋体" w:cs="Arial"/>
          <w:b/>
          <w:bCs/>
          <w:kern w:val="0"/>
          <w:szCs w:val="21"/>
        </w:rPr>
        <w:t>中标通知</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公示期满后，代理机构以书面形式向中标人发出中标通知书，并及时通知其它投标人中标结果。成交供应企业及时领取中标通知书。</w:t>
      </w:r>
    </w:p>
    <w:p>
      <w:pPr>
        <w:widowControl/>
        <w:shd w:val="clear" w:color="auto" w:fill="FFFFFF"/>
        <w:snapToGrid w:val="0"/>
        <w:spacing w:line="360" w:lineRule="auto"/>
        <w:rPr>
          <w:rFonts w:ascii="宋体" w:hAnsi="宋体" w:cs="Arial"/>
          <w:b/>
          <w:bCs/>
          <w:kern w:val="0"/>
          <w:szCs w:val="21"/>
        </w:rPr>
      </w:pPr>
      <w:r>
        <w:rPr>
          <w:rFonts w:hint="eastAsia" w:ascii="宋体" w:hAnsi="宋体" w:cs="Arial"/>
          <w:b/>
          <w:bCs/>
          <w:kern w:val="0"/>
          <w:szCs w:val="21"/>
        </w:rPr>
        <w:t>7</w:t>
      </w:r>
      <w:r>
        <w:rPr>
          <w:rFonts w:ascii="宋体" w:hAnsi="宋体" w:cs="Arial"/>
          <w:b/>
          <w:bCs/>
          <w:kern w:val="0"/>
          <w:szCs w:val="21"/>
        </w:rPr>
        <w:t xml:space="preserve">.4 </w:t>
      </w:r>
      <w:r>
        <w:rPr>
          <w:rFonts w:hint="eastAsia" w:ascii="宋体" w:hAnsi="宋体" w:cs="Arial"/>
          <w:b/>
          <w:bCs/>
          <w:kern w:val="0"/>
          <w:szCs w:val="21"/>
        </w:rPr>
        <w:t>履约保证金</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 xml:space="preserve">.4.1 </w:t>
      </w:r>
      <w:r>
        <w:rPr>
          <w:rFonts w:hint="eastAsia" w:ascii="宋体" w:hAnsi="宋体" w:cs="Arial"/>
          <w:kern w:val="0"/>
          <w:szCs w:val="21"/>
        </w:rPr>
        <w:t>在签订合同前，中标人应按投标人须知前附表规定的金额、形式向采购人提交履约保证金。联合体中标的，其履约保证金由牵头人提交，并应符合投标人须知前附表的规定。</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w:t>
      </w:r>
      <w:r>
        <w:rPr>
          <w:rFonts w:ascii="宋体" w:hAnsi="宋体" w:cs="Arial"/>
          <w:kern w:val="0"/>
          <w:szCs w:val="21"/>
        </w:rPr>
        <w:t xml:space="preserve">.4.2 </w:t>
      </w:r>
      <w:r>
        <w:rPr>
          <w:rFonts w:hint="eastAsia" w:ascii="宋体" w:hAnsi="宋体" w:cs="Arial"/>
          <w:kern w:val="0"/>
          <w:szCs w:val="21"/>
        </w:rPr>
        <w:t>中标人不能按第二章投标人须知前附表中第14条要求提交履约保证金的，视为放弃中标，其投标保证金不予退还；给采购人造成的损失超过投标保证金数额的，中标人还应当对超过部分予以赔偿。</w:t>
      </w:r>
    </w:p>
    <w:p>
      <w:pPr>
        <w:widowControl/>
        <w:shd w:val="clear" w:color="auto" w:fill="FFFFFF"/>
        <w:snapToGrid w:val="0"/>
        <w:spacing w:line="360" w:lineRule="auto"/>
        <w:rPr>
          <w:rFonts w:ascii="宋体" w:hAnsi="宋体" w:cs="Arial"/>
          <w:kern w:val="0"/>
          <w:szCs w:val="21"/>
        </w:rPr>
      </w:pPr>
      <w:r>
        <w:rPr>
          <w:rFonts w:hint="eastAsia" w:ascii="宋体" w:hAnsi="宋体" w:cs="Arial"/>
          <w:kern w:val="0"/>
          <w:szCs w:val="21"/>
        </w:rPr>
        <w:t>7</w:t>
      </w:r>
      <w:r>
        <w:rPr>
          <w:rFonts w:ascii="宋体" w:hAnsi="宋体" w:cs="Arial"/>
          <w:kern w:val="0"/>
          <w:szCs w:val="21"/>
        </w:rPr>
        <w:t xml:space="preserve">.5 </w:t>
      </w:r>
      <w:r>
        <w:rPr>
          <w:rFonts w:hint="eastAsia" w:ascii="宋体" w:hAnsi="宋体" w:cs="Arial"/>
          <w:kern w:val="0"/>
          <w:szCs w:val="21"/>
        </w:rPr>
        <w:t>签订合同</w:t>
      </w:r>
    </w:p>
    <w:p>
      <w:pPr>
        <w:widowControl/>
        <w:shd w:val="clear" w:color="auto" w:fill="FFFFFF"/>
        <w:snapToGrid w:val="0"/>
        <w:spacing w:line="360" w:lineRule="auto"/>
        <w:ind w:firstLine="420" w:firstLineChars="200"/>
        <w:rPr>
          <w:rFonts w:ascii="宋体" w:hAnsi="宋体" w:cs="Arial"/>
          <w:kern w:val="0"/>
          <w:szCs w:val="21"/>
        </w:rPr>
      </w:pPr>
      <w:bookmarkStart w:id="29" w:name="_BookMark_11"/>
      <w:bookmarkEnd w:id="29"/>
      <w:r>
        <w:rPr>
          <w:rFonts w:hint="eastAsia" w:ascii="宋体" w:hAnsi="宋体" w:cs="Arial"/>
          <w:kern w:val="0"/>
          <w:szCs w:val="21"/>
        </w:rPr>
        <w:t>7</w:t>
      </w:r>
      <w:r>
        <w:rPr>
          <w:rFonts w:ascii="宋体" w:hAnsi="宋体" w:cs="Arial"/>
          <w:kern w:val="0"/>
          <w:szCs w:val="21"/>
        </w:rPr>
        <w:t>.5.1</w:t>
      </w:r>
      <w:r>
        <w:rPr>
          <w:rFonts w:hint="eastAsia" w:ascii="宋体" w:hAnsi="宋体" w:cs="Arial"/>
          <w:kern w:val="0"/>
          <w:szCs w:val="21"/>
        </w:rPr>
        <w:t>采购人和</w:t>
      </w:r>
      <w:r>
        <w:rPr>
          <w:rFonts w:hint="eastAsia" w:ascii="宋体" w:hAnsi="宋体" w:cs="宋体"/>
          <w:szCs w:val="21"/>
        </w:rPr>
        <w:t>中标</w:t>
      </w:r>
      <w:r>
        <w:rPr>
          <w:rFonts w:hint="eastAsia" w:ascii="宋体" w:hAnsi="宋体" w:cs="Arial"/>
          <w:kern w:val="0"/>
          <w:szCs w:val="21"/>
        </w:rPr>
        <w:t>企业应当自中标通知书发出之日起30日内，按照招标文件和</w:t>
      </w:r>
      <w:r>
        <w:rPr>
          <w:rFonts w:hint="eastAsia" w:ascii="宋体" w:hAnsi="宋体" w:cs="宋体"/>
          <w:szCs w:val="21"/>
        </w:rPr>
        <w:t>中标</w:t>
      </w:r>
      <w:r>
        <w:rPr>
          <w:rFonts w:hint="eastAsia" w:ascii="宋体" w:hAnsi="宋体" w:cs="Arial"/>
          <w:kern w:val="0"/>
          <w:szCs w:val="21"/>
        </w:rPr>
        <w:t>企业的投标文件订立书面合同。所签订的合同不得对招标文件确定的事项和</w:t>
      </w:r>
      <w:r>
        <w:rPr>
          <w:rFonts w:hint="eastAsia" w:ascii="宋体" w:hAnsi="宋体" w:cs="宋体"/>
          <w:szCs w:val="21"/>
        </w:rPr>
        <w:t>中标</w:t>
      </w:r>
      <w:r>
        <w:rPr>
          <w:rFonts w:hint="eastAsia" w:ascii="宋体" w:hAnsi="宋体" w:cs="Arial"/>
          <w:kern w:val="0"/>
          <w:szCs w:val="21"/>
        </w:rPr>
        <w:t>企业投标文件作实质性修改。采购人不得向</w:t>
      </w:r>
      <w:r>
        <w:rPr>
          <w:rFonts w:hint="eastAsia" w:ascii="宋体" w:hAnsi="宋体" w:cs="宋体"/>
          <w:szCs w:val="21"/>
        </w:rPr>
        <w:t>中标</w:t>
      </w:r>
      <w:r>
        <w:rPr>
          <w:rFonts w:hint="eastAsia" w:ascii="宋体" w:hAnsi="宋体" w:cs="Arial"/>
          <w:kern w:val="0"/>
          <w:szCs w:val="21"/>
        </w:rPr>
        <w:t>企业提出任何不合理的要求及私下订立背离合同实质性内容的协议作为签订合同的条件。招标文件、</w:t>
      </w:r>
      <w:r>
        <w:rPr>
          <w:rFonts w:hint="eastAsia" w:ascii="宋体" w:hAnsi="宋体" w:cs="宋体"/>
          <w:szCs w:val="21"/>
        </w:rPr>
        <w:t>中标</w:t>
      </w:r>
      <w:r>
        <w:rPr>
          <w:rFonts w:hint="eastAsia" w:ascii="宋体" w:hAnsi="宋体" w:cs="Arial"/>
          <w:kern w:val="0"/>
          <w:szCs w:val="21"/>
        </w:rPr>
        <w:t>企业的投标文件及评标过程中有关澄清等文件作为合同附件。</w:t>
      </w:r>
    </w:p>
    <w:p>
      <w:pPr>
        <w:widowControl/>
        <w:shd w:val="clear" w:color="auto" w:fill="FFFFFF"/>
        <w:snapToGrid w:val="0"/>
        <w:spacing w:line="360" w:lineRule="auto"/>
        <w:ind w:firstLine="420" w:firstLineChars="200"/>
        <w:rPr>
          <w:rFonts w:ascii="宋体" w:hAnsi="宋体" w:cs="Arial"/>
          <w:kern w:val="0"/>
          <w:szCs w:val="21"/>
        </w:rPr>
      </w:pPr>
      <w:r>
        <w:rPr>
          <w:rFonts w:hint="eastAsia" w:ascii="宋体" w:hAnsi="宋体" w:cs="Arial"/>
          <w:kern w:val="0"/>
          <w:szCs w:val="21"/>
        </w:rPr>
        <w:t>7.5.2</w:t>
      </w:r>
      <w:r>
        <w:rPr>
          <w:rFonts w:hint="eastAsia" w:ascii="宋体" w:hAnsi="宋体" w:cs="宋体"/>
          <w:szCs w:val="21"/>
        </w:rPr>
        <w:t>中标</w:t>
      </w:r>
      <w:r>
        <w:rPr>
          <w:rFonts w:hint="eastAsia" w:ascii="宋体" w:hAnsi="宋体" w:cs="Arial"/>
          <w:kern w:val="0"/>
          <w:szCs w:val="21"/>
        </w:rPr>
        <w:t>企业因不可抗力或自身原因不能签订协议合同或者不能履行合同的，采购人可以按成交候选顺序确定新的</w:t>
      </w:r>
      <w:r>
        <w:rPr>
          <w:rFonts w:hint="eastAsia" w:ascii="宋体" w:hAnsi="宋体" w:cs="宋体"/>
          <w:szCs w:val="21"/>
        </w:rPr>
        <w:t>中标</w:t>
      </w:r>
      <w:r>
        <w:rPr>
          <w:rFonts w:hint="eastAsia" w:ascii="宋体" w:hAnsi="宋体" w:cs="Arial"/>
          <w:kern w:val="0"/>
          <w:szCs w:val="21"/>
        </w:rPr>
        <w:t>供应企业并签订合同，依次类推，或重新进行采购。</w:t>
      </w:r>
    </w:p>
    <w:p>
      <w:pPr>
        <w:spacing w:line="360" w:lineRule="auto"/>
        <w:rPr>
          <w:rFonts w:ascii="宋体" w:hAnsi="宋体" w:cs="宋体"/>
          <w:szCs w:val="21"/>
        </w:rPr>
      </w:pPr>
    </w:p>
    <w:p>
      <w:pPr>
        <w:widowControl/>
        <w:shd w:val="clear" w:color="auto" w:fill="FFFFFF"/>
        <w:snapToGrid w:val="0"/>
        <w:spacing w:line="360" w:lineRule="auto"/>
        <w:ind w:firstLine="422" w:firstLineChars="200"/>
        <w:rPr>
          <w:rFonts w:ascii="宋体" w:hAnsi="宋体" w:cs="宋体"/>
          <w:b/>
          <w:szCs w:val="21"/>
        </w:rPr>
      </w:pPr>
      <w:bookmarkStart w:id="30" w:name="_BookMark_12"/>
      <w:bookmarkEnd w:id="30"/>
    </w:p>
    <w:p>
      <w:pPr>
        <w:rPr>
          <w:rFonts w:ascii="宋体" w:hAnsi="宋体" w:cs="宋体"/>
          <w:b/>
          <w:szCs w:val="21"/>
        </w:rPr>
      </w:pPr>
      <w:r>
        <w:rPr>
          <w:rFonts w:hint="eastAsia" w:ascii="宋体" w:hAnsi="宋体" w:cs="宋体"/>
          <w:b/>
          <w:szCs w:val="21"/>
        </w:rPr>
        <w:br w:type="page"/>
      </w:r>
    </w:p>
    <w:p>
      <w:pPr>
        <w:tabs>
          <w:tab w:val="center" w:pos="4832"/>
          <w:tab w:val="left" w:pos="7140"/>
        </w:tabs>
        <w:spacing w:line="360" w:lineRule="auto"/>
        <w:jc w:val="center"/>
        <w:outlineLvl w:val="1"/>
        <w:rPr>
          <w:rFonts w:ascii="宋体" w:hAnsi="宋体" w:cs="宋体"/>
          <w:b/>
          <w:szCs w:val="21"/>
        </w:rPr>
      </w:pPr>
      <w:bookmarkStart w:id="31" w:name="_Toc26112"/>
      <w:r>
        <w:rPr>
          <w:rFonts w:hint="eastAsia" w:ascii="宋体" w:hAnsi="宋体" w:cs="宋体"/>
          <w:b/>
          <w:szCs w:val="21"/>
        </w:rPr>
        <w:t>第八节 合同条款及格式</w:t>
      </w:r>
      <w:bookmarkEnd w:id="31"/>
    </w:p>
    <w:p>
      <w:pPr>
        <w:widowControl/>
        <w:spacing w:before="240" w:line="360" w:lineRule="auto"/>
        <w:jc w:val="center"/>
        <w:rPr>
          <w:rFonts w:ascii="宋体" w:hAnsi="宋体" w:cs="楷体_GB2312"/>
          <w:b/>
          <w:bCs/>
          <w:kern w:val="0"/>
          <w:szCs w:val="21"/>
        </w:rPr>
      </w:pPr>
    </w:p>
    <w:p>
      <w:pPr>
        <w:widowControl/>
        <w:spacing w:before="240" w:line="360" w:lineRule="auto"/>
        <w:jc w:val="center"/>
        <w:rPr>
          <w:rFonts w:ascii="宋体" w:hAnsi="宋体" w:cs="楷体_GB2312"/>
          <w:b/>
          <w:bCs/>
          <w:kern w:val="0"/>
          <w:szCs w:val="21"/>
        </w:rPr>
      </w:pPr>
    </w:p>
    <w:p>
      <w:pPr>
        <w:widowControl/>
        <w:spacing w:before="240" w:line="360" w:lineRule="auto"/>
        <w:jc w:val="center"/>
        <w:rPr>
          <w:rFonts w:ascii="宋体" w:hAnsi="宋体" w:cs="楷体_GB2312"/>
          <w:b/>
          <w:bCs/>
          <w:kern w:val="0"/>
          <w:sz w:val="36"/>
          <w:szCs w:val="36"/>
        </w:rPr>
      </w:pPr>
      <w:r>
        <w:rPr>
          <w:rFonts w:hint="eastAsia" w:ascii="宋体" w:hAnsi="宋体" w:cs="楷体_GB2312"/>
          <w:b/>
          <w:bCs/>
          <w:kern w:val="0"/>
          <w:sz w:val="36"/>
          <w:szCs w:val="36"/>
        </w:rPr>
        <w:t>采购合同</w:t>
      </w:r>
    </w:p>
    <w:p>
      <w:pPr>
        <w:pStyle w:val="8"/>
        <w:numPr>
          <w:ilvl w:val="0"/>
          <w:numId w:val="0"/>
        </w:numPr>
        <w:rPr>
          <w:rFonts w:ascii="宋体" w:hAnsi="宋体" w:eastAsia="宋体"/>
          <w:sz w:val="21"/>
          <w:szCs w:val="21"/>
        </w:rPr>
      </w:pPr>
    </w:p>
    <w:p>
      <w:pPr>
        <w:pStyle w:val="8"/>
        <w:numPr>
          <w:ilvl w:val="0"/>
          <w:numId w:val="0"/>
        </w:numPr>
        <w:jc w:val="center"/>
        <w:rPr>
          <w:rFonts w:ascii="宋体" w:hAnsi="宋体" w:eastAsia="宋体" w:cs="宋体"/>
          <w:kern w:val="0"/>
          <w:sz w:val="21"/>
          <w:szCs w:val="21"/>
        </w:rPr>
      </w:pPr>
    </w:p>
    <w:p>
      <w:pPr>
        <w:pStyle w:val="8"/>
        <w:numPr>
          <w:ilvl w:val="0"/>
          <w:numId w:val="0"/>
        </w:numPr>
        <w:jc w:val="center"/>
        <w:rPr>
          <w:rFonts w:ascii="宋体" w:hAnsi="宋体" w:eastAsia="宋体" w:cs="宋体"/>
          <w:kern w:val="0"/>
          <w:sz w:val="21"/>
          <w:szCs w:val="21"/>
        </w:rPr>
      </w:pPr>
      <w:r>
        <w:rPr>
          <w:rFonts w:hint="eastAsia" w:ascii="宋体" w:hAnsi="宋体" w:eastAsia="宋体" w:cs="宋体"/>
          <w:kern w:val="0"/>
          <w:sz w:val="21"/>
          <w:szCs w:val="21"/>
        </w:rPr>
        <w:t>2023年中央动物防疫补助等（第二批资金）经费项目（一标段牛羊口蹄疫疫苗）</w:t>
      </w:r>
    </w:p>
    <w:p>
      <w:pPr>
        <w:pStyle w:val="8"/>
        <w:numPr>
          <w:ilvl w:val="0"/>
          <w:numId w:val="0"/>
        </w:numPr>
        <w:rPr>
          <w:rFonts w:ascii="宋体" w:hAnsi="宋体" w:eastAsia="宋体" w:cs="Arial"/>
          <w:kern w:val="0"/>
          <w:sz w:val="21"/>
          <w:szCs w:val="21"/>
        </w:rPr>
      </w:pPr>
    </w:p>
    <w:p>
      <w:pPr>
        <w:widowControl/>
        <w:spacing w:line="360" w:lineRule="auto"/>
        <w:jc w:val="left"/>
        <w:rPr>
          <w:rFonts w:ascii="宋体" w:hAnsi="宋体" w:cs="宋体"/>
          <w:kern w:val="0"/>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ind w:firstLine="1680" w:firstLineChars="800"/>
        <w:rPr>
          <w:rFonts w:ascii="宋体" w:hAnsi="宋体" w:eastAsia="宋体" w:cs="宋体"/>
          <w:kern w:val="0"/>
          <w:sz w:val="21"/>
          <w:szCs w:val="21"/>
        </w:rPr>
      </w:pPr>
    </w:p>
    <w:p>
      <w:pPr>
        <w:widowControl/>
        <w:spacing w:line="360" w:lineRule="auto"/>
        <w:ind w:firstLine="1680" w:firstLineChars="800"/>
        <w:jc w:val="left"/>
        <w:rPr>
          <w:rFonts w:ascii="宋体" w:hAnsi="宋体" w:cs="宋体"/>
          <w:kern w:val="0"/>
          <w:szCs w:val="21"/>
          <w:u w:val="single"/>
        </w:rPr>
      </w:pPr>
      <w:r>
        <w:rPr>
          <w:rFonts w:hint="eastAsia" w:ascii="宋体" w:hAnsi="宋体" w:cs="宋体"/>
          <w:kern w:val="0"/>
          <w:szCs w:val="21"/>
        </w:rPr>
        <w:t>采购方：</w:t>
      </w:r>
      <w:r>
        <w:rPr>
          <w:rFonts w:hint="eastAsia" w:ascii="宋体" w:hAnsi="宋体" w:cs="宋体"/>
          <w:kern w:val="0"/>
          <w:szCs w:val="21"/>
          <w:u w:val="single"/>
        </w:rPr>
        <w:t>伊犁哈萨克自治州动物疾病控制与诊断中心</w:t>
      </w:r>
      <w:r>
        <w:rPr>
          <w:rFonts w:hint="eastAsia" w:ascii="宋体" w:hAnsi="宋体" w:cs="宋体"/>
          <w:kern w:val="0"/>
          <w:szCs w:val="21"/>
        </w:rPr>
        <w:t xml:space="preserve">（以下简称甲方） </w:t>
      </w:r>
    </w:p>
    <w:p>
      <w:pPr>
        <w:widowControl/>
        <w:spacing w:line="360" w:lineRule="auto"/>
        <w:ind w:firstLine="1680" w:firstLineChars="800"/>
        <w:jc w:val="left"/>
        <w:rPr>
          <w:rFonts w:ascii="宋体" w:hAnsi="宋体" w:cs="宋体"/>
          <w:kern w:val="0"/>
          <w:szCs w:val="21"/>
        </w:rPr>
      </w:pPr>
      <w:r>
        <w:rPr>
          <w:rFonts w:hint="eastAsia" w:ascii="宋体" w:hAnsi="宋体" w:cs="宋体"/>
          <w:kern w:val="0"/>
          <w:szCs w:val="21"/>
        </w:rPr>
        <w:t>联系电话：</w:t>
      </w:r>
      <w:r>
        <w:rPr>
          <w:rFonts w:hint="eastAsia" w:ascii="宋体" w:hAnsi="宋体" w:cs="宋体"/>
          <w:kern w:val="0"/>
          <w:szCs w:val="21"/>
          <w:u w:val="single"/>
        </w:rPr>
        <w:t xml:space="preserve">13369995355                 </w:t>
      </w:r>
      <w:r>
        <w:rPr>
          <w:rFonts w:hint="eastAsia" w:ascii="宋体" w:hAnsi="宋体" w:cs="宋体"/>
          <w:kern w:val="0"/>
          <w:szCs w:val="21"/>
        </w:rPr>
        <w:t xml:space="preserve">   </w:t>
      </w:r>
    </w:p>
    <w:p>
      <w:pPr>
        <w:pStyle w:val="8"/>
        <w:numPr>
          <w:ilvl w:val="0"/>
          <w:numId w:val="0"/>
        </w:numPr>
        <w:spacing w:line="360" w:lineRule="auto"/>
        <w:ind w:firstLine="1680" w:firstLineChars="800"/>
        <w:rPr>
          <w:rFonts w:ascii="宋体" w:hAnsi="宋体" w:eastAsia="宋体" w:cs="宋体"/>
          <w:kern w:val="0"/>
          <w:sz w:val="21"/>
          <w:szCs w:val="21"/>
        </w:rPr>
      </w:pPr>
    </w:p>
    <w:p>
      <w:pPr>
        <w:pStyle w:val="8"/>
        <w:numPr>
          <w:ilvl w:val="0"/>
          <w:numId w:val="0"/>
        </w:numPr>
        <w:spacing w:line="360" w:lineRule="auto"/>
        <w:ind w:firstLine="1680" w:firstLineChars="800"/>
        <w:rPr>
          <w:rFonts w:ascii="宋体" w:hAnsi="宋体" w:eastAsia="宋体" w:cs="宋体"/>
          <w:kern w:val="0"/>
          <w:sz w:val="21"/>
          <w:szCs w:val="21"/>
          <w:u w:val="single"/>
        </w:rPr>
      </w:pPr>
      <w:r>
        <w:rPr>
          <w:rFonts w:hint="eastAsia" w:ascii="宋体" w:hAnsi="宋体" w:eastAsia="宋体" w:cs="宋体"/>
          <w:kern w:val="0"/>
          <w:sz w:val="21"/>
          <w:szCs w:val="21"/>
        </w:rPr>
        <w:t>供货方：</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（以下简称乙方） </w:t>
      </w:r>
    </w:p>
    <w:p>
      <w:pPr>
        <w:pStyle w:val="8"/>
        <w:numPr>
          <w:ilvl w:val="0"/>
          <w:numId w:val="0"/>
        </w:numPr>
        <w:spacing w:line="360" w:lineRule="auto"/>
        <w:ind w:firstLine="1680" w:firstLineChars="800"/>
        <w:rPr>
          <w:rFonts w:ascii="宋体" w:hAnsi="宋体" w:eastAsia="宋体"/>
          <w:sz w:val="21"/>
          <w:szCs w:val="21"/>
        </w:rPr>
      </w:pPr>
      <w:r>
        <w:rPr>
          <w:rFonts w:hint="eastAsia" w:ascii="宋体" w:hAnsi="宋体" w:eastAsia="宋体" w:cs="宋体"/>
          <w:kern w:val="0"/>
          <w:sz w:val="21"/>
          <w:szCs w:val="21"/>
        </w:rPr>
        <w:t>联系电话：</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 xml:space="preserve"> </w:t>
      </w:r>
    </w:p>
    <w:p>
      <w:pPr>
        <w:pStyle w:val="8"/>
        <w:numPr>
          <w:ilvl w:val="0"/>
          <w:numId w:val="0"/>
        </w:numPr>
        <w:spacing w:line="360" w:lineRule="auto"/>
        <w:ind w:firstLine="1680" w:firstLineChars="800"/>
        <w:rPr>
          <w:rFonts w:ascii="宋体" w:hAnsi="宋体" w:eastAsia="宋体" w:cs="宋体"/>
          <w:kern w:val="0"/>
          <w:sz w:val="21"/>
          <w:szCs w:val="21"/>
        </w:rPr>
      </w:pPr>
    </w:p>
    <w:p>
      <w:pPr>
        <w:pStyle w:val="8"/>
        <w:numPr>
          <w:ilvl w:val="0"/>
          <w:numId w:val="0"/>
        </w:numPr>
        <w:spacing w:line="360" w:lineRule="auto"/>
        <w:ind w:firstLine="1680" w:firstLineChars="800"/>
        <w:rPr>
          <w:rFonts w:ascii="宋体" w:hAnsi="宋体" w:eastAsia="宋体" w:cs="宋体"/>
          <w:kern w:val="0"/>
          <w:sz w:val="21"/>
          <w:szCs w:val="21"/>
        </w:rPr>
      </w:pPr>
      <w:r>
        <w:rPr>
          <w:rFonts w:hint="eastAsia" w:ascii="宋体" w:hAnsi="宋体" w:eastAsia="宋体" w:cs="宋体"/>
          <w:kern w:val="0"/>
          <w:sz w:val="21"/>
          <w:szCs w:val="21"/>
        </w:rPr>
        <w:t>项目标段号：</w:t>
      </w:r>
      <w:r>
        <w:rPr>
          <w:rFonts w:hint="eastAsia" w:ascii="宋体" w:hAnsi="宋体" w:eastAsia="宋体" w:cs="宋体"/>
          <w:kern w:val="0"/>
          <w:sz w:val="21"/>
          <w:szCs w:val="21"/>
          <w:u w:val="single"/>
        </w:rPr>
        <w:t xml:space="preserve">                            </w:t>
      </w:r>
    </w:p>
    <w:p>
      <w:pPr>
        <w:pStyle w:val="8"/>
        <w:numPr>
          <w:ilvl w:val="0"/>
          <w:numId w:val="0"/>
        </w:numPr>
        <w:spacing w:line="360" w:lineRule="auto"/>
        <w:ind w:firstLine="1680" w:firstLineChars="800"/>
        <w:rPr>
          <w:rFonts w:ascii="宋体" w:hAnsi="宋体" w:eastAsia="宋体" w:cs="宋体"/>
          <w:sz w:val="21"/>
          <w:szCs w:val="21"/>
        </w:rPr>
      </w:pPr>
      <w:r>
        <w:rPr>
          <w:rFonts w:hint="eastAsia" w:ascii="宋体" w:hAnsi="宋体" w:eastAsia="宋体" w:cs="宋体"/>
          <w:kern w:val="0"/>
          <w:sz w:val="21"/>
          <w:szCs w:val="21"/>
        </w:rPr>
        <w:t>项目编号：</w:t>
      </w:r>
      <w:r>
        <w:rPr>
          <w:rFonts w:hint="eastAsia" w:ascii="宋体" w:hAnsi="宋体" w:eastAsia="宋体" w:cs="宋体"/>
          <w:kern w:val="0"/>
          <w:sz w:val="21"/>
          <w:szCs w:val="21"/>
          <w:u w:val="single"/>
        </w:rPr>
        <w:t xml:space="preserve">                              </w:t>
      </w:r>
    </w:p>
    <w:p>
      <w:pPr>
        <w:widowControl/>
        <w:spacing w:line="360" w:lineRule="auto"/>
        <w:ind w:firstLine="1680" w:firstLineChars="800"/>
        <w:rPr>
          <w:rFonts w:ascii="宋体" w:hAnsi="宋体" w:cs="宋体"/>
          <w:kern w:val="0"/>
          <w:szCs w:val="21"/>
        </w:rPr>
      </w:pPr>
      <w:r>
        <w:rPr>
          <w:rFonts w:hint="eastAsia" w:ascii="宋体" w:hAnsi="宋体" w:cs="宋体"/>
          <w:kern w:val="0"/>
          <w:szCs w:val="21"/>
        </w:rPr>
        <w:t>签订日期：</w:t>
      </w:r>
      <w:r>
        <w:rPr>
          <w:rFonts w:hint="eastAsia" w:ascii="宋体" w:hAnsi="宋体" w:cs="宋体"/>
          <w:kern w:val="0"/>
          <w:szCs w:val="21"/>
          <w:u w:val="single"/>
        </w:rPr>
        <w:t xml:space="preserve">                              </w:t>
      </w: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0"/>
        </w:numPr>
        <w:rPr>
          <w:rFonts w:ascii="宋体" w:hAnsi="宋体" w:eastAsia="宋体" w:cs="宋体"/>
          <w:kern w:val="0"/>
          <w:sz w:val="21"/>
          <w:szCs w:val="21"/>
        </w:rPr>
      </w:pPr>
    </w:p>
    <w:p>
      <w:pPr>
        <w:pStyle w:val="8"/>
        <w:numPr>
          <w:ilvl w:val="0"/>
          <w:numId w:val="4"/>
        </w:numPr>
        <w:jc w:val="center"/>
        <w:rPr>
          <w:rFonts w:ascii="宋体" w:hAnsi="宋体" w:eastAsia="宋体" w:cs="宋体"/>
          <w:b/>
          <w:bCs/>
          <w:kern w:val="0"/>
          <w:sz w:val="21"/>
          <w:szCs w:val="21"/>
        </w:rPr>
      </w:pPr>
      <w:r>
        <w:rPr>
          <w:rFonts w:hint="eastAsia" w:ascii="宋体" w:hAnsi="宋体" w:eastAsia="宋体" w:cs="宋体"/>
          <w:b/>
          <w:bCs/>
          <w:kern w:val="0"/>
          <w:sz w:val="21"/>
          <w:szCs w:val="21"/>
        </w:rPr>
        <w:t xml:space="preserve"> 通用条款</w:t>
      </w:r>
    </w:p>
    <w:p>
      <w:pPr>
        <w:pStyle w:val="8"/>
        <w:numPr>
          <w:ilvl w:val="0"/>
          <w:numId w:val="0"/>
        </w:numPr>
        <w:ind w:left="360"/>
        <w:rPr>
          <w:rFonts w:ascii="宋体" w:hAnsi="宋体" w:eastAsia="宋体" w:cs="宋体"/>
          <w:kern w:val="0"/>
          <w:sz w:val="21"/>
          <w:szCs w:val="21"/>
        </w:rPr>
      </w:pPr>
    </w:p>
    <w:p>
      <w:pPr>
        <w:pStyle w:val="8"/>
        <w:numPr>
          <w:ilvl w:val="0"/>
          <w:numId w:val="0"/>
        </w:numPr>
        <w:ind w:left="360"/>
        <w:rPr>
          <w:rFonts w:ascii="宋体" w:hAnsi="宋体" w:eastAsia="宋体" w:cs="宋体"/>
          <w:kern w:val="0"/>
          <w:sz w:val="21"/>
          <w:szCs w:val="21"/>
        </w:rPr>
      </w:pPr>
    </w:p>
    <w:p>
      <w:pPr>
        <w:widowControl/>
        <w:spacing w:line="360" w:lineRule="auto"/>
        <w:ind w:firstLine="420" w:firstLineChars="200"/>
        <w:rPr>
          <w:rFonts w:ascii="宋体" w:hAnsi="宋体" w:cs="宋体"/>
          <w:kern w:val="0"/>
          <w:szCs w:val="21"/>
        </w:rPr>
      </w:pPr>
      <w:r>
        <w:rPr>
          <w:rFonts w:hint="eastAsia" w:ascii="宋体" w:hAnsi="宋体" w:cs="宋体"/>
          <w:kern w:val="0"/>
          <w:szCs w:val="21"/>
        </w:rPr>
        <w:t>甲乙双方根据《中华人民共和国政府采购法》、《中华人民共和国民法典》、《中华人民共和国兽用生物制品生产规程》《中华人民共和国兽用生物制品质量标准》及颁布的相应产品质量标准等法律及有关法规的规定，乙方对本次招标文件及其全部相关文件文本通过详细阅读已对有关要求完全了解。为依法完成本项目，甲、乙双方在友好协商、公平、自愿的基础上，就本项目相关事宜达成一致，并签署订立本协议，内容如下：</w:t>
      </w:r>
    </w:p>
    <w:p>
      <w:pPr>
        <w:widowControl/>
        <w:spacing w:line="360" w:lineRule="auto"/>
        <w:ind w:firstLine="422" w:firstLineChars="200"/>
        <w:rPr>
          <w:rFonts w:ascii="宋体" w:hAnsi="宋体" w:cs="宋体"/>
          <w:kern w:val="0"/>
          <w:szCs w:val="21"/>
        </w:rPr>
      </w:pPr>
      <w:r>
        <w:rPr>
          <w:rFonts w:hint="eastAsia" w:ascii="宋体" w:hAnsi="宋体" w:cs="宋体"/>
          <w:b/>
          <w:bCs/>
          <w:kern w:val="0"/>
          <w:szCs w:val="21"/>
        </w:rPr>
        <w:t>一、甲方的权利和义务</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1.甲方组织本次采购活动，应当符合采购价格低于市场平均价格、采购效率更高、采购质量优良和服务良好的要求。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2.甲方就本项目的任何或全部事项相关的活动或行为，均应当严格遵循公开透明原则、公平竞争原则、公正原则和诚实信用原则。</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3.甲方（及其代表的采购单位）有权根据实际使用需要及乙方在投标文件中的承诺，确定最终采购的产品、配置、数量和相关服务的内容。</w:t>
      </w:r>
    </w:p>
    <w:p>
      <w:pPr>
        <w:pStyle w:val="8"/>
        <w:numPr>
          <w:ilvl w:val="0"/>
          <w:numId w:val="0"/>
        </w:numPr>
        <w:spacing w:line="360" w:lineRule="auto"/>
        <w:ind w:firstLine="420" w:firstLineChars="200"/>
        <w:rPr>
          <w:rFonts w:ascii="宋体" w:hAnsi="宋体" w:eastAsia="宋体" w:cs="宋体"/>
          <w:sz w:val="21"/>
          <w:szCs w:val="21"/>
        </w:rPr>
      </w:pPr>
      <w:r>
        <w:rPr>
          <w:rFonts w:hint="eastAsia" w:ascii="宋体" w:hAnsi="宋体" w:eastAsia="宋体" w:cs="宋体"/>
          <w:kern w:val="0"/>
          <w:sz w:val="21"/>
          <w:szCs w:val="21"/>
        </w:rPr>
        <w:t>4.甲方有权按照本项目招标文件以及供货合同和本协议等文本对乙方的履约行为进行监督和检查，并要求其提供相关信息和资料。如发现乙方违反招标文件或本协议或供货合同的有关规定或承诺，甲方有权追究乙方的违约责任，暂停或取消乙方的供货资格，情节严重的，有权通过有关媒体予以公告或其他形式的披露，并列入政府采购不良乙方名单。</w:t>
      </w:r>
    </w:p>
    <w:p>
      <w:pPr>
        <w:widowControl/>
        <w:spacing w:line="360" w:lineRule="auto"/>
        <w:ind w:firstLine="422" w:firstLineChars="200"/>
        <w:rPr>
          <w:rFonts w:ascii="宋体" w:hAnsi="宋体" w:cs="宋体"/>
          <w:b/>
          <w:bCs/>
          <w:kern w:val="0"/>
          <w:szCs w:val="21"/>
        </w:rPr>
      </w:pPr>
      <w:r>
        <w:rPr>
          <w:rFonts w:hint="eastAsia" w:ascii="宋体" w:hAnsi="宋体" w:cs="宋体"/>
          <w:b/>
          <w:bCs/>
          <w:kern w:val="0"/>
          <w:szCs w:val="21"/>
        </w:rPr>
        <w:t>二、乙方的权利和义务</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1. 乙方在通过本次2023年中央动物防疫补助等（第二批资金）经费项目（一标段牛羊口蹄疫疫苗）评审后，取得为伊犁哈萨克自治州动物疾病控制与诊断中心提供成交产品的有效资格。</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2. 乙方应按照本项目招标文件的要求销售本项目成交产品。乙方确保产品质量合格、所投产品批准文号合法有效并保证承担与此相关的法律后果（除本协议其他款项特别约定外，乙方在本条款下承担的赔偿责任限于采购单位的直接损失）。甲方及采购单位有权要求乙方承担法律及招标文件规定、投标文件承诺和供货合同约定的相关责任。</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3. 乙方提供的投标货物应皆为符合国家标准和招标文件要求的正品合格产品，乙方承诺为各采购单位和最终使用用户（以下简称采购单位）提供符合或高于国家标准和招标文件全部要求的服务，及在乙方中国总部对外公众网站上和公司所利用的其他媒体上承诺的标准配置和服务。乙方应接受采购单位提出的电话咨询、订货及送货上门要求。</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4.乙方应保证依据招标文件要求和乙方投标文件的承诺，及时向甲方提供高质量的中标产品和服务、成交价格不高于中标价格，且不在《供货合同》内容之外提出任何附加条款，若实际存在任何该等附加或额外条款，无论签署的情形如何，除非经甲方书面认可，均应当被视为是无效的。  </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5.乙方应保证依据招标文件要求和乙方投标文件的承诺，及时向采购单位提供高质量的中标产品和服务，且不在《供货合同》内容之外提出任何附加条款，若实际存在任何该等附加或额外条款，无论签署的情形如何，除非经甲方书面认可，均应当被视为是无效的。</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6.当采购单位投诉协议供货产品存在质量问题时，乙方承诺按照本协议及招标文件、供货合同中相关的规定、约定处理；对原料、设计、工艺等导致普遍性质量问题的情形，除按照本协议及招标文件、供货合同中相关的规定、约定处理外，还应当按照惯例适用召回制度；对于被有权机关（含质检机关）证实产品存在非常规违法、违规方面的问题（包含但不限于伪造品/假货/返修品/走私产品），乙方承诺会按照受采购单位投诉的产品的合同金额无条件先行双倍赔付后，再根据具体情况由乙方履行供货合同约定的赔偿。在上述任何情形下，若乙方不认同采购单位投诉的问题或双方无法就是否存在产品问题以及问题类型达成一致书面意见的，乙方在此承诺同意将产品送至指定的第三方机构进行检验并承担由此发生的送检费用。</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7.乙方特别承诺提供的中标产品的供货价格均低于新疆地区同类型招标项目供货价及结算价、优惠价。</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8.乙方知道甲方将自行或委托第三方对乙方定期或不定期地进行协议供货产品行情调查、调研和执行情况检查，并据此监测协议供货产品的供货价格，乙方须保证按规定提供相关资料；若发现采购单位实际成交价高于乙方的协议供货价或不满足招标文件规定和投标时的承诺时，乙方应当在甲方规定期限内将价格降低到采购单位实际成交价以下并满足招标文件规定和投标时的承诺（甲方有权按照采购单位所能有效证明的实际成交的价格先行调低协议供货最高限价，乙方会2日内调查并做出能够为甲方所接受的合理解释，在此之前，乙方将先行按照此较低价格持续供货，否则将被暂停供货资格，直至能够提供充分证据证明并做出能够为甲方所接受的合理解释后再行恢复）。若采购单位要求，供货合同实际履行方需退还此时至近一次乙方申报价格无变更期间所实际多收的款项，则乙方必须在3日内退还多收的款项。否则甲方将暂停乙方的供货资格，直至取消乙方协议供货资格，但同时并不应当减免供货合同实际履行方应退还多收款项的责任。甲方对乙方的处理结果将在有关媒体上予以公告。  </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9.乙方在供货时遵从甲方关于本项目的采购程序，按中标合同文本规定内容及招标文件规定的方式与各采购单位签订合同，妥善保管该合同，保证不会将合同及/或其中的权利、义务转让，保证不会转包、分包。</w:t>
      </w:r>
    </w:p>
    <w:p>
      <w:pPr>
        <w:widowControl/>
        <w:spacing w:line="360" w:lineRule="auto"/>
        <w:ind w:firstLine="420" w:firstLineChars="200"/>
        <w:rPr>
          <w:rFonts w:ascii="宋体" w:hAnsi="宋体" w:cs="宋体"/>
          <w:b/>
          <w:bCs/>
          <w:kern w:val="0"/>
          <w:szCs w:val="21"/>
        </w:rPr>
      </w:pPr>
      <w:r>
        <w:rPr>
          <w:rFonts w:hint="eastAsia" w:ascii="宋体" w:hAnsi="宋体" w:cs="宋体"/>
          <w:kern w:val="0"/>
          <w:szCs w:val="21"/>
        </w:rPr>
        <w:t xml:space="preserve">10.乙方承诺：对本协议、本项目招标文件、投标文件、相关合同的任何内容的违反，或提供虚假资料、信息等，均构成违约；对任何违约，乙方将无条件地承担违约责任，向甲方支付违约金人民币壹佰万元。 </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 xml:space="preserve">11.乙方承诺：甲方已充分提示及要求乙方，乙方亦已经保证：乙方在本项目项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  </w:t>
      </w:r>
    </w:p>
    <w:p>
      <w:pPr>
        <w:widowControl/>
        <w:spacing w:line="360" w:lineRule="auto"/>
        <w:ind w:firstLine="420" w:firstLineChars="200"/>
        <w:rPr>
          <w:rFonts w:ascii="宋体" w:hAnsi="宋体" w:cs="宋体"/>
          <w:kern w:val="0"/>
          <w:szCs w:val="21"/>
        </w:rPr>
      </w:pPr>
      <w:r>
        <w:rPr>
          <w:rFonts w:hint="eastAsia" w:ascii="宋体" w:hAnsi="宋体" w:cs="宋体"/>
          <w:kern w:val="0"/>
          <w:szCs w:val="21"/>
        </w:rPr>
        <w:t>12.乙方同意本协议适用于2023年中央动物防疫补助等（第二批资金）经费项目（一标段牛羊口蹄疫疫苗）提供中标产品的有效资格， 以及甲方指定的共享本次协议供货招标结果的其他单位</w:t>
      </w:r>
      <w:r>
        <w:rPr>
          <w:rFonts w:hint="eastAsia" w:ascii="宋体" w:hAnsi="宋体" w:cs="宋体"/>
          <w:szCs w:val="21"/>
        </w:rPr>
        <w:t>。</w:t>
      </w:r>
      <w:r>
        <w:rPr>
          <w:rFonts w:hint="eastAsia" w:ascii="宋体" w:hAnsi="宋体" w:cs="宋体"/>
          <w:kern w:val="0"/>
          <w:szCs w:val="21"/>
        </w:rPr>
        <w:t> </w:t>
      </w:r>
    </w:p>
    <w:p>
      <w:pPr>
        <w:widowControl/>
        <w:spacing w:line="360" w:lineRule="auto"/>
        <w:ind w:firstLine="420" w:firstLineChars="200"/>
        <w:rPr>
          <w:rFonts w:ascii="宋体" w:hAnsi="宋体" w:cs="宋体"/>
          <w:szCs w:val="21"/>
        </w:rPr>
      </w:pPr>
      <w:r>
        <w:rPr>
          <w:rFonts w:hint="eastAsia" w:ascii="宋体" w:hAnsi="宋体" w:cs="宋体"/>
          <w:kern w:val="0"/>
          <w:szCs w:val="21"/>
        </w:rPr>
        <w:t>13.本协议有效期间，乙方经行业主管部门授予的资格（质）如发生变更，或机构变更、相关人员变动、歇业、停产、转产等状况，应在2个工作日内通知甲方。</w:t>
      </w:r>
    </w:p>
    <w:p>
      <w:pPr>
        <w:pStyle w:val="11"/>
        <w:spacing w:line="360" w:lineRule="auto"/>
        <w:rPr>
          <w:rFonts w:cs="宋体"/>
          <w:kern w:val="0"/>
          <w:szCs w:val="21"/>
        </w:rPr>
      </w:pPr>
    </w:p>
    <w:p>
      <w:pPr>
        <w:rPr>
          <w:rFonts w:ascii="宋体" w:hAnsi="宋体"/>
          <w:b/>
          <w:bCs/>
          <w:szCs w:val="21"/>
        </w:rPr>
      </w:pPr>
    </w:p>
    <w:p>
      <w:pPr>
        <w:rPr>
          <w:rFonts w:ascii="宋体" w:hAnsi="宋体"/>
          <w:b/>
          <w:bCs/>
          <w:szCs w:val="21"/>
        </w:rPr>
      </w:pPr>
      <w:r>
        <w:rPr>
          <w:rFonts w:hint="eastAsia" w:ascii="宋体" w:hAnsi="宋体"/>
          <w:b/>
          <w:bCs/>
          <w:szCs w:val="21"/>
        </w:rPr>
        <w:br w:type="page"/>
      </w:r>
    </w:p>
    <w:p>
      <w:pPr>
        <w:spacing w:line="240" w:lineRule="exact"/>
        <w:jc w:val="center"/>
        <w:rPr>
          <w:rFonts w:ascii="宋体" w:hAnsi="宋体"/>
          <w:b/>
          <w:bCs/>
          <w:szCs w:val="21"/>
        </w:rPr>
      </w:pPr>
    </w:p>
    <w:p>
      <w:pPr>
        <w:spacing w:line="240" w:lineRule="exact"/>
        <w:jc w:val="center"/>
        <w:rPr>
          <w:rFonts w:ascii="宋体" w:hAnsi="宋体"/>
          <w:b/>
          <w:bCs/>
          <w:szCs w:val="21"/>
        </w:rPr>
      </w:pPr>
      <w:r>
        <w:rPr>
          <w:rFonts w:hint="eastAsia" w:ascii="宋体" w:hAnsi="宋体"/>
          <w:b/>
          <w:bCs/>
          <w:szCs w:val="21"/>
        </w:rPr>
        <w:t>第二部分  专用条款</w:t>
      </w:r>
    </w:p>
    <w:p>
      <w:pPr>
        <w:widowControl/>
        <w:spacing w:line="360" w:lineRule="auto"/>
        <w:jc w:val="left"/>
        <w:rPr>
          <w:rFonts w:ascii="宋体" w:hAnsi="宋体" w:cs="宋体"/>
          <w:kern w:val="0"/>
          <w:szCs w:val="21"/>
        </w:rPr>
      </w:pPr>
      <w:r>
        <w:rPr>
          <w:rFonts w:hint="eastAsia" w:ascii="宋体" w:hAnsi="宋体" w:cs="宋体"/>
          <w:kern w:val="0"/>
          <w:szCs w:val="21"/>
        </w:rPr>
        <w:t xml:space="preserve"> </w:t>
      </w:r>
    </w:p>
    <w:p>
      <w:pPr>
        <w:widowControl/>
        <w:spacing w:line="360" w:lineRule="auto"/>
        <w:jc w:val="left"/>
        <w:rPr>
          <w:rFonts w:ascii="宋体" w:hAnsi="宋体" w:cs="宋体"/>
          <w:kern w:val="0"/>
          <w:szCs w:val="21"/>
        </w:rPr>
      </w:pPr>
      <w:r>
        <w:rPr>
          <w:rFonts w:hint="eastAsia" w:ascii="宋体" w:hAnsi="宋体" w:cs="宋体"/>
          <w:kern w:val="0"/>
          <w:szCs w:val="21"/>
        </w:rPr>
        <w:t>采购方：</w:t>
      </w:r>
      <w:r>
        <w:rPr>
          <w:rFonts w:hint="eastAsia" w:ascii="宋体" w:hAnsi="宋体" w:cs="宋体"/>
          <w:kern w:val="0"/>
          <w:szCs w:val="21"/>
          <w:u w:val="single"/>
        </w:rPr>
        <w:t xml:space="preserve">                                </w:t>
      </w:r>
      <w:r>
        <w:rPr>
          <w:rFonts w:hint="eastAsia" w:ascii="宋体" w:hAnsi="宋体" w:cs="宋体"/>
          <w:kern w:val="0"/>
          <w:szCs w:val="21"/>
        </w:rPr>
        <w:t>（以下简称甲方）</w:t>
      </w:r>
    </w:p>
    <w:p>
      <w:pPr>
        <w:widowControl/>
        <w:spacing w:line="360" w:lineRule="auto"/>
        <w:jc w:val="left"/>
        <w:rPr>
          <w:rFonts w:ascii="宋体" w:hAnsi="宋体" w:cs="宋体"/>
          <w:kern w:val="0"/>
          <w:szCs w:val="21"/>
        </w:rPr>
      </w:pPr>
      <w:r>
        <w:rPr>
          <w:rFonts w:hint="eastAsia" w:ascii="宋体" w:hAnsi="宋体" w:cs="宋体"/>
          <w:kern w:val="0"/>
          <w:szCs w:val="21"/>
        </w:rPr>
        <w:t>供货方：</w:t>
      </w:r>
      <w:r>
        <w:rPr>
          <w:rFonts w:hint="eastAsia" w:ascii="宋体" w:hAnsi="宋体" w:cs="宋体"/>
          <w:kern w:val="0"/>
          <w:szCs w:val="21"/>
          <w:u w:val="single"/>
        </w:rPr>
        <w:t xml:space="preserve">                                </w:t>
      </w:r>
      <w:r>
        <w:rPr>
          <w:rFonts w:hint="eastAsia" w:ascii="宋体" w:hAnsi="宋体" w:cs="宋体"/>
          <w:kern w:val="0"/>
          <w:szCs w:val="21"/>
        </w:rPr>
        <w:t>（以下简称乙方）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根据</w:t>
      </w:r>
      <w:r>
        <w:rPr>
          <w:rFonts w:hint="eastAsia" w:ascii="宋体" w:hAnsi="宋体" w:cs="宋体"/>
          <w:szCs w:val="21"/>
          <w:u w:val="single"/>
        </w:rPr>
        <w:t xml:space="preserve">               </w:t>
      </w:r>
      <w:r>
        <w:rPr>
          <w:rFonts w:hint="eastAsia" w:ascii="宋体" w:hAnsi="宋体" w:cs="宋体"/>
          <w:szCs w:val="21"/>
        </w:rPr>
        <w:t xml:space="preserve">项目名称(项目编号：     )及相关结果，甲、乙双方经协商一致，签订本合同。   </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一、合同编号：</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二、签订地点：</w:t>
      </w:r>
      <w:r>
        <w:rPr>
          <w:rFonts w:hint="eastAsia" w:ascii="宋体" w:hAnsi="宋体" w:cs="宋体"/>
          <w:szCs w:val="21"/>
        </w:rPr>
        <w:t>伊宁市胜利街伊犁哈萨克自治州动物疾病控制与诊断中心会议室</w:t>
      </w:r>
    </w:p>
    <w:p>
      <w:pPr>
        <w:adjustRightInd w:val="0"/>
        <w:snapToGrid w:val="0"/>
        <w:spacing w:line="360" w:lineRule="auto"/>
        <w:ind w:firstLine="422" w:firstLineChars="200"/>
        <w:rPr>
          <w:rFonts w:ascii="宋体" w:hAnsi="宋体" w:cs="宋体"/>
          <w:szCs w:val="21"/>
        </w:rPr>
      </w:pPr>
      <w:r>
        <w:rPr>
          <w:rFonts w:hint="eastAsia" w:ascii="宋体" w:hAnsi="宋体" w:cs="宋体"/>
          <w:b/>
          <w:szCs w:val="21"/>
        </w:rPr>
        <w:t>三、签订时间：</w:t>
      </w:r>
      <w:r>
        <w:rPr>
          <w:rFonts w:hint="eastAsia" w:ascii="宋体" w:hAnsi="宋体" w:cs="宋体"/>
          <w:szCs w:val="21"/>
        </w:rPr>
        <w:t>2023年  月  日</w:t>
      </w:r>
    </w:p>
    <w:p>
      <w:pPr>
        <w:adjustRightInd w:val="0"/>
        <w:snapToGrid w:val="0"/>
        <w:spacing w:line="360" w:lineRule="auto"/>
        <w:ind w:firstLine="422" w:firstLineChars="200"/>
        <w:rPr>
          <w:rFonts w:ascii="宋体" w:hAnsi="宋体" w:cs="宋体"/>
          <w:szCs w:val="21"/>
        </w:rPr>
      </w:pPr>
      <w:r>
        <w:rPr>
          <w:rFonts w:hint="eastAsia" w:ascii="宋体" w:hAnsi="宋体" w:cs="宋体"/>
          <w:b/>
          <w:szCs w:val="21"/>
        </w:rPr>
        <w:t>四、合同内容：</w:t>
      </w:r>
      <w:r>
        <w:rPr>
          <w:rFonts w:hint="eastAsia" w:ascii="宋体" w:hAnsi="宋体" w:cs="宋体"/>
          <w:szCs w:val="21"/>
        </w:rPr>
        <w:t>甲方向乙方订购的货物及服务如下：</w:t>
      </w:r>
    </w:p>
    <w:p>
      <w:pPr>
        <w:tabs>
          <w:tab w:val="left" w:pos="840"/>
        </w:tabs>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1、动物疫苗品名、生产厂商、规格、数量等信息详见供货一览表。 </w:t>
      </w:r>
    </w:p>
    <w:p>
      <w:pPr>
        <w:tabs>
          <w:tab w:val="left" w:pos="840"/>
        </w:tabs>
        <w:adjustRightInd w:val="0"/>
        <w:snapToGrid w:val="0"/>
        <w:spacing w:line="360" w:lineRule="auto"/>
        <w:ind w:firstLine="422" w:firstLineChars="200"/>
        <w:jc w:val="center"/>
        <w:rPr>
          <w:rFonts w:ascii="宋体" w:hAnsi="宋体" w:cs="宋体"/>
          <w:b/>
          <w:bCs/>
          <w:szCs w:val="21"/>
        </w:rPr>
      </w:pPr>
      <w:r>
        <w:rPr>
          <w:rFonts w:hint="eastAsia" w:ascii="宋体" w:hAnsi="宋体" w:cs="宋体"/>
          <w:b/>
          <w:bCs/>
          <w:szCs w:val="21"/>
        </w:rPr>
        <w:t>春防供货信息一览表</w:t>
      </w:r>
    </w:p>
    <w:tbl>
      <w:tblPr>
        <w:tblStyle w:val="22"/>
        <w:tblpPr w:leftFromText="180" w:rightFromText="180" w:vertAnchor="text" w:horzAnchor="page" w:tblpX="1140" w:tblpY="75"/>
        <w:tblOverlap w:val="never"/>
        <w:tblW w:w="9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2158"/>
        <w:gridCol w:w="1457"/>
        <w:gridCol w:w="1136"/>
        <w:gridCol w:w="1388"/>
        <w:gridCol w:w="1388"/>
        <w:gridCol w:w="1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800"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序号</w:t>
            </w:r>
          </w:p>
        </w:tc>
        <w:tc>
          <w:tcPr>
            <w:tcW w:w="2158"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疫苗品名型号</w:t>
            </w:r>
          </w:p>
        </w:tc>
        <w:tc>
          <w:tcPr>
            <w:tcW w:w="1457"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规格参数</w:t>
            </w:r>
          </w:p>
        </w:tc>
        <w:tc>
          <w:tcPr>
            <w:tcW w:w="1136"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数量</w:t>
            </w:r>
          </w:p>
        </w:tc>
        <w:tc>
          <w:tcPr>
            <w:tcW w:w="1388"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单价</w:t>
            </w:r>
          </w:p>
        </w:tc>
        <w:tc>
          <w:tcPr>
            <w:tcW w:w="1388"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总金额</w:t>
            </w:r>
          </w:p>
        </w:tc>
        <w:tc>
          <w:tcPr>
            <w:tcW w:w="1388"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00" w:type="dxa"/>
          </w:tcPr>
          <w:p>
            <w:pPr>
              <w:pStyle w:val="8"/>
              <w:numPr>
                <w:ilvl w:val="0"/>
                <w:numId w:val="0"/>
              </w:numPr>
              <w:rPr>
                <w:rFonts w:ascii="宋体" w:hAnsi="宋体" w:eastAsia="宋体"/>
                <w:sz w:val="21"/>
                <w:szCs w:val="21"/>
              </w:rPr>
            </w:pPr>
          </w:p>
        </w:tc>
        <w:tc>
          <w:tcPr>
            <w:tcW w:w="2158" w:type="dxa"/>
          </w:tcPr>
          <w:p>
            <w:pPr>
              <w:pStyle w:val="8"/>
              <w:numPr>
                <w:ilvl w:val="0"/>
                <w:numId w:val="0"/>
              </w:numPr>
              <w:rPr>
                <w:rFonts w:ascii="宋体" w:hAnsi="宋体" w:eastAsia="宋体"/>
                <w:sz w:val="21"/>
                <w:szCs w:val="21"/>
              </w:rPr>
            </w:pPr>
          </w:p>
        </w:tc>
        <w:tc>
          <w:tcPr>
            <w:tcW w:w="1457" w:type="dxa"/>
          </w:tcPr>
          <w:p>
            <w:pPr>
              <w:pStyle w:val="8"/>
              <w:numPr>
                <w:ilvl w:val="0"/>
                <w:numId w:val="0"/>
              </w:numPr>
              <w:rPr>
                <w:rFonts w:ascii="宋体" w:hAnsi="宋体" w:eastAsia="宋体"/>
                <w:sz w:val="21"/>
                <w:szCs w:val="21"/>
              </w:rPr>
            </w:pPr>
          </w:p>
        </w:tc>
        <w:tc>
          <w:tcPr>
            <w:tcW w:w="1136" w:type="dxa"/>
          </w:tcPr>
          <w:p>
            <w:pPr>
              <w:pStyle w:val="8"/>
              <w:numPr>
                <w:ilvl w:val="0"/>
                <w:numId w:val="0"/>
              </w:numPr>
              <w:rPr>
                <w:rFonts w:ascii="宋体" w:hAnsi="宋体" w:eastAsia="宋体"/>
                <w:sz w:val="21"/>
                <w:szCs w:val="21"/>
              </w:rPr>
            </w:pPr>
          </w:p>
        </w:tc>
        <w:tc>
          <w:tcPr>
            <w:tcW w:w="1388" w:type="dxa"/>
          </w:tcPr>
          <w:p>
            <w:pPr>
              <w:pStyle w:val="8"/>
              <w:numPr>
                <w:ilvl w:val="0"/>
                <w:numId w:val="0"/>
              </w:numPr>
              <w:rPr>
                <w:rFonts w:ascii="宋体" w:hAnsi="宋体" w:eastAsia="宋体"/>
                <w:sz w:val="21"/>
                <w:szCs w:val="21"/>
              </w:rPr>
            </w:pPr>
          </w:p>
        </w:tc>
        <w:tc>
          <w:tcPr>
            <w:tcW w:w="1388" w:type="dxa"/>
          </w:tcPr>
          <w:p>
            <w:pPr>
              <w:pStyle w:val="8"/>
              <w:numPr>
                <w:ilvl w:val="0"/>
                <w:numId w:val="0"/>
              </w:numPr>
              <w:rPr>
                <w:rFonts w:ascii="宋体" w:hAnsi="宋体" w:eastAsia="宋体"/>
                <w:sz w:val="21"/>
                <w:szCs w:val="21"/>
              </w:rPr>
            </w:pPr>
          </w:p>
        </w:tc>
        <w:tc>
          <w:tcPr>
            <w:tcW w:w="1388" w:type="dxa"/>
          </w:tcPr>
          <w:p>
            <w:pPr>
              <w:pStyle w:val="8"/>
              <w:numPr>
                <w:ilvl w:val="0"/>
                <w:numId w:val="0"/>
              </w:numP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00" w:type="dxa"/>
          </w:tcPr>
          <w:p>
            <w:pPr>
              <w:pStyle w:val="8"/>
              <w:numPr>
                <w:ilvl w:val="0"/>
                <w:numId w:val="0"/>
              </w:numPr>
              <w:rPr>
                <w:rFonts w:ascii="宋体" w:hAnsi="宋体" w:eastAsia="宋体"/>
                <w:sz w:val="21"/>
                <w:szCs w:val="21"/>
              </w:rPr>
            </w:pPr>
          </w:p>
        </w:tc>
        <w:tc>
          <w:tcPr>
            <w:tcW w:w="2158" w:type="dxa"/>
          </w:tcPr>
          <w:p>
            <w:pPr>
              <w:pStyle w:val="8"/>
              <w:numPr>
                <w:ilvl w:val="0"/>
                <w:numId w:val="0"/>
              </w:numPr>
              <w:rPr>
                <w:rFonts w:ascii="宋体" w:hAnsi="宋体" w:eastAsia="宋体"/>
                <w:sz w:val="21"/>
                <w:szCs w:val="21"/>
              </w:rPr>
            </w:pPr>
          </w:p>
        </w:tc>
        <w:tc>
          <w:tcPr>
            <w:tcW w:w="1457" w:type="dxa"/>
          </w:tcPr>
          <w:p>
            <w:pPr>
              <w:pStyle w:val="8"/>
              <w:numPr>
                <w:ilvl w:val="0"/>
                <w:numId w:val="0"/>
              </w:numPr>
              <w:rPr>
                <w:rFonts w:ascii="宋体" w:hAnsi="宋体" w:eastAsia="宋体"/>
                <w:sz w:val="21"/>
                <w:szCs w:val="21"/>
              </w:rPr>
            </w:pPr>
          </w:p>
        </w:tc>
        <w:tc>
          <w:tcPr>
            <w:tcW w:w="1136" w:type="dxa"/>
          </w:tcPr>
          <w:p>
            <w:pPr>
              <w:pStyle w:val="8"/>
              <w:numPr>
                <w:ilvl w:val="0"/>
                <w:numId w:val="0"/>
              </w:numPr>
              <w:rPr>
                <w:rFonts w:ascii="宋体" w:hAnsi="宋体" w:eastAsia="宋体"/>
                <w:sz w:val="21"/>
                <w:szCs w:val="21"/>
              </w:rPr>
            </w:pPr>
          </w:p>
        </w:tc>
        <w:tc>
          <w:tcPr>
            <w:tcW w:w="1388" w:type="dxa"/>
          </w:tcPr>
          <w:p>
            <w:pPr>
              <w:pStyle w:val="8"/>
              <w:numPr>
                <w:ilvl w:val="0"/>
                <w:numId w:val="0"/>
              </w:numPr>
              <w:rPr>
                <w:rFonts w:ascii="宋体" w:hAnsi="宋体" w:eastAsia="宋体"/>
                <w:sz w:val="21"/>
                <w:szCs w:val="21"/>
              </w:rPr>
            </w:pPr>
          </w:p>
        </w:tc>
        <w:tc>
          <w:tcPr>
            <w:tcW w:w="1388" w:type="dxa"/>
          </w:tcPr>
          <w:p>
            <w:pPr>
              <w:pStyle w:val="8"/>
              <w:numPr>
                <w:ilvl w:val="0"/>
                <w:numId w:val="0"/>
              </w:numPr>
              <w:rPr>
                <w:rFonts w:ascii="宋体" w:hAnsi="宋体" w:eastAsia="宋体"/>
                <w:sz w:val="21"/>
                <w:szCs w:val="21"/>
              </w:rPr>
            </w:pPr>
          </w:p>
        </w:tc>
        <w:tc>
          <w:tcPr>
            <w:tcW w:w="1388" w:type="dxa"/>
          </w:tcPr>
          <w:p>
            <w:pPr>
              <w:pStyle w:val="8"/>
              <w:numPr>
                <w:ilvl w:val="0"/>
                <w:numId w:val="0"/>
              </w:numP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800" w:type="dxa"/>
          </w:tcPr>
          <w:p>
            <w:pPr>
              <w:pStyle w:val="8"/>
              <w:numPr>
                <w:ilvl w:val="0"/>
                <w:numId w:val="0"/>
              </w:numPr>
              <w:rPr>
                <w:rFonts w:ascii="宋体" w:hAnsi="宋体" w:eastAsia="宋体"/>
                <w:sz w:val="21"/>
                <w:szCs w:val="21"/>
              </w:rPr>
            </w:pPr>
          </w:p>
        </w:tc>
        <w:tc>
          <w:tcPr>
            <w:tcW w:w="2158" w:type="dxa"/>
          </w:tcPr>
          <w:p>
            <w:pPr>
              <w:pStyle w:val="8"/>
              <w:numPr>
                <w:ilvl w:val="0"/>
                <w:numId w:val="0"/>
              </w:numPr>
              <w:rPr>
                <w:rFonts w:ascii="宋体" w:hAnsi="宋体" w:eastAsia="宋体"/>
                <w:sz w:val="21"/>
                <w:szCs w:val="21"/>
              </w:rPr>
            </w:pPr>
          </w:p>
        </w:tc>
        <w:tc>
          <w:tcPr>
            <w:tcW w:w="1457" w:type="dxa"/>
          </w:tcPr>
          <w:p>
            <w:pPr>
              <w:pStyle w:val="8"/>
              <w:numPr>
                <w:ilvl w:val="0"/>
                <w:numId w:val="0"/>
              </w:numPr>
              <w:rPr>
                <w:rFonts w:ascii="宋体" w:hAnsi="宋体" w:eastAsia="宋体"/>
                <w:sz w:val="21"/>
                <w:szCs w:val="21"/>
              </w:rPr>
            </w:pPr>
          </w:p>
        </w:tc>
        <w:tc>
          <w:tcPr>
            <w:tcW w:w="1136" w:type="dxa"/>
          </w:tcPr>
          <w:p>
            <w:pPr>
              <w:pStyle w:val="8"/>
              <w:numPr>
                <w:ilvl w:val="0"/>
                <w:numId w:val="0"/>
              </w:numPr>
              <w:rPr>
                <w:rFonts w:ascii="宋体" w:hAnsi="宋体" w:eastAsia="宋体"/>
                <w:sz w:val="21"/>
                <w:szCs w:val="21"/>
              </w:rPr>
            </w:pPr>
          </w:p>
        </w:tc>
        <w:tc>
          <w:tcPr>
            <w:tcW w:w="1388" w:type="dxa"/>
          </w:tcPr>
          <w:p>
            <w:pPr>
              <w:pStyle w:val="8"/>
              <w:numPr>
                <w:ilvl w:val="0"/>
                <w:numId w:val="0"/>
              </w:numPr>
              <w:rPr>
                <w:rFonts w:ascii="宋体" w:hAnsi="宋体" w:eastAsia="宋体"/>
                <w:sz w:val="21"/>
                <w:szCs w:val="21"/>
              </w:rPr>
            </w:pPr>
          </w:p>
        </w:tc>
        <w:tc>
          <w:tcPr>
            <w:tcW w:w="1388" w:type="dxa"/>
          </w:tcPr>
          <w:p>
            <w:pPr>
              <w:pStyle w:val="8"/>
              <w:numPr>
                <w:ilvl w:val="0"/>
                <w:numId w:val="0"/>
              </w:numPr>
              <w:rPr>
                <w:rFonts w:ascii="宋体" w:hAnsi="宋体" w:eastAsia="宋体"/>
                <w:sz w:val="21"/>
                <w:szCs w:val="21"/>
              </w:rPr>
            </w:pPr>
          </w:p>
        </w:tc>
        <w:tc>
          <w:tcPr>
            <w:tcW w:w="1388" w:type="dxa"/>
          </w:tcPr>
          <w:p>
            <w:pPr>
              <w:pStyle w:val="8"/>
              <w:numPr>
                <w:ilvl w:val="0"/>
                <w:numId w:val="0"/>
              </w:numPr>
              <w:rPr>
                <w:rFonts w:ascii="宋体" w:hAnsi="宋体" w:eastAsia="宋体"/>
                <w:sz w:val="21"/>
                <w:szCs w:val="21"/>
              </w:rPr>
            </w:pPr>
          </w:p>
        </w:tc>
      </w:tr>
    </w:tbl>
    <w:p>
      <w:pPr>
        <w:pStyle w:val="8"/>
        <w:numPr>
          <w:ilvl w:val="0"/>
          <w:numId w:val="0"/>
        </w:numPr>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p>
    <w:p>
      <w:pPr>
        <w:pStyle w:val="8"/>
        <w:numPr>
          <w:ilvl w:val="0"/>
          <w:numId w:val="0"/>
        </w:numPr>
        <w:rPr>
          <w:rFonts w:ascii="宋体" w:hAnsi="宋体" w:eastAsia="宋体"/>
          <w:sz w:val="21"/>
          <w:szCs w:val="21"/>
        </w:rPr>
      </w:pPr>
    </w:p>
    <w:p>
      <w:pPr>
        <w:tabs>
          <w:tab w:val="left" w:pos="840"/>
        </w:tabs>
        <w:adjustRightInd w:val="0"/>
        <w:snapToGrid w:val="0"/>
        <w:spacing w:line="360" w:lineRule="auto"/>
        <w:ind w:firstLine="422" w:firstLineChars="200"/>
        <w:jc w:val="center"/>
        <w:rPr>
          <w:rFonts w:ascii="宋体" w:hAnsi="宋体" w:cs="宋体"/>
          <w:b/>
          <w:bCs/>
          <w:szCs w:val="21"/>
        </w:rPr>
      </w:pPr>
      <w:r>
        <w:rPr>
          <w:rFonts w:hint="eastAsia" w:ascii="宋体" w:hAnsi="宋体" w:cs="宋体"/>
          <w:b/>
          <w:bCs/>
          <w:szCs w:val="21"/>
        </w:rPr>
        <w:t>秋防供货信息一览表</w:t>
      </w:r>
    </w:p>
    <w:tbl>
      <w:tblPr>
        <w:tblStyle w:val="22"/>
        <w:tblW w:w="96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2145"/>
        <w:gridCol w:w="1448"/>
        <w:gridCol w:w="1129"/>
        <w:gridCol w:w="1380"/>
        <w:gridCol w:w="1380"/>
        <w:gridCol w:w="1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795"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序号</w:t>
            </w:r>
          </w:p>
        </w:tc>
        <w:tc>
          <w:tcPr>
            <w:tcW w:w="2145"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疫苗品名型号</w:t>
            </w:r>
          </w:p>
        </w:tc>
        <w:tc>
          <w:tcPr>
            <w:tcW w:w="1448"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规格参数</w:t>
            </w:r>
          </w:p>
        </w:tc>
        <w:tc>
          <w:tcPr>
            <w:tcW w:w="1129"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数量</w:t>
            </w:r>
          </w:p>
        </w:tc>
        <w:tc>
          <w:tcPr>
            <w:tcW w:w="1380"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单价</w:t>
            </w:r>
          </w:p>
        </w:tc>
        <w:tc>
          <w:tcPr>
            <w:tcW w:w="1380"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总金额</w:t>
            </w:r>
          </w:p>
        </w:tc>
        <w:tc>
          <w:tcPr>
            <w:tcW w:w="1380" w:type="dxa"/>
          </w:tcPr>
          <w:p>
            <w:pPr>
              <w:pStyle w:val="8"/>
              <w:numPr>
                <w:ilvl w:val="0"/>
                <w:numId w:val="0"/>
              </w:numPr>
              <w:jc w:val="center"/>
              <w:rPr>
                <w:rFonts w:ascii="宋体" w:hAnsi="宋体" w:eastAsia="宋体"/>
                <w:b/>
                <w:bCs/>
                <w:sz w:val="21"/>
                <w:szCs w:val="21"/>
              </w:rPr>
            </w:pPr>
            <w:r>
              <w:rPr>
                <w:rFonts w:hint="eastAsia" w:ascii="宋体" w:hAnsi="宋体" w:eastAsia="宋体"/>
                <w:b/>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8"/>
              <w:numPr>
                <w:ilvl w:val="0"/>
                <w:numId w:val="0"/>
              </w:numPr>
              <w:rPr>
                <w:rFonts w:ascii="宋体" w:hAnsi="宋体" w:eastAsia="宋体"/>
                <w:sz w:val="21"/>
                <w:szCs w:val="21"/>
              </w:rPr>
            </w:pPr>
          </w:p>
        </w:tc>
        <w:tc>
          <w:tcPr>
            <w:tcW w:w="2145" w:type="dxa"/>
          </w:tcPr>
          <w:p>
            <w:pPr>
              <w:pStyle w:val="8"/>
              <w:numPr>
                <w:ilvl w:val="0"/>
                <w:numId w:val="0"/>
              </w:numPr>
              <w:rPr>
                <w:rFonts w:ascii="宋体" w:hAnsi="宋体" w:eastAsia="宋体"/>
                <w:sz w:val="21"/>
                <w:szCs w:val="21"/>
              </w:rPr>
            </w:pPr>
          </w:p>
        </w:tc>
        <w:tc>
          <w:tcPr>
            <w:tcW w:w="1448" w:type="dxa"/>
          </w:tcPr>
          <w:p>
            <w:pPr>
              <w:pStyle w:val="8"/>
              <w:numPr>
                <w:ilvl w:val="0"/>
                <w:numId w:val="0"/>
              </w:numPr>
              <w:rPr>
                <w:rFonts w:ascii="宋体" w:hAnsi="宋体" w:eastAsia="宋体"/>
                <w:sz w:val="21"/>
                <w:szCs w:val="21"/>
              </w:rPr>
            </w:pPr>
          </w:p>
        </w:tc>
        <w:tc>
          <w:tcPr>
            <w:tcW w:w="1129" w:type="dxa"/>
          </w:tcPr>
          <w:p>
            <w:pPr>
              <w:pStyle w:val="8"/>
              <w:numPr>
                <w:ilvl w:val="0"/>
                <w:numId w:val="0"/>
              </w:numPr>
              <w:rPr>
                <w:rFonts w:ascii="宋体" w:hAnsi="宋体" w:eastAsia="宋体"/>
                <w:sz w:val="21"/>
                <w:szCs w:val="21"/>
              </w:rPr>
            </w:pPr>
          </w:p>
        </w:tc>
        <w:tc>
          <w:tcPr>
            <w:tcW w:w="1380" w:type="dxa"/>
          </w:tcPr>
          <w:p>
            <w:pPr>
              <w:pStyle w:val="8"/>
              <w:numPr>
                <w:ilvl w:val="0"/>
                <w:numId w:val="0"/>
              </w:numPr>
              <w:rPr>
                <w:rFonts w:ascii="宋体" w:hAnsi="宋体" w:eastAsia="宋体"/>
                <w:sz w:val="21"/>
                <w:szCs w:val="21"/>
              </w:rPr>
            </w:pPr>
          </w:p>
        </w:tc>
        <w:tc>
          <w:tcPr>
            <w:tcW w:w="1380" w:type="dxa"/>
          </w:tcPr>
          <w:p>
            <w:pPr>
              <w:pStyle w:val="8"/>
              <w:numPr>
                <w:ilvl w:val="0"/>
                <w:numId w:val="0"/>
              </w:numPr>
              <w:rPr>
                <w:rFonts w:ascii="宋体" w:hAnsi="宋体" w:eastAsia="宋体"/>
                <w:sz w:val="21"/>
                <w:szCs w:val="21"/>
              </w:rPr>
            </w:pPr>
          </w:p>
        </w:tc>
        <w:tc>
          <w:tcPr>
            <w:tcW w:w="1380" w:type="dxa"/>
          </w:tcPr>
          <w:p>
            <w:pPr>
              <w:pStyle w:val="8"/>
              <w:numPr>
                <w:ilvl w:val="0"/>
                <w:numId w:val="0"/>
              </w:numP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8"/>
              <w:numPr>
                <w:ilvl w:val="0"/>
                <w:numId w:val="0"/>
              </w:numPr>
              <w:rPr>
                <w:rFonts w:ascii="宋体" w:hAnsi="宋体" w:eastAsia="宋体"/>
                <w:sz w:val="21"/>
                <w:szCs w:val="21"/>
              </w:rPr>
            </w:pPr>
          </w:p>
        </w:tc>
        <w:tc>
          <w:tcPr>
            <w:tcW w:w="2145" w:type="dxa"/>
          </w:tcPr>
          <w:p>
            <w:pPr>
              <w:pStyle w:val="8"/>
              <w:numPr>
                <w:ilvl w:val="0"/>
                <w:numId w:val="0"/>
              </w:numPr>
              <w:rPr>
                <w:rFonts w:ascii="宋体" w:hAnsi="宋体" w:eastAsia="宋体"/>
                <w:sz w:val="21"/>
                <w:szCs w:val="21"/>
              </w:rPr>
            </w:pPr>
          </w:p>
        </w:tc>
        <w:tc>
          <w:tcPr>
            <w:tcW w:w="1448" w:type="dxa"/>
          </w:tcPr>
          <w:p>
            <w:pPr>
              <w:pStyle w:val="8"/>
              <w:numPr>
                <w:ilvl w:val="0"/>
                <w:numId w:val="0"/>
              </w:numPr>
              <w:rPr>
                <w:rFonts w:ascii="宋体" w:hAnsi="宋体" w:eastAsia="宋体"/>
                <w:sz w:val="21"/>
                <w:szCs w:val="21"/>
              </w:rPr>
            </w:pPr>
          </w:p>
        </w:tc>
        <w:tc>
          <w:tcPr>
            <w:tcW w:w="1129" w:type="dxa"/>
          </w:tcPr>
          <w:p>
            <w:pPr>
              <w:pStyle w:val="8"/>
              <w:numPr>
                <w:ilvl w:val="0"/>
                <w:numId w:val="0"/>
              </w:numPr>
              <w:rPr>
                <w:rFonts w:ascii="宋体" w:hAnsi="宋体" w:eastAsia="宋体"/>
                <w:sz w:val="21"/>
                <w:szCs w:val="21"/>
              </w:rPr>
            </w:pPr>
          </w:p>
        </w:tc>
        <w:tc>
          <w:tcPr>
            <w:tcW w:w="1380" w:type="dxa"/>
          </w:tcPr>
          <w:p>
            <w:pPr>
              <w:pStyle w:val="8"/>
              <w:numPr>
                <w:ilvl w:val="0"/>
                <w:numId w:val="0"/>
              </w:numPr>
              <w:rPr>
                <w:rFonts w:ascii="宋体" w:hAnsi="宋体" w:eastAsia="宋体"/>
                <w:sz w:val="21"/>
                <w:szCs w:val="21"/>
              </w:rPr>
            </w:pPr>
          </w:p>
        </w:tc>
        <w:tc>
          <w:tcPr>
            <w:tcW w:w="1380" w:type="dxa"/>
          </w:tcPr>
          <w:p>
            <w:pPr>
              <w:pStyle w:val="8"/>
              <w:numPr>
                <w:ilvl w:val="0"/>
                <w:numId w:val="0"/>
              </w:numPr>
              <w:rPr>
                <w:rFonts w:ascii="宋体" w:hAnsi="宋体" w:eastAsia="宋体"/>
                <w:sz w:val="21"/>
                <w:szCs w:val="21"/>
              </w:rPr>
            </w:pPr>
          </w:p>
        </w:tc>
        <w:tc>
          <w:tcPr>
            <w:tcW w:w="1380" w:type="dxa"/>
          </w:tcPr>
          <w:p>
            <w:pPr>
              <w:pStyle w:val="8"/>
              <w:numPr>
                <w:ilvl w:val="0"/>
                <w:numId w:val="0"/>
              </w:numPr>
              <w:rPr>
                <w:rFonts w:ascii="宋体" w:hAnsi="宋体" w:eastAsia="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795" w:type="dxa"/>
          </w:tcPr>
          <w:p>
            <w:pPr>
              <w:pStyle w:val="8"/>
              <w:numPr>
                <w:ilvl w:val="0"/>
                <w:numId w:val="0"/>
              </w:numPr>
              <w:rPr>
                <w:rFonts w:ascii="宋体" w:hAnsi="宋体" w:eastAsia="宋体"/>
                <w:sz w:val="21"/>
                <w:szCs w:val="21"/>
              </w:rPr>
            </w:pPr>
          </w:p>
        </w:tc>
        <w:tc>
          <w:tcPr>
            <w:tcW w:w="2145" w:type="dxa"/>
          </w:tcPr>
          <w:p>
            <w:pPr>
              <w:pStyle w:val="8"/>
              <w:numPr>
                <w:ilvl w:val="0"/>
                <w:numId w:val="0"/>
              </w:numPr>
              <w:rPr>
                <w:rFonts w:ascii="宋体" w:hAnsi="宋体" w:eastAsia="宋体"/>
                <w:sz w:val="21"/>
                <w:szCs w:val="21"/>
              </w:rPr>
            </w:pPr>
          </w:p>
        </w:tc>
        <w:tc>
          <w:tcPr>
            <w:tcW w:w="1448" w:type="dxa"/>
          </w:tcPr>
          <w:p>
            <w:pPr>
              <w:pStyle w:val="8"/>
              <w:numPr>
                <w:ilvl w:val="0"/>
                <w:numId w:val="0"/>
              </w:numPr>
              <w:rPr>
                <w:rFonts w:ascii="宋体" w:hAnsi="宋体" w:eastAsia="宋体"/>
                <w:sz w:val="21"/>
                <w:szCs w:val="21"/>
              </w:rPr>
            </w:pPr>
          </w:p>
        </w:tc>
        <w:tc>
          <w:tcPr>
            <w:tcW w:w="1129" w:type="dxa"/>
          </w:tcPr>
          <w:p>
            <w:pPr>
              <w:pStyle w:val="8"/>
              <w:numPr>
                <w:ilvl w:val="0"/>
                <w:numId w:val="0"/>
              </w:numPr>
              <w:rPr>
                <w:rFonts w:ascii="宋体" w:hAnsi="宋体" w:eastAsia="宋体"/>
                <w:sz w:val="21"/>
                <w:szCs w:val="21"/>
              </w:rPr>
            </w:pPr>
          </w:p>
        </w:tc>
        <w:tc>
          <w:tcPr>
            <w:tcW w:w="1380" w:type="dxa"/>
          </w:tcPr>
          <w:p>
            <w:pPr>
              <w:pStyle w:val="8"/>
              <w:numPr>
                <w:ilvl w:val="0"/>
                <w:numId w:val="0"/>
              </w:numPr>
              <w:rPr>
                <w:rFonts w:ascii="宋体" w:hAnsi="宋体" w:eastAsia="宋体"/>
                <w:sz w:val="21"/>
                <w:szCs w:val="21"/>
              </w:rPr>
            </w:pPr>
          </w:p>
        </w:tc>
        <w:tc>
          <w:tcPr>
            <w:tcW w:w="1380" w:type="dxa"/>
          </w:tcPr>
          <w:p>
            <w:pPr>
              <w:pStyle w:val="8"/>
              <w:numPr>
                <w:ilvl w:val="0"/>
                <w:numId w:val="0"/>
              </w:numPr>
              <w:rPr>
                <w:rFonts w:ascii="宋体" w:hAnsi="宋体" w:eastAsia="宋体"/>
                <w:sz w:val="21"/>
                <w:szCs w:val="21"/>
              </w:rPr>
            </w:pPr>
          </w:p>
        </w:tc>
        <w:tc>
          <w:tcPr>
            <w:tcW w:w="1380" w:type="dxa"/>
          </w:tcPr>
          <w:p>
            <w:pPr>
              <w:pStyle w:val="8"/>
              <w:numPr>
                <w:ilvl w:val="0"/>
                <w:numId w:val="0"/>
              </w:numPr>
              <w:rPr>
                <w:rFonts w:ascii="宋体" w:hAnsi="宋体" w:eastAsia="宋体"/>
                <w:sz w:val="21"/>
                <w:szCs w:val="21"/>
              </w:rPr>
            </w:pPr>
          </w:p>
        </w:tc>
      </w:tr>
    </w:tbl>
    <w:p>
      <w:pPr>
        <w:pStyle w:val="8"/>
        <w:numPr>
          <w:ilvl w:val="0"/>
          <w:numId w:val="0"/>
        </w:numPr>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p>
    <w:p>
      <w:pPr>
        <w:tabs>
          <w:tab w:val="left" w:pos="840"/>
        </w:tabs>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2、价格构成：合同价格包括成本、税款、包装、运费（含二次运费）、售后服务等全部费用，价格一次确定不再变更，本次采购货品单价以报价一览表为准。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合同所签定疫苗数量仅为参考数量，甲方可根据疫苗实际使用情况、国家免疫政策变化或免疫实际需求情况适当增减疫苗数量。如果兽医主管部门调整了动物免疫计划，调整或取消动物部分的疫苗品种，该疫苗品种将不再列入招标计划或已经进行了招标的将作为无效招标处理，由此产生的一切费用和损失由乙方承担，甲方不承担任何责任。同时，根据国家强制免疫工作要求，如果将强制免疫病种疫苗毒株进行更换或调整的，乙方应根据农业农村部调整的疫苗毒株进行生产，并按合同签订的数量向甲方提供调整后的疫苗。</w:t>
      </w:r>
    </w:p>
    <w:p>
      <w:pPr>
        <w:tabs>
          <w:tab w:val="left" w:pos="840"/>
        </w:tabs>
        <w:adjustRightInd w:val="0"/>
        <w:snapToGrid w:val="0"/>
        <w:spacing w:line="360" w:lineRule="auto"/>
        <w:rPr>
          <w:rFonts w:ascii="宋体" w:hAnsi="宋体" w:cs="宋体"/>
          <w:b/>
          <w:bCs/>
          <w:szCs w:val="21"/>
        </w:rPr>
      </w:pPr>
      <w:r>
        <w:rPr>
          <w:rFonts w:hint="eastAsia" w:ascii="宋体" w:hAnsi="宋体" w:cs="宋体"/>
          <w:b/>
          <w:bCs/>
          <w:szCs w:val="21"/>
        </w:rPr>
        <w:t xml:space="preserve">    4、合同金额：</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小写：</w:t>
      </w:r>
      <w:r>
        <w:rPr>
          <w:rFonts w:hint="eastAsia" w:ascii="宋体" w:hAnsi="宋体" w:cs="宋体"/>
          <w:szCs w:val="21"/>
          <w:u w:val="single"/>
        </w:rPr>
        <w:t xml:space="preserve">¥   ，   ，   .00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pPr>
        <w:adjustRightInd w:val="0"/>
        <w:snapToGrid w:val="0"/>
        <w:spacing w:line="360" w:lineRule="auto"/>
        <w:ind w:firstLine="420" w:firstLineChars="200"/>
        <w:rPr>
          <w:rFonts w:ascii="宋体" w:hAnsi="宋体" w:cs="宋体"/>
          <w:szCs w:val="21"/>
          <w:u w:val="single"/>
        </w:rPr>
      </w:pPr>
      <w:r>
        <w:rPr>
          <w:rFonts w:hint="eastAsia" w:ascii="宋体" w:hAnsi="宋体" w:cs="宋体"/>
          <w:szCs w:val="21"/>
        </w:rPr>
        <w:t>数量：</w:t>
      </w:r>
      <w:r>
        <w:rPr>
          <w:rFonts w:hint="eastAsia" w:ascii="宋体" w:hAnsi="宋体" w:cs="宋体"/>
          <w:szCs w:val="21"/>
          <w:u w:val="single"/>
        </w:rPr>
        <w:t xml:space="preserve">                  </w:t>
      </w:r>
    </w:p>
    <w:p>
      <w:pPr>
        <w:tabs>
          <w:tab w:val="left" w:pos="840"/>
        </w:tabs>
        <w:adjustRightInd w:val="0"/>
        <w:snapToGrid w:val="0"/>
        <w:spacing w:line="360" w:lineRule="auto"/>
        <w:ind w:firstLine="420" w:firstLineChars="200"/>
        <w:rPr>
          <w:rFonts w:ascii="宋体" w:hAnsi="宋体" w:cs="宋体"/>
          <w:szCs w:val="21"/>
        </w:rPr>
      </w:pPr>
      <w:r>
        <w:rPr>
          <w:rFonts w:hint="eastAsia" w:ascii="宋体" w:hAnsi="宋体" w:cs="宋体"/>
          <w:szCs w:val="21"/>
        </w:rPr>
        <w:t>包装要求：不论采取何种包装形式，乙方均需确保货品无破损，无污染，且方便二次运输。产品包装按照大小包装分配成一定比例供货，而且标识清楚，以方便散养动物免疫注射使用，避免造成疫苗浪费。因包装不当造成的损失由乙方负责，包退包换。</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五、交货时间、交货地点和验收单位：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1、交货时间和地点：接到通知后，在规定时间内运达甲方指定</w:t>
      </w:r>
      <w:r>
        <w:rPr>
          <w:rFonts w:hint="eastAsia" w:ascii="宋体" w:hAnsi="宋体" w:cs="宋体"/>
          <w:kern w:val="0"/>
          <w:szCs w:val="21"/>
        </w:rPr>
        <w:t>的</w:t>
      </w:r>
      <w:r>
        <w:rPr>
          <w:rFonts w:hint="eastAsia" w:ascii="宋体" w:hAnsi="宋体" w:cs="宋体"/>
          <w:kern w:val="0"/>
          <w:szCs w:val="21"/>
          <w:lang w:eastAsia="zh-Hans"/>
        </w:rPr>
        <w:t>地点进行验收</w:t>
      </w:r>
      <w:r>
        <w:rPr>
          <w:rFonts w:ascii="宋体" w:hAnsi="宋体" w:cs="宋体"/>
          <w:kern w:val="0"/>
          <w:szCs w:val="21"/>
          <w:lang w:eastAsia="zh-Hans"/>
        </w:rPr>
        <w:t>，</w:t>
      </w:r>
      <w:r>
        <w:rPr>
          <w:rFonts w:hint="eastAsia" w:ascii="宋体" w:hAnsi="宋体" w:cs="宋体"/>
          <w:kern w:val="0"/>
          <w:szCs w:val="21"/>
          <w:lang w:eastAsia="zh-Hans"/>
        </w:rPr>
        <w:t>验收合格后由乙方负责运输至甲方指定的地点</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2、验收单位：收货单位为疫苗验收第一责任单位，伊犁哈萨克自治州动物疾病控制与诊断中心负责疫苗验收工作。</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六、</w:t>
      </w:r>
      <w:r>
        <w:rPr>
          <w:rFonts w:hint="eastAsia" w:ascii="宋体" w:hAnsi="宋体" w:cs="宋体"/>
          <w:b/>
          <w:szCs w:val="21"/>
        </w:rPr>
        <w:t>验收方式：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1、甲方在交货地点验收，如发现损坏、缺件等问题，乙方</w:t>
      </w:r>
      <w:r>
        <w:rPr>
          <w:rFonts w:hint="eastAsia" w:ascii="宋体" w:hAnsi="宋体" w:cs="宋体"/>
          <w:szCs w:val="21"/>
          <w:lang w:eastAsia="zh-Hans"/>
        </w:rPr>
        <w:t>应当在接到甲方通知</w:t>
      </w:r>
      <w:r>
        <w:rPr>
          <w:rFonts w:ascii="宋体" w:hAnsi="宋体" w:cs="宋体"/>
          <w:szCs w:val="21"/>
          <w:lang w:eastAsia="zh-Hans"/>
        </w:rPr>
        <w:t>（</w:t>
      </w:r>
      <w:r>
        <w:rPr>
          <w:rFonts w:hint="eastAsia" w:ascii="宋体" w:hAnsi="宋体" w:cs="宋体"/>
          <w:szCs w:val="21"/>
          <w:lang w:eastAsia="zh-Hans"/>
        </w:rPr>
        <w:t>包括但不限于电话</w:t>
      </w:r>
      <w:r>
        <w:rPr>
          <w:rFonts w:ascii="宋体" w:hAnsi="宋体" w:cs="宋体"/>
          <w:szCs w:val="21"/>
          <w:lang w:eastAsia="zh-Hans"/>
        </w:rPr>
        <w:t>、</w:t>
      </w:r>
      <w:r>
        <w:rPr>
          <w:rFonts w:hint="eastAsia" w:ascii="宋体" w:hAnsi="宋体" w:cs="宋体"/>
          <w:szCs w:val="21"/>
          <w:lang w:eastAsia="zh-Hans"/>
        </w:rPr>
        <w:t>传真</w:t>
      </w:r>
      <w:r>
        <w:rPr>
          <w:rFonts w:ascii="宋体" w:hAnsi="宋体" w:cs="宋体"/>
          <w:szCs w:val="21"/>
          <w:lang w:eastAsia="zh-Hans"/>
        </w:rPr>
        <w:t>、</w:t>
      </w:r>
      <w:r>
        <w:rPr>
          <w:rFonts w:hint="eastAsia" w:ascii="宋体" w:hAnsi="宋体" w:cs="宋体"/>
          <w:szCs w:val="21"/>
          <w:lang w:eastAsia="zh-Hans"/>
        </w:rPr>
        <w:t>短信</w:t>
      </w:r>
      <w:r>
        <w:rPr>
          <w:rFonts w:ascii="宋体" w:hAnsi="宋体" w:cs="宋体"/>
          <w:szCs w:val="21"/>
          <w:lang w:eastAsia="zh-Hans"/>
        </w:rPr>
        <w:t>、</w:t>
      </w:r>
      <w:r>
        <w:rPr>
          <w:rFonts w:hint="eastAsia" w:ascii="宋体" w:hAnsi="宋体" w:cs="宋体"/>
          <w:szCs w:val="21"/>
          <w:lang w:eastAsia="zh-Hans"/>
        </w:rPr>
        <w:t>电子邮件等通知方式</w:t>
      </w:r>
      <w:r>
        <w:rPr>
          <w:rFonts w:ascii="宋体" w:hAnsi="宋体" w:cs="宋体"/>
          <w:szCs w:val="21"/>
          <w:lang w:eastAsia="zh-Hans"/>
        </w:rPr>
        <w:t>）</w:t>
      </w:r>
      <w:r>
        <w:rPr>
          <w:rFonts w:hint="eastAsia" w:ascii="宋体" w:hAnsi="宋体" w:cs="宋体"/>
          <w:szCs w:val="21"/>
          <w:lang w:eastAsia="zh-Hans"/>
        </w:rPr>
        <w:t>后</w:t>
      </w:r>
      <w:r>
        <w:rPr>
          <w:rFonts w:ascii="宋体" w:hAnsi="宋体" w:cs="宋体"/>
          <w:szCs w:val="21"/>
          <w:lang w:eastAsia="zh-Hans"/>
        </w:rPr>
        <w:t>10</w:t>
      </w:r>
      <w:r>
        <w:rPr>
          <w:rFonts w:hint="eastAsia" w:ascii="宋体" w:hAnsi="宋体" w:cs="宋体"/>
          <w:szCs w:val="21"/>
          <w:lang w:eastAsia="zh-Hans"/>
        </w:rPr>
        <w:t>日内</w:t>
      </w:r>
      <w:r>
        <w:rPr>
          <w:rFonts w:hint="eastAsia" w:ascii="宋体" w:hAnsi="宋体" w:cs="宋体"/>
          <w:szCs w:val="21"/>
        </w:rPr>
        <w:t>负责</w:t>
      </w:r>
      <w:r>
        <w:rPr>
          <w:rFonts w:hint="eastAsia" w:ascii="宋体" w:hAnsi="宋体" w:cs="宋体"/>
          <w:szCs w:val="21"/>
          <w:lang w:eastAsia="zh-Hans"/>
        </w:rPr>
        <w:t>完成</w:t>
      </w:r>
      <w:r>
        <w:rPr>
          <w:rFonts w:hint="eastAsia" w:ascii="宋体" w:hAnsi="宋体" w:cs="宋体"/>
          <w:szCs w:val="21"/>
        </w:rPr>
        <w:t>更换</w:t>
      </w:r>
      <w:r>
        <w:rPr>
          <w:rFonts w:ascii="宋体" w:hAnsi="宋体" w:cs="宋体"/>
          <w:szCs w:val="21"/>
        </w:rPr>
        <w:t>、</w:t>
      </w:r>
      <w:r>
        <w:rPr>
          <w:rFonts w:hint="eastAsia" w:ascii="宋体" w:hAnsi="宋体" w:cs="宋体"/>
          <w:szCs w:val="21"/>
        </w:rPr>
        <w:t>补齐。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2、甲方应在10个工作日内完成到货验收工作，验收合格后在验收单上签署 “验收合格”字样。</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甲方委托的验收人在疫苗验收中发现不符合合同要求和验收标准或有异议时，及时通知乙方，乙方应在接到甲方通知（包括但不限于电话、短信、传真、电子邮件等方式）后十日内完成货物更换、补齐三天内给予答复，并负责处理，若需送法定质检部门检验，检验费用由乙方承担。如发现疫苗质量严重不符合质量要求的，甲方可通知乙方停止供货，解除合同，乙方自愿放弃一切抗辩权利。</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七、甲方义务：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1、到货后，甲方积极组织验收，乙方予以配合；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2、付款方式：</w:t>
      </w:r>
      <w:r>
        <w:rPr>
          <w:rFonts w:hint="eastAsia" w:ascii="宋体" w:hAnsi="宋体" w:cs="宋体"/>
          <w:kern w:val="0"/>
          <w:szCs w:val="21"/>
        </w:rPr>
        <w:t>经疫苗接收单位验收合格并在每批次疫苗投入使用2个月无异常后，凭验收合格证明、合同及按合同总价开据的发票（完税价），甲方积极协调本级财政拨付货款，严格按照合同约定，按供货数量向乙方支付货款。</w:t>
      </w:r>
    </w:p>
    <w:p>
      <w:pPr>
        <w:pStyle w:val="2"/>
        <w:spacing w:before="0" w:line="360" w:lineRule="auto"/>
        <w:ind w:firstLine="420" w:firstLineChars="200"/>
        <w:jc w:val="both"/>
        <w:rPr>
          <w:rFonts w:ascii="宋体" w:hAnsi="宋体" w:eastAsia="宋体" w:cs="宋体"/>
          <w:b w:val="0"/>
          <w:kern w:val="2"/>
          <w:sz w:val="21"/>
          <w:szCs w:val="21"/>
        </w:rPr>
      </w:pPr>
      <w:r>
        <w:rPr>
          <w:rFonts w:hint="eastAsia" w:ascii="宋体" w:hAnsi="宋体" w:eastAsia="宋体" w:cs="宋体"/>
          <w:b w:val="0"/>
          <w:kern w:val="2"/>
          <w:sz w:val="21"/>
          <w:szCs w:val="21"/>
        </w:rPr>
        <w:t>3、</w:t>
      </w:r>
      <w:r>
        <w:rPr>
          <w:rFonts w:hint="eastAsia" w:ascii="宋体" w:hAnsi="宋体" w:eastAsia="宋体" w:cs="宋体"/>
          <w:b w:val="0"/>
          <w:kern w:val="2"/>
          <w:sz w:val="21"/>
          <w:szCs w:val="21"/>
          <w:lang w:eastAsia="zh-Hans"/>
        </w:rPr>
        <w:t>乙方应当按照甲方要求提供增值税发票</w:t>
      </w:r>
      <w:r>
        <w:rPr>
          <w:rFonts w:ascii="宋体" w:hAnsi="宋体" w:eastAsia="宋体" w:cs="宋体"/>
          <w:b w:val="0"/>
          <w:kern w:val="2"/>
          <w:sz w:val="21"/>
          <w:szCs w:val="21"/>
          <w:lang w:eastAsia="zh-Hans"/>
        </w:rPr>
        <w:t>，</w:t>
      </w:r>
      <w:r>
        <w:rPr>
          <w:rFonts w:hint="eastAsia" w:ascii="宋体" w:hAnsi="宋体" w:eastAsia="宋体" w:cs="宋体"/>
          <w:b w:val="0"/>
          <w:kern w:val="2"/>
          <w:sz w:val="21"/>
          <w:szCs w:val="21"/>
          <w:lang w:eastAsia="zh-Hans"/>
        </w:rPr>
        <w:t>如乙方未按时提供</w:t>
      </w:r>
      <w:r>
        <w:rPr>
          <w:rFonts w:ascii="宋体" w:hAnsi="宋体" w:eastAsia="宋体" w:cs="宋体"/>
          <w:b w:val="0"/>
          <w:kern w:val="2"/>
          <w:sz w:val="21"/>
          <w:szCs w:val="21"/>
          <w:lang w:eastAsia="zh-Hans"/>
        </w:rPr>
        <w:t>，</w:t>
      </w:r>
      <w:r>
        <w:rPr>
          <w:rFonts w:hint="eastAsia" w:ascii="宋体" w:hAnsi="宋体" w:eastAsia="宋体" w:cs="宋体"/>
          <w:b w:val="0"/>
          <w:kern w:val="2"/>
          <w:sz w:val="21"/>
          <w:szCs w:val="21"/>
          <w:lang w:eastAsia="zh-Hans"/>
        </w:rPr>
        <w:t>甲方付款时间相应顺延</w:t>
      </w:r>
      <w:r>
        <w:rPr>
          <w:rFonts w:hint="eastAsia" w:ascii="宋体" w:hAnsi="宋体" w:eastAsia="宋体" w:cs="宋体"/>
          <w:b w:val="0"/>
          <w:kern w:val="2"/>
          <w:sz w:val="21"/>
          <w:szCs w:val="21"/>
        </w:rPr>
        <w:t>。</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八、乙方义务：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1、乙方须按招标文件规定向甲方提交履约保证金；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2、乙方所提供的动物疫苗符合国家现行标准，因质量问题而发生的任何损失均由乙方负责；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3、乙方承担交货前的一切风险和费用；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4、乙方在发运疫苗时需提供相应的技术文件，包括使用说明等；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5、乙方对所供产品保质期应按生产厂商的承诺执行(附生产厂家承诺)以实际产品招标文件要求执行。</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九、培训和售后服务：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(1)乙方应根据销售计划无偿为甲方提供畜禽免疫相关知识的培训，培训次数≥2次/年，培训时长≥10天/次；甲方可以提出培训计划，培训费用由乙方承担，培训对象为甲方确定的相关兽医技术人员。</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(2)因注射疫苗造成副反应，发生畜禽发病、死亡造成重大经济损失的，供货厂家12小时内派人现场调查解决或由供需双方组成联合调查组认定，确认是由于疫苗质量引起的损失，将由供货厂家</w:t>
      </w:r>
      <w:r>
        <w:rPr>
          <w:rFonts w:hint="eastAsia" w:ascii="宋体" w:hAnsi="宋体" w:cs="宋体"/>
          <w:szCs w:val="21"/>
          <w:lang w:eastAsia="zh-Hans"/>
        </w:rPr>
        <w:t>赔偿并承担全部法律责任</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(3)如因注射疫苗暴发疫情，乙方与供货厂家应会同有关部门组成调查小组查清原因，确认是由产品质量原因造成，供货厂家应承担扑疫经费，并赔偿相应的经济损失。</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如果伊犁州直范围内畜禽因注射乙方提供的疫苗后出现规模性群体性疫苗副反应，乙方应在12小时内派专业技术人员到达现场，进行采样、分析和解决问题，并承担不良反应所造成的一切损失；因疫苗原因造成畜禽群体性应激反应甚至死亡的，经当地县（市）防治重大动物疫病指挥部、县（市）畜牧兽医发展中心或委托第三方机构进行认定，确认后，由乙方主动对受损失的养殖户按照死亡动物市价的50%进行补偿。补偿不及时或拒不补偿的，履约保证金不予退还，上交国库。</w:t>
      </w:r>
    </w:p>
    <w:p>
      <w:pPr>
        <w:adjustRightInd w:val="0"/>
        <w:snapToGrid w:val="0"/>
        <w:spacing w:line="360" w:lineRule="auto"/>
        <w:ind w:firstLine="420" w:firstLineChars="200"/>
        <w:rPr>
          <w:rFonts w:ascii="宋体" w:hAnsi="宋体" w:cs="宋体"/>
          <w:bCs/>
          <w:szCs w:val="21"/>
        </w:rPr>
      </w:pPr>
      <w:r>
        <w:rPr>
          <w:rFonts w:hint="eastAsia" w:ascii="宋体" w:hAnsi="宋体" w:cs="宋体"/>
          <w:szCs w:val="21"/>
        </w:rPr>
        <w:t>(5)</w:t>
      </w:r>
      <w:r>
        <w:rPr>
          <w:rFonts w:hint="eastAsia" w:ascii="宋体" w:hAnsi="宋体" w:cs="宋体"/>
          <w:bCs/>
          <w:szCs w:val="21"/>
        </w:rPr>
        <w:t>经甲方组织对各类疫苗抗体效价测定，达不到国家要求的疫苗，停止继续使用，中止供苗合同，必要时要对提供疫苗造成的损失进行赔偿。</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十、违约责任：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1、凡货款由财政国库或甲方支付的,乙方凭合同向甲方供货,未见合同供货而造成的一切后果由乙方负责。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乙方不履行合同或交付的疫苗全部或部分不符合合同要求的，甲方或甲方委托验收人有权拒收不符合质量要求的全部或部分疫苗，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疫苗质量不符合合同规定时，乙方负责包退包换。由于上述原因导致延误交货时间的，每延误一日，乙方应按逾期交货部分疫苗价款总值的5‰向甲方偿付违约金，违约金上限不超过合同总价款的20%；延误交货超过10日，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乙方必须按合同规定的日期交货，每逾期一日，乙方必须向甲方支付逾期交货疫苗总额5‰的违约金，违约金上限不超过合同总价款的20%；逾期交货超过10日，甲方有权解除合同，履约保证金不予退还，上交国库；由此造成的一切损失均由乙方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疫苗作为生物制品，在运输过程中必须按照生物制品运输保存的条件要求使用冷链进行运送，运输工具要配温度记录装置，疫苗接收单位将现场测温，对不符合动物疫苗运输条件的疫苗，疫苗接收单位有权拒收。由此造成的一切损失由乙方承担。</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十一、合同解释：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 xml:space="preserve">如合同条文存在歧义，《民法典》又无明文规定，依照交易习惯和采购当事人招标文件、投标文件以及订立合同的目的做合理并且善意的解释，以维护交易安全和社会的公序良俗。 </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招标文件、投标文件，乙方在评标过程中的承诺文件，合同所附供货一览表均为本合同不可分割的一部分。如果供货一览表的内容与招、投标文件和评标结果表不一致时，以招、投标文件和评标结果表为准。</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十二、争议解决</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本合同执行过程中发生的一切争议，双方应通过友好协商解决，如协商不能解决，任何一方均可向甲方所在地人民法院诉讼解决。</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十三、合同生效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本合同经甲乙双方签字盖章后且甲方收到乙方提交的履约保证金后生效。本合同具有法律效力，受国家法律保护。</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十四、合同份数</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本合同一式六份，伊犁哈萨克自治州畜牧兽医局备档一份，甲乙双方各执二份，采购代理机构一份。</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十五、其他</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其它未尽事宜由甲乙双方协商约定。另定补充协议，补充协议与本协议具有同等法律效力。</w:t>
      </w:r>
    </w:p>
    <w:p>
      <w:pPr>
        <w:adjustRightInd w:val="0"/>
        <w:snapToGrid w:val="0"/>
        <w:spacing w:line="360" w:lineRule="auto"/>
        <w:ind w:firstLine="420" w:firstLineChars="200"/>
        <w:rPr>
          <w:rFonts w:ascii="宋体" w:hAnsi="宋体" w:cs="宋体"/>
          <w:kern w:val="0"/>
          <w:szCs w:val="21"/>
        </w:rPr>
      </w:pPr>
    </w:p>
    <w:p>
      <w:pPr>
        <w:widowControl/>
        <w:spacing w:line="360" w:lineRule="auto"/>
        <w:jc w:val="left"/>
        <w:rPr>
          <w:rFonts w:ascii="宋体" w:hAnsi="宋体" w:cs="宋体"/>
          <w:b/>
          <w:kern w:val="0"/>
          <w:szCs w:val="21"/>
        </w:rPr>
      </w:pPr>
    </w:p>
    <w:p>
      <w:pPr>
        <w:widowControl/>
        <w:spacing w:line="360" w:lineRule="auto"/>
        <w:jc w:val="left"/>
        <w:rPr>
          <w:rFonts w:ascii="宋体" w:hAnsi="宋体" w:cs="宋体"/>
          <w:b/>
          <w:kern w:val="0"/>
          <w:szCs w:val="21"/>
        </w:rPr>
      </w:pPr>
    </w:p>
    <w:p>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甲方：</w:t>
      </w:r>
      <w:r>
        <w:rPr>
          <w:rFonts w:hint="eastAsia" w:ascii="宋体" w:hAnsi="宋体" w:cs="宋体"/>
          <w:szCs w:val="21"/>
        </w:rPr>
        <w:t>伊犁哈萨克自治州动物疾病控制与诊断中心</w:t>
      </w:r>
      <w:r>
        <w:rPr>
          <w:rFonts w:hint="eastAsia" w:ascii="宋体" w:hAnsi="宋体" w:cs="宋体"/>
          <w:bCs/>
          <w:kern w:val="0"/>
          <w:szCs w:val="21"/>
        </w:rPr>
        <w:t xml:space="preserve">    乙方：                   </w:t>
      </w:r>
    </w:p>
    <w:p>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（盖章）                                       （盖章）</w:t>
      </w:r>
    </w:p>
    <w:p>
      <w:pPr>
        <w:widowControl/>
        <w:spacing w:line="360" w:lineRule="auto"/>
        <w:ind w:firstLine="420" w:firstLineChars="200"/>
        <w:jc w:val="left"/>
        <w:rPr>
          <w:rFonts w:ascii="宋体" w:hAnsi="宋体" w:cs="宋体"/>
          <w:bCs/>
          <w:kern w:val="0"/>
          <w:szCs w:val="21"/>
        </w:rPr>
      </w:pPr>
      <w:r>
        <w:rPr>
          <w:rFonts w:hint="eastAsia" w:ascii="宋体" w:hAnsi="宋体" w:cs="宋体"/>
          <w:bCs/>
          <w:kern w:val="0"/>
          <w:szCs w:val="21"/>
        </w:rPr>
        <w:t xml:space="preserve">法定代表人或其授权代表：                      法定代表人或其授权代表：        </w:t>
      </w:r>
    </w:p>
    <w:p>
      <w:pPr>
        <w:widowControl/>
        <w:spacing w:line="360" w:lineRule="auto"/>
        <w:ind w:firstLine="420" w:firstLineChars="200"/>
        <w:jc w:val="left"/>
        <w:rPr>
          <w:rFonts w:ascii="宋体" w:hAnsi="宋体" w:cs="宋体"/>
          <w:bCs/>
          <w:kern w:val="0"/>
          <w:szCs w:val="21"/>
        </w:rPr>
      </w:pPr>
    </w:p>
    <w:p>
      <w:pPr>
        <w:pStyle w:val="8"/>
        <w:numPr>
          <w:ilvl w:val="0"/>
          <w:numId w:val="0"/>
        </w:numPr>
        <w:spacing w:line="360" w:lineRule="auto"/>
        <w:ind w:firstLine="420" w:firstLineChars="200"/>
        <w:rPr>
          <w:rFonts w:ascii="宋体" w:hAnsi="宋体" w:eastAsia="宋体" w:cs="宋体"/>
          <w:bCs/>
          <w:kern w:val="0"/>
          <w:sz w:val="21"/>
          <w:szCs w:val="21"/>
        </w:rPr>
      </w:pPr>
      <w:r>
        <w:rPr>
          <w:rFonts w:hint="eastAsia" w:ascii="宋体" w:hAnsi="宋体" w:eastAsia="宋体" w:cs="宋体"/>
          <w:bCs/>
          <w:kern w:val="0"/>
          <w:sz w:val="21"/>
          <w:szCs w:val="21"/>
        </w:rPr>
        <w:t xml:space="preserve">联系电话： </w:t>
      </w:r>
      <w:r>
        <w:rPr>
          <w:rFonts w:hint="eastAsia" w:ascii="宋体" w:hAnsi="宋体" w:eastAsia="宋体" w:cs="宋体"/>
          <w:kern w:val="0"/>
          <w:sz w:val="21"/>
          <w:szCs w:val="21"/>
        </w:rPr>
        <w:t>13369995355</w:t>
      </w:r>
      <w:r>
        <w:rPr>
          <w:rFonts w:hint="eastAsia" w:ascii="宋体" w:hAnsi="宋体" w:eastAsia="宋体" w:cs="宋体"/>
          <w:bCs/>
          <w:kern w:val="0"/>
          <w:sz w:val="21"/>
          <w:szCs w:val="21"/>
        </w:rPr>
        <w:t xml:space="preserve">                        联系电话：                      </w:t>
      </w:r>
    </w:p>
    <w:p>
      <w:pPr>
        <w:widowControl/>
        <w:spacing w:line="360" w:lineRule="auto"/>
        <w:ind w:firstLine="420" w:firstLineChars="200"/>
        <w:jc w:val="left"/>
        <w:rPr>
          <w:rFonts w:ascii="宋体" w:hAnsi="宋体" w:cs="宋体"/>
          <w:bCs/>
          <w:kern w:val="0"/>
          <w:szCs w:val="21"/>
        </w:rPr>
      </w:pPr>
    </w:p>
    <w:p>
      <w:pPr>
        <w:pStyle w:val="8"/>
        <w:numPr>
          <w:ilvl w:val="0"/>
          <w:numId w:val="0"/>
        </w:numPr>
        <w:spacing w:line="360" w:lineRule="auto"/>
        <w:ind w:firstLine="420" w:firstLineChars="200"/>
        <w:rPr>
          <w:rFonts w:ascii="宋体" w:hAnsi="宋体" w:eastAsia="宋体" w:cs="宋体"/>
          <w:bCs/>
          <w:kern w:val="0"/>
          <w:sz w:val="21"/>
          <w:szCs w:val="21"/>
        </w:rPr>
      </w:pPr>
      <w:r>
        <w:rPr>
          <w:rFonts w:hint="eastAsia" w:ascii="宋体" w:hAnsi="宋体" w:eastAsia="宋体" w:cs="宋体"/>
          <w:bCs/>
          <w:kern w:val="0"/>
          <w:sz w:val="21"/>
          <w:szCs w:val="21"/>
        </w:rPr>
        <w:t xml:space="preserve">开户行：                                      开户行：                        </w:t>
      </w:r>
    </w:p>
    <w:p>
      <w:pPr>
        <w:pStyle w:val="8"/>
        <w:numPr>
          <w:ilvl w:val="0"/>
          <w:numId w:val="0"/>
        </w:numPr>
        <w:spacing w:line="360" w:lineRule="auto"/>
        <w:ind w:firstLine="420" w:firstLineChars="200"/>
        <w:rPr>
          <w:rFonts w:ascii="宋体" w:hAnsi="宋体" w:eastAsia="宋体" w:cs="宋体"/>
          <w:bCs/>
          <w:kern w:val="0"/>
          <w:sz w:val="21"/>
          <w:szCs w:val="21"/>
        </w:rPr>
      </w:pPr>
    </w:p>
    <w:p>
      <w:pPr>
        <w:pStyle w:val="8"/>
        <w:numPr>
          <w:ilvl w:val="0"/>
          <w:numId w:val="0"/>
        </w:numPr>
        <w:spacing w:line="360" w:lineRule="auto"/>
        <w:ind w:firstLine="420" w:firstLineChars="200"/>
        <w:rPr>
          <w:rFonts w:ascii="宋体" w:hAnsi="宋体" w:eastAsia="宋体" w:cs="宋体"/>
          <w:bCs/>
          <w:kern w:val="0"/>
          <w:sz w:val="21"/>
          <w:szCs w:val="21"/>
        </w:rPr>
      </w:pPr>
      <w:r>
        <w:rPr>
          <w:rFonts w:hint="eastAsia" w:ascii="宋体" w:hAnsi="宋体" w:eastAsia="宋体" w:cs="宋体"/>
          <w:bCs/>
          <w:kern w:val="0"/>
          <w:sz w:val="21"/>
          <w:szCs w:val="21"/>
        </w:rPr>
        <w:t xml:space="preserve">账户：                                        账户：                          </w:t>
      </w:r>
    </w:p>
    <w:p>
      <w:pPr>
        <w:pStyle w:val="8"/>
        <w:numPr>
          <w:ilvl w:val="0"/>
          <w:numId w:val="0"/>
        </w:numPr>
        <w:spacing w:line="360" w:lineRule="auto"/>
        <w:ind w:firstLine="420" w:firstLineChars="200"/>
        <w:rPr>
          <w:rFonts w:ascii="宋体" w:hAnsi="宋体" w:eastAsia="宋体" w:cs="宋体"/>
          <w:bCs/>
          <w:kern w:val="0"/>
          <w:sz w:val="21"/>
          <w:szCs w:val="21"/>
        </w:rPr>
      </w:pPr>
    </w:p>
    <w:p>
      <w:pPr>
        <w:pStyle w:val="8"/>
        <w:numPr>
          <w:ilvl w:val="0"/>
          <w:numId w:val="0"/>
        </w:numPr>
        <w:spacing w:line="360" w:lineRule="auto"/>
        <w:ind w:firstLine="420" w:firstLineChars="200"/>
        <w:rPr>
          <w:rFonts w:ascii="宋体" w:hAnsi="宋体" w:eastAsia="宋体" w:cs="宋体"/>
          <w:bCs/>
          <w:kern w:val="0"/>
          <w:sz w:val="21"/>
          <w:szCs w:val="21"/>
        </w:rPr>
      </w:pPr>
      <w:r>
        <w:rPr>
          <w:rFonts w:hint="eastAsia" w:ascii="宋体" w:hAnsi="宋体" w:eastAsia="宋体" w:cs="宋体"/>
          <w:bCs/>
          <w:kern w:val="0"/>
          <w:sz w:val="21"/>
          <w:szCs w:val="21"/>
        </w:rPr>
        <w:t>地址：</w:t>
      </w:r>
      <w:r>
        <w:rPr>
          <w:rFonts w:hint="eastAsia" w:ascii="宋体" w:hAnsi="宋体" w:eastAsia="宋体" w:cs="宋体"/>
          <w:sz w:val="21"/>
          <w:szCs w:val="21"/>
        </w:rPr>
        <w:t>新疆伊宁市胜利街</w:t>
      </w:r>
      <w:r>
        <w:rPr>
          <w:rFonts w:hint="eastAsia" w:ascii="宋体" w:hAnsi="宋体" w:eastAsia="宋体" w:cs="宋体"/>
          <w:bCs/>
          <w:kern w:val="0"/>
          <w:sz w:val="21"/>
          <w:szCs w:val="21"/>
        </w:rPr>
        <w:t xml:space="preserve">                        地址：                          </w:t>
      </w:r>
    </w:p>
    <w:p>
      <w:pPr>
        <w:widowControl/>
        <w:spacing w:line="360" w:lineRule="auto"/>
        <w:ind w:firstLine="420" w:firstLineChars="200"/>
        <w:jc w:val="left"/>
        <w:rPr>
          <w:rFonts w:ascii="宋体" w:hAnsi="宋体" w:cs="宋体"/>
          <w:bCs/>
          <w:kern w:val="0"/>
          <w:szCs w:val="21"/>
        </w:rPr>
      </w:pPr>
    </w:p>
    <w:p>
      <w:pPr>
        <w:widowControl/>
        <w:spacing w:line="360" w:lineRule="auto"/>
        <w:ind w:firstLine="420" w:firstLineChars="200"/>
        <w:jc w:val="left"/>
        <w:rPr>
          <w:rFonts w:ascii="宋体" w:hAnsi="宋体" w:cs="宋体"/>
          <w:bCs/>
          <w:szCs w:val="21"/>
        </w:rPr>
      </w:pPr>
      <w:r>
        <w:rPr>
          <w:rFonts w:hint="eastAsia" w:ascii="宋体" w:hAnsi="宋体" w:cs="宋体"/>
          <w:bCs/>
          <w:kern w:val="0"/>
          <w:szCs w:val="21"/>
        </w:rPr>
        <w:t>日 期：                                       日期：</w:t>
      </w:r>
    </w:p>
    <w:p>
      <w:pPr>
        <w:pStyle w:val="8"/>
        <w:numPr>
          <w:ilvl w:val="0"/>
          <w:numId w:val="0"/>
        </w:numPr>
        <w:rPr>
          <w:rFonts w:ascii="宋体" w:hAnsi="宋体" w:eastAsia="宋体"/>
          <w:sz w:val="21"/>
          <w:szCs w:val="21"/>
        </w:rPr>
      </w:pPr>
    </w:p>
    <w:p>
      <w:pPr>
        <w:pStyle w:val="8"/>
        <w:numPr>
          <w:ilvl w:val="0"/>
          <w:numId w:val="0"/>
        </w:numPr>
        <w:rPr>
          <w:rFonts w:ascii="宋体" w:hAnsi="宋体" w:eastAsia="宋体"/>
          <w:sz w:val="21"/>
          <w:szCs w:val="21"/>
        </w:rPr>
      </w:pPr>
    </w:p>
    <w:p/>
    <w:p>
      <w:pPr>
        <w:pStyle w:val="8"/>
        <w:numPr>
          <w:ilvl w:val="0"/>
          <w:numId w:val="0"/>
        </w:numPr>
        <w:rPr>
          <w:rFonts w:ascii="宋体" w:hAnsi="宋体" w:eastAsia="宋体"/>
          <w:sz w:val="21"/>
          <w:szCs w:val="21"/>
        </w:rPr>
      </w:pPr>
    </w:p>
    <w:p>
      <w:pPr>
        <w:ind w:firstLine="2730" w:firstLineChars="1300"/>
        <w:rPr>
          <w:rFonts w:ascii="黑体" w:hAnsi="黑体" w:eastAsia="黑体" w:cs="黑体"/>
          <w:b/>
          <w:sz w:val="32"/>
          <w:szCs w:val="32"/>
        </w:rPr>
      </w:pPr>
      <w:r>
        <w:rPr>
          <w:rFonts w:hint="eastAsia" w:ascii="宋体" w:hAnsi="宋体" w:cs="黑体"/>
          <w:bCs/>
          <w:szCs w:val="21"/>
        </w:rPr>
        <w:br w:type="page"/>
      </w:r>
      <w:bookmarkStart w:id="32" w:name="_Toc25473"/>
      <w:r>
        <w:rPr>
          <w:rFonts w:hint="eastAsia" w:ascii="黑体" w:hAnsi="黑体" w:eastAsia="黑体" w:cs="黑体"/>
          <w:sz w:val="32"/>
          <w:szCs w:val="32"/>
        </w:rPr>
        <w:t>第四章 技术标准和服务要求</w:t>
      </w:r>
      <w:bookmarkEnd w:id="32"/>
      <w:bookmarkStart w:id="33" w:name="_Toc138638534"/>
      <w:bookmarkEnd w:id="33"/>
      <w:bookmarkStart w:id="34" w:name="_Toc138639145"/>
      <w:bookmarkEnd w:id="34"/>
      <w:bookmarkStart w:id="35" w:name="_Toc138638906"/>
      <w:bookmarkEnd w:id="35"/>
      <w:bookmarkStart w:id="36" w:name="_Toc138638718"/>
      <w:bookmarkEnd w:id="36"/>
      <w:bookmarkStart w:id="37" w:name="_Toc138638535"/>
      <w:bookmarkEnd w:id="37"/>
      <w:bookmarkStart w:id="38" w:name="_合同文件的组成及解释顺序"/>
      <w:bookmarkEnd w:id="38"/>
      <w:bookmarkStart w:id="39" w:name="_Toc138638719"/>
      <w:bookmarkEnd w:id="39"/>
      <w:bookmarkStart w:id="40" w:name="_Toc138638910"/>
      <w:bookmarkEnd w:id="40"/>
      <w:bookmarkStart w:id="41" w:name="_Toc138639074"/>
      <w:bookmarkEnd w:id="41"/>
      <w:bookmarkStart w:id="42" w:name="_Toc138638509"/>
      <w:bookmarkEnd w:id="42"/>
      <w:bookmarkStart w:id="43" w:name="_Toc138639090"/>
      <w:bookmarkEnd w:id="43"/>
      <w:bookmarkStart w:id="44" w:name="_Toc138638702"/>
      <w:bookmarkEnd w:id="44"/>
      <w:bookmarkStart w:id="45" w:name="_Toc138638538"/>
      <w:bookmarkEnd w:id="45"/>
      <w:bookmarkStart w:id="46" w:name="_Toc138638883"/>
      <w:bookmarkEnd w:id="46"/>
      <w:bookmarkStart w:id="47" w:name="_Toc138638884"/>
      <w:bookmarkEnd w:id="47"/>
      <w:bookmarkStart w:id="48" w:name="_Toc138638510"/>
      <w:bookmarkEnd w:id="48"/>
      <w:bookmarkStart w:id="49" w:name="_Toc138638907"/>
      <w:bookmarkEnd w:id="49"/>
      <w:bookmarkStart w:id="50" w:name="_Toc138639091"/>
      <w:bookmarkEnd w:id="50"/>
      <w:bookmarkStart w:id="51" w:name="_Toc138638773"/>
      <w:bookmarkEnd w:id="51"/>
    </w:p>
    <w:p>
      <w:pPr>
        <w:pStyle w:val="11"/>
        <w:rPr>
          <w:rFonts w:cs="宋体"/>
          <w:kern w:val="0"/>
          <w:szCs w:val="21"/>
        </w:rPr>
      </w:pPr>
    </w:p>
    <w:p>
      <w:pPr>
        <w:numPr>
          <w:ilvl w:val="0"/>
          <w:numId w:val="5"/>
        </w:numPr>
        <w:tabs>
          <w:tab w:val="center" w:pos="4832"/>
          <w:tab w:val="left" w:pos="7140"/>
        </w:tabs>
        <w:spacing w:line="360" w:lineRule="auto"/>
        <w:jc w:val="center"/>
        <w:outlineLvl w:val="1"/>
        <w:rPr>
          <w:rFonts w:ascii="宋体" w:hAnsi="宋体" w:cs="宋体"/>
          <w:b/>
          <w:szCs w:val="21"/>
        </w:rPr>
      </w:pPr>
      <w:bookmarkStart w:id="52" w:name="_Toc16551"/>
      <w:r>
        <w:rPr>
          <w:rFonts w:hint="eastAsia" w:ascii="宋体" w:hAnsi="宋体" w:cs="宋体"/>
          <w:b/>
          <w:bCs/>
          <w:szCs w:val="21"/>
        </w:rPr>
        <w:t>重大动物疫病疫苗采购项目需求技术参数</w:t>
      </w:r>
      <w:bookmarkEnd w:id="52"/>
    </w:p>
    <w:p>
      <w:pPr>
        <w:spacing w:line="360" w:lineRule="auto"/>
        <w:ind w:firstLine="435"/>
        <w:rPr>
          <w:rFonts w:ascii="宋体" w:hAnsi="宋体" w:cs="宋体"/>
          <w:szCs w:val="21"/>
        </w:rPr>
      </w:pPr>
      <w:r>
        <w:rPr>
          <w:rFonts w:hint="eastAsia" w:ascii="宋体" w:hAnsi="宋体" w:cs="@仿宋_GB2312"/>
          <w:b/>
          <w:szCs w:val="21"/>
        </w:rPr>
        <w:t xml:space="preserve"> </w:t>
      </w:r>
      <w:r>
        <w:rPr>
          <w:rFonts w:hint="eastAsia" w:ascii="宋体" w:hAnsi="宋体" w:cs="宋体"/>
          <w:szCs w:val="21"/>
        </w:rPr>
        <w:t>1.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pStyle w:val="8"/>
        <w:numPr>
          <w:ilvl w:val="0"/>
          <w:numId w:val="0"/>
        </w:num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pStyle w:val="8"/>
        <w:numPr>
          <w:ilvl w:val="0"/>
          <w:numId w:val="0"/>
        </w:numP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3.投标产品的技术标准应严格执行新疆维吾尔自治区新牧防字【2022】1</w:t>
      </w:r>
      <w:r>
        <w:rPr>
          <w:rFonts w:hint="eastAsia" w:ascii="宋体" w:hAnsi="宋体" w:eastAsia="宋体" w:cs="宋体"/>
          <w:sz w:val="24"/>
          <w:szCs w:val="24"/>
        </w:rPr>
        <w:t>号</w:t>
      </w:r>
      <w:r>
        <w:rPr>
          <w:rFonts w:hint="eastAsia" w:ascii="宋体" w:hAnsi="宋体" w:eastAsia="宋体" w:cs="宋体"/>
          <w:sz w:val="21"/>
          <w:szCs w:val="21"/>
        </w:rPr>
        <w:t>《关于印发&lt;新疆维吾尔自治区2022年动物疫病免疫计划&gt;的通知》及其附件的相关规定。</w:t>
      </w:r>
    </w:p>
    <w:p>
      <w:pPr>
        <w:pStyle w:val="8"/>
        <w:numPr>
          <w:ilvl w:val="0"/>
          <w:numId w:val="0"/>
        </w:numPr>
        <w:rPr>
          <w:rFonts w:ascii="宋体" w:hAnsi="宋体" w:eastAsia="宋体"/>
          <w:sz w:val="21"/>
          <w:szCs w:val="21"/>
        </w:rPr>
      </w:pPr>
    </w:p>
    <w:tbl>
      <w:tblPr>
        <w:tblStyle w:val="21"/>
        <w:tblpPr w:leftFromText="180" w:rightFromText="180" w:vertAnchor="text" w:horzAnchor="page" w:tblpX="1411" w:tblpY="219"/>
        <w:tblOverlap w:val="never"/>
        <w:tblW w:w="9696" w:type="dxa"/>
        <w:tblInd w:w="0" w:type="dxa"/>
        <w:tblLayout w:type="fixed"/>
        <w:tblCellMar>
          <w:top w:w="0" w:type="dxa"/>
          <w:left w:w="0" w:type="dxa"/>
          <w:bottom w:w="0" w:type="dxa"/>
          <w:right w:w="0" w:type="dxa"/>
        </w:tblCellMar>
      </w:tblPr>
      <w:tblGrid>
        <w:gridCol w:w="656"/>
        <w:gridCol w:w="1912"/>
        <w:gridCol w:w="1566"/>
        <w:gridCol w:w="4896"/>
        <w:gridCol w:w="666"/>
      </w:tblGrid>
      <w:tr>
        <w:tblPrEx>
          <w:tblCellMar>
            <w:top w:w="0" w:type="dxa"/>
            <w:left w:w="0" w:type="dxa"/>
            <w:bottom w:w="0" w:type="dxa"/>
            <w:right w:w="0" w:type="dxa"/>
          </w:tblCellMar>
        </w:tblPrEx>
        <w:trPr>
          <w:trHeight w:val="82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序号</w:t>
            </w: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疫苗品名</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作用与用途</w:t>
            </w:r>
          </w:p>
        </w:tc>
        <w:tc>
          <w:tcPr>
            <w:tcW w:w="4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主要技术参数及要求</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ascii="宋体" w:hAnsi="宋体" w:cs="宋体"/>
                <w:b/>
                <w:bCs/>
                <w:szCs w:val="21"/>
                <w:highlight w:val="none"/>
              </w:rPr>
            </w:pPr>
            <w:r>
              <w:rPr>
                <w:rFonts w:hint="eastAsia" w:ascii="宋体" w:hAnsi="宋体" w:cs="宋体"/>
                <w:b/>
                <w:bCs/>
                <w:szCs w:val="21"/>
                <w:highlight w:val="none"/>
              </w:rPr>
              <w:t>数量</w:t>
            </w:r>
          </w:p>
        </w:tc>
      </w:tr>
      <w:tr>
        <w:tblPrEx>
          <w:tblCellMar>
            <w:top w:w="0" w:type="dxa"/>
            <w:left w:w="0" w:type="dxa"/>
            <w:bottom w:w="0" w:type="dxa"/>
            <w:right w:w="0" w:type="dxa"/>
          </w:tblCellMar>
        </w:tblPrEx>
        <w:trPr>
          <w:trHeight w:val="406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宋体" w:hAnsi="宋体" w:cs="宋体"/>
                <w:b/>
                <w:bCs/>
                <w:szCs w:val="21"/>
                <w:highlight w:val="none"/>
              </w:rPr>
            </w:pPr>
            <w:r>
              <w:rPr>
                <w:rFonts w:hint="eastAsia" w:ascii="宋体" w:hAnsi="宋体" w:cs="宋体"/>
                <w:kern w:val="0"/>
                <w:szCs w:val="21"/>
                <w:highlight w:val="none"/>
                <w:lang w:bidi="ar"/>
              </w:rPr>
              <w:t>1</w:t>
            </w: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szCs w:val="21"/>
                <w:highlight w:val="none"/>
              </w:rPr>
              <w:t>牛羊用口蹄疫O型、A型二价灭活疫苗（O/MYA98/BY/2010 株或OHM/02株或O/HB/HK/99株+AKT-Ⅲ株或Re-A/WH/09 株或AF/72株）</w:t>
            </w:r>
          </w:p>
        </w:tc>
        <w:tc>
          <w:tcPr>
            <w:tcW w:w="15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宋体"/>
                <w:b/>
                <w:bCs/>
                <w:szCs w:val="21"/>
                <w:highlight w:val="none"/>
              </w:rPr>
            </w:pPr>
            <w:r>
              <w:rPr>
                <w:rFonts w:hint="eastAsia" w:ascii="宋体" w:hAnsi="宋体" w:cs="宋体"/>
                <w:kern w:val="0"/>
                <w:szCs w:val="21"/>
                <w:highlight w:val="none"/>
                <w:lang w:bidi="ar"/>
              </w:rPr>
              <w:t>用于预防牛、羊O型、A型口蹄疫</w:t>
            </w:r>
          </w:p>
        </w:tc>
        <w:tc>
          <w:tcPr>
            <w:tcW w:w="48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left"/>
              <w:textAlignment w:val="center"/>
              <w:rPr>
                <w:rStyle w:val="31"/>
                <w:rFonts w:ascii="宋体" w:hAnsi="宋体" w:eastAsia="宋体" w:cs="宋体"/>
                <w:color w:val="auto"/>
                <w:sz w:val="21"/>
                <w:szCs w:val="21"/>
                <w:highlight w:val="none"/>
                <w:lang w:bidi="ar"/>
              </w:rPr>
            </w:pPr>
            <w:r>
              <w:rPr>
                <w:rStyle w:val="31"/>
                <w:rFonts w:hint="eastAsia" w:ascii="宋体" w:hAnsi="宋体" w:eastAsia="宋体" w:cs="宋体"/>
                <w:color w:val="auto"/>
                <w:sz w:val="21"/>
                <w:szCs w:val="21"/>
                <w:highlight w:val="none"/>
                <w:lang w:bidi="ar"/>
              </w:rPr>
              <w:t>1.规格：50、100毫升/瓶。</w:t>
            </w:r>
          </w:p>
          <w:p>
            <w:pPr>
              <w:widowControl/>
              <w:spacing w:line="360" w:lineRule="auto"/>
              <w:jc w:val="left"/>
              <w:textAlignment w:val="center"/>
              <w:rPr>
                <w:rStyle w:val="31"/>
                <w:rFonts w:ascii="宋体" w:hAnsi="宋体" w:eastAsia="宋体" w:cs="宋体"/>
                <w:color w:val="auto"/>
                <w:sz w:val="21"/>
                <w:szCs w:val="21"/>
                <w:highlight w:val="none"/>
                <w:lang w:bidi="ar"/>
              </w:rPr>
            </w:pPr>
            <w:r>
              <w:rPr>
                <w:rStyle w:val="31"/>
                <w:rFonts w:hint="eastAsia" w:ascii="宋体" w:hAnsi="宋体" w:eastAsia="宋体" w:cs="宋体"/>
                <w:color w:val="auto"/>
                <w:sz w:val="21"/>
                <w:szCs w:val="21"/>
                <w:highlight w:val="none"/>
                <w:lang w:bidi="ar"/>
              </w:rPr>
              <w:t>2.贮藏与有效期：在2-8℃保存，有效期为12个月。</w:t>
            </w:r>
          </w:p>
          <w:p>
            <w:pPr>
              <w:widowControl/>
              <w:spacing w:line="360" w:lineRule="auto"/>
              <w:jc w:val="left"/>
              <w:textAlignment w:val="center"/>
              <w:rPr>
                <w:rStyle w:val="31"/>
                <w:rFonts w:ascii="宋体" w:hAnsi="宋体" w:eastAsia="宋体" w:cs="宋体"/>
                <w:color w:val="auto"/>
                <w:sz w:val="21"/>
                <w:szCs w:val="21"/>
                <w:highlight w:val="none"/>
                <w:lang w:bidi="ar"/>
              </w:rPr>
            </w:pPr>
            <w:r>
              <w:rPr>
                <w:rStyle w:val="31"/>
                <w:rFonts w:hint="eastAsia" w:ascii="宋体" w:hAnsi="宋体" w:eastAsia="宋体" w:cs="宋体"/>
                <w:color w:val="auto"/>
                <w:sz w:val="21"/>
                <w:szCs w:val="21"/>
                <w:highlight w:val="none"/>
                <w:lang w:bidi="ar"/>
              </w:rPr>
              <w:t>3.产品的安全检验指标应符合中国兽医药品监察所审核认可的“兽用生物制品生产与检验报告”要求，</w:t>
            </w:r>
            <w:r>
              <w:rPr>
                <w:rFonts w:hint="eastAsia" w:ascii="宋体" w:hAnsi="宋体" w:cs="宋体"/>
                <w:kern w:val="0"/>
                <w:szCs w:val="21"/>
                <w:highlight w:val="none"/>
                <w:lang w:bidi="ar"/>
              </w:rPr>
              <w:t>免疫保护期持续</w:t>
            </w:r>
            <w:r>
              <w:rPr>
                <w:rStyle w:val="31"/>
                <w:rFonts w:hint="eastAsia" w:ascii="宋体" w:hAnsi="宋体" w:eastAsia="宋体" w:cs="宋体"/>
                <w:color w:val="auto"/>
                <w:sz w:val="21"/>
                <w:szCs w:val="21"/>
                <w:highlight w:val="none"/>
                <w:lang w:bidi="ar"/>
              </w:rPr>
              <w:t>6个月以上。</w:t>
            </w:r>
          </w:p>
          <w:p>
            <w:pPr>
              <w:widowControl/>
              <w:spacing w:line="360" w:lineRule="auto"/>
              <w:jc w:val="left"/>
              <w:textAlignment w:val="center"/>
              <w:rPr>
                <w:rStyle w:val="31"/>
                <w:rFonts w:ascii="宋体" w:hAnsi="宋体" w:eastAsia="宋体" w:cs="宋体"/>
                <w:color w:val="auto"/>
                <w:sz w:val="21"/>
                <w:szCs w:val="21"/>
                <w:highlight w:val="none"/>
                <w:lang w:bidi="ar"/>
              </w:rPr>
            </w:pPr>
            <w:r>
              <w:rPr>
                <w:rStyle w:val="31"/>
                <w:rFonts w:hint="eastAsia" w:ascii="宋体" w:hAnsi="宋体" w:eastAsia="宋体" w:cs="宋体"/>
                <w:color w:val="auto"/>
                <w:sz w:val="21"/>
                <w:szCs w:val="21"/>
                <w:highlight w:val="none"/>
                <w:lang w:bidi="ar"/>
              </w:rPr>
              <w:t>4.交货时产品有效期在</w:t>
            </w:r>
            <w:r>
              <w:rPr>
                <w:rStyle w:val="31"/>
                <w:rFonts w:hint="eastAsia" w:ascii="宋体" w:hAnsi="宋体" w:cs="宋体"/>
                <w:color w:val="auto"/>
                <w:sz w:val="21"/>
                <w:szCs w:val="21"/>
                <w:highlight w:val="none"/>
                <w:lang w:bidi="ar"/>
              </w:rPr>
              <w:t>9</w:t>
            </w:r>
            <w:r>
              <w:rPr>
                <w:rStyle w:val="31"/>
                <w:rFonts w:hint="eastAsia" w:ascii="宋体" w:hAnsi="宋体" w:eastAsia="宋体" w:cs="宋体"/>
                <w:color w:val="auto"/>
                <w:sz w:val="21"/>
                <w:szCs w:val="21"/>
                <w:highlight w:val="none"/>
                <w:lang w:bidi="ar"/>
              </w:rPr>
              <w:t>个月以上。</w:t>
            </w:r>
          </w:p>
          <w:p>
            <w:pPr>
              <w:spacing w:line="360" w:lineRule="auto"/>
              <w:rPr>
                <w:rFonts w:ascii="宋体" w:hAnsi="宋体" w:cs="宋体"/>
                <w:b/>
                <w:bCs/>
                <w:szCs w:val="21"/>
                <w:highlight w:val="none"/>
              </w:rPr>
            </w:pPr>
            <w:r>
              <w:rPr>
                <w:rStyle w:val="31"/>
                <w:rFonts w:hint="eastAsia" w:ascii="宋体" w:hAnsi="宋体" w:eastAsia="宋体" w:cs="宋体"/>
                <w:color w:val="auto"/>
                <w:sz w:val="21"/>
                <w:szCs w:val="21"/>
                <w:highlight w:val="none"/>
                <w:lang w:bidi="ar"/>
              </w:rPr>
              <w:t>5.采用206油佐剂生产；效力检验，每头份疫苗应至少含牛口蹄疫0型、A型各</w:t>
            </w:r>
            <w:r>
              <w:rPr>
                <w:rFonts w:hint="eastAsia" w:ascii="宋体" w:hAnsi="宋体" w:cs="宋体"/>
                <w:szCs w:val="21"/>
                <w:highlight w:val="none"/>
              </w:rPr>
              <w:t>6PD</w:t>
            </w:r>
            <w:r>
              <w:rPr>
                <w:rFonts w:hint="eastAsia" w:ascii="宋体" w:hAnsi="宋体" w:cs="宋体"/>
                <w:sz w:val="15"/>
                <w:szCs w:val="15"/>
                <w:highlight w:val="none"/>
              </w:rPr>
              <w:t>50</w:t>
            </w:r>
            <w:r>
              <w:rPr>
                <w:rStyle w:val="31"/>
                <w:rFonts w:hint="eastAsia" w:ascii="宋体" w:hAnsi="宋体" w:eastAsia="宋体" w:cs="宋体"/>
                <w:color w:val="auto"/>
                <w:sz w:val="21"/>
                <w:szCs w:val="21"/>
                <w:highlight w:val="none"/>
                <w:lang w:bidi="ar"/>
              </w:rPr>
              <w:t>；内毒素含量不高于50EU/毫升；总蛋白含量不高于350ug/毫升。</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szCs w:val="21"/>
                <w:highlight w:val="none"/>
              </w:rPr>
            </w:pPr>
            <w:r>
              <w:rPr>
                <w:rFonts w:hint="eastAsia" w:ascii="宋体" w:hAnsi="宋体" w:cs="宋体"/>
                <w:szCs w:val="21"/>
                <w:highlight w:val="none"/>
              </w:rPr>
              <w:t>260万毫升</w:t>
            </w:r>
          </w:p>
        </w:tc>
      </w:tr>
      <w:tr>
        <w:tblPrEx>
          <w:tblCellMar>
            <w:top w:w="0" w:type="dxa"/>
            <w:left w:w="0" w:type="dxa"/>
            <w:bottom w:w="0" w:type="dxa"/>
            <w:right w:w="0" w:type="dxa"/>
          </w:tblCellMar>
        </w:tblPrEx>
        <w:trPr>
          <w:trHeight w:val="2182" w:hRule="atLeast"/>
        </w:trPr>
        <w:tc>
          <w:tcPr>
            <w:tcW w:w="9696" w:type="dxa"/>
            <w:gridSpan w:val="5"/>
            <w:tcBorders>
              <w:top w:val="nil"/>
              <w:left w:val="nil"/>
              <w:bottom w:val="nil"/>
              <w:right w:val="nil"/>
            </w:tcBorders>
            <w:shd w:val="clear" w:color="auto" w:fill="auto"/>
            <w:tcMar>
              <w:top w:w="15" w:type="dxa"/>
              <w:left w:w="15" w:type="dxa"/>
              <w:right w:w="15" w:type="dxa"/>
            </w:tcMar>
            <w:vAlign w:val="center"/>
          </w:tcPr>
          <w:p>
            <w:pPr>
              <w:widowControl/>
              <w:spacing w:line="360" w:lineRule="auto"/>
              <w:jc w:val="left"/>
              <w:textAlignment w:val="center"/>
              <w:rPr>
                <w:rFonts w:ascii="宋体" w:hAnsi="宋体" w:cs="等线"/>
                <w:kern w:val="0"/>
                <w:szCs w:val="21"/>
                <w:highlight w:val="none"/>
                <w:lang w:bidi="ar"/>
              </w:rPr>
            </w:pPr>
            <w:r>
              <w:rPr>
                <w:rFonts w:ascii="宋体" w:hAnsi="宋体" w:cs="等线"/>
                <w:kern w:val="0"/>
                <w:szCs w:val="21"/>
                <w:highlight w:val="none"/>
                <w:lang w:bidi="ar"/>
              </w:rPr>
              <w:t>1、产品质量及技术标准应符合或遵守《中华人民共和国兽用生物制品生产规程》《中华人民共和国兽用生物制品质量标准》及颁布的相应产品质量标准。</w:t>
            </w:r>
          </w:p>
          <w:p>
            <w:pPr>
              <w:widowControl/>
              <w:spacing w:line="360" w:lineRule="auto"/>
              <w:jc w:val="left"/>
              <w:textAlignment w:val="center"/>
              <w:rPr>
                <w:rFonts w:ascii="宋体" w:hAnsi="宋体" w:cs="等线"/>
                <w:kern w:val="0"/>
                <w:szCs w:val="21"/>
                <w:highlight w:val="none"/>
                <w:lang w:bidi="ar"/>
              </w:rPr>
            </w:pPr>
            <w:r>
              <w:rPr>
                <w:rFonts w:ascii="宋体" w:hAnsi="宋体" w:cs="等线"/>
                <w:kern w:val="0"/>
                <w:szCs w:val="21"/>
                <w:highlight w:val="none"/>
                <w:lang w:bidi="ar"/>
              </w:rPr>
              <w:t>2、产品的物理性状、无菌检验、安全检验、效力检验等指标应出具中国兽医药品监察所审核认可的“兽用生物制品生产与检验报告”（批签发记录）。</w:t>
            </w:r>
          </w:p>
          <w:p>
            <w:pPr>
              <w:widowControl/>
              <w:spacing w:line="360" w:lineRule="auto"/>
              <w:jc w:val="left"/>
              <w:textAlignment w:val="center"/>
              <w:rPr>
                <w:rFonts w:ascii="宋体" w:hAnsi="宋体" w:cs="等线"/>
                <w:kern w:val="0"/>
                <w:szCs w:val="21"/>
                <w:highlight w:val="none"/>
                <w:lang w:bidi="ar"/>
              </w:rPr>
            </w:pPr>
            <w:r>
              <w:rPr>
                <w:rFonts w:ascii="宋体" w:hAnsi="宋体" w:cs="等线"/>
                <w:kern w:val="0"/>
                <w:szCs w:val="21"/>
                <w:highlight w:val="none"/>
                <w:lang w:bidi="ar"/>
              </w:rPr>
              <w:t>3、投标单位应在投标文件中提供农业部备案的兽药注册目录，质量标准、说明书和标签。</w:t>
            </w:r>
          </w:p>
          <w:p>
            <w:pPr>
              <w:widowControl/>
              <w:spacing w:line="360" w:lineRule="auto"/>
              <w:jc w:val="left"/>
              <w:textAlignment w:val="center"/>
              <w:rPr>
                <w:rFonts w:ascii="宋体" w:hAnsi="宋体" w:cs="等线"/>
                <w:szCs w:val="21"/>
                <w:highlight w:val="none"/>
              </w:rPr>
            </w:pPr>
            <w:r>
              <w:rPr>
                <w:rFonts w:ascii="宋体" w:hAnsi="宋体" w:cs="等线"/>
                <w:kern w:val="0"/>
                <w:szCs w:val="21"/>
                <w:highlight w:val="none"/>
                <w:lang w:bidi="ar"/>
              </w:rPr>
              <w:t>4、招标之前或之后，如遇农业农村部政策调整，有关疫苗毒株变更，相应产品直接变更。</w:t>
            </w:r>
          </w:p>
        </w:tc>
      </w:tr>
    </w:tbl>
    <w:p>
      <w:pPr>
        <w:pStyle w:val="11"/>
        <w:rPr>
          <w:rFonts w:cs="宋体"/>
          <w:b/>
          <w:szCs w:val="21"/>
        </w:rPr>
      </w:pPr>
    </w:p>
    <w:p>
      <w:pPr>
        <w:pStyle w:val="11"/>
        <w:rPr>
          <w:rFonts w:cs="宋体"/>
          <w:b/>
          <w:szCs w:val="21"/>
        </w:rPr>
      </w:pPr>
    </w:p>
    <w:p>
      <w:pPr>
        <w:rPr>
          <w:rFonts w:ascii="宋体" w:hAnsi="宋体" w:cs="宋体"/>
          <w:b/>
          <w:szCs w:val="21"/>
        </w:rPr>
      </w:pPr>
      <w:bookmarkStart w:id="53" w:name="_Toc30472"/>
    </w:p>
    <w:p>
      <w:pPr>
        <w:tabs>
          <w:tab w:val="center" w:pos="4832"/>
          <w:tab w:val="left" w:pos="7140"/>
        </w:tabs>
        <w:spacing w:line="360" w:lineRule="auto"/>
        <w:jc w:val="center"/>
        <w:outlineLvl w:val="1"/>
        <w:rPr>
          <w:rFonts w:ascii="宋体" w:hAnsi="宋体" w:cs="宋体"/>
          <w:b/>
          <w:szCs w:val="21"/>
        </w:rPr>
      </w:pPr>
      <w:r>
        <w:rPr>
          <w:rFonts w:hint="eastAsia" w:ascii="宋体" w:hAnsi="宋体" w:cs="宋体"/>
          <w:b/>
          <w:szCs w:val="21"/>
        </w:rPr>
        <w:t>第二节 供货服务要求</w:t>
      </w:r>
      <w:bookmarkEnd w:id="53"/>
      <w:bookmarkStart w:id="54" w:name="_Toc17208"/>
      <w:bookmarkStart w:id="55" w:name="_Toc26951"/>
    </w:p>
    <w:bookmarkEnd w:id="54"/>
    <w:bookmarkEnd w:id="55"/>
    <w:p>
      <w:pPr>
        <w:tabs>
          <w:tab w:val="center" w:pos="4832"/>
          <w:tab w:val="left" w:pos="7140"/>
        </w:tabs>
        <w:spacing w:line="360" w:lineRule="auto"/>
        <w:jc w:val="left"/>
        <w:outlineLvl w:val="2"/>
        <w:rPr>
          <w:rFonts w:ascii="宋体" w:hAnsi="宋体" w:cs="Arial"/>
          <w:kern w:val="0"/>
          <w:szCs w:val="21"/>
        </w:rPr>
      </w:pPr>
      <w:bookmarkStart w:id="56" w:name="_Toc18492"/>
      <w:r>
        <w:rPr>
          <w:rFonts w:hint="eastAsia" w:ascii="宋体" w:hAnsi="宋体" w:cs="宋体"/>
          <w:b/>
          <w:szCs w:val="21"/>
        </w:rPr>
        <w:t>2.1</w:t>
      </w:r>
      <w:r>
        <w:rPr>
          <w:rFonts w:ascii="宋体" w:hAnsi="宋体" w:cs="宋体"/>
          <w:b/>
          <w:szCs w:val="21"/>
        </w:rPr>
        <w:t xml:space="preserve"> </w:t>
      </w:r>
      <w:r>
        <w:rPr>
          <w:rFonts w:hint="eastAsia" w:ascii="宋体" w:hAnsi="宋体" w:cs="宋体"/>
          <w:b/>
          <w:szCs w:val="21"/>
        </w:rPr>
        <w:t>供货期、地点、运输方式及验收方式</w:t>
      </w:r>
      <w:bookmarkEnd w:id="56"/>
    </w:p>
    <w:p>
      <w:pPr>
        <w:spacing w:line="360" w:lineRule="auto"/>
        <w:ind w:firstLine="420" w:firstLineChars="200"/>
        <w:rPr>
          <w:rFonts w:ascii="宋体" w:hAnsi="宋体" w:cs="宋体"/>
          <w:szCs w:val="21"/>
        </w:rPr>
      </w:pPr>
      <w:r>
        <w:rPr>
          <w:rFonts w:hint="eastAsia" w:ascii="宋体" w:hAnsi="宋体" w:cs="宋体"/>
          <w:szCs w:val="21"/>
        </w:rPr>
        <w:t>2.1.1 供货期：合同签订后15日历日内交付使用（具体以采购人通知的时间为准）。</w:t>
      </w:r>
    </w:p>
    <w:p>
      <w:pPr>
        <w:spacing w:line="360" w:lineRule="auto"/>
        <w:ind w:firstLine="420" w:firstLineChars="200"/>
        <w:rPr>
          <w:rFonts w:ascii="宋体" w:hAnsi="宋体" w:cs="宋体"/>
          <w:kern w:val="0"/>
          <w:szCs w:val="21"/>
        </w:rPr>
      </w:pPr>
      <w:r>
        <w:rPr>
          <w:rFonts w:hint="eastAsia" w:ascii="宋体" w:hAnsi="宋体" w:cs="宋体"/>
          <w:szCs w:val="21"/>
        </w:rPr>
        <w:t>2.1.2 交货地点：</w:t>
      </w:r>
      <w:r>
        <w:rPr>
          <w:rFonts w:hint="eastAsia" w:ascii="宋体" w:hAnsi="宋体" w:cs="宋体"/>
          <w:kern w:val="0"/>
          <w:szCs w:val="21"/>
        </w:rPr>
        <w:t>中标企业通过冷链运输疫苗送达至采购人指定地点。</w:t>
      </w:r>
    </w:p>
    <w:p>
      <w:pPr>
        <w:spacing w:line="360" w:lineRule="auto"/>
        <w:ind w:firstLine="420" w:firstLineChars="200"/>
        <w:rPr>
          <w:rFonts w:ascii="宋体" w:hAnsi="宋体" w:cs="宋体"/>
          <w:szCs w:val="21"/>
        </w:rPr>
      </w:pPr>
      <w:r>
        <w:rPr>
          <w:rFonts w:hint="eastAsia" w:ascii="宋体" w:hAnsi="宋体" w:cs="宋体"/>
          <w:szCs w:val="21"/>
        </w:rPr>
        <w:t>2.1.3 运输要求：由中标企业（以下简称乙方）通过冷链运输疫苗，送至采购人指定地点，专用疫苗冷链运输，必须有连续温度监控仪，内包装有泡沫保温箱、外包装使用纸箱，供货后必须向收货方和采购方提供出库单据、与实物相对应批号的兽用生物制品生产与中监所的批签发报告和温度监控记录表。</w:t>
      </w:r>
    </w:p>
    <w:p>
      <w:pPr>
        <w:spacing w:line="360" w:lineRule="auto"/>
        <w:ind w:firstLine="420" w:firstLineChars="200"/>
        <w:rPr>
          <w:rFonts w:ascii="宋体" w:hAnsi="宋体" w:cs="宋体"/>
          <w:szCs w:val="21"/>
        </w:rPr>
      </w:pPr>
      <w:r>
        <w:rPr>
          <w:rFonts w:hint="eastAsia" w:ascii="宋体" w:hAnsi="宋体" w:cs="宋体"/>
          <w:szCs w:val="21"/>
        </w:rPr>
        <w:t>2.1.4 验收方式</w:t>
      </w:r>
    </w:p>
    <w:p>
      <w:pPr>
        <w:spacing w:line="360" w:lineRule="auto"/>
        <w:ind w:firstLine="420" w:firstLineChars="200"/>
        <w:rPr>
          <w:rFonts w:ascii="宋体" w:hAnsi="宋体" w:cs="宋体"/>
          <w:szCs w:val="21"/>
        </w:rPr>
      </w:pPr>
      <w:r>
        <w:rPr>
          <w:rFonts w:hint="eastAsia" w:ascii="宋体" w:hAnsi="宋体" w:cs="宋体"/>
          <w:szCs w:val="21"/>
        </w:rPr>
        <w:t>⑴ 乙方必须保证所供应疫苗有效期应满足甲方要求（详见：“招标项目技术需求”中的“主要技术参数”）。</w:t>
      </w:r>
    </w:p>
    <w:p>
      <w:pPr>
        <w:spacing w:line="360" w:lineRule="auto"/>
        <w:ind w:firstLine="420" w:firstLineChars="200"/>
        <w:rPr>
          <w:rFonts w:ascii="宋体" w:hAnsi="宋体" w:cs="宋体"/>
          <w:szCs w:val="21"/>
        </w:rPr>
      </w:pPr>
      <w:r>
        <w:rPr>
          <w:rFonts w:hint="eastAsia" w:ascii="宋体" w:hAnsi="宋体" w:cs="宋体"/>
          <w:szCs w:val="21"/>
        </w:rPr>
        <w:t>⑵ 甲方按质量标准和疫苗的具体要求，对所有疫苗进行逐件核验（包装、产品名称、文号、批号、商标、规格、生产日期、失效日期、贮存条件、防伪标识、作用与用途、用法与用量、企业名称、批签发报告、运输过程中温度监控记录等）。甲方经核验发现该批货物不符合具体要求的，于到货之日起5个工作日内电话或书面通知乙方并退回该批疫苗，所产生的费用由乙方负责。</w:t>
      </w:r>
    </w:p>
    <w:p>
      <w:pPr>
        <w:spacing w:line="360" w:lineRule="auto"/>
        <w:ind w:firstLine="420" w:firstLineChars="200"/>
        <w:rPr>
          <w:rFonts w:ascii="宋体" w:hAnsi="宋体" w:cs="宋体"/>
          <w:szCs w:val="21"/>
        </w:rPr>
      </w:pPr>
      <w:r>
        <w:rPr>
          <w:rFonts w:hint="eastAsia" w:ascii="宋体" w:hAnsi="宋体" w:cs="宋体"/>
          <w:szCs w:val="21"/>
        </w:rPr>
        <w:t>⑶ 产品说明书内注意事项与瓶签说明必须一致。</w:t>
      </w:r>
    </w:p>
    <w:p>
      <w:pPr>
        <w:spacing w:line="360" w:lineRule="auto"/>
        <w:ind w:firstLine="420" w:firstLineChars="200"/>
        <w:rPr>
          <w:rFonts w:ascii="宋体" w:hAnsi="宋体" w:cs="宋体"/>
          <w:szCs w:val="21"/>
        </w:rPr>
      </w:pPr>
      <w:r>
        <w:rPr>
          <w:rFonts w:hint="eastAsia" w:ascii="宋体" w:hAnsi="宋体" w:cs="宋体"/>
          <w:szCs w:val="21"/>
        </w:rPr>
        <w:t>⑷ 在甲方查验货物时如数量少于定货数量，以甲方实际收到的数量为准，按甲方要求决定是否补发；如数量多于定货数量，由甲方根据需要决定接受或退货。</w:t>
      </w:r>
    </w:p>
    <w:p>
      <w:pPr>
        <w:spacing w:line="360" w:lineRule="auto"/>
        <w:ind w:firstLine="420" w:firstLineChars="200"/>
        <w:rPr>
          <w:rFonts w:ascii="宋体" w:hAnsi="宋体" w:cs="宋体"/>
          <w:szCs w:val="21"/>
        </w:rPr>
      </w:pPr>
      <w:r>
        <w:rPr>
          <w:rFonts w:hint="eastAsia" w:ascii="宋体" w:hAnsi="宋体" w:cs="宋体"/>
          <w:szCs w:val="21"/>
        </w:rPr>
        <w:t>⑸ 疫苗在运输过程中出现的破损或失效由乙方负责。</w:t>
      </w:r>
    </w:p>
    <w:p>
      <w:pPr>
        <w:tabs>
          <w:tab w:val="center" w:pos="4832"/>
          <w:tab w:val="left" w:pos="7140"/>
        </w:tabs>
        <w:spacing w:line="360" w:lineRule="auto"/>
        <w:jc w:val="left"/>
        <w:outlineLvl w:val="2"/>
        <w:rPr>
          <w:rFonts w:ascii="宋体" w:hAnsi="宋体" w:cs="Arial"/>
          <w:kern w:val="0"/>
          <w:szCs w:val="21"/>
        </w:rPr>
      </w:pPr>
      <w:bookmarkStart w:id="57" w:name="_Toc28983"/>
      <w:bookmarkStart w:id="58" w:name="_Toc8866"/>
      <w:bookmarkStart w:id="59" w:name="_Toc16729"/>
      <w:bookmarkStart w:id="60" w:name="_Toc439255246"/>
      <w:bookmarkStart w:id="61" w:name="_Toc27018_WPSOffice_Level1"/>
      <w:r>
        <w:rPr>
          <w:rFonts w:hint="eastAsia" w:ascii="宋体" w:hAnsi="宋体" w:cs="宋体"/>
          <w:b/>
          <w:szCs w:val="21"/>
        </w:rPr>
        <w:t>2.</w:t>
      </w:r>
      <w:r>
        <w:rPr>
          <w:rFonts w:ascii="宋体" w:hAnsi="宋体" w:cs="宋体"/>
          <w:b/>
          <w:szCs w:val="21"/>
        </w:rPr>
        <w:t xml:space="preserve">2 </w:t>
      </w:r>
      <w:r>
        <w:rPr>
          <w:rFonts w:hint="eastAsia" w:ascii="宋体" w:hAnsi="宋体" w:cs="宋体"/>
          <w:b/>
          <w:szCs w:val="21"/>
        </w:rPr>
        <w:t>质量责任</w:t>
      </w:r>
      <w:bookmarkEnd w:id="57"/>
      <w:bookmarkEnd w:id="58"/>
      <w:bookmarkEnd w:id="59"/>
    </w:p>
    <w:bookmarkEnd w:id="60"/>
    <w:bookmarkEnd w:id="61"/>
    <w:p>
      <w:pPr>
        <w:spacing w:line="360" w:lineRule="auto"/>
        <w:ind w:firstLine="420" w:firstLineChars="200"/>
        <w:rPr>
          <w:rFonts w:ascii="宋体" w:hAnsi="宋体" w:cs="宋体"/>
          <w:szCs w:val="21"/>
        </w:rPr>
      </w:pPr>
      <w:r>
        <w:rPr>
          <w:rFonts w:hint="eastAsia" w:ascii="宋体" w:hAnsi="宋体" w:cs="宋体"/>
          <w:szCs w:val="21"/>
        </w:rPr>
        <w:t>2.2.1 投标人保证所投标产品应是最新或最佳的原材料生产，完全符合国家标准规定的质量、性能和技术规格（疫苗包括包装上印刷的产品名称、文号、批号、商标、规格、生产日期、失效日期、贮存条件、防伪标识、作用与用途、用法与用量、企业名称、批签发报告、运输过程中温度监控记录等。保证在疫苗在低温贮藏条件下运送，在投标文件中承诺的质量保证期内对任何质量问题负责，甲方有权对乙方提供的产品作质量检验，经检测不合格的，将终止合同并追究其相应责任（检测费用由乙方支付）。</w:t>
      </w:r>
    </w:p>
    <w:p>
      <w:pPr>
        <w:spacing w:line="360" w:lineRule="auto"/>
        <w:ind w:firstLine="420" w:firstLineChars="200"/>
        <w:rPr>
          <w:rFonts w:ascii="宋体" w:hAnsi="宋体" w:cs="宋体"/>
          <w:szCs w:val="21"/>
        </w:rPr>
      </w:pPr>
      <w:r>
        <w:rPr>
          <w:rFonts w:hint="eastAsia" w:ascii="宋体" w:hAnsi="宋体" w:cs="宋体"/>
          <w:szCs w:val="21"/>
        </w:rPr>
        <w:t>2.2.2 在使用疫苗过程中出现的苗源反应引起的畜禽死亡或因免疫失败而导致疫情暴发的均由乙方负责处理，并且对造成的损失给予经济赔偿。</w:t>
      </w:r>
    </w:p>
    <w:p>
      <w:pPr>
        <w:spacing w:line="360" w:lineRule="auto"/>
        <w:ind w:firstLine="420" w:firstLineChars="200"/>
        <w:rPr>
          <w:rFonts w:ascii="宋体" w:hAnsi="宋体" w:cs="宋体"/>
          <w:szCs w:val="21"/>
        </w:rPr>
      </w:pPr>
      <w:r>
        <w:rPr>
          <w:rFonts w:hint="eastAsia" w:ascii="宋体" w:hAnsi="宋体" w:cs="宋体"/>
          <w:szCs w:val="21"/>
        </w:rPr>
        <w:t>⑴ 因注射疫苗引起的畜禽副反应或死亡，经双方联合调查确认后，由乙方负责对造成的损失给予赔偿。</w:t>
      </w:r>
    </w:p>
    <w:p>
      <w:pPr>
        <w:spacing w:line="360" w:lineRule="auto"/>
        <w:ind w:firstLine="420" w:firstLineChars="200"/>
        <w:rPr>
          <w:rFonts w:ascii="宋体" w:hAnsi="宋体" w:cs="宋体"/>
          <w:szCs w:val="21"/>
        </w:rPr>
      </w:pPr>
      <w:r>
        <w:rPr>
          <w:rFonts w:hint="eastAsia" w:ascii="宋体" w:hAnsi="宋体" w:cs="宋体"/>
          <w:szCs w:val="21"/>
        </w:rPr>
        <w:t>⑵ 在规定的免疫保护期内，免疫后的动物又发生疫情时，乙方接到甲方电话或传真通知后，要及时派专业技术人员到达现场调查核实实际情况，由乙方负责承担一切经济损失以及全部费用。</w:t>
      </w:r>
    </w:p>
    <w:p>
      <w:pPr>
        <w:spacing w:line="360" w:lineRule="auto"/>
        <w:ind w:firstLine="420" w:firstLineChars="200"/>
        <w:rPr>
          <w:rFonts w:ascii="宋体" w:hAnsi="宋体" w:cs="宋体"/>
          <w:szCs w:val="21"/>
        </w:rPr>
      </w:pPr>
      <w:r>
        <w:rPr>
          <w:rFonts w:hint="eastAsia" w:ascii="宋体" w:hAnsi="宋体" w:cs="宋体"/>
          <w:szCs w:val="21"/>
        </w:rPr>
        <w:t>⑶ 甲方在疫苗的使用过程中，发现疫苗的副反应大或免疫效果差，甲方可根据情况调整采购比例；情况严重的，甲方有权停止采购该中标产品，将库存疫苗做退货处理，其采购合同未执行数量由其余供货服务商履行，由于疫苗副反应大或免疫效果差造成的经济损失，由乙方承担责任。</w:t>
      </w:r>
    </w:p>
    <w:p>
      <w:pPr>
        <w:spacing w:line="360" w:lineRule="auto"/>
        <w:ind w:firstLine="420" w:firstLineChars="200"/>
        <w:rPr>
          <w:rFonts w:ascii="宋体" w:hAnsi="宋体" w:cs="宋体"/>
          <w:szCs w:val="21"/>
        </w:rPr>
      </w:pPr>
      <w:r>
        <w:rPr>
          <w:rFonts w:hint="eastAsia" w:ascii="宋体" w:hAnsi="宋体" w:cs="宋体"/>
          <w:szCs w:val="21"/>
        </w:rPr>
        <w:t>⑷ 若在疫苗的使用过程中，发现乙方所提供的全部产品出现质量问题，甲方有权停止采购该分包的产品，并将相关情况上报给采购计划主管部门和农业农村部备案，终止该乙方的采购合同，并追究其违约责任。</w:t>
      </w:r>
    </w:p>
    <w:p>
      <w:pPr>
        <w:tabs>
          <w:tab w:val="center" w:pos="4832"/>
          <w:tab w:val="left" w:pos="7140"/>
        </w:tabs>
        <w:spacing w:line="360" w:lineRule="auto"/>
        <w:jc w:val="left"/>
        <w:outlineLvl w:val="2"/>
        <w:rPr>
          <w:rFonts w:ascii="宋体" w:hAnsi="宋体" w:cs="Arial"/>
          <w:kern w:val="0"/>
          <w:szCs w:val="21"/>
        </w:rPr>
      </w:pPr>
      <w:bookmarkStart w:id="62" w:name="_Toc10385"/>
      <w:bookmarkStart w:id="63" w:name="_Toc24342"/>
      <w:bookmarkStart w:id="64" w:name="_Toc16176"/>
      <w:bookmarkStart w:id="65" w:name="_Toc439255248"/>
      <w:bookmarkStart w:id="66" w:name="_Toc267320050"/>
      <w:bookmarkStart w:id="67" w:name="_Toc7742_WPSOffice_Level1"/>
      <w:r>
        <w:rPr>
          <w:rFonts w:hint="eastAsia" w:ascii="宋体" w:hAnsi="宋体" w:cs="宋体"/>
          <w:b/>
          <w:szCs w:val="21"/>
        </w:rPr>
        <w:t>2.3</w:t>
      </w:r>
      <w:r>
        <w:rPr>
          <w:rFonts w:ascii="宋体" w:hAnsi="宋体" w:cs="宋体"/>
          <w:b/>
          <w:szCs w:val="21"/>
        </w:rPr>
        <w:t xml:space="preserve"> </w:t>
      </w:r>
      <w:r>
        <w:rPr>
          <w:rFonts w:hint="eastAsia" w:ascii="宋体" w:hAnsi="宋体" w:cs="宋体"/>
          <w:b/>
          <w:szCs w:val="21"/>
        </w:rPr>
        <w:t>质量保证</w:t>
      </w:r>
      <w:bookmarkEnd w:id="62"/>
      <w:bookmarkEnd w:id="63"/>
      <w:r>
        <w:rPr>
          <w:rFonts w:hint="eastAsia" w:ascii="宋体" w:hAnsi="宋体" w:cs="宋体"/>
          <w:b/>
          <w:szCs w:val="21"/>
        </w:rPr>
        <w:t>及售后服务</w:t>
      </w:r>
      <w:bookmarkEnd w:id="64"/>
    </w:p>
    <w:bookmarkEnd w:id="65"/>
    <w:bookmarkEnd w:id="66"/>
    <w:bookmarkEnd w:id="67"/>
    <w:p>
      <w:pPr>
        <w:spacing w:line="360" w:lineRule="auto"/>
        <w:ind w:firstLine="420" w:firstLineChars="200"/>
        <w:rPr>
          <w:rFonts w:ascii="宋体" w:hAnsi="宋体" w:cs="宋体"/>
          <w:szCs w:val="21"/>
        </w:rPr>
      </w:pPr>
      <w:r>
        <w:rPr>
          <w:rFonts w:hint="eastAsia" w:ascii="宋体" w:hAnsi="宋体" w:cs="宋体"/>
          <w:szCs w:val="21"/>
        </w:rPr>
        <w:t xml:space="preserve">2.3.1 培训：采购方根据供货服务商的承诺，协商免费培训时间、地点及方式，使采购人的使用人员能够正常操作相关设备。 </w:t>
      </w:r>
    </w:p>
    <w:p>
      <w:pPr>
        <w:spacing w:line="360" w:lineRule="auto"/>
        <w:ind w:firstLine="420" w:firstLineChars="200"/>
        <w:rPr>
          <w:rFonts w:ascii="宋体" w:hAnsi="宋体" w:cs="宋体"/>
          <w:szCs w:val="21"/>
        </w:rPr>
      </w:pPr>
      <w:r>
        <w:rPr>
          <w:rFonts w:hint="eastAsia" w:ascii="宋体" w:hAnsi="宋体" w:cs="宋体"/>
          <w:szCs w:val="21"/>
        </w:rPr>
        <w:t>2.3.2 优惠承诺：按照投标人承诺为准。</w:t>
      </w:r>
    </w:p>
    <w:p>
      <w:pPr>
        <w:spacing w:line="360" w:lineRule="auto"/>
        <w:ind w:firstLine="420" w:firstLineChars="200"/>
        <w:rPr>
          <w:rFonts w:ascii="宋体" w:hAnsi="宋体" w:cs="宋体"/>
          <w:szCs w:val="21"/>
        </w:rPr>
      </w:pPr>
      <w:r>
        <w:rPr>
          <w:rFonts w:hint="eastAsia" w:ascii="宋体" w:hAnsi="宋体" w:cs="宋体"/>
          <w:szCs w:val="21"/>
        </w:rPr>
        <w:t>2.3.3 投标人需要其他详细阐明的：</w:t>
      </w:r>
    </w:p>
    <w:p>
      <w:pPr>
        <w:spacing w:line="360" w:lineRule="auto"/>
        <w:ind w:firstLine="420" w:firstLineChars="200"/>
        <w:rPr>
          <w:rFonts w:ascii="宋体" w:hAnsi="宋体" w:cs="宋体"/>
          <w:szCs w:val="21"/>
        </w:rPr>
      </w:pPr>
      <w:r>
        <w:rPr>
          <w:rFonts w:hint="eastAsia" w:ascii="宋体" w:hAnsi="宋体" w:cs="宋体"/>
          <w:szCs w:val="21"/>
        </w:rPr>
        <w:t>⑴ 所投货物的免费质量保证期：按生产商及国家有关规定。</w:t>
      </w:r>
    </w:p>
    <w:p>
      <w:pPr>
        <w:spacing w:line="360" w:lineRule="auto"/>
        <w:ind w:firstLine="420" w:firstLineChars="200"/>
        <w:rPr>
          <w:rFonts w:ascii="宋体" w:hAnsi="宋体" w:cs="宋体"/>
          <w:szCs w:val="21"/>
        </w:rPr>
      </w:pPr>
      <w:r>
        <w:rPr>
          <w:rFonts w:hint="eastAsia" w:ascii="宋体" w:hAnsi="宋体" w:cs="宋体"/>
          <w:szCs w:val="21"/>
        </w:rPr>
        <w:t>⑵ 质保期内服务基本要求：</w:t>
      </w:r>
    </w:p>
    <w:p>
      <w:pPr>
        <w:spacing w:line="360" w:lineRule="auto"/>
        <w:ind w:firstLine="630" w:firstLineChars="300"/>
        <w:rPr>
          <w:rFonts w:ascii="宋体" w:hAnsi="宋体" w:cs="宋体"/>
          <w:szCs w:val="21"/>
        </w:rPr>
      </w:pPr>
      <w:r>
        <w:rPr>
          <w:rFonts w:hint="eastAsia" w:ascii="宋体" w:hAnsi="宋体" w:cs="宋体"/>
          <w:szCs w:val="21"/>
        </w:rPr>
        <w:t>①交货时采购人对产品进行抽检，发现产品有沉淀、混浊、变色、分层等现象，采购人拒收，并要求中标人重新发货。并承担所有费用，更换疫苗到达最终用户地不得超过12小时。</w:t>
      </w:r>
    </w:p>
    <w:p>
      <w:pPr>
        <w:spacing w:line="360" w:lineRule="auto"/>
        <w:ind w:firstLine="630" w:firstLineChars="300"/>
        <w:rPr>
          <w:rFonts w:ascii="宋体" w:hAnsi="宋体" w:cs="宋体"/>
          <w:szCs w:val="21"/>
        </w:rPr>
      </w:pPr>
      <w:r>
        <w:rPr>
          <w:rFonts w:hint="eastAsia" w:ascii="宋体" w:hAnsi="宋体" w:cs="微软雅黑"/>
          <w:szCs w:val="21"/>
        </w:rPr>
        <w:t>②</w:t>
      </w:r>
      <w:r>
        <w:rPr>
          <w:rFonts w:hint="eastAsia" w:ascii="宋体" w:hAnsi="宋体" w:cs="宋体"/>
          <w:szCs w:val="21"/>
        </w:rPr>
        <w:t>供货服务商在疫苗质保期内保证疫苗的质量，在有效期内对因检定表明是疫苗质量引起的任何缺陷，实施更换和其它补偿。</w:t>
      </w:r>
    </w:p>
    <w:p>
      <w:pPr>
        <w:spacing w:line="360" w:lineRule="auto"/>
        <w:ind w:firstLine="630" w:firstLineChars="300"/>
        <w:rPr>
          <w:rFonts w:ascii="宋体" w:hAnsi="宋体" w:cs="宋体"/>
          <w:szCs w:val="21"/>
        </w:rPr>
      </w:pPr>
      <w:r>
        <w:rPr>
          <w:rFonts w:hint="eastAsia" w:ascii="宋体" w:hAnsi="宋体" w:cs="宋体"/>
          <w:szCs w:val="21"/>
        </w:rPr>
        <w:t>③</w:t>
      </w:r>
      <w:r>
        <w:rPr>
          <w:rFonts w:hint="eastAsia" w:ascii="宋体" w:hAnsi="宋体"/>
          <w:szCs w:val="21"/>
        </w:rPr>
        <w:t>交货时疫苗有效期不得低于中标人在投标文件中承诺的有效期时长，且包装规格必须与投标文件承诺一致，</w:t>
      </w:r>
      <w:r>
        <w:rPr>
          <w:rFonts w:hint="eastAsia" w:ascii="宋体" w:hAnsi="宋体" w:cs="宋体"/>
          <w:szCs w:val="21"/>
        </w:rPr>
        <w:t>疫苗的供货有效期有效（详见：“招标项目技术标准和服务要求”中的“主要技术参数”中的具体要求）</w:t>
      </w:r>
      <w:r>
        <w:rPr>
          <w:rFonts w:hint="eastAsia" w:ascii="宋体" w:hAnsi="宋体"/>
          <w:szCs w:val="21"/>
        </w:rPr>
        <w:t>否则采购人拒收，并要求中标人重新发货</w:t>
      </w:r>
      <w:r>
        <w:rPr>
          <w:rFonts w:hint="eastAsia" w:ascii="宋体" w:hAnsi="宋体" w:cs="宋体"/>
          <w:szCs w:val="21"/>
        </w:rPr>
        <w:t>。</w:t>
      </w:r>
    </w:p>
    <w:p>
      <w:pPr>
        <w:spacing w:line="360" w:lineRule="auto"/>
        <w:ind w:firstLine="630" w:firstLineChars="300"/>
        <w:rPr>
          <w:rFonts w:ascii="宋体" w:hAnsi="宋体" w:cs="宋体"/>
          <w:szCs w:val="21"/>
        </w:rPr>
      </w:pPr>
      <w:r>
        <w:rPr>
          <w:rFonts w:hint="eastAsia" w:ascii="宋体" w:hAnsi="宋体" w:cs="宋体"/>
          <w:szCs w:val="21"/>
        </w:rPr>
        <w:t>④</w:t>
      </w:r>
      <w:r>
        <w:rPr>
          <w:rFonts w:hint="eastAsia" w:ascii="宋体" w:hAnsi="宋体"/>
          <w:szCs w:val="21"/>
        </w:rPr>
        <w:t>交货时需提供产品出厂合格证、使用说明书和中国兽医药品监察所对该批产品的批签发报告扫描件。</w:t>
      </w:r>
      <w:r>
        <w:rPr>
          <w:rFonts w:hint="eastAsia" w:ascii="宋体" w:hAnsi="宋体" w:cs="宋体"/>
          <w:szCs w:val="21"/>
        </w:rPr>
        <w:t>质保期内供货服务商接到甲方产品出现问题的通知后，至少满足12小时内到达产品使用现场，进行处理。除不可抗力和使用方责任外，费用全部由乙方承担。质保期内产品质量经权威机构鉴定不符合质量要求的，按合同约定承担违约责任，供货服务商应及时收回不合格产品，所产生的费用由</w:t>
      </w:r>
      <w:r>
        <w:rPr>
          <w:rFonts w:hint="eastAsia" w:ascii="宋体" w:hAnsi="宋体"/>
          <w:szCs w:val="21"/>
        </w:rPr>
        <w:t>中标人</w:t>
      </w:r>
      <w:r>
        <w:rPr>
          <w:rFonts w:hint="eastAsia" w:ascii="宋体" w:hAnsi="宋体" w:cs="宋体"/>
          <w:szCs w:val="21"/>
        </w:rPr>
        <w:t>自行负责，采购方立即停止合同。</w:t>
      </w:r>
    </w:p>
    <w:p>
      <w:pPr>
        <w:spacing w:line="360" w:lineRule="auto"/>
        <w:ind w:firstLine="420" w:firstLineChars="200"/>
        <w:rPr>
          <w:rFonts w:ascii="宋体" w:hAnsi="宋体" w:cs="宋体"/>
          <w:szCs w:val="21"/>
        </w:rPr>
      </w:pPr>
      <w:r>
        <w:rPr>
          <w:rFonts w:hint="eastAsia" w:ascii="宋体" w:hAnsi="宋体" w:cs="宋体"/>
          <w:szCs w:val="21"/>
        </w:rPr>
        <w:t>⑶ 质保期外服务基本要求：</w:t>
      </w:r>
    </w:p>
    <w:p>
      <w:pPr>
        <w:spacing w:line="360" w:lineRule="auto"/>
        <w:ind w:firstLine="630" w:firstLineChars="300"/>
        <w:rPr>
          <w:rFonts w:ascii="宋体" w:hAnsi="宋体" w:cs="宋体"/>
          <w:szCs w:val="21"/>
        </w:rPr>
      </w:pPr>
      <w:r>
        <w:rPr>
          <w:rFonts w:hint="eastAsia" w:ascii="宋体" w:hAnsi="宋体" w:cs="宋体"/>
          <w:szCs w:val="21"/>
        </w:rPr>
        <w:t>供货服务商接到使用方产品出现问题的通知后，12小时内到达产品现场，进行处理，并提供预防接种异常反应处理方案。</w:t>
      </w:r>
    </w:p>
    <w:p>
      <w:pPr>
        <w:spacing w:line="360" w:lineRule="auto"/>
        <w:ind w:firstLine="420" w:firstLineChars="200"/>
        <w:rPr>
          <w:rFonts w:ascii="宋体" w:hAnsi="宋体" w:cs="宋体"/>
          <w:szCs w:val="21"/>
        </w:rPr>
      </w:pPr>
      <w:r>
        <w:rPr>
          <w:rFonts w:hint="eastAsia" w:ascii="宋体" w:hAnsi="宋体" w:cs="宋体"/>
          <w:szCs w:val="21"/>
        </w:rPr>
        <w:t xml:space="preserve">2.3.4 售后服务和技术支持要求 </w:t>
      </w:r>
    </w:p>
    <w:p>
      <w:pPr>
        <w:spacing w:line="360" w:lineRule="auto"/>
        <w:ind w:firstLine="420" w:firstLineChars="200"/>
        <w:rPr>
          <w:rFonts w:ascii="宋体" w:hAnsi="宋体"/>
          <w:szCs w:val="21"/>
        </w:rPr>
      </w:pPr>
      <w:r>
        <w:rPr>
          <w:rFonts w:hint="eastAsia" w:ascii="宋体" w:hAnsi="宋体" w:cs="宋体"/>
          <w:szCs w:val="21"/>
        </w:rPr>
        <w:t xml:space="preserve">⑴ </w:t>
      </w:r>
      <w:r>
        <w:rPr>
          <w:rFonts w:hint="eastAsia" w:ascii="宋体" w:hAnsi="宋体"/>
          <w:szCs w:val="21"/>
        </w:rPr>
        <w:t>送货地点为</w:t>
      </w:r>
      <w:r>
        <w:rPr>
          <w:rFonts w:hint="eastAsia" w:ascii="宋体" w:hAnsi="宋体" w:cs="Arial"/>
          <w:kern w:val="0"/>
          <w:szCs w:val="21"/>
        </w:rPr>
        <w:t>采购人指定地点（</w:t>
      </w:r>
      <w:r>
        <w:rPr>
          <w:rFonts w:hint="eastAsia" w:ascii="宋体" w:hAnsi="宋体" w:cs="宋体"/>
          <w:bCs/>
          <w:szCs w:val="21"/>
        </w:rPr>
        <w:t>伊犁哈萨克自治州动物疾病控制与诊断中心</w:t>
      </w:r>
      <w:r>
        <w:rPr>
          <w:rFonts w:hint="eastAsia" w:ascii="宋体" w:hAnsi="宋体" w:cs="Arial"/>
          <w:kern w:val="0"/>
          <w:szCs w:val="21"/>
        </w:rPr>
        <w:t>）</w:t>
      </w:r>
      <w:r>
        <w:rPr>
          <w:rFonts w:hint="eastAsia" w:ascii="宋体" w:hAnsi="宋体"/>
          <w:szCs w:val="21"/>
        </w:rPr>
        <w:t>。</w:t>
      </w:r>
    </w:p>
    <w:p>
      <w:pPr>
        <w:spacing w:line="360" w:lineRule="auto"/>
        <w:ind w:firstLine="420" w:firstLineChars="200"/>
        <w:rPr>
          <w:rFonts w:ascii="宋体" w:hAnsi="宋体" w:cs="宋体"/>
          <w:szCs w:val="21"/>
        </w:rPr>
      </w:pPr>
      <w:r>
        <w:rPr>
          <w:rFonts w:hint="eastAsia" w:ascii="宋体" w:hAnsi="宋体" w:cs="宋体"/>
          <w:szCs w:val="21"/>
        </w:rPr>
        <w:t>⑵ 供货服务商免费提供技术咨询和相关宣传资料。如采购方需要，供货服务商应免费开展相关疫苗实验、检测、培训等，一切费用由中标企业承担。</w:t>
      </w:r>
    </w:p>
    <w:p>
      <w:pPr>
        <w:spacing w:line="360" w:lineRule="auto"/>
        <w:ind w:firstLine="420" w:firstLineChars="200"/>
        <w:rPr>
          <w:rFonts w:ascii="宋体" w:hAnsi="宋体" w:cs="宋体"/>
          <w:szCs w:val="21"/>
        </w:rPr>
      </w:pPr>
      <w:r>
        <w:rPr>
          <w:rFonts w:hint="eastAsia" w:ascii="宋体" w:hAnsi="宋体" w:cs="宋体"/>
          <w:szCs w:val="21"/>
        </w:rPr>
        <w:t>⑶ 因注射疫苗造成副反应，发生畜禽发病、死亡造成重大经济损失的，供货厂家12小时内派人现场调查解决或由供需双方组成联合调查组认定，确认是由于疫苗质量引起的损失，将由供货厂家补偿。</w:t>
      </w:r>
    </w:p>
    <w:p>
      <w:pPr>
        <w:spacing w:line="360" w:lineRule="auto"/>
        <w:ind w:firstLine="420" w:firstLineChars="200"/>
        <w:rPr>
          <w:rFonts w:ascii="宋体" w:hAnsi="宋体" w:cs="宋体"/>
          <w:szCs w:val="21"/>
        </w:rPr>
      </w:pPr>
      <w:r>
        <w:rPr>
          <w:rFonts w:hint="eastAsia" w:ascii="宋体" w:hAnsi="宋体" w:cs="宋体"/>
          <w:szCs w:val="21"/>
        </w:rPr>
        <w:t>⑷ 如因注射疫苗暴发疫情，乙方与供货厂家应会同有关部门组成调查小组查清原因，确认是由产品质量原因造成，供货厂家应承担扑疫经费，并赔偿相应的经济损失。</w:t>
      </w:r>
    </w:p>
    <w:p>
      <w:pPr>
        <w:spacing w:line="360" w:lineRule="auto"/>
        <w:ind w:firstLine="420" w:firstLineChars="200"/>
        <w:rPr>
          <w:rFonts w:ascii="宋体" w:hAnsi="宋体"/>
          <w:szCs w:val="21"/>
        </w:rPr>
      </w:pPr>
      <w:r>
        <w:rPr>
          <w:rFonts w:hint="eastAsia" w:ascii="宋体" w:hAnsi="宋体" w:cs="微软雅黑"/>
          <w:szCs w:val="21"/>
        </w:rPr>
        <w:t>⑸</w:t>
      </w:r>
      <w:r>
        <w:rPr>
          <w:rFonts w:hint="eastAsia" w:ascii="宋体" w:hAnsi="宋体" w:cs="宋体"/>
          <w:szCs w:val="21"/>
        </w:rPr>
        <w:t xml:space="preserve"> 详细售后服务内容见本章节部分。如投标人有更优质的服务内容，以投标人承诺的服务内容为准。</w:t>
      </w:r>
    </w:p>
    <w:p>
      <w:pPr>
        <w:spacing w:line="360" w:lineRule="auto"/>
        <w:ind w:firstLine="420" w:firstLineChars="200"/>
        <w:rPr>
          <w:rFonts w:ascii="宋体" w:hAnsi="宋体" w:cs="宋体"/>
          <w:szCs w:val="21"/>
        </w:rPr>
      </w:pPr>
      <w:r>
        <w:rPr>
          <w:rFonts w:hint="eastAsia" w:ascii="宋体" w:hAnsi="宋体" w:cs="宋体"/>
          <w:szCs w:val="21"/>
        </w:rPr>
        <w:t>2.3.5 以上内容及“项目技术规格、数量及技术要求”中的商务要求投标人必须在投标文件上清楚阐明。如投标人有更优质的服务内容，以投标人承诺的服务内容为准。</w:t>
      </w:r>
    </w:p>
    <w:p>
      <w:pPr>
        <w:tabs>
          <w:tab w:val="center" w:pos="4832"/>
          <w:tab w:val="left" w:pos="7140"/>
        </w:tabs>
        <w:spacing w:line="360" w:lineRule="auto"/>
        <w:jc w:val="left"/>
        <w:outlineLvl w:val="2"/>
        <w:rPr>
          <w:rFonts w:ascii="宋体" w:hAnsi="宋体" w:cs="Arial"/>
          <w:kern w:val="0"/>
          <w:szCs w:val="21"/>
        </w:rPr>
      </w:pPr>
      <w:bookmarkStart w:id="68" w:name="_Toc7577"/>
      <w:bookmarkStart w:id="69" w:name="_Toc18005"/>
      <w:bookmarkStart w:id="70" w:name="_Toc24187"/>
      <w:bookmarkStart w:id="71" w:name="_Toc13600_WPSOffice_Level1"/>
      <w:bookmarkStart w:id="72" w:name="_Toc267320051"/>
      <w:bookmarkStart w:id="73" w:name="_Toc439255249"/>
      <w:r>
        <w:rPr>
          <w:rFonts w:hint="eastAsia" w:ascii="宋体" w:hAnsi="宋体" w:cs="宋体"/>
          <w:b/>
          <w:szCs w:val="21"/>
        </w:rPr>
        <w:t>2.4</w:t>
      </w:r>
      <w:r>
        <w:rPr>
          <w:rFonts w:ascii="宋体" w:hAnsi="宋体" w:cs="宋体"/>
          <w:b/>
          <w:szCs w:val="21"/>
        </w:rPr>
        <w:t xml:space="preserve"> </w:t>
      </w:r>
      <w:r>
        <w:rPr>
          <w:rFonts w:hint="eastAsia" w:ascii="宋体" w:hAnsi="宋体" w:cs="宋体"/>
          <w:b/>
          <w:szCs w:val="21"/>
        </w:rPr>
        <w:t>付款方式</w:t>
      </w:r>
      <w:bookmarkEnd w:id="68"/>
      <w:bookmarkEnd w:id="69"/>
      <w:bookmarkEnd w:id="70"/>
    </w:p>
    <w:bookmarkEnd w:id="71"/>
    <w:bookmarkEnd w:id="72"/>
    <w:bookmarkEnd w:id="73"/>
    <w:p>
      <w:pPr>
        <w:tabs>
          <w:tab w:val="center" w:pos="4832"/>
          <w:tab w:val="left" w:pos="7140"/>
        </w:tabs>
        <w:spacing w:line="360" w:lineRule="auto"/>
        <w:ind w:firstLine="420" w:firstLineChars="200"/>
        <w:jc w:val="left"/>
        <w:outlineLvl w:val="2"/>
        <w:rPr>
          <w:rFonts w:ascii="宋体" w:hAnsi="宋体" w:cs="宋体"/>
          <w:szCs w:val="21"/>
        </w:rPr>
      </w:pPr>
      <w:bookmarkStart w:id="74" w:name="_Toc16945"/>
      <w:bookmarkStart w:id="75" w:name="_Toc8238"/>
      <w:bookmarkStart w:id="76" w:name="_Toc31012"/>
      <w:bookmarkStart w:id="77" w:name="_Toc439255250"/>
      <w:bookmarkStart w:id="78" w:name="_Toc6208_WPSOffice_Level1"/>
      <w:bookmarkStart w:id="79" w:name="_Toc267320052"/>
      <w:r>
        <w:rPr>
          <w:rFonts w:hint="eastAsia" w:ascii="宋体" w:hAnsi="宋体" w:cs="宋体"/>
          <w:kern w:val="0"/>
          <w:szCs w:val="21"/>
        </w:rPr>
        <w:t>经疫苗接收单位验收合格并在每批次疫苗投入使用2个月无异常后，凭验收合格证明、合同及按合同总价开据的发票（完税价），甲方积极协调本级财政拨付货款，严格按照合同约定，按供货数量向乙方支付货款</w:t>
      </w:r>
      <w:r>
        <w:rPr>
          <w:rFonts w:hint="eastAsia" w:ascii="宋体" w:hAnsi="宋体" w:cs="宋体"/>
          <w:szCs w:val="21"/>
        </w:rPr>
        <w:t>。</w:t>
      </w:r>
    </w:p>
    <w:p>
      <w:pPr>
        <w:tabs>
          <w:tab w:val="center" w:pos="4832"/>
          <w:tab w:val="left" w:pos="7140"/>
        </w:tabs>
        <w:spacing w:line="360" w:lineRule="auto"/>
        <w:jc w:val="left"/>
        <w:outlineLvl w:val="2"/>
        <w:rPr>
          <w:rFonts w:ascii="宋体" w:hAnsi="宋体" w:cs="Arial"/>
          <w:kern w:val="0"/>
          <w:szCs w:val="21"/>
        </w:rPr>
      </w:pPr>
      <w:r>
        <w:rPr>
          <w:rFonts w:hint="eastAsia" w:ascii="宋体" w:hAnsi="宋体" w:cs="宋体"/>
          <w:b/>
          <w:szCs w:val="21"/>
        </w:rPr>
        <w:t>2.5</w:t>
      </w:r>
      <w:r>
        <w:rPr>
          <w:rFonts w:ascii="宋体" w:hAnsi="宋体" w:cs="宋体"/>
          <w:b/>
          <w:szCs w:val="21"/>
        </w:rPr>
        <w:t xml:space="preserve"> </w:t>
      </w:r>
      <w:r>
        <w:rPr>
          <w:rFonts w:hint="eastAsia" w:ascii="宋体" w:hAnsi="宋体" w:cs="宋体"/>
          <w:b/>
          <w:szCs w:val="21"/>
        </w:rPr>
        <w:t>知识产权</w:t>
      </w:r>
      <w:bookmarkEnd w:id="74"/>
      <w:bookmarkEnd w:id="75"/>
      <w:bookmarkEnd w:id="76"/>
    </w:p>
    <w:bookmarkEnd w:id="77"/>
    <w:bookmarkEnd w:id="78"/>
    <w:bookmarkEnd w:id="79"/>
    <w:p>
      <w:pPr>
        <w:spacing w:line="360" w:lineRule="auto"/>
        <w:ind w:firstLine="420" w:firstLineChars="200"/>
        <w:rPr>
          <w:rFonts w:ascii="宋体" w:hAnsi="宋体" w:cs="宋体"/>
          <w:szCs w:val="21"/>
        </w:rPr>
      </w:pPr>
      <w:r>
        <w:rPr>
          <w:rFonts w:hint="eastAsia" w:ascii="宋体" w:hAnsi="宋体" w:cs="宋体"/>
          <w:szCs w:val="21"/>
        </w:rPr>
        <w:t>采购方在中华人民共和国境内使用投标人提供的货物及服务时免受第三方提出的侵犯其专利权或其它知识产权的起诉。如果第三方提出侵权指控，供货服务商应承担由此而引起的一切法律责任和费用。</w:t>
      </w:r>
    </w:p>
    <w:p>
      <w:pPr>
        <w:tabs>
          <w:tab w:val="center" w:pos="4832"/>
          <w:tab w:val="left" w:pos="7140"/>
        </w:tabs>
        <w:spacing w:line="360" w:lineRule="auto"/>
        <w:jc w:val="left"/>
        <w:outlineLvl w:val="2"/>
        <w:rPr>
          <w:rFonts w:ascii="宋体" w:hAnsi="宋体" w:cs="Arial"/>
          <w:kern w:val="0"/>
          <w:szCs w:val="21"/>
        </w:rPr>
      </w:pPr>
      <w:bookmarkStart w:id="80" w:name="_Toc20832"/>
      <w:bookmarkStart w:id="81" w:name="_Toc7598"/>
      <w:bookmarkStart w:id="82" w:name="_Toc17147"/>
      <w:bookmarkStart w:id="83" w:name="_Toc12840_WPSOffice_Level1"/>
      <w:bookmarkStart w:id="84" w:name="_Toc267320054"/>
      <w:bookmarkStart w:id="85" w:name="_Toc439255252"/>
      <w:r>
        <w:rPr>
          <w:rFonts w:hint="eastAsia" w:ascii="宋体" w:hAnsi="宋体" w:cs="宋体"/>
          <w:b/>
          <w:szCs w:val="21"/>
        </w:rPr>
        <w:t>2.6</w:t>
      </w:r>
      <w:r>
        <w:rPr>
          <w:rFonts w:ascii="宋体" w:hAnsi="宋体" w:cs="宋体"/>
          <w:b/>
          <w:szCs w:val="21"/>
        </w:rPr>
        <w:t xml:space="preserve"> </w:t>
      </w:r>
      <w:r>
        <w:rPr>
          <w:rFonts w:hint="eastAsia" w:ascii="宋体" w:hAnsi="宋体" w:cs="宋体"/>
          <w:b/>
          <w:szCs w:val="21"/>
        </w:rPr>
        <w:t>其他</w:t>
      </w:r>
      <w:bookmarkEnd w:id="80"/>
      <w:bookmarkEnd w:id="81"/>
      <w:bookmarkEnd w:id="82"/>
    </w:p>
    <w:bookmarkEnd w:id="83"/>
    <w:bookmarkEnd w:id="84"/>
    <w:bookmarkEnd w:id="85"/>
    <w:p>
      <w:pPr>
        <w:spacing w:line="360" w:lineRule="auto"/>
        <w:ind w:firstLine="420" w:firstLineChars="200"/>
        <w:rPr>
          <w:rFonts w:ascii="宋体" w:hAnsi="宋体" w:cs="宋体"/>
          <w:szCs w:val="21"/>
        </w:rPr>
      </w:pPr>
      <w:r>
        <w:rPr>
          <w:rFonts w:hint="eastAsia" w:ascii="宋体" w:hAnsi="宋体" w:cs="宋体"/>
          <w:szCs w:val="21"/>
        </w:rPr>
        <w:t>2.6.1 投标人必须在投标文件中对以上条款和服务承诺明确列出，承诺内容必须达到本篇及招标文件其他条款的要求。</w:t>
      </w:r>
    </w:p>
    <w:p>
      <w:pPr>
        <w:spacing w:line="360" w:lineRule="auto"/>
        <w:ind w:firstLine="420" w:firstLineChars="200"/>
        <w:rPr>
          <w:rFonts w:ascii="宋体" w:hAnsi="宋体"/>
          <w:szCs w:val="21"/>
        </w:rPr>
      </w:pPr>
      <w:r>
        <w:rPr>
          <w:rFonts w:hint="eastAsia" w:ascii="宋体" w:hAnsi="宋体" w:cs="宋体"/>
          <w:szCs w:val="21"/>
        </w:rPr>
        <w:t xml:space="preserve">2.6.2 </w:t>
      </w:r>
      <w:r>
        <w:rPr>
          <w:rFonts w:hint="eastAsia" w:ascii="宋体" w:hAnsi="宋体"/>
          <w:szCs w:val="21"/>
        </w:rPr>
        <w:t>中标人与采购人签订《协议》后，须与用户方签订《疫苗采购供应合同》（包括供货范围、需求数量、单价等），明确具体供货数量、供货时间、送达地点等内容。</w:t>
      </w:r>
    </w:p>
    <w:p>
      <w:pPr>
        <w:spacing w:line="360" w:lineRule="auto"/>
        <w:ind w:firstLine="420" w:firstLineChars="200"/>
        <w:rPr>
          <w:rFonts w:ascii="宋体" w:hAnsi="宋体" w:cs="宋体"/>
          <w:szCs w:val="21"/>
        </w:rPr>
      </w:pPr>
      <w:r>
        <w:rPr>
          <w:rFonts w:hint="eastAsia" w:ascii="宋体" w:hAnsi="宋体" w:cs="宋体"/>
          <w:szCs w:val="21"/>
        </w:rPr>
        <w:t>2.6.3 其他未尽事宜由供需双方在采购合同中详细约定。</w:t>
      </w:r>
    </w:p>
    <w:p>
      <w:pPr>
        <w:spacing w:line="360" w:lineRule="auto"/>
        <w:ind w:firstLine="420" w:firstLineChars="200"/>
        <w:rPr>
          <w:rFonts w:ascii="宋体" w:hAnsi="宋体" w:cs="宋体"/>
          <w:szCs w:val="21"/>
        </w:rPr>
      </w:pPr>
      <w:r>
        <w:rPr>
          <w:rFonts w:hint="eastAsia" w:ascii="宋体" w:hAnsi="宋体" w:cs="宋体"/>
          <w:szCs w:val="21"/>
        </w:rPr>
        <w:t>2.6.4 若供货服务商不能按招标文件规定的交货期正常交货，采购方有权终止采购合同，并将相关情况上报给采购计划主管部门，取消其中标资格。</w:t>
      </w:r>
    </w:p>
    <w:p>
      <w:pPr>
        <w:spacing w:line="360" w:lineRule="auto"/>
        <w:ind w:firstLine="420" w:firstLineChars="200"/>
        <w:rPr>
          <w:rFonts w:ascii="宋体" w:hAnsi="宋体" w:cs="宋体"/>
          <w:szCs w:val="21"/>
        </w:rPr>
      </w:pPr>
      <w:r>
        <w:rPr>
          <w:rFonts w:hint="eastAsia" w:ascii="宋体" w:hAnsi="宋体" w:cs="宋体"/>
          <w:szCs w:val="21"/>
        </w:rPr>
        <w:t>2.6.5 采购方根据国家免疫政策调整情况，享有本次采购疫苗品种、类别、数量调整的权利。</w:t>
      </w:r>
    </w:p>
    <w:p>
      <w:pPr>
        <w:spacing w:line="360" w:lineRule="auto"/>
        <w:ind w:firstLine="420" w:firstLineChars="200"/>
        <w:rPr>
          <w:rFonts w:ascii="宋体" w:hAnsi="宋体" w:cs="宋体"/>
          <w:szCs w:val="21"/>
        </w:rPr>
      </w:pPr>
      <w:r>
        <w:rPr>
          <w:rFonts w:hint="eastAsia" w:ascii="宋体" w:hAnsi="宋体" w:cs="宋体"/>
          <w:szCs w:val="21"/>
        </w:rPr>
        <w:t>2.6.6 采购方有权对供货服务商供应的每一个批次的产品进行产品质量的实验室抽检和免疫效果评价，经检测和评价不符合国家相关标准和要求的，立即对产品进行退货、中止合同且上报监督部门对其进行处罚。</w:t>
      </w:r>
    </w:p>
    <w:p>
      <w:pPr>
        <w:spacing w:line="360" w:lineRule="auto"/>
        <w:ind w:firstLine="420" w:firstLineChars="200"/>
        <w:rPr>
          <w:rFonts w:ascii="宋体" w:hAnsi="宋体" w:cs="宋体"/>
          <w:szCs w:val="21"/>
        </w:rPr>
      </w:pPr>
    </w:p>
    <w:p>
      <w:pPr>
        <w:spacing w:line="360" w:lineRule="auto"/>
        <w:rPr>
          <w:rFonts w:ascii="宋体" w:hAnsi="宋体" w:cs="宋体"/>
          <w:sz w:val="24"/>
          <w:szCs w:val="24"/>
        </w:rPr>
      </w:pPr>
    </w:p>
    <w:p>
      <w:pPr>
        <w:spacing w:line="360" w:lineRule="auto"/>
        <w:rPr>
          <w:rFonts w:ascii="宋体" w:hAnsi="宋体" w:cs="宋体"/>
          <w:sz w:val="24"/>
          <w:szCs w:val="24"/>
        </w:rPr>
      </w:pPr>
    </w:p>
    <w:p>
      <w:pPr>
        <w:rPr>
          <w:rFonts w:ascii="黑体" w:hAnsi="黑体" w:eastAsia="黑体" w:cs="黑体"/>
          <w:bCs/>
          <w:sz w:val="32"/>
          <w:szCs w:val="32"/>
        </w:rPr>
      </w:pPr>
    </w:p>
    <w:p>
      <w:pPr>
        <w:rPr>
          <w:rFonts w:ascii="黑体" w:hAnsi="黑体" w:eastAsia="黑体" w:cs="黑体"/>
          <w:bCs/>
          <w:sz w:val="32"/>
          <w:szCs w:val="32"/>
        </w:rPr>
      </w:pPr>
      <w:r>
        <w:rPr>
          <w:rFonts w:hint="eastAsia" w:ascii="黑体" w:hAnsi="黑体" w:eastAsia="黑体" w:cs="黑体"/>
          <w:bCs/>
          <w:sz w:val="32"/>
          <w:szCs w:val="32"/>
        </w:rPr>
        <w:br w:type="page"/>
      </w:r>
    </w:p>
    <w:p>
      <w:pPr>
        <w:spacing w:line="440" w:lineRule="exact"/>
        <w:jc w:val="center"/>
        <w:outlineLvl w:val="0"/>
        <w:rPr>
          <w:rFonts w:ascii="黑体" w:hAnsi="黑体" w:eastAsia="黑体" w:cs="黑体"/>
          <w:bCs/>
          <w:sz w:val="32"/>
          <w:szCs w:val="32"/>
        </w:rPr>
      </w:pPr>
      <w:bookmarkStart w:id="86" w:name="_Toc19890"/>
      <w:r>
        <w:rPr>
          <w:rFonts w:hint="eastAsia" w:ascii="黑体" w:hAnsi="黑体" w:eastAsia="黑体" w:cs="黑体"/>
          <w:bCs/>
          <w:sz w:val="32"/>
          <w:szCs w:val="32"/>
        </w:rPr>
        <w:t>第五章 投标文件格式</w:t>
      </w:r>
      <w:bookmarkEnd w:id="86"/>
    </w:p>
    <w:p>
      <w:pPr>
        <w:pStyle w:val="11"/>
        <w:rPr>
          <w:rFonts w:cs="宋体"/>
          <w:kern w:val="0"/>
          <w:sz w:val="24"/>
        </w:rPr>
      </w:pPr>
    </w:p>
    <w:p>
      <w:pPr>
        <w:tabs>
          <w:tab w:val="center" w:pos="4832"/>
          <w:tab w:val="left" w:pos="7140"/>
        </w:tabs>
        <w:spacing w:line="360" w:lineRule="auto"/>
        <w:jc w:val="center"/>
        <w:outlineLvl w:val="1"/>
        <w:rPr>
          <w:rFonts w:ascii="宋体" w:hAnsi="宋体" w:cs="宋体"/>
          <w:b/>
          <w:sz w:val="24"/>
          <w:szCs w:val="24"/>
        </w:rPr>
      </w:pPr>
      <w:bookmarkStart w:id="87" w:name="_Toc5067"/>
      <w:r>
        <w:rPr>
          <w:rFonts w:hint="eastAsia" w:ascii="宋体" w:hAnsi="宋体" w:cs="宋体"/>
          <w:b/>
          <w:sz w:val="24"/>
          <w:szCs w:val="24"/>
        </w:rPr>
        <w:t>第一节 投标文件封面示例</w:t>
      </w:r>
      <w:bookmarkEnd w:id="87"/>
    </w:p>
    <w:p>
      <w:pPr>
        <w:pStyle w:val="11"/>
        <w:rPr>
          <w:rFonts w:cs="宋体"/>
          <w:sz w:val="24"/>
          <w:szCs w:val="24"/>
        </w:rPr>
      </w:pPr>
    </w:p>
    <w:p>
      <w:pPr>
        <w:rPr>
          <w:rFonts w:ascii="宋体" w:cs="宋体"/>
          <w:b/>
          <w:sz w:val="24"/>
          <w:szCs w:val="24"/>
        </w:rPr>
      </w:pPr>
    </w:p>
    <w:p>
      <w:pPr>
        <w:rPr>
          <w:rFonts w:ascii="宋体" w:cs="宋体"/>
          <w:b/>
          <w:sz w:val="24"/>
          <w:szCs w:val="24"/>
        </w:rPr>
      </w:pPr>
    </w:p>
    <w:p>
      <w:pPr>
        <w:spacing w:line="720" w:lineRule="auto"/>
        <w:ind w:right="315"/>
        <w:jc w:val="right"/>
        <w:rPr>
          <w:rFonts w:ascii="宋体" w:cs="宋体"/>
          <w:b/>
          <w:sz w:val="24"/>
          <w:szCs w:val="24"/>
          <w:bdr w:val="single" w:color="auto" w:sz="4" w:space="0"/>
        </w:rPr>
      </w:pPr>
      <w:r>
        <w:rPr>
          <w:rFonts w:hint="eastAsia" w:ascii="宋体" w:hAnsi="宋体" w:cs="宋体"/>
          <w:b/>
          <w:sz w:val="24"/>
          <w:szCs w:val="24"/>
          <w:bdr w:val="single" w:color="auto" w:sz="4" w:space="0"/>
        </w:rPr>
        <w:t>正本/副本</w:t>
      </w:r>
    </w:p>
    <w:p>
      <w:pPr>
        <w:spacing w:line="480" w:lineRule="auto"/>
        <w:jc w:val="center"/>
        <w:rPr>
          <w:rFonts w:ascii="宋体" w:hAnsi="宋体" w:cs="宋体"/>
          <w:b/>
          <w:bCs/>
          <w:sz w:val="24"/>
          <w:szCs w:val="24"/>
          <w:u w:val="single"/>
        </w:rPr>
      </w:pPr>
      <w:r>
        <w:rPr>
          <w:rFonts w:hint="eastAsia" w:ascii="宋体" w:hAnsi="宋体" w:cs="宋体"/>
          <w:b/>
          <w:bCs/>
          <w:sz w:val="24"/>
          <w:szCs w:val="24"/>
          <w:u w:val="single"/>
        </w:rPr>
        <w:t>项目名称（标段号）</w:t>
      </w:r>
    </w:p>
    <w:p>
      <w:pPr>
        <w:spacing w:line="480" w:lineRule="auto"/>
        <w:jc w:val="center"/>
        <w:rPr>
          <w:rFonts w:ascii="宋体" w:cs="宋体"/>
          <w:b/>
          <w:bCs/>
          <w:sz w:val="24"/>
          <w:szCs w:val="24"/>
          <w:u w:val="single"/>
        </w:rPr>
      </w:pPr>
      <w:r>
        <w:rPr>
          <w:rFonts w:hint="eastAsia" w:ascii="宋体" w:hAnsi="宋体" w:cs="宋体"/>
          <w:b/>
          <w:bCs/>
          <w:sz w:val="24"/>
          <w:szCs w:val="24"/>
          <w:u w:val="single"/>
        </w:rPr>
        <w:t>（项目编号）</w:t>
      </w:r>
    </w:p>
    <w:p>
      <w:pPr>
        <w:spacing w:line="300" w:lineRule="exact"/>
        <w:jc w:val="center"/>
        <w:rPr>
          <w:rFonts w:ascii="宋体" w:hAnsi="宋体" w:cs="宋体"/>
          <w:b/>
          <w:bCs/>
          <w:sz w:val="24"/>
          <w:szCs w:val="24"/>
        </w:rPr>
      </w:pPr>
    </w:p>
    <w:p>
      <w:pPr>
        <w:spacing w:line="300" w:lineRule="exact"/>
        <w:jc w:val="center"/>
        <w:rPr>
          <w:rFonts w:ascii="宋体" w:hAnsi="宋体" w:cs="宋体"/>
          <w:b/>
          <w:bCs/>
          <w:sz w:val="24"/>
          <w:szCs w:val="24"/>
        </w:rPr>
      </w:pPr>
    </w:p>
    <w:p>
      <w:pPr>
        <w:spacing w:line="300" w:lineRule="exact"/>
        <w:jc w:val="center"/>
        <w:rPr>
          <w:rFonts w:ascii="宋体" w:cs="宋体"/>
          <w:b/>
          <w:bCs/>
          <w:sz w:val="24"/>
          <w:szCs w:val="24"/>
        </w:rPr>
      </w:pPr>
      <w:r>
        <w:rPr>
          <w:rFonts w:hint="eastAsia" w:ascii="宋体" w:hAnsi="宋体" w:cs="宋体"/>
          <w:b/>
          <w:bCs/>
          <w:sz w:val="24"/>
          <w:szCs w:val="24"/>
        </w:rPr>
        <w:t>投标文件</w:t>
      </w:r>
    </w:p>
    <w:p>
      <w:pPr>
        <w:pStyle w:val="2"/>
      </w:pPr>
    </w:p>
    <w:p>
      <w:pPr>
        <w:pStyle w:val="3"/>
      </w:pPr>
    </w:p>
    <w:p>
      <w:pPr>
        <w:spacing w:line="720" w:lineRule="auto"/>
        <w:rPr>
          <w:rFonts w:ascii="宋体" w:cs="宋体"/>
          <w:sz w:val="24"/>
          <w:szCs w:val="24"/>
        </w:rPr>
      </w:pPr>
      <w:r>
        <w:rPr>
          <w:rFonts w:hint="eastAsia" w:ascii="宋体" w:hAnsi="宋体" w:cs="宋体"/>
          <w:sz w:val="24"/>
          <w:szCs w:val="24"/>
        </w:rPr>
        <w:t>投标人：（盖章）</w:t>
      </w:r>
    </w:p>
    <w:p>
      <w:pPr>
        <w:rPr>
          <w:rFonts w:ascii="宋体" w:hAnsi="宋体" w:cs="Arial"/>
          <w:kern w:val="0"/>
          <w:sz w:val="24"/>
          <w:szCs w:val="24"/>
        </w:rPr>
      </w:pPr>
      <w:r>
        <w:rPr>
          <w:rFonts w:hint="eastAsia" w:ascii="宋体" w:hAnsi="宋体" w:cs="Arial"/>
          <w:kern w:val="0"/>
          <w:sz w:val="24"/>
          <w:szCs w:val="24"/>
        </w:rPr>
        <w:t>法定代表人或委托代理人（签字）：</w:t>
      </w:r>
    </w:p>
    <w:p>
      <w:pPr>
        <w:pStyle w:val="2"/>
      </w:pPr>
    </w:p>
    <w:p>
      <w:pPr>
        <w:spacing w:line="720" w:lineRule="auto"/>
        <w:rPr>
          <w:rFonts w:ascii="宋体" w:cs="宋体"/>
          <w:sz w:val="24"/>
          <w:szCs w:val="24"/>
        </w:rPr>
      </w:pPr>
      <w:r>
        <w:rPr>
          <w:rFonts w:hint="eastAsia" w:ascii="宋体" w:hAnsi="宋体" w:cs="宋体"/>
          <w:sz w:val="24"/>
          <w:szCs w:val="24"/>
        </w:rPr>
        <w:t>单位地址：</w:t>
      </w:r>
    </w:p>
    <w:p>
      <w:pPr>
        <w:spacing w:line="720" w:lineRule="auto"/>
        <w:rPr>
          <w:rFonts w:ascii="宋体" w:cs="宋体"/>
          <w:sz w:val="24"/>
          <w:szCs w:val="24"/>
        </w:rPr>
      </w:pPr>
      <w:r>
        <w:rPr>
          <w:rFonts w:hint="eastAsia" w:ascii="宋体" w:hAnsi="宋体" w:cs="宋体"/>
          <w:sz w:val="24"/>
          <w:szCs w:val="24"/>
        </w:rPr>
        <w:t>邮政编码：</w:t>
      </w:r>
    </w:p>
    <w:p>
      <w:pPr>
        <w:spacing w:line="720" w:lineRule="auto"/>
        <w:rPr>
          <w:rFonts w:ascii="宋体" w:cs="宋体"/>
          <w:sz w:val="24"/>
          <w:szCs w:val="24"/>
        </w:rPr>
      </w:pPr>
      <w:r>
        <w:rPr>
          <w:rFonts w:hint="eastAsia" w:ascii="宋体" w:hAnsi="宋体" w:cs="宋体"/>
          <w:sz w:val="24"/>
          <w:szCs w:val="24"/>
        </w:rPr>
        <w:t>联系人：</w:t>
      </w:r>
    </w:p>
    <w:p>
      <w:pPr>
        <w:spacing w:line="720" w:lineRule="auto"/>
        <w:rPr>
          <w:rFonts w:ascii="宋体" w:cs="宋体"/>
          <w:sz w:val="24"/>
          <w:szCs w:val="24"/>
        </w:rPr>
      </w:pPr>
      <w:r>
        <w:rPr>
          <w:rFonts w:hint="eastAsia" w:ascii="宋体" w:hAnsi="宋体" w:cs="宋体"/>
          <w:sz w:val="24"/>
          <w:szCs w:val="24"/>
        </w:rPr>
        <w:t>联系电话：</w:t>
      </w:r>
    </w:p>
    <w:p>
      <w:pPr>
        <w:spacing w:line="720" w:lineRule="auto"/>
        <w:ind w:firstLine="2" w:firstLineChars="1"/>
        <w:jc w:val="center"/>
        <w:rPr>
          <w:rFonts w:ascii="宋体" w:hAnsi="宋体" w:cs="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pStyle w:val="11"/>
        <w:rPr>
          <w:rFonts w:cs="宋体"/>
          <w:kern w:val="0"/>
          <w:sz w:val="24"/>
        </w:rPr>
      </w:pPr>
    </w:p>
    <w:p>
      <w:pPr>
        <w:tabs>
          <w:tab w:val="center" w:pos="4832"/>
          <w:tab w:val="left" w:pos="7140"/>
        </w:tabs>
        <w:spacing w:line="360" w:lineRule="auto"/>
        <w:jc w:val="center"/>
        <w:outlineLvl w:val="1"/>
        <w:rPr>
          <w:rFonts w:ascii="宋体" w:hAnsi="宋体" w:cs="宋体"/>
          <w:b/>
          <w:sz w:val="24"/>
          <w:szCs w:val="24"/>
        </w:rPr>
      </w:pPr>
      <w:bookmarkStart w:id="88" w:name="_Toc29172"/>
      <w:r>
        <w:rPr>
          <w:rFonts w:hint="eastAsia" w:ascii="宋体" w:hAnsi="宋体" w:cs="宋体"/>
          <w:b/>
          <w:sz w:val="24"/>
          <w:szCs w:val="24"/>
        </w:rPr>
        <w:t>第二节 投标文件目录示例</w:t>
      </w:r>
      <w:bookmarkEnd w:id="88"/>
    </w:p>
    <w:p>
      <w:pPr>
        <w:pStyle w:val="2"/>
      </w:pPr>
    </w:p>
    <w:p>
      <w:pPr>
        <w:spacing w:line="360" w:lineRule="auto"/>
        <w:ind w:left="424" w:leftChars="202"/>
        <w:rPr>
          <w:rFonts w:ascii="宋体" w:hAnsi="宋体" w:cs="Arial"/>
          <w:kern w:val="0"/>
          <w:szCs w:val="21"/>
        </w:rPr>
      </w:pPr>
      <w:r>
        <w:rPr>
          <w:rFonts w:ascii="宋体" w:hAnsi="宋体" w:cs="Arial"/>
          <w:kern w:val="0"/>
          <w:szCs w:val="21"/>
        </w:rPr>
        <w:t>1</w:t>
      </w:r>
      <w:r>
        <w:rPr>
          <w:rFonts w:hint="eastAsia" w:ascii="宋体" w:hAnsi="宋体" w:cs="Arial"/>
          <w:kern w:val="0"/>
          <w:szCs w:val="21"/>
        </w:rPr>
        <w:t>、投标函</w:t>
      </w:r>
    </w:p>
    <w:p>
      <w:pPr>
        <w:spacing w:line="360" w:lineRule="auto"/>
        <w:ind w:left="424" w:leftChars="202"/>
        <w:rPr>
          <w:rFonts w:ascii="宋体" w:hAnsi="宋体" w:cs="Arial"/>
          <w:kern w:val="0"/>
          <w:szCs w:val="21"/>
        </w:rPr>
      </w:pPr>
      <w:r>
        <w:rPr>
          <w:rFonts w:ascii="宋体" w:hAnsi="宋体" w:cs="Arial"/>
          <w:kern w:val="0"/>
          <w:szCs w:val="21"/>
        </w:rPr>
        <w:t>2</w:t>
      </w:r>
      <w:r>
        <w:rPr>
          <w:rFonts w:hint="eastAsia" w:ascii="宋体" w:hAnsi="宋体" w:cs="Arial"/>
          <w:kern w:val="0"/>
          <w:szCs w:val="21"/>
        </w:rPr>
        <w:t>、开标一览表</w:t>
      </w:r>
    </w:p>
    <w:p>
      <w:pPr>
        <w:spacing w:line="360" w:lineRule="auto"/>
        <w:ind w:left="424" w:leftChars="202"/>
        <w:rPr>
          <w:rFonts w:ascii="宋体" w:hAnsi="宋体" w:cs="Arial"/>
          <w:kern w:val="0"/>
          <w:szCs w:val="21"/>
        </w:rPr>
      </w:pPr>
      <w:r>
        <w:rPr>
          <w:rFonts w:hint="eastAsia" w:ascii="宋体" w:hAnsi="宋体" w:cs="Arial"/>
          <w:kern w:val="0"/>
          <w:szCs w:val="21"/>
        </w:rPr>
        <w:t>3、法定代表人身份证明书</w:t>
      </w:r>
    </w:p>
    <w:p>
      <w:pPr>
        <w:spacing w:line="360" w:lineRule="auto"/>
        <w:ind w:left="424" w:leftChars="202"/>
        <w:rPr>
          <w:rFonts w:ascii="宋体" w:hAnsi="宋体" w:cs="Arial"/>
          <w:kern w:val="0"/>
          <w:szCs w:val="21"/>
        </w:rPr>
      </w:pPr>
      <w:r>
        <w:rPr>
          <w:rFonts w:hint="eastAsia" w:ascii="宋体" w:hAnsi="宋体" w:cs="Arial"/>
          <w:kern w:val="0"/>
          <w:szCs w:val="21"/>
        </w:rPr>
        <w:t>4、授权委托书</w:t>
      </w:r>
    </w:p>
    <w:p>
      <w:pPr>
        <w:spacing w:line="360" w:lineRule="auto"/>
        <w:ind w:left="424" w:leftChars="202"/>
        <w:rPr>
          <w:rFonts w:ascii="宋体" w:hAnsi="宋体" w:cs="Arial"/>
          <w:kern w:val="0"/>
          <w:szCs w:val="21"/>
        </w:rPr>
      </w:pPr>
      <w:r>
        <w:rPr>
          <w:rFonts w:hint="eastAsia" w:ascii="宋体" w:hAnsi="宋体" w:cs="Arial"/>
          <w:kern w:val="0"/>
          <w:szCs w:val="21"/>
        </w:rPr>
        <w:t>5、无重大违法记录的承诺书</w:t>
      </w:r>
    </w:p>
    <w:p>
      <w:pPr>
        <w:spacing w:line="360" w:lineRule="auto"/>
        <w:ind w:left="424" w:leftChars="202"/>
        <w:rPr>
          <w:rFonts w:ascii="宋体" w:hAnsi="宋体" w:cs="Arial"/>
          <w:kern w:val="0"/>
          <w:szCs w:val="21"/>
        </w:rPr>
      </w:pPr>
      <w:r>
        <w:rPr>
          <w:rFonts w:hint="eastAsia" w:ascii="宋体" w:hAnsi="宋体" w:cs="Arial"/>
          <w:kern w:val="0"/>
          <w:szCs w:val="21"/>
        </w:rPr>
        <w:t>6、投标人概况</w:t>
      </w:r>
    </w:p>
    <w:p>
      <w:pPr>
        <w:spacing w:line="360" w:lineRule="auto"/>
        <w:ind w:left="424" w:leftChars="202"/>
        <w:rPr>
          <w:rFonts w:ascii="宋体" w:hAnsi="宋体" w:cs="Arial"/>
          <w:kern w:val="0"/>
          <w:szCs w:val="21"/>
        </w:rPr>
      </w:pPr>
      <w:r>
        <w:rPr>
          <w:rFonts w:hint="eastAsia" w:ascii="宋体" w:hAnsi="宋体" w:cs="Arial"/>
          <w:kern w:val="0"/>
          <w:szCs w:val="21"/>
        </w:rPr>
        <w:t>7、项目负责人简历表</w:t>
      </w:r>
    </w:p>
    <w:p>
      <w:pPr>
        <w:spacing w:line="360" w:lineRule="auto"/>
        <w:ind w:left="424" w:leftChars="202"/>
        <w:rPr>
          <w:rFonts w:ascii="宋体" w:hAnsi="宋体" w:cs="Arial"/>
          <w:kern w:val="0"/>
          <w:szCs w:val="21"/>
        </w:rPr>
      </w:pPr>
      <w:r>
        <w:rPr>
          <w:rFonts w:hint="eastAsia" w:ascii="宋体" w:hAnsi="宋体" w:cs="Arial"/>
          <w:kern w:val="0"/>
          <w:szCs w:val="21"/>
        </w:rPr>
        <w:t>8、项目管理人员表</w:t>
      </w:r>
    </w:p>
    <w:p>
      <w:pPr>
        <w:spacing w:line="360" w:lineRule="auto"/>
        <w:ind w:left="424" w:leftChars="202"/>
        <w:rPr>
          <w:rFonts w:ascii="宋体" w:hAnsi="宋体" w:cs="Arial"/>
          <w:kern w:val="0"/>
          <w:szCs w:val="21"/>
        </w:rPr>
      </w:pPr>
      <w:r>
        <w:rPr>
          <w:rFonts w:hint="eastAsia" w:ascii="宋体" w:hAnsi="宋体" w:cs="Arial"/>
          <w:kern w:val="0"/>
          <w:szCs w:val="21"/>
        </w:rPr>
        <w:t>9、技术条款偏离表</w:t>
      </w:r>
    </w:p>
    <w:p>
      <w:pPr>
        <w:spacing w:line="360" w:lineRule="auto"/>
        <w:ind w:left="424" w:leftChars="202"/>
        <w:rPr>
          <w:rFonts w:ascii="宋体" w:hAnsi="宋体" w:cs="Arial"/>
          <w:kern w:val="0"/>
          <w:szCs w:val="21"/>
        </w:rPr>
      </w:pPr>
      <w:r>
        <w:rPr>
          <w:rFonts w:hint="eastAsia" w:ascii="宋体" w:hAnsi="宋体" w:cs="Arial"/>
          <w:kern w:val="0"/>
          <w:szCs w:val="21"/>
        </w:rPr>
        <w:t>10、商务条款偏离表</w:t>
      </w:r>
    </w:p>
    <w:p>
      <w:pPr>
        <w:spacing w:line="360" w:lineRule="auto"/>
        <w:ind w:left="424" w:leftChars="202"/>
        <w:rPr>
          <w:rFonts w:ascii="宋体" w:hAnsi="宋体" w:cs="Arial"/>
          <w:kern w:val="0"/>
          <w:szCs w:val="21"/>
        </w:rPr>
      </w:pPr>
      <w:r>
        <w:rPr>
          <w:rFonts w:hint="eastAsia" w:ascii="宋体" w:hAnsi="宋体" w:cs="Arial"/>
          <w:kern w:val="0"/>
          <w:szCs w:val="21"/>
        </w:rPr>
        <w:t>11、反商业贿赂承诺书</w:t>
      </w:r>
    </w:p>
    <w:p>
      <w:pPr>
        <w:spacing w:line="360" w:lineRule="auto"/>
        <w:ind w:left="424" w:leftChars="202"/>
        <w:rPr>
          <w:rFonts w:ascii="宋体" w:hAnsi="宋体" w:cs="Arial"/>
          <w:kern w:val="0"/>
          <w:szCs w:val="21"/>
        </w:rPr>
      </w:pPr>
      <w:r>
        <w:rPr>
          <w:rFonts w:hint="eastAsia" w:ascii="宋体" w:hAnsi="宋体" w:cs="Arial"/>
          <w:kern w:val="0"/>
          <w:szCs w:val="21"/>
        </w:rPr>
        <w:t>12、中小微企业声明函</w:t>
      </w:r>
    </w:p>
    <w:p>
      <w:pPr>
        <w:spacing w:line="360" w:lineRule="auto"/>
        <w:ind w:left="424" w:leftChars="202"/>
        <w:rPr>
          <w:rFonts w:ascii="宋体" w:hAnsi="宋体" w:cs="Arial"/>
          <w:kern w:val="0"/>
          <w:szCs w:val="21"/>
        </w:rPr>
      </w:pPr>
      <w:r>
        <w:rPr>
          <w:rFonts w:hint="eastAsia" w:ascii="宋体" w:hAnsi="宋体" w:cs="Arial"/>
          <w:kern w:val="0"/>
          <w:szCs w:val="21"/>
        </w:rPr>
        <w:t>13、资格声明</w:t>
      </w:r>
    </w:p>
    <w:p>
      <w:pPr>
        <w:spacing w:line="360" w:lineRule="auto"/>
        <w:ind w:left="424" w:leftChars="202"/>
        <w:rPr>
          <w:rFonts w:ascii="宋体" w:hAnsi="宋体" w:cs="Arial"/>
          <w:kern w:val="0"/>
          <w:szCs w:val="21"/>
        </w:rPr>
      </w:pPr>
      <w:r>
        <w:rPr>
          <w:rFonts w:hint="eastAsia" w:ascii="宋体" w:hAnsi="宋体" w:cs="Arial"/>
          <w:kern w:val="0"/>
          <w:szCs w:val="21"/>
        </w:rPr>
        <w:t>14、投标人近年类似项目业绩情况表</w:t>
      </w:r>
    </w:p>
    <w:p>
      <w:pPr>
        <w:spacing w:line="360" w:lineRule="auto"/>
        <w:ind w:left="424" w:leftChars="202"/>
        <w:rPr>
          <w:rFonts w:ascii="宋体" w:hAnsi="宋体" w:cs="Arial"/>
          <w:kern w:val="0"/>
          <w:szCs w:val="21"/>
        </w:rPr>
      </w:pPr>
      <w:r>
        <w:rPr>
          <w:rFonts w:hint="eastAsia" w:ascii="宋体" w:hAnsi="宋体" w:cs="Arial"/>
          <w:kern w:val="0"/>
          <w:szCs w:val="21"/>
        </w:rPr>
        <w:t>15、供货计划</w:t>
      </w:r>
    </w:p>
    <w:p>
      <w:pPr>
        <w:spacing w:line="360" w:lineRule="auto"/>
        <w:ind w:left="424" w:leftChars="202"/>
        <w:rPr>
          <w:rFonts w:ascii="宋体" w:hAnsi="宋体" w:cs="Arial"/>
          <w:kern w:val="0"/>
          <w:szCs w:val="21"/>
        </w:rPr>
      </w:pPr>
      <w:r>
        <w:rPr>
          <w:rFonts w:hint="eastAsia" w:ascii="宋体" w:hAnsi="宋体" w:cs="Arial"/>
          <w:kern w:val="0"/>
          <w:szCs w:val="21"/>
        </w:rPr>
        <w:t>16、服务方案</w:t>
      </w:r>
    </w:p>
    <w:p>
      <w:pPr>
        <w:spacing w:line="360" w:lineRule="auto"/>
        <w:ind w:left="424" w:leftChars="202"/>
        <w:rPr>
          <w:rFonts w:ascii="宋体" w:hAnsi="宋体" w:cs="Arial"/>
          <w:kern w:val="0"/>
          <w:szCs w:val="21"/>
        </w:rPr>
      </w:pPr>
      <w:r>
        <w:rPr>
          <w:rFonts w:hint="eastAsia" w:ascii="宋体" w:hAnsi="宋体" w:cs="Arial"/>
          <w:kern w:val="0"/>
          <w:szCs w:val="21"/>
        </w:rPr>
        <w:t>17、其他需要提交的资料</w:t>
      </w:r>
    </w:p>
    <w:p>
      <w:pPr>
        <w:spacing w:line="360" w:lineRule="auto"/>
        <w:ind w:left="424" w:leftChars="202"/>
        <w:rPr>
          <w:rFonts w:ascii="宋体" w:hAnsi="宋体" w:cs="Arial"/>
          <w:kern w:val="0"/>
          <w:szCs w:val="21"/>
        </w:rPr>
      </w:pPr>
      <w:r>
        <w:rPr>
          <w:rFonts w:hint="eastAsia" w:ascii="宋体" w:hAnsi="宋体" w:cs="Arial"/>
          <w:kern w:val="0"/>
          <w:szCs w:val="21"/>
        </w:rPr>
        <w:t>18、其他需要提交的资料（根据招标文件的要求和投标人认为需要提供的资料）</w:t>
      </w:r>
    </w:p>
    <w:p>
      <w:pPr>
        <w:spacing w:line="360" w:lineRule="auto"/>
        <w:ind w:left="424" w:leftChars="202"/>
        <w:rPr>
          <w:rFonts w:ascii="宋体" w:hAnsi="宋体" w:cs="Arial"/>
          <w:kern w:val="0"/>
          <w:szCs w:val="21"/>
        </w:rPr>
      </w:pPr>
    </w:p>
    <w:p>
      <w:pPr>
        <w:spacing w:line="360" w:lineRule="auto"/>
        <w:ind w:left="424" w:leftChars="202"/>
        <w:rPr>
          <w:rFonts w:ascii="宋体"/>
          <w:bCs/>
          <w:szCs w:val="21"/>
        </w:rPr>
      </w:pPr>
      <w:r>
        <w:rPr>
          <w:rFonts w:hint="eastAsia" w:ascii="宋体" w:hAnsi="宋体"/>
          <w:bCs/>
          <w:szCs w:val="21"/>
        </w:rPr>
        <w:t>注：为了便于查找，请按上述顺序编制投标文件内容，并在目录中标明每项内容的起始页码。</w:t>
      </w:r>
    </w:p>
    <w:p>
      <w:pPr>
        <w:rPr>
          <w:rFonts w:ascii="宋体" w:cs="宋体"/>
          <w:b/>
          <w:szCs w:val="21"/>
        </w:rPr>
      </w:pPr>
      <w:r>
        <w:rPr>
          <w:rFonts w:ascii="宋体" w:cs="宋体"/>
          <w:b/>
          <w:szCs w:val="21"/>
        </w:rPr>
        <w:br w:type="page"/>
      </w:r>
    </w:p>
    <w:p>
      <w:pPr>
        <w:jc w:val="center"/>
        <w:rPr>
          <w:rFonts w:ascii="宋体" w:hAnsi="宋体" w:cs="宋体"/>
          <w:b/>
          <w:bCs/>
        </w:rPr>
      </w:pPr>
      <w:r>
        <w:rPr>
          <w:rFonts w:hint="eastAsia" w:ascii="宋体" w:hAnsi="宋体" w:cs="宋体"/>
          <w:b/>
          <w:bCs/>
          <w:sz w:val="24"/>
          <w:szCs w:val="24"/>
        </w:rPr>
        <w:t>商务评标索引目录</w:t>
      </w:r>
    </w:p>
    <w:tbl>
      <w:tblPr>
        <w:tblStyle w:val="22"/>
        <w:tblW w:w="10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17"/>
        <w:gridCol w:w="6860"/>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88"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序号</w:t>
            </w:r>
          </w:p>
        </w:tc>
        <w:tc>
          <w:tcPr>
            <w:tcW w:w="1417"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评分因素</w:t>
            </w:r>
          </w:p>
        </w:tc>
        <w:tc>
          <w:tcPr>
            <w:tcW w:w="6860"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评分标准</w:t>
            </w:r>
          </w:p>
        </w:tc>
        <w:tc>
          <w:tcPr>
            <w:tcW w:w="1253"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产品业绩</w:t>
            </w:r>
          </w:p>
        </w:tc>
        <w:tc>
          <w:tcPr>
            <w:tcW w:w="6860"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1、投标人2022年以来本投标产品业绩，</w:t>
            </w:r>
            <w:r>
              <w:rPr>
                <w:rFonts w:hint="eastAsia" w:ascii="宋体" w:hAnsi="宋体"/>
                <w:b/>
                <w:bCs/>
                <w:kern w:val="0"/>
                <w:sz w:val="21"/>
                <w:szCs w:val="21"/>
              </w:rPr>
              <w:t>（须提供省级采购合同原件和中标通知书原件，并在投标文件中附复印件，否则不得分）</w:t>
            </w:r>
            <w:r>
              <w:rPr>
                <w:rFonts w:hint="eastAsia" w:ascii="宋体" w:hAnsi="宋体" w:cs="宋体"/>
                <w:kern w:val="0"/>
                <w:sz w:val="21"/>
                <w:szCs w:val="21"/>
              </w:rPr>
              <w:t>（满分8分）；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①提供15个及以上的得8分；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②提供11-14个的得5分；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③提供5-10个的得3分；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④提供5个以下得1分；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1253"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培训</w:t>
            </w:r>
          </w:p>
        </w:tc>
        <w:tc>
          <w:tcPr>
            <w:tcW w:w="6860" w:type="dxa"/>
            <w:vMerge w:val="restart"/>
          </w:tcPr>
          <w:p>
            <w:pPr>
              <w:pStyle w:val="15"/>
              <w:pBdr>
                <w:bottom w:val="none" w:color="auto" w:sz="0" w:space="0"/>
              </w:pBdr>
              <w:spacing w:line="276" w:lineRule="auto"/>
              <w:jc w:val="left"/>
              <w:rPr>
                <w:rFonts w:ascii="宋体" w:hAnsi="宋体" w:cs="宋体"/>
                <w:kern w:val="0"/>
                <w:sz w:val="21"/>
                <w:szCs w:val="21"/>
                <w:highlight w:val="none"/>
              </w:rPr>
            </w:pPr>
            <w:r>
              <w:rPr>
                <w:rFonts w:hint="eastAsia" w:ascii="宋体" w:hAnsi="宋体" w:cs="宋体"/>
                <w:kern w:val="0"/>
                <w:sz w:val="21"/>
                <w:szCs w:val="21"/>
                <w:highlight w:val="none"/>
              </w:rPr>
              <w:t>2、投标企业对采购方各县市、乡镇、村防疫人员进行技术培训并制定培训方案，并提供相关类似项目实施证明材料（满分6分）：</w:t>
            </w:r>
          </w:p>
          <w:p>
            <w:pPr>
              <w:pStyle w:val="15"/>
              <w:pBdr>
                <w:bottom w:val="none" w:color="auto" w:sz="0" w:space="0"/>
              </w:pBdr>
              <w:spacing w:line="276" w:lineRule="auto"/>
              <w:jc w:val="left"/>
              <w:rPr>
                <w:rFonts w:ascii="宋体" w:hAnsi="宋体" w:cs="宋体"/>
                <w:kern w:val="0"/>
                <w:sz w:val="21"/>
                <w:szCs w:val="21"/>
                <w:highlight w:val="none"/>
              </w:rPr>
            </w:pPr>
            <w:r>
              <w:rPr>
                <w:rFonts w:hint="eastAsia" w:ascii="宋体" w:hAnsi="宋体" w:cs="宋体"/>
                <w:kern w:val="0"/>
                <w:sz w:val="21"/>
                <w:szCs w:val="21"/>
                <w:highlight w:val="none"/>
              </w:rPr>
              <w:t>提供2022年内受训地州市和省级动物疫控机构出具的针对中标产品的培训履约证明，并出具地州市及省级畜牧兽医机构培训材料</w:t>
            </w:r>
          </w:p>
          <w:p>
            <w:pPr>
              <w:pStyle w:val="15"/>
              <w:pBdr>
                <w:bottom w:val="none" w:color="auto" w:sz="0" w:space="0"/>
              </w:pBdr>
              <w:spacing w:line="276" w:lineRule="auto"/>
              <w:jc w:val="left"/>
              <w:rPr>
                <w:rFonts w:ascii="宋体" w:hAnsi="宋体" w:cs="宋体"/>
                <w:kern w:val="0"/>
                <w:sz w:val="21"/>
                <w:szCs w:val="21"/>
                <w:highlight w:val="none"/>
              </w:rPr>
            </w:pPr>
            <w:r>
              <w:rPr>
                <w:rFonts w:hint="eastAsia" w:ascii="宋体" w:hAnsi="宋体" w:cs="宋体"/>
                <w:kern w:val="0"/>
                <w:sz w:val="21"/>
                <w:szCs w:val="21"/>
                <w:highlight w:val="none"/>
              </w:rPr>
              <w:t>①提供10个及以上的得6分；</w:t>
            </w:r>
          </w:p>
          <w:p>
            <w:pPr>
              <w:pStyle w:val="15"/>
              <w:pBdr>
                <w:bottom w:val="none" w:color="auto" w:sz="0" w:space="0"/>
              </w:pBdr>
              <w:spacing w:line="276" w:lineRule="auto"/>
              <w:jc w:val="left"/>
              <w:rPr>
                <w:rFonts w:ascii="宋体" w:hAnsi="宋体" w:cs="宋体"/>
                <w:kern w:val="0"/>
                <w:sz w:val="21"/>
                <w:szCs w:val="21"/>
                <w:highlight w:val="none"/>
              </w:rPr>
            </w:pPr>
            <w:r>
              <w:rPr>
                <w:rFonts w:hint="eastAsia" w:ascii="宋体" w:hAnsi="宋体" w:cs="宋体"/>
                <w:kern w:val="0"/>
                <w:sz w:val="21"/>
                <w:szCs w:val="21"/>
                <w:highlight w:val="none"/>
              </w:rPr>
              <w:t>②提供5-9个的得3分；</w:t>
            </w:r>
          </w:p>
          <w:p>
            <w:pPr>
              <w:pStyle w:val="15"/>
              <w:pBdr>
                <w:bottom w:val="none" w:color="auto" w:sz="0" w:space="0"/>
              </w:pBdr>
              <w:spacing w:line="276" w:lineRule="auto"/>
              <w:jc w:val="left"/>
              <w:rPr>
                <w:rFonts w:ascii="宋体" w:hAnsi="宋体" w:cs="宋体"/>
                <w:kern w:val="0"/>
                <w:sz w:val="21"/>
                <w:szCs w:val="21"/>
                <w:highlight w:val="none"/>
              </w:rPr>
            </w:pPr>
            <w:r>
              <w:rPr>
                <w:rFonts w:hint="eastAsia" w:ascii="宋体" w:hAnsi="宋体" w:cs="宋体"/>
                <w:kern w:val="0"/>
                <w:sz w:val="21"/>
                <w:szCs w:val="21"/>
                <w:highlight w:val="none"/>
              </w:rPr>
              <w:t>③提供1-4个的得1分；</w:t>
            </w:r>
          </w:p>
          <w:p>
            <w:pPr>
              <w:pStyle w:val="15"/>
              <w:pBdr>
                <w:bottom w:val="none" w:color="auto" w:sz="0" w:space="0"/>
              </w:pBdr>
              <w:spacing w:line="276" w:lineRule="auto"/>
              <w:jc w:val="left"/>
              <w:rPr>
                <w:rFonts w:ascii="宋体" w:hAnsi="宋体" w:cs="宋体"/>
                <w:kern w:val="0"/>
                <w:sz w:val="21"/>
                <w:szCs w:val="21"/>
                <w:highlight w:val="none"/>
              </w:rPr>
            </w:pPr>
            <w:r>
              <w:rPr>
                <w:rFonts w:hint="eastAsia" w:ascii="宋体" w:hAnsi="宋体" w:cs="宋体"/>
                <w:kern w:val="0"/>
                <w:sz w:val="21"/>
                <w:szCs w:val="21"/>
                <w:highlight w:val="none"/>
              </w:rPr>
              <w:t>④没有的不得分；</w:t>
            </w:r>
          </w:p>
        </w:tc>
        <w:tc>
          <w:tcPr>
            <w:tcW w:w="1253"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860" w:type="dxa"/>
            <w:vMerge w:val="continue"/>
          </w:tcPr>
          <w:p>
            <w:pPr>
              <w:pStyle w:val="15"/>
              <w:pBdr>
                <w:bottom w:val="none" w:color="auto" w:sz="0" w:space="0"/>
              </w:pBdr>
              <w:spacing w:line="276" w:lineRule="auto"/>
              <w:jc w:val="left"/>
              <w:rPr>
                <w:rFonts w:ascii="宋体" w:hAnsi="宋体" w:cs="宋体"/>
                <w:kern w:val="0"/>
                <w:sz w:val="21"/>
                <w:szCs w:val="21"/>
              </w:rPr>
            </w:pPr>
          </w:p>
        </w:tc>
        <w:tc>
          <w:tcPr>
            <w:tcW w:w="1253"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疫苗免疫副反应、免疫失败、产品质量问题等处理方案损失补偿</w:t>
            </w:r>
          </w:p>
        </w:tc>
        <w:tc>
          <w:tcPr>
            <w:tcW w:w="6860" w:type="dxa"/>
            <w:vAlign w:val="top"/>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3.1、疫苗免疫副反应处理（满分3分）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①投标企业承诺因疫苗</w:t>
            </w:r>
            <w:r>
              <w:rPr>
                <w:rFonts w:hint="eastAsia" w:ascii="宋体" w:hAnsi="宋体" w:cs="宋体"/>
                <w:kern w:val="0"/>
                <w:sz w:val="21"/>
                <w:szCs w:val="21"/>
                <w:lang w:eastAsia="zh-Hans"/>
              </w:rPr>
              <w:t>副</w:t>
            </w:r>
            <w:r>
              <w:rPr>
                <w:rFonts w:hint="eastAsia" w:ascii="宋体" w:hAnsi="宋体" w:cs="宋体"/>
                <w:kern w:val="0"/>
                <w:sz w:val="21"/>
                <w:szCs w:val="21"/>
              </w:rPr>
              <w:t>反应、免疫失败、产品质量导致畜禽死亡或流产造成损失按照不低于国家标准补偿得1分（满分1分）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②提供近两年2021年1月1日起副反应赔付响应程度证明（以赔付发票为准）提供一个得1分(满分2分)</w:t>
            </w:r>
          </w:p>
        </w:tc>
        <w:tc>
          <w:tcPr>
            <w:tcW w:w="1253"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860" w:type="dxa"/>
            <w:vAlign w:val="top"/>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3.2、补偿方案并建立补偿准备金（满分6分）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lang w:val="en-US" w:eastAsia="zh-CN"/>
              </w:rPr>
              <w:t>3.2.1</w:t>
            </w:r>
            <w:r>
              <w:rPr>
                <w:rFonts w:hint="eastAsia" w:ascii="宋体" w:hAnsi="宋体" w:cs="宋体"/>
                <w:kern w:val="0"/>
                <w:sz w:val="21"/>
                <w:szCs w:val="21"/>
              </w:rPr>
              <w:t>补偿方案建立补偿准备金的得1分；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lang w:val="en-US" w:eastAsia="zh-CN"/>
              </w:rPr>
              <w:t>3.2.2</w:t>
            </w:r>
            <w:r>
              <w:rPr>
                <w:rFonts w:hint="eastAsia" w:ascii="宋体" w:hAnsi="宋体" w:cs="宋体"/>
                <w:kern w:val="0"/>
                <w:sz w:val="21"/>
                <w:szCs w:val="21"/>
              </w:rPr>
              <w:t>提供2022年省级动物疫控机构对产品使用效果和副反应赔付等售后服务满意度证明资料</w:t>
            </w:r>
            <w:r>
              <w:rPr>
                <w:rFonts w:ascii="宋体" w:hAnsi="宋体" w:cs="宋体"/>
                <w:kern w:val="0"/>
                <w:sz w:val="21"/>
                <w:szCs w:val="21"/>
              </w:rPr>
              <w:t>（</w:t>
            </w:r>
            <w:r>
              <w:rPr>
                <w:rFonts w:hint="eastAsia" w:ascii="宋体" w:hAnsi="宋体"/>
                <w:b/>
                <w:bCs/>
                <w:kern w:val="0"/>
                <w:sz w:val="21"/>
                <w:szCs w:val="21"/>
              </w:rPr>
              <w:t>须提供省级售后服务满意度证明资料原件，并在投标文件中附复印件，否则不得分</w:t>
            </w:r>
            <w:r>
              <w:rPr>
                <w:rFonts w:ascii="宋体" w:hAnsi="宋体" w:cs="宋体"/>
                <w:kern w:val="0"/>
                <w:sz w:val="21"/>
                <w:szCs w:val="21"/>
              </w:rPr>
              <w:t>）</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①提供15个及以上的得5分；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②提供11-14个的得3分；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③提供5-10个的得2分；</w:t>
            </w:r>
            <w:bookmarkStart w:id="104" w:name="_GoBack"/>
            <w:bookmarkEnd w:id="104"/>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④提供5个以下得1分；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⑤没有的不得分；</w:t>
            </w:r>
          </w:p>
        </w:tc>
        <w:tc>
          <w:tcPr>
            <w:tcW w:w="1253"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4</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抗体水平监测</w:t>
            </w:r>
          </w:p>
        </w:tc>
        <w:tc>
          <w:tcPr>
            <w:tcW w:w="6860"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投标企业进行抗体水平监测并制定监测方案（免疫抗体监测比例为中标产品免疫数量的万分之一</w:t>
            </w:r>
            <w:r>
              <w:rPr>
                <w:rFonts w:ascii="宋体" w:hAnsi="宋体" w:cs="宋体"/>
                <w:kern w:val="0"/>
                <w:sz w:val="21"/>
                <w:szCs w:val="21"/>
              </w:rPr>
              <w:t>。</w:t>
            </w:r>
            <w:r>
              <w:rPr>
                <w:rFonts w:hint="eastAsia" w:ascii="宋体" w:hAnsi="宋体" w:cs="宋体"/>
                <w:kern w:val="0"/>
                <w:sz w:val="21"/>
                <w:szCs w:val="21"/>
              </w:rPr>
              <w:t>）（满分</w:t>
            </w:r>
            <w:r>
              <w:rPr>
                <w:rFonts w:ascii="宋体" w:hAnsi="宋体" w:cs="宋体"/>
                <w:kern w:val="0"/>
                <w:sz w:val="21"/>
                <w:szCs w:val="21"/>
              </w:rPr>
              <w:t>5</w:t>
            </w:r>
            <w:r>
              <w:rPr>
                <w:rFonts w:hint="eastAsia" w:ascii="宋体" w:hAnsi="宋体" w:cs="宋体"/>
                <w:kern w:val="0"/>
                <w:sz w:val="21"/>
                <w:szCs w:val="21"/>
              </w:rPr>
              <w:t>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①制定监测方案的得</w:t>
            </w:r>
            <w:r>
              <w:rPr>
                <w:rFonts w:ascii="宋体" w:hAnsi="宋体" w:cs="宋体"/>
                <w:kern w:val="0"/>
                <w:sz w:val="21"/>
                <w:szCs w:val="21"/>
              </w:rPr>
              <w:t>1</w:t>
            </w:r>
            <w:r>
              <w:rPr>
                <w:rFonts w:hint="eastAsia" w:ascii="宋体" w:hAnsi="宋体" w:cs="宋体"/>
                <w:kern w:val="0"/>
                <w:sz w:val="21"/>
                <w:szCs w:val="21"/>
              </w:rPr>
              <w:t>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②承诺提供满足中标产品免疫抗体水平监测所需的技术支持且监测方案操作性强的得1-2分，操作性较好得0-1分，操作性一般不得分；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③承诺提供满足中标产品免疫抗体水平监测所需的材料支持且不额外收费的，得2分，否则不得分；</w:t>
            </w:r>
          </w:p>
        </w:tc>
        <w:tc>
          <w:tcPr>
            <w:tcW w:w="1253"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5</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售后服务及质量保障措施</w:t>
            </w:r>
          </w:p>
        </w:tc>
        <w:tc>
          <w:tcPr>
            <w:tcW w:w="6860"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6.1、针对本</w:t>
            </w:r>
            <w:r>
              <w:rPr>
                <w:rFonts w:hint="eastAsia" w:ascii="宋体" w:hAnsi="宋体" w:cs="Arial"/>
                <w:kern w:val="0"/>
                <w:sz w:val="21"/>
                <w:szCs w:val="21"/>
              </w:rPr>
              <w:t>项目进度计划安排、配送方案、验收组织安排是否完整合理、是否符合需求，以及质量保证措施、等综合情况</w:t>
            </w:r>
            <w:r>
              <w:rPr>
                <w:rFonts w:hint="eastAsia" w:ascii="宋体" w:hAnsi="宋体" w:cs="宋体"/>
                <w:kern w:val="0"/>
                <w:sz w:val="21"/>
                <w:szCs w:val="21"/>
              </w:rPr>
              <w:t>进行赋分（满分5分）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①横向比较</w:t>
            </w:r>
            <w:r>
              <w:rPr>
                <w:rFonts w:hint="eastAsia" w:ascii="宋体" w:hAnsi="宋体" w:cs="Arial"/>
                <w:kern w:val="0"/>
                <w:sz w:val="21"/>
                <w:szCs w:val="21"/>
              </w:rPr>
              <w:t>项目进度计划安排、配送方案、验收组织安排完整合理、符合需求，以及质量保证措施完善</w:t>
            </w:r>
            <w:r>
              <w:rPr>
                <w:rFonts w:hint="eastAsia" w:ascii="宋体" w:hAnsi="宋体" w:cs="宋体"/>
                <w:kern w:val="0"/>
                <w:sz w:val="21"/>
                <w:szCs w:val="21"/>
              </w:rPr>
              <w:t>的得1-4分；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②疫苗供应企业在自治区及伊犁州内设立售后保障服务网点，配备专业技术服务人员（包括委托相关有资质机构，如有委托，提供被委托机构能力证明材料）的得1分；没有不得分。（满分1分）</w:t>
            </w:r>
          </w:p>
        </w:tc>
        <w:tc>
          <w:tcPr>
            <w:tcW w:w="1253"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5"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860" w:type="dxa"/>
          </w:tcPr>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6.2、疫苗的冷链运输（满分2分）：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6.2.1（满分1分）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①承诺疫苗用专用冷藏车运输不超过36小时或航空运输不超过12小时，有全程温控记录设备和数据的得1分；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②疫苗用冷藏车运输不超过72小时或航空运输不超过24小时，全程温控记录设备和数据的得0.5分；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③超过以上最低时限或未采取规定运载工具运输的不得分。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6.2.2（满分1分）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①提供2022年内5个地市级的冷链运输供货完整记录凭证的得1分，不提供不得分。</w:t>
            </w:r>
          </w:p>
        </w:tc>
        <w:tc>
          <w:tcPr>
            <w:tcW w:w="1253"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交货日期</w:t>
            </w:r>
          </w:p>
        </w:tc>
        <w:tc>
          <w:tcPr>
            <w:tcW w:w="6860" w:type="dxa"/>
          </w:tcPr>
          <w:p>
            <w:pPr>
              <w:pStyle w:val="15"/>
              <w:pBdr>
                <w:bottom w:val="none" w:color="auto" w:sz="0" w:space="0"/>
              </w:pBdr>
              <w:jc w:val="left"/>
              <w:rPr>
                <w:rFonts w:ascii="宋体" w:hAnsi="宋体" w:cs="Arial"/>
                <w:kern w:val="0"/>
                <w:sz w:val="21"/>
                <w:szCs w:val="21"/>
              </w:rPr>
            </w:pPr>
            <w:r>
              <w:rPr>
                <w:rFonts w:hint="eastAsia" w:ascii="宋体" w:hAnsi="宋体" w:cs="Arial"/>
                <w:kern w:val="0"/>
                <w:sz w:val="21"/>
                <w:szCs w:val="21"/>
              </w:rPr>
              <w:t>交货日期</w:t>
            </w:r>
            <w:r>
              <w:rPr>
                <w:rFonts w:hint="eastAsia" w:ascii="宋体" w:hAnsi="宋体" w:cs="宋体"/>
                <w:sz w:val="21"/>
                <w:szCs w:val="21"/>
              </w:rPr>
              <w:t>（满分2分）：</w:t>
            </w:r>
          </w:p>
          <w:p>
            <w:pPr>
              <w:pStyle w:val="15"/>
              <w:pBdr>
                <w:bottom w:val="none" w:color="auto" w:sz="0" w:space="0"/>
              </w:pBdr>
              <w:jc w:val="left"/>
              <w:rPr>
                <w:rFonts w:ascii="宋体" w:hAnsi="宋体" w:cs="宋体"/>
                <w:sz w:val="21"/>
                <w:szCs w:val="21"/>
              </w:rPr>
            </w:pPr>
            <w:r>
              <w:rPr>
                <w:rFonts w:hint="eastAsia" w:ascii="宋体" w:hAnsi="宋体" w:cs="宋体"/>
                <w:sz w:val="21"/>
                <w:szCs w:val="21"/>
              </w:rPr>
              <w:t>①采购人要求15日内交付使用</w:t>
            </w:r>
            <w:r>
              <w:rPr>
                <w:rFonts w:hint="eastAsia" w:ascii="宋体" w:hAnsi="宋体" w:cs="Arial"/>
                <w:kern w:val="0"/>
                <w:sz w:val="21"/>
                <w:szCs w:val="21"/>
              </w:rPr>
              <w:t>，如因特殊情况需要提前在3日内供货的，投标人能够按采购人通知要求执行</w:t>
            </w:r>
            <w:r>
              <w:rPr>
                <w:rFonts w:hint="eastAsia" w:ascii="宋体" w:hAnsi="宋体" w:cs="宋体"/>
                <w:sz w:val="21"/>
                <w:szCs w:val="21"/>
              </w:rPr>
              <w:t>，得2分；</w:t>
            </w:r>
          </w:p>
          <w:p>
            <w:pPr>
              <w:pStyle w:val="15"/>
              <w:pBdr>
                <w:bottom w:val="none" w:color="auto" w:sz="0" w:space="0"/>
              </w:pBdr>
              <w:jc w:val="left"/>
              <w:rPr>
                <w:rFonts w:ascii="宋体" w:hAnsi="宋体" w:cs="宋体"/>
                <w:sz w:val="21"/>
                <w:szCs w:val="21"/>
              </w:rPr>
            </w:pPr>
            <w:r>
              <w:rPr>
                <w:rFonts w:hint="eastAsia" w:ascii="宋体" w:hAnsi="宋体" w:cs="宋体"/>
                <w:sz w:val="21"/>
                <w:szCs w:val="21"/>
              </w:rPr>
              <w:t>②承诺不清楚或</w:t>
            </w:r>
            <w:r>
              <w:rPr>
                <w:rFonts w:hint="eastAsia" w:ascii="宋体" w:hAnsi="宋体" w:cs="Arial"/>
                <w:kern w:val="0"/>
                <w:sz w:val="21"/>
                <w:szCs w:val="21"/>
              </w:rPr>
              <w:t>未承诺的，不</w:t>
            </w:r>
            <w:r>
              <w:rPr>
                <w:rFonts w:hint="eastAsia" w:ascii="宋体" w:hAnsi="宋体" w:cs="宋体"/>
                <w:sz w:val="21"/>
                <w:szCs w:val="21"/>
              </w:rPr>
              <w:t>得分。</w:t>
            </w:r>
          </w:p>
        </w:tc>
        <w:tc>
          <w:tcPr>
            <w:tcW w:w="1253"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78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7</w:t>
            </w:r>
          </w:p>
        </w:tc>
        <w:tc>
          <w:tcPr>
            <w:tcW w:w="1417" w:type="dxa"/>
            <w:vMerge w:val="restart"/>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响应时间及承诺</w:t>
            </w:r>
          </w:p>
        </w:tc>
        <w:tc>
          <w:tcPr>
            <w:tcW w:w="6860" w:type="dxa"/>
          </w:tcPr>
          <w:p>
            <w:pPr>
              <w:spacing w:line="276" w:lineRule="auto"/>
              <w:rPr>
                <w:rFonts w:ascii="宋体" w:hAnsi="宋体" w:cs="宋体"/>
                <w:kern w:val="0"/>
                <w:szCs w:val="21"/>
              </w:rPr>
            </w:pPr>
            <w:r>
              <w:rPr>
                <w:rFonts w:hint="eastAsia" w:ascii="宋体" w:hAnsi="宋体" w:cs="宋体"/>
                <w:kern w:val="0"/>
                <w:szCs w:val="21"/>
              </w:rPr>
              <w:t>8.1投标人承诺响应时间（满分5分）：</w:t>
            </w:r>
          </w:p>
          <w:p>
            <w:pPr>
              <w:spacing w:line="276" w:lineRule="auto"/>
              <w:rPr>
                <w:rFonts w:ascii="宋体" w:hAnsi="宋体" w:cs="宋体"/>
                <w:kern w:val="0"/>
                <w:szCs w:val="21"/>
              </w:rPr>
            </w:pPr>
            <w:r>
              <w:rPr>
                <w:rFonts w:hint="eastAsia" w:ascii="宋体" w:hAnsi="宋体" w:cs="宋体"/>
                <w:kern w:val="0"/>
                <w:szCs w:val="21"/>
              </w:rPr>
              <w:t xml:space="preserve">①投标人承诺措施全面、可行性强，对疫苗免疫严重副反应（免疫日县级区域内副反应数量≥1‰）现场处置响应时间 </w:t>
            </w:r>
            <w:r>
              <w:rPr>
                <w:rFonts w:ascii="宋体" w:hAnsi="宋体" w:cs="Arial"/>
                <w:kern w:val="0"/>
                <w:szCs w:val="21"/>
              </w:rPr>
              <w:t>≤</w:t>
            </w:r>
            <w:r>
              <w:rPr>
                <w:rFonts w:hint="eastAsia" w:ascii="宋体" w:hAnsi="宋体" w:cs="Arial"/>
                <w:kern w:val="0"/>
                <w:szCs w:val="21"/>
              </w:rPr>
              <w:t>12</w:t>
            </w:r>
            <w:r>
              <w:rPr>
                <w:rFonts w:hint="eastAsia" w:ascii="宋体" w:hAnsi="宋体" w:cs="宋体"/>
                <w:kern w:val="0"/>
                <w:szCs w:val="21"/>
              </w:rPr>
              <w:t>小时，得2分，没有不得分；</w:t>
            </w:r>
          </w:p>
          <w:p>
            <w:pPr>
              <w:spacing w:line="276" w:lineRule="auto"/>
              <w:rPr>
                <w:rFonts w:ascii="宋体" w:hAnsi="宋体" w:cs="宋体"/>
                <w:kern w:val="0"/>
                <w:szCs w:val="21"/>
              </w:rPr>
            </w:pPr>
            <w:r>
              <w:rPr>
                <w:rFonts w:hint="eastAsia" w:ascii="宋体" w:hAnsi="宋体" w:cs="宋体"/>
                <w:kern w:val="0"/>
                <w:szCs w:val="21"/>
              </w:rPr>
              <w:t>②投标人承诺在采购人规定时间内给予反应死亡赔偿费（按死亡牲畜实际价值的50%进行赔偿，实际价值以县级物价部门核定为准）的，得3分；</w:t>
            </w:r>
          </w:p>
          <w:p>
            <w:pPr>
              <w:pStyle w:val="15"/>
              <w:pBdr>
                <w:bottom w:val="none" w:color="auto" w:sz="0" w:space="0"/>
              </w:pBdr>
              <w:spacing w:line="276" w:lineRule="auto"/>
              <w:jc w:val="left"/>
              <w:rPr>
                <w:rFonts w:ascii="宋体" w:hAnsi="宋体" w:cs="宋体"/>
                <w:kern w:val="0"/>
                <w:sz w:val="21"/>
                <w:szCs w:val="21"/>
              </w:rPr>
            </w:pPr>
            <w:r>
              <w:rPr>
                <w:rFonts w:hint="eastAsia" w:ascii="宋体" w:hAnsi="宋体" w:cs="宋体"/>
                <w:kern w:val="0"/>
                <w:sz w:val="21"/>
                <w:szCs w:val="21"/>
              </w:rPr>
              <w:t>③承诺不全面或无承诺不得分。</w:t>
            </w:r>
          </w:p>
        </w:tc>
        <w:tc>
          <w:tcPr>
            <w:tcW w:w="1253" w:type="dxa"/>
            <w:vMerge w:val="restart"/>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788" w:type="dxa"/>
            <w:vMerge w:val="continue"/>
            <w:vAlign w:val="center"/>
          </w:tcPr>
          <w:p>
            <w:pPr>
              <w:pStyle w:val="15"/>
              <w:pBdr>
                <w:bottom w:val="none" w:color="auto" w:sz="0" w:space="0"/>
              </w:pBdr>
              <w:rPr>
                <w:rFonts w:ascii="宋体" w:hAnsi="宋体" w:cs="宋体"/>
                <w:kern w:val="0"/>
                <w:sz w:val="21"/>
                <w:szCs w:val="21"/>
              </w:rPr>
            </w:pPr>
          </w:p>
        </w:tc>
        <w:tc>
          <w:tcPr>
            <w:tcW w:w="1417" w:type="dxa"/>
            <w:vMerge w:val="continue"/>
            <w:vAlign w:val="center"/>
          </w:tcPr>
          <w:p>
            <w:pPr>
              <w:pStyle w:val="15"/>
              <w:pBdr>
                <w:bottom w:val="none" w:color="auto" w:sz="0" w:space="0"/>
              </w:pBdr>
              <w:spacing w:line="276" w:lineRule="auto"/>
              <w:rPr>
                <w:rFonts w:ascii="宋体" w:hAnsi="宋体" w:cs="宋体"/>
                <w:kern w:val="0"/>
                <w:sz w:val="21"/>
                <w:szCs w:val="21"/>
              </w:rPr>
            </w:pPr>
          </w:p>
        </w:tc>
        <w:tc>
          <w:tcPr>
            <w:tcW w:w="6860"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8.2投标人承诺（满分1分）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①投标人针对本项目自主承诺的各项优惠事项，经评标委员会判定确实有利项目推进、安全保障等事项的，得1分；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②投标人针对本项目自主承诺的各项优惠事项，经评标委员会判定与项目推进、安全保障等无关的或者无承诺的，不得分。</w:t>
            </w:r>
          </w:p>
        </w:tc>
        <w:tc>
          <w:tcPr>
            <w:tcW w:w="1253" w:type="dxa"/>
            <w:vMerge w:val="continue"/>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8</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包装要求</w:t>
            </w:r>
          </w:p>
        </w:tc>
        <w:tc>
          <w:tcPr>
            <w:tcW w:w="6860" w:type="dxa"/>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投标产品的包装应低碳环保、实用性强，不浪费、利于使用；标签印刷规范明晰，利于运输保存。（须提供证明材料彩页并清晰可辨），提供得2分，不提供得0分。</w:t>
            </w:r>
          </w:p>
        </w:tc>
        <w:tc>
          <w:tcPr>
            <w:tcW w:w="1253"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788"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9</w:t>
            </w:r>
          </w:p>
        </w:tc>
        <w:tc>
          <w:tcPr>
            <w:tcW w:w="1417" w:type="dxa"/>
            <w:vAlign w:val="center"/>
          </w:tcPr>
          <w:p>
            <w:pPr>
              <w:pStyle w:val="15"/>
              <w:pBdr>
                <w:bottom w:val="none" w:color="auto" w:sz="0" w:space="0"/>
              </w:pBdr>
              <w:spacing w:line="276" w:lineRule="auto"/>
              <w:rPr>
                <w:rFonts w:ascii="宋体" w:hAnsi="宋体" w:cs="宋体"/>
                <w:kern w:val="0"/>
                <w:sz w:val="21"/>
                <w:szCs w:val="21"/>
              </w:rPr>
            </w:pPr>
            <w:r>
              <w:rPr>
                <w:rFonts w:hint="eastAsia" w:ascii="宋体" w:hAnsi="宋体" w:cs="宋体"/>
                <w:kern w:val="0"/>
                <w:sz w:val="21"/>
                <w:szCs w:val="21"/>
              </w:rPr>
              <w:t>产品保险</w:t>
            </w:r>
          </w:p>
        </w:tc>
        <w:tc>
          <w:tcPr>
            <w:tcW w:w="6860" w:type="dxa"/>
            <w:vAlign w:val="center"/>
          </w:tcPr>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①投标产品应参加相关保险，并在保险有效期内（须提供有效的证明材料）得1分；</w:t>
            </w:r>
          </w:p>
          <w:p>
            <w:pPr>
              <w:pStyle w:val="15"/>
              <w:pBdr>
                <w:bottom w:val="none" w:color="auto" w:sz="0" w:space="0"/>
              </w:pBdr>
              <w:spacing w:line="276" w:lineRule="auto"/>
              <w:jc w:val="both"/>
              <w:rPr>
                <w:rFonts w:ascii="宋体" w:hAnsi="宋体" w:cs="宋体"/>
                <w:kern w:val="0"/>
                <w:sz w:val="21"/>
                <w:szCs w:val="21"/>
              </w:rPr>
            </w:pPr>
            <w:r>
              <w:rPr>
                <w:rFonts w:hint="eastAsia" w:ascii="宋体" w:hAnsi="宋体" w:cs="宋体"/>
                <w:kern w:val="0"/>
                <w:sz w:val="21"/>
                <w:szCs w:val="21"/>
              </w:rPr>
              <w:t>②没有参加保险或保险已过期的不得分。</w:t>
            </w:r>
          </w:p>
        </w:tc>
        <w:tc>
          <w:tcPr>
            <w:tcW w:w="1253" w:type="dxa"/>
            <w:vAlign w:val="center"/>
          </w:tcPr>
          <w:p>
            <w:pPr>
              <w:pStyle w:val="15"/>
              <w:pBdr>
                <w:bottom w:val="none" w:color="auto" w:sz="0" w:space="0"/>
              </w:pBdr>
              <w:rPr>
                <w:rFonts w:ascii="宋体" w:hAnsi="宋体" w:cs="宋体"/>
                <w:kern w:val="0"/>
                <w:sz w:val="21"/>
                <w:szCs w:val="21"/>
              </w:rPr>
            </w:pPr>
          </w:p>
        </w:tc>
      </w:tr>
    </w:tbl>
    <w:p>
      <w:pPr>
        <w:pStyle w:val="4"/>
        <w:rPr>
          <w:rFonts w:ascii="宋体" w:hAnsi="宋体"/>
          <w:szCs w:val="21"/>
        </w:rPr>
      </w:pPr>
    </w:p>
    <w:p>
      <w:pPr>
        <w:pStyle w:val="4"/>
        <w:rPr>
          <w:rFonts w:ascii="宋体" w:hAnsi="宋体"/>
          <w:szCs w:val="21"/>
        </w:rPr>
      </w:pPr>
    </w:p>
    <w:p>
      <w:pPr>
        <w:jc w:val="center"/>
        <w:rPr>
          <w:rFonts w:ascii="宋体" w:hAnsi="宋体" w:cs="宋体"/>
          <w:b/>
          <w:bCs/>
          <w:sz w:val="24"/>
          <w:szCs w:val="24"/>
        </w:rPr>
      </w:pPr>
      <w:r>
        <w:rPr>
          <w:rFonts w:ascii="宋体" w:hAnsi="宋体"/>
          <w:szCs w:val="21"/>
        </w:rPr>
        <w:br w:type="page"/>
      </w:r>
      <w:r>
        <w:rPr>
          <w:rFonts w:hint="eastAsia" w:ascii="宋体" w:hAnsi="宋体" w:cs="宋体"/>
          <w:b/>
          <w:bCs/>
          <w:sz w:val="24"/>
          <w:szCs w:val="24"/>
        </w:rPr>
        <w:t>技术评标索引目录</w:t>
      </w:r>
    </w:p>
    <w:p>
      <w:pPr>
        <w:rPr>
          <w:rFonts w:ascii="宋体" w:hAnsi="宋体" w:cs="宋体"/>
          <w:b/>
          <w:bCs/>
          <w:szCs w:val="21"/>
        </w:rPr>
      </w:pPr>
    </w:p>
    <w:tbl>
      <w:tblPr>
        <w:tblStyle w:val="2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48"/>
        <w:gridCol w:w="6201"/>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3"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序号</w:t>
            </w:r>
          </w:p>
        </w:tc>
        <w:tc>
          <w:tcPr>
            <w:tcW w:w="1448"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评分因素及权值</w:t>
            </w:r>
          </w:p>
        </w:tc>
        <w:tc>
          <w:tcPr>
            <w:tcW w:w="6201"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评分标准</w:t>
            </w:r>
          </w:p>
        </w:tc>
        <w:tc>
          <w:tcPr>
            <w:tcW w:w="1336" w:type="dxa"/>
            <w:vAlign w:val="center"/>
          </w:tcPr>
          <w:p>
            <w:pPr>
              <w:pStyle w:val="15"/>
              <w:pBdr>
                <w:bottom w:val="none" w:color="auto" w:sz="0" w:space="0"/>
              </w:pBdr>
              <w:rPr>
                <w:rFonts w:ascii="宋体" w:hAnsi="宋体" w:cs="宋体"/>
                <w:b/>
                <w:bCs/>
                <w:kern w:val="0"/>
                <w:sz w:val="21"/>
                <w:szCs w:val="21"/>
              </w:rPr>
            </w:pPr>
            <w:r>
              <w:rPr>
                <w:rFonts w:hint="eastAsia" w:ascii="宋体" w:hAnsi="宋体" w:cs="宋体"/>
                <w:b/>
                <w:bCs/>
                <w:kern w:val="0"/>
                <w:sz w:val="21"/>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1</w:t>
            </w:r>
          </w:p>
        </w:tc>
        <w:tc>
          <w:tcPr>
            <w:tcW w:w="1448" w:type="dxa"/>
            <w:vMerge w:val="restart"/>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产品技术指标及生产能力技术部分（25%）</w:t>
            </w:r>
          </w:p>
        </w:tc>
        <w:tc>
          <w:tcPr>
            <w:tcW w:w="6201" w:type="dxa"/>
          </w:tcPr>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1</w:t>
            </w:r>
            <w:r>
              <w:rPr>
                <w:rFonts w:ascii="宋体" w:hAnsi="宋体" w:cs="宋体"/>
                <w:kern w:val="0"/>
                <w:sz w:val="21"/>
                <w:szCs w:val="21"/>
              </w:rPr>
              <w:t>.</w:t>
            </w:r>
            <w:r>
              <w:rPr>
                <w:rFonts w:hint="eastAsia" w:ascii="宋体" w:hAnsi="宋体" w:cs="宋体"/>
                <w:kern w:val="0"/>
                <w:sz w:val="21"/>
                <w:szCs w:val="21"/>
              </w:rPr>
              <w:t>生产技术（满分</w:t>
            </w:r>
            <w:r>
              <w:rPr>
                <w:rFonts w:ascii="宋体" w:hAnsi="宋体" w:cs="宋体"/>
                <w:kern w:val="0"/>
                <w:sz w:val="21"/>
                <w:szCs w:val="21"/>
              </w:rPr>
              <w:t>2</w:t>
            </w:r>
            <w:r>
              <w:rPr>
                <w:rFonts w:hint="eastAsia" w:ascii="宋体" w:hAnsi="宋体" w:cs="宋体"/>
                <w:kern w:val="0"/>
                <w:sz w:val="21"/>
                <w:szCs w:val="21"/>
              </w:rPr>
              <w:t>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生产线设备满足并优于本次疫苗采购，提供相关疫苗生产线GMP验收证明材料（相关设备购置合同、发票等）的加2分，没有的不得分。</w:t>
            </w:r>
          </w:p>
        </w:tc>
        <w:tc>
          <w:tcPr>
            <w:tcW w:w="1336"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2</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201" w:type="dxa"/>
          </w:tcPr>
          <w:p>
            <w:pPr>
              <w:pStyle w:val="11"/>
              <w:rPr>
                <w:rFonts w:cs="宋体"/>
                <w:kern w:val="0"/>
                <w:szCs w:val="21"/>
              </w:rPr>
            </w:pPr>
            <w:r>
              <w:rPr>
                <w:rFonts w:hint="eastAsia" w:cs="宋体"/>
                <w:kern w:val="0"/>
                <w:szCs w:val="21"/>
              </w:rPr>
              <w:t>2、产品功能（满分1分）：</w:t>
            </w:r>
          </w:p>
          <w:p>
            <w:pPr>
              <w:pStyle w:val="11"/>
              <w:rPr>
                <w:rFonts w:cs="宋体"/>
                <w:kern w:val="0"/>
                <w:szCs w:val="21"/>
              </w:rPr>
            </w:pPr>
            <w:r>
              <w:rPr>
                <w:rFonts w:hint="eastAsia" w:cs="宋体"/>
                <w:kern w:val="0"/>
                <w:szCs w:val="21"/>
              </w:rPr>
              <w:t>①所投产品满足国家对该产品的技术生产要求具有完整的产品说明书、使用范围、使用方法，注意事项等情况。说明书全面分项介绍详细，配图完整易理解。得1分；</w:t>
            </w:r>
          </w:p>
          <w:p>
            <w:pPr>
              <w:pStyle w:val="11"/>
              <w:rPr>
                <w:rFonts w:cs="宋体"/>
                <w:kern w:val="0"/>
                <w:szCs w:val="21"/>
              </w:rPr>
            </w:pPr>
            <w:r>
              <w:rPr>
                <w:rFonts w:hint="eastAsia" w:cs="宋体"/>
                <w:kern w:val="0"/>
                <w:szCs w:val="21"/>
              </w:rPr>
              <w:t>②说明书简略分项介绍内容不明确、不清晰得0.5分；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③未提供说明书不得分。</w:t>
            </w:r>
          </w:p>
        </w:tc>
        <w:tc>
          <w:tcPr>
            <w:tcW w:w="1336"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3</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201" w:type="dxa"/>
          </w:tcPr>
          <w:p>
            <w:pPr>
              <w:pStyle w:val="15"/>
              <w:pBdr>
                <w:bottom w:val="none" w:color="auto" w:sz="0" w:space="0"/>
              </w:pBdr>
              <w:jc w:val="left"/>
              <w:rPr>
                <w:rFonts w:ascii="宋体" w:hAnsi="宋体" w:cs="Arial"/>
                <w:kern w:val="0"/>
                <w:sz w:val="21"/>
                <w:szCs w:val="21"/>
              </w:rPr>
            </w:pPr>
            <w:r>
              <w:rPr>
                <w:rFonts w:hint="eastAsia" w:ascii="宋体" w:hAnsi="宋体" w:cs="Arial"/>
                <w:kern w:val="0"/>
                <w:sz w:val="21"/>
                <w:szCs w:val="21"/>
              </w:rPr>
              <w:t>3、安全性（满分</w:t>
            </w:r>
            <w:r>
              <w:rPr>
                <w:rFonts w:ascii="宋体" w:hAnsi="宋体" w:cs="Arial"/>
                <w:kern w:val="0"/>
                <w:sz w:val="21"/>
                <w:szCs w:val="21"/>
              </w:rPr>
              <w:t>3</w:t>
            </w:r>
            <w:r>
              <w:rPr>
                <w:rFonts w:hint="eastAsia" w:ascii="宋体" w:hAnsi="宋体" w:cs="Arial"/>
                <w:kern w:val="0"/>
                <w:sz w:val="21"/>
                <w:szCs w:val="21"/>
              </w:rPr>
              <w:t>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提供20</w:t>
            </w:r>
            <w:r>
              <w:rPr>
                <w:rFonts w:ascii="宋体" w:hAnsi="宋体" w:cs="宋体"/>
                <w:kern w:val="0"/>
                <w:sz w:val="21"/>
                <w:szCs w:val="21"/>
              </w:rPr>
              <w:t>2</w:t>
            </w:r>
            <w:r>
              <w:rPr>
                <w:rFonts w:hint="eastAsia" w:ascii="宋体" w:hAnsi="宋体" w:cs="宋体"/>
                <w:kern w:val="0"/>
                <w:sz w:val="21"/>
                <w:szCs w:val="21"/>
              </w:rPr>
              <w:t>2年购买</w:t>
            </w:r>
            <w:r>
              <w:rPr>
                <w:rFonts w:hint="eastAsia" w:ascii="宋体" w:hAnsi="宋体" w:cs="宋体"/>
                <w:bCs/>
                <w:kern w:val="0"/>
                <w:sz w:val="21"/>
                <w:szCs w:val="21"/>
              </w:rPr>
              <w:t>进口佐剂</w:t>
            </w:r>
            <w:r>
              <w:rPr>
                <w:rFonts w:hint="eastAsia" w:ascii="宋体" w:hAnsi="宋体" w:cs="宋体"/>
                <w:kern w:val="0"/>
                <w:sz w:val="21"/>
                <w:szCs w:val="21"/>
              </w:rPr>
              <w:t>合同及发票复印件的得</w:t>
            </w:r>
            <w:r>
              <w:rPr>
                <w:rFonts w:ascii="宋体" w:hAnsi="宋体" w:cs="宋体"/>
                <w:kern w:val="0"/>
                <w:sz w:val="21"/>
                <w:szCs w:val="21"/>
              </w:rPr>
              <w:t>2</w:t>
            </w:r>
            <w:r>
              <w:rPr>
                <w:rFonts w:hint="eastAsia" w:ascii="宋体" w:hAnsi="宋体" w:cs="宋体"/>
                <w:kern w:val="0"/>
                <w:sz w:val="21"/>
                <w:szCs w:val="21"/>
              </w:rPr>
              <w:t>分。承诺供货产品1</w:t>
            </w:r>
            <w:r>
              <w:rPr>
                <w:rFonts w:ascii="宋体" w:hAnsi="宋体" w:cs="宋体"/>
                <w:kern w:val="0"/>
                <w:sz w:val="21"/>
                <w:szCs w:val="21"/>
              </w:rPr>
              <w:t>00</w:t>
            </w:r>
            <w:r>
              <w:rPr>
                <w:rFonts w:hint="eastAsia" w:ascii="宋体" w:hAnsi="宋体" w:cs="宋体"/>
                <w:kern w:val="0"/>
                <w:sz w:val="21"/>
                <w:szCs w:val="21"/>
              </w:rPr>
              <w:t>%使用进口佐剂</w:t>
            </w:r>
            <w:r>
              <w:rPr>
                <w:rFonts w:hint="eastAsia" w:ascii="宋体" w:hAnsi="宋体" w:cs="宋体"/>
                <w:bCs/>
                <w:kern w:val="0"/>
                <w:sz w:val="21"/>
                <w:szCs w:val="21"/>
              </w:rPr>
              <w:t>的得1分。</w:t>
            </w:r>
            <w:r>
              <w:rPr>
                <w:rFonts w:hint="eastAsia" w:ascii="宋体" w:hAnsi="宋体" w:cs="Arial"/>
                <w:kern w:val="0"/>
                <w:sz w:val="21"/>
                <w:szCs w:val="21"/>
              </w:rPr>
              <w:t>没有不得分</w:t>
            </w:r>
          </w:p>
        </w:tc>
        <w:tc>
          <w:tcPr>
            <w:tcW w:w="1336"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4</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201" w:type="dxa"/>
          </w:tcPr>
          <w:p>
            <w:pPr>
              <w:rPr>
                <w:rFonts w:ascii="宋体" w:hAnsi="宋体" w:cs="Arial"/>
                <w:kern w:val="0"/>
                <w:szCs w:val="21"/>
                <w:highlight w:val="none"/>
              </w:rPr>
            </w:pPr>
            <w:r>
              <w:rPr>
                <w:rFonts w:hint="eastAsia" w:ascii="宋体" w:hAnsi="宋体" w:cs="宋体"/>
                <w:kern w:val="0"/>
                <w:szCs w:val="21"/>
                <w:highlight w:val="none"/>
              </w:rPr>
              <w:t>4</w:t>
            </w:r>
            <w:r>
              <w:rPr>
                <w:rFonts w:ascii="宋体" w:hAnsi="宋体" w:cs="宋体"/>
                <w:kern w:val="0"/>
                <w:szCs w:val="21"/>
                <w:highlight w:val="none"/>
              </w:rPr>
              <w:t>.</w:t>
            </w:r>
            <w:r>
              <w:rPr>
                <w:rFonts w:hint="eastAsia" w:ascii="宋体" w:hAnsi="宋体" w:cs="宋体"/>
                <w:kern w:val="0"/>
                <w:szCs w:val="21"/>
                <w:highlight w:val="none"/>
              </w:rPr>
              <w:t>企业技术研发能力</w:t>
            </w:r>
            <w:r>
              <w:rPr>
                <w:rFonts w:hint="eastAsia" w:ascii="宋体" w:hAnsi="宋体" w:cs="Arial"/>
                <w:kern w:val="0"/>
                <w:szCs w:val="21"/>
                <w:highlight w:val="none"/>
              </w:rPr>
              <w:t>（满分</w:t>
            </w:r>
            <w:r>
              <w:rPr>
                <w:rFonts w:ascii="宋体" w:hAnsi="宋体" w:cs="Arial"/>
                <w:kern w:val="0"/>
                <w:szCs w:val="21"/>
                <w:highlight w:val="none"/>
              </w:rPr>
              <w:t>8</w:t>
            </w:r>
            <w:r>
              <w:rPr>
                <w:rFonts w:hint="eastAsia" w:ascii="宋体" w:hAnsi="宋体" w:cs="Arial"/>
                <w:kern w:val="0"/>
                <w:szCs w:val="21"/>
                <w:highlight w:val="none"/>
              </w:rPr>
              <w:t>分）：</w:t>
            </w:r>
          </w:p>
          <w:p>
            <w:pPr>
              <w:rPr>
                <w:rFonts w:ascii="宋体" w:hAnsi="宋体" w:cs="宋体"/>
                <w:kern w:val="0"/>
                <w:szCs w:val="21"/>
                <w:highlight w:val="none"/>
                <w:lang w:eastAsia="zh-Hans"/>
              </w:rPr>
            </w:pPr>
            <w:r>
              <w:rPr>
                <w:rFonts w:hint="eastAsia" w:ascii="宋体" w:hAnsi="宋体" w:cs="宋体"/>
                <w:kern w:val="0"/>
                <w:szCs w:val="21"/>
                <w:highlight w:val="none"/>
              </w:rPr>
              <w:t>①投标人</w:t>
            </w:r>
            <w:r>
              <w:rPr>
                <w:rFonts w:hint="eastAsia" w:ascii="宋体" w:hAnsi="宋体" w:cs="宋体"/>
                <w:kern w:val="0"/>
                <w:szCs w:val="21"/>
                <w:highlight w:val="none"/>
                <w:lang w:eastAsia="zh-Hans"/>
              </w:rPr>
              <w:t>获得</w:t>
            </w:r>
            <w:r>
              <w:rPr>
                <w:rFonts w:hint="eastAsia" w:ascii="宋体" w:hAnsi="宋体" w:cs="宋体"/>
                <w:kern w:val="0"/>
                <w:szCs w:val="21"/>
                <w:highlight w:val="none"/>
              </w:rPr>
              <w:t>“国家认定企业技术中心”得</w:t>
            </w:r>
            <w:r>
              <w:rPr>
                <w:rFonts w:ascii="宋体" w:hAnsi="宋体" w:cs="宋体"/>
                <w:kern w:val="0"/>
                <w:szCs w:val="21"/>
                <w:highlight w:val="none"/>
              </w:rPr>
              <w:t>2</w:t>
            </w:r>
            <w:r>
              <w:rPr>
                <w:rFonts w:hint="eastAsia" w:ascii="宋体" w:hAnsi="宋体" w:cs="宋体"/>
                <w:kern w:val="0"/>
                <w:szCs w:val="21"/>
                <w:highlight w:val="none"/>
              </w:rPr>
              <w:t>分，没有的不得分</w:t>
            </w:r>
            <w:r>
              <w:rPr>
                <w:rFonts w:ascii="宋体" w:hAnsi="宋体" w:cs="宋体"/>
                <w:kern w:val="0"/>
                <w:szCs w:val="21"/>
                <w:highlight w:val="none"/>
                <w:lang w:eastAsia="zh-Hans"/>
              </w:rPr>
              <w:t>。</w:t>
            </w:r>
          </w:p>
          <w:p>
            <w:pPr>
              <w:rPr>
                <w:rFonts w:ascii="宋体" w:hAnsi="宋体" w:cs="宋体"/>
                <w:kern w:val="0"/>
                <w:szCs w:val="21"/>
                <w:highlight w:val="none"/>
              </w:rPr>
            </w:pPr>
            <w:r>
              <w:rPr>
                <w:rFonts w:hint="eastAsia" w:ascii="宋体" w:hAnsi="宋体" w:cs="宋体"/>
                <w:kern w:val="0"/>
                <w:szCs w:val="21"/>
                <w:highlight w:val="none"/>
              </w:rPr>
              <w:t>②投标人</w:t>
            </w:r>
            <w:r>
              <w:rPr>
                <w:rFonts w:hint="eastAsia" w:ascii="宋体" w:hAnsi="宋体" w:cs="宋体"/>
                <w:kern w:val="0"/>
                <w:szCs w:val="21"/>
                <w:highlight w:val="none"/>
                <w:lang w:eastAsia="zh-Hans"/>
              </w:rPr>
              <w:t>获得“动物用生物制品技术国家地方联合工程实验室”</w:t>
            </w:r>
            <w:r>
              <w:rPr>
                <w:rFonts w:hint="eastAsia" w:ascii="宋体" w:hAnsi="宋体" w:cs="宋体"/>
                <w:kern w:val="0"/>
                <w:szCs w:val="21"/>
                <w:highlight w:val="none"/>
              </w:rPr>
              <w:t>得</w:t>
            </w:r>
            <w:r>
              <w:rPr>
                <w:rFonts w:ascii="宋体" w:hAnsi="宋体" w:cs="宋体"/>
                <w:kern w:val="0"/>
                <w:szCs w:val="21"/>
                <w:highlight w:val="none"/>
              </w:rPr>
              <w:t>2</w:t>
            </w:r>
            <w:r>
              <w:rPr>
                <w:rFonts w:hint="eastAsia" w:ascii="宋体" w:hAnsi="宋体" w:cs="宋体"/>
                <w:kern w:val="0"/>
                <w:szCs w:val="21"/>
                <w:highlight w:val="none"/>
              </w:rPr>
              <w:t>分</w:t>
            </w:r>
            <w:r>
              <w:rPr>
                <w:rFonts w:ascii="宋体" w:hAnsi="宋体" w:cs="宋体"/>
                <w:kern w:val="0"/>
                <w:szCs w:val="21"/>
                <w:highlight w:val="none"/>
              </w:rPr>
              <w:t>，</w:t>
            </w:r>
            <w:r>
              <w:rPr>
                <w:rFonts w:hint="eastAsia" w:ascii="宋体" w:hAnsi="宋体" w:cs="宋体"/>
                <w:kern w:val="0"/>
                <w:szCs w:val="21"/>
                <w:highlight w:val="none"/>
              </w:rPr>
              <w:t>没有的不得分</w:t>
            </w:r>
            <w:r>
              <w:rPr>
                <w:rFonts w:ascii="宋体" w:hAnsi="宋体" w:cs="宋体"/>
                <w:kern w:val="0"/>
                <w:szCs w:val="21"/>
                <w:highlight w:val="none"/>
                <w:lang w:eastAsia="zh-Hans"/>
              </w:rPr>
              <w:t>。</w:t>
            </w:r>
          </w:p>
          <w:p>
            <w:pPr>
              <w:rPr>
                <w:rFonts w:ascii="宋体" w:hAnsi="宋体" w:cs="宋体"/>
                <w:kern w:val="0"/>
                <w:szCs w:val="21"/>
                <w:highlight w:val="none"/>
              </w:rPr>
            </w:pPr>
            <w:r>
              <w:rPr>
                <w:rFonts w:hint="eastAsia" w:ascii="宋体" w:hAnsi="宋体" w:cs="宋体"/>
                <w:kern w:val="0"/>
                <w:szCs w:val="21"/>
                <w:highlight w:val="none"/>
              </w:rPr>
              <w:t>③投标疫苗由投标人自主研发，且取得相关新兽药注册证书的，得</w:t>
            </w:r>
            <w:r>
              <w:rPr>
                <w:rFonts w:ascii="宋体" w:hAnsi="宋体" w:cs="宋体"/>
                <w:kern w:val="0"/>
                <w:szCs w:val="21"/>
                <w:highlight w:val="none"/>
              </w:rPr>
              <w:t>4</w:t>
            </w:r>
            <w:r>
              <w:rPr>
                <w:rFonts w:hint="eastAsia" w:ascii="宋体" w:hAnsi="宋体" w:cs="宋体"/>
                <w:kern w:val="0"/>
                <w:szCs w:val="21"/>
                <w:highlight w:val="none"/>
              </w:rPr>
              <w:t>分，没有的不得分。</w:t>
            </w:r>
          </w:p>
          <w:p>
            <w:pPr>
              <w:rPr>
                <w:rFonts w:ascii="宋体" w:hAnsi="宋体" w:cs="宋体"/>
                <w:kern w:val="0"/>
                <w:szCs w:val="21"/>
                <w:highlight w:val="none"/>
              </w:rPr>
            </w:pPr>
            <w:r>
              <w:rPr>
                <w:rFonts w:hint="eastAsia" w:ascii="宋体" w:hAnsi="宋体" w:cs="宋体"/>
                <w:b/>
                <w:bCs/>
                <w:kern w:val="0"/>
                <w:szCs w:val="21"/>
                <w:highlight w:val="none"/>
              </w:rPr>
              <w:t>（以上需提供证明材料）</w:t>
            </w:r>
          </w:p>
        </w:tc>
        <w:tc>
          <w:tcPr>
            <w:tcW w:w="1336"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5</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201" w:type="dxa"/>
          </w:tcPr>
          <w:p>
            <w:pPr>
              <w:pStyle w:val="15"/>
              <w:pBdr>
                <w:bottom w:val="none" w:color="auto" w:sz="0" w:space="0"/>
              </w:pBdr>
              <w:jc w:val="left"/>
              <w:rPr>
                <w:rFonts w:ascii="宋体" w:hAnsi="宋体"/>
                <w:kern w:val="0"/>
                <w:sz w:val="21"/>
                <w:szCs w:val="21"/>
                <w:highlight w:val="none"/>
              </w:rPr>
            </w:pPr>
            <w:r>
              <w:rPr>
                <w:rFonts w:hint="eastAsia" w:ascii="宋体" w:hAnsi="宋体" w:cs="宋体"/>
                <w:kern w:val="0"/>
                <w:sz w:val="21"/>
                <w:szCs w:val="21"/>
                <w:highlight w:val="none"/>
              </w:rPr>
              <w:t>5、疫苗效力（满分9分）：</w:t>
            </w:r>
          </w:p>
          <w:p>
            <w:pPr>
              <w:pStyle w:val="15"/>
              <w:pBdr>
                <w:bottom w:val="none" w:color="auto" w:sz="0" w:space="0"/>
              </w:pBdr>
              <w:jc w:val="left"/>
              <w:rPr>
                <w:rFonts w:ascii="宋体" w:hAnsi="宋体" w:cs="宋体"/>
                <w:kern w:val="0"/>
                <w:sz w:val="21"/>
                <w:szCs w:val="21"/>
                <w:highlight w:val="none"/>
              </w:rPr>
            </w:pPr>
            <w:r>
              <w:rPr>
                <w:rFonts w:hint="eastAsia" w:ascii="宋体" w:hAnsi="宋体" w:cs="宋体"/>
                <w:kern w:val="0"/>
                <w:sz w:val="21"/>
                <w:szCs w:val="21"/>
                <w:highlight w:val="none"/>
              </w:rPr>
              <w:t>①</w:t>
            </w:r>
            <w:r>
              <w:rPr>
                <w:rFonts w:hint="eastAsia" w:ascii="宋体" w:hAnsi="宋体" w:cs="宋体"/>
                <w:b/>
                <w:bCs/>
                <w:kern w:val="0"/>
                <w:sz w:val="21"/>
                <w:szCs w:val="21"/>
                <w:highlight w:val="none"/>
              </w:rPr>
              <w:t xml:space="preserve"> </w:t>
            </w:r>
            <w:r>
              <w:rPr>
                <w:rFonts w:hint="eastAsia" w:ascii="宋体" w:hAnsi="宋体" w:cs="宋体"/>
                <w:kern w:val="0"/>
                <w:sz w:val="21"/>
                <w:szCs w:val="21"/>
                <w:highlight w:val="none"/>
              </w:rPr>
              <w:t>提供2023年1月1日以来连续</w:t>
            </w:r>
            <w:r>
              <w:rPr>
                <w:rFonts w:ascii="宋体" w:hAnsi="宋体" w:cs="宋体"/>
                <w:kern w:val="0"/>
                <w:sz w:val="21"/>
                <w:szCs w:val="21"/>
                <w:highlight w:val="none"/>
              </w:rPr>
              <w:t>5</w:t>
            </w:r>
            <w:r>
              <w:rPr>
                <w:rFonts w:hint="eastAsia" w:ascii="宋体" w:hAnsi="宋体" w:cs="宋体"/>
                <w:kern w:val="0"/>
                <w:sz w:val="21"/>
                <w:szCs w:val="21"/>
                <w:highlight w:val="none"/>
              </w:rPr>
              <w:t>个批次的批签发（共3分）：</w:t>
            </w:r>
          </w:p>
          <w:p>
            <w:pPr>
              <w:pStyle w:val="15"/>
              <w:pBdr>
                <w:bottom w:val="none" w:color="auto" w:sz="0" w:space="0"/>
              </w:pBdr>
              <w:jc w:val="left"/>
              <w:rPr>
                <w:rFonts w:ascii="宋体" w:hAnsi="宋体" w:cs="宋体"/>
                <w:b/>
                <w:bCs/>
                <w:kern w:val="0"/>
                <w:sz w:val="21"/>
                <w:szCs w:val="21"/>
                <w:highlight w:val="none"/>
              </w:rPr>
            </w:pPr>
            <w:r>
              <w:rPr>
                <w:rFonts w:ascii="宋体" w:hAnsi="宋体" w:cs="宋体"/>
                <w:kern w:val="0"/>
                <w:sz w:val="21"/>
                <w:szCs w:val="21"/>
                <w:highlight w:val="none"/>
              </w:rPr>
              <w:t>5</w:t>
            </w:r>
            <w:r>
              <w:rPr>
                <w:rFonts w:hint="eastAsia" w:ascii="宋体" w:hAnsi="宋体" w:cs="宋体"/>
                <w:kern w:val="0"/>
                <w:sz w:val="21"/>
                <w:szCs w:val="21"/>
                <w:highlight w:val="none"/>
              </w:rPr>
              <w:t>个批次在同一月内生产的得3分；二个月内生产的得2分；半年内的得1分；超过半年以上不得分；</w:t>
            </w:r>
          </w:p>
          <w:p>
            <w:pPr>
              <w:pStyle w:val="15"/>
              <w:pBdr>
                <w:bottom w:val="none" w:color="auto" w:sz="0" w:space="0"/>
              </w:pBdr>
              <w:jc w:val="left"/>
              <w:rPr>
                <w:rFonts w:ascii="宋体" w:hAnsi="宋体" w:cs="宋体"/>
                <w:b/>
                <w:bCs/>
                <w:kern w:val="0"/>
                <w:sz w:val="21"/>
                <w:szCs w:val="21"/>
                <w:highlight w:val="none"/>
              </w:rPr>
            </w:pPr>
            <w:r>
              <w:rPr>
                <w:rFonts w:hint="eastAsia" w:ascii="宋体" w:hAnsi="宋体" w:cs="宋体"/>
                <w:kern w:val="0"/>
                <w:sz w:val="21"/>
                <w:szCs w:val="21"/>
                <w:highlight w:val="none"/>
              </w:rPr>
              <w:t>②计算上述</w:t>
            </w:r>
            <w:r>
              <w:rPr>
                <w:rFonts w:ascii="宋体" w:hAnsi="宋体" w:cs="宋体"/>
                <w:kern w:val="0"/>
                <w:sz w:val="21"/>
                <w:szCs w:val="21"/>
                <w:highlight w:val="none"/>
              </w:rPr>
              <w:t>5</w:t>
            </w:r>
            <w:r>
              <w:rPr>
                <w:rFonts w:hint="eastAsia" w:ascii="宋体" w:hAnsi="宋体" w:cs="宋体"/>
                <w:kern w:val="0"/>
                <w:sz w:val="21"/>
                <w:szCs w:val="21"/>
                <w:highlight w:val="none"/>
              </w:rPr>
              <w:t>批次疫苗的PD50平均值（满分5分）：达到6个PD50的得2分；每高一个PD50加1分，加到满分为止；</w:t>
            </w:r>
          </w:p>
          <w:p>
            <w:pPr>
              <w:pStyle w:val="15"/>
              <w:pBdr>
                <w:bottom w:val="none" w:color="auto" w:sz="0" w:space="0"/>
              </w:pBdr>
              <w:jc w:val="left"/>
              <w:rPr>
                <w:rFonts w:ascii="宋体" w:hAnsi="宋体" w:cs="宋体"/>
                <w:kern w:val="0"/>
                <w:sz w:val="21"/>
                <w:szCs w:val="21"/>
                <w:highlight w:val="none"/>
              </w:rPr>
            </w:pPr>
            <w:r>
              <w:rPr>
                <w:rFonts w:hint="eastAsia" w:ascii="宋体" w:hAnsi="宋体" w:cs="宋体"/>
                <w:kern w:val="0"/>
                <w:sz w:val="21"/>
                <w:szCs w:val="21"/>
                <w:highlight w:val="none"/>
              </w:rPr>
              <w:t>③</w:t>
            </w:r>
            <w:r>
              <w:rPr>
                <w:rFonts w:hint="eastAsia" w:ascii="宋体" w:hAnsi="宋体" w:cs="宋体"/>
                <w:b/>
                <w:bCs/>
                <w:kern w:val="0"/>
                <w:sz w:val="21"/>
                <w:szCs w:val="21"/>
                <w:highlight w:val="none"/>
              </w:rPr>
              <w:t xml:space="preserve"> </w:t>
            </w:r>
            <w:r>
              <w:rPr>
                <w:rFonts w:hint="eastAsia" w:ascii="宋体" w:hAnsi="宋体" w:cs="宋体"/>
                <w:kern w:val="0"/>
                <w:sz w:val="21"/>
                <w:szCs w:val="21"/>
                <w:highlight w:val="none"/>
              </w:rPr>
              <w:t>PD50值的离散度（满分1分）：</w:t>
            </w:r>
          </w:p>
          <w:p>
            <w:pPr>
              <w:pStyle w:val="15"/>
              <w:pBdr>
                <w:bottom w:val="none" w:color="auto" w:sz="0" w:space="0"/>
              </w:pBdr>
              <w:jc w:val="left"/>
              <w:rPr>
                <w:rFonts w:ascii="宋体" w:hAnsi="宋体" w:cs="宋体"/>
                <w:kern w:val="0"/>
                <w:sz w:val="21"/>
                <w:szCs w:val="21"/>
                <w:highlight w:val="none"/>
              </w:rPr>
            </w:pPr>
            <w:r>
              <w:rPr>
                <w:rFonts w:hint="eastAsia" w:ascii="宋体" w:hAnsi="宋体" w:cs="宋体"/>
                <w:kern w:val="0"/>
                <w:sz w:val="21"/>
                <w:szCs w:val="21"/>
                <w:highlight w:val="none"/>
              </w:rPr>
              <w:t>上述</w:t>
            </w:r>
            <w:r>
              <w:rPr>
                <w:rFonts w:ascii="宋体" w:hAnsi="宋体" w:cs="宋体"/>
                <w:kern w:val="0"/>
                <w:sz w:val="21"/>
                <w:szCs w:val="21"/>
                <w:highlight w:val="none"/>
              </w:rPr>
              <w:t>5</w:t>
            </w:r>
            <w:r>
              <w:rPr>
                <w:rFonts w:hint="eastAsia" w:ascii="宋体" w:hAnsi="宋体" w:cs="宋体"/>
                <w:kern w:val="0"/>
                <w:sz w:val="21"/>
                <w:szCs w:val="21"/>
                <w:highlight w:val="none"/>
              </w:rPr>
              <w:t>个批次双组份疫苗的离散度在±1以内得1分，±2以内得0.5分，有一个批次及以上PD50值的离散度不在此范围不得分。（示例：PD50值的离散度均值为10，则</w:t>
            </w:r>
            <w:r>
              <w:rPr>
                <w:rFonts w:ascii="宋体" w:hAnsi="宋体" w:cs="宋体"/>
                <w:kern w:val="0"/>
                <w:sz w:val="21"/>
                <w:szCs w:val="21"/>
                <w:highlight w:val="none"/>
              </w:rPr>
              <w:t>5</w:t>
            </w:r>
            <w:r>
              <w:rPr>
                <w:rFonts w:hint="eastAsia" w:ascii="宋体" w:hAnsi="宋体" w:cs="宋体"/>
                <w:kern w:val="0"/>
                <w:sz w:val="21"/>
                <w:szCs w:val="21"/>
                <w:highlight w:val="none"/>
              </w:rPr>
              <w:t>个批次批签发PD50值的离散度在9～11之间的得1分，8～12之间的得0.5分，除此以外不得分；</w:t>
            </w:r>
          </w:p>
          <w:p>
            <w:pPr>
              <w:pStyle w:val="15"/>
              <w:pBdr>
                <w:bottom w:val="none" w:color="auto" w:sz="0" w:space="0"/>
              </w:pBdr>
              <w:jc w:val="left"/>
              <w:rPr>
                <w:rFonts w:ascii="宋体" w:hAnsi="宋体" w:cs="宋体"/>
                <w:b/>
                <w:bCs/>
                <w:kern w:val="0"/>
                <w:sz w:val="21"/>
                <w:szCs w:val="21"/>
                <w:highlight w:val="none"/>
              </w:rPr>
            </w:pPr>
            <w:r>
              <w:rPr>
                <w:rFonts w:hint="eastAsia" w:ascii="宋体" w:hAnsi="宋体" w:cs="宋体"/>
                <w:b/>
                <w:bCs/>
                <w:kern w:val="0"/>
                <w:sz w:val="21"/>
                <w:szCs w:val="21"/>
                <w:highlight w:val="none"/>
              </w:rPr>
              <w:t>（提供批签发报告复印件）</w:t>
            </w:r>
          </w:p>
        </w:tc>
        <w:tc>
          <w:tcPr>
            <w:tcW w:w="1336" w:type="dxa"/>
            <w:vAlign w:val="center"/>
          </w:tcPr>
          <w:p>
            <w:pPr>
              <w:pStyle w:val="15"/>
              <w:pBdr>
                <w:bottom w:val="none" w:color="auto" w:sz="0" w:space="0"/>
              </w:pBd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653" w:type="dxa"/>
            <w:vAlign w:val="center"/>
          </w:tcPr>
          <w:p>
            <w:pPr>
              <w:pStyle w:val="15"/>
              <w:pBdr>
                <w:bottom w:val="none" w:color="auto" w:sz="0" w:space="0"/>
              </w:pBdr>
              <w:rPr>
                <w:rFonts w:ascii="宋体" w:hAnsi="宋体" w:cs="宋体"/>
                <w:kern w:val="0"/>
                <w:sz w:val="21"/>
                <w:szCs w:val="21"/>
              </w:rPr>
            </w:pPr>
            <w:r>
              <w:rPr>
                <w:rFonts w:hint="eastAsia" w:ascii="宋体" w:hAnsi="宋体" w:cs="宋体"/>
                <w:kern w:val="0"/>
                <w:sz w:val="21"/>
                <w:szCs w:val="21"/>
              </w:rPr>
              <w:t>6</w:t>
            </w:r>
          </w:p>
        </w:tc>
        <w:tc>
          <w:tcPr>
            <w:tcW w:w="1448" w:type="dxa"/>
            <w:vMerge w:val="continue"/>
            <w:vAlign w:val="center"/>
          </w:tcPr>
          <w:p>
            <w:pPr>
              <w:pStyle w:val="15"/>
              <w:pBdr>
                <w:bottom w:val="none" w:color="auto" w:sz="0" w:space="0"/>
              </w:pBdr>
              <w:rPr>
                <w:rFonts w:ascii="宋体" w:hAnsi="宋体" w:cs="宋体"/>
                <w:kern w:val="0"/>
                <w:sz w:val="21"/>
                <w:szCs w:val="21"/>
              </w:rPr>
            </w:pPr>
          </w:p>
        </w:tc>
        <w:tc>
          <w:tcPr>
            <w:tcW w:w="6201" w:type="dxa"/>
          </w:tcPr>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6、内毒素检测（满分2分）：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提供上述2023年1月1日以来连续5个批次产品内毒素检验报告单</w:t>
            </w:r>
          </w:p>
          <w:p>
            <w:pPr>
              <w:pStyle w:val="15"/>
              <w:pBdr>
                <w:bottom w:val="none" w:color="auto" w:sz="0" w:space="0"/>
              </w:pBdr>
              <w:jc w:val="left"/>
              <w:rPr>
                <w:rFonts w:ascii="宋体" w:hAnsi="宋体" w:cs="宋体"/>
                <w:kern w:val="0"/>
                <w:sz w:val="21"/>
                <w:szCs w:val="21"/>
              </w:rPr>
            </w:pPr>
            <w:r>
              <w:rPr>
                <w:rFonts w:ascii="宋体" w:hAnsi="宋体" w:cs="宋体"/>
                <w:kern w:val="0"/>
                <w:sz w:val="21"/>
                <w:szCs w:val="21"/>
              </w:rPr>
              <w:t>1.</w:t>
            </w:r>
            <w:r>
              <w:rPr>
                <w:rFonts w:hint="eastAsia" w:ascii="宋体" w:hAnsi="宋体" w:cs="宋体"/>
                <w:kern w:val="0"/>
                <w:sz w:val="21"/>
                <w:szCs w:val="21"/>
              </w:rPr>
              <w:t>证明低于20EU/ml加0.5分；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w:t>
            </w:r>
            <w:r>
              <w:rPr>
                <w:rFonts w:hint="eastAsia" w:ascii="宋体" w:hAnsi="宋体" w:cs="宋体"/>
                <w:kern w:val="0"/>
                <w:sz w:val="21"/>
                <w:szCs w:val="21"/>
              </w:rPr>
              <w:t>证明低于10EU/ml加1分；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3</w:t>
            </w:r>
            <w:r>
              <w:rPr>
                <w:rFonts w:ascii="宋体" w:hAnsi="宋体" w:cs="宋体"/>
                <w:kern w:val="0"/>
                <w:sz w:val="21"/>
                <w:szCs w:val="21"/>
              </w:rPr>
              <w:t>.</w:t>
            </w:r>
            <w:r>
              <w:rPr>
                <w:rFonts w:hint="eastAsia" w:ascii="宋体" w:hAnsi="宋体" w:cs="宋体"/>
                <w:kern w:val="0"/>
                <w:sz w:val="21"/>
                <w:szCs w:val="21"/>
              </w:rPr>
              <w:t>证明低于 5EU/ml加</w:t>
            </w:r>
            <w:r>
              <w:rPr>
                <w:rFonts w:ascii="宋体" w:hAnsi="宋体" w:cs="宋体"/>
                <w:kern w:val="0"/>
                <w:sz w:val="21"/>
                <w:szCs w:val="21"/>
              </w:rPr>
              <w:t>2</w:t>
            </w:r>
            <w:r>
              <w:rPr>
                <w:rFonts w:hint="eastAsia" w:ascii="宋体" w:hAnsi="宋体" w:cs="宋体"/>
                <w:kern w:val="0"/>
                <w:sz w:val="21"/>
                <w:szCs w:val="21"/>
              </w:rPr>
              <w:t>分；</w:t>
            </w:r>
          </w:p>
          <w:p>
            <w:pPr>
              <w:pStyle w:val="15"/>
              <w:pBdr>
                <w:bottom w:val="none" w:color="auto" w:sz="0" w:space="0"/>
              </w:pBdr>
              <w:jc w:val="left"/>
              <w:rPr>
                <w:rFonts w:ascii="宋体" w:hAnsi="宋体" w:cs="宋体"/>
                <w:kern w:val="0"/>
                <w:sz w:val="21"/>
                <w:szCs w:val="21"/>
              </w:rPr>
            </w:pPr>
            <w:r>
              <w:rPr>
                <w:rFonts w:hint="eastAsia" w:ascii="宋体" w:hAnsi="宋体" w:cs="宋体"/>
                <w:kern w:val="0"/>
                <w:sz w:val="21"/>
                <w:szCs w:val="21"/>
              </w:rPr>
              <w:t>4</w:t>
            </w:r>
            <w:r>
              <w:rPr>
                <w:rFonts w:ascii="宋体" w:hAnsi="宋体" w:cs="宋体"/>
                <w:kern w:val="0"/>
                <w:sz w:val="21"/>
                <w:szCs w:val="21"/>
              </w:rPr>
              <w:t>.</w:t>
            </w:r>
            <w:r>
              <w:rPr>
                <w:rFonts w:hint="eastAsia" w:ascii="宋体" w:hAnsi="宋体" w:cs="宋体"/>
                <w:kern w:val="0"/>
                <w:sz w:val="21"/>
                <w:szCs w:val="21"/>
              </w:rPr>
              <w:t>内毒素超过50EU/ml不得分；</w:t>
            </w:r>
          </w:p>
        </w:tc>
        <w:tc>
          <w:tcPr>
            <w:tcW w:w="1336" w:type="dxa"/>
            <w:vAlign w:val="center"/>
          </w:tcPr>
          <w:p>
            <w:pPr>
              <w:pStyle w:val="15"/>
              <w:pBdr>
                <w:bottom w:val="none" w:color="auto" w:sz="0" w:space="0"/>
              </w:pBdr>
              <w:rPr>
                <w:rFonts w:ascii="宋体" w:hAnsi="宋体" w:cs="宋体"/>
                <w:kern w:val="0"/>
                <w:sz w:val="21"/>
                <w:szCs w:val="21"/>
              </w:rPr>
            </w:pPr>
          </w:p>
        </w:tc>
      </w:tr>
    </w:tbl>
    <w:p>
      <w:pPr>
        <w:widowControl/>
        <w:ind w:firstLine="482" w:firstLineChars="200"/>
        <w:jc w:val="left"/>
        <w:textAlignment w:val="center"/>
        <w:rPr>
          <w:rFonts w:ascii="宋体" w:hAnsi="宋体" w:cs="Arial"/>
          <w:b/>
          <w:bCs/>
          <w:kern w:val="0"/>
          <w:sz w:val="24"/>
          <w:szCs w:val="24"/>
        </w:rPr>
      </w:pPr>
    </w:p>
    <w:p>
      <w:pPr>
        <w:widowControl/>
        <w:ind w:firstLine="482" w:firstLineChars="200"/>
        <w:jc w:val="left"/>
        <w:textAlignment w:val="center"/>
        <w:rPr>
          <w:rFonts w:ascii="宋体" w:hAnsi="宋体" w:cs="Arial"/>
          <w:b/>
          <w:bCs/>
          <w:kern w:val="0"/>
          <w:sz w:val="24"/>
          <w:szCs w:val="24"/>
        </w:rPr>
      </w:pPr>
    </w:p>
    <w:p>
      <w:pPr>
        <w:widowControl/>
        <w:ind w:firstLine="482" w:firstLineChars="200"/>
        <w:jc w:val="left"/>
        <w:textAlignment w:val="center"/>
        <w:rPr>
          <w:rFonts w:ascii="宋体" w:hAnsi="宋体" w:cs="宋体"/>
          <w:b/>
          <w:bCs/>
          <w:sz w:val="30"/>
          <w:szCs w:val="30"/>
        </w:rPr>
      </w:pPr>
      <w:r>
        <w:rPr>
          <w:rFonts w:hint="eastAsia" w:ascii="宋体" w:hAnsi="宋体" w:cs="Arial"/>
          <w:b/>
          <w:bCs/>
          <w:kern w:val="0"/>
          <w:sz w:val="24"/>
          <w:szCs w:val="24"/>
        </w:rPr>
        <w:t>5.2.1 投标函</w:t>
      </w:r>
      <w:r>
        <w:rPr>
          <w:rFonts w:hint="eastAsia" w:ascii="宋体" w:hAnsi="宋体" w:cs="宋体"/>
          <w:b/>
          <w:bCs/>
          <w:sz w:val="30"/>
          <w:szCs w:val="30"/>
        </w:rPr>
        <w:t xml:space="preserve"> </w:t>
      </w:r>
    </w:p>
    <w:p>
      <w:pPr>
        <w:jc w:val="center"/>
        <w:rPr>
          <w:b/>
          <w:bCs/>
          <w:sz w:val="32"/>
          <w:szCs w:val="32"/>
        </w:rPr>
      </w:pPr>
      <w:r>
        <w:rPr>
          <w:rFonts w:hint="eastAsia"/>
          <w:b/>
          <w:bCs/>
          <w:sz w:val="32"/>
          <w:szCs w:val="32"/>
        </w:rPr>
        <w:t>投标函</w:t>
      </w:r>
    </w:p>
    <w:p>
      <w:pPr>
        <w:widowControl/>
        <w:shd w:val="clear" w:color="auto" w:fill="FFFFFF"/>
        <w:snapToGrid w:val="0"/>
        <w:spacing w:line="384" w:lineRule="auto"/>
        <w:jc w:val="left"/>
        <w:rPr>
          <w:rFonts w:ascii="宋体" w:hAnsi="宋体" w:cs="Arial"/>
          <w:kern w:val="0"/>
          <w:szCs w:val="21"/>
        </w:rPr>
      </w:pPr>
    </w:p>
    <w:p>
      <w:pPr>
        <w:widowControl/>
        <w:shd w:val="clear" w:color="auto" w:fill="FFFFFF"/>
        <w:snapToGrid w:val="0"/>
        <w:spacing w:line="384" w:lineRule="auto"/>
        <w:jc w:val="left"/>
        <w:rPr>
          <w:rFonts w:ascii="宋体" w:hAnsi="宋体" w:cs="Arial"/>
          <w:kern w:val="0"/>
          <w:szCs w:val="21"/>
        </w:rPr>
      </w:pPr>
      <w:r>
        <w:rPr>
          <w:rFonts w:hint="eastAsia" w:ascii="宋体" w:hAnsi="宋体" w:cs="Arial"/>
          <w:kern w:val="0"/>
          <w:szCs w:val="21"/>
        </w:rPr>
        <w:t>致：</w:t>
      </w:r>
      <w:r>
        <w:rPr>
          <w:rFonts w:ascii="宋体" w:hAnsi="宋体" w:cs="Arial"/>
          <w:kern w:val="0"/>
          <w:szCs w:val="21"/>
          <w:u w:val="single"/>
        </w:rPr>
        <w:t xml:space="preserve">                                             </w:t>
      </w:r>
      <w:r>
        <w:rPr>
          <w:rFonts w:hint="eastAsia" w:ascii="宋体" w:hAnsi="宋体" w:cs="Arial"/>
          <w:kern w:val="0"/>
          <w:szCs w:val="21"/>
        </w:rPr>
        <w:t>（采购人名称）</w:t>
      </w:r>
    </w:p>
    <w:p>
      <w:pPr>
        <w:pStyle w:val="11"/>
        <w:tabs>
          <w:tab w:val="left" w:pos="5580"/>
        </w:tabs>
        <w:spacing w:line="360" w:lineRule="auto"/>
        <w:ind w:left="2" w:leftChars="1" w:firstLine="420" w:firstLineChars="200"/>
        <w:rPr>
          <w:szCs w:val="21"/>
        </w:rPr>
      </w:pPr>
      <w:r>
        <w:rPr>
          <w:rFonts w:hint="eastAsia"/>
          <w:szCs w:val="21"/>
        </w:rPr>
        <w:t>根据贵方</w:t>
      </w:r>
      <w:r>
        <w:rPr>
          <w:rFonts w:hint="eastAsia"/>
          <w:szCs w:val="21"/>
          <w:u w:val="single"/>
        </w:rPr>
        <w:t xml:space="preserve">                                  </w:t>
      </w:r>
      <w:r>
        <w:rPr>
          <w:rFonts w:hint="eastAsia"/>
          <w:szCs w:val="21"/>
        </w:rPr>
        <w:t>(</w:t>
      </w:r>
      <w:r>
        <w:rPr>
          <w:rFonts w:hint="eastAsia"/>
          <w:iCs/>
          <w:szCs w:val="21"/>
        </w:rPr>
        <w:t>项目名称、标段号、项目编号</w:t>
      </w:r>
      <w:r>
        <w:rPr>
          <w:rFonts w:hint="eastAsia"/>
          <w:szCs w:val="21"/>
        </w:rPr>
        <w:t>)的投标邀请,签字代表</w:t>
      </w:r>
      <w:r>
        <w:rPr>
          <w:rFonts w:hint="eastAsia"/>
          <w:szCs w:val="21"/>
          <w:u w:val="single"/>
        </w:rPr>
        <w:t xml:space="preserve">               </w:t>
      </w:r>
      <w:r>
        <w:rPr>
          <w:rFonts w:hint="eastAsia"/>
          <w:szCs w:val="21"/>
        </w:rPr>
        <w:t>(</w:t>
      </w:r>
      <w:r>
        <w:rPr>
          <w:rFonts w:hint="eastAsia"/>
          <w:iCs/>
          <w:szCs w:val="21"/>
        </w:rPr>
        <w:t>姓名、职务</w:t>
      </w:r>
      <w:r>
        <w:rPr>
          <w:rFonts w:hint="eastAsia"/>
          <w:szCs w:val="21"/>
        </w:rPr>
        <w:t>)经正式授权并代表投标人</w:t>
      </w:r>
      <w:r>
        <w:rPr>
          <w:rFonts w:hint="eastAsia"/>
          <w:szCs w:val="21"/>
          <w:u w:val="single"/>
        </w:rPr>
        <w:t xml:space="preserve">           </w:t>
      </w:r>
      <w:r>
        <w:rPr>
          <w:rFonts w:hint="eastAsia"/>
          <w:szCs w:val="21"/>
        </w:rPr>
        <w:t>（投标人</w:t>
      </w:r>
      <w:r>
        <w:rPr>
          <w:rFonts w:hint="eastAsia"/>
          <w:iCs/>
          <w:szCs w:val="21"/>
        </w:rPr>
        <w:t>名称、注册地址</w:t>
      </w:r>
      <w:r>
        <w:rPr>
          <w:rFonts w:hint="eastAsia"/>
          <w:szCs w:val="21"/>
        </w:rPr>
        <w:t>）提交下述文件电子文档</w:t>
      </w:r>
      <w:r>
        <w:rPr>
          <w:rFonts w:hint="eastAsia"/>
          <w:szCs w:val="21"/>
          <w:u w:val="single"/>
        </w:rPr>
        <w:t xml:space="preserve">     </w:t>
      </w:r>
      <w:r>
        <w:rPr>
          <w:rFonts w:hint="eastAsia"/>
          <w:szCs w:val="21"/>
        </w:rPr>
        <w:t>份。</w:t>
      </w:r>
    </w:p>
    <w:p>
      <w:pPr>
        <w:pStyle w:val="11"/>
        <w:tabs>
          <w:tab w:val="left" w:pos="5580"/>
        </w:tabs>
        <w:spacing w:line="360" w:lineRule="auto"/>
        <w:ind w:firstLine="422" w:firstLineChars="200"/>
        <w:rPr>
          <w:b/>
          <w:bCs/>
          <w:szCs w:val="21"/>
        </w:rPr>
      </w:pPr>
      <w:r>
        <w:rPr>
          <w:rFonts w:hint="eastAsia"/>
          <w:b/>
          <w:bCs/>
          <w:szCs w:val="21"/>
        </w:rPr>
        <w:t>据此，签字代表宣布同意如下：</w:t>
      </w:r>
    </w:p>
    <w:p>
      <w:pPr>
        <w:pStyle w:val="11"/>
        <w:tabs>
          <w:tab w:val="left" w:pos="5580"/>
        </w:tabs>
        <w:spacing w:line="360" w:lineRule="auto"/>
        <w:ind w:firstLine="420" w:firstLineChars="200"/>
        <w:rPr>
          <w:b/>
          <w:bCs/>
          <w:szCs w:val="21"/>
        </w:rPr>
      </w:pPr>
      <w:r>
        <w:rPr>
          <w:rFonts w:hint="eastAsia" w:cstheme="minorEastAsia"/>
          <w:kern w:val="0"/>
          <w:szCs w:val="21"/>
        </w:rPr>
        <w:t>1.本标段我方投标价格为人民币（大写）</w:t>
      </w:r>
      <w:r>
        <w:rPr>
          <w:rFonts w:hint="eastAsia" w:cstheme="minorEastAsia"/>
          <w:kern w:val="0"/>
          <w:szCs w:val="21"/>
          <w:u w:val="single"/>
        </w:rPr>
        <w:t xml:space="preserve">           </w:t>
      </w:r>
      <w:r>
        <w:rPr>
          <w:rFonts w:hint="eastAsia" w:cstheme="minorEastAsia"/>
          <w:kern w:val="0"/>
          <w:szCs w:val="21"/>
        </w:rPr>
        <w:t>元（</w:t>
      </w:r>
      <w:r>
        <w:rPr>
          <w:rFonts w:hint="eastAsia" w:cstheme="minorEastAsia"/>
          <w:kern w:val="0"/>
          <w:szCs w:val="21"/>
          <w:u w:val="single"/>
        </w:rPr>
        <w:t xml:space="preserve"> </w:t>
      </w:r>
      <w:r>
        <w:rPr>
          <w:rFonts w:hint="eastAsia" w:cs="宋体"/>
          <w:kern w:val="0"/>
          <w:szCs w:val="21"/>
          <w:u w:val="single"/>
        </w:rPr>
        <w:t>￥</w:t>
      </w:r>
      <w:r>
        <w:rPr>
          <w:rFonts w:hint="eastAsia" w:cstheme="minorEastAsia"/>
          <w:kern w:val="0"/>
          <w:szCs w:val="21"/>
          <w:u w:val="single"/>
        </w:rPr>
        <w:t xml:space="preserve">          </w:t>
      </w:r>
      <w:r>
        <w:rPr>
          <w:rFonts w:hint="eastAsia" w:cstheme="minorEastAsia"/>
          <w:kern w:val="0"/>
          <w:szCs w:val="21"/>
        </w:rPr>
        <w:t>） ，供货时间为</w:t>
      </w:r>
      <w:r>
        <w:rPr>
          <w:rFonts w:hint="eastAsia" w:cstheme="minorEastAsia"/>
          <w:kern w:val="0"/>
          <w:szCs w:val="21"/>
          <w:u w:val="single"/>
        </w:rPr>
        <w:t xml:space="preserve">           </w:t>
      </w:r>
      <w:r>
        <w:rPr>
          <w:rFonts w:hint="eastAsia" w:cstheme="minorEastAsia"/>
          <w:kern w:val="0"/>
          <w:szCs w:val="21"/>
        </w:rPr>
        <w:t>。</w:t>
      </w:r>
    </w:p>
    <w:p>
      <w:pPr>
        <w:widowControl/>
        <w:shd w:val="clear" w:color="auto" w:fill="FFFFFF"/>
        <w:snapToGrid w:val="0"/>
        <w:spacing w:line="384" w:lineRule="auto"/>
        <w:ind w:firstLine="420" w:firstLineChars="200"/>
        <w:jc w:val="left"/>
        <w:rPr>
          <w:rFonts w:ascii="宋体" w:hAnsi="宋体" w:cstheme="minorEastAsia"/>
          <w:kern w:val="0"/>
          <w:szCs w:val="21"/>
        </w:rPr>
      </w:pPr>
      <w:r>
        <w:rPr>
          <w:rFonts w:hint="eastAsia" w:ascii="宋体" w:hAnsi="宋体" w:cstheme="minorEastAsia"/>
          <w:kern w:val="0"/>
          <w:szCs w:val="21"/>
        </w:rPr>
        <w:t>2.随同本投标函提交投标保证金一份，以</w:t>
      </w:r>
      <w:r>
        <w:rPr>
          <w:rFonts w:hint="eastAsia" w:ascii="宋体" w:hAnsi="宋体" w:cstheme="minorEastAsia"/>
          <w:kern w:val="0"/>
          <w:szCs w:val="21"/>
          <w:u w:val="single"/>
        </w:rPr>
        <w:t xml:space="preserve">         </w:t>
      </w:r>
      <w:r>
        <w:rPr>
          <w:rFonts w:hint="eastAsia" w:ascii="宋体" w:hAnsi="宋体" w:cstheme="minorEastAsia"/>
          <w:kern w:val="0"/>
          <w:szCs w:val="21"/>
        </w:rPr>
        <w:t>形式出具的投标保证金，金额为人民币（大写）</w:t>
      </w:r>
      <w:r>
        <w:rPr>
          <w:rFonts w:hint="eastAsia" w:ascii="宋体" w:hAnsi="宋体" w:cstheme="minorEastAsia"/>
          <w:kern w:val="0"/>
          <w:szCs w:val="21"/>
          <w:u w:val="single"/>
        </w:rPr>
        <w:t xml:space="preserve">           </w:t>
      </w:r>
      <w:r>
        <w:rPr>
          <w:rFonts w:hint="eastAsia" w:ascii="宋体" w:hAnsi="宋体" w:cstheme="minorEastAsia"/>
          <w:kern w:val="0"/>
          <w:szCs w:val="21"/>
        </w:rPr>
        <w:t>元（</w:t>
      </w:r>
      <w:r>
        <w:rPr>
          <w:rFonts w:hint="eastAsia" w:ascii="宋体" w:hAnsi="宋体" w:cstheme="minorEastAsia"/>
          <w:kern w:val="0"/>
          <w:szCs w:val="21"/>
          <w:u w:val="single"/>
        </w:rPr>
        <w:t xml:space="preserve"> </w:t>
      </w:r>
      <w:r>
        <w:rPr>
          <w:rFonts w:hint="eastAsia" w:ascii="宋体" w:hAnsi="宋体" w:cs="宋体"/>
          <w:kern w:val="0"/>
          <w:szCs w:val="21"/>
          <w:u w:val="single"/>
        </w:rPr>
        <w:t>￥</w:t>
      </w:r>
      <w:r>
        <w:rPr>
          <w:rFonts w:hint="eastAsia" w:ascii="宋体" w:hAnsi="宋体" w:cstheme="minorEastAsia"/>
          <w:kern w:val="0"/>
          <w:szCs w:val="21"/>
          <w:u w:val="single"/>
        </w:rPr>
        <w:t xml:space="preserve">          </w:t>
      </w:r>
      <w:r>
        <w:rPr>
          <w:rFonts w:hint="eastAsia" w:ascii="宋体" w:hAnsi="宋体" w:cstheme="minorEastAsia"/>
          <w:kern w:val="0"/>
          <w:szCs w:val="21"/>
        </w:rPr>
        <w:t>） 。</w:t>
      </w:r>
    </w:p>
    <w:p>
      <w:pPr>
        <w:widowControl/>
        <w:shd w:val="clear" w:color="auto" w:fill="FFFFFF"/>
        <w:snapToGrid w:val="0"/>
        <w:spacing w:line="384" w:lineRule="auto"/>
        <w:ind w:firstLine="420" w:firstLineChars="200"/>
        <w:jc w:val="left"/>
        <w:rPr>
          <w:rFonts w:ascii="宋体" w:hAnsi="宋体" w:cstheme="minorEastAsia"/>
          <w:kern w:val="0"/>
          <w:szCs w:val="21"/>
        </w:rPr>
      </w:pPr>
      <w:r>
        <w:rPr>
          <w:rFonts w:hint="eastAsia" w:ascii="宋体" w:hAnsi="宋体" w:cstheme="minorEastAsia"/>
          <w:kern w:val="0"/>
          <w:szCs w:val="21"/>
        </w:rPr>
        <w:t>3.</w:t>
      </w:r>
      <w:r>
        <w:rPr>
          <w:rFonts w:hint="eastAsia" w:ascii="宋体" w:hAnsi="宋体" w:cstheme="minorEastAsia"/>
          <w:szCs w:val="21"/>
        </w:rPr>
        <w:t>我方承诺在投标有效期内不补充、修改、替代或者撤回本投标文件。</w:t>
      </w:r>
    </w:p>
    <w:p>
      <w:pPr>
        <w:widowControl/>
        <w:shd w:val="clear" w:color="auto" w:fill="FFFFFF"/>
        <w:snapToGrid w:val="0"/>
        <w:spacing w:line="384" w:lineRule="auto"/>
        <w:ind w:firstLine="420" w:firstLineChars="200"/>
        <w:jc w:val="left"/>
        <w:rPr>
          <w:rFonts w:ascii="宋体" w:hAnsi="宋体" w:cs="Arial"/>
          <w:kern w:val="0"/>
          <w:szCs w:val="21"/>
        </w:rPr>
      </w:pPr>
      <w:r>
        <w:rPr>
          <w:rFonts w:hint="eastAsia" w:ascii="宋体" w:hAnsi="宋体" w:cs="Arial"/>
          <w:kern w:val="0"/>
          <w:szCs w:val="21"/>
        </w:rPr>
        <w:t>4</w:t>
      </w:r>
      <w:r>
        <w:rPr>
          <w:rFonts w:ascii="宋体" w:hAnsi="宋体" w:cs="Arial"/>
          <w:kern w:val="0"/>
          <w:szCs w:val="21"/>
        </w:rPr>
        <w:t>.</w:t>
      </w:r>
      <w:r>
        <w:rPr>
          <w:rFonts w:hint="eastAsia" w:ascii="宋体" w:hAnsi="宋体" w:cstheme="minorEastAsia"/>
          <w:kern w:val="0"/>
          <w:szCs w:val="21"/>
        </w:rPr>
        <w:t>如果我方</w:t>
      </w:r>
      <w:r>
        <w:rPr>
          <w:rFonts w:hint="eastAsia" w:ascii="宋体" w:hAnsi="宋体" w:cs="Arial"/>
          <w:kern w:val="0"/>
          <w:szCs w:val="21"/>
        </w:rPr>
        <w:t>中标，我方将按规定履行合同责任义务。保证在合同约定的服务周期内供货，并确保我方提供产品及服务满足招标文件的要求。</w:t>
      </w:r>
    </w:p>
    <w:p>
      <w:pPr>
        <w:pStyle w:val="11"/>
        <w:tabs>
          <w:tab w:val="left" w:pos="5580"/>
        </w:tabs>
        <w:spacing w:line="360" w:lineRule="auto"/>
        <w:ind w:firstLine="420" w:firstLineChars="200"/>
        <w:rPr>
          <w:szCs w:val="21"/>
        </w:rPr>
      </w:pPr>
      <w:r>
        <w:rPr>
          <w:rFonts w:hint="eastAsia" w:cs="Arial"/>
          <w:kern w:val="0"/>
          <w:szCs w:val="21"/>
        </w:rPr>
        <w:t>5</w:t>
      </w:r>
      <w:r>
        <w:rPr>
          <w:rFonts w:cs="Arial"/>
          <w:kern w:val="0"/>
          <w:szCs w:val="21"/>
        </w:rPr>
        <w:t>.</w:t>
      </w:r>
      <w:r>
        <w:rPr>
          <w:rFonts w:hint="eastAsia"/>
          <w:szCs w:val="21"/>
        </w:rPr>
        <w:t>本投标文件有效期为</w:t>
      </w:r>
      <w:r>
        <w:rPr>
          <w:rFonts w:hint="eastAsia" w:cs="宋体"/>
          <w:kern w:val="0"/>
          <w:szCs w:val="21"/>
        </w:rPr>
        <w:t>自投标截止之日起</w:t>
      </w:r>
      <w:r>
        <w:rPr>
          <w:rFonts w:hint="eastAsia"/>
          <w:szCs w:val="21"/>
          <w:u w:val="single"/>
        </w:rPr>
        <w:t xml:space="preserve">          </w:t>
      </w:r>
      <w:r>
        <w:rPr>
          <w:rFonts w:hint="eastAsia"/>
          <w:szCs w:val="21"/>
        </w:rPr>
        <w:t>个日历日。</w:t>
      </w:r>
    </w:p>
    <w:p>
      <w:pPr>
        <w:pStyle w:val="11"/>
        <w:tabs>
          <w:tab w:val="left" w:pos="5580"/>
        </w:tabs>
        <w:spacing w:line="360" w:lineRule="auto"/>
        <w:ind w:firstLine="420" w:firstLineChars="200"/>
        <w:rPr>
          <w:szCs w:val="21"/>
        </w:rPr>
      </w:pPr>
      <w:r>
        <w:rPr>
          <w:rFonts w:hint="eastAsia" w:cs="Arial"/>
          <w:kern w:val="0"/>
          <w:szCs w:val="21"/>
        </w:rPr>
        <w:t>6</w:t>
      </w:r>
      <w:r>
        <w:rPr>
          <w:rFonts w:cs="Arial"/>
          <w:kern w:val="0"/>
          <w:szCs w:val="21"/>
        </w:rPr>
        <w:t>.</w:t>
      </w:r>
      <w:r>
        <w:rPr>
          <w:rFonts w:hint="eastAsia"/>
          <w:szCs w:val="21"/>
        </w:rPr>
        <w:t>已详细审查全部招标文件，包括所有补充通知（如果有的话），完全理解并同意放弃对这方面有不明、误解的权利。</w:t>
      </w:r>
    </w:p>
    <w:p>
      <w:pPr>
        <w:pStyle w:val="11"/>
        <w:tabs>
          <w:tab w:val="left" w:pos="5580"/>
        </w:tabs>
        <w:spacing w:line="360" w:lineRule="auto"/>
        <w:ind w:firstLine="420" w:firstLineChars="200"/>
        <w:rPr>
          <w:szCs w:val="21"/>
        </w:rPr>
      </w:pPr>
      <w:r>
        <w:rPr>
          <w:rFonts w:hint="eastAsia" w:cs="Arial"/>
          <w:kern w:val="0"/>
          <w:szCs w:val="21"/>
        </w:rPr>
        <w:t>7</w:t>
      </w:r>
      <w:r>
        <w:rPr>
          <w:rFonts w:cs="Arial"/>
          <w:kern w:val="0"/>
          <w:szCs w:val="21"/>
        </w:rPr>
        <w:t>.</w:t>
      </w:r>
      <w:r>
        <w:rPr>
          <w:rFonts w:hint="eastAsia"/>
          <w:szCs w:val="21"/>
        </w:rPr>
        <w:t>我方不是</w:t>
      </w:r>
      <w:r>
        <w:rPr>
          <w:szCs w:val="21"/>
        </w:rPr>
        <w:t>为</w:t>
      </w:r>
      <w:r>
        <w:rPr>
          <w:rFonts w:hint="eastAsia"/>
          <w:szCs w:val="21"/>
        </w:rPr>
        <w:t>本</w:t>
      </w:r>
      <w:r>
        <w:rPr>
          <w:szCs w:val="21"/>
        </w:rPr>
        <w:t>项目提供整体</w:t>
      </w:r>
      <w:r>
        <w:rPr>
          <w:rFonts w:hint="eastAsia"/>
          <w:szCs w:val="21"/>
        </w:rPr>
        <w:t>设计</w:t>
      </w:r>
      <w:r>
        <w:rPr>
          <w:szCs w:val="21"/>
        </w:rPr>
        <w:t>、规范编制或者项目管理、监理、检测等服务的供应商</w:t>
      </w:r>
      <w:r>
        <w:rPr>
          <w:rFonts w:hint="eastAsia"/>
          <w:szCs w:val="21"/>
        </w:rPr>
        <w:t>，我方不是采购代理</w:t>
      </w:r>
      <w:r>
        <w:rPr>
          <w:szCs w:val="21"/>
        </w:rPr>
        <w:t>机构</w:t>
      </w:r>
      <w:r>
        <w:rPr>
          <w:rFonts w:hint="eastAsia"/>
          <w:szCs w:val="21"/>
        </w:rPr>
        <w:t>的附属机构。</w:t>
      </w:r>
    </w:p>
    <w:p>
      <w:pPr>
        <w:pStyle w:val="11"/>
        <w:tabs>
          <w:tab w:val="left" w:pos="5580"/>
        </w:tabs>
        <w:spacing w:line="360" w:lineRule="auto"/>
        <w:ind w:firstLine="420" w:firstLineChars="200"/>
        <w:rPr>
          <w:szCs w:val="21"/>
        </w:rPr>
      </w:pPr>
      <w:r>
        <w:rPr>
          <w:rFonts w:hint="eastAsia" w:cs="Arial"/>
          <w:kern w:val="0"/>
          <w:szCs w:val="21"/>
        </w:rPr>
        <w:t>8</w:t>
      </w:r>
      <w:r>
        <w:rPr>
          <w:rFonts w:cs="Arial"/>
          <w:kern w:val="0"/>
          <w:szCs w:val="21"/>
        </w:rPr>
        <w:t>.</w:t>
      </w:r>
      <w:r>
        <w:rPr>
          <w:rFonts w:hint="eastAsia"/>
          <w:szCs w:val="21"/>
        </w:rPr>
        <w:t>按照招标文件的规定，在</w:t>
      </w:r>
      <w:r>
        <w:rPr>
          <w:szCs w:val="21"/>
        </w:rPr>
        <w:t>中标后</w:t>
      </w:r>
      <w:r>
        <w:rPr>
          <w:rFonts w:hint="eastAsia"/>
          <w:szCs w:val="21"/>
        </w:rPr>
        <w:t>向贵方一次性支付招标代理费。</w:t>
      </w:r>
    </w:p>
    <w:p>
      <w:pPr>
        <w:pStyle w:val="11"/>
        <w:tabs>
          <w:tab w:val="left" w:pos="5580"/>
        </w:tabs>
        <w:spacing w:line="360" w:lineRule="auto"/>
        <w:ind w:firstLine="420" w:firstLineChars="200"/>
        <w:rPr>
          <w:szCs w:val="21"/>
        </w:rPr>
      </w:pPr>
      <w:r>
        <w:rPr>
          <w:rFonts w:hint="eastAsia" w:cs="Arial"/>
          <w:kern w:val="0"/>
          <w:szCs w:val="21"/>
        </w:rPr>
        <w:t>9</w:t>
      </w:r>
      <w:r>
        <w:rPr>
          <w:rFonts w:cs="Arial"/>
          <w:kern w:val="0"/>
          <w:szCs w:val="21"/>
        </w:rPr>
        <w:t>.</w:t>
      </w:r>
      <w:r>
        <w:rPr>
          <w:rFonts w:hint="eastAsia"/>
          <w:szCs w:val="21"/>
        </w:rPr>
        <w:t>按照贵方可能的要求，提供与投标有关的一切数据或资料，完全理解贵方不一定接受最低价的投标或收到的任何投标。</w:t>
      </w:r>
    </w:p>
    <w:p>
      <w:pPr>
        <w:pStyle w:val="11"/>
        <w:tabs>
          <w:tab w:val="left" w:pos="5580"/>
        </w:tabs>
        <w:spacing w:line="360" w:lineRule="auto"/>
        <w:ind w:firstLine="420" w:firstLineChars="200"/>
        <w:rPr>
          <w:szCs w:val="21"/>
        </w:rPr>
      </w:pPr>
      <w:r>
        <w:rPr>
          <w:rFonts w:hint="eastAsia" w:cs="Arial"/>
          <w:kern w:val="0"/>
          <w:szCs w:val="21"/>
        </w:rPr>
        <w:t>10</w:t>
      </w:r>
      <w:r>
        <w:rPr>
          <w:rFonts w:cs="Arial"/>
          <w:kern w:val="0"/>
          <w:szCs w:val="21"/>
        </w:rPr>
        <w:t>.</w:t>
      </w:r>
      <w:r>
        <w:rPr>
          <w:rFonts w:hint="eastAsia"/>
          <w:szCs w:val="21"/>
        </w:rPr>
        <w:t>按照招标文件的规定履行合同责任和义务。</w:t>
      </w:r>
    </w:p>
    <w:p>
      <w:pPr>
        <w:pStyle w:val="11"/>
        <w:tabs>
          <w:tab w:val="left" w:pos="5580"/>
        </w:tabs>
        <w:spacing w:line="360" w:lineRule="auto"/>
        <w:ind w:firstLine="420" w:firstLineChars="200"/>
        <w:rPr>
          <w:szCs w:val="21"/>
        </w:rPr>
      </w:pPr>
      <w:r>
        <w:rPr>
          <w:rFonts w:hint="eastAsia" w:cs="Arial"/>
          <w:kern w:val="0"/>
          <w:szCs w:val="21"/>
        </w:rPr>
        <w:t>11</w:t>
      </w:r>
      <w:r>
        <w:rPr>
          <w:rFonts w:cs="Arial"/>
          <w:kern w:val="0"/>
          <w:szCs w:val="21"/>
        </w:rPr>
        <w:t>.</w:t>
      </w:r>
      <w:r>
        <w:rPr>
          <w:rFonts w:hint="eastAsia"/>
          <w:szCs w:val="21"/>
        </w:rPr>
        <w:t>完全理解并</w:t>
      </w:r>
      <w:r>
        <w:rPr>
          <w:szCs w:val="21"/>
        </w:rPr>
        <w:t>无条件承担</w:t>
      </w:r>
      <w:r>
        <w:rPr>
          <w:rFonts w:hint="eastAsia"/>
          <w:szCs w:val="21"/>
        </w:rPr>
        <w:t>中标后</w:t>
      </w:r>
      <w:r>
        <w:rPr>
          <w:szCs w:val="21"/>
        </w:rPr>
        <w:t>不依法与采购人签订合同的法律后果</w:t>
      </w:r>
      <w:r>
        <w:rPr>
          <w:rFonts w:hint="eastAsia"/>
          <w:szCs w:val="21"/>
        </w:rPr>
        <w:t>。</w:t>
      </w:r>
    </w:p>
    <w:p>
      <w:pPr>
        <w:widowControl/>
        <w:shd w:val="clear" w:color="auto" w:fill="FFFFFF"/>
        <w:snapToGrid w:val="0"/>
        <w:spacing w:line="384" w:lineRule="auto"/>
        <w:ind w:firstLine="420" w:firstLineChars="200"/>
        <w:jc w:val="left"/>
        <w:rPr>
          <w:rFonts w:ascii="宋体" w:hAnsi="宋体" w:cs="Arial"/>
          <w:kern w:val="0"/>
          <w:szCs w:val="21"/>
        </w:rPr>
      </w:pPr>
      <w:r>
        <w:rPr>
          <w:rFonts w:hint="eastAsia" w:ascii="宋体" w:hAnsi="宋体" w:cs="Arial"/>
          <w:kern w:val="0"/>
          <w:szCs w:val="21"/>
        </w:rPr>
        <w:t>12</w:t>
      </w:r>
      <w:r>
        <w:rPr>
          <w:rFonts w:ascii="宋体" w:hAnsi="宋体" w:cs="Arial"/>
          <w:kern w:val="0"/>
          <w:szCs w:val="21"/>
        </w:rPr>
        <w:t>.</w:t>
      </w:r>
      <w:r>
        <w:rPr>
          <w:rFonts w:hint="eastAsia" w:ascii="宋体" w:hAnsi="宋体" w:cs="Arial"/>
          <w:kern w:val="0"/>
          <w:szCs w:val="21"/>
        </w:rPr>
        <w:t>我方愿意提供贵方可能要求的与投标有关的一切数据或资料，完全理解贵方不一定接受最低投标报价的投标或收到的任何投标。</w:t>
      </w:r>
    </w:p>
    <w:p>
      <w:pPr>
        <w:widowControl/>
        <w:shd w:val="clear" w:color="auto" w:fill="FFFFFF"/>
        <w:snapToGrid w:val="0"/>
        <w:spacing w:line="384" w:lineRule="auto"/>
        <w:ind w:firstLine="420" w:firstLineChars="200"/>
        <w:jc w:val="left"/>
        <w:rPr>
          <w:rFonts w:ascii="宋体" w:hAnsi="宋体" w:cs="Arial"/>
          <w:kern w:val="0"/>
          <w:szCs w:val="21"/>
        </w:rPr>
      </w:pPr>
      <w:r>
        <w:rPr>
          <w:rFonts w:hint="eastAsia" w:ascii="宋体" w:hAnsi="宋体" w:cs="Arial"/>
          <w:kern w:val="0"/>
          <w:szCs w:val="21"/>
        </w:rPr>
        <w:t>13</w:t>
      </w:r>
      <w:r>
        <w:rPr>
          <w:rFonts w:ascii="宋体" w:hAnsi="宋体" w:cs="Arial"/>
          <w:kern w:val="0"/>
          <w:szCs w:val="21"/>
        </w:rPr>
        <w:t>.</w:t>
      </w:r>
      <w:r>
        <w:rPr>
          <w:rFonts w:hint="eastAsia" w:ascii="宋体" w:hAnsi="宋体" w:cs="Arial"/>
          <w:kern w:val="0"/>
          <w:szCs w:val="21"/>
        </w:rPr>
        <w:t>本投标文件在招标文件规定的投标有效期内对我方具有约束力，如果我方在投标有效期内撤销投标，其投标保证金将被贵方没收。</w:t>
      </w:r>
    </w:p>
    <w:p>
      <w:pPr>
        <w:widowControl/>
        <w:shd w:val="clear" w:color="auto" w:fill="FFFFFF"/>
        <w:snapToGrid w:val="0"/>
        <w:spacing w:line="384" w:lineRule="auto"/>
        <w:ind w:firstLine="420" w:firstLineChars="200"/>
        <w:jc w:val="left"/>
        <w:rPr>
          <w:rFonts w:ascii="宋体" w:hAnsi="宋体" w:cs="Arial"/>
          <w:kern w:val="0"/>
          <w:szCs w:val="21"/>
        </w:rPr>
      </w:pPr>
      <w:r>
        <w:rPr>
          <w:rFonts w:hint="eastAsia" w:ascii="宋体" w:hAnsi="宋体" w:cs="Arial"/>
          <w:kern w:val="0"/>
          <w:szCs w:val="21"/>
        </w:rPr>
        <w:t>14</w:t>
      </w:r>
      <w:r>
        <w:rPr>
          <w:rFonts w:ascii="宋体" w:hAnsi="宋体" w:cs="Arial"/>
          <w:kern w:val="0"/>
          <w:szCs w:val="21"/>
        </w:rPr>
        <w:t>.</w:t>
      </w:r>
      <w:r>
        <w:rPr>
          <w:rFonts w:hint="eastAsia" w:ascii="宋体" w:hAnsi="宋体" w:cs="Arial"/>
          <w:kern w:val="0"/>
          <w:szCs w:val="21"/>
        </w:rPr>
        <w:t>如我方中标，在合同签订后3个工作日内向采购代理机构提供采购合同原件一份用于采购资料备案工作，否则投标保证金将被贵方没收。</w:t>
      </w:r>
    </w:p>
    <w:p>
      <w:pPr>
        <w:pStyle w:val="11"/>
        <w:tabs>
          <w:tab w:val="left" w:pos="5580"/>
        </w:tabs>
        <w:spacing w:line="360" w:lineRule="auto"/>
        <w:ind w:firstLine="420" w:firstLineChars="200"/>
        <w:rPr>
          <w:szCs w:val="21"/>
        </w:rPr>
      </w:pPr>
      <w:r>
        <w:rPr>
          <w:rFonts w:hint="eastAsia" w:cs="Arial"/>
          <w:kern w:val="0"/>
          <w:szCs w:val="21"/>
        </w:rPr>
        <w:t>15</w:t>
      </w:r>
      <w:r>
        <w:rPr>
          <w:rFonts w:cs="Arial"/>
          <w:kern w:val="0"/>
          <w:szCs w:val="21"/>
        </w:rPr>
        <w:t>.</w:t>
      </w:r>
      <w:r>
        <w:rPr>
          <w:rFonts w:hint="eastAsia" w:cs="Arial"/>
          <w:kern w:val="0"/>
          <w:szCs w:val="21"/>
        </w:rPr>
        <w:t>我方在此声明，所递交的投标文件及有关资料内容完整、真实和准确。</w:t>
      </w:r>
    </w:p>
    <w:p>
      <w:pPr>
        <w:pStyle w:val="11"/>
        <w:tabs>
          <w:tab w:val="left" w:pos="5580"/>
        </w:tabs>
        <w:spacing w:line="360" w:lineRule="auto"/>
        <w:ind w:left="332" w:leftChars="68" w:hanging="189" w:hangingChars="90"/>
        <w:rPr>
          <w:szCs w:val="21"/>
        </w:rPr>
      </w:pPr>
      <w:r>
        <w:rPr>
          <w:rFonts w:hint="eastAsia"/>
          <w:szCs w:val="21"/>
        </w:rPr>
        <w:t xml:space="preserve">  </w:t>
      </w:r>
    </w:p>
    <w:p>
      <w:pPr>
        <w:pStyle w:val="11"/>
        <w:tabs>
          <w:tab w:val="left" w:pos="5580"/>
        </w:tabs>
        <w:spacing w:line="360" w:lineRule="auto"/>
        <w:ind w:firstLine="420" w:firstLineChars="200"/>
        <w:rPr>
          <w:szCs w:val="21"/>
        </w:rPr>
      </w:pPr>
      <w:r>
        <w:rPr>
          <w:rFonts w:hint="eastAsia"/>
          <w:szCs w:val="21"/>
        </w:rPr>
        <w:t>与本投标有关的一切正式往来信函请寄：</w:t>
      </w:r>
    </w:p>
    <w:p>
      <w:pPr>
        <w:pStyle w:val="11"/>
        <w:tabs>
          <w:tab w:val="left" w:pos="5580"/>
        </w:tabs>
        <w:spacing w:line="360" w:lineRule="auto"/>
        <w:ind w:left="1080" w:leftChars="257" w:hanging="540"/>
        <w:rPr>
          <w:szCs w:val="21"/>
        </w:rPr>
      </w:pPr>
      <w:r>
        <w:rPr>
          <w:rFonts w:hint="eastAsia"/>
          <w:szCs w:val="21"/>
        </w:rPr>
        <w:t>地址：</w:t>
      </w:r>
      <w:r>
        <w:rPr>
          <w:rFonts w:hint="eastAsia"/>
          <w:szCs w:val="21"/>
          <w:u w:val="single"/>
        </w:rPr>
        <w:t xml:space="preserve">                         </w:t>
      </w:r>
      <w:r>
        <w:rPr>
          <w:rFonts w:hint="eastAsia"/>
          <w:szCs w:val="21"/>
        </w:rPr>
        <w:t xml:space="preserve">     </w:t>
      </w:r>
    </w:p>
    <w:p>
      <w:pPr>
        <w:pStyle w:val="11"/>
        <w:tabs>
          <w:tab w:val="left" w:pos="5580"/>
        </w:tabs>
        <w:spacing w:line="360" w:lineRule="auto"/>
        <w:ind w:left="1080" w:leftChars="257" w:hanging="540"/>
        <w:rPr>
          <w:szCs w:val="21"/>
        </w:rPr>
      </w:pPr>
      <w:r>
        <w:rPr>
          <w:rFonts w:hint="eastAsia"/>
          <w:szCs w:val="21"/>
        </w:rPr>
        <w:t>传真：</w:t>
      </w:r>
      <w:r>
        <w:rPr>
          <w:rFonts w:hint="eastAsia"/>
          <w:szCs w:val="21"/>
          <w:u w:val="single"/>
        </w:rPr>
        <w:t xml:space="preserve">                             </w:t>
      </w:r>
    </w:p>
    <w:p>
      <w:pPr>
        <w:pStyle w:val="11"/>
        <w:tabs>
          <w:tab w:val="left" w:pos="5580"/>
        </w:tabs>
        <w:spacing w:line="360" w:lineRule="auto"/>
        <w:ind w:left="1080" w:leftChars="257" w:hanging="540"/>
        <w:rPr>
          <w:szCs w:val="21"/>
        </w:rPr>
      </w:pPr>
      <w:r>
        <w:rPr>
          <w:rFonts w:hint="eastAsia"/>
          <w:szCs w:val="21"/>
        </w:rPr>
        <w:t>电话：</w:t>
      </w:r>
      <w:r>
        <w:rPr>
          <w:rFonts w:hint="eastAsia"/>
          <w:szCs w:val="21"/>
          <w:u w:val="single"/>
        </w:rPr>
        <w:t xml:space="preserve">                         </w:t>
      </w:r>
      <w:r>
        <w:rPr>
          <w:rFonts w:hint="eastAsia"/>
          <w:szCs w:val="21"/>
        </w:rPr>
        <w:t xml:space="preserve">     </w:t>
      </w:r>
    </w:p>
    <w:p>
      <w:pPr>
        <w:pStyle w:val="11"/>
        <w:tabs>
          <w:tab w:val="left" w:pos="5580"/>
        </w:tabs>
        <w:spacing w:line="360" w:lineRule="auto"/>
        <w:ind w:left="1080" w:leftChars="257" w:hanging="540"/>
        <w:rPr>
          <w:b/>
          <w:szCs w:val="21"/>
        </w:rPr>
      </w:pPr>
      <w:r>
        <w:rPr>
          <w:rFonts w:hint="eastAsia"/>
          <w:szCs w:val="21"/>
        </w:rPr>
        <w:t>电子函件：</w:t>
      </w:r>
      <w:r>
        <w:rPr>
          <w:rFonts w:hint="eastAsia"/>
          <w:szCs w:val="21"/>
          <w:u w:val="single"/>
        </w:rPr>
        <w:t xml:space="preserve">                         </w:t>
      </w:r>
    </w:p>
    <w:p>
      <w:pPr>
        <w:spacing w:line="360" w:lineRule="auto"/>
        <w:rPr>
          <w:rFonts w:ascii="宋体" w:hAnsi="宋体" w:cs="宋体"/>
          <w:szCs w:val="21"/>
        </w:rPr>
      </w:pPr>
    </w:p>
    <w:p>
      <w:pPr>
        <w:pStyle w:val="11"/>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1"/>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spacing w:line="360" w:lineRule="auto"/>
        <w:rPr>
          <w:rFonts w:ascii="宋体" w:hAnsi="宋体" w:cs="宋体"/>
          <w:sz w:val="24"/>
          <w:szCs w:val="24"/>
        </w:rPr>
      </w:pPr>
    </w:p>
    <w:p>
      <w:pPr>
        <w:pStyle w:val="8"/>
        <w:numPr>
          <w:ilvl w:val="0"/>
          <w:numId w:val="0"/>
        </w:numPr>
        <w:rPr>
          <w:rFonts w:ascii="宋体" w:hAnsi="宋体" w:cs="宋体"/>
          <w:kern w:val="0"/>
          <w:sz w:val="24"/>
          <w:u w:val="single"/>
        </w:rPr>
      </w:pPr>
    </w:p>
    <w:p>
      <w:pPr>
        <w:pStyle w:val="11"/>
        <w:tabs>
          <w:tab w:val="left" w:pos="5580"/>
        </w:tabs>
        <w:spacing w:line="360" w:lineRule="auto"/>
        <w:ind w:left="1080" w:leftChars="257" w:hanging="540"/>
        <w:rPr>
          <w:sz w:val="24"/>
        </w:rPr>
      </w:pPr>
    </w:p>
    <w:p>
      <w:pPr>
        <w:widowControl/>
        <w:jc w:val="center"/>
        <w:textAlignment w:val="center"/>
        <w:rPr>
          <w:rFonts w:ascii="宋体" w:hAnsi="宋体" w:cs="宋体"/>
          <w:b/>
          <w:sz w:val="30"/>
          <w:szCs w:val="30"/>
        </w:rPr>
      </w:pPr>
      <w:r>
        <w:rPr>
          <w:rFonts w:hint="eastAsia" w:ascii="宋体" w:hAnsi="宋体" w:cs="宋体"/>
          <w:b/>
          <w:sz w:val="30"/>
          <w:szCs w:val="30"/>
        </w:rPr>
        <w:t xml:space="preserve"> </w:t>
      </w:r>
    </w:p>
    <w:p>
      <w:pPr>
        <w:rPr>
          <w:rFonts w:ascii="宋体" w:hAnsi="宋体" w:cs="Arial"/>
          <w:b/>
          <w:bCs/>
          <w:kern w:val="0"/>
          <w:sz w:val="24"/>
          <w:szCs w:val="24"/>
        </w:rPr>
      </w:pPr>
      <w:r>
        <w:rPr>
          <w:rFonts w:hint="eastAsia" w:ascii="宋体" w:hAnsi="宋体" w:cs="Arial"/>
          <w:b/>
          <w:bCs/>
          <w:kern w:val="0"/>
          <w:sz w:val="24"/>
          <w:szCs w:val="24"/>
        </w:rPr>
        <w:br w:type="page"/>
      </w:r>
    </w:p>
    <w:p>
      <w:pPr>
        <w:spacing w:line="360" w:lineRule="auto"/>
        <w:rPr>
          <w:rFonts w:ascii="宋体" w:hAnsi="宋体" w:cs="宋体"/>
          <w:b/>
          <w:bCs/>
          <w:szCs w:val="30"/>
        </w:rPr>
      </w:pPr>
      <w:r>
        <w:rPr>
          <w:rFonts w:hint="eastAsia" w:ascii="宋体" w:hAnsi="宋体" w:cs="Arial"/>
          <w:b/>
          <w:bCs/>
          <w:kern w:val="0"/>
          <w:sz w:val="24"/>
          <w:szCs w:val="24"/>
        </w:rPr>
        <w:t>5.2.2 开标一览表(报价表）</w:t>
      </w:r>
    </w:p>
    <w:p>
      <w:pPr>
        <w:spacing w:line="360" w:lineRule="auto"/>
        <w:jc w:val="center"/>
        <w:rPr>
          <w:b/>
          <w:bCs/>
          <w:sz w:val="32"/>
          <w:szCs w:val="32"/>
        </w:rPr>
      </w:pPr>
      <w:r>
        <w:rPr>
          <w:rFonts w:hint="eastAsia"/>
          <w:b/>
          <w:bCs/>
          <w:sz w:val="32"/>
          <w:szCs w:val="32"/>
        </w:rPr>
        <w:t>开标一览表（报价表）</w:t>
      </w:r>
    </w:p>
    <w:p>
      <w:pPr>
        <w:spacing w:line="360" w:lineRule="auto"/>
        <w:rPr>
          <w:rFonts w:ascii="宋体" w:hAnsi="宋体" w:cs="宋体"/>
          <w:szCs w:val="21"/>
          <w:u w:val="single"/>
        </w:rPr>
      </w:pPr>
      <w:r>
        <w:rPr>
          <w:rFonts w:hint="eastAsia" w:ascii="宋体" w:hAnsi="宋体" w:cs="宋体"/>
          <w:szCs w:val="21"/>
        </w:rPr>
        <w:t>项目名称（标段号）：</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 xml:space="preserve">项目编号： </w:t>
      </w:r>
      <w:r>
        <w:rPr>
          <w:rFonts w:hint="eastAsia" w:ascii="宋体" w:hAnsi="宋体" w:cs="宋体"/>
          <w:szCs w:val="21"/>
          <w:u w:val="single"/>
        </w:rPr>
        <w:t xml:space="preserve">                                  </w:t>
      </w:r>
      <w:r>
        <w:rPr>
          <w:rFonts w:hint="eastAsia" w:ascii="宋体" w:hAnsi="宋体" w:cs="宋体"/>
          <w:szCs w:val="21"/>
        </w:rPr>
        <w:t xml:space="preserve">  </w:t>
      </w:r>
    </w:p>
    <w:tbl>
      <w:tblPr>
        <w:tblStyle w:val="22"/>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3279"/>
        <w:gridCol w:w="1590"/>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Align w:val="center"/>
          </w:tcPr>
          <w:p>
            <w:pPr>
              <w:jc w:val="center"/>
              <w:rPr>
                <w:rFonts w:ascii="宋体" w:hAnsi="宋体" w:cs="宋体"/>
                <w:szCs w:val="21"/>
              </w:rPr>
            </w:pPr>
            <w:r>
              <w:rPr>
                <w:rFonts w:hint="eastAsia" w:ascii="宋体" w:hAnsi="宋体" w:cs="宋体"/>
                <w:szCs w:val="21"/>
              </w:rPr>
              <w:t>项目名称（标段号）</w:t>
            </w:r>
          </w:p>
        </w:tc>
        <w:tc>
          <w:tcPr>
            <w:tcW w:w="7911" w:type="dxa"/>
            <w:gridSpan w:val="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08" w:type="dxa"/>
            <w:vMerge w:val="restart"/>
            <w:vAlign w:val="center"/>
          </w:tcPr>
          <w:p>
            <w:pPr>
              <w:jc w:val="center"/>
              <w:rPr>
                <w:rFonts w:ascii="宋体" w:hAnsi="宋体" w:cs="宋体"/>
                <w:szCs w:val="21"/>
              </w:rPr>
            </w:pPr>
            <w:r>
              <w:rPr>
                <w:rFonts w:hint="eastAsia" w:ascii="宋体" w:hAnsi="宋体" w:cs="宋体"/>
                <w:szCs w:val="21"/>
              </w:rPr>
              <w:t>投标报价</w:t>
            </w:r>
          </w:p>
        </w:tc>
        <w:tc>
          <w:tcPr>
            <w:tcW w:w="7911" w:type="dxa"/>
            <w:gridSpan w:val="3"/>
            <w:vAlign w:val="center"/>
          </w:tcPr>
          <w:p>
            <w:pPr>
              <w:rPr>
                <w:rFonts w:ascii="宋体" w:hAnsi="宋体" w:cs="宋体"/>
                <w:szCs w:val="21"/>
              </w:rPr>
            </w:pPr>
            <w:r>
              <w:rPr>
                <w:rFonts w:hint="eastAsia" w:ascii="宋体" w:hAnsi="宋体" w:cs="宋体"/>
                <w:szCs w:val="21"/>
              </w:rPr>
              <w:t>投标单价：</w:t>
            </w:r>
          </w:p>
          <w:p>
            <w:pPr>
              <w:rPr>
                <w:rFonts w:ascii="宋体" w:hAnsi="宋体" w:cs="宋体"/>
                <w:szCs w:val="21"/>
              </w:rPr>
            </w:pPr>
          </w:p>
          <w:p>
            <w:pPr>
              <w:rPr>
                <w:rFonts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pPr>
              <w:pStyle w:val="8"/>
              <w:numPr>
                <w:ilvl w:val="0"/>
                <w:numId w:val="0"/>
              </w:numPr>
              <w:rPr>
                <w:rFonts w:ascii="宋体" w:hAnsi="宋体" w:eastAsia="宋体" w:cs="宋体"/>
                <w:sz w:val="21"/>
                <w:szCs w:val="21"/>
              </w:rPr>
            </w:pPr>
          </w:p>
          <w:p>
            <w:pPr>
              <w:pStyle w:val="8"/>
              <w:numPr>
                <w:ilvl w:val="0"/>
                <w:numId w:val="0"/>
              </w:numPr>
              <w:rPr>
                <w:rFonts w:ascii="宋体" w:hAnsi="宋体" w:eastAsia="宋体" w:cs="宋体"/>
                <w:sz w:val="21"/>
                <w:szCs w:val="21"/>
                <w:u w:val="single"/>
              </w:rPr>
            </w:pPr>
            <w:r>
              <w:rPr>
                <w:rFonts w:hint="eastAsia" w:ascii="宋体" w:hAnsi="宋体" w:eastAsia="宋体" w:cs="宋体"/>
                <w:sz w:val="21"/>
                <w:szCs w:val="21"/>
              </w:rPr>
              <w:t>小写：</w:t>
            </w:r>
            <w:r>
              <w:rPr>
                <w:rFonts w:hint="eastAsia" w:ascii="宋体" w:hAnsi="宋体" w:eastAsia="宋体" w:cs="宋体"/>
                <w:sz w:val="21"/>
                <w:szCs w:val="21"/>
                <w:u w:val="single"/>
              </w:rPr>
              <w:t xml:space="preserve">                      </w:t>
            </w:r>
          </w:p>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08" w:type="dxa"/>
            <w:vMerge w:val="continue"/>
            <w:vAlign w:val="center"/>
          </w:tcPr>
          <w:p>
            <w:pPr>
              <w:jc w:val="center"/>
              <w:rPr>
                <w:rFonts w:ascii="宋体" w:hAnsi="宋体" w:cs="宋体"/>
                <w:szCs w:val="21"/>
              </w:rPr>
            </w:pPr>
          </w:p>
        </w:tc>
        <w:tc>
          <w:tcPr>
            <w:tcW w:w="7911" w:type="dxa"/>
            <w:gridSpan w:val="3"/>
            <w:vAlign w:val="center"/>
          </w:tcPr>
          <w:p>
            <w:pPr>
              <w:rPr>
                <w:rFonts w:ascii="宋体" w:hAnsi="宋体" w:cs="宋体"/>
                <w:szCs w:val="21"/>
              </w:rPr>
            </w:pPr>
            <w:r>
              <w:rPr>
                <w:rFonts w:hint="eastAsia" w:ascii="宋体" w:hAnsi="宋体" w:cs="宋体"/>
                <w:szCs w:val="21"/>
              </w:rPr>
              <w:t>投标总价：</w:t>
            </w:r>
          </w:p>
          <w:p>
            <w:pPr>
              <w:rPr>
                <w:rFonts w:ascii="宋体" w:hAnsi="宋体" w:cs="宋体"/>
                <w:szCs w:val="21"/>
              </w:rPr>
            </w:pPr>
          </w:p>
          <w:p>
            <w:pPr>
              <w:rPr>
                <w:rFonts w:ascii="宋体" w:hAnsi="宋体" w:cs="宋体"/>
                <w:szCs w:val="21"/>
                <w:u w:val="single"/>
              </w:rPr>
            </w:pPr>
            <w:r>
              <w:rPr>
                <w:rFonts w:hint="eastAsia" w:ascii="宋体" w:hAnsi="宋体" w:cs="宋体"/>
                <w:szCs w:val="21"/>
              </w:rPr>
              <w:t>大写：</w:t>
            </w:r>
            <w:r>
              <w:rPr>
                <w:rFonts w:hint="eastAsia" w:ascii="宋体" w:hAnsi="宋体" w:cs="宋体"/>
                <w:szCs w:val="21"/>
                <w:u w:val="single"/>
              </w:rPr>
              <w:t xml:space="preserve">                      </w:t>
            </w:r>
          </w:p>
          <w:p>
            <w:pPr>
              <w:pStyle w:val="8"/>
              <w:numPr>
                <w:ilvl w:val="0"/>
                <w:numId w:val="0"/>
              </w:numPr>
              <w:rPr>
                <w:rFonts w:ascii="宋体" w:hAnsi="宋体" w:eastAsia="宋体" w:cs="宋体"/>
                <w:sz w:val="21"/>
                <w:szCs w:val="21"/>
              </w:rPr>
            </w:pPr>
          </w:p>
          <w:p>
            <w:pPr>
              <w:pStyle w:val="8"/>
              <w:numPr>
                <w:ilvl w:val="0"/>
                <w:numId w:val="0"/>
              </w:numPr>
              <w:rPr>
                <w:rFonts w:ascii="宋体" w:hAnsi="宋体" w:eastAsia="宋体" w:cs="宋体"/>
                <w:sz w:val="21"/>
                <w:szCs w:val="21"/>
                <w:u w:val="single"/>
              </w:rPr>
            </w:pPr>
            <w:r>
              <w:rPr>
                <w:rFonts w:hint="eastAsia" w:ascii="宋体" w:hAnsi="宋体" w:eastAsia="宋体" w:cs="宋体"/>
                <w:sz w:val="21"/>
                <w:szCs w:val="21"/>
              </w:rPr>
              <w:t>小写：</w:t>
            </w:r>
            <w:r>
              <w:rPr>
                <w:rFonts w:hint="eastAsia" w:ascii="宋体" w:hAnsi="宋体" w:eastAsia="宋体" w:cs="宋体"/>
                <w:sz w:val="21"/>
                <w:szCs w:val="21"/>
                <w:u w:val="single"/>
              </w:rPr>
              <w:t xml:space="preserve">                      </w:t>
            </w:r>
          </w:p>
          <w:p>
            <w:pPr>
              <w:pStyle w:val="8"/>
              <w:numPr>
                <w:ilvl w:val="0"/>
                <w:numId w:val="0"/>
              </w:numPr>
              <w:rPr>
                <w:rFonts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108" w:type="dxa"/>
            <w:vAlign w:val="center"/>
          </w:tcPr>
          <w:p>
            <w:pPr>
              <w:jc w:val="center"/>
              <w:rPr>
                <w:rFonts w:ascii="宋体" w:hAnsi="宋体" w:cs="宋体"/>
                <w:szCs w:val="21"/>
              </w:rPr>
            </w:pPr>
            <w:r>
              <w:rPr>
                <w:rFonts w:hint="eastAsia" w:ascii="宋体" w:hAnsi="宋体" w:cs="宋体"/>
                <w:szCs w:val="21"/>
              </w:rPr>
              <w:t>交货日期</w:t>
            </w:r>
          </w:p>
        </w:tc>
        <w:tc>
          <w:tcPr>
            <w:tcW w:w="7911" w:type="dxa"/>
            <w:gridSpan w:val="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08" w:type="dxa"/>
            <w:vAlign w:val="center"/>
          </w:tcPr>
          <w:p>
            <w:pPr>
              <w:jc w:val="center"/>
              <w:rPr>
                <w:rFonts w:ascii="宋体" w:hAnsi="宋体" w:cs="宋体"/>
                <w:szCs w:val="21"/>
              </w:rPr>
            </w:pPr>
            <w:r>
              <w:rPr>
                <w:rFonts w:hint="eastAsia" w:hAnsi="宋体"/>
                <w:szCs w:val="21"/>
              </w:rPr>
              <w:t>投标人名称</w:t>
            </w:r>
          </w:p>
        </w:tc>
        <w:tc>
          <w:tcPr>
            <w:tcW w:w="7911" w:type="dxa"/>
            <w:gridSpan w:val="3"/>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108" w:type="dxa"/>
            <w:vAlign w:val="center"/>
          </w:tcPr>
          <w:p>
            <w:pPr>
              <w:rPr>
                <w:rFonts w:ascii="宋体" w:hAnsi="宋体" w:cs="宋体"/>
                <w:szCs w:val="21"/>
              </w:rPr>
            </w:pPr>
            <w:r>
              <w:rPr>
                <w:rFonts w:hint="eastAsia" w:ascii="宋体" w:hAnsi="宋体" w:cs="宋体"/>
                <w:szCs w:val="21"/>
              </w:rPr>
              <w:t>制造国别/地区</w:t>
            </w:r>
          </w:p>
        </w:tc>
        <w:tc>
          <w:tcPr>
            <w:tcW w:w="3279" w:type="dxa"/>
            <w:vAlign w:val="center"/>
          </w:tcPr>
          <w:p>
            <w:pPr>
              <w:rPr>
                <w:rFonts w:ascii="宋体" w:hAnsi="宋体" w:cs="宋体"/>
                <w:szCs w:val="21"/>
              </w:rPr>
            </w:pPr>
          </w:p>
        </w:tc>
        <w:tc>
          <w:tcPr>
            <w:tcW w:w="1590" w:type="dxa"/>
            <w:vAlign w:val="center"/>
          </w:tcPr>
          <w:p>
            <w:pPr>
              <w:rPr>
                <w:rFonts w:ascii="宋体" w:hAnsi="宋体" w:cs="宋体"/>
                <w:szCs w:val="21"/>
              </w:rPr>
            </w:pPr>
            <w:r>
              <w:rPr>
                <w:rFonts w:hint="eastAsia" w:ascii="宋体" w:hAnsi="宋体" w:cs="宋体"/>
                <w:szCs w:val="21"/>
              </w:rPr>
              <w:t>数量/计量单位</w:t>
            </w:r>
          </w:p>
        </w:tc>
        <w:tc>
          <w:tcPr>
            <w:tcW w:w="3042" w:type="dxa"/>
            <w:vAlign w:val="center"/>
          </w:tcPr>
          <w:p>
            <w:pPr>
              <w:ind w:firstLine="420" w:firstLineChars="200"/>
              <w:rPr>
                <w:rFonts w:ascii="宋体" w:hAnsi="宋体" w:cs="宋体"/>
                <w:szCs w:val="21"/>
              </w:rPr>
            </w:pPr>
          </w:p>
        </w:tc>
      </w:tr>
    </w:tbl>
    <w:p>
      <w:pPr>
        <w:spacing w:line="360" w:lineRule="auto"/>
        <w:rPr>
          <w:rFonts w:ascii="宋体" w:hAnsi="宋体" w:cs="宋体"/>
          <w:szCs w:val="21"/>
        </w:rPr>
      </w:pPr>
      <w:r>
        <w:rPr>
          <w:rFonts w:hint="eastAsia" w:ascii="宋体" w:hAnsi="宋体" w:cs="宋体"/>
          <w:szCs w:val="21"/>
        </w:rPr>
        <w:t xml:space="preserve">                                            </w:t>
      </w:r>
    </w:p>
    <w:p>
      <w:pPr>
        <w:spacing w:line="360" w:lineRule="auto"/>
        <w:ind w:firstLine="422" w:firstLineChars="200"/>
        <w:rPr>
          <w:rFonts w:ascii="宋体" w:hAnsi="宋体" w:cs="宋体"/>
          <w:b/>
          <w:bCs/>
          <w:szCs w:val="21"/>
        </w:rPr>
      </w:pPr>
      <w:r>
        <w:rPr>
          <w:rFonts w:hint="eastAsia" w:ascii="宋体" w:hAnsi="宋体" w:cs="宋体"/>
          <w:b/>
          <w:bCs/>
          <w:szCs w:val="21"/>
        </w:rPr>
        <w:t>说明：</w:t>
      </w:r>
    </w:p>
    <w:p>
      <w:pPr>
        <w:spacing w:line="360" w:lineRule="auto"/>
        <w:ind w:firstLine="420" w:firstLineChars="200"/>
        <w:rPr>
          <w:rFonts w:ascii="宋体" w:hAnsi="宋体" w:cs="宋体"/>
          <w:szCs w:val="21"/>
        </w:rPr>
      </w:pPr>
      <w:r>
        <w:rPr>
          <w:rFonts w:hint="eastAsia" w:ascii="宋体" w:hAnsi="宋体" w:cs="宋体"/>
          <w:szCs w:val="21"/>
        </w:rPr>
        <w:t>1、投标报价均用人民币表示，单位为元。</w:t>
      </w:r>
    </w:p>
    <w:p>
      <w:pPr>
        <w:spacing w:line="360" w:lineRule="auto"/>
        <w:ind w:firstLine="420" w:firstLineChars="200"/>
        <w:rPr>
          <w:rFonts w:ascii="宋体" w:hAnsi="宋体" w:cs="宋体"/>
          <w:bCs/>
          <w:szCs w:val="21"/>
        </w:rPr>
      </w:pPr>
      <w:r>
        <w:rPr>
          <w:rFonts w:hint="eastAsia" w:ascii="宋体" w:hAnsi="宋体" w:cs="宋体"/>
          <w:szCs w:val="21"/>
        </w:rPr>
        <w:t>2、本项目各标段分别报价，投标人对每标段所投标产品报且只能报一个</w:t>
      </w:r>
      <w:r>
        <w:rPr>
          <w:rFonts w:hint="eastAsia" w:ascii="宋体" w:hAnsi="宋体" w:cs="宋体"/>
          <w:bCs/>
          <w:szCs w:val="21"/>
        </w:rPr>
        <w:t>投标价</w:t>
      </w:r>
      <w:r>
        <w:rPr>
          <w:rFonts w:hint="eastAsia" w:ascii="宋体" w:hAnsi="宋体" w:cs="宋体"/>
          <w:szCs w:val="21"/>
        </w:rPr>
        <w:t>，且所报价格不得高于最高限价。</w:t>
      </w:r>
    </w:p>
    <w:p>
      <w:pPr>
        <w:spacing w:line="360" w:lineRule="auto"/>
        <w:ind w:firstLine="420" w:firstLineChars="200"/>
        <w:rPr>
          <w:rFonts w:ascii="宋体" w:hAnsi="宋体" w:cs="宋体"/>
          <w:bCs/>
          <w:szCs w:val="21"/>
        </w:rPr>
      </w:pPr>
      <w:r>
        <w:rPr>
          <w:rFonts w:hint="eastAsia" w:ascii="宋体" w:hAnsi="宋体" w:cs="宋体"/>
          <w:szCs w:val="21"/>
        </w:rPr>
        <w:t>3、投标人对所投产品报价为对应本项目需求的全部货物及所需附件购置费（货款）、包装费、运杂费（含装卸费）、人工费、风险费、保险费、安装测试费、检测费（含各类特殊检测费用）、技术培训费、各种税费、利润、资料费、货到采购人指定地点的所有费用、售后服务开支及完成项目应有的全部费用。</w:t>
      </w:r>
      <w:r>
        <w:rPr>
          <w:rFonts w:hint="eastAsia" w:ascii="宋体" w:hAnsi="宋体" w:cs="宋体"/>
          <w:b/>
          <w:szCs w:val="21"/>
        </w:rPr>
        <w:t>所有优惠均体现在投标报价中，额外标明或承诺提供其他费用或物品均不予认可。</w:t>
      </w:r>
    </w:p>
    <w:p>
      <w:pPr>
        <w:spacing w:line="360" w:lineRule="auto"/>
        <w:rPr>
          <w:rFonts w:ascii="宋体" w:hAnsi="宋体" w:cs="宋体"/>
          <w:szCs w:val="21"/>
        </w:rPr>
      </w:pPr>
      <w:r>
        <w:rPr>
          <w:rFonts w:hint="eastAsia" w:ascii="宋体" w:hAnsi="宋体" w:cs="宋体"/>
          <w:szCs w:val="21"/>
        </w:rPr>
        <w:t xml:space="preserve">                      </w:t>
      </w:r>
    </w:p>
    <w:p>
      <w:pPr>
        <w:pStyle w:val="11"/>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1"/>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widowControl/>
        <w:spacing w:line="463" w:lineRule="exact"/>
        <w:ind w:right="223"/>
        <w:jc w:val="center"/>
        <w:outlineLvl w:val="1"/>
        <w:rPr>
          <w:b/>
          <w:bCs/>
          <w:sz w:val="32"/>
          <w:szCs w:val="32"/>
        </w:rPr>
      </w:pPr>
      <w:bookmarkStart w:id="89" w:name="_Toc12001"/>
      <w:r>
        <w:rPr>
          <w:rFonts w:hint="eastAsia"/>
          <w:b/>
          <w:bCs/>
          <w:sz w:val="32"/>
          <w:szCs w:val="32"/>
        </w:rPr>
        <w:t>分项报价表</w:t>
      </w:r>
      <w:bookmarkEnd w:id="89"/>
    </w:p>
    <w:p>
      <w:pPr>
        <w:widowControl/>
        <w:spacing w:line="200" w:lineRule="exact"/>
        <w:ind w:firstLine="400" w:firstLineChars="200"/>
        <w:jc w:val="left"/>
        <w:rPr>
          <w:rFonts w:ascii="宋体" w:hAnsi="宋体" w:cs="宋体"/>
          <w:kern w:val="0"/>
          <w:sz w:val="20"/>
          <w:szCs w:val="20"/>
        </w:rPr>
      </w:pPr>
    </w:p>
    <w:p>
      <w:pPr>
        <w:widowControl/>
        <w:spacing w:line="200" w:lineRule="exact"/>
        <w:ind w:firstLine="420" w:firstLineChars="200"/>
        <w:jc w:val="left"/>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项目名称（标段号）：</w:t>
      </w:r>
      <w:r>
        <w:rPr>
          <w:rFonts w:hint="eastAsia" w:ascii="宋体" w:hAnsi="宋体" w:cs="宋体"/>
          <w:szCs w:val="21"/>
          <w:u w:val="single"/>
        </w:rPr>
        <w:t xml:space="preserve">                </w:t>
      </w:r>
      <w:r>
        <w:rPr>
          <w:rFonts w:hint="eastAsia" w:ascii="宋体" w:hAnsi="宋体" w:cs="宋体"/>
          <w:szCs w:val="21"/>
        </w:rPr>
        <w:t xml:space="preserve">                    </w:t>
      </w:r>
    </w:p>
    <w:p>
      <w:pPr>
        <w:widowControl/>
        <w:spacing w:line="240" w:lineRule="exact"/>
        <w:ind w:firstLine="420" w:firstLineChars="200"/>
        <w:jc w:val="left"/>
        <w:rPr>
          <w:rFonts w:ascii="宋体" w:hAnsi="宋体" w:cs="宋体"/>
          <w:szCs w:val="21"/>
        </w:rPr>
      </w:pPr>
      <w:r>
        <w:rPr>
          <w:rFonts w:hint="eastAsia" w:ascii="宋体" w:hAnsi="宋体" w:cs="宋体"/>
          <w:szCs w:val="21"/>
        </w:rPr>
        <w:t xml:space="preserve">项目编号： </w:t>
      </w:r>
      <w:r>
        <w:rPr>
          <w:rFonts w:hint="eastAsia" w:ascii="宋体" w:hAnsi="宋体" w:cs="宋体"/>
          <w:szCs w:val="21"/>
          <w:u w:val="single"/>
        </w:rPr>
        <w:t xml:space="preserve">                         </w:t>
      </w:r>
      <w:r>
        <w:rPr>
          <w:rFonts w:hint="eastAsia" w:ascii="宋体" w:hAnsi="宋体" w:cs="宋体"/>
          <w:szCs w:val="21"/>
        </w:rPr>
        <w:t xml:space="preserve">                                  </w:t>
      </w:r>
    </w:p>
    <w:p>
      <w:pPr>
        <w:widowControl/>
        <w:spacing w:line="500" w:lineRule="exact"/>
        <w:ind w:right="256" w:firstLine="7980" w:firstLineChars="3800"/>
        <w:rPr>
          <w:rFonts w:ascii="宋体" w:hAnsi="宋体" w:cs="宋体"/>
          <w:szCs w:val="21"/>
        </w:rPr>
      </w:pPr>
      <w:r>
        <w:rPr>
          <w:rFonts w:hint="eastAsia" w:ascii="宋体" w:hAnsi="宋体" w:cs="宋体"/>
          <w:szCs w:val="21"/>
        </w:rPr>
        <w:t>单位：人民币元</w:t>
      </w:r>
    </w:p>
    <w:p>
      <w:pPr>
        <w:widowControl/>
        <w:spacing w:line="30" w:lineRule="exact"/>
        <w:ind w:firstLine="80" w:firstLineChars="200"/>
        <w:jc w:val="left"/>
        <w:rPr>
          <w:rFonts w:ascii="宋体" w:hAnsi="宋体" w:cs="宋体"/>
          <w:kern w:val="0"/>
          <w:sz w:val="4"/>
          <w:szCs w:val="4"/>
        </w:rPr>
      </w:pPr>
    </w:p>
    <w:tbl>
      <w:tblPr>
        <w:tblStyle w:val="21"/>
        <w:tblW w:w="9396" w:type="dxa"/>
        <w:tblInd w:w="94" w:type="dxa"/>
        <w:tblLayout w:type="fixed"/>
        <w:tblCellMar>
          <w:top w:w="0" w:type="dxa"/>
          <w:left w:w="0" w:type="dxa"/>
          <w:bottom w:w="0" w:type="dxa"/>
          <w:right w:w="0" w:type="dxa"/>
        </w:tblCellMar>
      </w:tblPr>
      <w:tblGrid>
        <w:gridCol w:w="904"/>
        <w:gridCol w:w="1619"/>
        <w:gridCol w:w="1313"/>
        <w:gridCol w:w="1150"/>
        <w:gridCol w:w="1596"/>
        <w:gridCol w:w="1581"/>
        <w:gridCol w:w="1233"/>
      </w:tblGrid>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序号</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名称</w:t>
            </w: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单位</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数量</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单价（元）</w:t>
            </w: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总价（元）</w:t>
            </w: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厂家</w:t>
            </w:r>
          </w:p>
        </w:tc>
      </w:tr>
      <w:tr>
        <w:tblPrEx>
          <w:tblCellMar>
            <w:top w:w="0" w:type="dxa"/>
            <w:left w:w="0" w:type="dxa"/>
            <w:bottom w:w="0" w:type="dxa"/>
            <w:right w:w="0" w:type="dxa"/>
          </w:tblCellMar>
        </w:tblPrEx>
        <w:trPr>
          <w:trHeight w:val="586"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2</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3</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4</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5</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584" w:hRule="exact"/>
        </w:trPr>
        <w:tc>
          <w:tcPr>
            <w:tcW w:w="9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w:t>
            </w:r>
          </w:p>
        </w:tc>
        <w:tc>
          <w:tcPr>
            <w:tcW w:w="1619" w:type="dxa"/>
            <w:tcBorders>
              <w:top w:val="single" w:color="000000" w:sz="4" w:space="0"/>
              <w:left w:val="single" w:color="000000" w:sz="4" w:space="0"/>
              <w:bottom w:val="single" w:color="000000" w:sz="4" w:space="0"/>
              <w:right w:val="single" w:color="000000" w:sz="4" w:space="0"/>
            </w:tcBorders>
            <w:vAlign w:val="center"/>
          </w:tcPr>
          <w:p>
            <w:pPr>
              <w:widowControl/>
              <w:ind w:firstLine="420" w:firstLineChars="200"/>
              <w:jc w:val="center"/>
              <w:rPr>
                <w:rFonts w:ascii="宋体" w:hAnsi="宋体" w:cs="宋体"/>
                <w:szCs w:val="21"/>
              </w:rPr>
            </w:pPr>
            <w:r>
              <w:rPr>
                <w:rFonts w:hint="eastAsia" w:ascii="宋体" w:hAnsi="宋体" w:cs="宋体"/>
                <w:szCs w:val="21"/>
              </w:rPr>
              <w:t>……</w:t>
            </w:r>
          </w:p>
        </w:tc>
        <w:tc>
          <w:tcPr>
            <w:tcW w:w="1313"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r>
        <w:tblPrEx>
          <w:tblCellMar>
            <w:top w:w="0" w:type="dxa"/>
            <w:left w:w="0" w:type="dxa"/>
            <w:bottom w:w="0" w:type="dxa"/>
            <w:right w:w="0" w:type="dxa"/>
          </w:tblCellMar>
        </w:tblPrEx>
        <w:trPr>
          <w:trHeight w:val="613" w:hRule="exact"/>
        </w:trPr>
        <w:tc>
          <w:tcPr>
            <w:tcW w:w="658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合计报价</w:t>
            </w:r>
          </w:p>
        </w:tc>
        <w:tc>
          <w:tcPr>
            <w:tcW w:w="1581" w:type="dxa"/>
            <w:tcBorders>
              <w:top w:val="single" w:color="000000" w:sz="4" w:space="0"/>
              <w:left w:val="single" w:color="000000"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c>
          <w:tcPr>
            <w:tcW w:w="1233" w:type="dxa"/>
            <w:tcBorders>
              <w:top w:val="single" w:color="000000" w:sz="4" w:space="0"/>
              <w:left w:val="single" w:color="auto" w:sz="4" w:space="0"/>
              <w:bottom w:val="single" w:color="000000" w:sz="4" w:space="0"/>
              <w:right w:val="single" w:color="000000" w:sz="4" w:space="0"/>
            </w:tcBorders>
            <w:vAlign w:val="center"/>
          </w:tcPr>
          <w:p>
            <w:pPr>
              <w:widowControl/>
              <w:ind w:firstLine="440" w:firstLineChars="200"/>
              <w:jc w:val="center"/>
              <w:rPr>
                <w:rFonts w:ascii="宋体" w:hAnsi="宋体" w:cs="宋体"/>
                <w:sz w:val="22"/>
              </w:rPr>
            </w:pPr>
          </w:p>
        </w:tc>
      </w:tr>
    </w:tbl>
    <w:p>
      <w:pPr>
        <w:widowControl/>
        <w:spacing w:line="360" w:lineRule="auto"/>
        <w:ind w:left="210" w:leftChars="100" w:firstLine="210" w:firstLineChars="100"/>
        <w:jc w:val="left"/>
        <w:rPr>
          <w:rFonts w:ascii="宋体" w:hAnsi="宋体" w:cs="宋体"/>
          <w:szCs w:val="21"/>
        </w:rPr>
      </w:pPr>
      <w:r>
        <w:rPr>
          <w:rFonts w:ascii="宋体" w:hAnsi="宋体" w:cs="宋体"/>
          <w:szCs w:val="21"/>
        </w:rPr>
        <w:t>说明：</w:t>
      </w:r>
    </w:p>
    <w:p>
      <w:pPr>
        <w:widowControl/>
        <w:spacing w:line="360" w:lineRule="auto"/>
        <w:ind w:left="210" w:leftChars="100" w:firstLine="210" w:firstLineChars="100"/>
        <w:jc w:val="left"/>
        <w:rPr>
          <w:rFonts w:ascii="宋体" w:hAnsi="宋体" w:cs="宋体"/>
          <w:szCs w:val="21"/>
        </w:rPr>
      </w:pPr>
      <w:r>
        <w:rPr>
          <w:rFonts w:ascii="宋体" w:hAnsi="宋体" w:cs="宋体"/>
          <w:szCs w:val="21"/>
        </w:rPr>
        <w:t>1、所有价格均用人民币表示，单位为元。</w:t>
      </w:r>
    </w:p>
    <w:p>
      <w:pPr>
        <w:widowControl/>
        <w:spacing w:line="360" w:lineRule="auto"/>
        <w:ind w:left="210" w:leftChars="100" w:firstLine="210" w:firstLineChars="100"/>
        <w:jc w:val="left"/>
        <w:rPr>
          <w:rFonts w:ascii="宋体" w:hAnsi="宋体" w:cs="宋体"/>
          <w:szCs w:val="21"/>
        </w:rPr>
      </w:pPr>
      <w:r>
        <w:rPr>
          <w:rFonts w:ascii="宋体" w:hAnsi="宋体" w:cs="宋体"/>
          <w:szCs w:val="21"/>
        </w:rPr>
        <w:t>2、投标人对所投产品报价为对应本项目需求的全部货物及所需附件购置费（货款）、包装费、运杂费、人</w:t>
      </w:r>
    </w:p>
    <w:p>
      <w:pPr>
        <w:widowControl/>
        <w:spacing w:line="360" w:lineRule="auto"/>
        <w:jc w:val="left"/>
        <w:rPr>
          <w:rFonts w:ascii="宋体" w:hAnsi="宋体" w:cs="宋体"/>
          <w:szCs w:val="21"/>
        </w:rPr>
      </w:pPr>
      <w:r>
        <w:rPr>
          <w:rFonts w:ascii="宋体" w:hAnsi="宋体" w:cs="宋体"/>
          <w:szCs w:val="21"/>
        </w:rPr>
        <w:t>工费、风险费、保险费、安装测试费、检测费、技术培训费、各种税费、利润、资料费、售后服务开支及完成项目应有的全部费用。</w:t>
      </w:r>
      <w:r>
        <w:rPr>
          <w:rFonts w:ascii="宋体" w:hAnsi="宋体" w:cs="宋体"/>
          <w:b/>
          <w:szCs w:val="21"/>
        </w:rPr>
        <w:t>所有优惠均体现在投标报价中，额外标明或承诺提供其他费用或物品均不予认可</w:t>
      </w:r>
      <w:r>
        <w:rPr>
          <w:rFonts w:ascii="宋体" w:hAnsi="宋体" w:cs="宋体"/>
          <w:szCs w:val="21"/>
        </w:rPr>
        <w:t>。</w:t>
      </w:r>
    </w:p>
    <w:p>
      <w:pPr>
        <w:widowControl/>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3、投标人必须按此表格式中的对应栏目内容填写，若需增加栏目，请在栏目“其它”中填写，并作详细说明。 </w:t>
      </w:r>
    </w:p>
    <w:p>
      <w:pPr>
        <w:widowControl/>
        <w:spacing w:line="360" w:lineRule="auto"/>
        <w:jc w:val="left"/>
        <w:rPr>
          <w:rFonts w:ascii="宋体" w:hAnsi="宋体" w:cs="宋体"/>
          <w:szCs w:val="21"/>
        </w:rPr>
      </w:pPr>
      <w:r>
        <w:rPr>
          <w:rFonts w:ascii="宋体" w:hAnsi="宋体" w:cs="宋体"/>
          <w:szCs w:val="21"/>
        </w:rPr>
        <w:t>                      </w:t>
      </w:r>
    </w:p>
    <w:p>
      <w:pPr>
        <w:widowControl/>
        <w:spacing w:line="360" w:lineRule="auto"/>
        <w:jc w:val="left"/>
        <w:rPr>
          <w:rFonts w:ascii="宋体" w:hAnsi="宋体" w:cs="宋体"/>
          <w:szCs w:val="21"/>
        </w:rPr>
      </w:pPr>
      <w:r>
        <w:rPr>
          <w:rFonts w:ascii="宋体" w:hAnsi="宋体" w:cs="宋体"/>
          <w:szCs w:val="21"/>
        </w:rPr>
        <w:t>投标人名称（签章）：                       </w:t>
      </w:r>
    </w:p>
    <w:p>
      <w:pPr>
        <w:widowControl/>
        <w:spacing w:line="360" w:lineRule="auto"/>
        <w:jc w:val="left"/>
        <w:rPr>
          <w:rFonts w:ascii="宋体" w:hAnsi="宋体" w:cs="宋体"/>
          <w:szCs w:val="21"/>
        </w:rPr>
      </w:pPr>
      <w:r>
        <w:rPr>
          <w:rFonts w:ascii="宋体" w:hAnsi="宋体" w:cs="宋体"/>
          <w:szCs w:val="21"/>
        </w:rPr>
        <w:t>法定代表人或其授权委托人（签字）：</w:t>
      </w:r>
    </w:p>
    <w:p>
      <w:pPr>
        <w:widowControl/>
        <w:spacing w:line="360" w:lineRule="auto"/>
        <w:jc w:val="left"/>
        <w:rPr>
          <w:rFonts w:ascii="宋体" w:hAnsi="宋体" w:cs="宋体"/>
          <w:szCs w:val="21"/>
        </w:rPr>
      </w:pPr>
      <w:r>
        <w:rPr>
          <w:rFonts w:ascii="宋体" w:hAnsi="宋体" w:cs="宋体"/>
          <w:szCs w:val="21"/>
        </w:rPr>
        <w:t>                        </w:t>
      </w:r>
    </w:p>
    <w:p>
      <w:pPr>
        <w:widowControl/>
        <w:spacing w:line="360" w:lineRule="auto"/>
        <w:jc w:val="left"/>
        <w:rPr>
          <w:rFonts w:ascii="宋体" w:hAnsi="宋体" w:cs="宋体"/>
          <w:szCs w:val="21"/>
        </w:rPr>
        <w:sectPr>
          <w:pgSz w:w="12240" w:h="15840"/>
          <w:pgMar w:top="1440" w:right="1134" w:bottom="1440" w:left="1134" w:header="851" w:footer="851" w:gutter="0"/>
          <w:cols w:space="425" w:num="1"/>
          <w:docGrid w:linePitch="299" w:charSpace="0"/>
        </w:sectPr>
      </w:pPr>
      <w:r>
        <w:rPr>
          <w:rFonts w:hint="eastAsia" w:ascii="宋体" w:hAnsi="宋体" w:cs="宋体"/>
          <w:szCs w:val="21"/>
        </w:rPr>
        <w:t xml:space="preserve"> </w:t>
      </w:r>
      <w:r>
        <w:rPr>
          <w:rFonts w:ascii="宋体" w:hAnsi="宋体" w:cs="宋体"/>
          <w:szCs w:val="21"/>
        </w:rPr>
        <w:t>日期：     年     月    日</w:t>
      </w:r>
    </w:p>
    <w:p>
      <w:pPr>
        <w:pStyle w:val="11"/>
        <w:tabs>
          <w:tab w:val="left" w:pos="5580"/>
        </w:tabs>
        <w:spacing w:line="360" w:lineRule="auto"/>
        <w:rPr>
          <w:rFonts w:cs="宋体"/>
          <w:b/>
          <w:sz w:val="30"/>
          <w:szCs w:val="30"/>
        </w:rPr>
      </w:pPr>
      <w:r>
        <w:rPr>
          <w:rFonts w:hint="eastAsia" w:cs="Arial"/>
          <w:b/>
          <w:bCs/>
          <w:kern w:val="0"/>
          <w:sz w:val="24"/>
          <w:szCs w:val="24"/>
        </w:rPr>
        <w:t>5.2.3  法定代表人资格证明书</w:t>
      </w:r>
      <w:r>
        <w:rPr>
          <w:rFonts w:hint="eastAsia" w:cs="宋体"/>
          <w:b/>
          <w:sz w:val="30"/>
          <w:szCs w:val="30"/>
        </w:rPr>
        <w:t xml:space="preserve"> </w:t>
      </w:r>
    </w:p>
    <w:p>
      <w:pPr>
        <w:jc w:val="center"/>
        <w:rPr>
          <w:b/>
          <w:bCs/>
          <w:sz w:val="32"/>
          <w:szCs w:val="32"/>
        </w:rPr>
      </w:pPr>
    </w:p>
    <w:p>
      <w:pPr>
        <w:jc w:val="center"/>
        <w:rPr>
          <w:b/>
          <w:bCs/>
          <w:sz w:val="32"/>
          <w:szCs w:val="32"/>
        </w:rPr>
      </w:pPr>
      <w:r>
        <w:rPr>
          <w:rFonts w:hint="eastAsia"/>
          <w:b/>
          <w:bCs/>
          <w:sz w:val="32"/>
          <w:szCs w:val="32"/>
        </w:rPr>
        <w:t>法定代表人身份证明书</w:t>
      </w:r>
    </w:p>
    <w:p>
      <w:pPr>
        <w:jc w:val="center"/>
        <w:rPr>
          <w:b/>
          <w:bCs/>
          <w:sz w:val="32"/>
          <w:szCs w:val="32"/>
        </w:rPr>
      </w:pPr>
    </w:p>
    <w:p>
      <w:pPr>
        <w:spacing w:line="360" w:lineRule="auto"/>
        <w:rPr>
          <w:rFonts w:ascii="宋体" w:hAnsi="宋体" w:cs="宋体"/>
          <w:szCs w:val="21"/>
        </w:rPr>
      </w:pPr>
      <w:r>
        <w:rPr>
          <w:rFonts w:hint="eastAsia" w:ascii="宋体" w:hAnsi="宋体" w:cs="宋体"/>
          <w:szCs w:val="21"/>
        </w:rPr>
        <w:t xml:space="preserve">单位名称：                              </w:t>
      </w:r>
    </w:p>
    <w:p>
      <w:pPr>
        <w:spacing w:line="360" w:lineRule="auto"/>
        <w:rPr>
          <w:rFonts w:ascii="宋体" w:hAnsi="宋体" w:cs="宋体"/>
          <w:szCs w:val="21"/>
        </w:rPr>
      </w:pPr>
      <w:r>
        <w:rPr>
          <w:rFonts w:hint="eastAsia" w:ascii="宋体" w:hAnsi="宋体" w:cs="宋体"/>
          <w:szCs w:val="21"/>
        </w:rPr>
        <w:t xml:space="preserve">单位性质：                              </w:t>
      </w:r>
    </w:p>
    <w:p>
      <w:pPr>
        <w:spacing w:line="360" w:lineRule="auto"/>
        <w:rPr>
          <w:rFonts w:ascii="宋体" w:hAnsi="宋体" w:cs="宋体"/>
          <w:szCs w:val="21"/>
        </w:rPr>
      </w:pPr>
      <w:r>
        <w:rPr>
          <w:rFonts w:hint="eastAsia" w:ascii="宋体" w:hAnsi="宋体" w:cs="宋体"/>
          <w:szCs w:val="21"/>
        </w:rPr>
        <w:t xml:space="preserve">地    址：                              </w:t>
      </w:r>
    </w:p>
    <w:p>
      <w:pPr>
        <w:widowControl/>
        <w:spacing w:line="360" w:lineRule="auto"/>
        <w:ind w:right="4305"/>
        <w:jc w:val="left"/>
        <w:rPr>
          <w:rFonts w:ascii="宋体" w:hAnsi="宋体" w:cs="宋体"/>
          <w:szCs w:val="21"/>
        </w:rPr>
      </w:pPr>
      <w:r>
        <w:rPr>
          <w:rFonts w:hint="eastAsia" w:ascii="宋体" w:hAnsi="宋体" w:cs="宋体"/>
          <w:szCs w:val="21"/>
        </w:rPr>
        <w:t>项目名称（标段号）：</w:t>
      </w:r>
    </w:p>
    <w:p>
      <w:pPr>
        <w:widowControl/>
        <w:spacing w:line="360" w:lineRule="auto"/>
        <w:ind w:right="4305"/>
        <w:jc w:val="left"/>
        <w:rPr>
          <w:rFonts w:ascii="宋体" w:hAnsi="宋体" w:cs="宋体"/>
          <w:szCs w:val="21"/>
        </w:rPr>
      </w:pPr>
      <w:r>
        <w:rPr>
          <w:rFonts w:hint="eastAsia" w:ascii="宋体" w:hAnsi="宋体" w:cs="宋体"/>
          <w:szCs w:val="21"/>
        </w:rPr>
        <w:t xml:space="preserve">项目编号：                     </w:t>
      </w:r>
    </w:p>
    <w:p>
      <w:pPr>
        <w:spacing w:line="360" w:lineRule="auto"/>
        <w:rPr>
          <w:rFonts w:ascii="宋体" w:hAnsi="宋体" w:cs="宋体"/>
          <w:szCs w:val="21"/>
        </w:rPr>
      </w:pPr>
    </w:p>
    <w:p>
      <w:pPr>
        <w:spacing w:line="360" w:lineRule="auto"/>
        <w:ind w:firstLine="630" w:firstLineChars="300"/>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（投标人名称）的法定代表人。为参加本项目，签署上述的投标文件、进行合同谈判、签署合同和处理与之有关的一切事物。</w:t>
      </w: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r>
        <w:rPr>
          <w:rFonts w:hint="eastAsia" w:ascii="宋体" w:hAnsi="宋体" w:cs="宋体"/>
          <w:szCs w:val="21"/>
        </w:rPr>
        <w:t>附：法定代表人身份证明</w:t>
      </w:r>
    </w:p>
    <w:p>
      <w:pPr>
        <w:spacing w:line="360" w:lineRule="auto"/>
        <w:rPr>
          <w:rFonts w:ascii="宋体" w:hAnsi="宋体" w:cs="宋体"/>
          <w:szCs w:val="21"/>
        </w:rPr>
      </w:pPr>
      <w:r>
        <w:rPr>
          <w:rFonts w:hint="eastAsia" w:ascii="仿宋" w:hAnsi="仿宋" w:eastAsia="仿宋" w:cs="仿宋"/>
          <w:szCs w:val="21"/>
        </w:rPr>
        <mc:AlternateContent>
          <mc:Choice Requires="wps">
            <w:drawing>
              <wp:anchor distT="0" distB="0" distL="114300" distR="114300" simplePos="0" relativeHeight="251660288" behindDoc="0" locked="0" layoutInCell="1" allowOverlap="1">
                <wp:simplePos x="0" y="0"/>
                <wp:positionH relativeFrom="column">
                  <wp:posOffset>2872740</wp:posOffset>
                </wp:positionH>
                <wp:positionV relativeFrom="paragraph">
                  <wp:posOffset>2540</wp:posOffset>
                </wp:positionV>
                <wp:extent cx="2710180" cy="1793875"/>
                <wp:effectExtent l="12700" t="12700" r="20320" b="22225"/>
                <wp:wrapNone/>
                <wp:docPr id="10" name="圆角矩形 10"/>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26.2pt;margin-top:0.2pt;height:141.25pt;width:213.4pt;z-index:251660288;v-text-anchor:middle;mso-width-relative:page;mso-height-relative:page;" filled="f" stroked="t" coordsize="21600,21600" arcsize="0.0403703703703704" o:gfxdata="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knV8z1QAAAAgBAAAP&#10;AAAAAAAAAAEAIAAAACIAAABkcnMvZG93bnJldi54bWxQSwECFAAUAAAACACHTuJAtsW6eY0CAAAG&#10;BQAADgAAAAAAAAABACAAAAAkAQAAZHJzL2Uyb0RvYy54bWxQSwUGAAAAAAYABgBZAQAAIwYAA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法定代表人身份证反面</w:t>
                      </w:r>
                    </w:p>
                    <w:p>
                      <w:pPr>
                        <w:jc w:val="center"/>
                      </w:pPr>
                    </w:p>
                  </w:txbxContent>
                </v:textbox>
              </v:roundrect>
            </w:pict>
          </mc:Fallback>
        </mc:AlternateContent>
      </w:r>
      <w:r>
        <w:rPr>
          <w:rFonts w:hint="eastAsia" w:ascii="仿宋" w:hAnsi="仿宋" w:eastAsia="仿宋" w:cs="仿宋"/>
          <w:szCs w:val="21"/>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2540</wp:posOffset>
                </wp:positionV>
                <wp:extent cx="2710180" cy="1793875"/>
                <wp:effectExtent l="12700" t="12700" r="20320" b="22225"/>
                <wp:wrapNone/>
                <wp:docPr id="13" name="圆角矩形 13"/>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4pt;margin-top:0.2pt;height:141.25pt;width:213.4pt;z-index:251659264;v-text-anchor:middle;mso-width-relative:page;mso-height-relative:page;" filled="f" stroked="t" coordsize="21600,21600" arcsize="0.0403703703703704" o:gfxdata="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qDtjT9IAAAAHAQAADwAA&#10;AAAAAAABACAAAAAiAAAAZHJzL2Rvd25yZXYueG1sUEsBAhQAFAAAAAgAh07iQMuWF+qOAgAABgUA&#10;AA4AAAAAAAAAAQAgAAAAIQEAAGRycy9lMm9Eb2MueG1sUEsFBgAAAAAGAAYAWQEAACEGAAA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v:textbox>
              </v:roundrect>
            </w:pict>
          </mc:Fallback>
        </mc:AlternateContent>
      </w:r>
    </w:p>
    <w:p>
      <w:pPr>
        <w:spacing w:line="360" w:lineRule="auto"/>
        <w:rPr>
          <w:rFonts w:ascii="宋体" w:hAnsi="宋体" w:cs="宋体"/>
          <w:szCs w:val="21"/>
        </w:rPr>
      </w:pPr>
    </w:p>
    <w:p>
      <w:pPr>
        <w:pStyle w:val="8"/>
        <w:numPr>
          <w:ilvl w:val="0"/>
          <w:numId w:val="0"/>
        </w:numPr>
        <w:rPr>
          <w:rFonts w:ascii="宋体" w:hAnsi="宋体" w:cs="宋体"/>
          <w:sz w:val="21"/>
          <w:szCs w:val="21"/>
        </w:rPr>
      </w:pPr>
    </w:p>
    <w:p>
      <w:pPr>
        <w:pStyle w:val="8"/>
        <w:numPr>
          <w:ilvl w:val="0"/>
          <w:numId w:val="0"/>
        </w:numPr>
        <w:rPr>
          <w:rFonts w:ascii="宋体" w:hAnsi="宋体" w:cs="宋体"/>
          <w:sz w:val="21"/>
          <w:szCs w:val="21"/>
        </w:rPr>
      </w:pPr>
    </w:p>
    <w:p>
      <w:pPr>
        <w:pStyle w:val="8"/>
        <w:numPr>
          <w:ilvl w:val="0"/>
          <w:numId w:val="0"/>
        </w:numPr>
        <w:rPr>
          <w:rFonts w:ascii="宋体" w:hAnsi="宋体" w:cs="宋体"/>
          <w:sz w:val="21"/>
          <w:szCs w:val="21"/>
        </w:rPr>
      </w:pPr>
    </w:p>
    <w:p>
      <w:pPr>
        <w:pStyle w:val="8"/>
        <w:numPr>
          <w:ilvl w:val="0"/>
          <w:numId w:val="0"/>
        </w:numPr>
        <w:rPr>
          <w:rFonts w:ascii="宋体" w:hAnsi="宋体" w:cs="宋体"/>
          <w:sz w:val="21"/>
          <w:szCs w:val="21"/>
        </w:rPr>
      </w:pPr>
    </w:p>
    <w:p>
      <w:pPr>
        <w:spacing w:line="360" w:lineRule="auto"/>
        <w:rPr>
          <w:rFonts w:ascii="宋体" w:hAnsi="宋体" w:cs="宋体"/>
          <w:szCs w:val="21"/>
        </w:rPr>
      </w:pPr>
    </w:p>
    <w:p>
      <w:pPr>
        <w:pStyle w:val="11"/>
        <w:tabs>
          <w:tab w:val="left" w:pos="5580"/>
        </w:tabs>
        <w:spacing w:line="360" w:lineRule="auto"/>
        <w:ind w:left="-540" w:leftChars="-257" w:firstLine="787" w:firstLineChars="375"/>
        <w:rPr>
          <w:szCs w:val="21"/>
        </w:rPr>
      </w:pPr>
    </w:p>
    <w:p>
      <w:pPr>
        <w:spacing w:line="360" w:lineRule="auto"/>
        <w:ind w:firstLine="630" w:firstLineChars="300"/>
        <w:rPr>
          <w:rFonts w:ascii="宋体" w:hAnsi="宋体" w:cs="宋体"/>
          <w:szCs w:val="21"/>
        </w:rPr>
      </w:pPr>
      <w:r>
        <w:rPr>
          <w:rFonts w:hint="eastAsia" w:ascii="宋体" w:hAnsi="宋体" w:cs="宋体"/>
          <w:szCs w:val="21"/>
        </w:rPr>
        <w:t xml:space="preserve">                        </w:t>
      </w:r>
    </w:p>
    <w:p>
      <w:pPr>
        <w:pStyle w:val="8"/>
        <w:numPr>
          <w:ilvl w:val="0"/>
          <w:numId w:val="0"/>
        </w:numPr>
        <w:rPr>
          <w:sz w:val="21"/>
          <w:szCs w:val="21"/>
        </w:rPr>
      </w:pPr>
    </w:p>
    <w:p>
      <w:pPr>
        <w:pStyle w:val="11"/>
        <w:tabs>
          <w:tab w:val="left" w:pos="5580"/>
        </w:tabs>
        <w:spacing w:line="360" w:lineRule="auto"/>
        <w:ind w:firstLine="3150" w:firstLineChars="15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1"/>
        <w:tabs>
          <w:tab w:val="left" w:pos="5580"/>
        </w:tabs>
        <w:spacing w:line="360" w:lineRule="auto"/>
        <w:ind w:firstLine="3150" w:firstLineChars="1500"/>
        <w:rPr>
          <w:szCs w:val="21"/>
          <w:u w:val="single"/>
        </w:rPr>
      </w:pPr>
      <w:r>
        <w:rPr>
          <w:rFonts w:hint="eastAsia"/>
          <w:szCs w:val="21"/>
        </w:rPr>
        <w:t>法定代表人（签章）：</w:t>
      </w:r>
      <w:r>
        <w:rPr>
          <w:rFonts w:hint="eastAsia"/>
          <w:szCs w:val="21"/>
          <w:u w:val="single"/>
        </w:rPr>
        <w:t xml:space="preserve">                               </w:t>
      </w:r>
    </w:p>
    <w:p>
      <w:pPr>
        <w:spacing w:line="360" w:lineRule="auto"/>
        <w:ind w:firstLine="3150" w:firstLineChars="1500"/>
        <w:rPr>
          <w:rFonts w:hAnsi="宋体"/>
          <w:szCs w:val="21"/>
          <w:u w:val="single"/>
        </w:rPr>
      </w:pPr>
      <w:r>
        <w:rPr>
          <w:rFonts w:hint="eastAsia"/>
          <w:szCs w:val="21"/>
        </w:rPr>
        <w:t>日期</w:t>
      </w:r>
      <w:r>
        <w:rPr>
          <w:rFonts w:hint="eastAsia" w:hAnsi="宋体"/>
          <w:szCs w:val="21"/>
        </w:rPr>
        <w:t>：</w:t>
      </w:r>
      <w:r>
        <w:rPr>
          <w:rFonts w:hint="eastAsia" w:hAnsi="宋体"/>
          <w:szCs w:val="21"/>
          <w:u w:val="single"/>
        </w:rPr>
        <w:t xml:space="preserve">                           </w:t>
      </w:r>
      <w:r>
        <w:rPr>
          <w:rFonts w:hint="eastAsia"/>
          <w:szCs w:val="21"/>
          <w:u w:val="single"/>
        </w:rPr>
        <w:t xml:space="preserve">         </w:t>
      </w:r>
      <w:r>
        <w:rPr>
          <w:rFonts w:hint="eastAsia" w:hAnsi="宋体"/>
          <w:szCs w:val="21"/>
          <w:u w:val="single"/>
        </w:rPr>
        <w:t xml:space="preserve">  </w:t>
      </w:r>
    </w:p>
    <w:p>
      <w:pPr>
        <w:rPr>
          <w:rFonts w:ascii="宋体" w:hAnsi="宋体" w:cs="Arial"/>
          <w:b/>
          <w:bCs/>
          <w:kern w:val="0"/>
          <w:sz w:val="24"/>
          <w:szCs w:val="24"/>
        </w:rPr>
      </w:pPr>
      <w:r>
        <w:rPr>
          <w:rFonts w:hint="eastAsia" w:ascii="宋体" w:hAnsi="宋体" w:cs="Arial"/>
          <w:b/>
          <w:bCs/>
          <w:kern w:val="0"/>
          <w:sz w:val="24"/>
          <w:szCs w:val="24"/>
        </w:rPr>
        <w:t xml:space="preserve"> </w:t>
      </w: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kern w:val="0"/>
          <w:sz w:val="24"/>
          <w:szCs w:val="24"/>
        </w:rPr>
      </w:pPr>
      <w:r>
        <w:rPr>
          <w:rFonts w:hint="eastAsia" w:ascii="宋体" w:hAnsi="宋体" w:cs="Arial"/>
          <w:b/>
          <w:bCs/>
          <w:kern w:val="0"/>
          <w:sz w:val="24"/>
          <w:szCs w:val="24"/>
        </w:rPr>
        <w:t>5.2.4.  授权委托书</w:t>
      </w:r>
      <w:r>
        <w:rPr>
          <w:rFonts w:hint="eastAsia" w:ascii="宋体" w:hAnsi="宋体" w:cs="Arial"/>
          <w:kern w:val="0"/>
          <w:sz w:val="24"/>
          <w:szCs w:val="24"/>
        </w:rPr>
        <w:t xml:space="preserve"> </w:t>
      </w:r>
    </w:p>
    <w:p>
      <w:pPr>
        <w:jc w:val="center"/>
        <w:rPr>
          <w:rFonts w:ascii="宋体" w:cs="Arial"/>
          <w:kern w:val="0"/>
          <w:sz w:val="24"/>
          <w:szCs w:val="24"/>
        </w:rPr>
      </w:pPr>
      <w:r>
        <w:rPr>
          <w:rFonts w:hint="eastAsia"/>
          <w:b/>
          <w:bCs/>
          <w:sz w:val="32"/>
          <w:szCs w:val="32"/>
        </w:rPr>
        <w:t>授权委托书</w:t>
      </w:r>
    </w:p>
    <w:p>
      <w:pPr>
        <w:widowControl/>
        <w:shd w:val="clear" w:color="auto" w:fill="FFFFFF"/>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本授权委托书声明：注册于</w:t>
      </w:r>
      <w:r>
        <w:rPr>
          <w:rFonts w:hint="eastAsia" w:ascii="宋体" w:hAnsi="宋体" w:cs="宋体"/>
          <w:kern w:val="0"/>
          <w:szCs w:val="21"/>
          <w:u w:val="single"/>
        </w:rPr>
        <w:t xml:space="preserve">           </w:t>
      </w:r>
      <w:r>
        <w:rPr>
          <w:rFonts w:hint="eastAsia" w:ascii="宋体" w:hAnsi="宋体" w:cs="宋体"/>
          <w:kern w:val="0"/>
          <w:szCs w:val="21"/>
        </w:rPr>
        <w:t>（注册地址）的</w:t>
      </w:r>
      <w:r>
        <w:rPr>
          <w:rFonts w:hint="eastAsia" w:ascii="宋体" w:hAnsi="宋体" w:cs="宋体"/>
          <w:kern w:val="0"/>
          <w:szCs w:val="21"/>
          <w:u w:val="single"/>
        </w:rPr>
        <w:t xml:space="preserve">                </w:t>
      </w:r>
      <w:r>
        <w:rPr>
          <w:rFonts w:hint="eastAsia" w:ascii="宋体" w:hAnsi="宋体" w:cs="宋体"/>
          <w:kern w:val="0"/>
          <w:szCs w:val="21"/>
        </w:rPr>
        <w:t xml:space="preserve"> （投标人名称）的在下面签字的</w:t>
      </w:r>
      <w:r>
        <w:rPr>
          <w:rFonts w:hint="eastAsia" w:ascii="宋体" w:hAnsi="宋体" w:cs="宋体"/>
          <w:kern w:val="0"/>
          <w:szCs w:val="21"/>
          <w:u w:val="single"/>
        </w:rPr>
        <w:t xml:space="preserve">              </w:t>
      </w:r>
      <w:r>
        <w:rPr>
          <w:rFonts w:hint="eastAsia" w:ascii="宋体" w:hAnsi="宋体" w:cs="宋体"/>
          <w:kern w:val="0"/>
          <w:szCs w:val="21"/>
        </w:rPr>
        <w:t>（法定代表姓名、职务），代表我单位授权在下面签字的</w:t>
      </w:r>
      <w:r>
        <w:rPr>
          <w:rFonts w:hint="eastAsia" w:ascii="宋体" w:hAnsi="宋体" w:cs="宋体"/>
          <w:kern w:val="0"/>
          <w:szCs w:val="21"/>
          <w:u w:val="single"/>
        </w:rPr>
        <w:t xml:space="preserve">       </w:t>
      </w:r>
      <w:r>
        <w:rPr>
          <w:rFonts w:hint="eastAsia" w:ascii="宋体" w:hAnsi="宋体" w:cs="宋体"/>
          <w:kern w:val="0"/>
          <w:szCs w:val="21"/>
        </w:rPr>
        <w:t>（被授权人的姓名、职务）为我公司的委托代理人。委托代理人根据授权，就</w:t>
      </w:r>
      <w:r>
        <w:rPr>
          <w:rFonts w:hint="eastAsia" w:ascii="宋体" w:hAnsi="宋体" w:cs="宋体"/>
          <w:kern w:val="0"/>
          <w:szCs w:val="21"/>
          <w:u w:val="single"/>
        </w:rPr>
        <w:t xml:space="preserve">              </w:t>
      </w:r>
      <w:r>
        <w:rPr>
          <w:rFonts w:hint="eastAsia" w:ascii="宋体" w:hAnsi="宋体" w:cs="宋体"/>
          <w:kern w:val="0"/>
          <w:szCs w:val="21"/>
        </w:rPr>
        <w:t>（招标项目名称、、标段号、项目编号）的投标活动，代理人在开标、评标、合同谈判过程中所签署的一切文件和处理与之有关的事务，我公司均予以承认，其法律后果由我公司承担。</w:t>
      </w:r>
    </w:p>
    <w:p>
      <w:pPr>
        <w:pStyle w:val="8"/>
        <w:numPr>
          <w:ilvl w:val="0"/>
          <w:numId w:val="0"/>
        </w:numPr>
        <w:spacing w:line="360" w:lineRule="auto"/>
        <w:rPr>
          <w:rFonts w:ascii="宋体" w:hAnsi="宋体" w:eastAsia="宋体" w:cs="宋体"/>
          <w:sz w:val="21"/>
          <w:szCs w:val="21"/>
        </w:rPr>
      </w:pPr>
      <w:r>
        <w:rPr>
          <w:rFonts w:hint="eastAsia" w:ascii="宋体" w:hAnsi="宋体" w:eastAsia="宋体" w:cs="宋体"/>
          <w:kern w:val="0"/>
          <w:sz w:val="21"/>
          <w:szCs w:val="21"/>
        </w:rPr>
        <w:t xml:space="preserve">    代理人无转委托权，特此委托！</w:t>
      </w:r>
    </w:p>
    <w:p>
      <w:pPr>
        <w:widowControl/>
        <w:shd w:val="clear" w:color="auto" w:fill="FFFFFF"/>
        <w:snapToGrid w:val="0"/>
        <w:spacing w:line="360" w:lineRule="auto"/>
        <w:ind w:firstLine="420" w:firstLineChars="200"/>
        <w:jc w:val="left"/>
        <w:rPr>
          <w:rFonts w:ascii="宋体" w:hAnsi="宋体" w:cs="宋体"/>
          <w:kern w:val="0"/>
          <w:szCs w:val="21"/>
          <w:u w:val="single"/>
        </w:rPr>
      </w:pPr>
      <w:r>
        <w:rPr>
          <w:rFonts w:hint="eastAsia" w:ascii="宋体" w:hAnsi="宋体" w:cs="宋体"/>
          <w:kern w:val="0"/>
          <w:szCs w:val="21"/>
        </w:rPr>
        <w:t>代理人：</w:t>
      </w:r>
      <w:r>
        <w:rPr>
          <w:rFonts w:hint="eastAsia" w:ascii="宋体" w:hAnsi="宋体" w:cs="宋体"/>
          <w:i/>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p>
    <w:p>
      <w:pPr>
        <w:widowControl/>
        <w:shd w:val="clear" w:color="auto" w:fill="FFFFFF"/>
        <w:snapToGrid w:val="0"/>
        <w:spacing w:line="360" w:lineRule="auto"/>
        <w:ind w:firstLine="420" w:firstLineChars="200"/>
        <w:jc w:val="left"/>
        <w:rPr>
          <w:rFonts w:ascii="宋体" w:cs="Arial"/>
          <w:kern w:val="0"/>
          <w:szCs w:val="21"/>
        </w:rPr>
      </w:pPr>
      <w:r>
        <w:rPr>
          <w:rFonts w:hint="eastAsia" w:ascii="宋体" w:hAnsi="宋体" w:cs="宋体"/>
          <w:kern w:val="0"/>
          <w:szCs w:val="21"/>
        </w:rPr>
        <w:t>身份证号码：</w:t>
      </w:r>
      <w:r>
        <w:rPr>
          <w:rFonts w:hint="eastAsia" w:ascii="宋体" w:hAnsi="宋体" w:cs="宋体"/>
          <w:kern w:val="0"/>
          <w:szCs w:val="21"/>
          <w:u w:val="single"/>
        </w:rPr>
        <w:t xml:space="preserve">                 </w:t>
      </w:r>
      <w:r>
        <w:rPr>
          <w:rFonts w:hint="eastAsia" w:ascii="宋体" w:hAnsi="宋体" w:cs="宋体"/>
          <w:kern w:val="0"/>
          <w:szCs w:val="21"/>
        </w:rPr>
        <w:t>部门：</w:t>
      </w:r>
      <w:r>
        <w:rPr>
          <w:rFonts w:ascii="宋体" w:hAnsi="宋体" w:cs="Arial"/>
          <w:kern w:val="0"/>
          <w:szCs w:val="21"/>
          <w:u w:val="single"/>
        </w:rPr>
        <w:t xml:space="preserve">             </w:t>
      </w:r>
      <w:r>
        <w:rPr>
          <w:rFonts w:ascii="宋体" w:hAnsi="宋体" w:cs="Arial"/>
          <w:kern w:val="0"/>
          <w:szCs w:val="21"/>
        </w:rPr>
        <w:t xml:space="preserve"> </w:t>
      </w:r>
      <w:r>
        <w:rPr>
          <w:rFonts w:hint="eastAsia" w:ascii="宋体" w:hAnsi="宋体" w:cs="Arial"/>
          <w:kern w:val="0"/>
          <w:szCs w:val="21"/>
        </w:rPr>
        <w:t>职务：</w:t>
      </w:r>
      <w:r>
        <w:rPr>
          <w:rFonts w:ascii="宋体" w:hAnsi="宋体" w:cs="Arial"/>
          <w:kern w:val="0"/>
          <w:szCs w:val="21"/>
          <w:u w:val="single"/>
        </w:rPr>
        <w:t xml:space="preserve">                    </w:t>
      </w:r>
    </w:p>
    <w:p>
      <w:pPr>
        <w:widowControl/>
        <w:shd w:val="clear" w:color="auto" w:fill="FFFFFF"/>
        <w:snapToGrid w:val="0"/>
        <w:spacing w:line="360" w:lineRule="auto"/>
        <w:ind w:firstLine="420" w:firstLineChars="200"/>
        <w:jc w:val="left"/>
        <w:rPr>
          <w:rFonts w:ascii="宋体" w:cs="Arial"/>
          <w:kern w:val="0"/>
          <w:szCs w:val="21"/>
        </w:rPr>
      </w:pPr>
      <w:r>
        <w:rPr>
          <w:rFonts w:hint="eastAsia" w:ascii="宋体" w:hAnsi="宋体" w:cs="Arial"/>
          <w:kern w:val="0"/>
          <w:szCs w:val="21"/>
        </w:rPr>
        <w:t>附：法定代表人及授权委托代理人身份证明。</w:t>
      </w:r>
    </w:p>
    <w:p>
      <w:pPr>
        <w:widowControl/>
        <w:shd w:val="clear" w:color="auto" w:fill="FFFFFF"/>
        <w:snapToGrid w:val="0"/>
        <w:spacing w:line="360" w:lineRule="auto"/>
        <w:jc w:val="left"/>
        <w:rPr>
          <w:rFonts w:ascii="宋体" w:cs="Arial"/>
          <w:kern w:val="0"/>
          <w:szCs w:val="21"/>
        </w:rPr>
      </w:pPr>
      <w:r>
        <w:rPr>
          <w:rFonts w:hint="eastAsia" w:ascii="仿宋" w:hAnsi="仿宋" w:eastAsia="仿宋" w:cs="仿宋"/>
          <w:szCs w:val="21"/>
        </w:rPr>
        <mc:AlternateContent>
          <mc:Choice Requires="wps">
            <w:drawing>
              <wp:anchor distT="0" distB="0" distL="114300" distR="114300" simplePos="0" relativeHeight="251662336" behindDoc="0" locked="0" layoutInCell="1" allowOverlap="1">
                <wp:simplePos x="0" y="0"/>
                <wp:positionH relativeFrom="column">
                  <wp:posOffset>2976245</wp:posOffset>
                </wp:positionH>
                <wp:positionV relativeFrom="paragraph">
                  <wp:posOffset>19050</wp:posOffset>
                </wp:positionV>
                <wp:extent cx="2710180" cy="1588770"/>
                <wp:effectExtent l="12700" t="12700" r="20320" b="17780"/>
                <wp:wrapNone/>
                <wp:docPr id="16" name="圆角矩形 16"/>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2398"/>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hint="eastAsia" w:ascii="仿宋" w:hAnsi="仿宋" w:eastAsia="仿宋"/>
                                <w:color w:val="000000"/>
                              </w:rPr>
                            </w:pPr>
                            <w:r>
                              <w:rPr>
                                <w:rFonts w:hint="eastAsia" w:ascii="仿宋" w:hAnsi="仿宋" w:eastAsia="仿宋"/>
                                <w:color w:val="000000"/>
                              </w:rPr>
                              <w:t>法定代表人身份证反面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4.35pt;margin-top:1.5pt;height:125.1pt;width:213.4pt;z-index:251662336;v-text-anchor:middle;mso-width-relative:page;mso-height-relative:page;" filled="f" stroked="t" coordsize="21600,21600" arcsize="0.0239814814814815" o:gfxdata="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J+Mn4XYAAAA&#10;CQEAAA8AAAAAAAAAAQAgAAAAIgAAAGRycy9kb3ducmV2LnhtbFBLAQIUABQAAAAIAIdO4kCvukPE&#10;jwIAAAYFAAAOAAAAAAAAAAEAIAAAACcBAABkcnMvZTJvRG9jLnhtbFBLBQYAAAAABgAGAFkBAAAo&#10;BgAA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hint="eastAsia" w:ascii="仿宋" w:hAnsi="仿宋" w:eastAsia="仿宋"/>
                          <w:color w:val="000000"/>
                        </w:rPr>
                      </w:pPr>
                      <w:r>
                        <w:rPr>
                          <w:rFonts w:hint="eastAsia" w:ascii="仿宋" w:hAnsi="仿宋" w:eastAsia="仿宋"/>
                          <w:color w:val="000000"/>
                        </w:rPr>
                        <w:t>法定代表人身份证反面</w:t>
                      </w:r>
                    </w:p>
                    <w:p>
                      <w:pPr>
                        <w:jc w:val="center"/>
                      </w:pPr>
                    </w:p>
                  </w:txbxContent>
                </v:textbox>
              </v:roundrect>
            </w:pict>
          </mc:Fallback>
        </mc:AlternateContent>
      </w:r>
      <w:r>
        <w:rPr>
          <w:rFonts w:hint="eastAsia" w:ascii="仿宋" w:hAnsi="仿宋" w:eastAsia="仿宋" w:cs="仿宋"/>
          <w:szCs w:val="21"/>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10795</wp:posOffset>
                </wp:positionV>
                <wp:extent cx="2710180" cy="1588770"/>
                <wp:effectExtent l="12700" t="12700" r="20320" b="1778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6.1pt;margin-top:0.85pt;height:125.1pt;width:213.4pt;z-index:251661312;v-text-anchor:middle;mso-width-relative:page;mso-height-relative:page;" filled="f" stroked="t" coordsize="21600,21600" arcsize="0.0403703703703704" o:gfxdata="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A3LtqB0wAAAAgBAAAP&#10;AAAAAAAAAAEAIAAAACIAAABkcnMvZG93bnJldi54bWxQSwECFAAUAAAACACHTuJAfOXys48CAAAG&#10;BQAADgAAAAAAAAABACAAAAAiAQAAZHJzL2Uyb0RvYy54bWxQSwUGAAAAAAYABgBZAQAAIwYAA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法定代表人身份证正面</w:t>
                      </w:r>
                    </w:p>
                    <w:p>
                      <w:pPr>
                        <w:jc w:val="center"/>
                      </w:pPr>
                    </w:p>
                  </w:txbxContent>
                </v:textbox>
              </v:roundrect>
            </w:pict>
          </mc:Fallback>
        </mc:AlternateContent>
      </w:r>
    </w:p>
    <w:p>
      <w:pPr>
        <w:widowControl/>
        <w:shd w:val="clear" w:color="auto" w:fill="FFFFFF"/>
        <w:snapToGrid w:val="0"/>
        <w:spacing w:line="360" w:lineRule="auto"/>
        <w:jc w:val="left"/>
        <w:rPr>
          <w:rFonts w:ascii="宋体" w:cs="Arial"/>
          <w:kern w:val="0"/>
          <w:szCs w:val="21"/>
        </w:rPr>
      </w:pPr>
    </w:p>
    <w:p>
      <w:pPr>
        <w:pStyle w:val="11"/>
        <w:tabs>
          <w:tab w:val="left" w:pos="5580"/>
        </w:tabs>
        <w:spacing w:line="360" w:lineRule="auto"/>
        <w:ind w:firstLine="420" w:firstLineChars="200"/>
        <w:rPr>
          <w:szCs w:val="21"/>
          <w:u w:val="single" w:color="FFFFFF"/>
        </w:rPr>
      </w:pPr>
    </w:p>
    <w:p>
      <w:pPr>
        <w:pStyle w:val="11"/>
        <w:tabs>
          <w:tab w:val="left" w:pos="5580"/>
        </w:tabs>
        <w:spacing w:line="360" w:lineRule="auto"/>
        <w:ind w:firstLine="420" w:firstLineChars="200"/>
        <w:rPr>
          <w:szCs w:val="21"/>
          <w:u w:val="single" w:color="FFFFFF"/>
        </w:rPr>
      </w:pPr>
    </w:p>
    <w:p>
      <w:pPr>
        <w:pStyle w:val="11"/>
        <w:tabs>
          <w:tab w:val="left" w:pos="5580"/>
        </w:tabs>
        <w:spacing w:line="360" w:lineRule="auto"/>
        <w:ind w:firstLine="420" w:firstLineChars="200"/>
        <w:rPr>
          <w:szCs w:val="21"/>
          <w:u w:val="single" w:color="FFFFFF"/>
        </w:rPr>
      </w:pPr>
    </w:p>
    <w:p>
      <w:pPr>
        <w:pStyle w:val="11"/>
        <w:tabs>
          <w:tab w:val="left" w:pos="5580"/>
        </w:tabs>
        <w:spacing w:line="360" w:lineRule="auto"/>
        <w:ind w:firstLine="420" w:firstLineChars="200"/>
        <w:rPr>
          <w:szCs w:val="21"/>
          <w:u w:val="single" w:color="FFFFFF"/>
        </w:rPr>
      </w:pPr>
      <w:r>
        <w:rPr>
          <w:rFonts w:hint="eastAsia" w:ascii="仿宋" w:hAnsi="仿宋" w:eastAsia="仿宋" w:cs="仿宋"/>
          <w:szCs w:val="21"/>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292735</wp:posOffset>
                </wp:positionV>
                <wp:extent cx="2710180" cy="1588770"/>
                <wp:effectExtent l="12700" t="12700" r="20320" b="1778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55pt;margin-top:23.05pt;height:125.1pt;width:213.4pt;z-index:251663360;v-text-anchor:middle;mso-width-relative:page;mso-height-relative:page;" filled="f" stroked="t" coordsize="21600,21600" arcsize="0.0403703703703704" o:gfxdata="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z79pt1gAAAAkB&#10;AAAPAAAAAAAAAAEAIAAAACIAAABkcnMvZG93bnJldi54bWxQSwECFAAUAAAACACHTuJANvF5A48C&#10;AAAGBQAADgAAAAAAAAABACAAAAAlAQAAZHJzL2Uyb0RvYy54bWxQSwUGAAAAAAYABgBZAQAAJgYA&#10;A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r>
                        <w:rPr>
                          <w:rFonts w:hint="eastAsia" w:ascii="仿宋" w:hAnsi="仿宋" w:eastAsia="仿宋"/>
                          <w:color w:val="000000"/>
                        </w:rPr>
                        <w:t>委托代理人身份证正面</w:t>
                      </w:r>
                    </w:p>
                    <w:p>
                      <w:pPr>
                        <w:jc w:val="center"/>
                      </w:pPr>
                    </w:p>
                  </w:txbxContent>
                </v:textbox>
              </v:roundrect>
            </w:pict>
          </mc:Fallback>
        </mc:AlternateContent>
      </w:r>
    </w:p>
    <w:p>
      <w:pPr>
        <w:pStyle w:val="11"/>
        <w:tabs>
          <w:tab w:val="left" w:pos="5580"/>
        </w:tabs>
        <w:spacing w:line="360" w:lineRule="auto"/>
        <w:ind w:firstLine="420" w:firstLineChars="200"/>
        <w:rPr>
          <w:szCs w:val="21"/>
          <w:u w:val="single" w:color="FFFFFF"/>
        </w:rPr>
      </w:pPr>
      <w:r>
        <w:rPr>
          <w:rFonts w:hint="eastAsia" w:ascii="仿宋" w:hAnsi="仿宋" w:eastAsia="仿宋" w:cs="仿宋"/>
          <w:szCs w:val="21"/>
        </w:rPr>
        <mc:AlternateContent>
          <mc:Choice Requires="wps">
            <w:drawing>
              <wp:anchor distT="0" distB="0" distL="114300" distR="114300" simplePos="0" relativeHeight="251664384" behindDoc="0" locked="0" layoutInCell="1" allowOverlap="1">
                <wp:simplePos x="0" y="0"/>
                <wp:positionH relativeFrom="column">
                  <wp:posOffset>2969895</wp:posOffset>
                </wp:positionH>
                <wp:positionV relativeFrom="paragraph">
                  <wp:posOffset>15240</wp:posOffset>
                </wp:positionV>
                <wp:extent cx="2710180" cy="1588770"/>
                <wp:effectExtent l="12700" t="12700" r="20320" b="1778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hint="eastAsia" w:ascii="仿宋" w:hAnsi="仿宋" w:eastAsia="仿宋"/>
                                <w:color w:val="000000"/>
                              </w:rPr>
                            </w:pPr>
                            <w:r>
                              <w:rPr>
                                <w:rFonts w:hint="eastAsia" w:ascii="仿宋" w:hAnsi="仿宋" w:eastAsia="仿宋"/>
                                <w:color w:val="000000"/>
                              </w:rPr>
                              <w:t>委托代理人身份证反面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33.85pt;margin-top:1.2pt;height:125.1pt;width:213.4pt;z-index:251664384;v-text-anchor:middle;mso-width-relative:page;mso-height-relative:page;" filled="f" stroked="t" coordsize="21600,21600" arcsize="0.0403703703703704" o:gfxdata="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NANEsrVAAAACQEA&#10;AA8AAAAAAAAAAQAgAAAAIgAAAGRycy9kb3ducmV2LnhtbFBLAQIUABQAAAAIAIdO4kAiws3EjwIA&#10;AAYFAAAOAAAAAAAAAAEAIAAAACQBAABkcnMvZTJvRG9jLnhtbFBLBQYAAAAABgAGAFkBAAAlBgAA&#10;AAA=&#10;">
                <v:fill on="f" focussize="0,0"/>
                <v:stroke weight="2pt" color="#000000" joinstyle="round"/>
                <v:imagedata o:title=""/>
                <o:lock v:ext="edit" aspectratio="f"/>
                <v:textbox>
                  <w:txbxContent>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ascii="仿宋" w:hAnsi="仿宋" w:eastAsia="仿宋"/>
                          <w:color w:val="000000"/>
                        </w:rPr>
                      </w:pPr>
                    </w:p>
                    <w:p>
                      <w:pPr>
                        <w:pStyle w:val="43"/>
                        <w:spacing w:line="360" w:lineRule="auto"/>
                        <w:ind w:firstLine="0" w:firstLineChars="0"/>
                        <w:jc w:val="center"/>
                        <w:rPr>
                          <w:rFonts w:hint="eastAsia" w:ascii="仿宋" w:hAnsi="仿宋" w:eastAsia="仿宋"/>
                          <w:color w:val="000000"/>
                        </w:rPr>
                      </w:pPr>
                      <w:r>
                        <w:rPr>
                          <w:rFonts w:hint="eastAsia" w:ascii="仿宋" w:hAnsi="仿宋" w:eastAsia="仿宋"/>
                          <w:color w:val="000000"/>
                        </w:rPr>
                        <w:t>委托代理人身份证反面</w:t>
                      </w:r>
                    </w:p>
                    <w:p>
                      <w:pPr>
                        <w:jc w:val="center"/>
                      </w:pPr>
                    </w:p>
                  </w:txbxContent>
                </v:textbox>
              </v:roundrect>
            </w:pict>
          </mc:Fallback>
        </mc:AlternateContent>
      </w:r>
    </w:p>
    <w:p>
      <w:pPr>
        <w:pStyle w:val="11"/>
        <w:tabs>
          <w:tab w:val="left" w:pos="5580"/>
        </w:tabs>
        <w:spacing w:line="360" w:lineRule="auto"/>
        <w:ind w:firstLine="420" w:firstLineChars="200"/>
        <w:rPr>
          <w:szCs w:val="21"/>
          <w:u w:val="single" w:color="FFFFFF"/>
        </w:rPr>
      </w:pPr>
    </w:p>
    <w:p>
      <w:pPr>
        <w:pStyle w:val="11"/>
        <w:tabs>
          <w:tab w:val="left" w:pos="5580"/>
        </w:tabs>
        <w:spacing w:line="360" w:lineRule="auto"/>
        <w:ind w:firstLine="420" w:firstLineChars="200"/>
        <w:rPr>
          <w:szCs w:val="21"/>
          <w:u w:val="single" w:color="FFFFFF"/>
        </w:rPr>
      </w:pPr>
    </w:p>
    <w:p>
      <w:pPr>
        <w:pStyle w:val="11"/>
        <w:tabs>
          <w:tab w:val="left" w:pos="5580"/>
        </w:tabs>
        <w:spacing w:line="360" w:lineRule="auto"/>
        <w:ind w:firstLine="420" w:firstLineChars="200"/>
        <w:rPr>
          <w:szCs w:val="21"/>
          <w:u w:val="single" w:color="FFFFFF"/>
        </w:rPr>
      </w:pPr>
    </w:p>
    <w:p>
      <w:pPr>
        <w:pStyle w:val="11"/>
        <w:tabs>
          <w:tab w:val="left" w:pos="5580"/>
        </w:tabs>
        <w:spacing w:line="360" w:lineRule="auto"/>
        <w:ind w:firstLine="420" w:firstLineChars="200"/>
        <w:rPr>
          <w:szCs w:val="21"/>
          <w:u w:val="single" w:color="FFFFFF"/>
        </w:rPr>
      </w:pPr>
    </w:p>
    <w:p>
      <w:pPr>
        <w:pStyle w:val="11"/>
        <w:tabs>
          <w:tab w:val="left" w:pos="5580"/>
        </w:tabs>
        <w:spacing w:line="360" w:lineRule="auto"/>
        <w:ind w:firstLine="420" w:firstLineChars="200"/>
        <w:rPr>
          <w:szCs w:val="21"/>
          <w:u w:val="single" w:color="FFFFFF"/>
        </w:rPr>
      </w:pPr>
    </w:p>
    <w:p>
      <w:pPr>
        <w:spacing w:line="360" w:lineRule="auto"/>
        <w:ind w:firstLine="630" w:firstLineChars="300"/>
        <w:rPr>
          <w:rFonts w:ascii="宋体" w:hAnsi="宋体" w:cs="宋体"/>
          <w:szCs w:val="21"/>
        </w:rPr>
      </w:pPr>
      <w:r>
        <w:rPr>
          <w:rFonts w:hint="eastAsia" w:ascii="宋体" w:hAnsi="宋体" w:cs="宋体"/>
          <w:szCs w:val="21"/>
        </w:rPr>
        <w:t xml:space="preserve">                        </w:t>
      </w:r>
    </w:p>
    <w:p>
      <w:pPr>
        <w:pStyle w:val="11"/>
        <w:tabs>
          <w:tab w:val="left" w:pos="5580"/>
        </w:tabs>
        <w:spacing w:line="360" w:lineRule="auto"/>
        <w:ind w:firstLine="3150" w:firstLineChars="15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1"/>
        <w:tabs>
          <w:tab w:val="left" w:pos="5580"/>
        </w:tabs>
        <w:spacing w:line="360" w:lineRule="auto"/>
        <w:ind w:firstLine="3150" w:firstLineChars="1500"/>
        <w:rPr>
          <w:szCs w:val="21"/>
          <w:u w:val="single"/>
        </w:rPr>
      </w:pPr>
      <w:r>
        <w:rPr>
          <w:rFonts w:hint="eastAsia"/>
          <w:szCs w:val="21"/>
        </w:rPr>
        <w:t>法定代表人（签章）：</w:t>
      </w:r>
      <w:r>
        <w:rPr>
          <w:rFonts w:hint="eastAsia"/>
          <w:szCs w:val="21"/>
          <w:u w:val="single"/>
        </w:rPr>
        <w:t xml:space="preserve">                               </w:t>
      </w:r>
    </w:p>
    <w:p>
      <w:pPr>
        <w:pStyle w:val="11"/>
        <w:tabs>
          <w:tab w:val="left" w:pos="5580"/>
        </w:tabs>
        <w:spacing w:line="360" w:lineRule="auto"/>
        <w:ind w:firstLine="3150" w:firstLineChars="1500"/>
        <w:rPr>
          <w:rFonts w:cs="宋体"/>
          <w:kern w:val="0"/>
          <w:szCs w:val="21"/>
          <w:u w:val="single"/>
        </w:rPr>
      </w:pP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3150" w:firstLineChars="1500"/>
        <w:rPr>
          <w:szCs w:val="21"/>
          <w:u w:val="single"/>
        </w:rPr>
      </w:pPr>
      <w:r>
        <w:rPr>
          <w:rFonts w:hint="eastAsia"/>
          <w:szCs w:val="21"/>
        </w:rPr>
        <w:t>委托日期</w:t>
      </w:r>
      <w:r>
        <w:rPr>
          <w:rFonts w:hint="eastAsia" w:hAnsi="宋体"/>
          <w:szCs w:val="21"/>
        </w:rPr>
        <w:t>：</w:t>
      </w:r>
      <w:r>
        <w:rPr>
          <w:rFonts w:hint="eastAsia" w:hAnsi="宋体"/>
          <w:szCs w:val="21"/>
          <w:u w:val="single"/>
        </w:rPr>
        <w:t xml:space="preserve">                              </w:t>
      </w:r>
      <w:r>
        <w:rPr>
          <w:rFonts w:hint="eastAsia"/>
          <w:szCs w:val="21"/>
          <w:u w:val="single"/>
        </w:rPr>
        <w:t xml:space="preserve">     </w:t>
      </w:r>
    </w:p>
    <w:p>
      <w:pPr>
        <w:spacing w:line="360" w:lineRule="auto"/>
        <w:ind w:firstLine="3600" w:firstLineChars="1500"/>
        <w:rPr>
          <w:sz w:val="24"/>
          <w:u w:val="single"/>
        </w:rPr>
      </w:pPr>
    </w:p>
    <w:p>
      <w:pPr>
        <w:pStyle w:val="2"/>
      </w:pPr>
    </w:p>
    <w:p>
      <w:pPr>
        <w:pStyle w:val="3"/>
      </w:pPr>
    </w:p>
    <w:p>
      <w:pPr>
        <w:pStyle w:val="3"/>
        <w:ind w:firstLine="0"/>
      </w:pPr>
    </w:p>
    <w:p>
      <w:pPr>
        <w:spacing w:line="360" w:lineRule="auto"/>
        <w:rPr>
          <w:rFonts w:ascii="宋体" w:hAnsi="宋体" w:cs="宋体"/>
          <w:b/>
          <w:bCs/>
          <w:sz w:val="24"/>
          <w:szCs w:val="24"/>
        </w:rPr>
      </w:pPr>
      <w:r>
        <w:rPr>
          <w:rFonts w:hint="eastAsia" w:ascii="宋体" w:hAnsi="宋体" w:cs="宋体"/>
          <w:b/>
          <w:bCs/>
          <w:sz w:val="24"/>
          <w:szCs w:val="24"/>
        </w:rPr>
        <w:t>5.2.5. 无重大违法记录的承诺书</w:t>
      </w:r>
    </w:p>
    <w:p>
      <w:pPr>
        <w:spacing w:line="360" w:lineRule="auto"/>
        <w:rPr>
          <w:rFonts w:ascii="宋体" w:hAnsi="宋体" w:cs="宋体"/>
          <w:sz w:val="24"/>
          <w:szCs w:val="24"/>
        </w:rPr>
      </w:pPr>
    </w:p>
    <w:p>
      <w:pPr>
        <w:spacing w:line="360" w:lineRule="auto"/>
        <w:jc w:val="center"/>
        <w:rPr>
          <w:rFonts w:ascii="宋体" w:hAnsi="宋体" w:cs="宋体"/>
          <w:b/>
          <w:bCs/>
          <w:sz w:val="24"/>
          <w:szCs w:val="24"/>
        </w:rPr>
      </w:pPr>
      <w:r>
        <w:rPr>
          <w:rFonts w:hint="eastAsia" w:ascii="宋体" w:hAnsi="宋体" w:cs="宋体"/>
          <w:b/>
          <w:bCs/>
          <w:sz w:val="24"/>
          <w:szCs w:val="24"/>
        </w:rPr>
        <w:t>参加政府采购活动前3年内</w:t>
      </w:r>
      <w:bookmarkStart w:id="90" w:name="_Toc518923113"/>
      <w:r>
        <w:rPr>
          <w:rFonts w:hint="eastAsia" w:ascii="宋体" w:hAnsi="宋体" w:cs="宋体"/>
          <w:b/>
          <w:bCs/>
          <w:sz w:val="24"/>
          <w:szCs w:val="24"/>
        </w:rPr>
        <w:t>在经营活动中没有重大违法记录的承诺书</w:t>
      </w:r>
      <w:bookmarkEnd w:id="90"/>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Cs w:val="21"/>
        </w:rPr>
      </w:pPr>
      <w:r>
        <w:rPr>
          <w:rFonts w:hint="eastAsia" w:ascii="宋体" w:hAnsi="宋体" w:cs="宋体"/>
          <w:szCs w:val="21"/>
        </w:rPr>
        <w:t>致：（采购人）         ：</w:t>
      </w:r>
    </w:p>
    <w:p>
      <w:pPr>
        <w:spacing w:line="360" w:lineRule="auto"/>
        <w:rPr>
          <w:rFonts w:ascii="宋体" w:hAnsi="宋体" w:cs="宋体"/>
          <w:szCs w:val="21"/>
        </w:rPr>
      </w:pPr>
    </w:p>
    <w:p>
      <w:pPr>
        <w:spacing w:line="360" w:lineRule="auto"/>
        <w:ind w:firstLine="840" w:firstLineChars="400"/>
        <w:rPr>
          <w:rFonts w:ascii="宋体" w:hAnsi="宋体" w:cs="宋体"/>
          <w:szCs w:val="21"/>
        </w:rPr>
      </w:pPr>
      <w:r>
        <w:rPr>
          <w:rFonts w:hint="eastAsia" w:ascii="宋体" w:hAnsi="宋体" w:cs="宋体"/>
          <w:szCs w:val="21"/>
        </w:rPr>
        <w:t>我公司参与</w:t>
      </w:r>
      <w:r>
        <w:rPr>
          <w:rFonts w:hint="eastAsia" w:ascii="宋体" w:hAnsi="宋体" w:cs="宋体"/>
          <w:szCs w:val="21"/>
          <w:u w:val="single"/>
        </w:rPr>
        <w:t xml:space="preserve">                          </w:t>
      </w:r>
      <w:r>
        <w:rPr>
          <w:rFonts w:hint="eastAsia" w:ascii="宋体" w:hAnsi="宋体" w:cs="宋体"/>
          <w:szCs w:val="21"/>
        </w:rPr>
        <w:t>（项目名称、标段号、项目编号）投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pPr>
        <w:spacing w:line="360" w:lineRule="auto"/>
        <w:rPr>
          <w:rFonts w:ascii="宋体" w:hAnsi="宋体" w:cs="宋体"/>
          <w:szCs w:val="21"/>
        </w:rPr>
      </w:pPr>
      <w:r>
        <w:rPr>
          <w:rFonts w:hint="eastAsia" w:ascii="宋体" w:hAnsi="宋体" w:cs="宋体"/>
          <w:szCs w:val="21"/>
        </w:rPr>
        <w:t xml:space="preserve">特此声明  </w:t>
      </w:r>
    </w:p>
    <w:p>
      <w:pPr>
        <w:spacing w:line="360" w:lineRule="auto"/>
        <w:rPr>
          <w:rFonts w:ascii="宋体" w:hAnsi="宋体" w:cs="宋体"/>
          <w:szCs w:val="21"/>
        </w:rPr>
      </w:pPr>
    </w:p>
    <w:p>
      <w:pPr>
        <w:spacing w:line="360" w:lineRule="auto"/>
        <w:rPr>
          <w:rFonts w:ascii="宋体" w:hAnsi="宋体" w:cs="宋体"/>
          <w:szCs w:val="21"/>
        </w:rPr>
      </w:pPr>
    </w:p>
    <w:p>
      <w:pPr>
        <w:pStyle w:val="11"/>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1"/>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说明：1.投标人应按照相关法规规定如实作出说明。</w:t>
      </w:r>
    </w:p>
    <w:p>
      <w:pPr>
        <w:spacing w:line="360" w:lineRule="auto"/>
        <w:ind w:firstLine="630" w:firstLineChars="300"/>
        <w:rPr>
          <w:rFonts w:ascii="宋体" w:hAnsi="宋体" w:cs="宋体"/>
          <w:szCs w:val="21"/>
        </w:rPr>
      </w:pPr>
      <w:r>
        <w:rPr>
          <w:rFonts w:hint="eastAsia" w:ascii="宋体" w:hAnsi="宋体" w:cs="宋体"/>
          <w:szCs w:val="21"/>
        </w:rPr>
        <w:t>2．按照招标文件的规定盖章（自然人投标的无需盖章，需要签字）。</w:t>
      </w:r>
    </w:p>
    <w:p>
      <w:pPr>
        <w:spacing w:line="360" w:lineRule="auto"/>
        <w:ind w:firstLine="630" w:firstLineChars="300"/>
        <w:rPr>
          <w:rFonts w:ascii="宋体" w:hAnsi="宋体" w:cs="宋体"/>
          <w:szCs w:val="21"/>
        </w:rPr>
      </w:pPr>
      <w:r>
        <w:rPr>
          <w:rFonts w:hint="eastAsia" w:ascii="宋体" w:hAnsi="宋体" w:cs="宋体"/>
          <w:szCs w:val="21"/>
        </w:rPr>
        <w:t>3.如果是联合体投标，联合体各方均需提供上述证明。</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p>
    <w:p>
      <w:pPr>
        <w:pStyle w:val="8"/>
        <w:numPr>
          <w:ilvl w:val="0"/>
          <w:numId w:val="0"/>
        </w:numPr>
        <w:rPr>
          <w:rFonts w:hAnsi="宋体"/>
          <w:b/>
          <w:kern w:val="0"/>
          <w:sz w:val="24"/>
        </w:rPr>
      </w:pPr>
    </w:p>
    <w:p>
      <w:pPr>
        <w:pStyle w:val="8"/>
        <w:numPr>
          <w:ilvl w:val="0"/>
          <w:numId w:val="0"/>
        </w:numPr>
      </w:pPr>
    </w:p>
    <w:p>
      <w:pPr>
        <w:rPr>
          <w:rFonts w:ascii="宋体" w:hAnsi="宋体" w:cs="Arial"/>
          <w:b/>
          <w:bCs/>
          <w:kern w:val="0"/>
          <w:sz w:val="24"/>
          <w:szCs w:val="24"/>
        </w:rPr>
      </w:pPr>
      <w:r>
        <w:rPr>
          <w:rFonts w:hint="eastAsia" w:ascii="宋体" w:hAnsi="宋体" w:cs="Arial"/>
          <w:b/>
          <w:bCs/>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5.2.6. 投标人概况</w:t>
      </w:r>
    </w:p>
    <w:p>
      <w:pPr>
        <w:jc w:val="center"/>
        <w:rPr>
          <w:b/>
          <w:bCs/>
          <w:sz w:val="32"/>
          <w:szCs w:val="32"/>
        </w:rPr>
      </w:pPr>
      <w:bookmarkStart w:id="91" w:name="_Toc505078023"/>
      <w:r>
        <w:rPr>
          <w:rFonts w:hint="eastAsia"/>
          <w:b/>
          <w:bCs/>
          <w:sz w:val="32"/>
          <w:szCs w:val="32"/>
        </w:rPr>
        <w:t>投标人概况</w:t>
      </w:r>
      <w:bookmarkEnd w:id="91"/>
    </w:p>
    <w:p>
      <w:pPr>
        <w:spacing w:line="360" w:lineRule="auto"/>
        <w:rPr>
          <w:rFonts w:ascii="宋体" w:hAnsi="宋体" w:cs="宋体"/>
          <w:szCs w:val="21"/>
        </w:rPr>
      </w:pPr>
      <w:r>
        <w:rPr>
          <w:rFonts w:hint="eastAsia" w:ascii="宋体" w:hAnsi="宋体" w:cs="宋体"/>
          <w:szCs w:val="21"/>
        </w:rPr>
        <w:t>1、投标人名称</w:t>
      </w:r>
    </w:p>
    <w:p>
      <w:pPr>
        <w:spacing w:line="360" w:lineRule="auto"/>
        <w:rPr>
          <w:rFonts w:ascii="宋体" w:hAnsi="宋体" w:cs="宋体"/>
          <w:szCs w:val="21"/>
        </w:rPr>
      </w:pPr>
      <w:r>
        <w:rPr>
          <w:rFonts w:hint="eastAsia" w:ascii="宋体" w:hAnsi="宋体" w:cs="宋体"/>
          <w:szCs w:val="21"/>
        </w:rPr>
        <w:t>2、营业执照</w:t>
      </w:r>
    </w:p>
    <w:p>
      <w:pPr>
        <w:spacing w:line="360" w:lineRule="auto"/>
        <w:rPr>
          <w:rFonts w:ascii="宋体" w:hAnsi="宋体" w:cs="宋体"/>
          <w:szCs w:val="21"/>
        </w:rPr>
      </w:pPr>
      <w:r>
        <w:rPr>
          <w:rFonts w:hint="eastAsia" w:ascii="宋体" w:hAnsi="宋体" w:cs="宋体"/>
          <w:szCs w:val="21"/>
        </w:rPr>
        <w:t>3、投标人地址</w:t>
      </w:r>
    </w:p>
    <w:p>
      <w:pPr>
        <w:spacing w:line="360" w:lineRule="auto"/>
        <w:rPr>
          <w:rFonts w:ascii="宋体" w:hAnsi="宋体" w:cs="宋体"/>
          <w:szCs w:val="21"/>
        </w:rPr>
      </w:pPr>
      <w:r>
        <w:rPr>
          <w:rFonts w:hint="eastAsia" w:ascii="宋体" w:hAnsi="宋体" w:cs="宋体"/>
          <w:szCs w:val="21"/>
        </w:rPr>
        <w:t>4、经营范围</w:t>
      </w:r>
    </w:p>
    <w:p>
      <w:pPr>
        <w:spacing w:line="360" w:lineRule="auto"/>
        <w:rPr>
          <w:rFonts w:ascii="宋体" w:hAnsi="宋体" w:cs="宋体"/>
          <w:szCs w:val="21"/>
        </w:rPr>
      </w:pPr>
      <w:r>
        <w:rPr>
          <w:rFonts w:hint="eastAsia" w:ascii="宋体" w:hAnsi="宋体" w:cs="宋体"/>
          <w:szCs w:val="21"/>
        </w:rPr>
        <w:t>5、营业场所</w:t>
      </w:r>
    </w:p>
    <w:p>
      <w:pPr>
        <w:spacing w:line="360" w:lineRule="auto"/>
        <w:rPr>
          <w:rFonts w:ascii="宋体" w:hAnsi="宋体" w:cs="宋体"/>
          <w:szCs w:val="21"/>
        </w:rPr>
      </w:pPr>
      <w:r>
        <w:rPr>
          <w:rFonts w:hint="eastAsia" w:ascii="宋体" w:hAnsi="宋体" w:cs="宋体"/>
          <w:szCs w:val="21"/>
        </w:rPr>
        <w:t>6、单位综合情况一览表</w:t>
      </w:r>
    </w:p>
    <w:p>
      <w:pPr>
        <w:spacing w:line="360" w:lineRule="auto"/>
        <w:rPr>
          <w:rFonts w:ascii="宋体" w:hAnsi="宋体" w:cs="宋体"/>
          <w:b/>
          <w:szCs w:val="21"/>
        </w:rPr>
      </w:pPr>
      <w:r>
        <w:rPr>
          <w:rFonts w:hint="eastAsia" w:ascii="宋体" w:hAnsi="宋体" w:cs="宋体"/>
          <w:szCs w:val="21"/>
        </w:rPr>
        <w:t>注：须附营业执照副本，兽药经营许可证或兽药生产许可证，投标产品的批准文号，投标产品生产商的《兽药GMP证书》，行贿犯罪档案查询告知函、“信用中国”网站（</w:t>
      </w:r>
      <w:r>
        <w:fldChar w:fldCharType="begin"/>
      </w:r>
      <w:r>
        <w:instrText xml:space="preserve"> HYPERLINK "http://www.creditchina.gov.cn/" \t "_blank" </w:instrText>
      </w:r>
      <w:r>
        <w:fldChar w:fldCharType="separate"/>
      </w:r>
      <w:r>
        <w:rPr>
          <w:rFonts w:hint="eastAsia" w:ascii="宋体" w:hAnsi="宋体" w:cs="宋体"/>
          <w:szCs w:val="21"/>
        </w:rPr>
        <w:t>www.creditchina.gov.cn</w:t>
      </w:r>
      <w:r>
        <w:rPr>
          <w:rFonts w:hint="eastAsia" w:ascii="宋体" w:hAnsi="宋体" w:cs="宋体"/>
          <w:szCs w:val="21"/>
        </w:rPr>
        <w:fldChar w:fldCharType="end"/>
      </w:r>
      <w:r>
        <w:rPr>
          <w:rFonts w:hint="eastAsia" w:ascii="宋体" w:hAnsi="宋体" w:cs="宋体"/>
          <w:szCs w:val="21"/>
        </w:rPr>
        <w:t>）截图、中国政府采购网（</w:t>
      </w:r>
      <w:r>
        <w:fldChar w:fldCharType="begin"/>
      </w:r>
      <w:r>
        <w:instrText xml:space="preserve"> HYPERLINK "http://www.ccgp.gov.cn/" \t "_blank" </w:instrText>
      </w:r>
      <w:r>
        <w:fldChar w:fldCharType="separate"/>
      </w:r>
      <w:r>
        <w:rPr>
          <w:rFonts w:hint="eastAsia" w:ascii="宋体" w:hAnsi="宋体" w:cs="宋体"/>
          <w:szCs w:val="21"/>
        </w:rPr>
        <w:t>www.ccgp.gov.cn</w:t>
      </w:r>
      <w:r>
        <w:rPr>
          <w:rFonts w:hint="eastAsia" w:ascii="宋体" w:hAnsi="宋体" w:cs="宋体"/>
          <w:szCs w:val="21"/>
        </w:rPr>
        <w:fldChar w:fldCharType="end"/>
      </w:r>
      <w:r>
        <w:rPr>
          <w:rFonts w:hint="eastAsia" w:ascii="宋体" w:hAnsi="宋体" w:cs="宋体"/>
          <w:szCs w:val="21"/>
        </w:rPr>
        <w:t>）截图等复印件。</w:t>
      </w:r>
      <w:r>
        <w:rPr>
          <w:rFonts w:hint="eastAsia" w:ascii="宋体" w:hAnsi="宋体" w:cs="宋体"/>
          <w:b/>
          <w:szCs w:val="21"/>
        </w:rPr>
        <w:t xml:space="preserve"> </w:t>
      </w:r>
    </w:p>
    <w:p>
      <w:pPr>
        <w:pStyle w:val="8"/>
        <w:numPr>
          <w:ilvl w:val="0"/>
          <w:numId w:val="0"/>
        </w:num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p>
    <w:p>
      <w:pPr>
        <w:rPr>
          <w:rFonts w:ascii="宋体" w:hAnsi="宋体" w:cs="Arial"/>
          <w:b/>
          <w:bCs/>
          <w:kern w:val="0"/>
          <w:sz w:val="24"/>
          <w:szCs w:val="24"/>
        </w:rPr>
      </w:pPr>
      <w:r>
        <w:rPr>
          <w:rFonts w:hint="eastAsia" w:ascii="宋体" w:hAnsi="宋体" w:cs="Arial"/>
          <w:b/>
          <w:bCs/>
          <w:kern w:val="0"/>
          <w:sz w:val="24"/>
          <w:szCs w:val="24"/>
        </w:rPr>
        <w:t>5.2.7. 项目负责人简历表</w:t>
      </w:r>
    </w:p>
    <w:p>
      <w:pPr>
        <w:spacing w:line="360" w:lineRule="auto"/>
        <w:jc w:val="center"/>
        <w:rPr>
          <w:rFonts w:ascii="宋体"/>
          <w:b/>
          <w:bCs/>
          <w:sz w:val="32"/>
          <w:szCs w:val="32"/>
        </w:rPr>
      </w:pPr>
      <w:bookmarkStart w:id="92" w:name="_Toc505078024"/>
    </w:p>
    <w:p>
      <w:pPr>
        <w:spacing w:line="360" w:lineRule="auto"/>
        <w:jc w:val="center"/>
        <w:rPr>
          <w:rFonts w:ascii="宋体"/>
          <w:b/>
          <w:bCs/>
          <w:sz w:val="32"/>
          <w:szCs w:val="32"/>
        </w:rPr>
      </w:pPr>
      <w:r>
        <w:rPr>
          <w:rFonts w:hint="eastAsia" w:ascii="宋体"/>
          <w:b/>
          <w:bCs/>
          <w:sz w:val="32"/>
          <w:szCs w:val="32"/>
        </w:rPr>
        <w:t>项目负责人简历表</w:t>
      </w:r>
    </w:p>
    <w:bookmarkEnd w:id="92"/>
    <w:tbl>
      <w:tblPr>
        <w:tblStyle w:val="2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798"/>
        <w:gridCol w:w="1935"/>
        <w:gridCol w:w="2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880" w:type="dxa"/>
            <w:vAlign w:val="center"/>
          </w:tcPr>
          <w:p>
            <w:pPr>
              <w:rPr>
                <w:rFonts w:ascii="宋体" w:hAnsi="宋体" w:cs="宋体"/>
              </w:rPr>
            </w:pPr>
            <w:r>
              <w:rPr>
                <w:rFonts w:hint="eastAsia" w:ascii="宋体" w:hAnsi="宋体" w:cs="宋体"/>
              </w:rPr>
              <w:t>姓名</w:t>
            </w:r>
          </w:p>
        </w:tc>
        <w:tc>
          <w:tcPr>
            <w:tcW w:w="2798" w:type="dxa"/>
            <w:vAlign w:val="center"/>
          </w:tcPr>
          <w:p>
            <w:pPr>
              <w:rPr>
                <w:rFonts w:ascii="宋体" w:hAnsi="宋体" w:cs="宋体"/>
              </w:rPr>
            </w:pPr>
          </w:p>
        </w:tc>
        <w:tc>
          <w:tcPr>
            <w:tcW w:w="1935" w:type="dxa"/>
            <w:vAlign w:val="center"/>
          </w:tcPr>
          <w:p>
            <w:pPr>
              <w:rPr>
                <w:rFonts w:ascii="宋体" w:hAnsi="宋体" w:cs="宋体"/>
              </w:rPr>
            </w:pPr>
            <w:r>
              <w:rPr>
                <w:rFonts w:hint="eastAsia" w:ascii="宋体" w:hAnsi="宋体" w:cs="宋体"/>
              </w:rPr>
              <w:t>性别</w:t>
            </w:r>
          </w:p>
        </w:tc>
        <w:tc>
          <w:tcPr>
            <w:tcW w:w="263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rPr>
            </w:pPr>
            <w:r>
              <w:rPr>
                <w:rFonts w:hint="eastAsia" w:ascii="宋体" w:hAnsi="宋体" w:cs="宋体"/>
              </w:rPr>
              <w:t>职称</w:t>
            </w:r>
          </w:p>
        </w:tc>
        <w:tc>
          <w:tcPr>
            <w:tcW w:w="2798" w:type="dxa"/>
            <w:vAlign w:val="center"/>
          </w:tcPr>
          <w:p>
            <w:pPr>
              <w:rPr>
                <w:rFonts w:ascii="宋体" w:hAnsi="宋体" w:cs="宋体"/>
              </w:rPr>
            </w:pPr>
          </w:p>
        </w:tc>
        <w:tc>
          <w:tcPr>
            <w:tcW w:w="1935" w:type="dxa"/>
            <w:vAlign w:val="center"/>
          </w:tcPr>
          <w:p>
            <w:pPr>
              <w:rPr>
                <w:rFonts w:ascii="宋体" w:hAnsi="宋体" w:cs="宋体"/>
              </w:rPr>
            </w:pPr>
            <w:r>
              <w:rPr>
                <w:rFonts w:hint="eastAsia" w:ascii="宋体" w:hAnsi="宋体" w:cs="宋体"/>
              </w:rPr>
              <w:t>学历</w:t>
            </w:r>
          </w:p>
        </w:tc>
        <w:tc>
          <w:tcPr>
            <w:tcW w:w="263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rPr>
            </w:pPr>
            <w:r>
              <w:rPr>
                <w:rFonts w:hint="eastAsia" w:ascii="宋体" w:hAnsi="宋体" w:cs="宋体"/>
              </w:rPr>
              <w:t>参加工作时间</w:t>
            </w:r>
          </w:p>
        </w:tc>
        <w:tc>
          <w:tcPr>
            <w:tcW w:w="2798" w:type="dxa"/>
            <w:vAlign w:val="center"/>
          </w:tcPr>
          <w:p>
            <w:pPr>
              <w:rPr>
                <w:rFonts w:ascii="宋体" w:hAnsi="宋体" w:cs="宋体"/>
              </w:rPr>
            </w:pPr>
          </w:p>
        </w:tc>
        <w:tc>
          <w:tcPr>
            <w:tcW w:w="1935" w:type="dxa"/>
            <w:vAlign w:val="center"/>
          </w:tcPr>
          <w:p>
            <w:pPr>
              <w:rPr>
                <w:rFonts w:ascii="宋体" w:hAnsi="宋体" w:cs="宋体"/>
              </w:rPr>
            </w:pPr>
            <w:r>
              <w:rPr>
                <w:rFonts w:hint="eastAsia" w:ascii="宋体" w:hAnsi="宋体" w:cs="宋体"/>
              </w:rPr>
              <w:t>从事项目管理工作年限</w:t>
            </w:r>
          </w:p>
        </w:tc>
        <w:tc>
          <w:tcPr>
            <w:tcW w:w="263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880" w:type="dxa"/>
            <w:vAlign w:val="center"/>
          </w:tcPr>
          <w:p>
            <w:pPr>
              <w:rPr>
                <w:rFonts w:ascii="宋体" w:hAnsi="宋体" w:cs="宋体"/>
              </w:rPr>
            </w:pPr>
            <w:r>
              <w:rPr>
                <w:rFonts w:hint="eastAsia" w:ascii="宋体" w:hAnsi="宋体" w:cs="宋体"/>
              </w:rPr>
              <w:t>专业</w:t>
            </w:r>
          </w:p>
        </w:tc>
        <w:tc>
          <w:tcPr>
            <w:tcW w:w="2798" w:type="dxa"/>
            <w:vAlign w:val="center"/>
          </w:tcPr>
          <w:p>
            <w:pPr>
              <w:rPr>
                <w:rFonts w:ascii="宋体" w:hAnsi="宋体" w:cs="宋体"/>
              </w:rPr>
            </w:pPr>
          </w:p>
        </w:tc>
        <w:tc>
          <w:tcPr>
            <w:tcW w:w="1935" w:type="dxa"/>
            <w:vAlign w:val="center"/>
          </w:tcPr>
          <w:p>
            <w:pPr>
              <w:rPr>
                <w:rFonts w:ascii="宋体" w:hAnsi="宋体" w:cs="宋体"/>
              </w:rPr>
            </w:pPr>
            <w:r>
              <w:rPr>
                <w:rFonts w:hint="eastAsia" w:ascii="宋体" w:hAnsi="宋体" w:cs="宋体"/>
              </w:rPr>
              <w:t>毕业学校</w:t>
            </w:r>
          </w:p>
        </w:tc>
        <w:tc>
          <w:tcPr>
            <w:tcW w:w="263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rPr>
            </w:pPr>
            <w:r>
              <w:rPr>
                <w:rFonts w:hint="eastAsia" w:ascii="宋体" w:hAnsi="宋体" w:cs="宋体"/>
              </w:rPr>
              <w:t>身份证号码</w:t>
            </w:r>
          </w:p>
        </w:tc>
        <w:tc>
          <w:tcPr>
            <w:tcW w:w="2798" w:type="dxa"/>
            <w:vAlign w:val="center"/>
          </w:tcPr>
          <w:p>
            <w:pPr>
              <w:rPr>
                <w:rFonts w:ascii="宋体" w:hAnsi="宋体" w:cs="宋体"/>
              </w:rPr>
            </w:pPr>
          </w:p>
        </w:tc>
        <w:tc>
          <w:tcPr>
            <w:tcW w:w="1935" w:type="dxa"/>
            <w:vAlign w:val="center"/>
          </w:tcPr>
          <w:p>
            <w:pPr>
              <w:rPr>
                <w:rFonts w:ascii="宋体" w:hAnsi="宋体" w:cs="宋体"/>
              </w:rPr>
            </w:pPr>
            <w:r>
              <w:rPr>
                <w:rFonts w:hint="eastAsia" w:ascii="宋体" w:hAnsi="宋体" w:cs="宋体"/>
              </w:rPr>
              <w:t>在公司担任职务</w:t>
            </w:r>
          </w:p>
        </w:tc>
        <w:tc>
          <w:tcPr>
            <w:tcW w:w="263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rPr>
            </w:pPr>
            <w:r>
              <w:rPr>
                <w:rFonts w:hint="eastAsia" w:ascii="宋体" w:hAnsi="宋体" w:cs="宋体"/>
              </w:rPr>
              <w:t>执业资格</w:t>
            </w:r>
          </w:p>
        </w:tc>
        <w:tc>
          <w:tcPr>
            <w:tcW w:w="2798" w:type="dxa"/>
            <w:vAlign w:val="center"/>
          </w:tcPr>
          <w:p>
            <w:pPr>
              <w:rPr>
                <w:rFonts w:ascii="宋体" w:hAnsi="宋体" w:cs="宋体"/>
              </w:rPr>
            </w:pPr>
          </w:p>
        </w:tc>
        <w:tc>
          <w:tcPr>
            <w:tcW w:w="1935" w:type="dxa"/>
            <w:vAlign w:val="center"/>
          </w:tcPr>
          <w:p>
            <w:pPr>
              <w:rPr>
                <w:rFonts w:ascii="宋体" w:hAnsi="宋体" w:cs="宋体"/>
              </w:rPr>
            </w:pPr>
            <w:r>
              <w:rPr>
                <w:rFonts w:hint="eastAsia" w:ascii="宋体" w:hAnsi="宋体" w:cs="宋体"/>
              </w:rPr>
              <w:t>证书编号</w:t>
            </w:r>
          </w:p>
        </w:tc>
        <w:tc>
          <w:tcPr>
            <w:tcW w:w="2639"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880" w:type="dxa"/>
            <w:vAlign w:val="center"/>
          </w:tcPr>
          <w:p>
            <w:pPr>
              <w:rPr>
                <w:rFonts w:ascii="宋体" w:hAnsi="宋体" w:cs="宋体"/>
              </w:rPr>
            </w:pPr>
            <w:r>
              <w:rPr>
                <w:rFonts w:hint="eastAsia" w:ascii="宋体" w:hAnsi="宋体" w:cs="宋体"/>
              </w:rPr>
              <w:t>固定电话</w:t>
            </w:r>
          </w:p>
        </w:tc>
        <w:tc>
          <w:tcPr>
            <w:tcW w:w="2798" w:type="dxa"/>
            <w:vAlign w:val="center"/>
          </w:tcPr>
          <w:p>
            <w:pPr>
              <w:rPr>
                <w:rFonts w:ascii="宋体" w:hAnsi="宋体" w:cs="宋体"/>
              </w:rPr>
            </w:pPr>
          </w:p>
        </w:tc>
        <w:tc>
          <w:tcPr>
            <w:tcW w:w="1935" w:type="dxa"/>
            <w:vAlign w:val="center"/>
          </w:tcPr>
          <w:p>
            <w:pPr>
              <w:rPr>
                <w:rFonts w:ascii="宋体" w:hAnsi="宋体" w:cs="宋体"/>
              </w:rPr>
            </w:pPr>
            <w:r>
              <w:rPr>
                <w:rFonts w:hint="eastAsia" w:ascii="宋体" w:hAnsi="宋体" w:cs="宋体"/>
              </w:rPr>
              <w:t>手机号码</w:t>
            </w:r>
          </w:p>
        </w:tc>
        <w:tc>
          <w:tcPr>
            <w:tcW w:w="2639" w:type="dxa"/>
          </w:tcPr>
          <w:p>
            <w:pPr>
              <w:rPr>
                <w:rFonts w:ascii="宋体" w:hAnsi="宋体" w:cs="宋体"/>
              </w:rPr>
            </w:pPr>
          </w:p>
        </w:tc>
      </w:tr>
    </w:tbl>
    <w:p>
      <w:pPr>
        <w:spacing w:line="360" w:lineRule="auto"/>
        <w:jc w:val="left"/>
        <w:rPr>
          <w:rFonts w:ascii="宋体" w:cs="Arial"/>
          <w:kern w:val="0"/>
          <w:sz w:val="24"/>
          <w:szCs w:val="24"/>
        </w:rPr>
      </w:pPr>
      <w:r>
        <w:rPr>
          <w:rFonts w:hint="eastAsia" w:ascii="宋体" w:hAnsi="宋体"/>
          <w:bCs/>
        </w:rPr>
        <w:t>项目负责人</w:t>
      </w:r>
      <w:r>
        <w:rPr>
          <w:rFonts w:hint="eastAsia" w:ascii="宋体" w:hAnsi="宋体" w:cs="宋体"/>
        </w:rPr>
        <w:t>应附身份证、注册证书或职称证书、</w:t>
      </w:r>
      <w:r>
        <w:rPr>
          <w:rFonts w:hint="eastAsia" w:ascii="宋体" w:hAnsi="宋体"/>
          <w:bCs/>
        </w:rPr>
        <w:t>学历证书等资料</w:t>
      </w:r>
      <w:r>
        <w:rPr>
          <w:rFonts w:hint="eastAsia" w:ascii="宋体" w:hAnsi="宋体" w:cs="宋体"/>
        </w:rPr>
        <w:t>复印件。</w:t>
      </w:r>
    </w:p>
    <w:p>
      <w:pPr>
        <w:widowControl/>
        <w:shd w:val="clear" w:color="auto" w:fill="FFFFFF"/>
        <w:snapToGrid w:val="0"/>
        <w:spacing w:line="384" w:lineRule="auto"/>
        <w:jc w:val="left"/>
        <w:rPr>
          <w:rFonts w:ascii="宋体" w:cs="Arial"/>
          <w:kern w:val="0"/>
          <w:sz w:val="24"/>
          <w:szCs w:val="24"/>
        </w:rPr>
      </w:pPr>
    </w:p>
    <w:p>
      <w:pPr>
        <w:widowControl/>
        <w:shd w:val="clear" w:color="auto" w:fill="FFFFFF"/>
        <w:snapToGrid w:val="0"/>
        <w:spacing w:line="384" w:lineRule="auto"/>
        <w:jc w:val="left"/>
        <w:rPr>
          <w:rFonts w:ascii="宋体" w:cs="Arial"/>
          <w:kern w:val="0"/>
          <w:sz w:val="24"/>
          <w:szCs w:val="24"/>
        </w:rPr>
      </w:pPr>
    </w:p>
    <w:p>
      <w:pPr>
        <w:spacing w:line="440" w:lineRule="exact"/>
        <w:jc w:val="center"/>
        <w:outlineLvl w:val="0"/>
        <w:rPr>
          <w:rFonts w:ascii="宋体" w:cs="Arial"/>
          <w:kern w:val="0"/>
          <w:sz w:val="24"/>
          <w:szCs w:val="24"/>
        </w:rPr>
      </w:pPr>
    </w:p>
    <w:p>
      <w:pPr>
        <w:widowControl/>
        <w:jc w:val="center"/>
        <w:textAlignment w:val="center"/>
        <w:rPr>
          <w:rFonts w:ascii="宋体" w:hAnsi="宋体" w:cs="宋体"/>
          <w:b/>
          <w:sz w:val="30"/>
          <w:szCs w:val="30"/>
        </w:rPr>
      </w:pPr>
      <w:r>
        <w:rPr>
          <w:rFonts w:ascii="宋体" w:cs="Arial"/>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5.2.8. 项目管理服务人员表</w:t>
      </w:r>
    </w:p>
    <w:p>
      <w:pPr>
        <w:spacing w:line="360" w:lineRule="auto"/>
        <w:jc w:val="center"/>
        <w:rPr>
          <w:rFonts w:ascii="宋体"/>
          <w:b/>
          <w:bCs/>
          <w:sz w:val="32"/>
          <w:szCs w:val="32"/>
        </w:rPr>
      </w:pPr>
      <w:bookmarkStart w:id="93" w:name="_Toc505078025"/>
    </w:p>
    <w:p>
      <w:pPr>
        <w:spacing w:line="360" w:lineRule="auto"/>
        <w:jc w:val="center"/>
        <w:rPr>
          <w:rFonts w:ascii="宋体"/>
          <w:b/>
          <w:bCs/>
          <w:sz w:val="32"/>
          <w:szCs w:val="32"/>
        </w:rPr>
      </w:pPr>
      <w:r>
        <w:rPr>
          <w:rFonts w:hint="eastAsia" w:ascii="宋体"/>
          <w:b/>
          <w:bCs/>
          <w:sz w:val="32"/>
          <w:szCs w:val="32"/>
        </w:rPr>
        <w:t>项目管理服务人员表</w:t>
      </w:r>
    </w:p>
    <w:bookmarkEnd w:id="93"/>
    <w:tbl>
      <w:tblPr>
        <w:tblStyle w:val="21"/>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167"/>
        <w:gridCol w:w="1140"/>
        <w:gridCol w:w="1168"/>
        <w:gridCol w:w="1168"/>
        <w:gridCol w:w="1142"/>
        <w:gridCol w:w="1168"/>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65" w:type="dxa"/>
            <w:vAlign w:val="center"/>
          </w:tcPr>
          <w:p>
            <w:pPr>
              <w:jc w:val="center"/>
              <w:rPr>
                <w:rFonts w:ascii="宋体" w:hAnsi="宋体" w:cs="宋体"/>
              </w:rPr>
            </w:pPr>
            <w:r>
              <w:rPr>
                <w:rFonts w:hint="eastAsia" w:ascii="宋体" w:hAnsi="宋体" w:cs="宋体"/>
              </w:rPr>
              <w:t>姓名</w:t>
            </w:r>
          </w:p>
        </w:tc>
        <w:tc>
          <w:tcPr>
            <w:tcW w:w="1167" w:type="dxa"/>
            <w:vAlign w:val="center"/>
          </w:tcPr>
          <w:p>
            <w:pPr>
              <w:jc w:val="center"/>
              <w:rPr>
                <w:rFonts w:ascii="宋体" w:hAnsi="宋体" w:cs="宋体"/>
              </w:rPr>
            </w:pPr>
            <w:r>
              <w:rPr>
                <w:rFonts w:hint="eastAsia" w:ascii="宋体" w:hAnsi="宋体" w:cs="宋体"/>
              </w:rPr>
              <w:t>身份证号码</w:t>
            </w:r>
          </w:p>
        </w:tc>
        <w:tc>
          <w:tcPr>
            <w:tcW w:w="1140" w:type="dxa"/>
            <w:vAlign w:val="center"/>
          </w:tcPr>
          <w:p>
            <w:pPr>
              <w:jc w:val="center"/>
              <w:rPr>
                <w:rFonts w:ascii="宋体" w:hAnsi="宋体" w:cs="宋体"/>
              </w:rPr>
            </w:pPr>
            <w:r>
              <w:rPr>
                <w:rFonts w:hint="eastAsia" w:ascii="宋体" w:hAnsi="宋体" w:cs="宋体"/>
              </w:rPr>
              <w:t>性别</w:t>
            </w:r>
          </w:p>
        </w:tc>
        <w:tc>
          <w:tcPr>
            <w:tcW w:w="1168" w:type="dxa"/>
            <w:vAlign w:val="center"/>
          </w:tcPr>
          <w:p>
            <w:pPr>
              <w:jc w:val="center"/>
              <w:rPr>
                <w:rFonts w:ascii="宋体" w:hAnsi="宋体" w:cs="宋体"/>
              </w:rPr>
            </w:pPr>
            <w:r>
              <w:rPr>
                <w:rFonts w:hint="eastAsia" w:ascii="宋体" w:hAnsi="宋体" w:cs="宋体"/>
              </w:rPr>
              <w:t>职称</w:t>
            </w:r>
          </w:p>
        </w:tc>
        <w:tc>
          <w:tcPr>
            <w:tcW w:w="1168" w:type="dxa"/>
            <w:vAlign w:val="center"/>
          </w:tcPr>
          <w:p>
            <w:pPr>
              <w:jc w:val="center"/>
              <w:rPr>
                <w:rFonts w:ascii="宋体" w:hAnsi="宋体" w:cs="宋体"/>
              </w:rPr>
            </w:pPr>
            <w:r>
              <w:rPr>
                <w:rFonts w:hint="eastAsia" w:ascii="宋体" w:hAnsi="宋体" w:cs="宋体"/>
              </w:rPr>
              <w:t>学历</w:t>
            </w:r>
          </w:p>
        </w:tc>
        <w:tc>
          <w:tcPr>
            <w:tcW w:w="1142" w:type="dxa"/>
            <w:vAlign w:val="center"/>
          </w:tcPr>
          <w:p>
            <w:pPr>
              <w:jc w:val="center"/>
              <w:rPr>
                <w:rFonts w:ascii="宋体" w:hAnsi="宋体" w:cs="宋体"/>
              </w:rPr>
            </w:pPr>
            <w:r>
              <w:rPr>
                <w:rFonts w:hint="eastAsia" w:ascii="宋体" w:hAnsi="宋体" w:cs="宋体"/>
              </w:rPr>
              <w:t>专业</w:t>
            </w:r>
          </w:p>
        </w:tc>
        <w:tc>
          <w:tcPr>
            <w:tcW w:w="1168" w:type="dxa"/>
            <w:vAlign w:val="center"/>
          </w:tcPr>
          <w:p>
            <w:pPr>
              <w:jc w:val="center"/>
              <w:rPr>
                <w:rFonts w:ascii="宋体" w:hAnsi="宋体" w:cs="宋体"/>
              </w:rPr>
            </w:pPr>
            <w:r>
              <w:rPr>
                <w:rFonts w:hint="eastAsia" w:ascii="宋体" w:hAnsi="宋体" w:cs="宋体"/>
              </w:rPr>
              <w:t>从事项目管理年限</w:t>
            </w:r>
          </w:p>
        </w:tc>
        <w:tc>
          <w:tcPr>
            <w:tcW w:w="1136" w:type="dxa"/>
            <w:vAlign w:val="center"/>
          </w:tcPr>
          <w:p>
            <w:pPr>
              <w:jc w:val="center"/>
              <w:rPr>
                <w:rFonts w:ascii="宋体" w:hAnsi="宋体" w:cs="宋体"/>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5" w:type="dxa"/>
          </w:tcPr>
          <w:p>
            <w:pPr>
              <w:rPr>
                <w:rFonts w:ascii="宋体" w:hAnsi="宋体" w:cs="宋体"/>
              </w:rPr>
            </w:pPr>
          </w:p>
        </w:tc>
        <w:tc>
          <w:tcPr>
            <w:tcW w:w="1167" w:type="dxa"/>
          </w:tcPr>
          <w:p>
            <w:pPr>
              <w:rPr>
                <w:rFonts w:ascii="宋体" w:hAnsi="宋体" w:cs="宋体"/>
              </w:rPr>
            </w:pPr>
          </w:p>
        </w:tc>
        <w:tc>
          <w:tcPr>
            <w:tcW w:w="1140" w:type="dxa"/>
          </w:tcPr>
          <w:p>
            <w:pPr>
              <w:rPr>
                <w:rFonts w:ascii="宋体" w:hAnsi="宋体" w:cs="宋体"/>
              </w:rPr>
            </w:pPr>
          </w:p>
        </w:tc>
        <w:tc>
          <w:tcPr>
            <w:tcW w:w="1168" w:type="dxa"/>
          </w:tcPr>
          <w:p>
            <w:pPr>
              <w:rPr>
                <w:rFonts w:ascii="宋体" w:hAnsi="宋体" w:cs="宋体"/>
              </w:rPr>
            </w:pPr>
          </w:p>
        </w:tc>
        <w:tc>
          <w:tcPr>
            <w:tcW w:w="1168" w:type="dxa"/>
          </w:tcPr>
          <w:p>
            <w:pPr>
              <w:rPr>
                <w:rFonts w:ascii="宋体" w:hAnsi="宋体" w:cs="宋体"/>
              </w:rPr>
            </w:pPr>
          </w:p>
        </w:tc>
        <w:tc>
          <w:tcPr>
            <w:tcW w:w="1142" w:type="dxa"/>
          </w:tcPr>
          <w:p>
            <w:pPr>
              <w:rPr>
                <w:rFonts w:ascii="宋体" w:hAnsi="宋体" w:cs="宋体"/>
              </w:rPr>
            </w:pPr>
          </w:p>
        </w:tc>
        <w:tc>
          <w:tcPr>
            <w:tcW w:w="1168" w:type="dxa"/>
          </w:tcPr>
          <w:p>
            <w:pPr>
              <w:rPr>
                <w:rFonts w:ascii="宋体" w:hAnsi="宋体" w:cs="宋体"/>
              </w:rPr>
            </w:pPr>
          </w:p>
        </w:tc>
        <w:tc>
          <w:tcPr>
            <w:tcW w:w="1136" w:type="dxa"/>
          </w:tcPr>
          <w:p>
            <w:pPr>
              <w:rPr>
                <w:rFonts w:ascii="宋体" w:hAnsi="宋体" w:cs="宋体"/>
              </w:rPr>
            </w:pPr>
          </w:p>
        </w:tc>
      </w:tr>
    </w:tbl>
    <w:p>
      <w:pPr>
        <w:ind w:firstLine="420" w:firstLineChars="200"/>
        <w:rPr>
          <w:rFonts w:ascii="宋体" w:hAnsi="宋体"/>
        </w:rPr>
      </w:pPr>
      <w:r>
        <w:rPr>
          <w:rFonts w:hint="eastAsia" w:ascii="宋体" w:hAnsi="宋体"/>
        </w:rPr>
        <w:t>1、项目管理人员应包括：项目工程师、质量管理员、材料管理员、安全管理员、计划管理员、资料员和项目项目负责人需要配备的其他关键人员。</w:t>
      </w:r>
    </w:p>
    <w:p>
      <w:pPr>
        <w:ind w:firstLine="420" w:firstLineChars="200"/>
        <w:rPr>
          <w:rFonts w:ascii="宋体" w:cs="Arial"/>
          <w:kern w:val="0"/>
          <w:sz w:val="24"/>
          <w:szCs w:val="24"/>
        </w:rPr>
      </w:pPr>
      <w:r>
        <w:rPr>
          <w:rFonts w:hint="eastAsia" w:ascii="宋体" w:hAnsi="宋体"/>
        </w:rPr>
        <w:t>2、</w:t>
      </w:r>
      <w:r>
        <w:rPr>
          <w:rFonts w:hint="eastAsia" w:ascii="宋体" w:hAnsi="宋体" w:cs="宋体"/>
        </w:rPr>
        <w:t>上述人员应附身份证、注册证书、职称证书、上岗证或培训证复印件。</w:t>
      </w:r>
    </w:p>
    <w:p>
      <w:pPr>
        <w:widowControl/>
        <w:shd w:val="clear" w:color="auto" w:fill="FFFFFF"/>
        <w:snapToGrid w:val="0"/>
        <w:spacing w:line="384" w:lineRule="auto"/>
        <w:jc w:val="left"/>
        <w:rPr>
          <w:rFonts w:ascii="宋体" w:cs="Arial"/>
          <w:kern w:val="0"/>
          <w:sz w:val="24"/>
          <w:szCs w:val="24"/>
        </w:rPr>
      </w:pPr>
    </w:p>
    <w:p>
      <w:pPr>
        <w:tabs>
          <w:tab w:val="center" w:pos="4832"/>
          <w:tab w:val="left" w:pos="7140"/>
        </w:tabs>
        <w:jc w:val="center"/>
        <w:outlineLvl w:val="1"/>
        <w:rPr>
          <w:rFonts w:ascii="宋体" w:hAnsi="宋体"/>
          <w:sz w:val="24"/>
          <w:szCs w:val="24"/>
        </w:rPr>
      </w:pPr>
      <w:r>
        <w:rPr>
          <w:rFonts w:ascii="宋体" w:cs="Arial"/>
          <w:kern w:val="0"/>
          <w:sz w:val="24"/>
          <w:szCs w:val="24"/>
        </w:rPr>
        <w:br w:type="page"/>
      </w:r>
    </w:p>
    <w:p>
      <w:pPr>
        <w:rPr>
          <w:rFonts w:ascii="宋体" w:hAnsi="宋体" w:cs="Arial"/>
          <w:b/>
          <w:bCs/>
          <w:kern w:val="0"/>
          <w:sz w:val="24"/>
          <w:szCs w:val="24"/>
        </w:rPr>
      </w:pPr>
      <w:r>
        <w:rPr>
          <w:rFonts w:hint="eastAsia" w:ascii="宋体" w:hAnsi="宋体" w:cs="Arial"/>
          <w:b/>
          <w:bCs/>
          <w:kern w:val="0"/>
          <w:sz w:val="24"/>
          <w:szCs w:val="24"/>
        </w:rPr>
        <w:t>5.2.9. 技术条款偏离表</w:t>
      </w:r>
    </w:p>
    <w:p>
      <w:pPr>
        <w:spacing w:line="360" w:lineRule="auto"/>
        <w:jc w:val="center"/>
        <w:rPr>
          <w:rFonts w:ascii="宋体"/>
          <w:b/>
          <w:bCs/>
          <w:sz w:val="32"/>
          <w:szCs w:val="32"/>
        </w:rPr>
      </w:pPr>
      <w:bookmarkStart w:id="94" w:name="_Toc16454"/>
      <w:bookmarkStart w:id="95" w:name="_Toc568"/>
    </w:p>
    <w:p>
      <w:pPr>
        <w:spacing w:line="360" w:lineRule="auto"/>
        <w:jc w:val="center"/>
        <w:rPr>
          <w:rFonts w:ascii="宋体"/>
          <w:b/>
          <w:bCs/>
          <w:sz w:val="32"/>
          <w:szCs w:val="32"/>
        </w:rPr>
      </w:pPr>
      <w:r>
        <w:rPr>
          <w:rFonts w:hint="eastAsia" w:ascii="宋体"/>
          <w:b/>
          <w:bCs/>
          <w:sz w:val="32"/>
          <w:szCs w:val="32"/>
        </w:rPr>
        <w:t>技术条款偏离表</w:t>
      </w:r>
    </w:p>
    <w:p>
      <w:pPr>
        <w:widowControl/>
        <w:spacing w:line="240" w:lineRule="atLeast"/>
        <w:ind w:firstLine="630" w:firstLineChars="300"/>
        <w:jc w:val="left"/>
        <w:rPr>
          <w:rFonts w:ascii="宋体" w:hAnsi="宋体" w:cs="宋体"/>
          <w:kern w:val="0"/>
          <w:szCs w:val="21"/>
        </w:rPr>
      </w:pPr>
      <w:r>
        <w:rPr>
          <w:rFonts w:hint="eastAsia" w:ascii="宋体" w:hAnsi="宋体" w:cs="宋体"/>
          <w:kern w:val="0"/>
          <w:szCs w:val="21"/>
        </w:rPr>
        <w:t>项目名称:                       招标编号:                 标段号:</w:t>
      </w:r>
    </w:p>
    <w:tbl>
      <w:tblPr>
        <w:tblStyle w:val="21"/>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35"/>
        <w:gridCol w:w="910"/>
        <w:gridCol w:w="1133"/>
        <w:gridCol w:w="1133"/>
        <w:gridCol w:w="1133"/>
        <w:gridCol w:w="1133"/>
        <w:gridCol w:w="1133"/>
        <w:gridCol w:w="80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20" w:type="dxa"/>
            <w:vAlign w:val="center"/>
          </w:tcPr>
          <w:p>
            <w:pPr>
              <w:widowControl/>
              <w:spacing w:line="240" w:lineRule="atLeast"/>
              <w:jc w:val="center"/>
              <w:rPr>
                <w:rFonts w:ascii="宋体" w:hAnsi="宋体" w:cs="宋体"/>
                <w:szCs w:val="21"/>
              </w:rPr>
            </w:pPr>
            <w:r>
              <w:rPr>
                <w:rFonts w:hint="eastAsia" w:ascii="宋体" w:hAnsi="宋体" w:cs="宋体"/>
                <w:szCs w:val="21"/>
              </w:rPr>
              <w:t>序号</w:t>
            </w:r>
          </w:p>
        </w:tc>
        <w:tc>
          <w:tcPr>
            <w:tcW w:w="1035" w:type="dxa"/>
            <w:vAlign w:val="center"/>
          </w:tcPr>
          <w:p>
            <w:pPr>
              <w:widowControl/>
              <w:spacing w:line="240" w:lineRule="atLeast"/>
              <w:jc w:val="center"/>
              <w:rPr>
                <w:rFonts w:ascii="宋体" w:hAnsi="宋体" w:cs="宋体"/>
                <w:szCs w:val="21"/>
              </w:rPr>
            </w:pPr>
            <w:r>
              <w:rPr>
                <w:rFonts w:hint="eastAsia" w:ascii="宋体" w:hAnsi="宋体" w:cs="宋体"/>
                <w:szCs w:val="21"/>
              </w:rPr>
              <w:t>名称</w:t>
            </w:r>
          </w:p>
        </w:tc>
        <w:tc>
          <w:tcPr>
            <w:tcW w:w="910" w:type="dxa"/>
            <w:vAlign w:val="center"/>
          </w:tcPr>
          <w:p>
            <w:pPr>
              <w:widowControl/>
              <w:spacing w:line="240" w:lineRule="atLeast"/>
              <w:jc w:val="center"/>
              <w:rPr>
                <w:rFonts w:ascii="宋体" w:hAnsi="宋体" w:cs="宋体"/>
                <w:szCs w:val="21"/>
              </w:rPr>
            </w:pPr>
            <w:r>
              <w:rPr>
                <w:rFonts w:hint="eastAsia" w:ascii="宋体" w:hAnsi="宋体" w:cs="宋体"/>
                <w:szCs w:val="21"/>
              </w:rPr>
              <w:t>单位</w:t>
            </w:r>
          </w:p>
        </w:tc>
        <w:tc>
          <w:tcPr>
            <w:tcW w:w="1133" w:type="dxa"/>
            <w:vAlign w:val="center"/>
          </w:tcPr>
          <w:p>
            <w:pPr>
              <w:widowControl/>
              <w:spacing w:line="240" w:lineRule="atLeast"/>
              <w:jc w:val="center"/>
              <w:rPr>
                <w:rFonts w:ascii="宋体" w:hAnsi="宋体" w:cs="宋体"/>
                <w:szCs w:val="21"/>
              </w:rPr>
            </w:pPr>
            <w:r>
              <w:rPr>
                <w:rFonts w:hint="eastAsia" w:ascii="宋体" w:hAnsi="宋体" w:cs="宋体"/>
                <w:szCs w:val="21"/>
              </w:rPr>
              <w:t>数量</w:t>
            </w:r>
          </w:p>
        </w:tc>
        <w:tc>
          <w:tcPr>
            <w:tcW w:w="1133" w:type="dxa"/>
            <w:vAlign w:val="center"/>
          </w:tcPr>
          <w:p>
            <w:pPr>
              <w:widowControl/>
              <w:spacing w:line="240" w:lineRule="atLeast"/>
              <w:jc w:val="center"/>
              <w:rPr>
                <w:rFonts w:ascii="宋体" w:hAnsi="宋体" w:cs="宋体"/>
                <w:szCs w:val="21"/>
              </w:rPr>
            </w:pPr>
            <w:r>
              <w:rPr>
                <w:rFonts w:hint="eastAsia" w:ascii="宋体" w:hAnsi="宋体" w:cs="宋体"/>
                <w:szCs w:val="21"/>
              </w:rPr>
              <w:t>厂家</w:t>
            </w:r>
          </w:p>
        </w:tc>
        <w:tc>
          <w:tcPr>
            <w:tcW w:w="1133" w:type="dxa"/>
            <w:vAlign w:val="center"/>
          </w:tcPr>
          <w:p>
            <w:pPr>
              <w:widowControl/>
              <w:spacing w:line="240" w:lineRule="atLeast"/>
              <w:jc w:val="center"/>
              <w:rPr>
                <w:rFonts w:ascii="宋体" w:hAnsi="宋体" w:cs="宋体"/>
                <w:szCs w:val="21"/>
              </w:rPr>
            </w:pPr>
            <w:r>
              <w:rPr>
                <w:rFonts w:hint="eastAsia" w:ascii="宋体" w:hAnsi="宋体" w:cs="宋体"/>
                <w:szCs w:val="21"/>
              </w:rPr>
              <w:t>招标文件条款号</w:t>
            </w:r>
          </w:p>
        </w:tc>
        <w:tc>
          <w:tcPr>
            <w:tcW w:w="1133" w:type="dxa"/>
            <w:vAlign w:val="center"/>
          </w:tcPr>
          <w:p>
            <w:pPr>
              <w:widowControl/>
              <w:spacing w:line="240" w:lineRule="atLeast"/>
              <w:jc w:val="center"/>
              <w:rPr>
                <w:rFonts w:ascii="宋体" w:hAnsi="宋体" w:cs="宋体"/>
                <w:szCs w:val="21"/>
              </w:rPr>
            </w:pPr>
            <w:r>
              <w:rPr>
                <w:rFonts w:hint="eastAsia" w:ascii="宋体" w:hAnsi="宋体" w:cs="宋体"/>
                <w:szCs w:val="21"/>
              </w:rPr>
              <w:t>招标规格</w:t>
            </w:r>
          </w:p>
        </w:tc>
        <w:tc>
          <w:tcPr>
            <w:tcW w:w="1133" w:type="dxa"/>
            <w:vAlign w:val="center"/>
          </w:tcPr>
          <w:p>
            <w:pPr>
              <w:widowControl/>
              <w:spacing w:line="240" w:lineRule="atLeast"/>
              <w:jc w:val="center"/>
              <w:rPr>
                <w:rFonts w:ascii="宋体" w:hAnsi="宋体" w:cs="宋体"/>
                <w:szCs w:val="21"/>
              </w:rPr>
            </w:pPr>
            <w:r>
              <w:rPr>
                <w:rFonts w:hint="eastAsia" w:ascii="宋体" w:hAnsi="宋体" w:cs="宋体"/>
                <w:szCs w:val="21"/>
              </w:rPr>
              <w:t>投标规格</w:t>
            </w:r>
          </w:p>
        </w:tc>
        <w:tc>
          <w:tcPr>
            <w:tcW w:w="801" w:type="dxa"/>
            <w:vAlign w:val="center"/>
          </w:tcPr>
          <w:p>
            <w:pPr>
              <w:widowControl/>
              <w:spacing w:line="240" w:lineRule="atLeast"/>
              <w:jc w:val="center"/>
              <w:rPr>
                <w:rFonts w:ascii="宋体" w:hAnsi="宋体" w:cs="宋体"/>
                <w:szCs w:val="21"/>
              </w:rPr>
            </w:pPr>
            <w:r>
              <w:rPr>
                <w:rFonts w:hint="eastAsia" w:ascii="宋体" w:hAnsi="宋体" w:cs="宋体"/>
                <w:szCs w:val="21"/>
              </w:rPr>
              <w:t>偏离</w:t>
            </w:r>
          </w:p>
        </w:tc>
        <w:tc>
          <w:tcPr>
            <w:tcW w:w="795" w:type="dxa"/>
            <w:vAlign w:val="center"/>
          </w:tcPr>
          <w:p>
            <w:pPr>
              <w:widowControl/>
              <w:spacing w:line="240" w:lineRule="atLeast"/>
              <w:jc w:val="cente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0" w:type="dxa"/>
          </w:tcPr>
          <w:p>
            <w:pPr>
              <w:widowControl/>
              <w:spacing w:line="240" w:lineRule="atLeast"/>
              <w:ind w:left="1080" w:leftChars="257" w:hanging="540"/>
              <w:jc w:val="left"/>
              <w:rPr>
                <w:rFonts w:ascii="宋体" w:hAnsi="宋体" w:cs="宋体"/>
                <w:sz w:val="24"/>
              </w:rPr>
            </w:pPr>
          </w:p>
        </w:tc>
        <w:tc>
          <w:tcPr>
            <w:tcW w:w="1035" w:type="dxa"/>
          </w:tcPr>
          <w:p>
            <w:pPr>
              <w:widowControl/>
              <w:spacing w:line="240" w:lineRule="atLeast"/>
              <w:ind w:left="1080" w:leftChars="257" w:hanging="540"/>
              <w:jc w:val="left"/>
              <w:rPr>
                <w:rFonts w:ascii="宋体" w:hAnsi="宋体" w:cs="宋体"/>
                <w:sz w:val="24"/>
              </w:rPr>
            </w:pPr>
          </w:p>
        </w:tc>
        <w:tc>
          <w:tcPr>
            <w:tcW w:w="910"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1133" w:type="dxa"/>
          </w:tcPr>
          <w:p>
            <w:pPr>
              <w:widowControl/>
              <w:spacing w:line="240" w:lineRule="atLeast"/>
              <w:ind w:left="1080" w:leftChars="257" w:hanging="540"/>
              <w:jc w:val="left"/>
              <w:rPr>
                <w:rFonts w:ascii="宋体" w:hAnsi="宋体" w:cs="宋体"/>
                <w:sz w:val="24"/>
              </w:rPr>
            </w:pPr>
          </w:p>
        </w:tc>
        <w:tc>
          <w:tcPr>
            <w:tcW w:w="801" w:type="dxa"/>
          </w:tcPr>
          <w:p>
            <w:pPr>
              <w:widowControl/>
              <w:spacing w:line="240" w:lineRule="atLeast"/>
              <w:ind w:left="1080" w:leftChars="257" w:hanging="540"/>
              <w:jc w:val="left"/>
              <w:rPr>
                <w:rFonts w:ascii="宋体" w:hAnsi="宋体" w:cs="宋体"/>
                <w:sz w:val="24"/>
              </w:rPr>
            </w:pPr>
          </w:p>
        </w:tc>
        <w:tc>
          <w:tcPr>
            <w:tcW w:w="795" w:type="dxa"/>
          </w:tcPr>
          <w:p>
            <w:pPr>
              <w:widowControl/>
              <w:spacing w:line="240" w:lineRule="atLeast"/>
              <w:ind w:left="1080" w:leftChars="257" w:hanging="540"/>
              <w:jc w:val="left"/>
              <w:rPr>
                <w:rFonts w:ascii="宋体" w:hAnsi="宋体" w:cs="宋体"/>
                <w:sz w:val="24"/>
              </w:rPr>
            </w:pPr>
          </w:p>
        </w:tc>
      </w:tr>
    </w:tbl>
    <w:p>
      <w:pPr>
        <w:spacing w:line="360" w:lineRule="auto"/>
        <w:ind w:firstLine="415" w:firstLineChars="198"/>
        <w:jc w:val="left"/>
        <w:rPr>
          <w:rFonts w:ascii="宋体"/>
          <w:szCs w:val="21"/>
        </w:rPr>
      </w:pPr>
      <w:r>
        <w:rPr>
          <w:rFonts w:hint="eastAsia" w:ascii="宋体" w:hAnsi="宋体"/>
          <w:szCs w:val="21"/>
        </w:rPr>
        <w:t>备注：投标人应根据其提供的货物，对照招标文件第四章“技术标准和要求”中的要求，有差异的，则在此表中列明实际响应的内容提要并加以说明，以便查对。本表包括所有的技术响应及差异。无差异说明表示完全响应。</w:t>
      </w:r>
    </w:p>
    <w:p>
      <w:pPr>
        <w:widowControl/>
        <w:shd w:val="clear" w:color="auto" w:fill="FFFFFF"/>
        <w:snapToGrid w:val="0"/>
        <w:spacing w:line="384" w:lineRule="auto"/>
        <w:jc w:val="left"/>
        <w:rPr>
          <w:rFonts w:ascii="宋体" w:cs="Arial"/>
          <w:kern w:val="0"/>
          <w:szCs w:val="21"/>
        </w:rPr>
      </w:pPr>
    </w:p>
    <w:p>
      <w:pPr>
        <w:spacing w:line="360" w:lineRule="auto"/>
        <w:rPr>
          <w:rFonts w:ascii="宋体" w:hAnsi="宋体" w:cs="宋体"/>
          <w:szCs w:val="21"/>
        </w:rPr>
      </w:pPr>
    </w:p>
    <w:p>
      <w:pPr>
        <w:pStyle w:val="11"/>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1"/>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rPr>
          <w:rFonts w:ascii="宋体" w:hAnsi="宋体" w:cs="Arial"/>
          <w:b/>
          <w:bCs/>
          <w:kern w:val="0"/>
          <w:sz w:val="24"/>
          <w:szCs w:val="24"/>
        </w:rPr>
      </w:pPr>
    </w:p>
    <w:p>
      <w:pPr>
        <w:rPr>
          <w:rFonts w:ascii="宋体" w:hAnsi="宋体" w:cs="Arial"/>
          <w:b/>
          <w:bCs/>
          <w:kern w:val="0"/>
          <w:sz w:val="24"/>
          <w:szCs w:val="24"/>
        </w:rPr>
      </w:pPr>
      <w:r>
        <w:rPr>
          <w:rFonts w:hint="eastAsia" w:ascii="宋体" w:hAnsi="宋体" w:cs="Arial"/>
          <w:b/>
          <w:bCs/>
          <w:kern w:val="0"/>
          <w:sz w:val="24"/>
          <w:szCs w:val="24"/>
        </w:rPr>
        <w:t>5.2.10. 商务条款偏离表</w:t>
      </w:r>
    </w:p>
    <w:p>
      <w:pPr>
        <w:spacing w:line="360" w:lineRule="auto"/>
        <w:ind w:firstLine="643" w:firstLineChars="200"/>
        <w:jc w:val="center"/>
        <w:rPr>
          <w:rFonts w:ascii="宋体" w:hAnsi="宋体"/>
          <w:b/>
          <w:bCs/>
          <w:sz w:val="32"/>
          <w:szCs w:val="32"/>
        </w:rPr>
      </w:pPr>
    </w:p>
    <w:p>
      <w:pPr>
        <w:spacing w:line="360" w:lineRule="auto"/>
        <w:ind w:firstLine="643" w:firstLineChars="200"/>
        <w:jc w:val="center"/>
        <w:rPr>
          <w:rFonts w:ascii="宋体"/>
          <w:b/>
          <w:bCs/>
          <w:sz w:val="32"/>
          <w:szCs w:val="32"/>
        </w:rPr>
      </w:pPr>
      <w:r>
        <w:rPr>
          <w:rFonts w:hint="eastAsia" w:ascii="宋体" w:hAnsi="宋体"/>
          <w:b/>
          <w:bCs/>
          <w:sz w:val="32"/>
          <w:szCs w:val="32"/>
        </w:rPr>
        <w:t>商务条款偏离表</w:t>
      </w:r>
    </w:p>
    <w:bookmarkEnd w:id="94"/>
    <w:bookmarkEnd w:id="95"/>
    <w:tbl>
      <w:tblPr>
        <w:tblStyle w:val="21"/>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jc w:val="center"/>
              <w:rPr>
                <w:rFonts w:ascii="宋体" w:cs="宋体"/>
                <w:bCs/>
                <w:szCs w:val="21"/>
              </w:rPr>
            </w:pPr>
            <w:r>
              <w:rPr>
                <w:rFonts w:hint="eastAsia" w:ascii="宋体" w:hAnsi="宋体" w:cs="宋体"/>
                <w:bCs/>
                <w:szCs w:val="21"/>
              </w:rPr>
              <w:t>序号</w:t>
            </w:r>
          </w:p>
        </w:tc>
        <w:tc>
          <w:tcPr>
            <w:tcW w:w="2070" w:type="dxa"/>
            <w:vAlign w:val="center"/>
          </w:tcPr>
          <w:p>
            <w:pPr>
              <w:jc w:val="center"/>
              <w:rPr>
                <w:rFonts w:ascii="宋体" w:cs="宋体"/>
                <w:bCs/>
                <w:szCs w:val="21"/>
              </w:rPr>
            </w:pPr>
            <w:r>
              <w:rPr>
                <w:rFonts w:hint="eastAsia" w:ascii="宋体" w:hAnsi="宋体" w:cs="宋体"/>
                <w:bCs/>
                <w:szCs w:val="21"/>
              </w:rPr>
              <w:t>招标文件条目号</w:t>
            </w:r>
          </w:p>
        </w:tc>
        <w:tc>
          <w:tcPr>
            <w:tcW w:w="2052" w:type="dxa"/>
            <w:vAlign w:val="center"/>
          </w:tcPr>
          <w:p>
            <w:pPr>
              <w:jc w:val="center"/>
              <w:rPr>
                <w:rFonts w:ascii="宋体" w:cs="宋体"/>
                <w:bCs/>
                <w:szCs w:val="21"/>
              </w:rPr>
            </w:pPr>
            <w:r>
              <w:rPr>
                <w:rFonts w:hint="eastAsia" w:ascii="宋体" w:hAnsi="宋体" w:cs="宋体"/>
                <w:bCs/>
                <w:szCs w:val="21"/>
              </w:rPr>
              <w:t>招标文件的商务条款</w:t>
            </w:r>
          </w:p>
        </w:tc>
        <w:tc>
          <w:tcPr>
            <w:tcW w:w="2126" w:type="dxa"/>
            <w:vAlign w:val="center"/>
          </w:tcPr>
          <w:p>
            <w:pPr>
              <w:jc w:val="center"/>
              <w:rPr>
                <w:rFonts w:ascii="宋体" w:cs="宋体"/>
                <w:bCs/>
                <w:szCs w:val="21"/>
              </w:rPr>
            </w:pPr>
            <w:r>
              <w:rPr>
                <w:rFonts w:hint="eastAsia" w:ascii="宋体" w:hAnsi="宋体" w:cs="宋体"/>
                <w:bCs/>
                <w:szCs w:val="21"/>
              </w:rPr>
              <w:t>投标文件的商务条款</w:t>
            </w:r>
          </w:p>
        </w:tc>
        <w:tc>
          <w:tcPr>
            <w:tcW w:w="1985" w:type="dxa"/>
            <w:vAlign w:val="center"/>
          </w:tcPr>
          <w:p>
            <w:pPr>
              <w:jc w:val="center"/>
              <w:rPr>
                <w:rFonts w:ascii="宋体" w:cs="宋体"/>
                <w:bCs/>
                <w:szCs w:val="21"/>
              </w:rPr>
            </w:pPr>
            <w:r>
              <w:rPr>
                <w:rFonts w:hint="eastAsia" w:ascii="宋体" w:hAnsi="宋体" w:cs="宋体"/>
                <w:bCs/>
                <w:szCs w:val="21"/>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投标人须知前附表第3条</w:t>
            </w:r>
          </w:p>
        </w:tc>
        <w:tc>
          <w:tcPr>
            <w:tcW w:w="2052" w:type="dxa"/>
            <w:vAlign w:val="center"/>
          </w:tcPr>
          <w:p>
            <w:pPr>
              <w:pStyle w:val="11"/>
              <w:jc w:val="center"/>
              <w:rPr>
                <w:szCs w:val="21"/>
              </w:rPr>
            </w:pPr>
            <w:r>
              <w:rPr>
                <w:rFonts w:hint="eastAsia"/>
                <w:szCs w:val="21"/>
              </w:rPr>
              <w:t>投标内容</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投标人须知前附表第2条</w:t>
            </w:r>
          </w:p>
        </w:tc>
        <w:tc>
          <w:tcPr>
            <w:tcW w:w="2052" w:type="dxa"/>
            <w:vAlign w:val="center"/>
          </w:tcPr>
          <w:p>
            <w:pPr>
              <w:pStyle w:val="11"/>
              <w:jc w:val="center"/>
              <w:rPr>
                <w:szCs w:val="21"/>
              </w:rPr>
            </w:pPr>
            <w:r>
              <w:rPr>
                <w:rFonts w:hint="eastAsia"/>
                <w:szCs w:val="21"/>
              </w:rPr>
              <w:t>交货期</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投标人须知前附表第2条</w:t>
            </w:r>
          </w:p>
        </w:tc>
        <w:tc>
          <w:tcPr>
            <w:tcW w:w="2052" w:type="dxa"/>
            <w:vAlign w:val="center"/>
          </w:tcPr>
          <w:p>
            <w:pPr>
              <w:pStyle w:val="11"/>
              <w:jc w:val="center"/>
              <w:rPr>
                <w:szCs w:val="21"/>
              </w:rPr>
            </w:pPr>
            <w:r>
              <w:rPr>
                <w:rFonts w:hint="eastAsia"/>
                <w:szCs w:val="21"/>
              </w:rPr>
              <w:t>交货地点</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投标人须知前附表第12条</w:t>
            </w:r>
          </w:p>
        </w:tc>
        <w:tc>
          <w:tcPr>
            <w:tcW w:w="2052" w:type="dxa"/>
            <w:vAlign w:val="center"/>
          </w:tcPr>
          <w:p>
            <w:pPr>
              <w:pStyle w:val="11"/>
              <w:jc w:val="center"/>
              <w:rPr>
                <w:szCs w:val="21"/>
              </w:rPr>
            </w:pPr>
            <w:r>
              <w:rPr>
                <w:rFonts w:hint="eastAsia"/>
                <w:szCs w:val="21"/>
              </w:rPr>
              <w:t>投标有效期</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投标人须知前附表第8条</w:t>
            </w:r>
          </w:p>
        </w:tc>
        <w:tc>
          <w:tcPr>
            <w:tcW w:w="2052" w:type="dxa"/>
            <w:vAlign w:val="center"/>
          </w:tcPr>
          <w:p>
            <w:pPr>
              <w:pStyle w:val="11"/>
              <w:jc w:val="center"/>
              <w:rPr>
                <w:szCs w:val="21"/>
              </w:rPr>
            </w:pPr>
            <w:r>
              <w:rPr>
                <w:rFonts w:hint="eastAsia"/>
                <w:szCs w:val="21"/>
              </w:rPr>
              <w:t>投标保证金</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jc w:val="center"/>
              <w:rPr>
                <w:rFonts w:ascii="宋体" w:cs="宋体"/>
                <w:b/>
                <w:bCs/>
                <w:szCs w:val="21"/>
              </w:rPr>
            </w:pPr>
            <w:r>
              <w:rPr>
                <w:rFonts w:hint="eastAsia" w:ascii="宋体" w:hAnsi="宋体"/>
                <w:szCs w:val="21"/>
              </w:rPr>
              <w:t>投标人须知前附表第2条</w:t>
            </w:r>
          </w:p>
        </w:tc>
        <w:tc>
          <w:tcPr>
            <w:tcW w:w="2052" w:type="dxa"/>
            <w:vAlign w:val="center"/>
          </w:tcPr>
          <w:p>
            <w:pPr>
              <w:pStyle w:val="11"/>
              <w:jc w:val="center"/>
              <w:rPr>
                <w:szCs w:val="21"/>
              </w:rPr>
            </w:pPr>
            <w:r>
              <w:rPr>
                <w:rFonts w:hint="eastAsia"/>
                <w:szCs w:val="21"/>
              </w:rPr>
              <w:t>付款方式</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tcPr>
          <w:p>
            <w:pPr>
              <w:tabs>
                <w:tab w:val="center" w:pos="4832"/>
                <w:tab w:val="left" w:pos="7140"/>
              </w:tabs>
              <w:spacing w:line="360" w:lineRule="auto"/>
              <w:jc w:val="center"/>
              <w:outlineLvl w:val="1"/>
              <w:rPr>
                <w:rFonts w:ascii="宋体" w:hAnsi="宋体"/>
                <w:szCs w:val="21"/>
              </w:rPr>
            </w:pPr>
            <w:r>
              <w:rPr>
                <w:rFonts w:hint="eastAsia" w:ascii="宋体" w:hAnsi="宋体"/>
                <w:szCs w:val="21"/>
              </w:rPr>
              <w:t>第三章投标须知第八节合同条款及格式、第四章技术标准和服务要求第三节 供货服务要求</w:t>
            </w:r>
          </w:p>
        </w:tc>
        <w:tc>
          <w:tcPr>
            <w:tcW w:w="2052" w:type="dxa"/>
            <w:vAlign w:val="center"/>
          </w:tcPr>
          <w:p>
            <w:pPr>
              <w:pStyle w:val="11"/>
              <w:jc w:val="center"/>
              <w:rPr>
                <w:szCs w:val="21"/>
              </w:rPr>
            </w:pPr>
            <w:r>
              <w:rPr>
                <w:rFonts w:hint="eastAsia"/>
                <w:szCs w:val="21"/>
              </w:rPr>
              <w:t>商务要求</w:t>
            </w: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jc w:val="center"/>
              <w:rPr>
                <w:rFonts w:ascii="宋体" w:cs="宋体"/>
                <w:b/>
                <w:bCs/>
                <w:szCs w:val="21"/>
              </w:rPr>
            </w:pPr>
          </w:p>
        </w:tc>
        <w:tc>
          <w:tcPr>
            <w:tcW w:w="2070" w:type="dxa"/>
            <w:vAlign w:val="center"/>
          </w:tcPr>
          <w:p>
            <w:pPr>
              <w:tabs>
                <w:tab w:val="center" w:pos="4832"/>
                <w:tab w:val="left" w:pos="7140"/>
              </w:tabs>
              <w:spacing w:line="360" w:lineRule="auto"/>
              <w:jc w:val="center"/>
              <w:outlineLvl w:val="1"/>
              <w:rPr>
                <w:rFonts w:ascii="宋体" w:hAnsi="宋体"/>
                <w:szCs w:val="21"/>
              </w:rPr>
            </w:pPr>
            <w:r>
              <w:rPr>
                <w:rFonts w:hint="eastAsia" w:ascii="宋体" w:hAnsi="宋体"/>
                <w:szCs w:val="21"/>
              </w:rPr>
              <w:t>其他</w:t>
            </w:r>
          </w:p>
        </w:tc>
        <w:tc>
          <w:tcPr>
            <w:tcW w:w="2052" w:type="dxa"/>
            <w:vAlign w:val="center"/>
          </w:tcPr>
          <w:p>
            <w:pPr>
              <w:pStyle w:val="11"/>
              <w:jc w:val="center"/>
              <w:rPr>
                <w:szCs w:val="21"/>
              </w:rPr>
            </w:pPr>
          </w:p>
        </w:tc>
        <w:tc>
          <w:tcPr>
            <w:tcW w:w="2126" w:type="dxa"/>
          </w:tcPr>
          <w:p>
            <w:pPr>
              <w:jc w:val="center"/>
              <w:rPr>
                <w:rFonts w:ascii="宋体" w:cs="宋体"/>
                <w:b/>
                <w:bCs/>
                <w:szCs w:val="21"/>
              </w:rPr>
            </w:pPr>
          </w:p>
        </w:tc>
        <w:tc>
          <w:tcPr>
            <w:tcW w:w="1985" w:type="dxa"/>
          </w:tcPr>
          <w:p>
            <w:pPr>
              <w:jc w:val="center"/>
              <w:rPr>
                <w:rFonts w:ascii="宋体" w:cs="宋体"/>
                <w:b/>
                <w:bCs/>
                <w:szCs w:val="21"/>
              </w:rPr>
            </w:pPr>
          </w:p>
        </w:tc>
      </w:tr>
    </w:tbl>
    <w:p>
      <w:pPr>
        <w:spacing w:line="360" w:lineRule="auto"/>
        <w:ind w:firstLine="420" w:firstLineChars="200"/>
        <w:jc w:val="left"/>
        <w:rPr>
          <w:rFonts w:ascii="宋体"/>
          <w:szCs w:val="21"/>
        </w:rPr>
      </w:pPr>
      <w:r>
        <w:rPr>
          <w:rFonts w:hint="eastAsia" w:ascii="宋体" w:hAnsi="宋体"/>
          <w:szCs w:val="21"/>
        </w:rPr>
        <w:t>备注：投标人商务条款有差异的，则在此表中列明实际响应的内容提要并加以说明，以便查对。无差异说明表示完全响应。</w:t>
      </w:r>
    </w:p>
    <w:p>
      <w:pPr>
        <w:spacing w:line="360" w:lineRule="auto"/>
        <w:jc w:val="left"/>
        <w:rPr>
          <w:rFonts w:ascii="宋体"/>
          <w:szCs w:val="21"/>
        </w:rPr>
      </w:pPr>
    </w:p>
    <w:p>
      <w:pPr>
        <w:spacing w:line="360" w:lineRule="auto"/>
        <w:rPr>
          <w:rFonts w:ascii="宋体" w:hAnsi="宋体" w:cs="宋体"/>
          <w:szCs w:val="21"/>
        </w:rPr>
      </w:pPr>
    </w:p>
    <w:p>
      <w:pPr>
        <w:pStyle w:val="11"/>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1"/>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spacing w:line="360" w:lineRule="auto"/>
        <w:rPr>
          <w:rFonts w:ascii="宋体" w:hAnsi="宋体" w:cs="宋体"/>
          <w:sz w:val="24"/>
          <w:szCs w:val="24"/>
        </w:rPr>
      </w:pPr>
    </w:p>
    <w:p>
      <w:pPr>
        <w:pStyle w:val="4"/>
        <w:ind w:left="150" w:firstLine="0"/>
      </w:pPr>
    </w:p>
    <w:p>
      <w:pPr>
        <w:pStyle w:val="4"/>
        <w:ind w:left="150" w:firstLine="0"/>
      </w:pPr>
    </w:p>
    <w:p>
      <w:pPr>
        <w:pStyle w:val="4"/>
        <w:ind w:left="150" w:firstLine="0"/>
      </w:pPr>
    </w:p>
    <w:p>
      <w:pPr>
        <w:pStyle w:val="4"/>
        <w:ind w:left="150" w:firstLine="0"/>
      </w:pPr>
    </w:p>
    <w:p>
      <w:pPr>
        <w:rPr>
          <w:rFonts w:ascii="宋体" w:hAnsi="宋体" w:cs="Arial"/>
          <w:b/>
          <w:bCs/>
          <w:kern w:val="0"/>
          <w:sz w:val="24"/>
          <w:szCs w:val="24"/>
        </w:rPr>
      </w:pPr>
      <w:r>
        <w:rPr>
          <w:rFonts w:hint="eastAsia" w:ascii="宋体" w:hAnsi="宋体" w:cs="Arial"/>
          <w:b/>
          <w:bCs/>
          <w:kern w:val="0"/>
          <w:sz w:val="24"/>
          <w:szCs w:val="24"/>
        </w:rPr>
        <w:br w:type="page"/>
      </w:r>
      <w:r>
        <w:rPr>
          <w:rFonts w:hint="eastAsia" w:ascii="宋体" w:hAnsi="宋体" w:cs="Arial"/>
          <w:b/>
          <w:bCs/>
          <w:kern w:val="0"/>
          <w:sz w:val="24"/>
          <w:szCs w:val="24"/>
        </w:rPr>
        <w:t>5.2.11.  反商业贿赂书</w:t>
      </w:r>
    </w:p>
    <w:p>
      <w:pPr>
        <w:spacing w:before="120" w:beforeLines="50" w:after="120" w:afterLines="50" w:line="360" w:lineRule="auto"/>
        <w:jc w:val="center"/>
        <w:rPr>
          <w:rFonts w:ascii="宋体" w:hAnsi="宋体"/>
          <w:b/>
          <w:bCs/>
          <w:sz w:val="32"/>
          <w:szCs w:val="32"/>
        </w:rPr>
      </w:pPr>
    </w:p>
    <w:p>
      <w:pPr>
        <w:spacing w:before="120" w:beforeLines="50" w:after="120" w:afterLines="50" w:line="360" w:lineRule="auto"/>
        <w:jc w:val="center"/>
        <w:rPr>
          <w:rFonts w:ascii="宋体" w:hAnsi="宋体" w:cs="宋体"/>
          <w:b/>
          <w:bCs/>
          <w:sz w:val="32"/>
          <w:szCs w:val="32"/>
        </w:rPr>
      </w:pPr>
      <w:r>
        <w:rPr>
          <w:rFonts w:hint="eastAsia" w:ascii="宋体" w:hAnsi="宋体"/>
          <w:b/>
          <w:bCs/>
          <w:sz w:val="32"/>
          <w:szCs w:val="32"/>
        </w:rPr>
        <w:t>反商业</w:t>
      </w:r>
      <w:r>
        <w:rPr>
          <w:rFonts w:hint="eastAsia" w:ascii="宋体" w:hAnsi="宋体" w:cs="宋体"/>
          <w:b/>
          <w:bCs/>
          <w:sz w:val="32"/>
          <w:szCs w:val="32"/>
        </w:rPr>
        <w:t>贿赂书</w:t>
      </w:r>
    </w:p>
    <w:p>
      <w:pPr>
        <w:pStyle w:val="4"/>
      </w:pPr>
    </w:p>
    <w:p>
      <w:pPr>
        <w:widowControl/>
        <w:spacing w:before="100" w:beforeAutospacing="1" w:after="100" w:afterAutospacing="1" w:line="360" w:lineRule="auto"/>
        <w:ind w:firstLine="420" w:firstLineChars="200"/>
        <w:jc w:val="left"/>
        <w:rPr>
          <w:rFonts w:ascii="宋体" w:hAnsi="宋体" w:cs="宋体"/>
          <w:szCs w:val="21"/>
        </w:rPr>
      </w:pPr>
      <w:r>
        <w:rPr>
          <w:rFonts w:hint="eastAsia" w:ascii="宋体" w:hAnsi="宋体" w:cs="宋体"/>
          <w:szCs w:val="21"/>
        </w:rPr>
        <w:t>我公司承诺在</w:t>
      </w:r>
      <w:r>
        <w:rPr>
          <w:rFonts w:hint="eastAsia" w:ascii="宋体" w:hAnsi="宋体" w:cs="宋体"/>
          <w:szCs w:val="21"/>
          <w:u w:val="single"/>
        </w:rPr>
        <w:t xml:space="preserve">  （项目编号、项目名称、标段号）  </w:t>
      </w:r>
      <w:r>
        <w:rPr>
          <w:rFonts w:hint="eastAsia" w:ascii="宋体" w:hAnsi="宋体" w:cs="宋体"/>
          <w:szCs w:val="21"/>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line="360" w:lineRule="auto"/>
        <w:ind w:firstLine="630" w:firstLineChars="300"/>
        <w:rPr>
          <w:rFonts w:ascii="宋体" w:hAnsi="宋体" w:cs="宋体"/>
          <w:szCs w:val="21"/>
        </w:rPr>
      </w:pPr>
      <w:r>
        <w:rPr>
          <w:rFonts w:hint="eastAsia" w:ascii="宋体" w:hAnsi="宋体" w:cs="宋体"/>
          <w:szCs w:val="21"/>
        </w:rPr>
        <w:t xml:space="preserve">                         </w:t>
      </w:r>
    </w:p>
    <w:p>
      <w:pPr>
        <w:pStyle w:val="11"/>
        <w:tabs>
          <w:tab w:val="left" w:pos="5580"/>
        </w:tabs>
        <w:spacing w:line="360" w:lineRule="auto"/>
        <w:ind w:firstLine="3150" w:firstLineChars="15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1"/>
        <w:tabs>
          <w:tab w:val="left" w:pos="5580"/>
        </w:tabs>
        <w:spacing w:line="360" w:lineRule="auto"/>
        <w:ind w:firstLine="3150" w:firstLineChars="1500"/>
        <w:rPr>
          <w:szCs w:val="21"/>
          <w:u w:val="single"/>
        </w:rPr>
      </w:pPr>
      <w:r>
        <w:rPr>
          <w:rFonts w:hint="eastAsia"/>
          <w:szCs w:val="21"/>
        </w:rPr>
        <w:t>法定代表人（签章）：</w:t>
      </w:r>
      <w:r>
        <w:rPr>
          <w:rFonts w:hint="eastAsia"/>
          <w:szCs w:val="21"/>
          <w:u w:val="single"/>
        </w:rPr>
        <w:t xml:space="preserve">                               </w:t>
      </w:r>
    </w:p>
    <w:p>
      <w:pPr>
        <w:pStyle w:val="11"/>
        <w:tabs>
          <w:tab w:val="left" w:pos="5580"/>
        </w:tabs>
        <w:spacing w:line="360" w:lineRule="auto"/>
        <w:ind w:firstLine="3150" w:firstLineChars="1500"/>
        <w:rPr>
          <w:rFonts w:cs="宋体"/>
          <w:kern w:val="0"/>
          <w:szCs w:val="21"/>
          <w:u w:val="single"/>
        </w:rPr>
      </w:pP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3570" w:firstLineChars="1700"/>
        <w:rPr>
          <w:rFonts w:ascii="宋体" w:hAnsi="宋体" w:cs="宋体"/>
          <w:szCs w:val="21"/>
        </w:rPr>
      </w:pPr>
      <w:r>
        <w:rPr>
          <w:rFonts w:hint="eastAsia"/>
          <w:szCs w:val="21"/>
        </w:rPr>
        <w:t>日期</w:t>
      </w:r>
      <w:r>
        <w:rPr>
          <w:rFonts w:hint="eastAsia" w:hAnsi="宋体"/>
          <w:szCs w:val="21"/>
        </w:rPr>
        <w:t>：</w:t>
      </w:r>
      <w:r>
        <w:rPr>
          <w:rFonts w:hint="eastAsia" w:hAnsi="宋体"/>
          <w:szCs w:val="21"/>
          <w:u w:val="single"/>
        </w:rPr>
        <w:t xml:space="preserve">                           </w:t>
      </w:r>
      <w:r>
        <w:rPr>
          <w:rFonts w:hint="eastAsia"/>
          <w:szCs w:val="21"/>
          <w:u w:val="single"/>
        </w:rPr>
        <w:t xml:space="preserve">         </w:t>
      </w:r>
      <w:r>
        <w:rPr>
          <w:rFonts w:hint="eastAsia" w:hAnsi="宋体"/>
          <w:szCs w:val="21"/>
          <w:u w:val="single"/>
        </w:rPr>
        <w:t xml:space="preserve">   </w:t>
      </w:r>
    </w:p>
    <w:p>
      <w:pPr>
        <w:spacing w:line="360" w:lineRule="auto"/>
        <w:rPr>
          <w:rFonts w:ascii="宋体" w:hAnsi="宋体" w:cs="宋体"/>
          <w:sz w:val="24"/>
          <w:szCs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pStyle w:val="4"/>
        <w:rPr>
          <w:rFonts w:ascii="宋体" w:hAnsi="宋体" w:cs="宋体"/>
          <w:sz w:val="24"/>
        </w:rPr>
      </w:pPr>
    </w:p>
    <w:p>
      <w:pPr>
        <w:widowControl/>
        <w:spacing w:line="360" w:lineRule="auto"/>
        <w:jc w:val="center"/>
        <w:textAlignment w:val="center"/>
        <w:rPr>
          <w:rFonts w:ascii="宋体" w:hAnsi="宋体" w:cs="宋体"/>
          <w:b/>
          <w:sz w:val="24"/>
          <w:szCs w:val="24"/>
        </w:rPr>
      </w:pPr>
      <w:r>
        <w:rPr>
          <w:rFonts w:hint="eastAsia" w:ascii="宋体" w:hAnsi="宋体" w:cs="宋体"/>
          <w:b/>
          <w:sz w:val="24"/>
          <w:szCs w:val="24"/>
        </w:rPr>
        <w:t xml:space="preserve"> </w:t>
      </w: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rPr>
          <w:rFonts w:ascii="宋体" w:hAnsi="宋体" w:cs="宋体"/>
          <w:b/>
          <w:bCs/>
          <w:sz w:val="24"/>
          <w:szCs w:val="24"/>
        </w:rPr>
      </w:pPr>
      <w:r>
        <w:rPr>
          <w:rFonts w:hint="eastAsia" w:ascii="宋体" w:hAnsi="宋体" w:cs="宋体"/>
          <w:b/>
          <w:bCs/>
          <w:kern w:val="0"/>
          <w:sz w:val="24"/>
          <w:szCs w:val="24"/>
        </w:rPr>
        <w:t>5.2.12 中小微企业声明函</w:t>
      </w:r>
    </w:p>
    <w:p>
      <w:pPr>
        <w:widowControl/>
        <w:jc w:val="center"/>
        <w:rPr>
          <w:b/>
          <w:bCs/>
          <w:sz w:val="24"/>
          <w:szCs w:val="24"/>
        </w:rPr>
      </w:pPr>
      <w:bookmarkStart w:id="96" w:name="_Toc37868813"/>
      <w:r>
        <w:rPr>
          <w:rFonts w:hint="eastAsia"/>
          <w:b/>
          <w:bCs/>
          <w:sz w:val="24"/>
          <w:szCs w:val="24"/>
        </w:rPr>
        <w:t>（一）中小企业声明函（货物）</w:t>
      </w:r>
    </w:p>
    <w:p>
      <w:pPr>
        <w:pStyle w:val="8"/>
        <w:numPr>
          <w:ilvl w:val="0"/>
          <w:numId w:val="0"/>
        </w:numPr>
        <w:tabs>
          <w:tab w:val="clear" w:pos="780"/>
        </w:tabs>
        <w:spacing w:before="55" w:line="500" w:lineRule="exact"/>
        <w:ind w:right="355" w:firstLine="440" w:firstLineChars="200"/>
        <w:rPr>
          <w:rFonts w:ascii="宋体" w:hAnsi="宋体" w:eastAsia="宋体"/>
        </w:rPr>
      </w:pPr>
      <w:r>
        <w:rPr>
          <w:rFonts w:hint="eastAsia" w:ascii="宋体" w:hAnsi="宋体" w:eastAsia="宋体"/>
        </w:rPr>
        <w:t>本公司（联合体）郑重声明，根据《政府采购促进中小企业发展管理办法》（财库﹝2020﹞46 号）的规定，本公司（联合体）参加</w:t>
      </w:r>
      <w:r>
        <w:rPr>
          <w:rFonts w:hint="eastAsia" w:ascii="宋体" w:hAnsi="宋体" w:eastAsia="宋体"/>
          <w:u w:val="single"/>
        </w:rPr>
        <w:t xml:space="preserve">  （单位名称）  </w:t>
      </w:r>
      <w:r>
        <w:rPr>
          <w:rFonts w:hint="eastAsia" w:ascii="宋体" w:hAnsi="宋体" w:eastAsia="宋体"/>
        </w:rPr>
        <w:t>的</w:t>
      </w:r>
      <w:r>
        <w:rPr>
          <w:rFonts w:hint="eastAsia" w:ascii="宋体" w:hAnsi="宋体" w:eastAsia="宋体"/>
          <w:u w:val="single"/>
        </w:rPr>
        <w:t xml:space="preserve">  （项目名称） </w:t>
      </w:r>
      <w:r>
        <w:rPr>
          <w:rFonts w:hint="eastAsia" w:ascii="宋体" w:hAnsi="宋体" w:eastAsia="宋体"/>
        </w:rPr>
        <w:t>采购活动，提供的货物全部由符合政策要求的中小企业制造。相关企业（含联合体中的中小企业、签订分包意向协议的中小企业） 的具体情况如下：</w:t>
      </w:r>
    </w:p>
    <w:p>
      <w:pPr>
        <w:pStyle w:val="28"/>
        <w:numPr>
          <w:ilvl w:val="0"/>
          <w:numId w:val="6"/>
        </w:numPr>
        <w:tabs>
          <w:tab w:val="left" w:pos="1083"/>
          <w:tab w:val="left" w:pos="1384"/>
          <w:tab w:val="left" w:pos="4562"/>
          <w:tab w:val="left" w:pos="6803"/>
        </w:tabs>
        <w:spacing w:line="500" w:lineRule="exact"/>
        <w:ind w:right="109" w:firstLine="420"/>
        <w:rPr>
          <w:rFonts w:ascii="宋体" w:hAnsi="宋体"/>
          <w:szCs w:val="21"/>
        </w:rPr>
      </w:pPr>
      <w:r>
        <w:rPr>
          <w:rFonts w:hint="eastAsia" w:ascii="宋体" w:hAnsi="宋体"/>
          <w:szCs w:val="21"/>
          <w:u w:val="single"/>
        </w:rPr>
        <w:t xml:space="preserve"> （ 标 的 名 称 ） </w:t>
      </w:r>
      <w:r>
        <w:rPr>
          <w:rFonts w:hint="eastAsia" w:ascii="宋体" w:hAnsi="宋体"/>
          <w:szCs w:val="21"/>
        </w:rPr>
        <w:t>， 属 于</w:t>
      </w:r>
      <w:r>
        <w:rPr>
          <w:rFonts w:hint="eastAsia" w:ascii="宋体" w:hAnsi="宋体"/>
          <w:szCs w:val="21"/>
          <w:u w:val="single"/>
        </w:rPr>
        <w:t xml:space="preserve"> （ 采 购 文 件 中 明 确 的 所 属 行 业 ） </w:t>
      </w:r>
      <w:r>
        <w:rPr>
          <w:rFonts w:hint="eastAsia" w:ascii="宋体" w:hAnsi="宋体"/>
          <w:szCs w:val="21"/>
        </w:rPr>
        <w:t>行业；制造商为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万元，属于</w:t>
      </w:r>
      <w:r>
        <w:rPr>
          <w:rFonts w:hint="eastAsia" w:ascii="宋体" w:hAnsi="宋体"/>
          <w:szCs w:val="21"/>
          <w:u w:val="single"/>
        </w:rPr>
        <w:t>（中型企业、小型企业、微型企业</w:t>
      </w:r>
      <w:r>
        <w:rPr>
          <w:rFonts w:hint="eastAsia" w:ascii="宋体" w:hAnsi="宋体"/>
          <w:szCs w:val="21"/>
        </w:rPr>
        <w:t>）；</w:t>
      </w:r>
    </w:p>
    <w:p>
      <w:pPr>
        <w:pStyle w:val="28"/>
        <w:numPr>
          <w:ilvl w:val="0"/>
          <w:numId w:val="6"/>
        </w:numPr>
        <w:tabs>
          <w:tab w:val="left" w:pos="1065"/>
          <w:tab w:val="left" w:pos="1083"/>
          <w:tab w:val="left" w:pos="4262"/>
          <w:tab w:val="left" w:pos="6477"/>
        </w:tabs>
        <w:spacing w:line="500" w:lineRule="exact"/>
        <w:ind w:right="109" w:firstLine="420"/>
        <w:rPr>
          <w:rFonts w:ascii="宋体" w:hAnsi="宋体"/>
          <w:szCs w:val="21"/>
        </w:rPr>
      </w:pPr>
      <w:r>
        <w:rPr>
          <w:rFonts w:hint="eastAsia" w:ascii="宋体" w:hAnsi="宋体"/>
          <w:szCs w:val="21"/>
          <w:u w:val="single"/>
        </w:rPr>
        <w:t xml:space="preserve">   （标的名称）  </w:t>
      </w:r>
      <w:r>
        <w:rPr>
          <w:rFonts w:hint="eastAsia" w:ascii="宋体" w:hAnsi="宋体"/>
          <w:szCs w:val="21"/>
        </w:rPr>
        <w:t>，属于</w:t>
      </w:r>
      <w:r>
        <w:rPr>
          <w:rFonts w:hint="eastAsia" w:ascii="宋体" w:hAnsi="宋体"/>
          <w:szCs w:val="21"/>
          <w:u w:val="single"/>
        </w:rPr>
        <w:t>（采购文件中明确的所属行业）</w:t>
      </w:r>
      <w:r>
        <w:rPr>
          <w:rFonts w:hint="eastAsia" w:ascii="宋体" w:hAnsi="宋体"/>
          <w:szCs w:val="21"/>
        </w:rPr>
        <w:t>行业；制造商为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rPr>
        <w:t>人，营业收入为</w:t>
      </w:r>
      <w:r>
        <w:rPr>
          <w:rFonts w:hint="eastAsia"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hint="eastAsia" w:ascii="宋体" w:hAnsi="宋体"/>
          <w:szCs w:val="21"/>
        </w:rPr>
        <w:t>万</w:t>
      </w:r>
      <w:r>
        <w:rPr>
          <w:rStyle w:val="27"/>
          <w:rFonts w:hint="eastAsia" w:ascii="宋体" w:hAnsi="宋体"/>
          <w:szCs w:val="21"/>
        </w:rPr>
        <w:footnoteReference w:id="0"/>
      </w:r>
      <w:r>
        <w:rPr>
          <w:rFonts w:hint="eastAsia" w:ascii="宋体" w:hAnsi="宋体"/>
          <w:szCs w:val="21"/>
        </w:rPr>
        <w:t>元，属于</w:t>
      </w:r>
      <w:r>
        <w:rPr>
          <w:rFonts w:hint="eastAsia" w:ascii="宋体" w:hAnsi="宋体"/>
          <w:szCs w:val="21"/>
          <w:u w:val="single"/>
        </w:rPr>
        <w:t>（中型企业、小型企业、微型企业）</w:t>
      </w:r>
      <w:r>
        <w:rPr>
          <w:rFonts w:hint="eastAsia" w:ascii="宋体" w:hAnsi="宋体"/>
          <w:szCs w:val="21"/>
        </w:rPr>
        <w:t>；</w:t>
      </w:r>
    </w:p>
    <w:p>
      <w:pPr>
        <w:pStyle w:val="8"/>
        <w:numPr>
          <w:ilvl w:val="0"/>
          <w:numId w:val="0"/>
        </w:numPr>
        <w:spacing w:line="500" w:lineRule="exact"/>
        <w:ind w:left="330"/>
        <w:rPr>
          <w:rFonts w:ascii="宋体" w:hAnsi="宋体" w:eastAsia="宋体"/>
        </w:rPr>
      </w:pPr>
      <w:r>
        <w:rPr>
          <w:rFonts w:hint="eastAsia" w:ascii="宋体" w:hAnsi="宋体" w:eastAsia="宋体"/>
        </w:rPr>
        <w:t>……</w:t>
      </w:r>
    </w:p>
    <w:p>
      <w:pPr>
        <w:pStyle w:val="8"/>
        <w:numPr>
          <w:ilvl w:val="0"/>
          <w:numId w:val="0"/>
        </w:numPr>
        <w:tabs>
          <w:tab w:val="clear" w:pos="780"/>
        </w:tabs>
        <w:spacing w:before="105" w:line="500" w:lineRule="exact"/>
        <w:ind w:right="357" w:firstLine="440" w:firstLineChars="200"/>
        <w:rPr>
          <w:rFonts w:ascii="宋体" w:hAnsi="宋体" w:eastAsia="宋体"/>
        </w:rPr>
      </w:pPr>
      <w:r>
        <w:rPr>
          <w:rFonts w:hint="eastAsia" w:ascii="宋体" w:hAnsi="宋体" w:eastAsia="宋体"/>
        </w:rPr>
        <w:t>以上企业，不属于大企业的分支机构，不存在控股股东为大企业的情形，也不存在与大企业的负责人为同一人的情形。</w:t>
      </w:r>
    </w:p>
    <w:p>
      <w:pPr>
        <w:pStyle w:val="8"/>
        <w:numPr>
          <w:ilvl w:val="0"/>
          <w:numId w:val="0"/>
        </w:numPr>
        <w:tabs>
          <w:tab w:val="clear" w:pos="780"/>
        </w:tabs>
        <w:spacing w:line="500" w:lineRule="exact"/>
        <w:ind w:right="312" w:firstLine="440" w:firstLineChars="200"/>
        <w:rPr>
          <w:rFonts w:ascii="宋体" w:hAnsi="宋体" w:eastAsia="宋体"/>
        </w:rPr>
      </w:pPr>
      <w:r>
        <w:rPr>
          <w:rFonts w:hint="eastAsia" w:ascii="宋体" w:hAnsi="宋体" w:eastAsia="宋体"/>
        </w:rPr>
        <w:t>本企业对上述声明内容的真实性负责。如有虚假，将依法承担相应责任。</w:t>
      </w:r>
    </w:p>
    <w:p>
      <w:pPr>
        <w:pStyle w:val="8"/>
        <w:numPr>
          <w:ilvl w:val="0"/>
          <w:numId w:val="0"/>
        </w:numPr>
        <w:tabs>
          <w:tab w:val="clear" w:pos="780"/>
        </w:tabs>
        <w:spacing w:before="35" w:line="500" w:lineRule="exact"/>
        <w:ind w:left="1050" w:leftChars="500" w:right="2106" w:firstLine="3960" w:firstLineChars="1800"/>
        <w:rPr>
          <w:rFonts w:ascii="宋体" w:hAnsi="宋体" w:eastAsia="宋体"/>
        </w:rPr>
      </w:pPr>
      <w:r>
        <w:rPr>
          <w:rFonts w:hint="eastAsia" w:ascii="宋体" w:hAnsi="宋体" w:eastAsia="宋体"/>
        </w:rPr>
        <w:t>企业名称（盖章）：</w:t>
      </w:r>
    </w:p>
    <w:p>
      <w:pPr>
        <w:pStyle w:val="8"/>
        <w:numPr>
          <w:ilvl w:val="0"/>
          <w:numId w:val="0"/>
        </w:numPr>
        <w:tabs>
          <w:tab w:val="clear" w:pos="780"/>
        </w:tabs>
        <w:spacing w:before="35" w:line="500" w:lineRule="exact"/>
        <w:ind w:left="5040" w:leftChars="2400" w:right="2106"/>
        <w:rPr>
          <w:rFonts w:ascii="宋体" w:hAnsi="宋体" w:eastAsia="宋体"/>
        </w:rPr>
      </w:pPr>
      <w:r>
        <w:rPr>
          <w:rFonts w:hint="eastAsia" w:ascii="宋体" w:hAnsi="宋体" w:eastAsia="宋体"/>
        </w:rPr>
        <w:t>日期：</w:t>
      </w:r>
    </w:p>
    <w:p>
      <w:pPr>
        <w:spacing w:before="149" w:after="87" w:line="360" w:lineRule="auto"/>
        <w:rPr>
          <w:rFonts w:ascii="宋体" w:hAnsi="宋体"/>
          <w:szCs w:val="21"/>
        </w:rPr>
      </w:pPr>
      <w:r>
        <w:rPr>
          <w:rFonts w:ascii="宋体" w:hAnsi="宋体"/>
          <w:szCs w:val="21"/>
        </w:rPr>
        <w:t>注</w:t>
      </w:r>
      <w:r>
        <w:rPr>
          <w:rFonts w:hint="eastAsia" w:ascii="宋体" w:hAnsi="宋体"/>
          <w:szCs w:val="21"/>
        </w:rPr>
        <w:t>：1.</w:t>
      </w:r>
      <w:r>
        <w:rPr>
          <w:rFonts w:ascii="宋体" w:hAnsi="宋体"/>
          <w:szCs w:val="21"/>
        </w:rPr>
        <w:t>从业人员、营业收入、资产总额填报上一年度数据，无上一年度数据的新成立企业可不填报</w:t>
      </w:r>
    </w:p>
    <w:p>
      <w:pPr>
        <w:spacing w:before="149" w:after="87" w:line="360" w:lineRule="auto"/>
        <w:ind w:firstLine="422" w:firstLineChars="200"/>
        <w:rPr>
          <w:rFonts w:ascii="宋体" w:hAnsi="宋体"/>
          <w:b/>
          <w:spacing w:val="-1"/>
          <w:sz w:val="18"/>
          <w:szCs w:val="18"/>
        </w:rPr>
      </w:pPr>
      <w:r>
        <w:rPr>
          <w:rFonts w:hint="eastAsia" w:ascii="宋体" w:hAnsi="宋体"/>
          <w:b/>
          <w:szCs w:val="21"/>
        </w:rPr>
        <w:t>2.中、小、微企业投标的请正确填写中小企业声明函，如填写错误或未填报或缺项、漏项则不享受《政府采购促进中小企业发展管理办法》规定的企业扶持政策，评审时造成的资格审查不通过或价格评审时的价格扣除不予认定等后果，由投标人自行承担。提交中小企业声明函并中标的，随中标（成交）结果公告一同公示。供应商按照《政府采购促进中小企业发展管理办法》规定提供声明函内容不实的，属于提供虚假材料谋取中标、成交，依照《中华人民共和国政府采购法》等国家有关规定追究相应责任。</w:t>
      </w:r>
    </w:p>
    <w:p>
      <w:pPr>
        <w:widowControl/>
        <w:spacing w:before="8"/>
        <w:jc w:val="left"/>
        <w:rPr>
          <w:rFonts w:ascii="宋体" w:hAnsi="宋体" w:cs="宋体"/>
          <w:kern w:val="0"/>
          <w:szCs w:val="21"/>
        </w:rPr>
      </w:pPr>
    </w:p>
    <w:p>
      <w:pPr>
        <w:widowControl/>
        <w:spacing w:before="8"/>
        <w:jc w:val="left"/>
        <w:rPr>
          <w:rFonts w:ascii="宋体" w:hAnsi="宋体" w:cs="宋体"/>
          <w:kern w:val="0"/>
          <w:szCs w:val="21"/>
        </w:rPr>
      </w:pPr>
    </w:p>
    <w:p>
      <w:pPr>
        <w:widowControl/>
        <w:spacing w:before="94"/>
        <w:jc w:val="center"/>
        <w:rPr>
          <w:rFonts w:ascii="宋体" w:hAnsi="宋体" w:cs="宋体"/>
          <w:kern w:val="0"/>
          <w:sz w:val="18"/>
          <w:szCs w:val="18"/>
        </w:rPr>
      </w:pPr>
    </w:p>
    <w:p>
      <w:pPr>
        <w:pStyle w:val="8"/>
        <w:numPr>
          <w:ilvl w:val="0"/>
          <w:numId w:val="0"/>
        </w:numPr>
        <w:ind w:left="350"/>
        <w:rPr>
          <w:rFonts w:ascii="宋体" w:hAnsi="宋体" w:cs="宋体"/>
          <w:kern w:val="0"/>
          <w:sz w:val="18"/>
          <w:szCs w:val="18"/>
        </w:rPr>
      </w:pPr>
    </w:p>
    <w:p>
      <w:pPr>
        <w:pStyle w:val="9"/>
        <w:ind w:left="5250"/>
      </w:pPr>
    </w:p>
    <w:p>
      <w:pPr>
        <w:widowControl/>
        <w:jc w:val="center"/>
        <w:rPr>
          <w:b/>
          <w:bCs/>
          <w:sz w:val="24"/>
          <w:szCs w:val="24"/>
        </w:rPr>
      </w:pPr>
      <w:bookmarkStart w:id="97" w:name="_Toc37868812"/>
      <w:r>
        <w:rPr>
          <w:rFonts w:hint="eastAsia"/>
          <w:b/>
          <w:bCs/>
          <w:sz w:val="24"/>
          <w:szCs w:val="24"/>
        </w:rPr>
        <w:t>（二）</w:t>
      </w:r>
      <w:r>
        <w:rPr>
          <w:b/>
          <w:bCs/>
          <w:sz w:val="24"/>
          <w:szCs w:val="24"/>
        </w:rPr>
        <w:t>投标人</w:t>
      </w:r>
      <w:r>
        <w:rPr>
          <w:rFonts w:hint="eastAsia"/>
          <w:b/>
          <w:bCs/>
          <w:sz w:val="24"/>
          <w:szCs w:val="24"/>
        </w:rPr>
        <w:t>监狱企业</w:t>
      </w:r>
      <w:r>
        <w:rPr>
          <w:b/>
          <w:bCs/>
          <w:sz w:val="24"/>
          <w:szCs w:val="24"/>
        </w:rPr>
        <w:t>声明函</w:t>
      </w:r>
      <w:bookmarkEnd w:id="97"/>
    </w:p>
    <w:p>
      <w:pPr>
        <w:spacing w:line="360" w:lineRule="auto"/>
        <w:ind w:left="1080" w:leftChars="257" w:hanging="540"/>
        <w:jc w:val="center"/>
        <w:rPr>
          <w:rFonts w:ascii="宋体" w:hAnsi="宋体"/>
          <w:b/>
          <w:kern w:val="0"/>
          <w:sz w:val="24"/>
          <w:szCs w:val="20"/>
        </w:rPr>
      </w:pPr>
    </w:p>
    <w:p>
      <w:pPr>
        <w:widowControl/>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）郑重声明下</w:t>
      </w:r>
      <w:r>
        <w:rPr>
          <w:rFonts w:hint="eastAsia" w:ascii="宋体" w:hAnsi="宋体" w:cs="宋体"/>
          <w:kern w:val="0"/>
          <w:szCs w:val="21"/>
        </w:rPr>
        <w:t>列事项（按照</w:t>
      </w:r>
      <w:r>
        <w:rPr>
          <w:rFonts w:ascii="宋体" w:hAnsi="宋体" w:cs="宋体"/>
          <w:kern w:val="0"/>
          <w:szCs w:val="21"/>
        </w:rPr>
        <w:t>实际情况勾选或</w:t>
      </w:r>
      <w:r>
        <w:rPr>
          <w:rFonts w:hint="eastAsia" w:ascii="宋体" w:hAnsi="宋体" w:cs="宋体"/>
          <w:kern w:val="0"/>
          <w:szCs w:val="21"/>
        </w:rPr>
        <w:t>填空）：</w:t>
      </w:r>
    </w:p>
    <w:p>
      <w:pPr>
        <w:widowControl/>
        <w:spacing w:before="100" w:beforeAutospacing="1" w:after="100" w:afterAutospacing="1" w:line="360" w:lineRule="auto"/>
        <w:ind w:firstLine="420" w:firstLineChars="200"/>
        <w:jc w:val="left"/>
        <w:rPr>
          <w:rFonts w:ascii="宋体" w:hAnsi="宋体" w:cs="宋体"/>
          <w:kern w:val="0"/>
          <w:szCs w:val="21"/>
        </w:rPr>
      </w:pPr>
      <w:r>
        <w:rPr>
          <w:rFonts w:ascii="宋体" w:hAnsi="宋体" w:cs="宋体"/>
          <w:kern w:val="0"/>
          <w:szCs w:val="21"/>
        </w:rPr>
        <w:t>本</w:t>
      </w:r>
      <w:r>
        <w:rPr>
          <w:rFonts w:hint="eastAsia" w:ascii="宋体" w:hAnsi="宋体" w:cs="宋体"/>
          <w:kern w:val="0"/>
          <w:szCs w:val="21"/>
        </w:rPr>
        <w:t>企业（单位）为直接投标人，</w:t>
      </w:r>
      <w:r>
        <w:rPr>
          <w:rFonts w:ascii="宋体" w:hAnsi="宋体" w:cs="宋体"/>
          <w:kern w:val="0"/>
          <w:szCs w:val="21"/>
        </w:rPr>
        <w:t>提供本企业</w:t>
      </w:r>
      <w:r>
        <w:rPr>
          <w:rFonts w:hint="eastAsia" w:ascii="宋体" w:hAnsi="宋体" w:cs="宋体"/>
          <w:kern w:val="0"/>
          <w:szCs w:val="21"/>
        </w:rPr>
        <w:t>（单位）服务。</w:t>
      </w:r>
    </w:p>
    <w:p>
      <w:pPr>
        <w:widowControl/>
        <w:spacing w:before="100" w:beforeAutospacing="1" w:after="100" w:afterAutospacing="1" w:line="360" w:lineRule="auto"/>
        <w:ind w:firstLine="315" w:firstLineChars="15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）监狱企业。</w:t>
      </w:r>
      <w:r>
        <w:rPr>
          <w:rFonts w:hint="eastAsia" w:ascii="宋体" w:hAnsi="宋体" w:cs="宋体"/>
          <w:kern w:val="0"/>
          <w:szCs w:val="21"/>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w:t>
      </w:r>
      <w:r>
        <w:rPr>
          <w:rFonts w:ascii="宋体" w:hAnsi="宋体" w:cs="宋体"/>
          <w:kern w:val="0"/>
          <w:szCs w:val="21"/>
        </w:rPr>
        <w:t>本</w:t>
      </w:r>
      <w:r>
        <w:rPr>
          <w:rFonts w:hint="eastAsia" w:ascii="宋体" w:hAnsi="宋体" w:cs="宋体"/>
          <w:kern w:val="0"/>
          <w:szCs w:val="21"/>
        </w:rPr>
        <w:t>企业（单位）</w:t>
      </w:r>
      <w:r>
        <w:rPr>
          <w:rFonts w:hint="eastAsia" w:ascii="宋体" w:hAnsi="宋体" w:cs="宋体"/>
          <w:kern w:val="0"/>
          <w:szCs w:val="21"/>
          <w:u w:val="single"/>
        </w:rPr>
        <w:t xml:space="preserve">        </w:t>
      </w:r>
      <w:r>
        <w:rPr>
          <w:rFonts w:ascii="宋体" w:hAnsi="宋体" w:cs="宋体"/>
          <w:kern w:val="0"/>
          <w:szCs w:val="21"/>
        </w:rPr>
        <w:t>（请填写：</w:t>
      </w:r>
      <w:r>
        <w:rPr>
          <w:rFonts w:hint="eastAsia" w:ascii="宋体" w:hAnsi="宋体" w:cs="宋体"/>
          <w:kern w:val="0"/>
          <w:szCs w:val="21"/>
        </w:rPr>
        <w:t>是、不是</w:t>
      </w:r>
      <w:r>
        <w:rPr>
          <w:rFonts w:ascii="宋体" w:hAnsi="宋体" w:cs="宋体"/>
          <w:kern w:val="0"/>
          <w:szCs w:val="21"/>
        </w:rPr>
        <w:t>）</w:t>
      </w:r>
      <w:r>
        <w:rPr>
          <w:rFonts w:hint="eastAsia" w:ascii="宋体" w:hAnsi="宋体" w:cs="宋体"/>
          <w:kern w:val="0"/>
          <w:szCs w:val="21"/>
        </w:rPr>
        <w:t>为联合体一方，</w:t>
      </w:r>
      <w:r>
        <w:rPr>
          <w:rFonts w:ascii="宋体" w:hAnsi="宋体" w:cs="宋体"/>
          <w:kern w:val="0"/>
          <w:szCs w:val="21"/>
        </w:rPr>
        <w:t>提供本企业</w:t>
      </w:r>
      <w:r>
        <w:rPr>
          <w:rFonts w:hint="eastAsia" w:ascii="宋体" w:hAnsi="宋体" w:cs="宋体"/>
          <w:kern w:val="0"/>
          <w:szCs w:val="21"/>
        </w:rPr>
        <w:t>（单位）的</w:t>
      </w:r>
      <w:r>
        <w:rPr>
          <w:rFonts w:ascii="宋体" w:hAnsi="宋体" w:cs="宋体"/>
          <w:kern w:val="0"/>
          <w:szCs w:val="21"/>
        </w:rPr>
        <w:t>服务</w:t>
      </w:r>
      <w:r>
        <w:rPr>
          <w:rFonts w:hint="eastAsia" w:ascii="宋体" w:hAnsi="宋体" w:cs="宋体"/>
          <w:kern w:val="0"/>
          <w:szCs w:val="21"/>
        </w:rPr>
        <w:t>。本企业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w:t>
      </w:r>
      <w:r>
        <w:rPr>
          <w:rFonts w:hint="eastAsia" w:ascii="宋体" w:hAnsi="宋体" w:cs="宋体"/>
          <w:kern w:val="0"/>
          <w:szCs w:val="21"/>
        </w:rPr>
        <w:t>提供</w:t>
      </w:r>
      <w:r>
        <w:rPr>
          <w:rFonts w:ascii="宋体" w:hAnsi="宋体" w:cs="宋体"/>
          <w:kern w:val="0"/>
          <w:szCs w:val="21"/>
        </w:rPr>
        <w:t>协议合同金额占到</w:t>
      </w:r>
      <w:r>
        <w:rPr>
          <w:rFonts w:hint="eastAsia" w:ascii="宋体" w:hAnsi="宋体" w:cs="宋体"/>
          <w:kern w:val="0"/>
          <w:szCs w:val="21"/>
        </w:rPr>
        <w:t>共同投标</w:t>
      </w:r>
      <w:r>
        <w:rPr>
          <w:rFonts w:ascii="宋体" w:hAnsi="宋体" w:cs="宋体"/>
          <w:kern w:val="0"/>
          <w:szCs w:val="21"/>
        </w:rPr>
        <w:t>协议合同总金额</w:t>
      </w:r>
      <w:r>
        <w:rPr>
          <w:rFonts w:hint="eastAsia" w:ascii="宋体" w:hAnsi="宋体" w:cs="宋体"/>
          <w:kern w:val="0"/>
          <w:szCs w:val="21"/>
        </w:rPr>
        <w:t>的比例为</w:t>
      </w:r>
      <w:r>
        <w:rPr>
          <w:rFonts w:hint="eastAsia" w:ascii="宋体" w:hAnsi="宋体" w:cs="宋体"/>
          <w:kern w:val="0"/>
          <w:szCs w:val="21"/>
          <w:u w:val="single"/>
        </w:rPr>
        <w:t xml:space="preserve">       </w:t>
      </w:r>
      <w:r>
        <w:rPr>
          <w:rFonts w:hint="eastAsia" w:ascii="宋体" w:hAnsi="宋体" w:cs="宋体"/>
          <w:kern w:val="0"/>
          <w:szCs w:val="21"/>
        </w:rPr>
        <w:t>。</w:t>
      </w:r>
    </w:p>
    <w:p>
      <w:pPr>
        <w:widowControl/>
        <w:spacing w:before="100" w:beforeAutospacing="1" w:after="100" w:afterAutospacing="1" w:line="360" w:lineRule="auto"/>
        <w:jc w:val="left"/>
        <w:rPr>
          <w:rFonts w:ascii="宋体" w:hAnsi="宋体" w:cs="宋体"/>
          <w:kern w:val="0"/>
          <w:szCs w:val="21"/>
        </w:rPr>
      </w:pPr>
      <w:r>
        <w:rPr>
          <w:rFonts w:ascii="宋体" w:hAnsi="宋体" w:cs="宋体"/>
          <w:kern w:val="0"/>
          <w:szCs w:val="21"/>
        </w:rPr>
        <w:t>　　本</w:t>
      </w:r>
      <w:r>
        <w:rPr>
          <w:rFonts w:hint="eastAsia" w:ascii="宋体" w:hAnsi="宋体" w:cs="宋体"/>
          <w:kern w:val="0"/>
          <w:szCs w:val="21"/>
        </w:rPr>
        <w:t>企业</w:t>
      </w:r>
      <w:r>
        <w:rPr>
          <w:rFonts w:ascii="宋体" w:hAnsi="宋体" w:cs="宋体"/>
          <w:kern w:val="0"/>
          <w:szCs w:val="21"/>
        </w:rPr>
        <w:t>（</w:t>
      </w:r>
      <w:r>
        <w:rPr>
          <w:rFonts w:hint="eastAsia" w:ascii="宋体" w:hAnsi="宋体" w:cs="宋体"/>
          <w:kern w:val="0"/>
          <w:szCs w:val="21"/>
        </w:rPr>
        <w:t>单位</w:t>
      </w:r>
      <w:r>
        <w:rPr>
          <w:rFonts w:ascii="宋体" w:hAnsi="宋体" w:cs="宋体"/>
          <w:kern w:val="0"/>
          <w:szCs w:val="21"/>
        </w:rPr>
        <w:t>）对上述声明的真实性负责。如有虚假，将依法承担相应责任。</w:t>
      </w:r>
    </w:p>
    <w:p>
      <w:pPr>
        <w:widowControl/>
        <w:spacing w:before="100" w:beforeAutospacing="1" w:after="100" w:afterAutospacing="1" w:line="360" w:lineRule="auto"/>
        <w:jc w:val="left"/>
        <w:rPr>
          <w:rFonts w:ascii="宋体" w:hAnsi="宋体" w:cs="宋体"/>
          <w:kern w:val="0"/>
          <w:szCs w:val="21"/>
        </w:rPr>
      </w:pPr>
    </w:p>
    <w:p>
      <w:pPr>
        <w:widowControl/>
        <w:spacing w:before="100" w:beforeAutospacing="1" w:after="100" w:afterAutospacing="1" w:line="360" w:lineRule="auto"/>
        <w:jc w:val="left"/>
        <w:rPr>
          <w:rFonts w:ascii="宋体" w:hAnsi="宋体" w:cs="宋体"/>
          <w:kern w:val="0"/>
          <w:szCs w:val="21"/>
        </w:rPr>
      </w:pPr>
    </w:p>
    <w:p>
      <w:pPr>
        <w:widowControl/>
        <w:spacing w:before="100" w:beforeAutospacing="1" w:after="100" w:afterAutospacing="1" w:line="360" w:lineRule="auto"/>
        <w:jc w:val="left"/>
        <w:rPr>
          <w:rFonts w:ascii="宋体" w:hAnsi="宋体" w:cs="宋体"/>
          <w:kern w:val="0"/>
          <w:szCs w:val="21"/>
        </w:rPr>
      </w:pPr>
    </w:p>
    <w:p>
      <w:pPr>
        <w:spacing w:line="360" w:lineRule="auto"/>
        <w:rPr>
          <w:rFonts w:ascii="宋体" w:hAnsi="宋体" w:cs="宋体"/>
          <w:szCs w:val="21"/>
        </w:rPr>
      </w:pPr>
      <w:r>
        <w:rPr>
          <w:rFonts w:ascii="宋体" w:hAnsi="宋体"/>
          <w:b/>
          <w:kern w:val="0"/>
          <w:szCs w:val="21"/>
        </w:rPr>
        <w:t>　</w:t>
      </w:r>
    </w:p>
    <w:p>
      <w:pPr>
        <w:pStyle w:val="11"/>
        <w:tabs>
          <w:tab w:val="left" w:pos="5580"/>
        </w:tabs>
        <w:spacing w:line="360" w:lineRule="auto"/>
        <w:ind w:firstLine="2730" w:firstLineChars="1300"/>
        <w:rPr>
          <w:szCs w:val="21"/>
        </w:rPr>
      </w:pPr>
      <w:r>
        <w:rPr>
          <w:rFonts w:hint="eastAsia"/>
          <w:szCs w:val="21"/>
        </w:rPr>
        <w:t>投标人（盖</w:t>
      </w:r>
      <w:r>
        <w:rPr>
          <w:szCs w:val="21"/>
        </w:rPr>
        <w:t>章）：</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w:t>
      </w:r>
    </w:p>
    <w:p>
      <w:pPr>
        <w:pStyle w:val="11"/>
        <w:tabs>
          <w:tab w:val="left" w:pos="5580"/>
        </w:tabs>
        <w:spacing w:line="360" w:lineRule="auto"/>
        <w:ind w:firstLine="2730" w:firstLineChars="1300"/>
        <w:rPr>
          <w:rFonts w:cs="宋体"/>
          <w:kern w:val="0"/>
          <w:szCs w:val="21"/>
          <w:u w:val="single"/>
        </w:rPr>
      </w:pPr>
      <w:r>
        <w:rPr>
          <w:rFonts w:hint="eastAsia"/>
          <w:szCs w:val="21"/>
        </w:rPr>
        <w:t>法定代表人或</w:t>
      </w:r>
      <w:r>
        <w:rPr>
          <w:rFonts w:hint="eastAsia" w:cs="宋体"/>
          <w:kern w:val="0"/>
          <w:szCs w:val="21"/>
        </w:rPr>
        <w:t>委托代理人</w:t>
      </w:r>
      <w:r>
        <w:rPr>
          <w:rFonts w:hint="eastAsia"/>
          <w:szCs w:val="21"/>
        </w:rPr>
        <w:t>（签字）</w:t>
      </w:r>
      <w:r>
        <w:rPr>
          <w:rFonts w:hint="eastAsia" w:cs="宋体"/>
          <w:kern w:val="0"/>
          <w:szCs w:val="21"/>
        </w:rPr>
        <w:t>：</w:t>
      </w:r>
      <w:r>
        <w:rPr>
          <w:rFonts w:hint="eastAsia" w:cs="宋体"/>
          <w:kern w:val="0"/>
          <w:szCs w:val="21"/>
          <w:u w:val="single"/>
        </w:rPr>
        <w:t xml:space="preserve">             </w:t>
      </w:r>
    </w:p>
    <w:p>
      <w:pPr>
        <w:spacing w:line="360" w:lineRule="auto"/>
        <w:ind w:firstLine="2730" w:firstLineChars="1300"/>
        <w:rPr>
          <w:rFonts w:ascii="宋体" w:hAnsi="宋体" w:cs="宋体"/>
          <w:szCs w:val="21"/>
        </w:rPr>
      </w:pPr>
      <w:r>
        <w:rPr>
          <w:rFonts w:hint="eastAsia" w:ascii="宋体" w:hAnsi="宋体" w:cs="宋体"/>
          <w:szCs w:val="21"/>
        </w:rPr>
        <w:t>日期：       年   月   日</w:t>
      </w:r>
    </w:p>
    <w:p>
      <w:pPr>
        <w:spacing w:line="360" w:lineRule="auto"/>
        <w:rPr>
          <w:rFonts w:ascii="宋体" w:hAnsi="宋体" w:cs="宋体"/>
          <w:sz w:val="24"/>
          <w:szCs w:val="24"/>
        </w:rPr>
      </w:pPr>
    </w:p>
    <w:p>
      <w:pPr>
        <w:pStyle w:val="8"/>
        <w:numPr>
          <w:ilvl w:val="0"/>
          <w:numId w:val="0"/>
        </w:numPr>
        <w:rPr>
          <w:rFonts w:ascii="宋体" w:hAnsi="宋体" w:cs="宋体"/>
          <w:kern w:val="0"/>
          <w:sz w:val="24"/>
          <w:u w:val="single"/>
        </w:rPr>
      </w:pPr>
    </w:p>
    <w:p>
      <w:pPr>
        <w:pStyle w:val="8"/>
        <w:numPr>
          <w:ilvl w:val="0"/>
          <w:numId w:val="0"/>
        </w:numPr>
        <w:rPr>
          <w:rFonts w:ascii="宋体" w:hAnsi="宋体" w:cs="宋体"/>
          <w:kern w:val="0"/>
          <w:sz w:val="24"/>
          <w:u w:val="single"/>
        </w:rPr>
      </w:pPr>
    </w:p>
    <w:p>
      <w:pPr>
        <w:rPr>
          <w:b/>
          <w:bCs/>
          <w:sz w:val="24"/>
          <w:szCs w:val="24"/>
        </w:rPr>
      </w:pPr>
      <w:r>
        <w:rPr>
          <w:rFonts w:hint="eastAsia"/>
          <w:b/>
          <w:bCs/>
          <w:sz w:val="24"/>
          <w:szCs w:val="24"/>
        </w:rPr>
        <w:br w:type="page"/>
      </w:r>
    </w:p>
    <w:p>
      <w:pPr>
        <w:jc w:val="center"/>
        <w:rPr>
          <w:b/>
          <w:bCs/>
          <w:sz w:val="24"/>
          <w:szCs w:val="24"/>
        </w:rPr>
      </w:pPr>
    </w:p>
    <w:p>
      <w:pPr>
        <w:jc w:val="center"/>
        <w:rPr>
          <w:b/>
          <w:bCs/>
          <w:sz w:val="24"/>
          <w:szCs w:val="24"/>
        </w:rPr>
      </w:pPr>
    </w:p>
    <w:p>
      <w:pPr>
        <w:pStyle w:val="8"/>
        <w:numPr>
          <w:ilvl w:val="0"/>
          <w:numId w:val="0"/>
        </w:numPr>
        <w:ind w:left="350"/>
      </w:pPr>
    </w:p>
    <w:p>
      <w:pPr>
        <w:jc w:val="center"/>
        <w:rPr>
          <w:b/>
          <w:bCs/>
          <w:sz w:val="24"/>
          <w:szCs w:val="24"/>
        </w:rPr>
      </w:pPr>
      <w:r>
        <w:rPr>
          <w:rFonts w:hint="eastAsia"/>
          <w:b/>
          <w:bCs/>
          <w:sz w:val="24"/>
          <w:szCs w:val="24"/>
        </w:rPr>
        <w:t>（三）残疾人福利性单位声明函</w:t>
      </w:r>
      <w:bookmarkEnd w:id="96"/>
    </w:p>
    <w:p>
      <w:pPr>
        <w:spacing w:line="360" w:lineRule="auto"/>
        <w:ind w:left="1080" w:leftChars="257" w:hanging="540"/>
        <w:jc w:val="center"/>
        <w:rPr>
          <w:rFonts w:ascii="宋体" w:hAnsi="宋体"/>
          <w:kern w:val="0"/>
          <w:sz w:val="24"/>
          <w:szCs w:val="20"/>
        </w:rPr>
      </w:pPr>
    </w:p>
    <w:p>
      <w:pPr>
        <w:spacing w:line="360" w:lineRule="auto"/>
        <w:ind w:firstLine="567"/>
        <w:rPr>
          <w:rFonts w:ascii="宋体" w:hAnsi="宋体"/>
          <w:kern w:val="0"/>
          <w:szCs w:val="21"/>
        </w:rPr>
      </w:pPr>
      <w:r>
        <w:rPr>
          <w:rFonts w:hint="eastAsia" w:ascii="宋体" w:hAnsi="宋体"/>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kern w:val="0"/>
          <w:szCs w:val="21"/>
        </w:rPr>
        <w:t>（由本单位承担工程/提供服务）</w:t>
      </w:r>
      <w:r>
        <w:rPr>
          <w:rFonts w:hint="eastAsia" w:ascii="宋体" w:hAnsi="宋体"/>
          <w:kern w:val="0"/>
          <w:szCs w:val="21"/>
        </w:rPr>
        <w:t>，或者提供其他残疾人福利性单位制造的货物（不包括使用非残疾人福利性单位注册商标的货物）。</w:t>
      </w:r>
    </w:p>
    <w:p>
      <w:pPr>
        <w:spacing w:line="360" w:lineRule="auto"/>
        <w:ind w:left="1080" w:leftChars="257" w:hanging="540"/>
        <w:rPr>
          <w:rFonts w:ascii="宋体" w:hAnsi="宋体"/>
          <w:kern w:val="0"/>
          <w:szCs w:val="21"/>
        </w:rPr>
      </w:pPr>
      <w:r>
        <w:rPr>
          <w:rFonts w:hint="eastAsia" w:ascii="宋体" w:hAnsi="宋体"/>
          <w:kern w:val="0"/>
          <w:szCs w:val="21"/>
        </w:rPr>
        <w:t>本单位对上述声明的真实性负责。如有虚假，将依法承担相应责任。</w:t>
      </w:r>
    </w:p>
    <w:p>
      <w:pPr>
        <w:spacing w:line="360" w:lineRule="auto"/>
        <w:ind w:left="1080" w:leftChars="257" w:hanging="540"/>
        <w:jc w:val="center"/>
        <w:rPr>
          <w:rFonts w:ascii="宋体" w:hAnsi="宋体"/>
          <w:kern w:val="0"/>
          <w:szCs w:val="21"/>
        </w:rPr>
      </w:pPr>
    </w:p>
    <w:p>
      <w:pPr>
        <w:spacing w:line="360" w:lineRule="auto"/>
        <w:ind w:left="1080" w:leftChars="257" w:hanging="540"/>
        <w:jc w:val="center"/>
        <w:rPr>
          <w:rFonts w:ascii="宋体" w:hAnsi="宋体"/>
          <w:kern w:val="0"/>
          <w:szCs w:val="21"/>
        </w:rPr>
      </w:pPr>
    </w:p>
    <w:p>
      <w:pPr>
        <w:spacing w:line="360" w:lineRule="auto"/>
        <w:ind w:left="1080" w:leftChars="257" w:hanging="540"/>
        <w:jc w:val="center"/>
        <w:rPr>
          <w:rFonts w:ascii="宋体" w:hAnsi="宋体"/>
          <w:kern w:val="0"/>
          <w:szCs w:val="21"/>
          <w:u w:val="single"/>
        </w:rPr>
      </w:pPr>
      <w:r>
        <w:rPr>
          <w:rFonts w:hint="eastAsia" w:ascii="宋体" w:hAnsi="宋体"/>
          <w:kern w:val="0"/>
          <w:szCs w:val="21"/>
        </w:rPr>
        <w:t xml:space="preserve">              残疾人</w:t>
      </w:r>
      <w:r>
        <w:rPr>
          <w:rFonts w:ascii="宋体" w:hAnsi="宋体"/>
          <w:kern w:val="0"/>
          <w:szCs w:val="21"/>
        </w:rPr>
        <w:t>福利性单位</w:t>
      </w:r>
      <w:r>
        <w:rPr>
          <w:rFonts w:hint="eastAsia" w:ascii="宋体" w:hAnsi="宋体"/>
          <w:kern w:val="0"/>
          <w:szCs w:val="21"/>
        </w:rPr>
        <w:t>名称（盖公章）：</w:t>
      </w:r>
      <w:r>
        <w:rPr>
          <w:rFonts w:hint="eastAsia" w:ascii="宋体" w:hAnsi="宋体"/>
          <w:kern w:val="0"/>
          <w:szCs w:val="21"/>
          <w:u w:val="single"/>
        </w:rPr>
        <w:t xml:space="preserve"> </w:t>
      </w:r>
      <w:r>
        <w:rPr>
          <w:rFonts w:ascii="宋体" w:hAnsi="宋体"/>
          <w:kern w:val="0"/>
          <w:szCs w:val="21"/>
          <w:u w:val="single"/>
        </w:rPr>
        <w:t xml:space="preserve">                 </w:t>
      </w:r>
    </w:p>
    <w:p>
      <w:pPr>
        <w:spacing w:line="360" w:lineRule="auto"/>
        <w:ind w:left="1080" w:leftChars="257" w:hanging="540"/>
        <w:jc w:val="center"/>
        <w:rPr>
          <w:rFonts w:ascii="宋体" w:hAnsi="宋体"/>
          <w:kern w:val="0"/>
          <w:szCs w:val="21"/>
        </w:rPr>
      </w:pPr>
      <w:r>
        <w:rPr>
          <w:rFonts w:hint="eastAsia" w:ascii="宋体" w:hAnsi="宋体"/>
          <w:kern w:val="0"/>
          <w:szCs w:val="21"/>
        </w:rPr>
        <w:t xml:space="preserve">       </w:t>
      </w:r>
      <w:r>
        <w:rPr>
          <w:rFonts w:ascii="宋体" w:hAnsi="宋体"/>
          <w:kern w:val="0"/>
          <w:szCs w:val="21"/>
        </w:rPr>
        <w:t xml:space="preserve">  </w:t>
      </w:r>
    </w:p>
    <w:p>
      <w:pPr>
        <w:spacing w:line="360" w:lineRule="auto"/>
        <w:ind w:left="645" w:leftChars="307" w:firstLine="3360" w:firstLineChars="1600"/>
        <w:rPr>
          <w:rFonts w:ascii="宋体" w:hAnsi="宋体"/>
          <w:kern w:val="0"/>
          <w:szCs w:val="21"/>
          <w:u w:val="single"/>
        </w:rPr>
      </w:pPr>
      <w:r>
        <w:rPr>
          <w:rFonts w:hint="eastAsia" w:ascii="宋体" w:hAnsi="宋体"/>
          <w:kern w:val="0"/>
          <w:szCs w:val="21"/>
        </w:rPr>
        <w:t>日  期：</w:t>
      </w:r>
      <w:r>
        <w:rPr>
          <w:rFonts w:ascii="宋体" w:hAnsi="宋体"/>
          <w:kern w:val="0"/>
          <w:szCs w:val="21"/>
          <w:u w:val="single"/>
        </w:rPr>
        <w:t xml:space="preserve">                             </w:t>
      </w:r>
    </w:p>
    <w:p>
      <w:pPr>
        <w:pStyle w:val="20"/>
        <w:spacing w:line="432" w:lineRule="auto"/>
        <w:jc w:val="both"/>
      </w:pPr>
    </w:p>
    <w:p>
      <w:pPr>
        <w:pStyle w:val="20"/>
        <w:spacing w:line="432" w:lineRule="auto"/>
        <w:jc w:val="both"/>
      </w:pPr>
    </w:p>
    <w:p>
      <w:pPr>
        <w:pStyle w:val="20"/>
        <w:spacing w:line="432" w:lineRule="auto"/>
        <w:jc w:val="both"/>
      </w:pPr>
    </w:p>
    <w:p>
      <w:pPr>
        <w:pStyle w:val="20"/>
        <w:spacing w:line="432" w:lineRule="auto"/>
        <w:jc w:val="both"/>
      </w:pPr>
    </w:p>
    <w:p>
      <w:pPr>
        <w:pStyle w:val="20"/>
        <w:spacing w:line="432" w:lineRule="auto"/>
        <w:jc w:val="both"/>
      </w:pPr>
    </w:p>
    <w:p>
      <w:pPr>
        <w:pStyle w:val="20"/>
        <w:spacing w:line="432" w:lineRule="auto"/>
        <w:jc w:val="both"/>
      </w:pPr>
    </w:p>
    <w:p>
      <w:pPr>
        <w:pStyle w:val="20"/>
        <w:spacing w:line="432" w:lineRule="auto"/>
        <w:jc w:val="both"/>
      </w:pPr>
    </w:p>
    <w:p>
      <w:pPr>
        <w:pStyle w:val="20"/>
        <w:spacing w:line="432" w:lineRule="auto"/>
        <w:jc w:val="both"/>
      </w:pPr>
    </w:p>
    <w:p>
      <w:pPr>
        <w:pStyle w:val="20"/>
        <w:spacing w:line="432" w:lineRule="auto"/>
        <w:jc w:val="both"/>
      </w:pPr>
    </w:p>
    <w:p>
      <w:pPr>
        <w:jc w:val="center"/>
        <w:rPr>
          <w:b/>
          <w:bCs/>
          <w:sz w:val="24"/>
          <w:szCs w:val="24"/>
        </w:rPr>
      </w:pPr>
      <w:bookmarkStart w:id="98" w:name="_Toc37868814"/>
    </w:p>
    <w:p>
      <w:pPr>
        <w:jc w:val="center"/>
        <w:rPr>
          <w:b/>
          <w:bCs/>
          <w:sz w:val="24"/>
          <w:szCs w:val="24"/>
        </w:rPr>
      </w:pPr>
    </w:p>
    <w:bookmarkEnd w:id="98"/>
    <w:p>
      <w:pPr>
        <w:rPr>
          <w:rFonts w:ascii="宋体" w:hAnsi="宋体" w:cs="Arial"/>
          <w:b/>
          <w:bCs/>
          <w:kern w:val="0"/>
          <w:sz w:val="24"/>
          <w:szCs w:val="24"/>
        </w:rPr>
      </w:pPr>
      <w:r>
        <w:rPr>
          <w:rFonts w:hint="eastAsia" w:ascii="宋体" w:hAnsi="宋体" w:cs="Arial"/>
          <w:b/>
          <w:bCs/>
          <w:kern w:val="0"/>
          <w:sz w:val="24"/>
          <w:szCs w:val="24"/>
        </w:rPr>
        <w:t>5.2.13. 资格声明（制造商、代理商或经销商）</w:t>
      </w:r>
    </w:p>
    <w:p>
      <w:pPr>
        <w:pStyle w:val="20"/>
        <w:spacing w:before="0" w:beforeAutospacing="0" w:after="0" w:afterAutospacing="0" w:line="360" w:lineRule="auto"/>
        <w:ind w:firstLine="480" w:firstLineChars="200"/>
      </w:pPr>
    </w:p>
    <w:p>
      <w:pPr>
        <w:shd w:val="clear" w:color="auto" w:fill="FFFFFF"/>
        <w:snapToGrid w:val="0"/>
        <w:spacing w:line="384" w:lineRule="auto"/>
        <w:jc w:val="center"/>
        <w:rPr>
          <w:rFonts w:ascii="宋体" w:hAnsi="宋体"/>
          <w:b/>
          <w:bCs/>
          <w:sz w:val="32"/>
          <w:szCs w:val="32"/>
        </w:rPr>
      </w:pPr>
      <w:r>
        <w:rPr>
          <w:rFonts w:hint="eastAsia" w:ascii="宋体" w:hAnsi="宋体"/>
          <w:b/>
          <w:bCs/>
          <w:sz w:val="32"/>
          <w:szCs w:val="32"/>
        </w:rPr>
        <w:t>资格声明（制造商、代理商或经销商）</w:t>
      </w:r>
    </w:p>
    <w:p>
      <w:pPr>
        <w:shd w:val="clear" w:color="auto" w:fill="FFFFFF"/>
        <w:snapToGrid w:val="0"/>
        <w:spacing w:line="384" w:lineRule="auto"/>
        <w:rPr>
          <w:rFonts w:ascii="宋体" w:hAnsi="宋体"/>
          <w:sz w:val="24"/>
          <w:szCs w:val="24"/>
        </w:rPr>
      </w:pPr>
    </w:p>
    <w:p>
      <w:pPr>
        <w:shd w:val="clear" w:color="auto" w:fill="FFFFFF"/>
        <w:snapToGrid w:val="0"/>
        <w:spacing w:line="384" w:lineRule="auto"/>
        <w:rPr>
          <w:rFonts w:ascii="宋体"/>
          <w:szCs w:val="21"/>
        </w:rPr>
      </w:pPr>
      <w:r>
        <w:rPr>
          <w:rFonts w:hint="eastAsia" w:ascii="宋体" w:hAnsi="宋体"/>
          <w:szCs w:val="21"/>
        </w:rPr>
        <w:t>致：</w:t>
      </w:r>
      <w:r>
        <w:rPr>
          <w:rFonts w:ascii="宋体" w:hAnsi="宋体"/>
          <w:szCs w:val="21"/>
          <w:u w:val="single"/>
        </w:rPr>
        <w:t xml:space="preserve">                                            </w:t>
      </w:r>
      <w:r>
        <w:rPr>
          <w:rFonts w:hint="eastAsia" w:ascii="宋体" w:hAnsi="宋体"/>
          <w:szCs w:val="21"/>
        </w:rPr>
        <w:t>（采购人名称）</w:t>
      </w:r>
    </w:p>
    <w:p>
      <w:pPr>
        <w:shd w:val="clear" w:color="auto" w:fill="FFFFFF"/>
        <w:snapToGrid w:val="0"/>
        <w:spacing w:line="384" w:lineRule="auto"/>
        <w:rPr>
          <w:rFonts w:ascii="宋体"/>
          <w:szCs w:val="21"/>
        </w:rPr>
      </w:pPr>
    </w:p>
    <w:p>
      <w:pPr>
        <w:shd w:val="clear" w:color="auto" w:fill="FFFFFF"/>
        <w:snapToGrid w:val="0"/>
        <w:spacing w:line="384" w:lineRule="auto"/>
        <w:ind w:firstLine="420"/>
        <w:rPr>
          <w:rFonts w:ascii="宋体"/>
          <w:szCs w:val="21"/>
        </w:rPr>
      </w:pPr>
      <w:r>
        <w:rPr>
          <w:rFonts w:hint="eastAsia" w:ascii="宋体" w:hAnsi="宋体"/>
          <w:szCs w:val="21"/>
        </w:rPr>
        <w:t>为响应</w:t>
      </w:r>
      <w:r>
        <w:rPr>
          <w:rFonts w:ascii="宋体" w:hAnsi="宋体"/>
          <w:szCs w:val="21"/>
          <w:u w:val="single"/>
        </w:rPr>
        <w:t xml:space="preserve">                                     </w:t>
      </w:r>
      <w:r>
        <w:rPr>
          <w:rFonts w:hint="eastAsia" w:ascii="宋体" w:hAnsi="宋体"/>
          <w:szCs w:val="21"/>
        </w:rPr>
        <w:t>（招标项目标段名称）招标文件的要求，我方作为本次投标货物的</w:t>
      </w:r>
      <w:r>
        <w:rPr>
          <w:rFonts w:hint="eastAsia" w:ascii="宋体" w:hAnsi="宋体"/>
          <w:b/>
          <w:szCs w:val="21"/>
          <w:u w:val="single"/>
        </w:rPr>
        <w:t>（制造商、代理商或经销商）</w:t>
      </w:r>
      <w:r>
        <w:rPr>
          <w:rFonts w:hint="eastAsia" w:ascii="宋体" w:hAnsi="宋体"/>
          <w:szCs w:val="21"/>
        </w:rPr>
        <w:t>，提交如下资料和信息，并声明下述全部资料和信息是真实和准确的。</w:t>
      </w:r>
    </w:p>
    <w:p>
      <w:pPr>
        <w:shd w:val="clear" w:color="auto" w:fill="FFFFFF"/>
        <w:snapToGrid w:val="0"/>
        <w:spacing w:line="384" w:lineRule="auto"/>
        <w:rPr>
          <w:rFonts w:ascii="宋体" w:hAnsi="宋体"/>
          <w:szCs w:val="21"/>
        </w:rPr>
      </w:pPr>
      <w:r>
        <w:rPr>
          <w:rFonts w:hint="eastAsia" w:ascii="宋体" w:hAnsi="宋体"/>
          <w:szCs w:val="21"/>
        </w:rPr>
        <w:t>1、投标人基本情况表</w:t>
      </w:r>
    </w:p>
    <w:p>
      <w:pPr>
        <w:shd w:val="clear" w:color="auto" w:fill="FFFFFF"/>
        <w:snapToGrid w:val="0"/>
        <w:spacing w:line="384" w:lineRule="auto"/>
        <w:rPr>
          <w:rFonts w:ascii="宋体" w:hAnsi="宋体"/>
          <w:szCs w:val="21"/>
        </w:rPr>
      </w:pPr>
      <w:r>
        <w:rPr>
          <w:rFonts w:hint="eastAsia" w:ascii="宋体" w:hAnsi="宋体"/>
          <w:szCs w:val="21"/>
        </w:rPr>
        <w:t>2、投标货物生产能力说明（如有时，制造商提供）</w:t>
      </w:r>
    </w:p>
    <w:p>
      <w:pPr>
        <w:shd w:val="clear" w:color="auto" w:fill="FFFFFF"/>
        <w:snapToGrid w:val="0"/>
        <w:spacing w:line="384" w:lineRule="auto"/>
        <w:rPr>
          <w:rFonts w:ascii="宋体" w:hAnsi="宋体"/>
          <w:szCs w:val="21"/>
        </w:rPr>
      </w:pPr>
      <w:r>
        <w:rPr>
          <w:rFonts w:hint="eastAsia" w:ascii="宋体" w:hAnsi="宋体"/>
          <w:szCs w:val="21"/>
        </w:rPr>
        <w:t>3、制造商授权书（如有时，代理商或经销商提供）</w:t>
      </w:r>
    </w:p>
    <w:p>
      <w:pPr>
        <w:shd w:val="clear" w:color="auto" w:fill="FFFFFF"/>
        <w:snapToGrid w:val="0"/>
        <w:spacing w:line="384" w:lineRule="auto"/>
        <w:rPr>
          <w:rFonts w:ascii="宋体" w:hAnsi="宋体"/>
          <w:szCs w:val="21"/>
        </w:rPr>
      </w:pPr>
      <w:r>
        <w:rPr>
          <w:rFonts w:hint="eastAsia" w:ascii="宋体" w:hAnsi="宋体"/>
          <w:szCs w:val="21"/>
        </w:rPr>
        <w:t>4、投标人近年类似供货项目情况表</w:t>
      </w: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pStyle w:val="4"/>
        <w:ind w:firstLine="0"/>
      </w:pPr>
    </w:p>
    <w:p>
      <w:pPr>
        <w:widowControl/>
        <w:spacing w:line="360" w:lineRule="auto"/>
        <w:textAlignment w:val="center"/>
        <w:rPr>
          <w:rFonts w:ascii="宋体" w:hAnsi="宋体" w:cs="宋体"/>
          <w:b/>
          <w:sz w:val="24"/>
          <w:szCs w:val="24"/>
        </w:rPr>
      </w:pPr>
    </w:p>
    <w:p>
      <w:pPr>
        <w:rPr>
          <w:rFonts w:ascii="宋体" w:hAnsi="宋体" w:cs="Arial"/>
          <w:b/>
          <w:bCs/>
          <w:kern w:val="0"/>
          <w:sz w:val="24"/>
          <w:szCs w:val="24"/>
        </w:rPr>
      </w:pPr>
      <w:r>
        <w:rPr>
          <w:rFonts w:hint="eastAsia" w:ascii="宋体" w:hAnsi="宋体" w:cs="Arial"/>
          <w:b/>
          <w:bCs/>
          <w:kern w:val="0"/>
          <w:sz w:val="24"/>
          <w:szCs w:val="24"/>
        </w:rPr>
        <w:t>5.2.14. 投标人近年类似项目业绩情况表</w:t>
      </w:r>
    </w:p>
    <w:p>
      <w:pPr>
        <w:jc w:val="center"/>
        <w:rPr>
          <w:b/>
          <w:bCs/>
          <w:sz w:val="32"/>
          <w:szCs w:val="32"/>
        </w:rPr>
      </w:pPr>
    </w:p>
    <w:p>
      <w:pPr>
        <w:jc w:val="center"/>
        <w:rPr>
          <w:b/>
          <w:bCs/>
          <w:sz w:val="32"/>
          <w:szCs w:val="32"/>
        </w:rPr>
      </w:pPr>
      <w:r>
        <w:rPr>
          <w:rFonts w:hint="eastAsia"/>
          <w:b/>
          <w:bCs/>
          <w:sz w:val="32"/>
          <w:szCs w:val="32"/>
        </w:rPr>
        <w:t>投标人近年类似项目业绩情况表</w:t>
      </w:r>
    </w:p>
    <w:tbl>
      <w:tblPr>
        <w:tblStyle w:val="21"/>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032"/>
        <w:gridCol w:w="614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项目名称</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采购人名称</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采购人地址</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采购人联系人及电话</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签约日期</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合同价格</w:t>
            </w:r>
          </w:p>
        </w:tc>
        <w:tc>
          <w:tcPr>
            <w:tcW w:w="6148" w:type="dxa"/>
            <w:vAlign w:val="center"/>
          </w:tcPr>
          <w:p>
            <w:pPr>
              <w:jc w:val="center"/>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7" w:hRule="atLeast"/>
          <w:jc w:val="center"/>
        </w:trPr>
        <w:tc>
          <w:tcPr>
            <w:tcW w:w="3032" w:type="dxa"/>
            <w:vAlign w:val="center"/>
          </w:tcPr>
          <w:p>
            <w:pPr>
              <w:jc w:val="center"/>
              <w:rPr>
                <w:rFonts w:ascii="宋体"/>
                <w:szCs w:val="21"/>
              </w:rPr>
            </w:pPr>
            <w:r>
              <w:rPr>
                <w:rFonts w:hint="eastAsia" w:ascii="宋体" w:hAnsi="宋体"/>
                <w:szCs w:val="21"/>
              </w:rPr>
              <w:t>备注</w:t>
            </w:r>
          </w:p>
        </w:tc>
        <w:tc>
          <w:tcPr>
            <w:tcW w:w="6148" w:type="dxa"/>
            <w:vAlign w:val="center"/>
          </w:tcPr>
          <w:p>
            <w:pPr>
              <w:jc w:val="center"/>
              <w:rPr>
                <w:rFonts w:ascii="宋体"/>
                <w:szCs w:val="21"/>
              </w:rPr>
            </w:pPr>
          </w:p>
        </w:tc>
      </w:tr>
    </w:tbl>
    <w:p>
      <w:pPr>
        <w:spacing w:line="360" w:lineRule="auto"/>
        <w:jc w:val="left"/>
        <w:rPr>
          <w:rFonts w:ascii="宋体"/>
          <w:szCs w:val="21"/>
        </w:rPr>
      </w:pPr>
      <w:r>
        <w:rPr>
          <w:rFonts w:hint="eastAsia" w:ascii="宋体" w:hAnsi="宋体"/>
          <w:szCs w:val="21"/>
        </w:rPr>
        <w:t>备注：</w:t>
      </w:r>
    </w:p>
    <w:p>
      <w:pPr>
        <w:spacing w:line="360" w:lineRule="auto"/>
        <w:jc w:val="left"/>
        <w:rPr>
          <w:rFonts w:ascii="宋体"/>
          <w:szCs w:val="21"/>
        </w:rPr>
      </w:pPr>
      <w:r>
        <w:rPr>
          <w:rFonts w:hint="eastAsia" w:ascii="宋体"/>
          <w:szCs w:val="21"/>
        </w:rPr>
        <w:t>1、本表后须附类似业绩的证明资料（中标通知书及合同复印件）</w:t>
      </w:r>
    </w:p>
    <w:p>
      <w:pPr>
        <w:spacing w:line="360" w:lineRule="auto"/>
        <w:jc w:val="left"/>
        <w:rPr>
          <w:rFonts w:ascii="宋体"/>
          <w:szCs w:val="21"/>
        </w:rPr>
      </w:pPr>
      <w:r>
        <w:rPr>
          <w:rFonts w:hint="eastAsia" w:ascii="宋体"/>
          <w:szCs w:val="21"/>
        </w:rPr>
        <w:t xml:space="preserve">2、具体年份要求：2022年以来 </w:t>
      </w:r>
    </w:p>
    <w:p>
      <w:pPr>
        <w:spacing w:line="360" w:lineRule="auto"/>
        <w:jc w:val="left"/>
        <w:rPr>
          <w:rFonts w:ascii="宋体"/>
          <w:szCs w:val="21"/>
        </w:rPr>
      </w:pPr>
      <w:r>
        <w:rPr>
          <w:rFonts w:hint="eastAsia" w:ascii="宋体"/>
          <w:szCs w:val="21"/>
        </w:rPr>
        <w:t>3、每张表格只填写一个项目的信息，并注明序号。</w:t>
      </w:r>
    </w:p>
    <w:p>
      <w:pPr>
        <w:widowControl/>
        <w:shd w:val="clear" w:color="auto" w:fill="FFFFFF"/>
        <w:wordWrap w:val="0"/>
        <w:snapToGrid w:val="0"/>
        <w:jc w:val="right"/>
        <w:rPr>
          <w:rFonts w:ascii="宋体" w:cs="Arial"/>
          <w:kern w:val="0"/>
          <w:sz w:val="24"/>
          <w:szCs w:val="24"/>
        </w:rPr>
      </w:pPr>
      <w:r>
        <w:rPr>
          <w:rFonts w:ascii="宋体" w:hAnsi="宋体" w:cs="Arial"/>
          <w:kern w:val="0"/>
          <w:sz w:val="24"/>
          <w:szCs w:val="24"/>
        </w:rPr>
        <w:t xml:space="preserve"> </w:t>
      </w: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widowControl/>
        <w:shd w:val="clear" w:color="auto" w:fill="FFFFFF"/>
        <w:snapToGrid w:val="0"/>
        <w:jc w:val="right"/>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pStyle w:val="8"/>
        <w:numPr>
          <w:ilvl w:val="0"/>
          <w:numId w:val="0"/>
        </w:numPr>
        <w:rPr>
          <w:rFonts w:ascii="宋体" w:cs="Arial"/>
          <w:kern w:val="0"/>
          <w:sz w:val="24"/>
          <w:szCs w:val="24"/>
        </w:rPr>
      </w:pPr>
    </w:p>
    <w:p>
      <w:pPr>
        <w:widowControl/>
        <w:jc w:val="center"/>
        <w:textAlignment w:val="center"/>
        <w:rPr>
          <w:rFonts w:ascii="宋体" w:hAnsi="宋体" w:cs="宋体"/>
          <w:b/>
          <w:sz w:val="30"/>
          <w:szCs w:val="30"/>
        </w:rPr>
      </w:pPr>
      <w:r>
        <w:rPr>
          <w:rFonts w:hint="eastAsia" w:ascii="宋体" w:hAnsi="宋体" w:cs="宋体"/>
          <w:b/>
          <w:sz w:val="30"/>
          <w:szCs w:val="30"/>
        </w:rPr>
        <w:t xml:space="preserve"> </w:t>
      </w:r>
    </w:p>
    <w:p>
      <w:pPr>
        <w:rPr>
          <w:rFonts w:ascii="宋体" w:hAnsi="宋体" w:cs="Arial"/>
          <w:b/>
          <w:bCs/>
          <w:kern w:val="0"/>
          <w:sz w:val="24"/>
          <w:szCs w:val="24"/>
        </w:rPr>
      </w:pPr>
      <w:r>
        <w:rPr>
          <w:rFonts w:hint="eastAsia" w:ascii="宋体" w:hAnsi="宋体" w:cs="Arial"/>
          <w:b/>
          <w:bCs/>
          <w:kern w:val="0"/>
          <w:sz w:val="24"/>
          <w:szCs w:val="24"/>
        </w:rPr>
        <w:br w:type="page"/>
      </w:r>
      <w:r>
        <w:rPr>
          <w:rFonts w:hint="eastAsia" w:ascii="宋体" w:hAnsi="宋体" w:cs="Arial"/>
          <w:b/>
          <w:bCs/>
          <w:kern w:val="0"/>
          <w:sz w:val="24"/>
          <w:szCs w:val="24"/>
        </w:rPr>
        <w:t>5.2.15.  供货计划</w:t>
      </w:r>
    </w:p>
    <w:p>
      <w:pPr>
        <w:spacing w:line="360" w:lineRule="auto"/>
        <w:jc w:val="center"/>
        <w:rPr>
          <w:b/>
          <w:bCs/>
          <w:sz w:val="32"/>
          <w:szCs w:val="32"/>
        </w:rPr>
      </w:pPr>
    </w:p>
    <w:p>
      <w:pPr>
        <w:spacing w:line="360" w:lineRule="auto"/>
        <w:jc w:val="center"/>
        <w:rPr>
          <w:b/>
          <w:bCs/>
          <w:sz w:val="32"/>
          <w:szCs w:val="32"/>
        </w:rPr>
      </w:pPr>
      <w:r>
        <w:rPr>
          <w:rFonts w:hint="eastAsia"/>
          <w:b/>
          <w:bCs/>
          <w:sz w:val="32"/>
          <w:szCs w:val="32"/>
        </w:rPr>
        <w:t>供货计划</w:t>
      </w:r>
    </w:p>
    <w:p>
      <w:pPr>
        <w:spacing w:line="360" w:lineRule="auto"/>
        <w:rPr>
          <w:szCs w:val="21"/>
        </w:rPr>
      </w:pPr>
      <w:r>
        <w:rPr>
          <w:rFonts w:hint="eastAsia"/>
          <w:szCs w:val="21"/>
        </w:rPr>
        <w:t>投标人根据企业自身情况编制供货详则。</w:t>
      </w: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p>
    <w:p>
      <w:pPr>
        <w:widowControl/>
        <w:jc w:val="center"/>
        <w:textAlignment w:val="center"/>
        <w:rPr>
          <w:rFonts w:ascii="宋体" w:hAnsi="宋体" w:cs="宋体"/>
          <w:b/>
          <w:sz w:val="30"/>
          <w:szCs w:val="30"/>
        </w:rPr>
      </w:pPr>
      <w:r>
        <w:rPr>
          <w:rFonts w:hint="eastAsia" w:ascii="宋体" w:hAnsi="宋体" w:cs="宋体"/>
          <w:b/>
          <w:sz w:val="30"/>
          <w:szCs w:val="30"/>
        </w:rPr>
        <w:t xml:space="preserve"> </w:t>
      </w:r>
    </w:p>
    <w:p>
      <w:pPr>
        <w:rPr>
          <w:rFonts w:ascii="宋体" w:hAnsi="宋体" w:cs="Arial"/>
          <w:b/>
          <w:bCs/>
          <w:kern w:val="0"/>
          <w:sz w:val="24"/>
          <w:szCs w:val="24"/>
        </w:rPr>
      </w:pPr>
      <w:r>
        <w:rPr>
          <w:rFonts w:hint="eastAsia" w:ascii="宋体" w:hAnsi="宋体" w:cs="Arial"/>
          <w:b/>
          <w:bCs/>
          <w:kern w:val="0"/>
          <w:sz w:val="24"/>
          <w:szCs w:val="24"/>
        </w:rPr>
        <w:t>5.2.16  服务方案</w:t>
      </w:r>
    </w:p>
    <w:p>
      <w:pPr>
        <w:pStyle w:val="11"/>
        <w:jc w:val="center"/>
        <w:rPr>
          <w:b/>
          <w:bCs/>
          <w:sz w:val="32"/>
          <w:szCs w:val="32"/>
        </w:rPr>
      </w:pPr>
    </w:p>
    <w:p>
      <w:pPr>
        <w:pStyle w:val="11"/>
        <w:jc w:val="center"/>
      </w:pPr>
      <w:r>
        <w:rPr>
          <w:rFonts w:hint="eastAsia"/>
          <w:b/>
          <w:bCs/>
          <w:sz w:val="32"/>
          <w:szCs w:val="32"/>
        </w:rPr>
        <w:t>服务方案</w:t>
      </w:r>
    </w:p>
    <w:p>
      <w:pPr>
        <w:pStyle w:val="11"/>
        <w:ind w:firstLine="420" w:firstLineChars="200"/>
        <w:rPr>
          <w:bCs/>
          <w:sz w:val="24"/>
          <w:szCs w:val="24"/>
        </w:rPr>
      </w:pPr>
      <w:r>
        <w:rPr>
          <w:rFonts w:hint="eastAsia" w:cs="宋体"/>
          <w:bCs/>
          <w:szCs w:val="21"/>
        </w:rPr>
        <w:t>投标人根据此次项目实际需求，制定具体的供货服务方案。</w:t>
      </w:r>
    </w:p>
    <w:p>
      <w:pPr>
        <w:widowControl/>
        <w:jc w:val="center"/>
        <w:textAlignment w:val="center"/>
        <w:rPr>
          <w:rFonts w:ascii="宋体" w:hAnsi="宋体" w:cs="宋体"/>
          <w:b/>
          <w:sz w:val="30"/>
          <w:szCs w:val="30"/>
        </w:rPr>
      </w:pPr>
      <w:r>
        <w:rPr>
          <w:rFonts w:hint="eastAsia" w:ascii="宋体" w:hAnsi="宋体" w:cs="宋体"/>
          <w:b/>
          <w:sz w:val="30"/>
          <w:szCs w:val="30"/>
        </w:rPr>
        <w:t xml:space="preserve"> </w:t>
      </w:r>
    </w:p>
    <w:p>
      <w:pPr>
        <w:rPr>
          <w:rFonts w:ascii="宋体" w:hAnsi="宋体" w:cs="Arial"/>
          <w:b/>
          <w:bCs/>
          <w:kern w:val="0"/>
          <w:sz w:val="24"/>
          <w:szCs w:val="24"/>
        </w:rPr>
      </w:pPr>
      <w:r>
        <w:rPr>
          <w:rFonts w:hint="eastAsia" w:ascii="宋体" w:hAnsi="宋体" w:cs="Arial"/>
          <w:b/>
          <w:bCs/>
          <w:kern w:val="0"/>
          <w:sz w:val="24"/>
          <w:szCs w:val="24"/>
        </w:rPr>
        <w:t>5.2.17.  其他需要提交的资料</w:t>
      </w:r>
    </w:p>
    <w:p>
      <w:pPr>
        <w:pStyle w:val="2"/>
      </w:pPr>
    </w:p>
    <w:p>
      <w:pPr>
        <w:spacing w:line="360" w:lineRule="auto"/>
        <w:jc w:val="center"/>
        <w:rPr>
          <w:b/>
          <w:bCs/>
          <w:sz w:val="32"/>
          <w:szCs w:val="32"/>
        </w:rPr>
      </w:pPr>
      <w:r>
        <w:rPr>
          <w:rFonts w:hint="eastAsia"/>
          <w:b/>
          <w:bCs/>
          <w:sz w:val="32"/>
          <w:szCs w:val="32"/>
        </w:rPr>
        <w:t>其他需要提交的资料</w:t>
      </w:r>
    </w:p>
    <w:p>
      <w:pPr>
        <w:spacing w:line="360" w:lineRule="auto"/>
        <w:rPr>
          <w:szCs w:val="21"/>
        </w:rPr>
      </w:pPr>
      <w:r>
        <w:rPr>
          <w:rFonts w:hint="eastAsia"/>
          <w:szCs w:val="21"/>
        </w:rPr>
        <w:t>根据招标文件的要求和投标人认为需要提供的资料。</w:t>
      </w:r>
    </w:p>
    <w:p>
      <w:pPr>
        <w:spacing w:line="280" w:lineRule="exact"/>
        <w:rPr>
          <w:rFonts w:ascii="宋体" w:hAnsi="宋体" w:cs="Arial"/>
          <w:kern w:val="0"/>
          <w:sz w:val="24"/>
          <w:szCs w:val="24"/>
        </w:rPr>
      </w:pPr>
    </w:p>
    <w:p/>
    <w:p>
      <w:pPr>
        <w:spacing w:line="440" w:lineRule="exact"/>
        <w:jc w:val="center"/>
        <w:outlineLvl w:val="0"/>
        <w:rPr>
          <w:rFonts w:ascii="宋体" w:hAnsi="宋体" w:cs="宋体"/>
          <w:b/>
          <w:sz w:val="24"/>
          <w:szCs w:val="24"/>
        </w:rPr>
      </w:pPr>
      <w:bookmarkStart w:id="99" w:name="_Toc27766"/>
      <w:bookmarkStart w:id="100" w:name="_Toc11547"/>
      <w:r>
        <w:rPr>
          <w:rFonts w:hint="eastAsia" w:ascii="黑体" w:hAnsi="黑体" w:eastAsia="黑体" w:cs="黑体"/>
          <w:bCs/>
          <w:sz w:val="32"/>
          <w:szCs w:val="32"/>
        </w:rPr>
        <w:br w:type="page"/>
      </w:r>
      <w:bookmarkStart w:id="101" w:name="_Toc23695"/>
      <w:r>
        <w:rPr>
          <w:rFonts w:hint="eastAsia" w:ascii="黑体" w:hAnsi="黑体" w:eastAsia="黑体" w:cs="黑体"/>
          <w:bCs/>
          <w:sz w:val="32"/>
          <w:szCs w:val="32"/>
        </w:rPr>
        <w:t>第六章 补充条款</w:t>
      </w:r>
      <w:bookmarkEnd w:id="99"/>
      <w:bookmarkEnd w:id="100"/>
      <w:bookmarkEnd w:id="101"/>
    </w:p>
    <w:p>
      <w:pPr>
        <w:jc w:val="center"/>
        <w:rPr>
          <w:b/>
          <w:bCs/>
        </w:rPr>
      </w:pPr>
      <w:bookmarkStart w:id="102" w:name="_Toc22054"/>
      <w:bookmarkStart w:id="103" w:name="_Toc8104"/>
    </w:p>
    <w:p>
      <w:pPr>
        <w:spacing w:line="360" w:lineRule="auto"/>
        <w:rPr>
          <w:rFonts w:asciiTheme="minorEastAsia" w:hAnsiTheme="minorEastAsia" w:eastAsiaTheme="minorEastAsia" w:cstheme="minorEastAsia"/>
          <w:sz w:val="24"/>
          <w:szCs w:val="24"/>
        </w:rPr>
      </w:pPr>
      <w:r>
        <w:rPr>
          <w:rFonts w:hint="eastAsia" w:ascii="宋体" w:hAnsi="宋体" w:cs="宋体"/>
          <w:b/>
          <w:bCs/>
        </w:rPr>
        <w:t>说明：为了避免投标人邮递快递的时间，建议投标时单独携带《协议》6份</w:t>
      </w:r>
      <w:bookmarkEnd w:id="102"/>
      <w:bookmarkEnd w:id="103"/>
      <w:r>
        <w:rPr>
          <w:rFonts w:hint="eastAsia" w:asciiTheme="minorEastAsia" w:hAnsiTheme="minorEastAsia" w:eastAsiaTheme="minorEastAsia" w:cstheme="minorEastAsia"/>
          <w:szCs w:val="21"/>
        </w:rPr>
        <w:t>。</w:t>
      </w:r>
    </w:p>
    <w:sectPr>
      <w:headerReference r:id="rId9" w:type="default"/>
      <w:footerReference r:id="rId10" w:type="default"/>
      <w:pgSz w:w="12240" w:h="15840"/>
      <w:pgMar w:top="1134"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r>
                      <w:rPr>
                        <w:rFonts w:hint="eastAsi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30"/>
        <w:szCs w:val="30"/>
      </w:rPr>
    </w:pPr>
    <w:r>
      <w:rPr>
        <w:sz w:val="3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r>
                      <w:rPr>
                        <w:rFonts w:hint="eastAsia"/>
                      </w:rPr>
                      <w:t xml:space="preserve"> —</w:t>
                    </w:r>
                  </w:p>
                </w:txbxContent>
              </v:textbox>
            </v:shape>
          </w:pict>
        </mc:Fallback>
      </mc:AlternateContent>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宋体" w:hAnsi="宋体" w:cs="Arial"/>
        <w:kern w:val="0"/>
      </w:rPr>
      <w:t>2023年中央动物防疫补助等（第二批资金）经费项目（一标段牛羊口蹄疫疫苗）招标文件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rFonts w:hint="eastAsia" w:ascii="宋体" w:hAnsi="宋体" w:cs="Arial"/>
        <w:i/>
        <w:iCs/>
        <w:kern w:val="0"/>
      </w:rPr>
      <w:t xml:space="preserve"> </w:t>
    </w:r>
    <w:r>
      <w:rPr>
        <w:rFonts w:hint="eastAsia" w:ascii="宋体" w:hAnsi="宋体" w:cs="Arial"/>
        <w:kern w:val="0"/>
      </w:rPr>
      <w:t>2023年中央动物防疫补助等（第二批资金）经费项目（一标段牛羊口蹄疫疫苗）招标文件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0F824"/>
    <w:multiLevelType w:val="singleLevel"/>
    <w:tmpl w:val="8670F824"/>
    <w:lvl w:ilvl="0" w:tentative="0">
      <w:start w:val="1"/>
      <w:numFmt w:val="chineseCounting"/>
      <w:suff w:val="space"/>
      <w:lvlText w:val="第%1部分"/>
      <w:lvlJc w:val="left"/>
      <w:rPr>
        <w:rFonts w:hint="eastAsia"/>
      </w:rPr>
    </w:lvl>
  </w:abstractNum>
  <w:abstractNum w:abstractNumId="1">
    <w:nsid w:val="F2BF7A9B"/>
    <w:multiLevelType w:val="singleLevel"/>
    <w:tmpl w:val="F2BF7A9B"/>
    <w:lvl w:ilvl="0" w:tentative="0">
      <w:start w:val="1"/>
      <w:numFmt w:val="chineseCounting"/>
      <w:suff w:val="space"/>
      <w:lvlText w:val="第%1节"/>
      <w:lvlJc w:val="left"/>
      <w:rPr>
        <w:rFonts w:hint="eastAsia"/>
      </w:rPr>
    </w:lvl>
  </w:abstractNum>
  <w:abstractNum w:abstractNumId="2">
    <w:nsid w:val="0000000D"/>
    <w:multiLevelType w:val="multilevel"/>
    <w:tmpl w:val="0000000D"/>
    <w:lvl w:ilvl="0" w:tentative="0">
      <w:start w:val="1"/>
      <w:numFmt w:val="decimal"/>
      <w:pStyle w:val="8"/>
      <w:lvlText w:val="%1."/>
      <w:lvlJc w:val="left"/>
      <w:pPr>
        <w:tabs>
          <w:tab w:val="left" w:pos="780"/>
        </w:tabs>
        <w:ind w:left="78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053208E"/>
    <w:multiLevelType w:val="multilevel"/>
    <w:tmpl w:val="0053208E"/>
    <w:lvl w:ilvl="0" w:tentative="0">
      <w:start w:val="1"/>
      <w:numFmt w:val="decimal"/>
      <w:lvlText w:val="%1."/>
      <w:lvlJc w:val="left"/>
      <w:pPr>
        <w:ind w:left="1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96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705" w:hanging="322"/>
      </w:pPr>
      <w:rPr>
        <w:rFonts w:hint="default"/>
        <w:lang w:val="zh-CN" w:eastAsia="zh-CN" w:bidi="zh-CN"/>
      </w:rPr>
    </w:lvl>
    <w:lvl w:ilvl="4" w:tentative="0">
      <w:start w:val="0"/>
      <w:numFmt w:val="bullet"/>
      <w:lvlText w:val="•"/>
      <w:lvlJc w:val="left"/>
      <w:pPr>
        <w:ind w:left="3574" w:hanging="322"/>
      </w:pPr>
      <w:rPr>
        <w:rFonts w:hint="default"/>
        <w:lang w:val="zh-CN" w:eastAsia="zh-CN" w:bidi="zh-CN"/>
      </w:rPr>
    </w:lvl>
    <w:lvl w:ilvl="5" w:tentative="0">
      <w:start w:val="0"/>
      <w:numFmt w:val="bullet"/>
      <w:lvlText w:val="•"/>
      <w:lvlJc w:val="left"/>
      <w:pPr>
        <w:ind w:left="4443" w:hanging="322"/>
      </w:pPr>
      <w:rPr>
        <w:rFonts w:hint="default"/>
        <w:lang w:val="zh-CN" w:eastAsia="zh-CN" w:bidi="zh-CN"/>
      </w:rPr>
    </w:lvl>
    <w:lvl w:ilvl="6" w:tentative="0">
      <w:start w:val="0"/>
      <w:numFmt w:val="bullet"/>
      <w:lvlText w:val="•"/>
      <w:lvlJc w:val="left"/>
      <w:pPr>
        <w:ind w:left="5311" w:hanging="322"/>
      </w:pPr>
      <w:rPr>
        <w:rFonts w:hint="default"/>
        <w:lang w:val="zh-CN" w:eastAsia="zh-CN" w:bidi="zh-CN"/>
      </w:rPr>
    </w:lvl>
    <w:lvl w:ilvl="7" w:tentative="0">
      <w:start w:val="0"/>
      <w:numFmt w:val="bullet"/>
      <w:lvlText w:val="•"/>
      <w:lvlJc w:val="left"/>
      <w:pPr>
        <w:ind w:left="6180" w:hanging="322"/>
      </w:pPr>
      <w:rPr>
        <w:rFonts w:hint="default"/>
        <w:lang w:val="zh-CN" w:eastAsia="zh-CN" w:bidi="zh-CN"/>
      </w:rPr>
    </w:lvl>
    <w:lvl w:ilvl="8" w:tentative="0">
      <w:start w:val="0"/>
      <w:numFmt w:val="bullet"/>
      <w:lvlText w:val="•"/>
      <w:lvlJc w:val="left"/>
      <w:pPr>
        <w:ind w:left="7048" w:hanging="322"/>
      </w:pPr>
      <w:rPr>
        <w:rFonts w:hint="default"/>
        <w:lang w:val="zh-CN" w:eastAsia="zh-CN" w:bidi="zh-CN"/>
      </w:rPr>
    </w:lvl>
  </w:abstractNum>
  <w:abstractNum w:abstractNumId="4">
    <w:nsid w:val="30EE4C8E"/>
    <w:multiLevelType w:val="singleLevel"/>
    <w:tmpl w:val="30EE4C8E"/>
    <w:lvl w:ilvl="0" w:tentative="0">
      <w:start w:val="5"/>
      <w:numFmt w:val="chineseCounting"/>
      <w:suff w:val="nothing"/>
      <w:lvlText w:val="%1、"/>
      <w:lvlJc w:val="left"/>
      <w:rPr>
        <w:rFonts w:hint="eastAsia"/>
      </w:rPr>
    </w:lvl>
  </w:abstractNum>
  <w:abstractNum w:abstractNumId="5">
    <w:nsid w:val="69DB6220"/>
    <w:multiLevelType w:val="singleLevel"/>
    <w:tmpl w:val="69DB6220"/>
    <w:lvl w:ilvl="0" w:tentative="0">
      <w:start w:val="9"/>
      <w:numFmt w:val="decimal"/>
      <w:suff w:val="nothing"/>
      <w:lvlText w:val="%1、"/>
      <w:lvlJc w:val="left"/>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MTBjMmEwMTQ4ZjBhYWYyN2M1ZTQ3NWRjOWJhYmQifQ=="/>
  </w:docVars>
  <w:rsids>
    <w:rsidRoot w:val="00C67C9F"/>
    <w:rsid w:val="00000C4A"/>
    <w:rsid w:val="00013D02"/>
    <w:rsid w:val="00016059"/>
    <w:rsid w:val="00017B26"/>
    <w:rsid w:val="000265C9"/>
    <w:rsid w:val="0002747F"/>
    <w:rsid w:val="00044121"/>
    <w:rsid w:val="000552F8"/>
    <w:rsid w:val="00073BF9"/>
    <w:rsid w:val="00081F04"/>
    <w:rsid w:val="000A443F"/>
    <w:rsid w:val="000A6437"/>
    <w:rsid w:val="000B07CB"/>
    <w:rsid w:val="000B1BCA"/>
    <w:rsid w:val="000C60C4"/>
    <w:rsid w:val="000D59F6"/>
    <w:rsid w:val="000E50D9"/>
    <w:rsid w:val="000E6925"/>
    <w:rsid w:val="000F0E5F"/>
    <w:rsid w:val="000F4529"/>
    <w:rsid w:val="000F7E9A"/>
    <w:rsid w:val="00101476"/>
    <w:rsid w:val="00103838"/>
    <w:rsid w:val="00104F0E"/>
    <w:rsid w:val="00112D53"/>
    <w:rsid w:val="0011339D"/>
    <w:rsid w:val="0011350A"/>
    <w:rsid w:val="00113FB3"/>
    <w:rsid w:val="001165BA"/>
    <w:rsid w:val="00121395"/>
    <w:rsid w:val="00123006"/>
    <w:rsid w:val="00127039"/>
    <w:rsid w:val="001465C2"/>
    <w:rsid w:val="001535FF"/>
    <w:rsid w:val="00153D3A"/>
    <w:rsid w:val="00163DC1"/>
    <w:rsid w:val="00166504"/>
    <w:rsid w:val="00170533"/>
    <w:rsid w:val="00171B0A"/>
    <w:rsid w:val="00190760"/>
    <w:rsid w:val="001978E3"/>
    <w:rsid w:val="001A04A2"/>
    <w:rsid w:val="001A1AA6"/>
    <w:rsid w:val="001B3DEC"/>
    <w:rsid w:val="001C53DF"/>
    <w:rsid w:val="001D1B17"/>
    <w:rsid w:val="001D3EDB"/>
    <w:rsid w:val="001D42F4"/>
    <w:rsid w:val="001D52D2"/>
    <w:rsid w:val="00206FDA"/>
    <w:rsid w:val="002232C3"/>
    <w:rsid w:val="002310EA"/>
    <w:rsid w:val="00232515"/>
    <w:rsid w:val="00235CF8"/>
    <w:rsid w:val="00250293"/>
    <w:rsid w:val="00255D6D"/>
    <w:rsid w:val="002633C0"/>
    <w:rsid w:val="00277E5F"/>
    <w:rsid w:val="0029029F"/>
    <w:rsid w:val="00293A42"/>
    <w:rsid w:val="002A24D7"/>
    <w:rsid w:val="002A2B0B"/>
    <w:rsid w:val="002A6CF1"/>
    <w:rsid w:val="002A7DF1"/>
    <w:rsid w:val="002B3E2B"/>
    <w:rsid w:val="002B50E0"/>
    <w:rsid w:val="002D334E"/>
    <w:rsid w:val="002E153D"/>
    <w:rsid w:val="002E202D"/>
    <w:rsid w:val="002E47B0"/>
    <w:rsid w:val="002F319D"/>
    <w:rsid w:val="003171C7"/>
    <w:rsid w:val="003173C0"/>
    <w:rsid w:val="00324C9B"/>
    <w:rsid w:val="00326CC5"/>
    <w:rsid w:val="003442AD"/>
    <w:rsid w:val="00350B53"/>
    <w:rsid w:val="00351F7B"/>
    <w:rsid w:val="003542BB"/>
    <w:rsid w:val="00362173"/>
    <w:rsid w:val="00371D8D"/>
    <w:rsid w:val="00375915"/>
    <w:rsid w:val="00383922"/>
    <w:rsid w:val="00383B09"/>
    <w:rsid w:val="0039376E"/>
    <w:rsid w:val="00393A6E"/>
    <w:rsid w:val="003A4D51"/>
    <w:rsid w:val="003A6F6F"/>
    <w:rsid w:val="003A6FF2"/>
    <w:rsid w:val="003B116C"/>
    <w:rsid w:val="003B1C4E"/>
    <w:rsid w:val="003B297C"/>
    <w:rsid w:val="003B58E7"/>
    <w:rsid w:val="003E051B"/>
    <w:rsid w:val="00402BCF"/>
    <w:rsid w:val="0040339D"/>
    <w:rsid w:val="00404FD1"/>
    <w:rsid w:val="004179D4"/>
    <w:rsid w:val="00425D03"/>
    <w:rsid w:val="0043502E"/>
    <w:rsid w:val="00455C42"/>
    <w:rsid w:val="004621B4"/>
    <w:rsid w:val="00475EA6"/>
    <w:rsid w:val="004A54B8"/>
    <w:rsid w:val="004A742C"/>
    <w:rsid w:val="004A78B7"/>
    <w:rsid w:val="004B427C"/>
    <w:rsid w:val="004B5034"/>
    <w:rsid w:val="004C09D7"/>
    <w:rsid w:val="004C0EF3"/>
    <w:rsid w:val="004C3C5F"/>
    <w:rsid w:val="004C44A1"/>
    <w:rsid w:val="004C7A43"/>
    <w:rsid w:val="004E1047"/>
    <w:rsid w:val="004E18FC"/>
    <w:rsid w:val="004E72F1"/>
    <w:rsid w:val="00505BB2"/>
    <w:rsid w:val="00506508"/>
    <w:rsid w:val="00506AB0"/>
    <w:rsid w:val="0050710E"/>
    <w:rsid w:val="00511641"/>
    <w:rsid w:val="005129C1"/>
    <w:rsid w:val="0051343F"/>
    <w:rsid w:val="00517BFE"/>
    <w:rsid w:val="005202F8"/>
    <w:rsid w:val="00526A4B"/>
    <w:rsid w:val="00546C46"/>
    <w:rsid w:val="00561451"/>
    <w:rsid w:val="00575FD2"/>
    <w:rsid w:val="00582179"/>
    <w:rsid w:val="005839C0"/>
    <w:rsid w:val="0058407F"/>
    <w:rsid w:val="00585911"/>
    <w:rsid w:val="005B004E"/>
    <w:rsid w:val="005C37DC"/>
    <w:rsid w:val="005D6981"/>
    <w:rsid w:val="005E2009"/>
    <w:rsid w:val="005E26FE"/>
    <w:rsid w:val="005E515B"/>
    <w:rsid w:val="005F199A"/>
    <w:rsid w:val="005F2C8E"/>
    <w:rsid w:val="006017F4"/>
    <w:rsid w:val="00613FA5"/>
    <w:rsid w:val="00614DAA"/>
    <w:rsid w:val="00620FA2"/>
    <w:rsid w:val="00626CEA"/>
    <w:rsid w:val="0063062A"/>
    <w:rsid w:val="00633BB2"/>
    <w:rsid w:val="00643B3D"/>
    <w:rsid w:val="0064655B"/>
    <w:rsid w:val="00666C30"/>
    <w:rsid w:val="0067394F"/>
    <w:rsid w:val="006A2471"/>
    <w:rsid w:val="006A33A5"/>
    <w:rsid w:val="006A508E"/>
    <w:rsid w:val="006B6B64"/>
    <w:rsid w:val="006D08D3"/>
    <w:rsid w:val="006D2329"/>
    <w:rsid w:val="006D6FD6"/>
    <w:rsid w:val="006E7342"/>
    <w:rsid w:val="006F0663"/>
    <w:rsid w:val="006F0AC6"/>
    <w:rsid w:val="006F1BE4"/>
    <w:rsid w:val="006F3544"/>
    <w:rsid w:val="0070210C"/>
    <w:rsid w:val="00710F62"/>
    <w:rsid w:val="00727453"/>
    <w:rsid w:val="0073259C"/>
    <w:rsid w:val="00733382"/>
    <w:rsid w:val="007426F9"/>
    <w:rsid w:val="00742BFD"/>
    <w:rsid w:val="0074379D"/>
    <w:rsid w:val="00750AB9"/>
    <w:rsid w:val="0076121D"/>
    <w:rsid w:val="007659A6"/>
    <w:rsid w:val="00767A15"/>
    <w:rsid w:val="007714BE"/>
    <w:rsid w:val="00772525"/>
    <w:rsid w:val="00775417"/>
    <w:rsid w:val="00775DF0"/>
    <w:rsid w:val="00777C78"/>
    <w:rsid w:val="007859AB"/>
    <w:rsid w:val="007B2C24"/>
    <w:rsid w:val="007B4635"/>
    <w:rsid w:val="007C0C5E"/>
    <w:rsid w:val="007E5578"/>
    <w:rsid w:val="007F1FBD"/>
    <w:rsid w:val="007F4E3A"/>
    <w:rsid w:val="0080325F"/>
    <w:rsid w:val="00816311"/>
    <w:rsid w:val="00824C00"/>
    <w:rsid w:val="00845462"/>
    <w:rsid w:val="00846CC8"/>
    <w:rsid w:val="00852931"/>
    <w:rsid w:val="008601D4"/>
    <w:rsid w:val="00865A74"/>
    <w:rsid w:val="0087098E"/>
    <w:rsid w:val="00871C15"/>
    <w:rsid w:val="008810FF"/>
    <w:rsid w:val="00883A5B"/>
    <w:rsid w:val="008924DF"/>
    <w:rsid w:val="00892AEE"/>
    <w:rsid w:val="0089319E"/>
    <w:rsid w:val="008B1E69"/>
    <w:rsid w:val="008C0EE7"/>
    <w:rsid w:val="008C3092"/>
    <w:rsid w:val="008C7340"/>
    <w:rsid w:val="0091268B"/>
    <w:rsid w:val="00931D40"/>
    <w:rsid w:val="00934DE5"/>
    <w:rsid w:val="00937D63"/>
    <w:rsid w:val="00941E7F"/>
    <w:rsid w:val="00943E28"/>
    <w:rsid w:val="00944818"/>
    <w:rsid w:val="009650CE"/>
    <w:rsid w:val="00982B13"/>
    <w:rsid w:val="00986A4A"/>
    <w:rsid w:val="00990764"/>
    <w:rsid w:val="009B2D7D"/>
    <w:rsid w:val="009B3D35"/>
    <w:rsid w:val="009C07CD"/>
    <w:rsid w:val="009C2928"/>
    <w:rsid w:val="009D53E0"/>
    <w:rsid w:val="009D5FFE"/>
    <w:rsid w:val="009D79BA"/>
    <w:rsid w:val="009F471A"/>
    <w:rsid w:val="00A23C0D"/>
    <w:rsid w:val="00A318F4"/>
    <w:rsid w:val="00A37D89"/>
    <w:rsid w:val="00A40247"/>
    <w:rsid w:val="00A43AD8"/>
    <w:rsid w:val="00A52EBE"/>
    <w:rsid w:val="00A5482E"/>
    <w:rsid w:val="00A60BFE"/>
    <w:rsid w:val="00A610BD"/>
    <w:rsid w:val="00A66E20"/>
    <w:rsid w:val="00A6733A"/>
    <w:rsid w:val="00A71B60"/>
    <w:rsid w:val="00A721D8"/>
    <w:rsid w:val="00A72527"/>
    <w:rsid w:val="00A82D66"/>
    <w:rsid w:val="00AB1178"/>
    <w:rsid w:val="00AB4AE7"/>
    <w:rsid w:val="00AB6E61"/>
    <w:rsid w:val="00AE081C"/>
    <w:rsid w:val="00AE4E5E"/>
    <w:rsid w:val="00AF361A"/>
    <w:rsid w:val="00AF460F"/>
    <w:rsid w:val="00B24CA1"/>
    <w:rsid w:val="00B34A1A"/>
    <w:rsid w:val="00B71B35"/>
    <w:rsid w:val="00B873FD"/>
    <w:rsid w:val="00B97C0C"/>
    <w:rsid w:val="00BB5004"/>
    <w:rsid w:val="00BC1478"/>
    <w:rsid w:val="00BC2278"/>
    <w:rsid w:val="00BC533D"/>
    <w:rsid w:val="00BC6501"/>
    <w:rsid w:val="00BC69C4"/>
    <w:rsid w:val="00BD0A5D"/>
    <w:rsid w:val="00BE795D"/>
    <w:rsid w:val="00BF4035"/>
    <w:rsid w:val="00BF69F1"/>
    <w:rsid w:val="00BF7C49"/>
    <w:rsid w:val="00C03B5B"/>
    <w:rsid w:val="00C04E7A"/>
    <w:rsid w:val="00C10F3A"/>
    <w:rsid w:val="00C11380"/>
    <w:rsid w:val="00C150C7"/>
    <w:rsid w:val="00C21201"/>
    <w:rsid w:val="00C22694"/>
    <w:rsid w:val="00C25662"/>
    <w:rsid w:val="00C26541"/>
    <w:rsid w:val="00C30117"/>
    <w:rsid w:val="00C4042A"/>
    <w:rsid w:val="00C649A9"/>
    <w:rsid w:val="00C66D03"/>
    <w:rsid w:val="00C67C9F"/>
    <w:rsid w:val="00C757C4"/>
    <w:rsid w:val="00C951D5"/>
    <w:rsid w:val="00CA4F5C"/>
    <w:rsid w:val="00CC0527"/>
    <w:rsid w:val="00CC67DC"/>
    <w:rsid w:val="00CD175E"/>
    <w:rsid w:val="00CE1C76"/>
    <w:rsid w:val="00CE41D5"/>
    <w:rsid w:val="00CF4EDC"/>
    <w:rsid w:val="00D0190C"/>
    <w:rsid w:val="00D040D7"/>
    <w:rsid w:val="00D1015B"/>
    <w:rsid w:val="00D160D5"/>
    <w:rsid w:val="00D20713"/>
    <w:rsid w:val="00D22F7D"/>
    <w:rsid w:val="00D27A6B"/>
    <w:rsid w:val="00D37782"/>
    <w:rsid w:val="00D44775"/>
    <w:rsid w:val="00D46B1D"/>
    <w:rsid w:val="00D62A3D"/>
    <w:rsid w:val="00D62F54"/>
    <w:rsid w:val="00D62F9D"/>
    <w:rsid w:val="00D66F99"/>
    <w:rsid w:val="00DA3D66"/>
    <w:rsid w:val="00DC58B0"/>
    <w:rsid w:val="00DD2B0E"/>
    <w:rsid w:val="00DD3DB4"/>
    <w:rsid w:val="00DE038F"/>
    <w:rsid w:val="00DE6FDB"/>
    <w:rsid w:val="00DF2643"/>
    <w:rsid w:val="00E00EED"/>
    <w:rsid w:val="00E011D0"/>
    <w:rsid w:val="00E218D0"/>
    <w:rsid w:val="00E24F75"/>
    <w:rsid w:val="00E272E8"/>
    <w:rsid w:val="00E400E2"/>
    <w:rsid w:val="00E432EE"/>
    <w:rsid w:val="00E52BE1"/>
    <w:rsid w:val="00E605E1"/>
    <w:rsid w:val="00E63207"/>
    <w:rsid w:val="00E6692E"/>
    <w:rsid w:val="00E70CD1"/>
    <w:rsid w:val="00E776E4"/>
    <w:rsid w:val="00E851BB"/>
    <w:rsid w:val="00E85D34"/>
    <w:rsid w:val="00E90F96"/>
    <w:rsid w:val="00E92A6D"/>
    <w:rsid w:val="00E93FF5"/>
    <w:rsid w:val="00E973E4"/>
    <w:rsid w:val="00EB7A2E"/>
    <w:rsid w:val="00EC678A"/>
    <w:rsid w:val="00ED25D6"/>
    <w:rsid w:val="00EF27E5"/>
    <w:rsid w:val="00F00B60"/>
    <w:rsid w:val="00F02A8D"/>
    <w:rsid w:val="00F1391A"/>
    <w:rsid w:val="00F144FE"/>
    <w:rsid w:val="00F23B96"/>
    <w:rsid w:val="00F308CB"/>
    <w:rsid w:val="00F30D17"/>
    <w:rsid w:val="00F33B15"/>
    <w:rsid w:val="00F342B0"/>
    <w:rsid w:val="00F6746A"/>
    <w:rsid w:val="00F850F3"/>
    <w:rsid w:val="00FA490A"/>
    <w:rsid w:val="00FA620C"/>
    <w:rsid w:val="00FB1E72"/>
    <w:rsid w:val="00FC07BA"/>
    <w:rsid w:val="00FC3A03"/>
    <w:rsid w:val="00FE0DF5"/>
    <w:rsid w:val="01106E57"/>
    <w:rsid w:val="01156984"/>
    <w:rsid w:val="013B3BFE"/>
    <w:rsid w:val="01437C9C"/>
    <w:rsid w:val="01675578"/>
    <w:rsid w:val="016E2F6B"/>
    <w:rsid w:val="016F2883"/>
    <w:rsid w:val="01746304"/>
    <w:rsid w:val="017B3E79"/>
    <w:rsid w:val="017F5D69"/>
    <w:rsid w:val="01AC0DBD"/>
    <w:rsid w:val="01C26EF9"/>
    <w:rsid w:val="01CF7B30"/>
    <w:rsid w:val="01D0713C"/>
    <w:rsid w:val="01D36FDF"/>
    <w:rsid w:val="02214C05"/>
    <w:rsid w:val="02477318"/>
    <w:rsid w:val="0250441F"/>
    <w:rsid w:val="025232AE"/>
    <w:rsid w:val="02624F82"/>
    <w:rsid w:val="027438FD"/>
    <w:rsid w:val="027C6319"/>
    <w:rsid w:val="027D248A"/>
    <w:rsid w:val="02BF017A"/>
    <w:rsid w:val="02D05652"/>
    <w:rsid w:val="03142E6D"/>
    <w:rsid w:val="03204F67"/>
    <w:rsid w:val="0336442F"/>
    <w:rsid w:val="033C0578"/>
    <w:rsid w:val="034867F5"/>
    <w:rsid w:val="037D76E5"/>
    <w:rsid w:val="03862072"/>
    <w:rsid w:val="03AC6FB5"/>
    <w:rsid w:val="03AD0EA7"/>
    <w:rsid w:val="03B56022"/>
    <w:rsid w:val="03FC58EC"/>
    <w:rsid w:val="04087093"/>
    <w:rsid w:val="042B3F46"/>
    <w:rsid w:val="045811A3"/>
    <w:rsid w:val="04726EBD"/>
    <w:rsid w:val="04762336"/>
    <w:rsid w:val="047C1BC0"/>
    <w:rsid w:val="049D3B84"/>
    <w:rsid w:val="04D8063D"/>
    <w:rsid w:val="04DF34EE"/>
    <w:rsid w:val="04FC74A2"/>
    <w:rsid w:val="05020016"/>
    <w:rsid w:val="051F32C6"/>
    <w:rsid w:val="052F0EC2"/>
    <w:rsid w:val="05760974"/>
    <w:rsid w:val="059C24DE"/>
    <w:rsid w:val="059E270D"/>
    <w:rsid w:val="05B34A99"/>
    <w:rsid w:val="05B61068"/>
    <w:rsid w:val="05C77EFD"/>
    <w:rsid w:val="05E037A1"/>
    <w:rsid w:val="05E42351"/>
    <w:rsid w:val="05FF5386"/>
    <w:rsid w:val="060379FA"/>
    <w:rsid w:val="06257AF4"/>
    <w:rsid w:val="062C3D68"/>
    <w:rsid w:val="064C53F8"/>
    <w:rsid w:val="065339FA"/>
    <w:rsid w:val="066D40F0"/>
    <w:rsid w:val="06911475"/>
    <w:rsid w:val="06A05B53"/>
    <w:rsid w:val="06B56A05"/>
    <w:rsid w:val="06D817FA"/>
    <w:rsid w:val="06DC153A"/>
    <w:rsid w:val="06E21933"/>
    <w:rsid w:val="06EA78A6"/>
    <w:rsid w:val="07054D61"/>
    <w:rsid w:val="0709226B"/>
    <w:rsid w:val="07222C2C"/>
    <w:rsid w:val="0733548C"/>
    <w:rsid w:val="07483715"/>
    <w:rsid w:val="07513355"/>
    <w:rsid w:val="075D46CE"/>
    <w:rsid w:val="075F61A7"/>
    <w:rsid w:val="078512C5"/>
    <w:rsid w:val="081650CC"/>
    <w:rsid w:val="08443035"/>
    <w:rsid w:val="0845459B"/>
    <w:rsid w:val="087A0515"/>
    <w:rsid w:val="087A2A48"/>
    <w:rsid w:val="087F1432"/>
    <w:rsid w:val="0891435B"/>
    <w:rsid w:val="08941988"/>
    <w:rsid w:val="089F31D1"/>
    <w:rsid w:val="08AF0A47"/>
    <w:rsid w:val="08CB470B"/>
    <w:rsid w:val="08CC705C"/>
    <w:rsid w:val="08E15F7E"/>
    <w:rsid w:val="08FB1AFE"/>
    <w:rsid w:val="09157581"/>
    <w:rsid w:val="091D2F0F"/>
    <w:rsid w:val="091E3A38"/>
    <w:rsid w:val="0923052E"/>
    <w:rsid w:val="09297745"/>
    <w:rsid w:val="09571D2F"/>
    <w:rsid w:val="09585C59"/>
    <w:rsid w:val="099871B0"/>
    <w:rsid w:val="099D19A2"/>
    <w:rsid w:val="09B22363"/>
    <w:rsid w:val="09B35997"/>
    <w:rsid w:val="09EA7A06"/>
    <w:rsid w:val="0A3F3D63"/>
    <w:rsid w:val="0A42202D"/>
    <w:rsid w:val="0A425DEE"/>
    <w:rsid w:val="0A5A5AB5"/>
    <w:rsid w:val="0A637B1D"/>
    <w:rsid w:val="0A79472F"/>
    <w:rsid w:val="0A7B0640"/>
    <w:rsid w:val="0AAB6A92"/>
    <w:rsid w:val="0AB106BD"/>
    <w:rsid w:val="0AE2150B"/>
    <w:rsid w:val="0B1E5812"/>
    <w:rsid w:val="0B290DCA"/>
    <w:rsid w:val="0B324E4B"/>
    <w:rsid w:val="0B58174C"/>
    <w:rsid w:val="0B6866B1"/>
    <w:rsid w:val="0B6F58DE"/>
    <w:rsid w:val="0BB24931"/>
    <w:rsid w:val="0BBA37C2"/>
    <w:rsid w:val="0BBE153E"/>
    <w:rsid w:val="0C154502"/>
    <w:rsid w:val="0C2C334D"/>
    <w:rsid w:val="0C4542D5"/>
    <w:rsid w:val="0C667328"/>
    <w:rsid w:val="0C7049B7"/>
    <w:rsid w:val="0C8002E9"/>
    <w:rsid w:val="0C8F1898"/>
    <w:rsid w:val="0CC31F1E"/>
    <w:rsid w:val="0CE5606D"/>
    <w:rsid w:val="0CF54541"/>
    <w:rsid w:val="0D067720"/>
    <w:rsid w:val="0D0C3CC2"/>
    <w:rsid w:val="0D264C2F"/>
    <w:rsid w:val="0D282311"/>
    <w:rsid w:val="0D2F258C"/>
    <w:rsid w:val="0D340656"/>
    <w:rsid w:val="0D5A5F09"/>
    <w:rsid w:val="0D5F19D9"/>
    <w:rsid w:val="0D613D74"/>
    <w:rsid w:val="0D6B1C3D"/>
    <w:rsid w:val="0D8526E6"/>
    <w:rsid w:val="0D8E70CB"/>
    <w:rsid w:val="0D945DBF"/>
    <w:rsid w:val="0D963A03"/>
    <w:rsid w:val="0DB167B4"/>
    <w:rsid w:val="0DD43451"/>
    <w:rsid w:val="0E00610A"/>
    <w:rsid w:val="0E431DCF"/>
    <w:rsid w:val="0E436A73"/>
    <w:rsid w:val="0E5139F9"/>
    <w:rsid w:val="0E542C78"/>
    <w:rsid w:val="0E7E2C97"/>
    <w:rsid w:val="0EA07951"/>
    <w:rsid w:val="0EB72779"/>
    <w:rsid w:val="0EBB70C4"/>
    <w:rsid w:val="0ED415EF"/>
    <w:rsid w:val="0EDA10D3"/>
    <w:rsid w:val="0EE652FC"/>
    <w:rsid w:val="0F45459B"/>
    <w:rsid w:val="0F472617"/>
    <w:rsid w:val="0F5B3242"/>
    <w:rsid w:val="0F7435BB"/>
    <w:rsid w:val="0F831B4B"/>
    <w:rsid w:val="0F843BE6"/>
    <w:rsid w:val="0F844F80"/>
    <w:rsid w:val="0FA455C1"/>
    <w:rsid w:val="0FEB1AD9"/>
    <w:rsid w:val="0FFC7994"/>
    <w:rsid w:val="10100090"/>
    <w:rsid w:val="101C0CE5"/>
    <w:rsid w:val="103030D9"/>
    <w:rsid w:val="105A5073"/>
    <w:rsid w:val="107C2DE4"/>
    <w:rsid w:val="107F2A10"/>
    <w:rsid w:val="1081031F"/>
    <w:rsid w:val="10877F76"/>
    <w:rsid w:val="109B3FCF"/>
    <w:rsid w:val="10BA332D"/>
    <w:rsid w:val="113F379D"/>
    <w:rsid w:val="1144473C"/>
    <w:rsid w:val="11561999"/>
    <w:rsid w:val="11A535C5"/>
    <w:rsid w:val="11BF5164"/>
    <w:rsid w:val="12101FDE"/>
    <w:rsid w:val="12175551"/>
    <w:rsid w:val="122B4ED6"/>
    <w:rsid w:val="122D1FFC"/>
    <w:rsid w:val="125735A8"/>
    <w:rsid w:val="12910975"/>
    <w:rsid w:val="12BF1302"/>
    <w:rsid w:val="12C62515"/>
    <w:rsid w:val="12D13364"/>
    <w:rsid w:val="12F37B7D"/>
    <w:rsid w:val="1305572E"/>
    <w:rsid w:val="131D31DF"/>
    <w:rsid w:val="13493743"/>
    <w:rsid w:val="13626E2B"/>
    <w:rsid w:val="137A4B8E"/>
    <w:rsid w:val="13854144"/>
    <w:rsid w:val="138E5777"/>
    <w:rsid w:val="13921104"/>
    <w:rsid w:val="13C86586"/>
    <w:rsid w:val="13D058DD"/>
    <w:rsid w:val="13F63697"/>
    <w:rsid w:val="13FE1599"/>
    <w:rsid w:val="1416258D"/>
    <w:rsid w:val="141E69D6"/>
    <w:rsid w:val="1480253B"/>
    <w:rsid w:val="14B972A1"/>
    <w:rsid w:val="15185746"/>
    <w:rsid w:val="151B0DE8"/>
    <w:rsid w:val="154C2C72"/>
    <w:rsid w:val="157674B2"/>
    <w:rsid w:val="15AB361F"/>
    <w:rsid w:val="15AD65AB"/>
    <w:rsid w:val="15B903FF"/>
    <w:rsid w:val="15CA22E2"/>
    <w:rsid w:val="15CE3113"/>
    <w:rsid w:val="15ED36E4"/>
    <w:rsid w:val="160E35F4"/>
    <w:rsid w:val="161552A7"/>
    <w:rsid w:val="161E3C5E"/>
    <w:rsid w:val="162C5D78"/>
    <w:rsid w:val="16337568"/>
    <w:rsid w:val="164237B1"/>
    <w:rsid w:val="16714803"/>
    <w:rsid w:val="167D072F"/>
    <w:rsid w:val="16A10A6C"/>
    <w:rsid w:val="16C74C50"/>
    <w:rsid w:val="16FC7116"/>
    <w:rsid w:val="16FE0496"/>
    <w:rsid w:val="1709242E"/>
    <w:rsid w:val="17173EF7"/>
    <w:rsid w:val="172E54EC"/>
    <w:rsid w:val="173E329D"/>
    <w:rsid w:val="17895948"/>
    <w:rsid w:val="17BE2ADE"/>
    <w:rsid w:val="17D03681"/>
    <w:rsid w:val="17E665A0"/>
    <w:rsid w:val="17F200CF"/>
    <w:rsid w:val="18241F60"/>
    <w:rsid w:val="185B2BD4"/>
    <w:rsid w:val="189B4425"/>
    <w:rsid w:val="189B6EDC"/>
    <w:rsid w:val="18A25957"/>
    <w:rsid w:val="18F643B4"/>
    <w:rsid w:val="18F739E8"/>
    <w:rsid w:val="19147FC6"/>
    <w:rsid w:val="19293523"/>
    <w:rsid w:val="19324B06"/>
    <w:rsid w:val="198C73FE"/>
    <w:rsid w:val="1991446C"/>
    <w:rsid w:val="19B0572A"/>
    <w:rsid w:val="19B90620"/>
    <w:rsid w:val="1A3B0906"/>
    <w:rsid w:val="1A4904D7"/>
    <w:rsid w:val="1AAE377B"/>
    <w:rsid w:val="1AD77FAB"/>
    <w:rsid w:val="1AEB473F"/>
    <w:rsid w:val="1AF11A33"/>
    <w:rsid w:val="1B002F23"/>
    <w:rsid w:val="1B0B2872"/>
    <w:rsid w:val="1B101DBF"/>
    <w:rsid w:val="1B431B24"/>
    <w:rsid w:val="1B5B5EB7"/>
    <w:rsid w:val="1B5C1B76"/>
    <w:rsid w:val="1B89698E"/>
    <w:rsid w:val="1B9E0372"/>
    <w:rsid w:val="1C2161A4"/>
    <w:rsid w:val="1C576E13"/>
    <w:rsid w:val="1C655A92"/>
    <w:rsid w:val="1C8B2144"/>
    <w:rsid w:val="1CB533A4"/>
    <w:rsid w:val="1CE23B97"/>
    <w:rsid w:val="1CE341B6"/>
    <w:rsid w:val="1CF229F8"/>
    <w:rsid w:val="1CFC1AA8"/>
    <w:rsid w:val="1D0B588B"/>
    <w:rsid w:val="1D213362"/>
    <w:rsid w:val="1D4903EF"/>
    <w:rsid w:val="1D4D3819"/>
    <w:rsid w:val="1D534056"/>
    <w:rsid w:val="1D74412F"/>
    <w:rsid w:val="1D896722"/>
    <w:rsid w:val="1D8A5D9D"/>
    <w:rsid w:val="1D8C6352"/>
    <w:rsid w:val="1DB00EF5"/>
    <w:rsid w:val="1DB03BC0"/>
    <w:rsid w:val="1DB55A44"/>
    <w:rsid w:val="1DE55B4B"/>
    <w:rsid w:val="1DEC5119"/>
    <w:rsid w:val="1E173DC0"/>
    <w:rsid w:val="1E390D6A"/>
    <w:rsid w:val="1E411D77"/>
    <w:rsid w:val="1EB35418"/>
    <w:rsid w:val="1ECA3FF8"/>
    <w:rsid w:val="1EE66CDE"/>
    <w:rsid w:val="1F0422E7"/>
    <w:rsid w:val="1F232EC8"/>
    <w:rsid w:val="1F455F2A"/>
    <w:rsid w:val="1F6C1473"/>
    <w:rsid w:val="1F9279CD"/>
    <w:rsid w:val="1FC06F13"/>
    <w:rsid w:val="1FDF1A00"/>
    <w:rsid w:val="1FE556C1"/>
    <w:rsid w:val="20357E1D"/>
    <w:rsid w:val="203D60C2"/>
    <w:rsid w:val="20621A95"/>
    <w:rsid w:val="2089543C"/>
    <w:rsid w:val="209E23A2"/>
    <w:rsid w:val="20B25534"/>
    <w:rsid w:val="20C6361D"/>
    <w:rsid w:val="20D60D3F"/>
    <w:rsid w:val="211C6188"/>
    <w:rsid w:val="21573813"/>
    <w:rsid w:val="215E59C0"/>
    <w:rsid w:val="21682C31"/>
    <w:rsid w:val="217B29A3"/>
    <w:rsid w:val="218D3000"/>
    <w:rsid w:val="218E3DD1"/>
    <w:rsid w:val="21924727"/>
    <w:rsid w:val="2197446D"/>
    <w:rsid w:val="21AC71AB"/>
    <w:rsid w:val="21AE6C6A"/>
    <w:rsid w:val="21B43731"/>
    <w:rsid w:val="21C0737A"/>
    <w:rsid w:val="21DF10F4"/>
    <w:rsid w:val="21E17873"/>
    <w:rsid w:val="21E60443"/>
    <w:rsid w:val="222661B8"/>
    <w:rsid w:val="223647EE"/>
    <w:rsid w:val="223D6366"/>
    <w:rsid w:val="226B5145"/>
    <w:rsid w:val="22705F3E"/>
    <w:rsid w:val="22887B4A"/>
    <w:rsid w:val="22B97C07"/>
    <w:rsid w:val="22C56C61"/>
    <w:rsid w:val="22D06B69"/>
    <w:rsid w:val="22DD4E8C"/>
    <w:rsid w:val="22EF7EF7"/>
    <w:rsid w:val="231F7F08"/>
    <w:rsid w:val="232712BF"/>
    <w:rsid w:val="232B70FE"/>
    <w:rsid w:val="23564105"/>
    <w:rsid w:val="2366105C"/>
    <w:rsid w:val="239575A3"/>
    <w:rsid w:val="23B45313"/>
    <w:rsid w:val="23DE27E2"/>
    <w:rsid w:val="23E558BC"/>
    <w:rsid w:val="241C0080"/>
    <w:rsid w:val="241C7EAF"/>
    <w:rsid w:val="24245BA0"/>
    <w:rsid w:val="243E799E"/>
    <w:rsid w:val="24415E66"/>
    <w:rsid w:val="24557229"/>
    <w:rsid w:val="24942581"/>
    <w:rsid w:val="24AA3DF1"/>
    <w:rsid w:val="24B74FEF"/>
    <w:rsid w:val="24EA7A0E"/>
    <w:rsid w:val="25296017"/>
    <w:rsid w:val="252E63EA"/>
    <w:rsid w:val="25581892"/>
    <w:rsid w:val="255B5238"/>
    <w:rsid w:val="257123C9"/>
    <w:rsid w:val="25B21AA2"/>
    <w:rsid w:val="25C16138"/>
    <w:rsid w:val="261E178B"/>
    <w:rsid w:val="26272A0F"/>
    <w:rsid w:val="264F0C79"/>
    <w:rsid w:val="265040D3"/>
    <w:rsid w:val="268728BA"/>
    <w:rsid w:val="269E7CA7"/>
    <w:rsid w:val="26A75422"/>
    <w:rsid w:val="26BA6AF7"/>
    <w:rsid w:val="26D8294A"/>
    <w:rsid w:val="26D82DD5"/>
    <w:rsid w:val="26EB005C"/>
    <w:rsid w:val="27250246"/>
    <w:rsid w:val="275935A3"/>
    <w:rsid w:val="276C4254"/>
    <w:rsid w:val="278063CA"/>
    <w:rsid w:val="279055BE"/>
    <w:rsid w:val="27D16BFF"/>
    <w:rsid w:val="27F028AD"/>
    <w:rsid w:val="27F43717"/>
    <w:rsid w:val="27FB3EBE"/>
    <w:rsid w:val="28680229"/>
    <w:rsid w:val="287773A2"/>
    <w:rsid w:val="28AC6BA3"/>
    <w:rsid w:val="28BF0170"/>
    <w:rsid w:val="28C7226F"/>
    <w:rsid w:val="28FD74CF"/>
    <w:rsid w:val="290D08D7"/>
    <w:rsid w:val="292535BA"/>
    <w:rsid w:val="2934593E"/>
    <w:rsid w:val="29357264"/>
    <w:rsid w:val="29613E1A"/>
    <w:rsid w:val="296A6DC3"/>
    <w:rsid w:val="296F6AF0"/>
    <w:rsid w:val="298C7352"/>
    <w:rsid w:val="29921110"/>
    <w:rsid w:val="29A57C2F"/>
    <w:rsid w:val="29B73FBB"/>
    <w:rsid w:val="29D53B52"/>
    <w:rsid w:val="2A0B607A"/>
    <w:rsid w:val="2A9966F9"/>
    <w:rsid w:val="2ACB035D"/>
    <w:rsid w:val="2AE35384"/>
    <w:rsid w:val="2B0526DD"/>
    <w:rsid w:val="2B0609C0"/>
    <w:rsid w:val="2B0D669B"/>
    <w:rsid w:val="2B170BD2"/>
    <w:rsid w:val="2B2B4FCE"/>
    <w:rsid w:val="2B3C5133"/>
    <w:rsid w:val="2B456A94"/>
    <w:rsid w:val="2B6255AF"/>
    <w:rsid w:val="2B683CD1"/>
    <w:rsid w:val="2B85187A"/>
    <w:rsid w:val="2B980E17"/>
    <w:rsid w:val="2BA50982"/>
    <w:rsid w:val="2BAD70C5"/>
    <w:rsid w:val="2BC52ED8"/>
    <w:rsid w:val="2BCD2592"/>
    <w:rsid w:val="2BE02379"/>
    <w:rsid w:val="2BFE5EF4"/>
    <w:rsid w:val="2C0954BB"/>
    <w:rsid w:val="2C0E3D97"/>
    <w:rsid w:val="2C0F3291"/>
    <w:rsid w:val="2C115F94"/>
    <w:rsid w:val="2C1C5152"/>
    <w:rsid w:val="2C221AC0"/>
    <w:rsid w:val="2C223330"/>
    <w:rsid w:val="2C390A4E"/>
    <w:rsid w:val="2C4018DD"/>
    <w:rsid w:val="2C7016A5"/>
    <w:rsid w:val="2C7A05B4"/>
    <w:rsid w:val="2C8D3392"/>
    <w:rsid w:val="2C8F317C"/>
    <w:rsid w:val="2CE025E3"/>
    <w:rsid w:val="2CFB1F83"/>
    <w:rsid w:val="2D2B6E04"/>
    <w:rsid w:val="2D2F47E1"/>
    <w:rsid w:val="2D3D4DCC"/>
    <w:rsid w:val="2D5C5F79"/>
    <w:rsid w:val="2D5D7A22"/>
    <w:rsid w:val="2D6E2A3E"/>
    <w:rsid w:val="2D7771F9"/>
    <w:rsid w:val="2D7827F9"/>
    <w:rsid w:val="2D7F2692"/>
    <w:rsid w:val="2D977BD7"/>
    <w:rsid w:val="2D9E2129"/>
    <w:rsid w:val="2DA9483D"/>
    <w:rsid w:val="2DAE4C77"/>
    <w:rsid w:val="2DBC452D"/>
    <w:rsid w:val="2DBF44A0"/>
    <w:rsid w:val="2DFF4F32"/>
    <w:rsid w:val="2E2107DB"/>
    <w:rsid w:val="2E361396"/>
    <w:rsid w:val="2E3613BE"/>
    <w:rsid w:val="2E3A062B"/>
    <w:rsid w:val="2E4F50ED"/>
    <w:rsid w:val="2E5B740C"/>
    <w:rsid w:val="2E6F4444"/>
    <w:rsid w:val="2E871ECC"/>
    <w:rsid w:val="2E8D4E26"/>
    <w:rsid w:val="2E8E614B"/>
    <w:rsid w:val="2E960737"/>
    <w:rsid w:val="2EC705F2"/>
    <w:rsid w:val="2EDA2CA2"/>
    <w:rsid w:val="2EDE3B82"/>
    <w:rsid w:val="2EF01D6E"/>
    <w:rsid w:val="2EF577FA"/>
    <w:rsid w:val="2EF832FF"/>
    <w:rsid w:val="2F015A77"/>
    <w:rsid w:val="2F2B3A41"/>
    <w:rsid w:val="2F4011D4"/>
    <w:rsid w:val="2F6C2E0D"/>
    <w:rsid w:val="2F6D291B"/>
    <w:rsid w:val="2FA554FB"/>
    <w:rsid w:val="2FBD23AC"/>
    <w:rsid w:val="2FBE6486"/>
    <w:rsid w:val="2FD1610F"/>
    <w:rsid w:val="2FDD23AE"/>
    <w:rsid w:val="2FE50B90"/>
    <w:rsid w:val="2FEF3FE9"/>
    <w:rsid w:val="30093444"/>
    <w:rsid w:val="300E2218"/>
    <w:rsid w:val="307B7C41"/>
    <w:rsid w:val="30AB41AA"/>
    <w:rsid w:val="30AF34A6"/>
    <w:rsid w:val="30F04383"/>
    <w:rsid w:val="30F06C49"/>
    <w:rsid w:val="310149B3"/>
    <w:rsid w:val="31073E58"/>
    <w:rsid w:val="310821F9"/>
    <w:rsid w:val="31342A6B"/>
    <w:rsid w:val="31372458"/>
    <w:rsid w:val="314F6905"/>
    <w:rsid w:val="31565D8B"/>
    <w:rsid w:val="31BC1DAB"/>
    <w:rsid w:val="31CC10F8"/>
    <w:rsid w:val="31EC2C5D"/>
    <w:rsid w:val="31F16BA1"/>
    <w:rsid w:val="3204551A"/>
    <w:rsid w:val="320A08EE"/>
    <w:rsid w:val="322E55AD"/>
    <w:rsid w:val="32316B11"/>
    <w:rsid w:val="323B3057"/>
    <w:rsid w:val="32902485"/>
    <w:rsid w:val="32B15033"/>
    <w:rsid w:val="32C006E4"/>
    <w:rsid w:val="32C4038E"/>
    <w:rsid w:val="32DC4AA5"/>
    <w:rsid w:val="33154BA1"/>
    <w:rsid w:val="331C76A1"/>
    <w:rsid w:val="336F6231"/>
    <w:rsid w:val="337D4A67"/>
    <w:rsid w:val="337E3B25"/>
    <w:rsid w:val="33884F17"/>
    <w:rsid w:val="33B525C2"/>
    <w:rsid w:val="33D84DC7"/>
    <w:rsid w:val="34137C61"/>
    <w:rsid w:val="34142C4F"/>
    <w:rsid w:val="343B362F"/>
    <w:rsid w:val="34452E08"/>
    <w:rsid w:val="34461F9D"/>
    <w:rsid w:val="34465BA7"/>
    <w:rsid w:val="3476000E"/>
    <w:rsid w:val="34827024"/>
    <w:rsid w:val="349037F8"/>
    <w:rsid w:val="349547C3"/>
    <w:rsid w:val="349C7FB4"/>
    <w:rsid w:val="34CE2DFE"/>
    <w:rsid w:val="35302754"/>
    <w:rsid w:val="353B1677"/>
    <w:rsid w:val="35604701"/>
    <w:rsid w:val="356367C8"/>
    <w:rsid w:val="3574422D"/>
    <w:rsid w:val="35971AF1"/>
    <w:rsid w:val="35AD1EA8"/>
    <w:rsid w:val="35E25229"/>
    <w:rsid w:val="35F871F3"/>
    <w:rsid w:val="36164594"/>
    <w:rsid w:val="362D39A7"/>
    <w:rsid w:val="363E48D6"/>
    <w:rsid w:val="36660C86"/>
    <w:rsid w:val="367C3368"/>
    <w:rsid w:val="36AD7624"/>
    <w:rsid w:val="36F54CA9"/>
    <w:rsid w:val="373234FA"/>
    <w:rsid w:val="373D7148"/>
    <w:rsid w:val="374372BC"/>
    <w:rsid w:val="375A24F7"/>
    <w:rsid w:val="375E6893"/>
    <w:rsid w:val="376917C0"/>
    <w:rsid w:val="37706493"/>
    <w:rsid w:val="377122F8"/>
    <w:rsid w:val="37730F13"/>
    <w:rsid w:val="377917C2"/>
    <w:rsid w:val="379209F4"/>
    <w:rsid w:val="37A903E4"/>
    <w:rsid w:val="37A95147"/>
    <w:rsid w:val="37B50A29"/>
    <w:rsid w:val="37BC5AD7"/>
    <w:rsid w:val="37BD2102"/>
    <w:rsid w:val="37C54DD6"/>
    <w:rsid w:val="37D92D67"/>
    <w:rsid w:val="37DD5071"/>
    <w:rsid w:val="37DD54CB"/>
    <w:rsid w:val="37DF3574"/>
    <w:rsid w:val="37EE6761"/>
    <w:rsid w:val="37FD13F1"/>
    <w:rsid w:val="38312326"/>
    <w:rsid w:val="3867644C"/>
    <w:rsid w:val="386E71B7"/>
    <w:rsid w:val="388A37EC"/>
    <w:rsid w:val="389A37A0"/>
    <w:rsid w:val="38AE3429"/>
    <w:rsid w:val="38C442F4"/>
    <w:rsid w:val="38CB2A24"/>
    <w:rsid w:val="38D56010"/>
    <w:rsid w:val="38DB01DF"/>
    <w:rsid w:val="38E9076C"/>
    <w:rsid w:val="38F87876"/>
    <w:rsid w:val="38FC2D78"/>
    <w:rsid w:val="392E02A7"/>
    <w:rsid w:val="393D31CA"/>
    <w:rsid w:val="39432003"/>
    <w:rsid w:val="39480F9F"/>
    <w:rsid w:val="3949091A"/>
    <w:rsid w:val="39585372"/>
    <w:rsid w:val="39842625"/>
    <w:rsid w:val="398B178F"/>
    <w:rsid w:val="39947BE9"/>
    <w:rsid w:val="39985BE4"/>
    <w:rsid w:val="39AC43A3"/>
    <w:rsid w:val="39B96528"/>
    <w:rsid w:val="39D67267"/>
    <w:rsid w:val="39EA4104"/>
    <w:rsid w:val="3A1525DB"/>
    <w:rsid w:val="3A1731A6"/>
    <w:rsid w:val="3A2E5FCC"/>
    <w:rsid w:val="3A441736"/>
    <w:rsid w:val="3A4557BD"/>
    <w:rsid w:val="3A507090"/>
    <w:rsid w:val="3A51530F"/>
    <w:rsid w:val="3A807DDE"/>
    <w:rsid w:val="3A8706C8"/>
    <w:rsid w:val="3A955DA3"/>
    <w:rsid w:val="3A9B722D"/>
    <w:rsid w:val="3AA12683"/>
    <w:rsid w:val="3AE42A27"/>
    <w:rsid w:val="3AFF23EB"/>
    <w:rsid w:val="3B174552"/>
    <w:rsid w:val="3B4E0E3D"/>
    <w:rsid w:val="3B555025"/>
    <w:rsid w:val="3B845EA6"/>
    <w:rsid w:val="3B9F743A"/>
    <w:rsid w:val="3BAD1C48"/>
    <w:rsid w:val="3BB03962"/>
    <w:rsid w:val="3BDB2003"/>
    <w:rsid w:val="3BF34BAD"/>
    <w:rsid w:val="3C236322"/>
    <w:rsid w:val="3C33405E"/>
    <w:rsid w:val="3C350283"/>
    <w:rsid w:val="3C502C92"/>
    <w:rsid w:val="3C5F0B0C"/>
    <w:rsid w:val="3C68002C"/>
    <w:rsid w:val="3C822EAC"/>
    <w:rsid w:val="3C946B12"/>
    <w:rsid w:val="3CA274FD"/>
    <w:rsid w:val="3CA32A44"/>
    <w:rsid w:val="3CB30E5D"/>
    <w:rsid w:val="3CC72495"/>
    <w:rsid w:val="3CC72799"/>
    <w:rsid w:val="3CF97B4E"/>
    <w:rsid w:val="3D1029A5"/>
    <w:rsid w:val="3D195167"/>
    <w:rsid w:val="3D2A1E59"/>
    <w:rsid w:val="3D451C49"/>
    <w:rsid w:val="3D4D4EFF"/>
    <w:rsid w:val="3D6D2FAC"/>
    <w:rsid w:val="3D881DC5"/>
    <w:rsid w:val="3D940A31"/>
    <w:rsid w:val="3DC53179"/>
    <w:rsid w:val="3DD40C05"/>
    <w:rsid w:val="3DE34E17"/>
    <w:rsid w:val="3E02001E"/>
    <w:rsid w:val="3E022ED6"/>
    <w:rsid w:val="3E09134A"/>
    <w:rsid w:val="3E4366BC"/>
    <w:rsid w:val="3E5068CB"/>
    <w:rsid w:val="3E6C2CB5"/>
    <w:rsid w:val="3E8A2A42"/>
    <w:rsid w:val="3EC3599D"/>
    <w:rsid w:val="3EC9429D"/>
    <w:rsid w:val="3ED34C82"/>
    <w:rsid w:val="3EDB0304"/>
    <w:rsid w:val="3EDD29FF"/>
    <w:rsid w:val="3EFC0DC8"/>
    <w:rsid w:val="3F0A622E"/>
    <w:rsid w:val="3F2C019E"/>
    <w:rsid w:val="3F2F6115"/>
    <w:rsid w:val="3F43423E"/>
    <w:rsid w:val="3F4A21EA"/>
    <w:rsid w:val="3F6F342F"/>
    <w:rsid w:val="3FCD1363"/>
    <w:rsid w:val="3FCF245F"/>
    <w:rsid w:val="3FFD3F53"/>
    <w:rsid w:val="40007F0E"/>
    <w:rsid w:val="40104C12"/>
    <w:rsid w:val="4029304B"/>
    <w:rsid w:val="40916AE3"/>
    <w:rsid w:val="409C51BE"/>
    <w:rsid w:val="40AB3059"/>
    <w:rsid w:val="40C96150"/>
    <w:rsid w:val="40CE5E5A"/>
    <w:rsid w:val="40D223AA"/>
    <w:rsid w:val="40F35590"/>
    <w:rsid w:val="40F90683"/>
    <w:rsid w:val="4108757A"/>
    <w:rsid w:val="413C1DFE"/>
    <w:rsid w:val="41447EC3"/>
    <w:rsid w:val="41573F70"/>
    <w:rsid w:val="41637BB1"/>
    <w:rsid w:val="416C1EB7"/>
    <w:rsid w:val="4179482B"/>
    <w:rsid w:val="418A1810"/>
    <w:rsid w:val="419F0251"/>
    <w:rsid w:val="41EA6B56"/>
    <w:rsid w:val="41EB725D"/>
    <w:rsid w:val="41F61BE6"/>
    <w:rsid w:val="41FD7266"/>
    <w:rsid w:val="420664AB"/>
    <w:rsid w:val="42551D52"/>
    <w:rsid w:val="426E1896"/>
    <w:rsid w:val="428731AA"/>
    <w:rsid w:val="42C02BBD"/>
    <w:rsid w:val="42CD1CE1"/>
    <w:rsid w:val="42F8798E"/>
    <w:rsid w:val="43017BB5"/>
    <w:rsid w:val="433C3887"/>
    <w:rsid w:val="434F7FAB"/>
    <w:rsid w:val="435D5BFA"/>
    <w:rsid w:val="43A15667"/>
    <w:rsid w:val="43AE222E"/>
    <w:rsid w:val="43C73A51"/>
    <w:rsid w:val="43D03B80"/>
    <w:rsid w:val="43D42F80"/>
    <w:rsid w:val="43D71909"/>
    <w:rsid w:val="43E07893"/>
    <w:rsid w:val="43FB0043"/>
    <w:rsid w:val="44070A5E"/>
    <w:rsid w:val="4418505F"/>
    <w:rsid w:val="441B53DD"/>
    <w:rsid w:val="44257191"/>
    <w:rsid w:val="44294B3A"/>
    <w:rsid w:val="44330830"/>
    <w:rsid w:val="44575BAD"/>
    <w:rsid w:val="44694C56"/>
    <w:rsid w:val="446D5748"/>
    <w:rsid w:val="44861206"/>
    <w:rsid w:val="448C15E1"/>
    <w:rsid w:val="449F164A"/>
    <w:rsid w:val="44AD26D9"/>
    <w:rsid w:val="44D62B41"/>
    <w:rsid w:val="44EC09DD"/>
    <w:rsid w:val="44F25289"/>
    <w:rsid w:val="45017F31"/>
    <w:rsid w:val="454E37EF"/>
    <w:rsid w:val="45877724"/>
    <w:rsid w:val="45A71B75"/>
    <w:rsid w:val="45DF3668"/>
    <w:rsid w:val="45E317DE"/>
    <w:rsid w:val="45E3429F"/>
    <w:rsid w:val="45E9614C"/>
    <w:rsid w:val="45ED31E0"/>
    <w:rsid w:val="46161C7F"/>
    <w:rsid w:val="463026A7"/>
    <w:rsid w:val="463F7D21"/>
    <w:rsid w:val="46790A96"/>
    <w:rsid w:val="4681414C"/>
    <w:rsid w:val="46AF4380"/>
    <w:rsid w:val="46BD26B0"/>
    <w:rsid w:val="46D035BA"/>
    <w:rsid w:val="46DD0676"/>
    <w:rsid w:val="46FB3DCD"/>
    <w:rsid w:val="470D5A07"/>
    <w:rsid w:val="47222B1B"/>
    <w:rsid w:val="472342CC"/>
    <w:rsid w:val="47290AE7"/>
    <w:rsid w:val="47601C13"/>
    <w:rsid w:val="478F328D"/>
    <w:rsid w:val="479A34A1"/>
    <w:rsid w:val="47CB7916"/>
    <w:rsid w:val="47F127D3"/>
    <w:rsid w:val="480702C3"/>
    <w:rsid w:val="480A0693"/>
    <w:rsid w:val="482501A3"/>
    <w:rsid w:val="4836779A"/>
    <w:rsid w:val="484F7003"/>
    <w:rsid w:val="48501040"/>
    <w:rsid w:val="48610AC8"/>
    <w:rsid w:val="486875F5"/>
    <w:rsid w:val="487B3DCD"/>
    <w:rsid w:val="48854B0B"/>
    <w:rsid w:val="48880D54"/>
    <w:rsid w:val="48A25C63"/>
    <w:rsid w:val="48C07A7E"/>
    <w:rsid w:val="48D100F4"/>
    <w:rsid w:val="48EE6134"/>
    <w:rsid w:val="48F4786A"/>
    <w:rsid w:val="48FD5F50"/>
    <w:rsid w:val="4907057B"/>
    <w:rsid w:val="4913307D"/>
    <w:rsid w:val="491752D4"/>
    <w:rsid w:val="492C3D90"/>
    <w:rsid w:val="493372E0"/>
    <w:rsid w:val="494D6ADE"/>
    <w:rsid w:val="49736C08"/>
    <w:rsid w:val="4982373F"/>
    <w:rsid w:val="49F402E8"/>
    <w:rsid w:val="4A075672"/>
    <w:rsid w:val="4A1B5B22"/>
    <w:rsid w:val="4A201C61"/>
    <w:rsid w:val="4A2B2559"/>
    <w:rsid w:val="4A8301BC"/>
    <w:rsid w:val="4A9119C5"/>
    <w:rsid w:val="4A950577"/>
    <w:rsid w:val="4A9A2FE4"/>
    <w:rsid w:val="4A9D63EE"/>
    <w:rsid w:val="4A9E7B55"/>
    <w:rsid w:val="4AED107B"/>
    <w:rsid w:val="4AED7796"/>
    <w:rsid w:val="4AFA30CF"/>
    <w:rsid w:val="4B1865C6"/>
    <w:rsid w:val="4B6D6ABD"/>
    <w:rsid w:val="4B7A06FF"/>
    <w:rsid w:val="4BAB3261"/>
    <w:rsid w:val="4BB636BA"/>
    <w:rsid w:val="4BBD0ABC"/>
    <w:rsid w:val="4BCA2348"/>
    <w:rsid w:val="4BFD7A97"/>
    <w:rsid w:val="4C63256E"/>
    <w:rsid w:val="4C7057D2"/>
    <w:rsid w:val="4CAA7E25"/>
    <w:rsid w:val="4CCD2F19"/>
    <w:rsid w:val="4D021D86"/>
    <w:rsid w:val="4D2F7A00"/>
    <w:rsid w:val="4D4308C0"/>
    <w:rsid w:val="4D813CFA"/>
    <w:rsid w:val="4D84763A"/>
    <w:rsid w:val="4DA8405E"/>
    <w:rsid w:val="4DC76EF1"/>
    <w:rsid w:val="4DD84F89"/>
    <w:rsid w:val="4DF04FA6"/>
    <w:rsid w:val="4E290428"/>
    <w:rsid w:val="4E6719F5"/>
    <w:rsid w:val="4E7073C0"/>
    <w:rsid w:val="4E851132"/>
    <w:rsid w:val="4EA658CB"/>
    <w:rsid w:val="4EBE41C8"/>
    <w:rsid w:val="4EE21C64"/>
    <w:rsid w:val="4F0015AD"/>
    <w:rsid w:val="4F3645E1"/>
    <w:rsid w:val="4F5A58EE"/>
    <w:rsid w:val="4F7C7BCE"/>
    <w:rsid w:val="4FA4231A"/>
    <w:rsid w:val="4FA62BB6"/>
    <w:rsid w:val="4FB66059"/>
    <w:rsid w:val="4FCD67B7"/>
    <w:rsid w:val="4FDA66A3"/>
    <w:rsid w:val="4FEA7D7D"/>
    <w:rsid w:val="4FF83D38"/>
    <w:rsid w:val="5004650E"/>
    <w:rsid w:val="501675F6"/>
    <w:rsid w:val="501F3AD4"/>
    <w:rsid w:val="50211939"/>
    <w:rsid w:val="50275611"/>
    <w:rsid w:val="503E7BE6"/>
    <w:rsid w:val="504B01B3"/>
    <w:rsid w:val="50505BB9"/>
    <w:rsid w:val="505F2E3E"/>
    <w:rsid w:val="509053DC"/>
    <w:rsid w:val="50930F30"/>
    <w:rsid w:val="509A0C33"/>
    <w:rsid w:val="509E0602"/>
    <w:rsid w:val="50A00EE3"/>
    <w:rsid w:val="50A22EAD"/>
    <w:rsid w:val="50D343FC"/>
    <w:rsid w:val="50D4621C"/>
    <w:rsid w:val="50F153C9"/>
    <w:rsid w:val="50FA17DF"/>
    <w:rsid w:val="51056D79"/>
    <w:rsid w:val="511A3AE3"/>
    <w:rsid w:val="511F11FF"/>
    <w:rsid w:val="513678ED"/>
    <w:rsid w:val="513B51EB"/>
    <w:rsid w:val="516951EB"/>
    <w:rsid w:val="5188636F"/>
    <w:rsid w:val="5197045D"/>
    <w:rsid w:val="51970AC5"/>
    <w:rsid w:val="51BB3923"/>
    <w:rsid w:val="51D10778"/>
    <w:rsid w:val="51EE17DC"/>
    <w:rsid w:val="52120376"/>
    <w:rsid w:val="521B2A92"/>
    <w:rsid w:val="521B2D82"/>
    <w:rsid w:val="52676B80"/>
    <w:rsid w:val="526B549B"/>
    <w:rsid w:val="52792BEC"/>
    <w:rsid w:val="52A76621"/>
    <w:rsid w:val="52D52A39"/>
    <w:rsid w:val="52E15F9A"/>
    <w:rsid w:val="52E8742D"/>
    <w:rsid w:val="52F2486D"/>
    <w:rsid w:val="530E6862"/>
    <w:rsid w:val="531D530A"/>
    <w:rsid w:val="532003D9"/>
    <w:rsid w:val="532066C0"/>
    <w:rsid w:val="534807CB"/>
    <w:rsid w:val="534D792A"/>
    <w:rsid w:val="53A1549C"/>
    <w:rsid w:val="53C758A5"/>
    <w:rsid w:val="53EF159D"/>
    <w:rsid w:val="541E5381"/>
    <w:rsid w:val="54444C88"/>
    <w:rsid w:val="544500D8"/>
    <w:rsid w:val="546750D1"/>
    <w:rsid w:val="54846B1D"/>
    <w:rsid w:val="54871DFC"/>
    <w:rsid w:val="548A6BD8"/>
    <w:rsid w:val="54956838"/>
    <w:rsid w:val="54A11E85"/>
    <w:rsid w:val="54A42632"/>
    <w:rsid w:val="54A67CBB"/>
    <w:rsid w:val="54BD621C"/>
    <w:rsid w:val="54C14277"/>
    <w:rsid w:val="54C7677D"/>
    <w:rsid w:val="54CE2075"/>
    <w:rsid w:val="54D7542F"/>
    <w:rsid w:val="54E06860"/>
    <w:rsid w:val="54EA382C"/>
    <w:rsid w:val="54F06BF2"/>
    <w:rsid w:val="54F6171D"/>
    <w:rsid w:val="54FC11B8"/>
    <w:rsid w:val="553E324C"/>
    <w:rsid w:val="553F5ABA"/>
    <w:rsid w:val="55571A52"/>
    <w:rsid w:val="556E74FB"/>
    <w:rsid w:val="55723639"/>
    <w:rsid w:val="55A567F7"/>
    <w:rsid w:val="55B142F1"/>
    <w:rsid w:val="55B70C2C"/>
    <w:rsid w:val="55BE4EF1"/>
    <w:rsid w:val="55E12364"/>
    <w:rsid w:val="56046A24"/>
    <w:rsid w:val="560F515E"/>
    <w:rsid w:val="56173973"/>
    <w:rsid w:val="561E4B0C"/>
    <w:rsid w:val="562F78F2"/>
    <w:rsid w:val="5630740B"/>
    <w:rsid w:val="564A715F"/>
    <w:rsid w:val="5654626F"/>
    <w:rsid w:val="56576521"/>
    <w:rsid w:val="5660336B"/>
    <w:rsid w:val="569A0118"/>
    <w:rsid w:val="569D7901"/>
    <w:rsid w:val="56B43740"/>
    <w:rsid w:val="56C540F5"/>
    <w:rsid w:val="56CB31E9"/>
    <w:rsid w:val="56E1114B"/>
    <w:rsid w:val="56E76E34"/>
    <w:rsid w:val="56F47FC0"/>
    <w:rsid w:val="578247C7"/>
    <w:rsid w:val="579566CF"/>
    <w:rsid w:val="579A1AC9"/>
    <w:rsid w:val="579E14B9"/>
    <w:rsid w:val="57B30A5A"/>
    <w:rsid w:val="57BE6600"/>
    <w:rsid w:val="57DD54B1"/>
    <w:rsid w:val="581054B3"/>
    <w:rsid w:val="581126CD"/>
    <w:rsid w:val="581C482A"/>
    <w:rsid w:val="58223E7B"/>
    <w:rsid w:val="58262DCD"/>
    <w:rsid w:val="582F7A62"/>
    <w:rsid w:val="585C5962"/>
    <w:rsid w:val="58613E05"/>
    <w:rsid w:val="587248EF"/>
    <w:rsid w:val="58AB32D2"/>
    <w:rsid w:val="58CC2B9F"/>
    <w:rsid w:val="58D0448C"/>
    <w:rsid w:val="58E07728"/>
    <w:rsid w:val="58ED46A1"/>
    <w:rsid w:val="58F201D6"/>
    <w:rsid w:val="59004276"/>
    <w:rsid w:val="591F15CA"/>
    <w:rsid w:val="592622CE"/>
    <w:rsid w:val="592E64A4"/>
    <w:rsid w:val="592F5CB1"/>
    <w:rsid w:val="593B41AC"/>
    <w:rsid w:val="59534778"/>
    <w:rsid w:val="59637709"/>
    <w:rsid w:val="59B17386"/>
    <w:rsid w:val="59BC506B"/>
    <w:rsid w:val="59C655EC"/>
    <w:rsid w:val="59C811DA"/>
    <w:rsid w:val="59C9625C"/>
    <w:rsid w:val="59D70C1A"/>
    <w:rsid w:val="59F33B87"/>
    <w:rsid w:val="5A081D3B"/>
    <w:rsid w:val="5A1F7E57"/>
    <w:rsid w:val="5A35299B"/>
    <w:rsid w:val="5A627F0F"/>
    <w:rsid w:val="5A6C5092"/>
    <w:rsid w:val="5A9E34D8"/>
    <w:rsid w:val="5AE44379"/>
    <w:rsid w:val="5B0428BB"/>
    <w:rsid w:val="5B29547D"/>
    <w:rsid w:val="5B7D6B26"/>
    <w:rsid w:val="5B880AC3"/>
    <w:rsid w:val="5B9C6F02"/>
    <w:rsid w:val="5BA1201C"/>
    <w:rsid w:val="5BC33B7C"/>
    <w:rsid w:val="5C0B26B1"/>
    <w:rsid w:val="5C1F0533"/>
    <w:rsid w:val="5C436B5C"/>
    <w:rsid w:val="5C454781"/>
    <w:rsid w:val="5C4E46A0"/>
    <w:rsid w:val="5C6C4F5F"/>
    <w:rsid w:val="5C7A6F13"/>
    <w:rsid w:val="5C7B5C9C"/>
    <w:rsid w:val="5C812604"/>
    <w:rsid w:val="5C986AA2"/>
    <w:rsid w:val="5CA31920"/>
    <w:rsid w:val="5CC04A06"/>
    <w:rsid w:val="5CC50485"/>
    <w:rsid w:val="5CC5405A"/>
    <w:rsid w:val="5CFA58F8"/>
    <w:rsid w:val="5D1972E3"/>
    <w:rsid w:val="5D2F3B87"/>
    <w:rsid w:val="5D336975"/>
    <w:rsid w:val="5D3E33FD"/>
    <w:rsid w:val="5D4D6C2A"/>
    <w:rsid w:val="5D4E00D1"/>
    <w:rsid w:val="5D55380D"/>
    <w:rsid w:val="5D5E6B65"/>
    <w:rsid w:val="5D740DA8"/>
    <w:rsid w:val="5D832996"/>
    <w:rsid w:val="5D9216AD"/>
    <w:rsid w:val="5DA86797"/>
    <w:rsid w:val="5DD5494D"/>
    <w:rsid w:val="5DEF5E51"/>
    <w:rsid w:val="5E3722FD"/>
    <w:rsid w:val="5E54028A"/>
    <w:rsid w:val="5E556635"/>
    <w:rsid w:val="5EAA4C4E"/>
    <w:rsid w:val="5ECC79FB"/>
    <w:rsid w:val="5EDA0C49"/>
    <w:rsid w:val="5EFB7879"/>
    <w:rsid w:val="5F016568"/>
    <w:rsid w:val="5F262932"/>
    <w:rsid w:val="5F3169A8"/>
    <w:rsid w:val="5F337623"/>
    <w:rsid w:val="5F5F3E3C"/>
    <w:rsid w:val="5F867D76"/>
    <w:rsid w:val="5F977DDA"/>
    <w:rsid w:val="5FB266B4"/>
    <w:rsid w:val="5FD32248"/>
    <w:rsid w:val="5FFC29F3"/>
    <w:rsid w:val="601B3175"/>
    <w:rsid w:val="6035574B"/>
    <w:rsid w:val="60507ABF"/>
    <w:rsid w:val="608E2C99"/>
    <w:rsid w:val="60D20BE4"/>
    <w:rsid w:val="60D46942"/>
    <w:rsid w:val="60D72667"/>
    <w:rsid w:val="60E049BA"/>
    <w:rsid w:val="60E60910"/>
    <w:rsid w:val="60F56EEB"/>
    <w:rsid w:val="60F82E2D"/>
    <w:rsid w:val="611B2E3D"/>
    <w:rsid w:val="613918D8"/>
    <w:rsid w:val="613A0F21"/>
    <w:rsid w:val="6167665B"/>
    <w:rsid w:val="616873AB"/>
    <w:rsid w:val="61757205"/>
    <w:rsid w:val="618025D5"/>
    <w:rsid w:val="61807082"/>
    <w:rsid w:val="619B4B27"/>
    <w:rsid w:val="61C3277F"/>
    <w:rsid w:val="61D26BB3"/>
    <w:rsid w:val="61DB038C"/>
    <w:rsid w:val="61FE5622"/>
    <w:rsid w:val="62163319"/>
    <w:rsid w:val="622203A8"/>
    <w:rsid w:val="6225234E"/>
    <w:rsid w:val="62314011"/>
    <w:rsid w:val="62486493"/>
    <w:rsid w:val="627B55B6"/>
    <w:rsid w:val="62875D3B"/>
    <w:rsid w:val="628B3739"/>
    <w:rsid w:val="62997A83"/>
    <w:rsid w:val="62B72861"/>
    <w:rsid w:val="62CA43D1"/>
    <w:rsid w:val="62F02C83"/>
    <w:rsid w:val="63125E12"/>
    <w:rsid w:val="631D4DCC"/>
    <w:rsid w:val="633D499E"/>
    <w:rsid w:val="63443C90"/>
    <w:rsid w:val="6370180B"/>
    <w:rsid w:val="63BE7E17"/>
    <w:rsid w:val="63C33A87"/>
    <w:rsid w:val="63C659AF"/>
    <w:rsid w:val="64013A88"/>
    <w:rsid w:val="64330BB1"/>
    <w:rsid w:val="647C06B8"/>
    <w:rsid w:val="64933490"/>
    <w:rsid w:val="649E61BA"/>
    <w:rsid w:val="64A410ED"/>
    <w:rsid w:val="64B00B6F"/>
    <w:rsid w:val="64E23FA4"/>
    <w:rsid w:val="65023127"/>
    <w:rsid w:val="650630D6"/>
    <w:rsid w:val="65271F32"/>
    <w:rsid w:val="65467418"/>
    <w:rsid w:val="65585B5F"/>
    <w:rsid w:val="658A042A"/>
    <w:rsid w:val="65977B90"/>
    <w:rsid w:val="65AF5BAB"/>
    <w:rsid w:val="65BA0FC0"/>
    <w:rsid w:val="65EC7CB1"/>
    <w:rsid w:val="65F54519"/>
    <w:rsid w:val="65FD02F2"/>
    <w:rsid w:val="662D696F"/>
    <w:rsid w:val="66675751"/>
    <w:rsid w:val="666A0F81"/>
    <w:rsid w:val="668C327C"/>
    <w:rsid w:val="66BD39C2"/>
    <w:rsid w:val="66BE660B"/>
    <w:rsid w:val="66F07288"/>
    <w:rsid w:val="66FB08F2"/>
    <w:rsid w:val="671A6F1D"/>
    <w:rsid w:val="67641BC1"/>
    <w:rsid w:val="67D86951"/>
    <w:rsid w:val="67DC1D75"/>
    <w:rsid w:val="67F826F1"/>
    <w:rsid w:val="680754AF"/>
    <w:rsid w:val="682500F5"/>
    <w:rsid w:val="6833252D"/>
    <w:rsid w:val="684C6C8D"/>
    <w:rsid w:val="68503FD1"/>
    <w:rsid w:val="685A3D07"/>
    <w:rsid w:val="68796D54"/>
    <w:rsid w:val="68A108E3"/>
    <w:rsid w:val="68A23B13"/>
    <w:rsid w:val="68AA7B17"/>
    <w:rsid w:val="68EE75B0"/>
    <w:rsid w:val="69146D8D"/>
    <w:rsid w:val="6926095E"/>
    <w:rsid w:val="693326D4"/>
    <w:rsid w:val="69391001"/>
    <w:rsid w:val="69395F66"/>
    <w:rsid w:val="694F4347"/>
    <w:rsid w:val="69822F8B"/>
    <w:rsid w:val="6995713C"/>
    <w:rsid w:val="69A07F2A"/>
    <w:rsid w:val="69A71185"/>
    <w:rsid w:val="69A75FEF"/>
    <w:rsid w:val="69A90C07"/>
    <w:rsid w:val="69D02B44"/>
    <w:rsid w:val="69EA1DC7"/>
    <w:rsid w:val="6A064026"/>
    <w:rsid w:val="6A075B9D"/>
    <w:rsid w:val="6A376AFA"/>
    <w:rsid w:val="6A752B2D"/>
    <w:rsid w:val="6A7F33DE"/>
    <w:rsid w:val="6A8010B0"/>
    <w:rsid w:val="6AAA31DD"/>
    <w:rsid w:val="6AAA3FB9"/>
    <w:rsid w:val="6AEB1FDF"/>
    <w:rsid w:val="6AEF0CDF"/>
    <w:rsid w:val="6AFA53B6"/>
    <w:rsid w:val="6AFD7B81"/>
    <w:rsid w:val="6B142282"/>
    <w:rsid w:val="6B4A4E86"/>
    <w:rsid w:val="6B4E1582"/>
    <w:rsid w:val="6B574BF4"/>
    <w:rsid w:val="6B7554ED"/>
    <w:rsid w:val="6BB74590"/>
    <w:rsid w:val="6BC931EB"/>
    <w:rsid w:val="6BEC0F6F"/>
    <w:rsid w:val="6BF42DAB"/>
    <w:rsid w:val="6C0539D7"/>
    <w:rsid w:val="6C0D76BF"/>
    <w:rsid w:val="6C555FC0"/>
    <w:rsid w:val="6C845F7B"/>
    <w:rsid w:val="6C946B86"/>
    <w:rsid w:val="6C9B012D"/>
    <w:rsid w:val="6C9E23B8"/>
    <w:rsid w:val="6CFF47CB"/>
    <w:rsid w:val="6D1A278E"/>
    <w:rsid w:val="6D211372"/>
    <w:rsid w:val="6D5C3902"/>
    <w:rsid w:val="6D6828C9"/>
    <w:rsid w:val="6D7809B7"/>
    <w:rsid w:val="6D7B6216"/>
    <w:rsid w:val="6D9263B7"/>
    <w:rsid w:val="6DDC3C87"/>
    <w:rsid w:val="6E146709"/>
    <w:rsid w:val="6E1F0E5A"/>
    <w:rsid w:val="6E5B741C"/>
    <w:rsid w:val="6E6F43DE"/>
    <w:rsid w:val="6E7A265A"/>
    <w:rsid w:val="6E820922"/>
    <w:rsid w:val="6EBC0B32"/>
    <w:rsid w:val="6EC425A0"/>
    <w:rsid w:val="6EC4646B"/>
    <w:rsid w:val="6EC6456A"/>
    <w:rsid w:val="6ECC195B"/>
    <w:rsid w:val="6ED125AC"/>
    <w:rsid w:val="6EEC33E9"/>
    <w:rsid w:val="6EFF21CA"/>
    <w:rsid w:val="6F085BE2"/>
    <w:rsid w:val="6F8A5598"/>
    <w:rsid w:val="6FA04DBB"/>
    <w:rsid w:val="6FEF23C1"/>
    <w:rsid w:val="6FF846E9"/>
    <w:rsid w:val="6FF944CB"/>
    <w:rsid w:val="6FFD308C"/>
    <w:rsid w:val="70231548"/>
    <w:rsid w:val="702E686B"/>
    <w:rsid w:val="70827EAC"/>
    <w:rsid w:val="70AD079D"/>
    <w:rsid w:val="70B724BA"/>
    <w:rsid w:val="70BC03E9"/>
    <w:rsid w:val="70C71B96"/>
    <w:rsid w:val="70D675A1"/>
    <w:rsid w:val="710555BA"/>
    <w:rsid w:val="71155335"/>
    <w:rsid w:val="712E72D6"/>
    <w:rsid w:val="71530153"/>
    <w:rsid w:val="719E1F0C"/>
    <w:rsid w:val="71CC7A99"/>
    <w:rsid w:val="71DD3C6D"/>
    <w:rsid w:val="71E37923"/>
    <w:rsid w:val="720930EC"/>
    <w:rsid w:val="721C0DA0"/>
    <w:rsid w:val="72231E4C"/>
    <w:rsid w:val="723914F7"/>
    <w:rsid w:val="723F20D4"/>
    <w:rsid w:val="72473C79"/>
    <w:rsid w:val="726A345E"/>
    <w:rsid w:val="727227A4"/>
    <w:rsid w:val="727A07D7"/>
    <w:rsid w:val="72A1288C"/>
    <w:rsid w:val="72F35BF0"/>
    <w:rsid w:val="7303229A"/>
    <w:rsid w:val="73174970"/>
    <w:rsid w:val="73376D58"/>
    <w:rsid w:val="73541A17"/>
    <w:rsid w:val="739E7C91"/>
    <w:rsid w:val="73A420AC"/>
    <w:rsid w:val="73A75325"/>
    <w:rsid w:val="73BE1586"/>
    <w:rsid w:val="73F02346"/>
    <w:rsid w:val="73FD1B7E"/>
    <w:rsid w:val="740F34C9"/>
    <w:rsid w:val="74157CA1"/>
    <w:rsid w:val="74477EFB"/>
    <w:rsid w:val="744E66AF"/>
    <w:rsid w:val="748C1E53"/>
    <w:rsid w:val="74A95321"/>
    <w:rsid w:val="74F02341"/>
    <w:rsid w:val="752959C4"/>
    <w:rsid w:val="754A3111"/>
    <w:rsid w:val="756D6E7F"/>
    <w:rsid w:val="756D7927"/>
    <w:rsid w:val="75717D03"/>
    <w:rsid w:val="757F36C5"/>
    <w:rsid w:val="759410BF"/>
    <w:rsid w:val="75A90742"/>
    <w:rsid w:val="75B03233"/>
    <w:rsid w:val="75F10CD4"/>
    <w:rsid w:val="75FD79E5"/>
    <w:rsid w:val="7604309D"/>
    <w:rsid w:val="761D61BC"/>
    <w:rsid w:val="76521EE6"/>
    <w:rsid w:val="76561451"/>
    <w:rsid w:val="76635A7A"/>
    <w:rsid w:val="767057D7"/>
    <w:rsid w:val="76902A7F"/>
    <w:rsid w:val="76A6316B"/>
    <w:rsid w:val="76AF34A8"/>
    <w:rsid w:val="76B57CDA"/>
    <w:rsid w:val="76B70426"/>
    <w:rsid w:val="76BD2FA8"/>
    <w:rsid w:val="76C02FCC"/>
    <w:rsid w:val="76D63DCB"/>
    <w:rsid w:val="76DE6D2F"/>
    <w:rsid w:val="76E25005"/>
    <w:rsid w:val="76EE7A48"/>
    <w:rsid w:val="76EF0846"/>
    <w:rsid w:val="76FE07DC"/>
    <w:rsid w:val="77640F67"/>
    <w:rsid w:val="776902DB"/>
    <w:rsid w:val="777C03A4"/>
    <w:rsid w:val="77827014"/>
    <w:rsid w:val="77A97B37"/>
    <w:rsid w:val="782A60CC"/>
    <w:rsid w:val="78833D44"/>
    <w:rsid w:val="789D203B"/>
    <w:rsid w:val="78A93521"/>
    <w:rsid w:val="78B473AF"/>
    <w:rsid w:val="78E55F35"/>
    <w:rsid w:val="78EA7F9C"/>
    <w:rsid w:val="78F80721"/>
    <w:rsid w:val="790A2F9A"/>
    <w:rsid w:val="7955555D"/>
    <w:rsid w:val="795612BB"/>
    <w:rsid w:val="79B778D1"/>
    <w:rsid w:val="79B9326E"/>
    <w:rsid w:val="79ED6E4F"/>
    <w:rsid w:val="7A145490"/>
    <w:rsid w:val="7A2F674C"/>
    <w:rsid w:val="7A3902E6"/>
    <w:rsid w:val="7A513141"/>
    <w:rsid w:val="7A6D3F70"/>
    <w:rsid w:val="7A6D4434"/>
    <w:rsid w:val="7A826D1A"/>
    <w:rsid w:val="7A923181"/>
    <w:rsid w:val="7AA114A5"/>
    <w:rsid w:val="7AA63EA9"/>
    <w:rsid w:val="7AC5601E"/>
    <w:rsid w:val="7AFE24BC"/>
    <w:rsid w:val="7B146FC4"/>
    <w:rsid w:val="7B24292B"/>
    <w:rsid w:val="7B340F26"/>
    <w:rsid w:val="7B5968D9"/>
    <w:rsid w:val="7B6132DD"/>
    <w:rsid w:val="7B6856A4"/>
    <w:rsid w:val="7B914B60"/>
    <w:rsid w:val="7BA04D3C"/>
    <w:rsid w:val="7C170EAB"/>
    <w:rsid w:val="7C1C7250"/>
    <w:rsid w:val="7C6166C5"/>
    <w:rsid w:val="7C9A0A16"/>
    <w:rsid w:val="7CB34FF1"/>
    <w:rsid w:val="7CD25687"/>
    <w:rsid w:val="7CF63962"/>
    <w:rsid w:val="7D002E83"/>
    <w:rsid w:val="7D3B1F86"/>
    <w:rsid w:val="7D3D6185"/>
    <w:rsid w:val="7D605CB6"/>
    <w:rsid w:val="7D621534"/>
    <w:rsid w:val="7D735591"/>
    <w:rsid w:val="7D914B4F"/>
    <w:rsid w:val="7D9B7C47"/>
    <w:rsid w:val="7DC00C0A"/>
    <w:rsid w:val="7DDB3462"/>
    <w:rsid w:val="7DEB404B"/>
    <w:rsid w:val="7DF25A74"/>
    <w:rsid w:val="7E116A7A"/>
    <w:rsid w:val="7EB95E49"/>
    <w:rsid w:val="7EB95E85"/>
    <w:rsid w:val="7ECE0C4C"/>
    <w:rsid w:val="7F131F92"/>
    <w:rsid w:val="7F1358E8"/>
    <w:rsid w:val="7F137AAC"/>
    <w:rsid w:val="7F1979EB"/>
    <w:rsid w:val="7F2F783B"/>
    <w:rsid w:val="7F38323D"/>
    <w:rsid w:val="7F5E383E"/>
    <w:rsid w:val="7F711A52"/>
    <w:rsid w:val="7F7262A6"/>
    <w:rsid w:val="7F8C0659"/>
    <w:rsid w:val="7FEB6569"/>
    <w:rsid w:val="7FF5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4"/>
    <w:qFormat/>
    <w:uiPriority w:val="0"/>
    <w:pPr>
      <w:spacing w:line="360" w:lineRule="auto"/>
    </w:pPr>
    <w:rPr>
      <w:rFonts w:ascii="宋体" w:hAnsi="宋体"/>
      <w:b/>
      <w:bCs/>
    </w:rPr>
  </w:style>
  <w:style w:type="paragraph" w:styleId="4">
    <w:name w:val="Normal Indent"/>
    <w:basedOn w:val="1"/>
    <w:next w:val="5"/>
    <w:qFormat/>
    <w:uiPriority w:val="99"/>
    <w:pPr>
      <w:ind w:firstLine="420"/>
    </w:pPr>
  </w:style>
  <w:style w:type="paragraph" w:styleId="5">
    <w:name w:val="toa heading"/>
    <w:basedOn w:val="1"/>
    <w:next w:val="1"/>
    <w:qFormat/>
    <w:uiPriority w:val="0"/>
    <w:pPr>
      <w:spacing w:before="120"/>
    </w:pPr>
    <w:rPr>
      <w:rFonts w:asciiTheme="majorHAnsi" w:hAnsiTheme="majorHAnsi" w:cstheme="majorBidi"/>
      <w:sz w:val="24"/>
      <w:szCs w:val="24"/>
    </w:rPr>
  </w:style>
  <w:style w:type="paragraph" w:styleId="7">
    <w:name w:val="table of authorities"/>
    <w:basedOn w:val="1"/>
    <w:next w:val="1"/>
    <w:qFormat/>
    <w:uiPriority w:val="99"/>
    <w:pPr>
      <w:ind w:left="420" w:leftChars="200"/>
    </w:pPr>
    <w:rPr>
      <w:sz w:val="28"/>
      <w:szCs w:val="20"/>
    </w:rPr>
  </w:style>
  <w:style w:type="paragraph" w:styleId="8">
    <w:name w:val="Body Text"/>
    <w:basedOn w:val="1"/>
    <w:next w:val="9"/>
    <w:qFormat/>
    <w:uiPriority w:val="99"/>
    <w:pPr>
      <w:numPr>
        <w:ilvl w:val="0"/>
        <w:numId w:val="1"/>
      </w:numPr>
    </w:pPr>
    <w:rPr>
      <w:rFonts w:ascii="黑体" w:eastAsia="黑体"/>
      <w:sz w:val="22"/>
    </w:rPr>
  </w:style>
  <w:style w:type="paragraph" w:styleId="9">
    <w:name w:val="Date"/>
    <w:basedOn w:val="1"/>
    <w:next w:val="1"/>
    <w:link w:val="45"/>
    <w:qFormat/>
    <w:uiPriority w:val="0"/>
    <w:pPr>
      <w:ind w:left="100" w:leftChars="2500"/>
    </w:pPr>
  </w:style>
  <w:style w:type="paragraph" w:styleId="10">
    <w:name w:val="toc 3"/>
    <w:basedOn w:val="1"/>
    <w:next w:val="1"/>
    <w:qFormat/>
    <w:uiPriority w:val="39"/>
    <w:pPr>
      <w:ind w:left="840" w:leftChars="400"/>
    </w:pPr>
    <w:rPr>
      <w:rFonts w:ascii="Times New Roman" w:hAnsi="Times New Roman"/>
      <w:szCs w:val="24"/>
    </w:rPr>
  </w:style>
  <w:style w:type="paragraph" w:styleId="11">
    <w:name w:val="Plain Text"/>
    <w:basedOn w:val="1"/>
    <w:link w:val="40"/>
    <w:qFormat/>
    <w:uiPriority w:val="0"/>
    <w:rPr>
      <w:rFonts w:ascii="宋体" w:hAnsi="宋体"/>
    </w:rPr>
  </w:style>
  <w:style w:type="paragraph" w:styleId="12">
    <w:name w:val="Body Text Indent 2"/>
    <w:basedOn w:val="1"/>
    <w:link w:val="39"/>
    <w:qFormat/>
    <w:uiPriority w:val="0"/>
    <w:pPr>
      <w:spacing w:line="360" w:lineRule="auto"/>
      <w:ind w:firstLine="607"/>
    </w:pPr>
    <w:rPr>
      <w:rFonts w:ascii="楷体_GB2312"/>
      <w:sz w:val="28"/>
      <w:szCs w:val="28"/>
    </w:rPr>
  </w:style>
  <w:style w:type="paragraph" w:styleId="13">
    <w:name w:val="Balloon Text"/>
    <w:basedOn w:val="1"/>
    <w:link w:val="44"/>
    <w:qFormat/>
    <w:uiPriority w:val="0"/>
    <w:rPr>
      <w:sz w:val="18"/>
      <w:szCs w:val="18"/>
    </w:rPr>
  </w:style>
  <w:style w:type="paragraph" w:styleId="14">
    <w:name w:val="footer"/>
    <w:basedOn w:val="1"/>
    <w:link w:val="47"/>
    <w:qFormat/>
    <w:uiPriority w:val="99"/>
    <w:pPr>
      <w:tabs>
        <w:tab w:val="center" w:pos="4153"/>
        <w:tab w:val="right" w:pos="8306"/>
      </w:tabs>
      <w:snapToGrid w:val="0"/>
      <w:jc w:val="left"/>
    </w:pPr>
    <w:rPr>
      <w:sz w:val="18"/>
      <w:szCs w:val="18"/>
    </w:rPr>
  </w:style>
  <w:style w:type="paragraph" w:styleId="15">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rPr>
      <w:rFonts w:ascii="Times New Roman" w:hAnsi="Times New Roman"/>
      <w:szCs w:val="24"/>
    </w:rPr>
  </w:style>
  <w:style w:type="paragraph" w:styleId="17">
    <w:name w:val="footnote text"/>
    <w:basedOn w:val="1"/>
    <w:qFormat/>
    <w:uiPriority w:val="0"/>
    <w:pPr>
      <w:snapToGrid w:val="0"/>
    </w:pPr>
    <w:rPr>
      <w:sz w:val="18"/>
    </w:rPr>
  </w:style>
  <w:style w:type="paragraph" w:styleId="18">
    <w:name w:val="toc 2"/>
    <w:basedOn w:val="1"/>
    <w:next w:val="1"/>
    <w:qFormat/>
    <w:uiPriority w:val="39"/>
    <w:pPr>
      <w:ind w:left="420" w:leftChars="200"/>
    </w:pPr>
    <w:rPr>
      <w:rFonts w:ascii="Times New Roman" w:hAnsi="Times New Roman"/>
      <w:szCs w:val="24"/>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22">
    <w:name w:val="Table Grid"/>
    <w:basedOn w:val="2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99"/>
    <w:rPr>
      <w:rFonts w:cs="Times New Roman"/>
      <w:b/>
    </w:rPr>
  </w:style>
  <w:style w:type="character" w:styleId="25">
    <w:name w:val="page number"/>
    <w:basedOn w:val="23"/>
    <w:qFormat/>
    <w:uiPriority w:val="0"/>
    <w:rPr>
      <w:rFonts w:cs="Times New Roman"/>
    </w:rPr>
  </w:style>
  <w:style w:type="character" w:styleId="26">
    <w:name w:val="Hyperlink"/>
    <w:basedOn w:val="23"/>
    <w:qFormat/>
    <w:uiPriority w:val="99"/>
    <w:rPr>
      <w:rFonts w:cs="Times New Roman"/>
      <w:color w:val="555555"/>
      <w:u w:val="none"/>
    </w:rPr>
  </w:style>
  <w:style w:type="character" w:styleId="27">
    <w:name w:val="footnote reference"/>
    <w:basedOn w:val="23"/>
    <w:qFormat/>
    <w:uiPriority w:val="0"/>
    <w:rPr>
      <w:vertAlign w:val="superscript"/>
    </w:rPr>
  </w:style>
  <w:style w:type="paragraph" w:styleId="28">
    <w:name w:val="List Paragraph"/>
    <w:basedOn w:val="1"/>
    <w:qFormat/>
    <w:uiPriority w:val="34"/>
    <w:pPr>
      <w:ind w:firstLine="420" w:firstLineChars="200"/>
    </w:pPr>
  </w:style>
  <w:style w:type="paragraph" w:customStyle="1" w:styleId="29">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character" w:customStyle="1" w:styleId="31">
    <w:name w:val="font21"/>
    <w:basedOn w:val="23"/>
    <w:qFormat/>
    <w:uiPriority w:val="0"/>
    <w:rPr>
      <w:rFonts w:hint="default" w:ascii="等线" w:hAnsi="等线" w:eastAsia="等线" w:cs="等线"/>
      <w:color w:val="000000"/>
      <w:sz w:val="22"/>
      <w:szCs w:val="22"/>
      <w:u w:val="none"/>
    </w:rPr>
  </w:style>
  <w:style w:type="character" w:customStyle="1" w:styleId="32">
    <w:name w:val="font71"/>
    <w:basedOn w:val="23"/>
    <w:qFormat/>
    <w:uiPriority w:val="0"/>
    <w:rPr>
      <w:rFonts w:hint="default" w:ascii="等线" w:hAnsi="等线" w:eastAsia="等线" w:cs="等线"/>
      <w:color w:val="000000"/>
      <w:sz w:val="22"/>
      <w:szCs w:val="22"/>
      <w:u w:val="none"/>
      <w:vertAlign w:val="subscript"/>
    </w:rPr>
  </w:style>
  <w:style w:type="character" w:customStyle="1" w:styleId="33">
    <w:name w:val="font12"/>
    <w:basedOn w:val="23"/>
    <w:qFormat/>
    <w:uiPriority w:val="0"/>
    <w:rPr>
      <w:rFonts w:hint="default" w:ascii="等线" w:hAnsi="等线" w:eastAsia="等线" w:cs="等线"/>
      <w:color w:val="000000"/>
      <w:sz w:val="16"/>
      <w:szCs w:val="16"/>
      <w:u w:val="none"/>
    </w:rPr>
  </w:style>
  <w:style w:type="character" w:customStyle="1" w:styleId="34">
    <w:name w:val="font101"/>
    <w:basedOn w:val="23"/>
    <w:qFormat/>
    <w:uiPriority w:val="0"/>
    <w:rPr>
      <w:rFonts w:hint="default" w:ascii="等线" w:hAnsi="等线" w:eastAsia="等线" w:cs="等线"/>
      <w:color w:val="000000"/>
      <w:sz w:val="22"/>
      <w:szCs w:val="22"/>
      <w:u w:val="none"/>
    </w:rPr>
  </w:style>
  <w:style w:type="character" w:customStyle="1" w:styleId="35">
    <w:name w:val="font91"/>
    <w:basedOn w:val="23"/>
    <w:qFormat/>
    <w:uiPriority w:val="0"/>
    <w:rPr>
      <w:rFonts w:hint="default" w:ascii="等线" w:hAnsi="等线" w:eastAsia="等线" w:cs="等线"/>
      <w:color w:val="000000"/>
      <w:sz w:val="22"/>
      <w:szCs w:val="22"/>
      <w:u w:val="none"/>
      <w:vertAlign w:val="superscript"/>
    </w:rPr>
  </w:style>
  <w:style w:type="character" w:customStyle="1" w:styleId="36">
    <w:name w:val="font51"/>
    <w:basedOn w:val="23"/>
    <w:qFormat/>
    <w:uiPriority w:val="0"/>
    <w:rPr>
      <w:rFonts w:hint="default" w:ascii="等线" w:hAnsi="等线" w:eastAsia="等线" w:cs="等线"/>
      <w:color w:val="000000"/>
      <w:sz w:val="22"/>
      <w:szCs w:val="22"/>
      <w:u w:val="none"/>
    </w:rPr>
  </w:style>
  <w:style w:type="character" w:customStyle="1" w:styleId="37">
    <w:name w:val="font81"/>
    <w:basedOn w:val="23"/>
    <w:qFormat/>
    <w:uiPriority w:val="0"/>
    <w:rPr>
      <w:rFonts w:hint="default" w:ascii="等线" w:hAnsi="等线" w:eastAsia="等线" w:cs="等线"/>
      <w:color w:val="000000"/>
      <w:sz w:val="22"/>
      <w:szCs w:val="22"/>
      <w:u w:val="none"/>
      <w:vertAlign w:val="superscript"/>
    </w:rPr>
  </w:style>
  <w:style w:type="character" w:customStyle="1" w:styleId="38">
    <w:name w:val="font01"/>
    <w:basedOn w:val="23"/>
    <w:qFormat/>
    <w:uiPriority w:val="0"/>
    <w:rPr>
      <w:rFonts w:hint="default" w:ascii="等线" w:hAnsi="等线" w:eastAsia="等线" w:cs="等线"/>
      <w:color w:val="000000"/>
      <w:sz w:val="22"/>
      <w:szCs w:val="22"/>
      <w:u w:val="none"/>
      <w:vertAlign w:val="subscript"/>
    </w:rPr>
  </w:style>
  <w:style w:type="character" w:customStyle="1" w:styleId="39">
    <w:name w:val="正文文本缩进 2 Char"/>
    <w:basedOn w:val="23"/>
    <w:link w:val="12"/>
    <w:qFormat/>
    <w:uiPriority w:val="0"/>
    <w:rPr>
      <w:rFonts w:ascii="楷体_GB2312" w:hAnsi="Calibri"/>
      <w:kern w:val="2"/>
      <w:sz w:val="28"/>
      <w:szCs w:val="28"/>
    </w:rPr>
  </w:style>
  <w:style w:type="character" w:customStyle="1" w:styleId="40">
    <w:name w:val="纯文本 Char"/>
    <w:basedOn w:val="23"/>
    <w:link w:val="11"/>
    <w:qFormat/>
    <w:uiPriority w:val="99"/>
    <w:rPr>
      <w:rFonts w:ascii="宋体" w:hAnsi="宋体"/>
      <w:kern w:val="2"/>
      <w:sz w:val="21"/>
      <w:szCs w:val="22"/>
    </w:rPr>
  </w:style>
  <w:style w:type="character" w:customStyle="1" w:styleId="41">
    <w:name w:val="页眉 Char"/>
    <w:basedOn w:val="23"/>
    <w:link w:val="15"/>
    <w:qFormat/>
    <w:uiPriority w:val="0"/>
    <w:rPr>
      <w:rFonts w:ascii="Calibri" w:hAnsi="Calibri"/>
      <w:kern w:val="2"/>
      <w:sz w:val="18"/>
      <w:szCs w:val="18"/>
    </w:rPr>
  </w:style>
  <w:style w:type="character" w:customStyle="1" w:styleId="42">
    <w:name w:val="bookmark-item"/>
    <w:basedOn w:val="23"/>
    <w:qFormat/>
    <w:uiPriority w:val="0"/>
  </w:style>
  <w:style w:type="paragraph" w:customStyle="1" w:styleId="43">
    <w:name w:val="5）标书正文 首行缩进2字符"/>
    <w:basedOn w:val="1"/>
    <w:qFormat/>
    <w:uiPriority w:val="0"/>
    <w:pPr>
      <w:spacing w:line="480" w:lineRule="exact"/>
      <w:ind w:firstLine="200" w:firstLineChars="200"/>
    </w:pPr>
    <w:rPr>
      <w:rFonts w:ascii="仿宋_GB2312" w:eastAsia="仿宋_GB2312"/>
      <w:sz w:val="28"/>
    </w:rPr>
  </w:style>
  <w:style w:type="character" w:customStyle="1" w:styleId="44">
    <w:name w:val="批注框文本 Char"/>
    <w:basedOn w:val="23"/>
    <w:link w:val="13"/>
    <w:qFormat/>
    <w:uiPriority w:val="0"/>
    <w:rPr>
      <w:rFonts w:ascii="Calibri" w:hAnsi="Calibri"/>
      <w:kern w:val="2"/>
      <w:sz w:val="18"/>
      <w:szCs w:val="18"/>
    </w:rPr>
  </w:style>
  <w:style w:type="character" w:customStyle="1" w:styleId="45">
    <w:name w:val="日期 Char"/>
    <w:basedOn w:val="23"/>
    <w:link w:val="9"/>
    <w:qFormat/>
    <w:uiPriority w:val="0"/>
    <w:rPr>
      <w:rFonts w:ascii="Calibri" w:hAnsi="Calibri"/>
      <w:kern w:val="2"/>
      <w:sz w:val="21"/>
      <w:szCs w:val="22"/>
    </w:rPr>
  </w:style>
  <w:style w:type="table" w:customStyle="1" w:styleId="46">
    <w:name w:val="网格型12"/>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7">
    <w:name w:val="页脚 Char"/>
    <w:basedOn w:val="23"/>
    <w:link w:val="14"/>
    <w:qFormat/>
    <w:uiPriority w:val="99"/>
    <w:rPr>
      <w:rFonts w:ascii="Calibri" w:hAnsi="Calibri"/>
      <w:kern w:val="2"/>
      <w:sz w:val="18"/>
      <w:szCs w:val="18"/>
    </w:rPr>
  </w:style>
  <w:style w:type="character" w:customStyle="1" w:styleId="48">
    <w:name w:val="fontstyle01"/>
    <w:basedOn w:val="23"/>
    <w:qFormat/>
    <w:uiPriority w:val="0"/>
    <w:rPr>
      <w:rFonts w:hint="eastAsia" w:ascii="宋体" w:hAnsi="宋体" w:eastAsia="宋体"/>
      <w:color w:val="000000"/>
      <w:sz w:val="24"/>
      <w:szCs w:val="24"/>
    </w:rPr>
  </w:style>
  <w:style w:type="paragraph" w:customStyle="1" w:styleId="4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70</Pages>
  <Words>37886</Words>
  <Characters>40319</Characters>
  <Lines>342</Lines>
  <Paragraphs>96</Paragraphs>
  <TotalTime>0</TotalTime>
  <ScaleCrop>false</ScaleCrop>
  <LinksUpToDate>false</LinksUpToDate>
  <CharactersWithSpaces>44249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Bonjour</cp:lastModifiedBy>
  <cp:lastPrinted>2023-04-18T08:42:00Z</cp:lastPrinted>
  <dcterms:modified xsi:type="dcterms:W3CDTF">2023-07-24T05:39:30Z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080B075EBFC3404B92E267376A25164B</vt:lpwstr>
  </property>
</Properties>
</file>