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黑体" w:hAnsi="黑体" w:eastAsia="黑体" w:cs="黑体"/>
          <w:bCs/>
          <w:sz w:val="44"/>
          <w:szCs w:val="44"/>
        </w:rPr>
      </w:pPr>
    </w:p>
    <w:p>
      <w:pPr>
        <w:spacing w:line="240" w:lineRule="atLeast"/>
        <w:jc w:val="center"/>
        <w:rPr>
          <w:rFonts w:ascii="黑体" w:hAnsi="黑体" w:eastAsia="黑体" w:cs="黑体"/>
          <w:bCs/>
          <w:sz w:val="52"/>
          <w:szCs w:val="52"/>
        </w:rPr>
      </w:pPr>
      <w:r>
        <w:rPr>
          <w:rFonts w:hint="eastAsia" w:ascii="黑体" w:hAnsi="黑体" w:eastAsia="黑体" w:cs="黑体"/>
          <w:bCs/>
          <w:sz w:val="52"/>
          <w:szCs w:val="52"/>
        </w:rPr>
        <w:t>喀什大学5G+行业数智化集成与开发实训中心项目</w:t>
      </w:r>
    </w:p>
    <w:p>
      <w:pPr>
        <w:pStyle w:val="8"/>
      </w:pPr>
    </w:p>
    <w:p/>
    <w:p>
      <w:pPr>
        <w:spacing w:line="240" w:lineRule="atLeast"/>
        <w:ind w:left="1079" w:leftChars="257" w:hanging="540"/>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rPr>
        <w:t>公开招标文件</w:t>
      </w:r>
    </w:p>
    <w:p>
      <w:pPr>
        <w:spacing w:line="240" w:lineRule="atLeast"/>
        <w:ind w:hanging="18"/>
        <w:jc w:val="center"/>
        <w:rPr>
          <w:rFonts w:ascii="黑体" w:eastAsia="黑体"/>
          <w:sz w:val="28"/>
        </w:rPr>
      </w:pPr>
    </w:p>
    <w:p>
      <w:pPr>
        <w:spacing w:line="240" w:lineRule="atLeast"/>
        <w:ind w:hanging="18"/>
        <w:jc w:val="center"/>
        <w:rPr>
          <w:rFonts w:ascii="仿宋_GB2312" w:eastAsia="黑体"/>
          <w:b/>
          <w:sz w:val="28"/>
        </w:rPr>
      </w:pPr>
      <w:r>
        <w:rPr>
          <w:rFonts w:hint="eastAsia" w:ascii="黑体" w:hAnsi="黑体" w:eastAsia="黑体" w:cs="黑体"/>
          <w:sz w:val="32"/>
          <w:szCs w:val="40"/>
        </w:rPr>
        <w:t>招标编号：KSDX-TT2023（GK）-22</w:t>
      </w:r>
    </w:p>
    <w:p>
      <w:pPr>
        <w:pStyle w:val="8"/>
      </w:pPr>
    </w:p>
    <w:p/>
    <w:p>
      <w:pPr>
        <w:pStyle w:val="8"/>
      </w:pPr>
    </w:p>
    <w:p>
      <w:pPr>
        <w:pStyle w:val="8"/>
      </w:pPr>
    </w:p>
    <w:p>
      <w:pPr>
        <w:spacing w:line="240" w:lineRule="atLeast"/>
        <w:ind w:left="1079" w:leftChars="257" w:hanging="540"/>
        <w:jc w:val="center"/>
        <w:rPr>
          <w:rFonts w:ascii="仿宋_GB2312" w:eastAsia="仿宋_GB2312"/>
          <w:b/>
          <w:sz w:val="48"/>
          <w:szCs w:val="48"/>
        </w:rPr>
      </w:pPr>
      <w:r>
        <w:rPr>
          <w:rFonts w:hint="eastAsia" w:ascii="仿宋_GB2312" w:eastAsia="仿宋_GB2312"/>
          <w:b/>
          <w:sz w:val="48"/>
          <w:szCs w:val="48"/>
        </w:rPr>
        <w:t>第一册</w:t>
      </w:r>
    </w:p>
    <w:tbl>
      <w:tblPr>
        <w:tblStyle w:val="28"/>
        <w:tblpPr w:leftFromText="180" w:rightFromText="180" w:vertAnchor="text" w:horzAnchor="page" w:tblpX="1543" w:tblpY="783"/>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7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990" w:type="dxa"/>
            <w:vAlign w:val="center"/>
          </w:tcPr>
          <w:p>
            <w:pPr>
              <w:spacing w:line="360" w:lineRule="auto"/>
              <w:jc w:val="center"/>
              <w:rPr>
                <w:rFonts w:ascii="宋体"/>
                <w:b/>
                <w:bCs/>
                <w:sz w:val="28"/>
                <w:szCs w:val="28"/>
              </w:rPr>
            </w:pPr>
            <w:r>
              <w:rPr>
                <w:rFonts w:hint="eastAsia" w:ascii="宋体"/>
                <w:b/>
                <w:bCs/>
                <w:sz w:val="28"/>
                <w:szCs w:val="28"/>
              </w:rPr>
              <w:t>项目名称</w:t>
            </w:r>
          </w:p>
        </w:tc>
        <w:tc>
          <w:tcPr>
            <w:tcW w:w="7048" w:type="dxa"/>
            <w:vAlign w:val="center"/>
          </w:tcPr>
          <w:p>
            <w:pPr>
              <w:pStyle w:val="21"/>
              <w:jc w:val="center"/>
              <w:rPr>
                <w:rFonts w:ascii="宋体"/>
                <w:b/>
                <w:sz w:val="28"/>
                <w:szCs w:val="28"/>
              </w:rPr>
            </w:pPr>
            <w:r>
              <w:rPr>
                <w:rFonts w:hint="eastAsia" w:ascii="宋体"/>
                <w:b/>
                <w:sz w:val="28"/>
                <w:szCs w:val="28"/>
              </w:rPr>
              <w:t>喀什大学5G+行业数智化集成与开发实训中心项目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990" w:type="dxa"/>
            <w:vAlign w:val="center"/>
          </w:tcPr>
          <w:p>
            <w:pPr>
              <w:spacing w:line="360" w:lineRule="auto"/>
              <w:jc w:val="center"/>
              <w:rPr>
                <w:rFonts w:ascii="宋体"/>
                <w:b/>
                <w:bCs/>
                <w:sz w:val="28"/>
                <w:szCs w:val="28"/>
              </w:rPr>
            </w:pPr>
            <w:r>
              <w:rPr>
                <w:rFonts w:hint="eastAsia" w:ascii="宋体"/>
                <w:b/>
                <w:bCs/>
                <w:sz w:val="28"/>
                <w:szCs w:val="28"/>
              </w:rPr>
              <w:t>文件编号</w:t>
            </w:r>
          </w:p>
        </w:tc>
        <w:tc>
          <w:tcPr>
            <w:tcW w:w="7048" w:type="dxa"/>
            <w:vAlign w:val="center"/>
          </w:tcPr>
          <w:p>
            <w:pPr>
              <w:spacing w:line="360" w:lineRule="auto"/>
              <w:jc w:val="center"/>
              <w:rPr>
                <w:rFonts w:ascii="宋体"/>
                <w:b/>
                <w:bCs/>
                <w:sz w:val="28"/>
                <w:szCs w:val="28"/>
              </w:rPr>
            </w:pPr>
            <w:r>
              <w:rPr>
                <w:rFonts w:hint="eastAsia" w:ascii="黑体" w:hAnsi="黑体" w:eastAsia="黑体" w:cs="黑体"/>
                <w:sz w:val="32"/>
                <w:szCs w:val="40"/>
              </w:rPr>
              <w:t>KSDX-TT2023（GK）-22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990" w:type="dxa"/>
            <w:vAlign w:val="center"/>
          </w:tcPr>
          <w:p>
            <w:pPr>
              <w:spacing w:line="360" w:lineRule="auto"/>
              <w:jc w:val="center"/>
              <w:rPr>
                <w:rFonts w:ascii="宋体"/>
                <w:b/>
                <w:bCs/>
                <w:sz w:val="28"/>
                <w:szCs w:val="28"/>
              </w:rPr>
            </w:pPr>
            <w:r>
              <w:rPr>
                <w:rFonts w:hint="eastAsia" w:ascii="宋体"/>
                <w:b/>
                <w:bCs/>
                <w:sz w:val="28"/>
                <w:szCs w:val="28"/>
              </w:rPr>
              <w:t>招标人</w:t>
            </w:r>
          </w:p>
        </w:tc>
        <w:tc>
          <w:tcPr>
            <w:tcW w:w="7048" w:type="dxa"/>
            <w:vAlign w:val="center"/>
          </w:tcPr>
          <w:p>
            <w:pPr>
              <w:spacing w:line="360" w:lineRule="auto"/>
              <w:jc w:val="center"/>
              <w:rPr>
                <w:rFonts w:ascii="宋体"/>
                <w:b/>
                <w:bCs/>
                <w:sz w:val="28"/>
                <w:szCs w:val="28"/>
              </w:rPr>
            </w:pPr>
            <w:r>
              <w:rPr>
                <w:rFonts w:hint="eastAsia" w:ascii="宋体"/>
                <w:b/>
                <w:bCs/>
                <w:sz w:val="28"/>
                <w:szCs w:val="28"/>
              </w:rPr>
              <w:t>喀什大学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90" w:type="dxa"/>
            <w:vAlign w:val="center"/>
          </w:tcPr>
          <w:p>
            <w:pPr>
              <w:spacing w:line="360" w:lineRule="auto"/>
              <w:jc w:val="center"/>
              <w:rPr>
                <w:rFonts w:ascii="宋体"/>
                <w:b/>
                <w:bCs/>
                <w:sz w:val="28"/>
                <w:szCs w:val="28"/>
              </w:rPr>
            </w:pPr>
            <w:r>
              <w:rPr>
                <w:rFonts w:hint="eastAsia" w:ascii="宋体"/>
                <w:b/>
                <w:bCs/>
                <w:sz w:val="28"/>
                <w:szCs w:val="28"/>
              </w:rPr>
              <w:t>招标采购机构</w:t>
            </w:r>
          </w:p>
        </w:tc>
        <w:tc>
          <w:tcPr>
            <w:tcW w:w="7048" w:type="dxa"/>
            <w:vAlign w:val="center"/>
          </w:tcPr>
          <w:p>
            <w:pPr>
              <w:spacing w:line="360" w:lineRule="auto"/>
              <w:jc w:val="center"/>
              <w:rPr>
                <w:rFonts w:ascii="宋体"/>
                <w:b/>
                <w:bCs/>
                <w:sz w:val="28"/>
                <w:szCs w:val="28"/>
              </w:rPr>
            </w:pPr>
            <w:r>
              <w:rPr>
                <w:rFonts w:hint="eastAsia" w:ascii="宋体"/>
                <w:b/>
                <w:bCs/>
                <w:sz w:val="28"/>
                <w:szCs w:val="28"/>
              </w:rPr>
              <w:t>喀什天泰建设工程项目管理有限公司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90" w:type="dxa"/>
            <w:vAlign w:val="center"/>
          </w:tcPr>
          <w:p>
            <w:pPr>
              <w:spacing w:line="360" w:lineRule="auto"/>
              <w:jc w:val="center"/>
              <w:rPr>
                <w:rFonts w:ascii="宋体"/>
                <w:b/>
                <w:bCs/>
                <w:sz w:val="28"/>
                <w:szCs w:val="28"/>
              </w:rPr>
            </w:pPr>
            <w:r>
              <w:rPr>
                <w:rFonts w:hint="eastAsia" w:ascii="宋体"/>
                <w:b/>
                <w:bCs/>
                <w:sz w:val="28"/>
                <w:szCs w:val="28"/>
              </w:rPr>
              <w:t>联系人</w:t>
            </w:r>
          </w:p>
        </w:tc>
        <w:tc>
          <w:tcPr>
            <w:tcW w:w="7048" w:type="dxa"/>
            <w:vAlign w:val="center"/>
          </w:tcPr>
          <w:p>
            <w:pPr>
              <w:spacing w:line="360" w:lineRule="auto"/>
              <w:jc w:val="center"/>
              <w:rPr>
                <w:rFonts w:ascii="宋体"/>
                <w:b/>
                <w:bCs/>
                <w:sz w:val="28"/>
                <w:szCs w:val="28"/>
              </w:rPr>
            </w:pPr>
            <w:r>
              <w:rPr>
                <w:rFonts w:hint="eastAsia" w:ascii="宋体"/>
                <w:b/>
                <w:bCs/>
                <w:sz w:val="28"/>
                <w:szCs w:val="28"/>
              </w:rPr>
              <w:t>许工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0" w:type="dxa"/>
            <w:vAlign w:val="center"/>
          </w:tcPr>
          <w:p>
            <w:pPr>
              <w:spacing w:line="360" w:lineRule="auto"/>
              <w:jc w:val="center"/>
              <w:rPr>
                <w:rFonts w:ascii="宋体"/>
                <w:b/>
                <w:bCs/>
                <w:sz w:val="28"/>
                <w:szCs w:val="28"/>
              </w:rPr>
            </w:pPr>
            <w:r>
              <w:rPr>
                <w:rFonts w:hint="eastAsia" w:ascii="宋体"/>
                <w:b/>
                <w:bCs/>
                <w:sz w:val="28"/>
                <w:szCs w:val="28"/>
              </w:rPr>
              <w:t>电话</w:t>
            </w:r>
          </w:p>
        </w:tc>
        <w:tc>
          <w:tcPr>
            <w:tcW w:w="7048" w:type="dxa"/>
            <w:vAlign w:val="center"/>
          </w:tcPr>
          <w:p>
            <w:pPr>
              <w:spacing w:line="360" w:lineRule="auto"/>
              <w:jc w:val="center"/>
              <w:rPr>
                <w:rFonts w:ascii="宋体"/>
                <w:b/>
                <w:bCs/>
                <w:sz w:val="28"/>
                <w:szCs w:val="28"/>
              </w:rPr>
            </w:pPr>
            <w:r>
              <w:rPr>
                <w:rFonts w:hint="eastAsia" w:ascii="宋体"/>
                <w:b/>
                <w:bCs/>
                <w:sz w:val="28"/>
                <w:szCs w:val="28"/>
              </w:rPr>
              <w:t>19190048877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90" w:type="dxa"/>
            <w:vAlign w:val="center"/>
          </w:tcPr>
          <w:p>
            <w:pPr>
              <w:spacing w:line="360" w:lineRule="auto"/>
              <w:jc w:val="center"/>
              <w:rPr>
                <w:rFonts w:ascii="宋体"/>
                <w:b/>
                <w:bCs/>
                <w:sz w:val="28"/>
                <w:szCs w:val="28"/>
              </w:rPr>
            </w:pPr>
            <w:r>
              <w:rPr>
                <w:rFonts w:hint="eastAsia" w:ascii="宋体"/>
                <w:b/>
                <w:bCs/>
                <w:sz w:val="28"/>
                <w:szCs w:val="28"/>
              </w:rPr>
              <w:t>地址</w:t>
            </w:r>
          </w:p>
        </w:tc>
        <w:tc>
          <w:tcPr>
            <w:tcW w:w="7048" w:type="dxa"/>
            <w:vAlign w:val="center"/>
          </w:tcPr>
          <w:p>
            <w:pPr>
              <w:spacing w:line="480" w:lineRule="exact"/>
              <w:jc w:val="center"/>
              <w:rPr>
                <w:rFonts w:ascii="宋体"/>
                <w:b/>
                <w:bCs/>
                <w:sz w:val="28"/>
                <w:szCs w:val="28"/>
              </w:rPr>
            </w:pPr>
            <w:r>
              <w:rPr>
                <w:rFonts w:hint="eastAsia" w:ascii="宋体"/>
                <w:b/>
                <w:bCs/>
                <w:sz w:val="28"/>
                <w:szCs w:val="28"/>
              </w:rPr>
              <w:t>喀什市深喀大道永昌大厦8楼</w:t>
            </w:r>
          </w:p>
        </w:tc>
      </w:tr>
    </w:tbl>
    <w:p>
      <w:pPr>
        <w:spacing w:line="600" w:lineRule="exact"/>
        <w:jc w:val="center"/>
        <w:rPr>
          <w:rFonts w:ascii="宋体"/>
          <w:b/>
          <w:bCs/>
          <w:sz w:val="28"/>
          <w:szCs w:val="28"/>
        </w:rPr>
      </w:pPr>
      <w:bookmarkStart w:id="0" w:name="_Toc325968433"/>
    </w:p>
    <w:bookmarkEnd w:id="0"/>
    <w:p>
      <w:pPr>
        <w:spacing w:line="240" w:lineRule="atLeast"/>
        <w:ind w:left="1079" w:leftChars="257" w:hanging="540"/>
        <w:jc w:val="center"/>
        <w:rPr>
          <w:rFonts w:ascii="仿宋_GB2312" w:eastAsia="仿宋_GB2312"/>
          <w:b/>
          <w:sz w:val="32"/>
        </w:rPr>
      </w:pPr>
    </w:p>
    <w:p>
      <w:pPr>
        <w:spacing w:line="240" w:lineRule="atLeast"/>
        <w:ind w:left="1079" w:leftChars="257" w:hanging="540"/>
        <w:jc w:val="center"/>
        <w:rPr>
          <w:rFonts w:ascii="仿宋_GB2312" w:eastAsia="仿宋_GB2312"/>
          <w:b/>
          <w:sz w:val="52"/>
        </w:rPr>
      </w:pPr>
      <w:r>
        <w:rPr>
          <w:rFonts w:hint="eastAsia" w:ascii="仿宋_GB2312" w:eastAsia="仿宋_GB2312"/>
          <w:b/>
          <w:sz w:val="32"/>
        </w:rPr>
        <w:t>发出日期：2023年7月</w:t>
      </w:r>
    </w:p>
    <w:p>
      <w:pPr>
        <w:pageBreakBefore/>
        <w:spacing w:line="240" w:lineRule="atLeast"/>
        <w:ind w:left="1078" w:leftChars="257" w:hanging="539"/>
        <w:jc w:val="center"/>
        <w:rPr>
          <w:rFonts w:ascii="仿宋_GB2312" w:eastAsia="仿宋_GB2312"/>
          <w:b/>
          <w:sz w:val="32"/>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p>
    <w:p>
      <w:pPr>
        <w:pageBreakBefore/>
        <w:spacing w:line="240" w:lineRule="atLeast"/>
        <w:ind w:left="1078" w:leftChars="257" w:hanging="539"/>
        <w:jc w:val="center"/>
        <w:rPr>
          <w:rFonts w:ascii="仿宋_GB2312" w:eastAsia="仿宋_GB2312"/>
          <w:b/>
          <w:sz w:val="32"/>
        </w:rPr>
      </w:pPr>
      <w:r>
        <w:rPr>
          <w:rFonts w:hint="eastAsia" w:ascii="仿宋_GB2312" w:eastAsia="仿宋_GB2312"/>
          <w:b/>
          <w:sz w:val="32"/>
        </w:rPr>
        <w:t>目  录</w:t>
      </w:r>
    </w:p>
    <w:p>
      <w:pPr>
        <w:spacing w:line="240" w:lineRule="atLeast"/>
        <w:ind w:left="1079" w:leftChars="257" w:hanging="540"/>
        <w:jc w:val="center"/>
        <w:rPr>
          <w:rFonts w:ascii="仿宋_GB2312" w:eastAsia="仿宋_GB2312"/>
          <w:b/>
          <w:sz w:val="32"/>
        </w:rPr>
      </w:pPr>
    </w:p>
    <w:p>
      <w:pPr>
        <w:pStyle w:val="20"/>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fldChar w:fldCharType="begin"/>
      </w:r>
      <w:r>
        <w:instrText xml:space="preserve"> HYPERLINK \l "_Toc6793" </w:instrText>
      </w:r>
      <w:r>
        <w:fldChar w:fldCharType="separate"/>
      </w:r>
      <w:r>
        <w:rPr>
          <w:rFonts w:ascii="仿宋_GB2312" w:eastAsia="仿宋_GB2312"/>
        </w:rPr>
        <w:t xml:space="preserve">第1章 </w:t>
      </w:r>
      <w:r>
        <w:rPr>
          <w:rFonts w:hint="eastAsia" w:ascii="仿宋_GB2312" w:eastAsia="仿宋_GB2312"/>
        </w:rPr>
        <w:t>投标人须知</w:t>
      </w:r>
      <w:r>
        <w:tab/>
      </w:r>
      <w:r>
        <w:fldChar w:fldCharType="begin"/>
      </w:r>
      <w:r>
        <w:instrText xml:space="preserve"> PAGEREF _Toc6793 \h </w:instrText>
      </w:r>
      <w:r>
        <w:fldChar w:fldCharType="separate"/>
      </w:r>
      <w:r>
        <w:t>4</w:t>
      </w:r>
      <w:r>
        <w:fldChar w:fldCharType="end"/>
      </w:r>
      <w:r>
        <w:fldChar w:fldCharType="end"/>
      </w:r>
    </w:p>
    <w:p>
      <w:pPr>
        <w:pStyle w:val="23"/>
        <w:tabs>
          <w:tab w:val="right" w:leader="dot" w:pos="8312"/>
        </w:tabs>
      </w:pPr>
      <w:r>
        <w:fldChar w:fldCharType="begin"/>
      </w:r>
      <w:r>
        <w:instrText xml:space="preserve"> HYPERLINK \l "_Toc20020" </w:instrText>
      </w:r>
      <w:r>
        <w:fldChar w:fldCharType="separate"/>
      </w:r>
      <w:r>
        <w:rPr>
          <w:rFonts w:hint="eastAsia" w:ascii="仿宋_GB2312" w:hAnsi="宋体" w:eastAsia="仿宋_GB2312"/>
        </w:rPr>
        <w:t>一   总 则</w:t>
      </w:r>
      <w:r>
        <w:tab/>
      </w:r>
      <w:r>
        <w:fldChar w:fldCharType="begin"/>
      </w:r>
      <w:r>
        <w:instrText xml:space="preserve"> PAGEREF _Toc20020 \h </w:instrText>
      </w:r>
      <w:r>
        <w:fldChar w:fldCharType="separate"/>
      </w:r>
      <w:r>
        <w:t>4</w:t>
      </w:r>
      <w:r>
        <w:fldChar w:fldCharType="end"/>
      </w:r>
      <w:r>
        <w:fldChar w:fldCharType="end"/>
      </w:r>
    </w:p>
    <w:p>
      <w:pPr>
        <w:pStyle w:val="13"/>
        <w:tabs>
          <w:tab w:val="right" w:leader="dot" w:pos="8312"/>
        </w:tabs>
      </w:pPr>
      <w:r>
        <w:fldChar w:fldCharType="begin"/>
      </w:r>
      <w:r>
        <w:instrText xml:space="preserve"> HYPERLINK \l "_Toc7482" </w:instrText>
      </w:r>
      <w: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_Toc7482 \h </w:instrText>
      </w:r>
      <w:r>
        <w:fldChar w:fldCharType="separate"/>
      </w:r>
      <w:r>
        <w:t>4</w:t>
      </w:r>
      <w:r>
        <w:fldChar w:fldCharType="end"/>
      </w:r>
      <w:r>
        <w:fldChar w:fldCharType="end"/>
      </w:r>
    </w:p>
    <w:p>
      <w:pPr>
        <w:pStyle w:val="13"/>
        <w:tabs>
          <w:tab w:val="right" w:leader="dot" w:pos="8312"/>
        </w:tabs>
      </w:pPr>
      <w:r>
        <w:fldChar w:fldCharType="begin"/>
      </w:r>
      <w:r>
        <w:instrText xml:space="preserve"> HYPERLINK \l "_Toc21317" </w:instrText>
      </w:r>
      <w:r>
        <w:fldChar w:fldCharType="separate"/>
      </w:r>
      <w:r>
        <w:rPr>
          <w:rFonts w:hint="eastAsia" w:ascii="仿宋_GB2312" w:hAnsi="宋体" w:eastAsia="仿宋_GB2312"/>
        </w:rPr>
        <w:t>2.资金来源</w:t>
      </w:r>
      <w:r>
        <w:tab/>
      </w:r>
      <w:r>
        <w:fldChar w:fldCharType="begin"/>
      </w:r>
      <w:r>
        <w:instrText xml:space="preserve"> PAGEREF _Toc21317 \h </w:instrText>
      </w:r>
      <w:r>
        <w:fldChar w:fldCharType="separate"/>
      </w:r>
      <w:r>
        <w:t>5</w:t>
      </w:r>
      <w:r>
        <w:fldChar w:fldCharType="end"/>
      </w:r>
      <w:r>
        <w:fldChar w:fldCharType="end"/>
      </w:r>
    </w:p>
    <w:p>
      <w:pPr>
        <w:pStyle w:val="13"/>
        <w:tabs>
          <w:tab w:val="right" w:leader="dot" w:pos="8312"/>
        </w:tabs>
      </w:pPr>
      <w:r>
        <w:fldChar w:fldCharType="begin"/>
      </w:r>
      <w:r>
        <w:instrText xml:space="preserve"> HYPERLINK \l "_Toc25664" </w:instrText>
      </w:r>
      <w:r>
        <w:fldChar w:fldCharType="separate"/>
      </w:r>
      <w:r>
        <w:rPr>
          <w:rFonts w:hint="eastAsia" w:ascii="仿宋_GB2312" w:hAnsi="宋体" w:eastAsia="仿宋_GB2312"/>
        </w:rPr>
        <w:t>3.投标费用</w:t>
      </w:r>
      <w:r>
        <w:tab/>
      </w:r>
      <w:r>
        <w:fldChar w:fldCharType="begin"/>
      </w:r>
      <w:r>
        <w:instrText xml:space="preserve"> PAGEREF _Toc25664 \h </w:instrText>
      </w:r>
      <w:r>
        <w:fldChar w:fldCharType="separate"/>
      </w:r>
      <w:r>
        <w:t>5</w:t>
      </w:r>
      <w:r>
        <w:fldChar w:fldCharType="end"/>
      </w:r>
      <w:r>
        <w:fldChar w:fldCharType="end"/>
      </w:r>
    </w:p>
    <w:p>
      <w:pPr>
        <w:pStyle w:val="13"/>
        <w:tabs>
          <w:tab w:val="right" w:leader="dot" w:pos="8312"/>
        </w:tabs>
      </w:pPr>
      <w:r>
        <w:fldChar w:fldCharType="begin"/>
      </w:r>
      <w:r>
        <w:instrText xml:space="preserve"> HYPERLINK \l "_Toc684" </w:instrText>
      </w:r>
      <w:r>
        <w:fldChar w:fldCharType="separate"/>
      </w:r>
      <w:r>
        <w:rPr>
          <w:rFonts w:hint="eastAsia" w:ascii="仿宋_GB2312" w:hAnsi="宋体" w:eastAsia="仿宋_GB2312"/>
        </w:rPr>
        <w:t>4.适用法律</w:t>
      </w:r>
      <w:r>
        <w:tab/>
      </w:r>
      <w:r>
        <w:fldChar w:fldCharType="begin"/>
      </w:r>
      <w:r>
        <w:instrText xml:space="preserve"> PAGEREF _Toc684 \h </w:instrText>
      </w:r>
      <w:r>
        <w:fldChar w:fldCharType="separate"/>
      </w:r>
      <w:r>
        <w:t>5</w:t>
      </w:r>
      <w:r>
        <w:fldChar w:fldCharType="end"/>
      </w:r>
      <w:r>
        <w:fldChar w:fldCharType="end"/>
      </w:r>
    </w:p>
    <w:p>
      <w:pPr>
        <w:pStyle w:val="23"/>
        <w:tabs>
          <w:tab w:val="right" w:leader="dot" w:pos="8312"/>
        </w:tabs>
      </w:pPr>
      <w:r>
        <w:fldChar w:fldCharType="begin"/>
      </w:r>
      <w:r>
        <w:instrText xml:space="preserve"> HYPERLINK \l "_Toc13116" </w:instrText>
      </w:r>
      <w:r>
        <w:fldChar w:fldCharType="separate"/>
      </w:r>
      <w:r>
        <w:rPr>
          <w:rFonts w:hint="eastAsia" w:ascii="仿宋_GB2312" w:eastAsia="仿宋_GB2312"/>
        </w:rPr>
        <w:t>二   招标文件</w:t>
      </w:r>
      <w:r>
        <w:tab/>
      </w:r>
      <w:r>
        <w:fldChar w:fldCharType="begin"/>
      </w:r>
      <w:r>
        <w:instrText xml:space="preserve"> PAGEREF _Toc13116 \h </w:instrText>
      </w:r>
      <w:r>
        <w:fldChar w:fldCharType="separate"/>
      </w:r>
      <w:r>
        <w:t>5</w:t>
      </w:r>
      <w:r>
        <w:fldChar w:fldCharType="end"/>
      </w:r>
      <w:r>
        <w:fldChar w:fldCharType="end"/>
      </w:r>
    </w:p>
    <w:p>
      <w:pPr>
        <w:pStyle w:val="13"/>
        <w:tabs>
          <w:tab w:val="right" w:leader="dot" w:pos="8312"/>
        </w:tabs>
      </w:pPr>
      <w:r>
        <w:fldChar w:fldCharType="begin"/>
      </w:r>
      <w:r>
        <w:instrText xml:space="preserve"> HYPERLINK \l "_Toc15940" </w:instrText>
      </w:r>
      <w:r>
        <w:fldChar w:fldCharType="separate"/>
      </w:r>
      <w:r>
        <w:rPr>
          <w:rFonts w:hint="eastAsia" w:ascii="仿宋_GB2312" w:hAnsi="宋体" w:eastAsia="仿宋_GB2312"/>
        </w:rPr>
        <w:t>5.招标文件构成</w:t>
      </w:r>
      <w:r>
        <w:tab/>
      </w:r>
      <w:r>
        <w:fldChar w:fldCharType="begin"/>
      </w:r>
      <w:r>
        <w:instrText xml:space="preserve"> PAGEREF _Toc15940 \h </w:instrText>
      </w:r>
      <w:r>
        <w:fldChar w:fldCharType="separate"/>
      </w:r>
      <w:r>
        <w:t>5</w:t>
      </w:r>
      <w:r>
        <w:fldChar w:fldCharType="end"/>
      </w:r>
      <w:r>
        <w:fldChar w:fldCharType="end"/>
      </w:r>
    </w:p>
    <w:p>
      <w:pPr>
        <w:pStyle w:val="13"/>
        <w:tabs>
          <w:tab w:val="right" w:leader="dot" w:pos="8312"/>
        </w:tabs>
      </w:pPr>
      <w:r>
        <w:fldChar w:fldCharType="begin"/>
      </w:r>
      <w:r>
        <w:instrText xml:space="preserve"> HYPERLINK \l "_Toc18032" </w:instrText>
      </w:r>
      <w: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_Toc18032 \h </w:instrText>
      </w:r>
      <w:r>
        <w:fldChar w:fldCharType="separate"/>
      </w:r>
      <w:r>
        <w:t>5</w:t>
      </w:r>
      <w:r>
        <w:fldChar w:fldCharType="end"/>
      </w:r>
      <w:r>
        <w:fldChar w:fldCharType="end"/>
      </w:r>
    </w:p>
    <w:p>
      <w:pPr>
        <w:pStyle w:val="13"/>
        <w:tabs>
          <w:tab w:val="right" w:leader="dot" w:pos="8312"/>
        </w:tabs>
      </w:pPr>
      <w:r>
        <w:fldChar w:fldCharType="begin"/>
      </w:r>
      <w:r>
        <w:instrText xml:space="preserve"> HYPERLINK \l "_Toc29647" </w:instrText>
      </w:r>
      <w: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_Toc29647 \h </w:instrText>
      </w:r>
      <w:r>
        <w:fldChar w:fldCharType="separate"/>
      </w:r>
      <w:r>
        <w:t>5</w:t>
      </w:r>
      <w:r>
        <w:fldChar w:fldCharType="end"/>
      </w:r>
      <w:r>
        <w:fldChar w:fldCharType="end"/>
      </w:r>
    </w:p>
    <w:p>
      <w:pPr>
        <w:pStyle w:val="23"/>
        <w:tabs>
          <w:tab w:val="right" w:leader="dot" w:pos="8312"/>
        </w:tabs>
      </w:pPr>
      <w:r>
        <w:fldChar w:fldCharType="begin"/>
      </w:r>
      <w:r>
        <w:instrText xml:space="preserve"> HYPERLINK \l "_Toc5373" </w:instrText>
      </w:r>
      <w:r>
        <w:fldChar w:fldCharType="separate"/>
      </w:r>
      <w:r>
        <w:rPr>
          <w:rFonts w:hint="eastAsia" w:ascii="仿宋_GB2312" w:hAnsi="宋体" w:eastAsia="仿宋_GB2312"/>
        </w:rPr>
        <w:t>三   投标文件的编制</w:t>
      </w:r>
      <w:r>
        <w:tab/>
      </w:r>
      <w:r>
        <w:fldChar w:fldCharType="begin"/>
      </w:r>
      <w:r>
        <w:instrText xml:space="preserve"> PAGEREF _Toc5373 \h </w:instrText>
      </w:r>
      <w:r>
        <w:fldChar w:fldCharType="separate"/>
      </w:r>
      <w:r>
        <w:t>6</w:t>
      </w:r>
      <w:r>
        <w:fldChar w:fldCharType="end"/>
      </w:r>
      <w:r>
        <w:fldChar w:fldCharType="end"/>
      </w:r>
    </w:p>
    <w:p>
      <w:pPr>
        <w:pStyle w:val="13"/>
        <w:tabs>
          <w:tab w:val="right" w:pos="3600"/>
          <w:tab w:val="right" w:leader="dot" w:pos="8312"/>
        </w:tabs>
      </w:pPr>
      <w:r>
        <w:fldChar w:fldCharType="begin"/>
      </w:r>
      <w:r>
        <w:instrText xml:space="preserve"> HYPERLINK \l "_Toc1222" </w:instrText>
      </w:r>
      <w: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_Toc1222 \h </w:instrText>
      </w:r>
      <w:r>
        <w:fldChar w:fldCharType="separate"/>
      </w:r>
      <w:r>
        <w:t>6</w:t>
      </w:r>
      <w:r>
        <w:fldChar w:fldCharType="end"/>
      </w:r>
      <w:r>
        <w:fldChar w:fldCharType="end"/>
      </w:r>
    </w:p>
    <w:p>
      <w:pPr>
        <w:pStyle w:val="13"/>
        <w:tabs>
          <w:tab w:val="right" w:leader="dot" w:pos="8312"/>
        </w:tabs>
      </w:pPr>
      <w:r>
        <w:fldChar w:fldCharType="begin"/>
      </w:r>
      <w:r>
        <w:instrText xml:space="preserve"> HYPERLINK \l "_Toc3557" </w:instrText>
      </w:r>
      <w: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_Toc3557 \h </w:instrText>
      </w:r>
      <w:r>
        <w:fldChar w:fldCharType="separate"/>
      </w:r>
      <w:r>
        <w:t>6</w:t>
      </w:r>
      <w:r>
        <w:fldChar w:fldCharType="end"/>
      </w:r>
      <w:r>
        <w:fldChar w:fldCharType="end"/>
      </w:r>
    </w:p>
    <w:p>
      <w:pPr>
        <w:pStyle w:val="13"/>
        <w:tabs>
          <w:tab w:val="right" w:pos="3600"/>
          <w:tab w:val="right" w:leader="dot" w:pos="8312"/>
        </w:tabs>
      </w:pPr>
      <w:r>
        <w:fldChar w:fldCharType="begin"/>
      </w:r>
      <w:r>
        <w:instrText xml:space="preserve"> HYPERLINK \l "_Toc12744" </w:instrText>
      </w:r>
      <w: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证明投标标的的合格性和符合招标文件规定的技术文件</w:t>
      </w:r>
      <w:r>
        <w:tab/>
      </w:r>
      <w:r>
        <w:fldChar w:fldCharType="begin"/>
      </w:r>
      <w:r>
        <w:instrText xml:space="preserve"> PAGEREF _Toc12744 \h </w:instrText>
      </w:r>
      <w:r>
        <w:fldChar w:fldCharType="separate"/>
      </w:r>
      <w:r>
        <w:t>6</w:t>
      </w:r>
      <w:r>
        <w:fldChar w:fldCharType="end"/>
      </w:r>
      <w:r>
        <w:fldChar w:fldCharType="end"/>
      </w:r>
    </w:p>
    <w:p>
      <w:pPr>
        <w:pStyle w:val="13"/>
        <w:tabs>
          <w:tab w:val="right" w:leader="dot" w:pos="8312"/>
        </w:tabs>
      </w:pPr>
      <w:r>
        <w:fldChar w:fldCharType="begin"/>
      </w:r>
      <w:r>
        <w:instrText xml:space="preserve"> HYPERLINK \l "_Toc28235" </w:instrText>
      </w:r>
      <w: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_Toc28235 \h </w:instrText>
      </w:r>
      <w:r>
        <w:fldChar w:fldCharType="separate"/>
      </w:r>
      <w:r>
        <w:t>6</w:t>
      </w:r>
      <w:r>
        <w:fldChar w:fldCharType="end"/>
      </w:r>
      <w:r>
        <w:fldChar w:fldCharType="end"/>
      </w:r>
    </w:p>
    <w:p>
      <w:pPr>
        <w:pStyle w:val="13"/>
        <w:tabs>
          <w:tab w:val="right" w:leader="dot" w:pos="8312"/>
        </w:tabs>
      </w:pPr>
      <w:r>
        <w:fldChar w:fldCharType="begin"/>
      </w:r>
      <w:r>
        <w:instrText xml:space="preserve"> HYPERLINK \l "_Toc20074" </w:instrText>
      </w:r>
      <w: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_Toc20074 \h </w:instrText>
      </w:r>
      <w:r>
        <w:fldChar w:fldCharType="separate"/>
      </w:r>
      <w:r>
        <w:t>7</w:t>
      </w:r>
      <w:r>
        <w:fldChar w:fldCharType="end"/>
      </w:r>
      <w:r>
        <w:fldChar w:fldCharType="end"/>
      </w:r>
    </w:p>
    <w:p>
      <w:pPr>
        <w:pStyle w:val="13"/>
        <w:tabs>
          <w:tab w:val="right" w:leader="dot" w:pos="8312"/>
        </w:tabs>
      </w:pPr>
      <w:r>
        <w:fldChar w:fldCharType="begin"/>
      </w:r>
      <w:r>
        <w:instrText xml:space="preserve"> HYPERLINK \l "_Toc650" </w:instrText>
      </w:r>
      <w:r>
        <w:fldChar w:fldCharType="separate"/>
      </w:r>
      <w:r>
        <w:rPr>
          <w:rFonts w:hint="eastAsia" w:ascii="仿宋_GB2312" w:hAnsi="宋体" w:eastAsia="仿宋_GB2312"/>
        </w:rPr>
        <w:t>13.投标有效期</w:t>
      </w:r>
      <w:r>
        <w:tab/>
      </w:r>
      <w:r>
        <w:fldChar w:fldCharType="begin"/>
      </w:r>
      <w:r>
        <w:instrText xml:space="preserve"> PAGEREF _Toc650 \h </w:instrText>
      </w:r>
      <w:r>
        <w:fldChar w:fldCharType="separate"/>
      </w:r>
      <w:r>
        <w:t>7</w:t>
      </w:r>
      <w:r>
        <w:fldChar w:fldCharType="end"/>
      </w:r>
      <w:r>
        <w:fldChar w:fldCharType="end"/>
      </w:r>
    </w:p>
    <w:p>
      <w:pPr>
        <w:pStyle w:val="13"/>
        <w:tabs>
          <w:tab w:val="right" w:leader="dot" w:pos="8312"/>
        </w:tabs>
      </w:pPr>
      <w:r>
        <w:fldChar w:fldCharType="begin"/>
      </w:r>
      <w:r>
        <w:instrText xml:space="preserve"> HYPERLINK \l "_Toc26725" </w:instrText>
      </w:r>
      <w:r>
        <w:fldChar w:fldCharType="separate"/>
      </w:r>
      <w:r>
        <w:rPr>
          <w:rFonts w:hint="eastAsia" w:ascii="仿宋_GB2312" w:hAnsi="宋体" w:eastAsia="仿宋_GB2312"/>
        </w:rPr>
        <w:t>14.投标文件的签署及规定</w:t>
      </w:r>
      <w:r>
        <w:tab/>
      </w:r>
      <w:r>
        <w:fldChar w:fldCharType="begin"/>
      </w:r>
      <w:r>
        <w:instrText xml:space="preserve"> PAGEREF _Toc26725 \h </w:instrText>
      </w:r>
      <w:r>
        <w:fldChar w:fldCharType="separate"/>
      </w:r>
      <w:r>
        <w:t>7</w:t>
      </w:r>
      <w:r>
        <w:fldChar w:fldCharType="end"/>
      </w:r>
      <w:r>
        <w:fldChar w:fldCharType="end"/>
      </w:r>
    </w:p>
    <w:p>
      <w:pPr>
        <w:pStyle w:val="23"/>
        <w:tabs>
          <w:tab w:val="right" w:leader="dot" w:pos="8312"/>
        </w:tabs>
      </w:pPr>
      <w:r>
        <w:fldChar w:fldCharType="begin"/>
      </w:r>
      <w:r>
        <w:instrText xml:space="preserve"> HYPERLINK \l "_Toc28944" </w:instrText>
      </w:r>
      <w:r>
        <w:fldChar w:fldCharType="separate"/>
      </w:r>
      <w:r>
        <w:rPr>
          <w:rFonts w:hint="eastAsia" w:ascii="仿宋_GB2312" w:hAnsi="宋体" w:eastAsia="仿宋_GB2312"/>
        </w:rPr>
        <w:t>四   投标文件的递交</w:t>
      </w:r>
      <w:r>
        <w:tab/>
      </w:r>
      <w:r>
        <w:fldChar w:fldCharType="begin"/>
      </w:r>
      <w:r>
        <w:instrText xml:space="preserve"> PAGEREF _Toc28944 \h </w:instrText>
      </w:r>
      <w:r>
        <w:fldChar w:fldCharType="separate"/>
      </w:r>
      <w:r>
        <w:t>8</w:t>
      </w:r>
      <w:r>
        <w:fldChar w:fldCharType="end"/>
      </w:r>
      <w:r>
        <w:fldChar w:fldCharType="end"/>
      </w:r>
    </w:p>
    <w:p>
      <w:pPr>
        <w:pStyle w:val="13"/>
        <w:tabs>
          <w:tab w:val="right" w:leader="dot" w:pos="8312"/>
        </w:tabs>
      </w:pPr>
      <w:r>
        <w:fldChar w:fldCharType="begin"/>
      </w:r>
      <w:r>
        <w:instrText xml:space="preserve"> HYPERLINK \l "_Toc9606" </w:instrText>
      </w:r>
      <w:r>
        <w:fldChar w:fldCharType="separate"/>
      </w:r>
      <w:r>
        <w:rPr>
          <w:rFonts w:hint="eastAsia" w:ascii="仿宋_GB2312" w:hAnsi="宋体" w:eastAsia="仿宋_GB2312"/>
        </w:rPr>
        <w:t>15.投标文件的密封和标记</w:t>
      </w:r>
      <w:r>
        <w:tab/>
      </w:r>
      <w:r>
        <w:fldChar w:fldCharType="begin"/>
      </w:r>
      <w:r>
        <w:instrText xml:space="preserve"> PAGEREF _Toc9606 \h </w:instrText>
      </w:r>
      <w:r>
        <w:fldChar w:fldCharType="separate"/>
      </w:r>
      <w:r>
        <w:t>8</w:t>
      </w:r>
      <w:r>
        <w:fldChar w:fldCharType="end"/>
      </w:r>
      <w:r>
        <w:fldChar w:fldCharType="end"/>
      </w:r>
    </w:p>
    <w:p>
      <w:pPr>
        <w:pStyle w:val="13"/>
        <w:tabs>
          <w:tab w:val="right" w:leader="dot" w:pos="8312"/>
        </w:tabs>
      </w:pPr>
      <w:r>
        <w:fldChar w:fldCharType="begin"/>
      </w:r>
      <w:r>
        <w:instrText xml:space="preserve"> HYPERLINK \l "_Toc25902" </w:instrText>
      </w:r>
      <w:r>
        <w:fldChar w:fldCharType="separate"/>
      </w:r>
      <w:r>
        <w:rPr>
          <w:rFonts w:hint="eastAsia" w:ascii="仿宋_GB2312" w:hAnsi="宋体" w:eastAsia="仿宋_GB2312"/>
        </w:rPr>
        <w:t>16.投标截止</w:t>
      </w:r>
      <w:r>
        <w:tab/>
      </w:r>
      <w:r>
        <w:fldChar w:fldCharType="begin"/>
      </w:r>
      <w:r>
        <w:instrText xml:space="preserve"> PAGEREF _Toc25902 \h </w:instrText>
      </w:r>
      <w:r>
        <w:fldChar w:fldCharType="separate"/>
      </w:r>
      <w:r>
        <w:t>8</w:t>
      </w:r>
      <w:r>
        <w:fldChar w:fldCharType="end"/>
      </w:r>
      <w:r>
        <w:fldChar w:fldCharType="end"/>
      </w:r>
    </w:p>
    <w:p>
      <w:pPr>
        <w:pStyle w:val="13"/>
        <w:tabs>
          <w:tab w:val="right" w:leader="dot" w:pos="8312"/>
        </w:tabs>
      </w:pPr>
      <w:r>
        <w:fldChar w:fldCharType="begin"/>
      </w:r>
      <w:r>
        <w:instrText xml:space="preserve"> HYPERLINK \l "_Toc30153" </w:instrText>
      </w:r>
      <w:r>
        <w:fldChar w:fldCharType="separate"/>
      </w:r>
      <w:r>
        <w:rPr>
          <w:rFonts w:hint="eastAsia" w:ascii="仿宋_GB2312" w:hAnsi="宋体" w:eastAsia="仿宋_GB2312"/>
        </w:rPr>
        <w:t>17.投标文件的接收、修改与撤回</w:t>
      </w:r>
      <w:r>
        <w:tab/>
      </w:r>
      <w:r>
        <w:fldChar w:fldCharType="begin"/>
      </w:r>
      <w:r>
        <w:instrText xml:space="preserve"> PAGEREF _Toc30153 \h </w:instrText>
      </w:r>
      <w:r>
        <w:fldChar w:fldCharType="separate"/>
      </w:r>
      <w:r>
        <w:t>8</w:t>
      </w:r>
      <w:r>
        <w:fldChar w:fldCharType="end"/>
      </w:r>
      <w:r>
        <w:fldChar w:fldCharType="end"/>
      </w:r>
    </w:p>
    <w:p>
      <w:pPr>
        <w:pStyle w:val="23"/>
        <w:tabs>
          <w:tab w:val="right" w:leader="dot" w:pos="8312"/>
        </w:tabs>
      </w:pPr>
      <w:r>
        <w:fldChar w:fldCharType="begin"/>
      </w:r>
      <w:r>
        <w:instrText xml:space="preserve"> HYPERLINK \l "_Toc24882" </w:instrText>
      </w:r>
      <w:r>
        <w:fldChar w:fldCharType="separate"/>
      </w:r>
      <w:r>
        <w:rPr>
          <w:rFonts w:hint="eastAsia" w:ascii="仿宋_GB2312" w:hAnsi="宋体" w:eastAsia="仿宋_GB2312"/>
        </w:rPr>
        <w:t>五   开标及评标</w:t>
      </w:r>
      <w:r>
        <w:tab/>
      </w:r>
      <w:r>
        <w:fldChar w:fldCharType="begin"/>
      </w:r>
      <w:r>
        <w:instrText xml:space="preserve"> PAGEREF _Toc24882 \h </w:instrText>
      </w:r>
      <w:r>
        <w:fldChar w:fldCharType="separate"/>
      </w:r>
      <w:r>
        <w:t>8</w:t>
      </w:r>
      <w:r>
        <w:fldChar w:fldCharType="end"/>
      </w:r>
      <w:r>
        <w:fldChar w:fldCharType="end"/>
      </w:r>
    </w:p>
    <w:p>
      <w:pPr>
        <w:pStyle w:val="13"/>
        <w:tabs>
          <w:tab w:val="right" w:leader="dot" w:pos="8312"/>
        </w:tabs>
      </w:pPr>
      <w:r>
        <w:fldChar w:fldCharType="begin"/>
      </w:r>
      <w:r>
        <w:instrText xml:space="preserve"> HYPERLINK \l "_Toc25465" </w:instrText>
      </w:r>
      <w:r>
        <w:fldChar w:fldCharType="separate"/>
      </w:r>
      <w:r>
        <w:t xml:space="preserve">18. </w:t>
      </w:r>
      <w:r>
        <w:rPr>
          <w:rFonts w:hint="eastAsia" w:ascii="仿宋_GB2312" w:hAnsi="宋体" w:eastAsia="仿宋_GB2312"/>
        </w:rPr>
        <w:t>开标</w:t>
      </w:r>
      <w:r>
        <w:tab/>
      </w:r>
      <w:r>
        <w:fldChar w:fldCharType="begin"/>
      </w:r>
      <w:r>
        <w:instrText xml:space="preserve"> PAGEREF _Toc25465 \h </w:instrText>
      </w:r>
      <w:r>
        <w:fldChar w:fldCharType="separate"/>
      </w:r>
      <w:r>
        <w:t>8</w:t>
      </w:r>
      <w:r>
        <w:fldChar w:fldCharType="end"/>
      </w:r>
      <w:r>
        <w:fldChar w:fldCharType="end"/>
      </w:r>
    </w:p>
    <w:p>
      <w:pPr>
        <w:pStyle w:val="13"/>
        <w:tabs>
          <w:tab w:val="right" w:leader="dot" w:pos="8312"/>
        </w:tabs>
      </w:pPr>
      <w:r>
        <w:fldChar w:fldCharType="begin"/>
      </w:r>
      <w:r>
        <w:instrText xml:space="preserve"> HYPERLINK \l "_Toc31368" </w:instrText>
      </w:r>
      <w:r>
        <w:fldChar w:fldCharType="separate"/>
      </w:r>
      <w:r>
        <w:rPr>
          <w:rFonts w:hint="eastAsia" w:ascii="仿宋_GB2312" w:hAnsi="宋体" w:eastAsia="仿宋_GB2312"/>
        </w:rPr>
        <w:t>19.资格审查及组建评标委员会</w:t>
      </w:r>
      <w:r>
        <w:tab/>
      </w:r>
      <w:r>
        <w:fldChar w:fldCharType="begin"/>
      </w:r>
      <w:r>
        <w:instrText xml:space="preserve"> PAGEREF _Toc31368 \h </w:instrText>
      </w:r>
      <w:r>
        <w:fldChar w:fldCharType="separate"/>
      </w:r>
      <w:r>
        <w:t>9</w:t>
      </w:r>
      <w:r>
        <w:fldChar w:fldCharType="end"/>
      </w:r>
      <w:r>
        <w:fldChar w:fldCharType="end"/>
      </w:r>
    </w:p>
    <w:p>
      <w:pPr>
        <w:pStyle w:val="13"/>
        <w:tabs>
          <w:tab w:val="right" w:leader="dot" w:pos="8312"/>
        </w:tabs>
      </w:pPr>
      <w:r>
        <w:fldChar w:fldCharType="begin"/>
      </w:r>
      <w:r>
        <w:instrText xml:space="preserve"> HYPERLINK \l "_Toc22881" </w:instrText>
      </w:r>
      <w:r>
        <w:fldChar w:fldCharType="separate"/>
      </w:r>
      <w:r>
        <w:rPr>
          <w:rFonts w:ascii="仿宋_GB2312" w:hAnsi="宋体" w:eastAsia="仿宋_GB2312"/>
        </w:rPr>
        <w:t>20.</w:t>
      </w:r>
      <w:r>
        <w:rPr>
          <w:rFonts w:hint="eastAsia" w:ascii="仿宋_GB2312" w:hAnsi="宋体" w:eastAsia="仿宋_GB2312"/>
        </w:rPr>
        <w:t>投标文件符合性审查与澄清</w:t>
      </w:r>
      <w:r>
        <w:tab/>
      </w:r>
      <w:r>
        <w:fldChar w:fldCharType="begin"/>
      </w:r>
      <w:r>
        <w:instrText xml:space="preserve"> PAGEREF _Toc22881 \h </w:instrText>
      </w:r>
      <w:r>
        <w:fldChar w:fldCharType="separate"/>
      </w:r>
      <w:r>
        <w:t>10</w:t>
      </w:r>
      <w:r>
        <w:fldChar w:fldCharType="end"/>
      </w:r>
      <w:r>
        <w:fldChar w:fldCharType="end"/>
      </w:r>
    </w:p>
    <w:p>
      <w:pPr>
        <w:pStyle w:val="13"/>
        <w:tabs>
          <w:tab w:val="right" w:leader="dot" w:pos="8312"/>
        </w:tabs>
      </w:pPr>
      <w:r>
        <w:fldChar w:fldCharType="begin"/>
      </w:r>
      <w:r>
        <w:instrText xml:space="preserve"> HYPERLINK \l "_Toc6073" </w:instrText>
      </w:r>
      <w:r>
        <w:fldChar w:fldCharType="separate"/>
      </w:r>
      <w:r>
        <w:rPr>
          <w:rFonts w:hint="eastAsia" w:ascii="仿宋_GB2312" w:hAnsi="宋体" w:eastAsia="仿宋_GB2312"/>
        </w:rPr>
        <w:t>21.投标偏离</w:t>
      </w:r>
      <w:r>
        <w:tab/>
      </w:r>
      <w:r>
        <w:fldChar w:fldCharType="begin"/>
      </w:r>
      <w:r>
        <w:instrText xml:space="preserve"> PAGEREF _Toc6073 \h </w:instrText>
      </w:r>
      <w:r>
        <w:fldChar w:fldCharType="separate"/>
      </w:r>
      <w:r>
        <w:t>11</w:t>
      </w:r>
      <w:r>
        <w:fldChar w:fldCharType="end"/>
      </w:r>
      <w:r>
        <w:fldChar w:fldCharType="end"/>
      </w:r>
    </w:p>
    <w:p>
      <w:pPr>
        <w:pStyle w:val="13"/>
        <w:tabs>
          <w:tab w:val="right" w:leader="dot" w:pos="8312"/>
        </w:tabs>
      </w:pPr>
      <w:r>
        <w:fldChar w:fldCharType="begin"/>
      </w:r>
      <w:r>
        <w:instrText xml:space="preserve"> HYPERLINK \l "_Toc14141" </w:instrText>
      </w:r>
      <w:r>
        <w:fldChar w:fldCharType="separate"/>
      </w:r>
      <w:r>
        <w:rPr>
          <w:rFonts w:hint="eastAsia" w:ascii="仿宋_GB2312" w:hAnsi="宋体" w:eastAsia="仿宋_GB2312"/>
        </w:rPr>
        <w:t>22.投标无效</w:t>
      </w:r>
      <w:r>
        <w:tab/>
      </w:r>
      <w:r>
        <w:fldChar w:fldCharType="begin"/>
      </w:r>
      <w:r>
        <w:instrText xml:space="preserve"> PAGEREF _Toc14141 \h </w:instrText>
      </w:r>
      <w:r>
        <w:fldChar w:fldCharType="separate"/>
      </w:r>
      <w:r>
        <w:t>11</w:t>
      </w:r>
      <w:r>
        <w:fldChar w:fldCharType="end"/>
      </w:r>
      <w:r>
        <w:fldChar w:fldCharType="end"/>
      </w:r>
    </w:p>
    <w:p>
      <w:pPr>
        <w:pStyle w:val="13"/>
        <w:tabs>
          <w:tab w:val="right" w:leader="dot" w:pos="8312"/>
        </w:tabs>
      </w:pPr>
      <w:r>
        <w:fldChar w:fldCharType="begin"/>
      </w:r>
      <w:r>
        <w:instrText xml:space="preserve"> HYPERLINK \l "_Toc18297" </w:instrText>
      </w:r>
      <w:r>
        <w:fldChar w:fldCharType="separate"/>
      </w:r>
      <w:r>
        <w:rPr>
          <w:rFonts w:hint="eastAsia" w:ascii="仿宋_GB2312" w:hAnsi="宋体" w:eastAsia="仿宋_GB2312"/>
        </w:rPr>
        <w:t>23.比较与评价</w:t>
      </w:r>
      <w:r>
        <w:tab/>
      </w:r>
      <w:r>
        <w:fldChar w:fldCharType="begin"/>
      </w:r>
      <w:r>
        <w:instrText xml:space="preserve"> PAGEREF _Toc18297 \h </w:instrText>
      </w:r>
      <w:r>
        <w:fldChar w:fldCharType="separate"/>
      </w:r>
      <w:r>
        <w:t>11</w:t>
      </w:r>
      <w:r>
        <w:fldChar w:fldCharType="end"/>
      </w:r>
      <w:r>
        <w:fldChar w:fldCharType="end"/>
      </w:r>
    </w:p>
    <w:p>
      <w:pPr>
        <w:pStyle w:val="13"/>
        <w:tabs>
          <w:tab w:val="right" w:leader="dot" w:pos="8312"/>
        </w:tabs>
      </w:pPr>
      <w:r>
        <w:fldChar w:fldCharType="begin"/>
      </w:r>
      <w:r>
        <w:instrText xml:space="preserve"> HYPERLINK \l "_Toc3865" </w:instrText>
      </w:r>
      <w: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_Toc3865 \h </w:instrText>
      </w:r>
      <w:r>
        <w:fldChar w:fldCharType="separate"/>
      </w:r>
      <w:r>
        <w:t>11</w:t>
      </w:r>
      <w:r>
        <w:fldChar w:fldCharType="end"/>
      </w:r>
      <w:r>
        <w:fldChar w:fldCharType="end"/>
      </w:r>
    </w:p>
    <w:p>
      <w:pPr>
        <w:pStyle w:val="13"/>
        <w:tabs>
          <w:tab w:val="right" w:leader="dot" w:pos="8312"/>
        </w:tabs>
      </w:pPr>
      <w:r>
        <w:fldChar w:fldCharType="begin"/>
      </w:r>
      <w:r>
        <w:instrText xml:space="preserve"> HYPERLINK \l "_Toc16688" </w:instrText>
      </w:r>
      <w: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_Toc16688 \h </w:instrText>
      </w:r>
      <w:r>
        <w:fldChar w:fldCharType="separate"/>
      </w:r>
      <w:r>
        <w:t>12</w:t>
      </w:r>
      <w:r>
        <w:fldChar w:fldCharType="end"/>
      </w:r>
      <w:r>
        <w:fldChar w:fldCharType="end"/>
      </w:r>
    </w:p>
    <w:p>
      <w:pPr>
        <w:pStyle w:val="23"/>
        <w:tabs>
          <w:tab w:val="right" w:leader="dot" w:pos="8312"/>
        </w:tabs>
      </w:pPr>
      <w:r>
        <w:fldChar w:fldCharType="begin"/>
      </w:r>
      <w:r>
        <w:instrText xml:space="preserve"> HYPERLINK \l "_Toc31292" </w:instrText>
      </w:r>
      <w:r>
        <w:fldChar w:fldCharType="separate"/>
      </w:r>
      <w:r>
        <w:rPr>
          <w:rFonts w:hint="eastAsia" w:ascii="仿宋_GB2312" w:hAnsi="宋体" w:eastAsia="仿宋_GB2312"/>
        </w:rPr>
        <w:t>六   确定中标</w:t>
      </w:r>
      <w:r>
        <w:tab/>
      </w:r>
      <w:r>
        <w:fldChar w:fldCharType="begin"/>
      </w:r>
      <w:r>
        <w:instrText xml:space="preserve"> PAGEREF _Toc31292 \h </w:instrText>
      </w:r>
      <w:r>
        <w:fldChar w:fldCharType="separate"/>
      </w:r>
      <w:r>
        <w:t>12</w:t>
      </w:r>
      <w:r>
        <w:fldChar w:fldCharType="end"/>
      </w:r>
      <w:r>
        <w:fldChar w:fldCharType="end"/>
      </w:r>
    </w:p>
    <w:p>
      <w:pPr>
        <w:pStyle w:val="13"/>
        <w:tabs>
          <w:tab w:val="right" w:leader="dot" w:pos="8312"/>
        </w:tabs>
      </w:pPr>
      <w:r>
        <w:fldChar w:fldCharType="begin"/>
      </w:r>
      <w:r>
        <w:instrText xml:space="preserve"> HYPERLINK \l "_Toc25234" </w:instrText>
      </w:r>
      <w: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_Toc25234 \h </w:instrText>
      </w:r>
      <w:r>
        <w:fldChar w:fldCharType="separate"/>
      </w:r>
      <w:r>
        <w:t>12</w:t>
      </w:r>
      <w:r>
        <w:fldChar w:fldCharType="end"/>
      </w:r>
      <w:r>
        <w:fldChar w:fldCharType="end"/>
      </w:r>
    </w:p>
    <w:p>
      <w:pPr>
        <w:pStyle w:val="13"/>
        <w:tabs>
          <w:tab w:val="right" w:leader="dot" w:pos="8312"/>
        </w:tabs>
      </w:pPr>
      <w:r>
        <w:fldChar w:fldCharType="begin"/>
      </w:r>
      <w:r>
        <w:instrText xml:space="preserve"> HYPERLINK \l "_Toc10959" </w:instrText>
      </w:r>
      <w: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_Toc10959 \h </w:instrText>
      </w:r>
      <w:r>
        <w:fldChar w:fldCharType="separate"/>
      </w:r>
      <w:r>
        <w:t>12</w:t>
      </w:r>
      <w:r>
        <w:fldChar w:fldCharType="end"/>
      </w:r>
      <w:r>
        <w:fldChar w:fldCharType="end"/>
      </w:r>
    </w:p>
    <w:p>
      <w:pPr>
        <w:pStyle w:val="13"/>
        <w:tabs>
          <w:tab w:val="right" w:leader="dot" w:pos="8312"/>
        </w:tabs>
      </w:pPr>
      <w:r>
        <w:fldChar w:fldCharType="begin"/>
      </w:r>
      <w:r>
        <w:instrText xml:space="preserve"> HYPERLINK \l "_Toc23373" </w:instrText>
      </w:r>
      <w: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_Toc23373 \h </w:instrText>
      </w:r>
      <w:r>
        <w:fldChar w:fldCharType="separate"/>
      </w:r>
      <w:r>
        <w:t>12</w:t>
      </w:r>
      <w:r>
        <w:fldChar w:fldCharType="end"/>
      </w:r>
      <w:r>
        <w:fldChar w:fldCharType="end"/>
      </w:r>
    </w:p>
    <w:p>
      <w:pPr>
        <w:pStyle w:val="13"/>
        <w:tabs>
          <w:tab w:val="right" w:leader="dot" w:pos="8312"/>
        </w:tabs>
      </w:pPr>
      <w:r>
        <w:fldChar w:fldCharType="begin"/>
      </w:r>
      <w:r>
        <w:instrText xml:space="preserve"> HYPERLINK \l "_Toc18277" </w:instrText>
      </w:r>
      <w: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_Toc18277 \h </w:instrText>
      </w:r>
      <w:r>
        <w:fldChar w:fldCharType="separate"/>
      </w:r>
      <w:r>
        <w:t>12</w:t>
      </w:r>
      <w:r>
        <w:fldChar w:fldCharType="end"/>
      </w:r>
      <w:r>
        <w:fldChar w:fldCharType="end"/>
      </w:r>
    </w:p>
    <w:p>
      <w:pPr>
        <w:pStyle w:val="13"/>
        <w:tabs>
          <w:tab w:val="right" w:leader="dot" w:pos="8312"/>
        </w:tabs>
      </w:pPr>
      <w:r>
        <w:fldChar w:fldCharType="begin"/>
      </w:r>
      <w:r>
        <w:instrText xml:space="preserve"> HYPERLINK \l "_Toc32470" </w:instrText>
      </w:r>
      <w: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_Toc32470 \h </w:instrText>
      </w:r>
      <w:r>
        <w:fldChar w:fldCharType="separate"/>
      </w:r>
      <w:r>
        <w:t>12</w:t>
      </w:r>
      <w:r>
        <w:fldChar w:fldCharType="end"/>
      </w:r>
      <w:r>
        <w:fldChar w:fldCharType="end"/>
      </w:r>
    </w:p>
    <w:p>
      <w:pPr>
        <w:pStyle w:val="13"/>
        <w:tabs>
          <w:tab w:val="right" w:leader="dot" w:pos="8312"/>
        </w:tabs>
      </w:pPr>
      <w:r>
        <w:fldChar w:fldCharType="begin"/>
      </w:r>
      <w:r>
        <w:instrText xml:space="preserve"> HYPERLINK \l "_Toc18439" </w:instrText>
      </w:r>
      <w: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_Toc18439 \h </w:instrText>
      </w:r>
      <w:r>
        <w:fldChar w:fldCharType="separate"/>
      </w:r>
      <w:r>
        <w:t>12</w:t>
      </w:r>
      <w:r>
        <w:fldChar w:fldCharType="end"/>
      </w:r>
      <w:r>
        <w:fldChar w:fldCharType="end"/>
      </w:r>
    </w:p>
    <w:p>
      <w:pPr>
        <w:pStyle w:val="13"/>
        <w:tabs>
          <w:tab w:val="right" w:leader="dot" w:pos="8312"/>
        </w:tabs>
      </w:pPr>
      <w:r>
        <w:fldChar w:fldCharType="begin"/>
      </w:r>
      <w:r>
        <w:instrText xml:space="preserve"> HYPERLINK \l "_Toc13780" </w:instrText>
      </w:r>
      <w: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_Toc13780 \h </w:instrText>
      </w:r>
      <w:r>
        <w:fldChar w:fldCharType="separate"/>
      </w:r>
      <w:r>
        <w:t>13</w:t>
      </w:r>
      <w:r>
        <w:fldChar w:fldCharType="end"/>
      </w:r>
      <w:r>
        <w:fldChar w:fldCharType="end"/>
      </w:r>
    </w:p>
    <w:p>
      <w:pPr>
        <w:pStyle w:val="13"/>
        <w:tabs>
          <w:tab w:val="right" w:leader="dot" w:pos="8312"/>
        </w:tabs>
      </w:pPr>
      <w:r>
        <w:fldChar w:fldCharType="begin"/>
      </w:r>
      <w:r>
        <w:instrText xml:space="preserve"> HYPERLINK \l "_Toc2174" </w:instrText>
      </w:r>
      <w: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_Toc2174 \h </w:instrText>
      </w:r>
      <w:r>
        <w:fldChar w:fldCharType="separate"/>
      </w:r>
      <w:r>
        <w:t>13</w:t>
      </w:r>
      <w:r>
        <w:fldChar w:fldCharType="end"/>
      </w:r>
      <w:r>
        <w:fldChar w:fldCharType="end"/>
      </w:r>
    </w:p>
    <w:p>
      <w:pPr>
        <w:pStyle w:val="13"/>
        <w:tabs>
          <w:tab w:val="right" w:leader="dot" w:pos="8312"/>
        </w:tabs>
      </w:pPr>
      <w:r>
        <w:fldChar w:fldCharType="begin"/>
      </w:r>
      <w:r>
        <w:instrText xml:space="preserve"> HYPERLINK \l "_Toc5057" </w:instrText>
      </w:r>
      <w: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_Toc5057 \h </w:instrText>
      </w:r>
      <w:r>
        <w:fldChar w:fldCharType="separate"/>
      </w:r>
      <w:r>
        <w:t>13</w:t>
      </w:r>
      <w:r>
        <w:fldChar w:fldCharType="end"/>
      </w:r>
      <w:r>
        <w:fldChar w:fldCharType="end"/>
      </w:r>
    </w:p>
    <w:p>
      <w:pPr>
        <w:pStyle w:val="13"/>
        <w:tabs>
          <w:tab w:val="right" w:leader="dot" w:pos="8312"/>
        </w:tabs>
      </w:pPr>
      <w:r>
        <w:fldChar w:fldCharType="begin"/>
      </w:r>
      <w:r>
        <w:instrText xml:space="preserve"> HYPERLINK \l "_Toc8673" </w:instrText>
      </w:r>
      <w: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_Toc8673 \h </w:instrText>
      </w:r>
      <w:r>
        <w:fldChar w:fldCharType="separate"/>
      </w:r>
      <w:r>
        <w:t>13</w:t>
      </w:r>
      <w:r>
        <w:fldChar w:fldCharType="end"/>
      </w:r>
      <w:r>
        <w:fldChar w:fldCharType="end"/>
      </w:r>
    </w:p>
    <w:p>
      <w:pPr>
        <w:pStyle w:val="13"/>
        <w:tabs>
          <w:tab w:val="right" w:leader="dot" w:pos="8312"/>
        </w:tabs>
      </w:pPr>
      <w:r>
        <w:fldChar w:fldCharType="begin"/>
      </w:r>
      <w:r>
        <w:instrText xml:space="preserve"> HYPERLINK \l "_Toc31416" </w:instrText>
      </w:r>
      <w:r>
        <w:fldChar w:fldCharType="separate"/>
      </w:r>
      <w:r>
        <w:rPr>
          <w:rFonts w:hint="eastAsia" w:ascii="仿宋_GB2312" w:hAnsi="宋体" w:eastAsia="仿宋_GB2312"/>
        </w:rPr>
        <w:t>36.质疑与接收</w:t>
      </w:r>
      <w:r>
        <w:tab/>
      </w:r>
      <w:r>
        <w:fldChar w:fldCharType="begin"/>
      </w:r>
      <w:r>
        <w:instrText xml:space="preserve"> PAGEREF _Toc31416 \h </w:instrText>
      </w:r>
      <w:r>
        <w:fldChar w:fldCharType="separate"/>
      </w:r>
      <w:r>
        <w:t>13</w:t>
      </w:r>
      <w:r>
        <w:fldChar w:fldCharType="end"/>
      </w:r>
      <w:r>
        <w:fldChar w:fldCharType="end"/>
      </w:r>
    </w:p>
    <w:p>
      <w:pPr>
        <w:pStyle w:val="23"/>
        <w:tabs>
          <w:tab w:val="right" w:leader="dot" w:pos="8312"/>
        </w:tabs>
      </w:pPr>
      <w:r>
        <w:fldChar w:fldCharType="begin"/>
      </w:r>
      <w:r>
        <w:instrText xml:space="preserve"> HYPERLINK \l "_Toc28092" </w:instrText>
      </w:r>
      <w: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begin"/>
      </w:r>
      <w:r>
        <w:instrText xml:space="preserve"> PAGEREF _Toc28092 \h </w:instrText>
      </w:r>
      <w:r>
        <w:fldChar w:fldCharType="separate"/>
      </w:r>
      <w:r>
        <w:t>14</w:t>
      </w:r>
      <w:r>
        <w:fldChar w:fldCharType="end"/>
      </w:r>
      <w:r>
        <w:fldChar w:fldCharType="end"/>
      </w:r>
    </w:p>
    <w:p>
      <w:pPr>
        <w:pStyle w:val="23"/>
        <w:tabs>
          <w:tab w:val="right" w:leader="dot" w:pos="8312"/>
        </w:tabs>
      </w:pPr>
      <w:r>
        <w:fldChar w:fldCharType="begin"/>
      </w:r>
      <w:r>
        <w:instrText xml:space="preserve"> HYPERLINK \l "_Toc18057" </w:instrText>
      </w:r>
      <w: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begin"/>
      </w:r>
      <w:r>
        <w:instrText xml:space="preserve"> PAGEREF _Toc18057 \h </w:instrText>
      </w:r>
      <w:r>
        <w:fldChar w:fldCharType="separate"/>
      </w:r>
      <w:r>
        <w:t>15</w:t>
      </w:r>
      <w:r>
        <w:fldChar w:fldCharType="end"/>
      </w:r>
      <w:r>
        <w:fldChar w:fldCharType="end"/>
      </w:r>
    </w:p>
    <w:p>
      <w:pPr>
        <w:pStyle w:val="23"/>
        <w:tabs>
          <w:tab w:val="right" w:leader="dot" w:pos="8312"/>
        </w:tabs>
      </w:pPr>
      <w:r>
        <w:fldChar w:fldCharType="begin"/>
      </w:r>
      <w:r>
        <w:instrText xml:space="preserve"> HYPERLINK \l "_Toc26441" </w:instrText>
      </w:r>
      <w:r>
        <w:fldChar w:fldCharType="separate"/>
      </w:r>
      <w:r>
        <w:rPr>
          <w:rFonts w:hint="eastAsia" w:ascii="仿宋_GB2312" w:eastAsia="仿宋_GB2312"/>
        </w:rPr>
        <w:t>（采用政府采购信用担保形式时</w:t>
      </w:r>
      <w:r>
        <w:rPr>
          <w:rFonts w:ascii="仿宋_GB2312" w:eastAsia="仿宋_GB2312"/>
        </w:rPr>
        <w:t>使用）</w:t>
      </w:r>
      <w:r>
        <w:tab/>
      </w:r>
      <w:r>
        <w:fldChar w:fldCharType="begin"/>
      </w:r>
      <w:r>
        <w:instrText xml:space="preserve"> PAGEREF _Toc26441 \h </w:instrText>
      </w:r>
      <w:r>
        <w:fldChar w:fldCharType="separate"/>
      </w:r>
      <w:r>
        <w:t>15</w:t>
      </w:r>
      <w:r>
        <w:fldChar w:fldCharType="end"/>
      </w:r>
      <w:r>
        <w:fldChar w:fldCharType="end"/>
      </w:r>
    </w:p>
    <w:p>
      <w:pPr>
        <w:pStyle w:val="20"/>
        <w:tabs>
          <w:tab w:val="right" w:leader="dot" w:pos="8312"/>
        </w:tabs>
      </w:pPr>
      <w:r>
        <w:fldChar w:fldCharType="begin"/>
      </w:r>
      <w:r>
        <w:instrText xml:space="preserve"> HYPERLINK \l "_Toc387" </w:instrText>
      </w:r>
      <w:r>
        <w:fldChar w:fldCharType="separate"/>
      </w:r>
      <w:r>
        <w:rPr>
          <w:rFonts w:ascii="仿宋_GB2312" w:eastAsia="仿宋_GB2312"/>
        </w:rPr>
        <w:t xml:space="preserve">第2章 </w:t>
      </w:r>
      <w:r>
        <w:rPr>
          <w:rFonts w:hint="eastAsia" w:ascii="仿宋_GB2312" w:eastAsia="仿宋_GB2312"/>
        </w:rPr>
        <w:t>投标文件格式</w:t>
      </w:r>
      <w:r>
        <w:tab/>
      </w:r>
      <w:r>
        <w:fldChar w:fldCharType="begin"/>
      </w:r>
      <w:r>
        <w:instrText xml:space="preserve"> PAGEREF _Toc387 \h </w:instrText>
      </w:r>
      <w:r>
        <w:fldChar w:fldCharType="separate"/>
      </w:r>
      <w:r>
        <w:t>17</w:t>
      </w:r>
      <w:r>
        <w:fldChar w:fldCharType="end"/>
      </w:r>
      <w:r>
        <w:fldChar w:fldCharType="end"/>
      </w:r>
    </w:p>
    <w:p>
      <w:pPr>
        <w:pStyle w:val="23"/>
        <w:tabs>
          <w:tab w:val="right" w:leader="dot" w:pos="8312"/>
        </w:tabs>
      </w:pPr>
      <w:r>
        <w:fldChar w:fldCharType="begin"/>
      </w:r>
      <w:r>
        <w:instrText xml:space="preserve"> HYPERLINK \l "_Toc913" </w:instrText>
      </w:r>
      <w: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_Toc913 \h </w:instrText>
      </w:r>
      <w:r>
        <w:fldChar w:fldCharType="separate"/>
      </w:r>
      <w:r>
        <w:t>17</w:t>
      </w:r>
      <w:r>
        <w:fldChar w:fldCharType="end"/>
      </w:r>
      <w:r>
        <w:fldChar w:fldCharType="end"/>
      </w:r>
    </w:p>
    <w:p>
      <w:pPr>
        <w:pStyle w:val="23"/>
        <w:tabs>
          <w:tab w:val="right" w:leader="dot" w:pos="8312"/>
        </w:tabs>
      </w:pPr>
      <w:r>
        <w:fldChar w:fldCharType="begin"/>
      </w:r>
      <w:r>
        <w:instrText xml:space="preserve"> HYPERLINK \l "_Toc30883" </w:instrText>
      </w:r>
      <w: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begin"/>
      </w:r>
      <w:r>
        <w:instrText xml:space="preserve"> PAGEREF _Toc30883 \h </w:instrText>
      </w:r>
      <w:r>
        <w:fldChar w:fldCharType="separate"/>
      </w:r>
      <w:r>
        <w:t>18</w:t>
      </w:r>
      <w:r>
        <w:fldChar w:fldCharType="end"/>
      </w:r>
      <w:r>
        <w:fldChar w:fldCharType="end"/>
      </w:r>
    </w:p>
    <w:p>
      <w:pPr>
        <w:pStyle w:val="23"/>
        <w:tabs>
          <w:tab w:val="right" w:leader="dot" w:pos="8312"/>
        </w:tabs>
      </w:pPr>
      <w:r>
        <w:fldChar w:fldCharType="begin"/>
      </w:r>
      <w:r>
        <w:instrText xml:space="preserve"> HYPERLINK \l "_Toc8046" </w:instrText>
      </w:r>
      <w:r>
        <w:fldChar w:fldCharType="separate"/>
      </w:r>
      <w:r>
        <w:rPr>
          <w:rFonts w:hint="eastAsia" w:ascii="仿宋_GB2312" w:hAnsi="宋体" w:eastAsia="仿宋_GB2312"/>
        </w:rPr>
        <w:t>3   法人或其他组织的合法有效的三证合一营业执照扫描件加盖公章；</w:t>
      </w:r>
      <w:r>
        <w:tab/>
      </w:r>
      <w:r>
        <w:fldChar w:fldCharType="begin"/>
      </w:r>
      <w:r>
        <w:instrText xml:space="preserve"> PAGEREF _Toc8046 \h </w:instrText>
      </w:r>
      <w:r>
        <w:fldChar w:fldCharType="separate"/>
      </w:r>
      <w:r>
        <w:t>19</w:t>
      </w:r>
      <w:r>
        <w:fldChar w:fldCharType="end"/>
      </w:r>
      <w:r>
        <w:fldChar w:fldCharType="end"/>
      </w:r>
    </w:p>
    <w:p>
      <w:pPr>
        <w:pStyle w:val="23"/>
        <w:tabs>
          <w:tab w:val="right" w:leader="dot" w:pos="8312"/>
        </w:tabs>
      </w:pPr>
      <w:r>
        <w:fldChar w:fldCharType="begin"/>
      </w:r>
      <w:r>
        <w:instrText xml:space="preserve"> HYPERLINK \l "_Toc29177" </w:instrText>
      </w:r>
      <w:r>
        <w:fldChar w:fldCharType="separate"/>
      </w:r>
      <w:r>
        <w:rPr>
          <w:rFonts w:hint="eastAsia" w:ascii="仿宋_GB2312" w:hAnsi="宋体" w:eastAsia="仿宋_GB2312"/>
        </w:rPr>
        <w:t>5  社保部门出具的供应商单位缴纳的近6个月中任意1个月社保证明缴费凭证；</w:t>
      </w:r>
      <w:r>
        <w:tab/>
      </w:r>
      <w:r>
        <w:fldChar w:fldCharType="begin"/>
      </w:r>
      <w:r>
        <w:instrText xml:space="preserve"> PAGEREF _Toc29177 \h </w:instrText>
      </w:r>
      <w:r>
        <w:fldChar w:fldCharType="separate"/>
      </w:r>
      <w:r>
        <w:t>22</w:t>
      </w:r>
      <w:r>
        <w:fldChar w:fldCharType="end"/>
      </w:r>
      <w:r>
        <w:fldChar w:fldCharType="end"/>
      </w:r>
    </w:p>
    <w:p>
      <w:pPr>
        <w:pStyle w:val="23"/>
        <w:tabs>
          <w:tab w:val="right" w:leader="dot" w:pos="8312"/>
        </w:tabs>
      </w:pPr>
      <w:r>
        <w:fldChar w:fldCharType="begin"/>
      </w:r>
      <w:r>
        <w:instrText xml:space="preserve"> HYPERLINK \l "_Toc23237" </w:instrText>
      </w:r>
      <w:r>
        <w:fldChar w:fldCharType="separate"/>
      </w:r>
      <w:r>
        <w:rPr>
          <w:rFonts w:hint="eastAsia" w:ascii="仿宋_GB2312" w:hAnsi="宋体" w:eastAsia="仿宋_GB2312"/>
          <w:kern w:val="0"/>
          <w:szCs w:val="20"/>
        </w:rPr>
        <w:t>6  具有税务局开具依法缴纳近6个月中任意1个月税收证明的良好记录（完税证明），依法免缴的应提供依法免缴的相关证明文件或零申报报表</w:t>
      </w:r>
      <w:r>
        <w:tab/>
      </w:r>
      <w:r>
        <w:fldChar w:fldCharType="begin"/>
      </w:r>
      <w:r>
        <w:instrText xml:space="preserve"> PAGEREF _Toc23237 \h </w:instrText>
      </w:r>
      <w:r>
        <w:fldChar w:fldCharType="separate"/>
      </w:r>
      <w:r>
        <w:t>22</w:t>
      </w:r>
      <w:r>
        <w:fldChar w:fldCharType="end"/>
      </w:r>
      <w:r>
        <w:fldChar w:fldCharType="end"/>
      </w:r>
    </w:p>
    <w:p>
      <w:pPr>
        <w:pStyle w:val="23"/>
        <w:tabs>
          <w:tab w:val="right" w:leader="dot" w:pos="8312"/>
        </w:tabs>
      </w:pPr>
      <w:r>
        <w:fldChar w:fldCharType="begin"/>
      </w:r>
      <w:r>
        <w:instrText xml:space="preserve"> HYPERLINK \l "_Toc8073" </w:instrText>
      </w:r>
      <w:r>
        <w:fldChar w:fldCharType="separate"/>
      </w:r>
      <w:r>
        <w:rPr>
          <w:rFonts w:hint="eastAsia" w:ascii="仿宋_GB2312" w:hAnsi="宋体" w:eastAsia="仿宋_GB2312"/>
          <w:kern w:val="0"/>
          <w:szCs w:val="20"/>
        </w:rPr>
        <w:t>7  提供2021年或2022年度的财务审计报告（新成立公司需提供银行资信证明）</w:t>
      </w:r>
      <w:r>
        <w:tab/>
      </w:r>
      <w:r>
        <w:fldChar w:fldCharType="begin"/>
      </w:r>
      <w:r>
        <w:instrText xml:space="preserve"> PAGEREF _Toc8073 \h </w:instrText>
      </w:r>
      <w:r>
        <w:fldChar w:fldCharType="separate"/>
      </w:r>
      <w:r>
        <w:t>22</w:t>
      </w:r>
      <w:r>
        <w:fldChar w:fldCharType="end"/>
      </w:r>
      <w:r>
        <w:fldChar w:fldCharType="end"/>
      </w:r>
    </w:p>
    <w:p>
      <w:pPr>
        <w:pStyle w:val="23"/>
        <w:tabs>
          <w:tab w:val="right" w:leader="dot" w:pos="8312"/>
        </w:tabs>
      </w:pPr>
      <w:r>
        <w:fldChar w:fldCharType="begin"/>
      </w:r>
      <w:r>
        <w:instrText xml:space="preserve"> HYPERLINK \l "_Toc12917" </w:instrText>
      </w:r>
      <w:r>
        <w:fldChar w:fldCharType="separate"/>
      </w:r>
      <w:r>
        <w:rPr>
          <w:rFonts w:hint="eastAsia" w:ascii="仿宋_GB2312" w:eastAsia="仿宋_GB2312"/>
        </w:rPr>
        <w:t xml:space="preserve">8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_Toc12917 \h </w:instrText>
      </w:r>
      <w:r>
        <w:fldChar w:fldCharType="separate"/>
      </w:r>
      <w:r>
        <w:t>22</w:t>
      </w:r>
      <w:r>
        <w:fldChar w:fldCharType="end"/>
      </w:r>
      <w:r>
        <w:fldChar w:fldCharType="end"/>
      </w:r>
    </w:p>
    <w:p>
      <w:pPr>
        <w:pStyle w:val="23"/>
        <w:tabs>
          <w:tab w:val="right" w:leader="dot" w:pos="8312"/>
        </w:tabs>
      </w:pPr>
      <w:r>
        <w:fldChar w:fldCharType="begin"/>
      </w:r>
      <w:r>
        <w:instrText xml:space="preserve"> HYPERLINK \l "_Toc31224" </w:instrText>
      </w:r>
      <w:r>
        <w:fldChar w:fldCharType="separate"/>
      </w:r>
      <w:r>
        <w:rPr>
          <w:rFonts w:hint="eastAsia" w:ascii="仿宋_GB2312" w:hAnsi="宋体" w:eastAsia="仿宋_GB2312"/>
        </w:rPr>
        <w:t>9 提供针对本次项目的反商业贿赂承诺书</w:t>
      </w:r>
      <w:r>
        <w:tab/>
      </w:r>
      <w:r>
        <w:fldChar w:fldCharType="begin"/>
      </w:r>
      <w:r>
        <w:instrText xml:space="preserve"> PAGEREF _Toc31224 \h </w:instrText>
      </w:r>
      <w:r>
        <w:fldChar w:fldCharType="separate"/>
      </w:r>
      <w:r>
        <w:t>22</w:t>
      </w:r>
      <w:r>
        <w:fldChar w:fldCharType="end"/>
      </w:r>
      <w:r>
        <w:fldChar w:fldCharType="end"/>
      </w:r>
    </w:p>
    <w:p>
      <w:pPr>
        <w:pStyle w:val="23"/>
        <w:tabs>
          <w:tab w:val="right" w:leader="dot" w:pos="8312"/>
        </w:tabs>
      </w:pPr>
      <w:r>
        <w:fldChar w:fldCharType="begin"/>
      </w:r>
      <w:r>
        <w:instrText xml:space="preserve"> HYPERLINK \l "_Toc30408" </w:instrText>
      </w:r>
      <w:r>
        <w:fldChar w:fldCharType="separate"/>
      </w:r>
      <w:r>
        <w:rPr>
          <w:rFonts w:hint="eastAsia" w:ascii="仿宋_GB2312" w:eastAsia="仿宋_GB2312"/>
        </w:rPr>
        <w:t>10</w:t>
      </w:r>
      <w:r>
        <w:rPr>
          <w:rFonts w:ascii="仿宋_GB2312" w:hAnsi="宋体" w:eastAsia="仿宋_GB2312"/>
        </w:rPr>
        <w:t xml:space="preserve">  </w:t>
      </w:r>
      <w:r>
        <w:rPr>
          <w:rFonts w:hint="eastAsia" w:ascii="仿宋_GB2312" w:hAnsi="宋体" w:eastAsia="仿宋_GB2312"/>
        </w:rPr>
        <w:t>持保证金银行缴款凭证</w:t>
      </w:r>
      <w:r>
        <w:tab/>
      </w:r>
      <w:r>
        <w:fldChar w:fldCharType="begin"/>
      </w:r>
      <w:r>
        <w:instrText xml:space="preserve"> PAGEREF _Toc30408 \h </w:instrText>
      </w:r>
      <w:r>
        <w:fldChar w:fldCharType="separate"/>
      </w:r>
      <w:r>
        <w:t>22</w:t>
      </w:r>
      <w:r>
        <w:fldChar w:fldCharType="end"/>
      </w:r>
      <w:r>
        <w:fldChar w:fldCharType="end"/>
      </w:r>
    </w:p>
    <w:p>
      <w:pPr>
        <w:pStyle w:val="23"/>
        <w:tabs>
          <w:tab w:val="right" w:leader="dot" w:pos="8312"/>
        </w:tabs>
      </w:pPr>
      <w:r>
        <w:fldChar w:fldCharType="begin"/>
      </w:r>
      <w:r>
        <w:instrText xml:space="preserve"> HYPERLINK \l "_Toc18875" </w:instrText>
      </w:r>
      <w:r>
        <w:fldChar w:fldCharType="separate"/>
      </w:r>
      <w:r>
        <w:rPr>
          <w:rFonts w:hint="eastAsia" w:ascii="仿宋_GB2312" w:hAnsi="宋体" w:eastAsia="仿宋_GB2312"/>
          <w:kern w:val="0"/>
        </w:rPr>
        <w:t>11  投标人须知资料表要求的其他资格证明文件</w:t>
      </w:r>
      <w:r>
        <w:tab/>
      </w:r>
      <w:r>
        <w:fldChar w:fldCharType="begin"/>
      </w:r>
      <w:r>
        <w:instrText xml:space="preserve"> PAGEREF _Toc18875 \h </w:instrText>
      </w:r>
      <w:r>
        <w:fldChar w:fldCharType="separate"/>
      </w:r>
      <w:r>
        <w:t>23</w:t>
      </w:r>
      <w:r>
        <w:fldChar w:fldCharType="end"/>
      </w:r>
      <w:r>
        <w:fldChar w:fldCharType="end"/>
      </w:r>
    </w:p>
    <w:p>
      <w:pPr>
        <w:pStyle w:val="23"/>
        <w:tabs>
          <w:tab w:val="right" w:leader="dot" w:pos="8312"/>
        </w:tabs>
      </w:pPr>
      <w:r>
        <w:fldChar w:fldCharType="begin"/>
      </w:r>
      <w:r>
        <w:instrText xml:space="preserve"> HYPERLINK \l "_Toc6819" </w:instrText>
      </w:r>
      <w: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_Toc6819 \h </w:instrText>
      </w:r>
      <w:r>
        <w:fldChar w:fldCharType="separate"/>
      </w:r>
      <w:r>
        <w:t>24</w:t>
      </w:r>
      <w:r>
        <w:fldChar w:fldCharType="end"/>
      </w:r>
      <w:r>
        <w:fldChar w:fldCharType="end"/>
      </w:r>
    </w:p>
    <w:p>
      <w:pPr>
        <w:pStyle w:val="23"/>
        <w:tabs>
          <w:tab w:val="right" w:leader="dot" w:pos="8312"/>
        </w:tabs>
      </w:pPr>
      <w:r>
        <w:fldChar w:fldCharType="begin"/>
      </w:r>
      <w:r>
        <w:instrText xml:space="preserve"> HYPERLINK \l "_Toc30279" </w:instrText>
      </w:r>
      <w: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_Toc30279 \h </w:instrText>
      </w:r>
      <w:r>
        <w:fldChar w:fldCharType="separate"/>
      </w:r>
      <w:r>
        <w:t>25</w:t>
      </w:r>
      <w:r>
        <w:fldChar w:fldCharType="end"/>
      </w:r>
      <w:r>
        <w:fldChar w:fldCharType="end"/>
      </w:r>
    </w:p>
    <w:p>
      <w:pPr>
        <w:pStyle w:val="23"/>
        <w:tabs>
          <w:tab w:val="right" w:leader="dot" w:pos="8312"/>
        </w:tabs>
      </w:pPr>
      <w:r>
        <w:fldChar w:fldCharType="begin"/>
      </w:r>
      <w:r>
        <w:instrText xml:space="preserve"> HYPERLINK \l "_Toc29955" </w:instrText>
      </w:r>
      <w:r>
        <w:fldChar w:fldCharType="separate"/>
      </w:r>
      <w:r>
        <w:rPr>
          <w:rFonts w:ascii="仿宋_GB2312" w:hAnsi="宋体" w:eastAsia="仿宋_GB2312"/>
        </w:rPr>
        <w:t>2</w:t>
      </w:r>
      <w:r>
        <w:rPr>
          <w:rFonts w:hint="eastAsia" w:ascii="仿宋_GB2312" w:hAnsi="宋体" w:eastAsia="仿宋_GB2312"/>
        </w:rPr>
        <w:t xml:space="preserve">   投标保证金缴纳凭证复印件或投标担保函</w:t>
      </w:r>
      <w:r>
        <w:tab/>
      </w:r>
      <w:r>
        <w:fldChar w:fldCharType="begin"/>
      </w:r>
      <w:r>
        <w:instrText xml:space="preserve"> PAGEREF _Toc29955 \h </w:instrText>
      </w:r>
      <w:r>
        <w:fldChar w:fldCharType="separate"/>
      </w:r>
      <w:r>
        <w:t>26</w:t>
      </w:r>
      <w:r>
        <w:fldChar w:fldCharType="end"/>
      </w:r>
      <w:r>
        <w:fldChar w:fldCharType="end"/>
      </w:r>
    </w:p>
    <w:p>
      <w:pPr>
        <w:pStyle w:val="23"/>
        <w:tabs>
          <w:tab w:val="right" w:leader="dot" w:pos="8312"/>
        </w:tabs>
      </w:pPr>
      <w:r>
        <w:fldChar w:fldCharType="begin"/>
      </w:r>
      <w:r>
        <w:instrText xml:space="preserve"> HYPERLINK \l "_Toc135" </w:instrText>
      </w:r>
      <w:r>
        <w:fldChar w:fldCharType="separate"/>
      </w:r>
      <w:r>
        <w:rPr>
          <w:rFonts w:ascii="仿宋_GB2312" w:hAnsi="宋体" w:eastAsia="仿宋_GB2312"/>
        </w:rPr>
        <w:t>3</w:t>
      </w:r>
      <w:r>
        <w:rPr>
          <w:rFonts w:hint="eastAsia" w:ascii="仿宋_GB2312" w:hAnsi="宋体" w:eastAsia="仿宋_GB2312"/>
        </w:rPr>
        <w:t xml:space="preserve">   </w:t>
      </w:r>
      <w:r>
        <w:rPr>
          <w:rFonts w:hint="eastAsia" w:ascii="仿宋_GB2312" w:eastAsia="仿宋_GB2312"/>
        </w:rPr>
        <w:t>投标分项报价表-设备部分（</w:t>
      </w:r>
      <w:r>
        <w:rPr>
          <w:rFonts w:ascii="仿宋_GB2312" w:eastAsia="仿宋_GB2312"/>
        </w:rPr>
        <w:t>投标文件</w:t>
      </w:r>
      <w:r>
        <w:rPr>
          <w:rFonts w:hint="eastAsia" w:ascii="仿宋_GB2312" w:eastAsia="仿宋_GB2312"/>
        </w:rPr>
        <w:t>格式七）</w:t>
      </w:r>
      <w:r>
        <w:tab/>
      </w:r>
      <w:r>
        <w:fldChar w:fldCharType="begin"/>
      </w:r>
      <w:r>
        <w:instrText xml:space="preserve"> PAGEREF _Toc135 \h </w:instrText>
      </w:r>
      <w:r>
        <w:fldChar w:fldCharType="separate"/>
      </w:r>
      <w:r>
        <w:t>27</w:t>
      </w:r>
      <w:r>
        <w:fldChar w:fldCharType="end"/>
      </w:r>
      <w:r>
        <w:fldChar w:fldCharType="end"/>
      </w:r>
    </w:p>
    <w:p>
      <w:pPr>
        <w:pStyle w:val="23"/>
        <w:tabs>
          <w:tab w:val="right" w:leader="dot" w:pos="8312"/>
        </w:tabs>
      </w:pPr>
      <w:r>
        <w:fldChar w:fldCharType="begin"/>
      </w:r>
      <w:r>
        <w:instrText xml:space="preserve"> HYPERLINK \l "_Toc20672" </w:instrText>
      </w:r>
      <w:r>
        <w:fldChar w:fldCharType="separate"/>
      </w:r>
      <w:r>
        <w:rPr>
          <w:rFonts w:ascii="仿宋_GB2312" w:eastAsia="仿宋_GB2312"/>
        </w:rPr>
        <w:t xml:space="preserve">4   </w:t>
      </w:r>
      <w:r>
        <w:rPr>
          <w:rFonts w:hint="eastAsia" w:ascii="仿宋_GB2312" w:eastAsia="仿宋_GB2312"/>
        </w:rPr>
        <w:t>货物说明一览表（</w:t>
      </w:r>
      <w:r>
        <w:rPr>
          <w:rFonts w:ascii="仿宋_GB2312" w:eastAsia="仿宋_GB2312"/>
        </w:rPr>
        <w:t>投标文件</w:t>
      </w:r>
      <w:r>
        <w:rPr>
          <w:rFonts w:hint="eastAsia" w:ascii="仿宋_GB2312" w:eastAsia="仿宋_GB2312"/>
        </w:rPr>
        <w:t>格式八）</w:t>
      </w:r>
      <w:r>
        <w:tab/>
      </w:r>
      <w:r>
        <w:fldChar w:fldCharType="begin"/>
      </w:r>
      <w:r>
        <w:instrText xml:space="preserve"> PAGEREF _Toc20672 \h </w:instrText>
      </w:r>
      <w:r>
        <w:fldChar w:fldCharType="separate"/>
      </w:r>
      <w:r>
        <w:t>28</w:t>
      </w:r>
      <w:r>
        <w:fldChar w:fldCharType="end"/>
      </w:r>
      <w:r>
        <w:fldChar w:fldCharType="end"/>
      </w:r>
    </w:p>
    <w:p>
      <w:pPr>
        <w:pStyle w:val="23"/>
        <w:tabs>
          <w:tab w:val="right" w:leader="dot" w:pos="8312"/>
        </w:tabs>
      </w:pPr>
      <w:r>
        <w:fldChar w:fldCharType="begin"/>
      </w:r>
      <w:r>
        <w:instrText xml:space="preserve"> HYPERLINK \l "_Toc10749" </w:instrText>
      </w:r>
      <w:r>
        <w:fldChar w:fldCharType="separate"/>
      </w:r>
      <w:r>
        <w:rPr>
          <w:rFonts w:ascii="仿宋_GB2312" w:eastAsia="仿宋_GB2312"/>
        </w:rPr>
        <w:t>5</w:t>
      </w:r>
      <w:r>
        <w:rPr>
          <w:rFonts w:hint="eastAsia" w:ascii="仿宋_GB2312" w:eastAsia="仿宋_GB2312"/>
        </w:rPr>
        <w:t xml:space="preserve">   技术规格偏离表（</w:t>
      </w:r>
      <w:r>
        <w:rPr>
          <w:rFonts w:ascii="仿宋_GB2312" w:eastAsia="仿宋_GB2312"/>
        </w:rPr>
        <w:t>投标文件</w:t>
      </w:r>
      <w:r>
        <w:rPr>
          <w:rFonts w:hint="eastAsia" w:ascii="仿宋_GB2312" w:eastAsia="仿宋_GB2312"/>
        </w:rPr>
        <w:t>格式九）</w:t>
      </w:r>
      <w:r>
        <w:tab/>
      </w:r>
      <w:r>
        <w:fldChar w:fldCharType="begin"/>
      </w:r>
      <w:r>
        <w:instrText xml:space="preserve"> PAGEREF _Toc10749 \h </w:instrText>
      </w:r>
      <w:r>
        <w:fldChar w:fldCharType="separate"/>
      </w:r>
      <w:r>
        <w:t>29</w:t>
      </w:r>
      <w:r>
        <w:fldChar w:fldCharType="end"/>
      </w:r>
      <w:r>
        <w:fldChar w:fldCharType="end"/>
      </w:r>
    </w:p>
    <w:p>
      <w:pPr>
        <w:pStyle w:val="23"/>
        <w:tabs>
          <w:tab w:val="right" w:leader="dot" w:pos="8312"/>
        </w:tabs>
      </w:pPr>
      <w:r>
        <w:fldChar w:fldCharType="begin"/>
      </w:r>
      <w:r>
        <w:instrText xml:space="preserve"> HYPERLINK \l "_Toc6654" </w:instrText>
      </w:r>
      <w:r>
        <w:fldChar w:fldCharType="separate"/>
      </w:r>
      <w:r>
        <w:rPr>
          <w:rFonts w:ascii="仿宋_GB2312" w:eastAsia="仿宋_GB2312"/>
        </w:rPr>
        <w:t>6</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格式十）</w:t>
      </w:r>
      <w:r>
        <w:tab/>
      </w:r>
      <w:r>
        <w:fldChar w:fldCharType="begin"/>
      </w:r>
      <w:r>
        <w:instrText xml:space="preserve"> PAGEREF _Toc6654 \h </w:instrText>
      </w:r>
      <w:r>
        <w:fldChar w:fldCharType="separate"/>
      </w:r>
      <w:r>
        <w:t>30</w:t>
      </w:r>
      <w:r>
        <w:fldChar w:fldCharType="end"/>
      </w:r>
      <w:r>
        <w:fldChar w:fldCharType="end"/>
      </w:r>
    </w:p>
    <w:p>
      <w:pPr>
        <w:pStyle w:val="23"/>
        <w:tabs>
          <w:tab w:val="right" w:leader="dot" w:pos="8312"/>
        </w:tabs>
      </w:pPr>
      <w:r>
        <w:fldChar w:fldCharType="begin"/>
      </w:r>
      <w:r>
        <w:instrText xml:space="preserve"> HYPERLINK \l "_Toc2687" </w:instrText>
      </w:r>
      <w:r>
        <w:fldChar w:fldCharType="separate"/>
      </w:r>
      <w:r>
        <w:rPr>
          <w:rFonts w:hint="eastAsia" w:ascii="仿宋_GB2312" w:eastAsia="仿宋_GB2312"/>
        </w:rPr>
        <w:t>7-1  中小企业声明函（投标文件格式十一）</w:t>
      </w:r>
      <w:r>
        <w:tab/>
      </w:r>
      <w:r>
        <w:fldChar w:fldCharType="begin"/>
      </w:r>
      <w:r>
        <w:instrText xml:space="preserve"> PAGEREF _Toc2687 \h </w:instrText>
      </w:r>
      <w:r>
        <w:fldChar w:fldCharType="separate"/>
      </w:r>
      <w:r>
        <w:t>31</w:t>
      </w:r>
      <w:r>
        <w:fldChar w:fldCharType="end"/>
      </w:r>
      <w:r>
        <w:fldChar w:fldCharType="end"/>
      </w:r>
    </w:p>
    <w:p>
      <w:pPr>
        <w:pStyle w:val="23"/>
        <w:tabs>
          <w:tab w:val="right" w:leader="dot" w:pos="8312"/>
        </w:tabs>
      </w:pPr>
      <w:r>
        <w:fldChar w:fldCharType="begin"/>
      </w:r>
      <w:r>
        <w:instrText xml:space="preserve"> HYPERLINK \l "_Toc7261" </w:instrText>
      </w:r>
      <w:r>
        <w:fldChar w:fldCharType="separate"/>
      </w:r>
      <w:r>
        <w:rPr>
          <w:rFonts w:hint="eastAsia" w:ascii="仿宋_GB2312" w:eastAsia="仿宋_GB2312"/>
        </w:rPr>
        <w:t>7-2   残疾人福利性单位声明函（投标文件格式十二）</w:t>
      </w:r>
      <w:r>
        <w:tab/>
      </w:r>
      <w:r>
        <w:fldChar w:fldCharType="begin"/>
      </w:r>
      <w:r>
        <w:instrText xml:space="preserve"> PAGEREF _Toc7261 \h </w:instrText>
      </w:r>
      <w:r>
        <w:fldChar w:fldCharType="separate"/>
      </w:r>
      <w:r>
        <w:t>32</w:t>
      </w:r>
      <w:r>
        <w:fldChar w:fldCharType="end"/>
      </w:r>
      <w:r>
        <w:fldChar w:fldCharType="end"/>
      </w:r>
    </w:p>
    <w:p>
      <w:pPr>
        <w:pStyle w:val="23"/>
        <w:tabs>
          <w:tab w:val="right" w:leader="dot" w:pos="8312"/>
        </w:tabs>
      </w:pPr>
      <w:r>
        <w:fldChar w:fldCharType="begin"/>
      </w:r>
      <w:r>
        <w:instrText xml:space="preserve"> HYPERLINK \l "_Toc3532" </w:instrText>
      </w:r>
      <w: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_Toc3532 \h </w:instrText>
      </w:r>
      <w:r>
        <w:fldChar w:fldCharType="separate"/>
      </w:r>
      <w:r>
        <w:t>33</w:t>
      </w:r>
      <w:r>
        <w:fldChar w:fldCharType="end"/>
      </w:r>
      <w:r>
        <w:fldChar w:fldCharType="end"/>
      </w:r>
    </w:p>
    <w:p>
      <w:pPr>
        <w:pStyle w:val="23"/>
        <w:tabs>
          <w:tab w:val="right" w:leader="dot" w:pos="8312"/>
        </w:tabs>
      </w:pPr>
      <w:r>
        <w:fldChar w:fldCharType="begin"/>
      </w:r>
      <w:r>
        <w:instrText xml:space="preserve"> HYPERLINK \l "_Toc4312" </w:instrText>
      </w:r>
      <w:r>
        <w:fldChar w:fldCharType="separate"/>
      </w:r>
      <w:r>
        <w:rPr>
          <w:rFonts w:ascii="仿宋_GB2312" w:hAnsi="宋体" w:eastAsia="仿宋_GB2312"/>
        </w:rPr>
        <w:t>9</w:t>
      </w:r>
      <w:r>
        <w:rPr>
          <w:rFonts w:hint="eastAsia" w:ascii="仿宋_GB2312" w:hAnsi="宋体" w:eastAsia="仿宋_GB2312"/>
        </w:rPr>
        <w:t xml:space="preserve">   投标文件还应包括投标人须知第10条的所有技术文件</w:t>
      </w:r>
      <w:r>
        <w:tab/>
      </w:r>
      <w:r>
        <w:fldChar w:fldCharType="begin"/>
      </w:r>
      <w:r>
        <w:instrText xml:space="preserve"> PAGEREF _Toc4312 \h </w:instrText>
      </w:r>
      <w:r>
        <w:fldChar w:fldCharType="separate"/>
      </w:r>
      <w:r>
        <w:t>34</w:t>
      </w:r>
      <w:r>
        <w:fldChar w:fldCharType="end"/>
      </w:r>
      <w:r>
        <w:fldChar w:fldCharType="end"/>
      </w:r>
    </w:p>
    <w:p>
      <w:pPr>
        <w:pStyle w:val="20"/>
        <w:tabs>
          <w:tab w:val="right" w:leader="dot" w:pos="8312"/>
        </w:tabs>
      </w:pPr>
      <w:r>
        <w:fldChar w:fldCharType="begin"/>
      </w:r>
      <w:r>
        <w:instrText xml:space="preserve"> HYPERLINK \l "_Toc23646" </w:instrText>
      </w:r>
      <w:r>
        <w:fldChar w:fldCharType="separate"/>
      </w:r>
      <w:r>
        <w:rPr>
          <w:rFonts w:ascii="仿宋_GB2312" w:eastAsia="仿宋_GB2312"/>
        </w:rPr>
        <w:t xml:space="preserve">第3章 </w:t>
      </w:r>
      <w:r>
        <w:rPr>
          <w:rFonts w:hint="eastAsia" w:ascii="仿宋_GB2312" w:eastAsia="仿宋_GB2312"/>
        </w:rPr>
        <w:t>投标邀请</w:t>
      </w:r>
      <w:r>
        <w:tab/>
      </w:r>
      <w:r>
        <w:fldChar w:fldCharType="begin"/>
      </w:r>
      <w:r>
        <w:instrText xml:space="preserve"> PAGEREF _Toc23646 \h </w:instrText>
      </w:r>
      <w:r>
        <w:fldChar w:fldCharType="separate"/>
      </w:r>
      <w:r>
        <w:t>36</w:t>
      </w:r>
      <w:r>
        <w:fldChar w:fldCharType="end"/>
      </w:r>
      <w:r>
        <w:fldChar w:fldCharType="end"/>
      </w:r>
    </w:p>
    <w:p>
      <w:pPr>
        <w:pStyle w:val="20"/>
        <w:tabs>
          <w:tab w:val="right" w:leader="dot" w:pos="8312"/>
        </w:tabs>
      </w:pPr>
      <w:r>
        <w:fldChar w:fldCharType="begin"/>
      </w:r>
      <w:r>
        <w:instrText xml:space="preserve"> HYPERLINK \l "_Toc11194" </w:instrText>
      </w:r>
      <w:r>
        <w:fldChar w:fldCharType="separate"/>
      </w:r>
      <w:r>
        <w:rPr>
          <w:rFonts w:hint="eastAsia" w:ascii="仿宋_GB2312" w:eastAsia="仿宋_GB2312"/>
        </w:rPr>
        <w:t>第4章 投标人须知资料表</w:t>
      </w:r>
      <w:r>
        <w:tab/>
      </w:r>
      <w:r>
        <w:fldChar w:fldCharType="begin"/>
      </w:r>
      <w:r>
        <w:instrText xml:space="preserve"> PAGEREF _Toc11194 \h </w:instrText>
      </w:r>
      <w:r>
        <w:fldChar w:fldCharType="separate"/>
      </w:r>
      <w:r>
        <w:t>38</w:t>
      </w:r>
      <w:r>
        <w:fldChar w:fldCharType="end"/>
      </w:r>
      <w:r>
        <w:fldChar w:fldCharType="end"/>
      </w:r>
    </w:p>
    <w:p>
      <w:pPr>
        <w:pStyle w:val="20"/>
        <w:tabs>
          <w:tab w:val="right" w:leader="dot" w:pos="8312"/>
        </w:tabs>
      </w:pPr>
      <w:r>
        <w:fldChar w:fldCharType="begin"/>
      </w:r>
      <w:r>
        <w:instrText xml:space="preserve"> HYPERLINK \l "_Toc22540" </w:instrText>
      </w:r>
      <w:r>
        <w:fldChar w:fldCharType="separate"/>
      </w:r>
      <w:r>
        <w:rPr>
          <w:rFonts w:hint="eastAsia" w:ascii="仿宋_GB2312" w:eastAsia="仿宋_GB2312"/>
        </w:rPr>
        <w:t>第5章 技术及服务要求</w:t>
      </w:r>
      <w:r>
        <w:tab/>
      </w:r>
      <w:r>
        <w:fldChar w:fldCharType="begin"/>
      </w:r>
      <w:r>
        <w:instrText xml:space="preserve"> PAGEREF _Toc22540 \h </w:instrText>
      </w:r>
      <w:r>
        <w:fldChar w:fldCharType="separate"/>
      </w:r>
      <w:r>
        <w:t>42</w:t>
      </w:r>
      <w:r>
        <w:fldChar w:fldCharType="end"/>
      </w:r>
      <w:r>
        <w:fldChar w:fldCharType="end"/>
      </w:r>
    </w:p>
    <w:p>
      <w:pPr>
        <w:pStyle w:val="20"/>
        <w:tabs>
          <w:tab w:val="right" w:leader="dot" w:pos="8312"/>
        </w:tabs>
      </w:pPr>
      <w:r>
        <w:fldChar w:fldCharType="begin"/>
      </w:r>
      <w:r>
        <w:instrText xml:space="preserve"> HYPERLINK \l "_Toc17188" </w:instrText>
      </w:r>
      <w:r>
        <w:fldChar w:fldCharType="separate"/>
      </w:r>
      <w:r>
        <w:rPr>
          <w:rFonts w:hint="eastAsia" w:ascii="仿宋_GB2312" w:eastAsia="仿宋_GB2312"/>
        </w:rPr>
        <w:t>第6章  评标方法和标准</w:t>
      </w:r>
      <w:r>
        <w:tab/>
      </w:r>
      <w:r>
        <w:fldChar w:fldCharType="begin"/>
      </w:r>
      <w:r>
        <w:instrText xml:space="preserve"> PAGEREF _Toc17188 \h </w:instrText>
      </w:r>
      <w:r>
        <w:fldChar w:fldCharType="separate"/>
      </w:r>
      <w:r>
        <w:t>66</w:t>
      </w:r>
      <w:r>
        <w:fldChar w:fldCharType="end"/>
      </w:r>
      <w:r>
        <w:fldChar w:fldCharType="end"/>
      </w:r>
    </w:p>
    <w:p>
      <w:pPr>
        <w:pStyle w:val="20"/>
        <w:tabs>
          <w:tab w:val="right" w:leader="dot" w:pos="8312"/>
        </w:tabs>
      </w:pPr>
      <w:r>
        <w:fldChar w:fldCharType="begin"/>
      </w:r>
      <w:r>
        <w:instrText xml:space="preserve"> HYPERLINK \l "_Toc14977" </w:instrText>
      </w:r>
      <w:r>
        <w:fldChar w:fldCharType="separate"/>
      </w:r>
      <w:r>
        <w:rPr>
          <w:rFonts w:hint="eastAsia" w:ascii="仿宋_GB2312" w:eastAsia="仿宋_GB2312"/>
        </w:rPr>
        <w:t>第7章 政府采购合同</w:t>
      </w:r>
      <w:r>
        <w:tab/>
      </w:r>
      <w:r>
        <w:fldChar w:fldCharType="begin"/>
      </w:r>
      <w:r>
        <w:instrText xml:space="preserve"> PAGEREF _Toc14977 \h </w:instrText>
      </w:r>
      <w:r>
        <w:fldChar w:fldCharType="separate"/>
      </w:r>
      <w:r>
        <w:t>79</w:t>
      </w:r>
      <w:r>
        <w:fldChar w:fldCharType="end"/>
      </w:r>
      <w:r>
        <w:fldChar w:fldCharType="end"/>
      </w:r>
    </w:p>
    <w:p>
      <w:pPr>
        <w:pStyle w:val="4"/>
        <w:pageBreakBefore/>
        <w:numPr>
          <w:ilvl w:val="0"/>
          <w:numId w:val="2"/>
        </w:numPr>
        <w:tabs>
          <w:tab w:val="left" w:pos="0"/>
          <w:tab w:val="clear" w:pos="3134"/>
        </w:tabs>
        <w:spacing w:before="0" w:after="0" w:line="240" w:lineRule="atLeast"/>
        <w:ind w:left="3135" w:hanging="3135"/>
        <w:rPr>
          <w:rFonts w:ascii="仿宋_GB2312" w:eastAsia="仿宋_GB2312"/>
        </w:rPr>
      </w:pPr>
      <w:r>
        <w:rPr>
          <w:rFonts w:hAnsi="宋体" w:cs="宋体"/>
          <w:kern w:val="0"/>
          <w:szCs w:val="21"/>
        </w:rPr>
        <w:fldChar w:fldCharType="end"/>
      </w:r>
      <w:bookmarkStart w:id="1" w:name="_Toc17230"/>
      <w:bookmarkStart w:id="2" w:name="_Toc515647756"/>
      <w:bookmarkStart w:id="3" w:name="_Toc216582804"/>
      <w:bookmarkStart w:id="4" w:name="_Toc22782"/>
      <w:bookmarkStart w:id="5" w:name="_Toc6793"/>
      <w:r>
        <w:rPr>
          <w:rFonts w:hint="eastAsia" w:ascii="仿宋_GB2312" w:eastAsia="仿宋_GB2312"/>
        </w:rPr>
        <w:t>投标人须知</w:t>
      </w:r>
      <w:bookmarkEnd w:id="1"/>
      <w:bookmarkEnd w:id="2"/>
      <w:bookmarkEnd w:id="3"/>
      <w:bookmarkEnd w:id="4"/>
      <w:bookmarkEnd w:id="5"/>
    </w:p>
    <w:p>
      <w:pPr>
        <w:pStyle w:val="5"/>
        <w:spacing w:before="0" w:line="240" w:lineRule="atLeast"/>
        <w:ind w:left="1079" w:leftChars="257" w:hanging="540"/>
        <w:rPr>
          <w:rFonts w:ascii="仿宋_GB2312" w:hAnsi="宋体" w:eastAsia="仿宋_GB2312"/>
          <w:sz w:val="28"/>
        </w:rPr>
      </w:pPr>
      <w:bookmarkStart w:id="6" w:name="_Toc216582805"/>
      <w:bookmarkStart w:id="7" w:name="_Toc515647757"/>
      <w:bookmarkStart w:id="8" w:name="_Toc520356143"/>
      <w:bookmarkStart w:id="9" w:name="_Toc21015"/>
      <w:bookmarkStart w:id="10" w:name="_Toc21215"/>
      <w:bookmarkStart w:id="11" w:name="_Toc20020"/>
      <w:r>
        <w:rPr>
          <w:rFonts w:hint="eastAsia" w:ascii="仿宋_GB2312" w:hAnsi="宋体" w:eastAsia="仿宋_GB2312"/>
          <w:sz w:val="28"/>
        </w:rPr>
        <w:t xml:space="preserve">一   </w:t>
      </w:r>
      <w:bookmarkEnd w:id="6"/>
      <w:bookmarkEnd w:id="7"/>
      <w:bookmarkEnd w:id="8"/>
      <w:r>
        <w:rPr>
          <w:rFonts w:hint="eastAsia" w:ascii="仿宋_GB2312" w:hAnsi="宋体" w:eastAsia="仿宋_GB2312"/>
          <w:sz w:val="28"/>
        </w:rPr>
        <w:t>总 则</w:t>
      </w:r>
      <w:bookmarkEnd w:id="9"/>
      <w:bookmarkEnd w:id="10"/>
      <w:bookmarkEnd w:id="11"/>
    </w:p>
    <w:p>
      <w:pPr>
        <w:pStyle w:val="6"/>
        <w:spacing w:before="0" w:after="0" w:line="240" w:lineRule="atLeast"/>
        <w:rPr>
          <w:rFonts w:ascii="仿宋_GB2312" w:hAnsi="宋体" w:eastAsia="仿宋_GB2312"/>
          <w:u w:val="none"/>
        </w:rPr>
      </w:pPr>
      <w:bookmarkStart w:id="12" w:name="_Toc520356144"/>
      <w:bookmarkStart w:id="13" w:name="_Toc7482"/>
      <w:bookmarkStart w:id="14" w:name="_Toc32189"/>
      <w:bookmarkStart w:id="15" w:name="_Toc515647758"/>
      <w:bookmarkStart w:id="16" w:name="_Toc32623"/>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12"/>
      <w:r>
        <w:rPr>
          <w:rFonts w:hint="eastAsia" w:ascii="仿宋_GB2312" w:hAnsi="宋体" w:eastAsia="仿宋_GB2312"/>
          <w:u w:val="none"/>
        </w:rPr>
        <w:t>投标人</w:t>
      </w:r>
      <w:bookmarkEnd w:id="13"/>
      <w:bookmarkEnd w:id="14"/>
      <w:bookmarkEnd w:id="15"/>
      <w:bookmarkEnd w:id="16"/>
    </w:p>
    <w:p>
      <w:pPr>
        <w:numPr>
          <w:ilvl w:val="1"/>
          <w:numId w:val="3"/>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的国家机</w:t>
      </w:r>
      <w:r>
        <w:rPr>
          <w:rFonts w:hint="eastAsia" w:ascii="仿宋_GB2312" w:hAnsi="宋体" w:eastAsia="仿宋_GB2312"/>
          <w:sz w:val="24"/>
        </w:rPr>
        <w:t>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3"/>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采购代理机构：是指在集中采购机构或从事采购代理业务的社会中介机构。本项目的采购代理机构见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3"/>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投标人及其投标货物须满足以下条件：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中写明允许采购进口产品，投标人应保证所投产品可履行合法报通关手续进入中国关境内。</w:t>
      </w:r>
    </w:p>
    <w:p>
      <w:pPr>
        <w:spacing w:line="240" w:lineRule="atLeast"/>
        <w:ind w:left="898" w:leftChars="428"/>
        <w:rPr>
          <w:rFonts w:ascii="仿宋_GB2312" w:hAnsi="宋体" w:eastAsia="仿宋_GB2312"/>
          <w:sz w:val="24"/>
        </w:rPr>
      </w:pPr>
      <w:r>
        <w:rPr>
          <w:rFonts w:hint="eastAsia" w:ascii="仿宋_GB2312" w:hAnsi="宋体" w:eastAsia="仿宋_GB2312"/>
          <w:sz w:val="24"/>
        </w:rPr>
        <w:t>若</w:t>
      </w:r>
      <w:r>
        <w:rPr>
          <w:rFonts w:hint="eastAsia" w:ascii="仿宋_GB2312" w:hAnsi="宋体" w:eastAsia="仿宋_GB2312"/>
          <w:sz w:val="24"/>
          <w:u w:val="single"/>
        </w:rPr>
        <w:t>投标人须知资料表</w:t>
      </w:r>
      <w:r>
        <w:rPr>
          <w:rFonts w:hint="eastAsia" w:ascii="仿宋_GB2312" w:hAnsi="宋体" w:eastAsia="仿宋_GB2312"/>
          <w:sz w:val="24"/>
        </w:rPr>
        <w:t>中未写明允许采购进口产品，如投标人所投产品为进口产品，其投标将被认定为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w:t>
      </w:r>
      <w:r>
        <w:rPr>
          <w:rFonts w:ascii="仿宋_GB2312" w:hAnsi="宋体" w:eastAsia="仿宋_GB2312"/>
          <w:sz w:val="24"/>
        </w:rPr>
        <w:t>非中小企业</w:t>
      </w:r>
      <w:r>
        <w:rPr>
          <w:rFonts w:hint="eastAsia" w:ascii="仿宋_GB2312" w:hAnsi="宋体" w:eastAsia="仿宋_GB2312"/>
          <w:sz w:val="24"/>
        </w:rPr>
        <w:t>且所投产品为非中小企业产品，其投标将被认定为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w:t>
      </w:r>
      <w:r>
        <w:rPr>
          <w:rFonts w:hint="eastAsia" w:ascii="仿宋_GB2312" w:hAnsi="宋体" w:eastAsia="仿宋_GB2312"/>
          <w:sz w:val="24"/>
        </w:rPr>
        <w:t>较低的</w:t>
      </w:r>
      <w:r>
        <w:rPr>
          <w:rFonts w:ascii="仿宋_GB2312" w:hAnsi="宋体" w:eastAsia="仿宋_GB2312"/>
          <w:sz w:val="24"/>
        </w:rPr>
        <w:t>资质等级确定</w:t>
      </w:r>
      <w:r>
        <w:rPr>
          <w:rFonts w:hint="eastAsia" w:ascii="仿宋_GB2312" w:hAnsi="宋体" w:eastAsia="仿宋_GB2312"/>
          <w:sz w:val="24"/>
        </w:rPr>
        <w:t>联合体的</w:t>
      </w:r>
      <w:r>
        <w:rPr>
          <w:rFonts w:ascii="仿宋_GB2312" w:hAnsi="宋体" w:eastAsia="仿宋_GB2312"/>
          <w:sz w:val="24"/>
        </w:rPr>
        <w:t>资质等级。</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投标人在投标过程中不得向采购人提供、给予任何有价值的物品，影响其正常决策行为。一经发现，其将被认定为</w:t>
      </w:r>
      <w:r>
        <w:rPr>
          <w:rFonts w:hint="eastAsia" w:ascii="仿宋_GB2312" w:hAnsi="宋体" w:eastAsia="仿宋_GB2312"/>
          <w:b/>
          <w:bCs/>
          <w:sz w:val="24"/>
        </w:rPr>
        <w:t>投标无效</w:t>
      </w:r>
      <w:r>
        <w:rPr>
          <w:rFonts w:ascii="仿宋_GB2312" w:hAnsi="宋体" w:eastAsia="仿宋_GB2312"/>
          <w:sz w:val="24"/>
        </w:rPr>
        <w:t>。</w:t>
      </w:r>
    </w:p>
    <w:p>
      <w:pPr>
        <w:pStyle w:val="6"/>
        <w:spacing w:before="0" w:after="0" w:line="240" w:lineRule="atLeast"/>
        <w:rPr>
          <w:rFonts w:ascii="仿宋_GB2312" w:hAnsi="宋体" w:eastAsia="仿宋_GB2312"/>
          <w:u w:val="none"/>
        </w:rPr>
      </w:pPr>
      <w:bookmarkStart w:id="17" w:name="_Toc515647759"/>
      <w:bookmarkStart w:id="18" w:name="_Toc12139"/>
      <w:bookmarkStart w:id="19" w:name="_Toc5286"/>
      <w:bookmarkStart w:id="20" w:name="_Toc21317"/>
      <w:r>
        <w:rPr>
          <w:rFonts w:hint="eastAsia" w:ascii="仿宋_GB2312" w:hAnsi="宋体" w:eastAsia="仿宋_GB2312"/>
          <w:u w:val="none"/>
        </w:rPr>
        <w:t>2.资金来源</w:t>
      </w:r>
      <w:bookmarkEnd w:id="17"/>
      <w:bookmarkEnd w:id="18"/>
      <w:bookmarkEnd w:id="19"/>
      <w:bookmarkEnd w:id="2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ascii="仿宋_GB2312" w:hAnsi="宋体" w:eastAsia="仿宋_GB2312"/>
          <w:sz w:val="24"/>
        </w:rPr>
        <w:t>。</w:t>
      </w:r>
    </w:p>
    <w:p>
      <w:pPr>
        <w:pStyle w:val="6"/>
        <w:spacing w:before="0" w:after="0" w:line="240" w:lineRule="atLeast"/>
        <w:rPr>
          <w:rFonts w:ascii="仿宋_GB2312" w:hAnsi="宋体" w:eastAsia="仿宋_GB2312"/>
          <w:u w:val="none"/>
        </w:rPr>
      </w:pPr>
      <w:bookmarkStart w:id="21" w:name="_Toc520356145"/>
      <w:bookmarkStart w:id="22" w:name="_Toc15936"/>
      <w:bookmarkStart w:id="23" w:name="_Toc25664"/>
      <w:bookmarkStart w:id="24" w:name="_Toc20526"/>
      <w:bookmarkStart w:id="25" w:name="_Toc515647760"/>
      <w:r>
        <w:rPr>
          <w:rFonts w:hint="eastAsia" w:ascii="仿宋_GB2312" w:hAnsi="宋体" w:eastAsia="仿宋_GB2312"/>
          <w:u w:val="none"/>
        </w:rPr>
        <w:t>3.投标费用</w:t>
      </w:r>
      <w:bookmarkEnd w:id="21"/>
      <w:bookmarkEnd w:id="22"/>
      <w:bookmarkEnd w:id="23"/>
      <w:bookmarkEnd w:id="24"/>
      <w:bookmarkEnd w:id="25"/>
    </w:p>
    <w:p>
      <w:pPr>
        <w:spacing w:line="240" w:lineRule="atLeast"/>
        <w:ind w:left="900" w:hanging="900" w:hangingChars="375"/>
        <w:rPr>
          <w:rFonts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6"/>
        <w:spacing w:before="0" w:after="0" w:line="240" w:lineRule="atLeast"/>
        <w:rPr>
          <w:rFonts w:ascii="仿宋_GB2312" w:hAnsi="宋体" w:eastAsia="仿宋_GB2312"/>
          <w:u w:val="none"/>
        </w:rPr>
      </w:pPr>
      <w:bookmarkStart w:id="26" w:name="_Toc6116"/>
      <w:bookmarkStart w:id="27" w:name="_Toc515647761"/>
      <w:bookmarkStart w:id="28" w:name="_Toc684"/>
      <w:bookmarkStart w:id="29" w:name="_Toc4463"/>
      <w:r>
        <w:rPr>
          <w:rFonts w:hint="eastAsia" w:ascii="仿宋_GB2312" w:hAnsi="宋体" w:eastAsia="仿宋_GB2312"/>
          <w:u w:val="none"/>
        </w:rPr>
        <w:t>4.适用法律</w:t>
      </w:r>
      <w:bookmarkEnd w:id="26"/>
      <w:bookmarkEnd w:id="27"/>
      <w:bookmarkEnd w:id="28"/>
      <w:bookmarkEnd w:id="29"/>
    </w:p>
    <w:p>
      <w:pPr>
        <w:spacing w:line="240" w:lineRule="atLeast"/>
        <w:ind w:left="900" w:hanging="900" w:hangingChars="375"/>
        <w:rPr>
          <w:rFonts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ascii="仿宋_GB2312" w:eastAsia="仿宋_GB2312"/>
          <w:sz w:val="24"/>
        </w:rPr>
      </w:pPr>
    </w:p>
    <w:p>
      <w:pPr>
        <w:pStyle w:val="5"/>
        <w:spacing w:before="0" w:line="240" w:lineRule="atLeast"/>
        <w:ind w:left="1079" w:leftChars="257" w:hanging="540"/>
        <w:rPr>
          <w:rFonts w:ascii="仿宋_GB2312" w:eastAsia="仿宋_GB2312"/>
          <w:sz w:val="28"/>
        </w:rPr>
      </w:pPr>
      <w:bookmarkStart w:id="30" w:name="_Toc4365"/>
      <w:bookmarkStart w:id="31" w:name="_Toc216582806"/>
      <w:bookmarkStart w:id="32" w:name="_Toc13116"/>
      <w:bookmarkStart w:id="33" w:name="_Toc520356146"/>
      <w:bookmarkStart w:id="34" w:name="_Toc21566"/>
      <w:bookmarkStart w:id="35" w:name="_Toc515647762"/>
      <w:r>
        <w:rPr>
          <w:rFonts w:hint="eastAsia" w:ascii="仿宋_GB2312" w:eastAsia="仿宋_GB2312"/>
          <w:sz w:val="28"/>
        </w:rPr>
        <w:t>二   招标文件</w:t>
      </w:r>
      <w:bookmarkEnd w:id="30"/>
      <w:bookmarkEnd w:id="31"/>
      <w:bookmarkEnd w:id="32"/>
      <w:bookmarkEnd w:id="33"/>
      <w:bookmarkEnd w:id="34"/>
      <w:bookmarkEnd w:id="35"/>
    </w:p>
    <w:p>
      <w:pPr>
        <w:pStyle w:val="8"/>
      </w:pPr>
    </w:p>
    <w:p>
      <w:pPr>
        <w:pStyle w:val="6"/>
        <w:spacing w:before="0" w:after="0" w:line="240" w:lineRule="atLeast"/>
        <w:rPr>
          <w:rFonts w:ascii="仿宋_GB2312" w:hAnsi="宋体" w:eastAsia="仿宋_GB2312"/>
          <w:u w:val="none"/>
        </w:rPr>
      </w:pPr>
      <w:bookmarkStart w:id="36" w:name="_Toc520356147"/>
      <w:bookmarkStart w:id="37" w:name="_Toc515647763"/>
      <w:bookmarkStart w:id="38" w:name="_Toc15940"/>
      <w:bookmarkStart w:id="39" w:name="_Toc14084"/>
      <w:bookmarkStart w:id="40" w:name="_Toc25743"/>
      <w:r>
        <w:rPr>
          <w:rFonts w:hint="eastAsia" w:ascii="仿宋_GB2312" w:hAnsi="宋体" w:eastAsia="仿宋_GB2312"/>
          <w:u w:val="none"/>
        </w:rPr>
        <w:t>5.招标文件构成</w:t>
      </w:r>
      <w:bookmarkEnd w:id="36"/>
      <w:bookmarkEnd w:id="37"/>
      <w:bookmarkEnd w:id="38"/>
      <w:bookmarkEnd w:id="39"/>
      <w:bookmarkEnd w:id="4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ascii="仿宋_GB2312" w:hAnsi="宋体" w:eastAsia="仿宋_GB2312"/>
          <w:sz w:val="24"/>
        </w:rPr>
      </w:pPr>
      <w:r>
        <w:rPr>
          <w:rFonts w:hint="eastAsia" w:ascii="仿宋_GB2312" w:hAnsi="宋体" w:eastAsia="仿宋_GB2312"/>
          <w:sz w:val="24"/>
        </w:rPr>
        <w:t>第一册</w:t>
      </w:r>
    </w:p>
    <w:p>
      <w:pPr>
        <w:numPr>
          <w:ilvl w:val="0"/>
          <w:numId w:val="4"/>
        </w:numPr>
        <w:tabs>
          <w:tab w:val="left" w:pos="0"/>
        </w:tabs>
        <w:spacing w:line="240" w:lineRule="atLeast"/>
        <w:ind w:hanging="829"/>
        <w:rPr>
          <w:rFonts w:ascii="仿宋_GB2312" w:hAnsi="宋体" w:eastAsia="仿宋_GB2312"/>
          <w:sz w:val="24"/>
        </w:rPr>
      </w:pPr>
      <w:r>
        <w:rPr>
          <w:rFonts w:hint="eastAsia" w:ascii="仿宋_GB2312" w:hAnsi="宋体" w:eastAsia="仿宋_GB2312"/>
          <w:sz w:val="24"/>
        </w:rPr>
        <w:t xml:space="preserve"> 投标人须知</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投标文件格式</w:t>
      </w:r>
    </w:p>
    <w:p>
      <w:pPr>
        <w:spacing w:line="240" w:lineRule="atLeast"/>
        <w:ind w:left="1080" w:leftChars="429" w:hanging="180"/>
        <w:rPr>
          <w:rFonts w:ascii="仿宋_GB2312" w:hAnsi="宋体" w:eastAsia="仿宋_GB2312"/>
          <w:sz w:val="24"/>
        </w:rPr>
      </w:pPr>
      <w:r>
        <w:rPr>
          <w:rFonts w:hint="eastAsia" w:ascii="仿宋_GB2312" w:hAnsi="宋体" w:eastAsia="仿宋_GB2312"/>
          <w:sz w:val="24"/>
        </w:rPr>
        <w:t>第二册</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投标邀请</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投标人须知资料表</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货物需求一览表及技术规格</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ascii="仿宋_GB2312" w:hAnsi="宋体" w:eastAsia="仿宋_GB2312"/>
          <w:sz w:val="24"/>
        </w:rPr>
      </w:pPr>
      <w:r>
        <w:rPr>
          <w:rFonts w:hint="eastAsia" w:ascii="仿宋_GB2312" w:hAnsi="宋体" w:eastAsia="仿宋_GB2312"/>
          <w:sz w:val="24"/>
        </w:rPr>
        <w:t>第三册</w:t>
      </w:r>
    </w:p>
    <w:p>
      <w:pPr>
        <w:numPr>
          <w:ilvl w:val="0"/>
          <w:numId w:val="4"/>
        </w:numPr>
        <w:spacing w:line="240" w:lineRule="atLeast"/>
        <w:ind w:left="718" w:leftChars="342" w:firstLine="240" w:firstLineChars="100"/>
        <w:rPr>
          <w:rFonts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spacing w:before="0" w:after="0" w:line="240" w:lineRule="atLeast"/>
        <w:rPr>
          <w:rFonts w:ascii="仿宋_GB2312" w:hAnsi="宋体" w:eastAsia="仿宋_GB2312"/>
          <w:u w:val="none"/>
        </w:rPr>
      </w:pPr>
      <w:bookmarkStart w:id="41" w:name="_Toc515904805"/>
      <w:bookmarkStart w:id="42" w:name="_Toc520356148"/>
      <w:bookmarkStart w:id="43" w:name="_Toc26044"/>
      <w:bookmarkStart w:id="44" w:name="_Toc18032"/>
      <w:bookmarkStart w:id="45" w:name="_Toc9232"/>
      <w:r>
        <w:rPr>
          <w:rFonts w:hint="eastAsia" w:ascii="仿宋_GB2312" w:hAnsi="宋体" w:eastAsia="仿宋_GB2312"/>
          <w:u w:val="none"/>
        </w:rPr>
        <w:t>6.招标文件的澄清</w:t>
      </w:r>
      <w:bookmarkEnd w:id="41"/>
      <w:bookmarkEnd w:id="42"/>
      <w:r>
        <w:rPr>
          <w:rFonts w:hint="eastAsia" w:ascii="仿宋_GB2312" w:hAnsi="宋体" w:eastAsia="仿宋_GB2312"/>
          <w:u w:val="none"/>
        </w:rPr>
        <w:t>与</w:t>
      </w:r>
      <w:r>
        <w:rPr>
          <w:rFonts w:ascii="仿宋_GB2312" w:hAnsi="宋体" w:eastAsia="仿宋_GB2312"/>
          <w:u w:val="none"/>
        </w:rPr>
        <w:t>修改</w:t>
      </w:r>
      <w:bookmarkEnd w:id="43"/>
      <w:bookmarkEnd w:id="44"/>
      <w:bookmarkEnd w:id="45"/>
    </w:p>
    <w:p>
      <w:pPr>
        <w:pStyle w:val="8"/>
        <w:ind w:left="840" w:hanging="840" w:hangingChars="350"/>
        <w:rPr>
          <w:rFonts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8"/>
        <w:ind w:left="840" w:hanging="840" w:hangingChars="350"/>
        <w:rPr>
          <w:rFonts w:ascii="仿宋" w:hAnsi="仿宋" w:eastAsia="仿宋"/>
          <w:szCs w:val="24"/>
        </w:rPr>
      </w:pPr>
      <w:bookmarkStart w:id="46" w:name="_Toc520356149"/>
      <w:bookmarkStart w:id="47" w:name="_Ref467378678"/>
      <w:bookmarkStart w:id="48" w:name="_Toc515904806"/>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采购人可主动地或在解答投标人提出的澄清问题时对招标文件进行澄清或修改。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的方式</w:t>
      </w:r>
      <w:r>
        <w:rPr>
          <w:rFonts w:ascii="仿宋" w:hAnsi="仿宋" w:eastAsia="仿宋"/>
          <w:szCs w:val="24"/>
        </w:rPr>
        <w:t>，</w:t>
      </w:r>
      <w:r>
        <w:rPr>
          <w:rFonts w:hint="eastAsia" w:ascii="仿宋" w:hAnsi="仿宋" w:eastAsia="仿宋"/>
          <w:szCs w:val="24"/>
        </w:rPr>
        <w:t>澄清或修改招标文件，澄清或修改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8"/>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w:t>
      </w:r>
      <w:r>
        <w:rPr>
          <w:rFonts w:hint="eastAsia" w:ascii="仿宋" w:hAnsi="仿宋" w:eastAsia="仿宋"/>
          <w:szCs w:val="24"/>
        </w:rPr>
        <w:t>采购</w:t>
      </w:r>
      <w:r>
        <w:rPr>
          <w:rFonts w:ascii="仿宋" w:hAnsi="仿宋" w:eastAsia="仿宋"/>
          <w:szCs w:val="24"/>
        </w:rPr>
        <w:t>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6"/>
        <w:tabs>
          <w:tab w:val="left" w:pos="900"/>
        </w:tabs>
        <w:spacing w:before="0" w:after="0" w:line="240" w:lineRule="atLeast"/>
        <w:rPr>
          <w:rFonts w:ascii="仿宋_GB2312" w:hAnsi="宋体" w:eastAsia="仿宋_GB2312"/>
          <w:u w:val="none"/>
        </w:rPr>
      </w:pPr>
      <w:bookmarkStart w:id="49" w:name="_Toc29647"/>
      <w:bookmarkStart w:id="50" w:name="_Toc25635"/>
      <w:bookmarkStart w:id="51" w:name="_Toc14569"/>
      <w:r>
        <w:rPr>
          <w:rFonts w:hint="eastAsia" w:ascii="仿宋_GB2312" w:hAnsi="宋体" w:eastAsia="仿宋_GB2312"/>
          <w:u w:val="none"/>
        </w:rPr>
        <w:t>7</w:t>
      </w:r>
      <w:bookmarkEnd w:id="46"/>
      <w:bookmarkEnd w:id="47"/>
      <w:bookmarkEnd w:id="48"/>
      <w:r>
        <w:rPr>
          <w:rFonts w:hint="eastAsia" w:ascii="仿宋_GB2312" w:hAnsi="宋体" w:eastAsia="仿宋_GB2312"/>
          <w:u w:val="none"/>
        </w:rPr>
        <w:t>.投标截止</w:t>
      </w:r>
      <w:r>
        <w:rPr>
          <w:rFonts w:ascii="仿宋_GB2312" w:hAnsi="宋体" w:eastAsia="仿宋_GB2312"/>
          <w:u w:val="none"/>
        </w:rPr>
        <w:t>时间的顺延</w:t>
      </w:r>
      <w:bookmarkEnd w:id="49"/>
      <w:bookmarkEnd w:id="50"/>
      <w:bookmarkEnd w:id="51"/>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修改部分进行研究，采购人将依法决定是否顺延投标截止时间。</w:t>
      </w:r>
    </w:p>
    <w:p>
      <w:pPr>
        <w:spacing w:line="240" w:lineRule="atLeast"/>
        <w:ind w:left="900" w:hanging="900" w:hangingChars="375"/>
        <w:rPr>
          <w:rFonts w:ascii="仿宋_GB2312" w:hAnsi="宋体" w:eastAsia="仿宋_GB2312"/>
          <w:sz w:val="24"/>
        </w:rPr>
      </w:pPr>
    </w:p>
    <w:p>
      <w:pPr>
        <w:pStyle w:val="5"/>
        <w:tabs>
          <w:tab w:val="left" w:pos="900"/>
        </w:tabs>
        <w:spacing w:before="0" w:line="240" w:lineRule="atLeast"/>
        <w:ind w:left="1079" w:leftChars="257" w:hanging="540"/>
        <w:rPr>
          <w:rFonts w:ascii="仿宋_GB2312" w:hAnsi="宋体" w:eastAsia="仿宋_GB2312"/>
          <w:sz w:val="28"/>
        </w:rPr>
      </w:pPr>
      <w:bookmarkStart w:id="52" w:name="_Toc516367020"/>
      <w:bookmarkStart w:id="53" w:name="_Toc515647766"/>
      <w:bookmarkStart w:id="54" w:name="_Toc7636"/>
      <w:bookmarkStart w:id="55" w:name="_Toc216582807"/>
      <w:bookmarkStart w:id="56" w:name="_Toc5373"/>
      <w:bookmarkStart w:id="57" w:name="_Toc30808"/>
      <w:bookmarkStart w:id="58" w:name="_Toc520356150"/>
      <w:r>
        <w:rPr>
          <w:rFonts w:hint="eastAsia" w:ascii="仿宋_GB2312" w:hAnsi="宋体" w:eastAsia="仿宋_GB2312"/>
          <w:sz w:val="28"/>
        </w:rPr>
        <w:t>三   投标文件</w:t>
      </w:r>
      <w:bookmarkEnd w:id="52"/>
      <w:r>
        <w:rPr>
          <w:rFonts w:hint="eastAsia" w:ascii="仿宋_GB2312" w:hAnsi="宋体" w:eastAsia="仿宋_GB2312"/>
          <w:sz w:val="28"/>
        </w:rPr>
        <w:t>的编制</w:t>
      </w:r>
      <w:bookmarkEnd w:id="53"/>
      <w:bookmarkEnd w:id="54"/>
      <w:bookmarkEnd w:id="55"/>
      <w:bookmarkEnd w:id="56"/>
      <w:bookmarkEnd w:id="57"/>
      <w:bookmarkEnd w:id="58"/>
    </w:p>
    <w:p>
      <w:pPr>
        <w:pStyle w:val="6"/>
        <w:tabs>
          <w:tab w:val="left" w:pos="900"/>
        </w:tabs>
        <w:spacing w:before="0" w:after="0" w:line="240" w:lineRule="atLeast"/>
        <w:rPr>
          <w:rFonts w:ascii="仿宋_GB2312" w:hAnsi="宋体" w:eastAsia="仿宋_GB2312"/>
          <w:u w:val="none"/>
        </w:rPr>
      </w:pPr>
      <w:bookmarkStart w:id="59" w:name="_Toc7786"/>
      <w:bookmarkStart w:id="60" w:name="_Toc520356151"/>
      <w:bookmarkStart w:id="61" w:name="_Toc1222"/>
      <w:bookmarkStart w:id="62" w:name="_Toc3553"/>
      <w:bookmarkStart w:id="63" w:name="_Toc515647767"/>
      <w:bookmarkStart w:id="64" w:name="_Toc516367021"/>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59"/>
      <w:bookmarkEnd w:id="60"/>
      <w:bookmarkEnd w:id="61"/>
      <w:bookmarkEnd w:id="62"/>
      <w:bookmarkEnd w:id="63"/>
      <w:bookmarkEnd w:id="64"/>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投标人可对招标文件其中某一个或几个分包货物进行投标，除非在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8.2     投标人应当</w:t>
      </w:r>
      <w:r>
        <w:rPr>
          <w:rFonts w:ascii="仿宋_GB2312" w:hAnsi="宋体" w:eastAsia="仿宋_GB2312"/>
          <w:sz w:val="24"/>
        </w:rPr>
        <w:t>对所投分包</w:t>
      </w:r>
      <w:r>
        <w:rPr>
          <w:rFonts w:hint="eastAsia" w:ascii="仿宋_GB2312" w:hAnsi="宋体" w:eastAsia="仿宋_GB2312"/>
          <w:sz w:val="24"/>
        </w:rPr>
        <w:t>招标文件中“服务需求”所列的所有内容进行投标，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某一包中的部分内容</w:t>
      </w:r>
      <w:r>
        <w:rPr>
          <w:rFonts w:ascii="仿宋_GB2312" w:hAnsi="宋体" w:eastAsia="仿宋_GB2312"/>
          <w:sz w:val="24"/>
        </w:rPr>
        <w:t>，其</w:t>
      </w:r>
      <w:r>
        <w:rPr>
          <w:rFonts w:hint="eastAsia" w:ascii="仿宋_GB2312" w:hAnsi="宋体" w:eastAsia="仿宋_GB2312"/>
          <w:sz w:val="24"/>
        </w:rPr>
        <w:t>该包</w:t>
      </w:r>
      <w:r>
        <w:rPr>
          <w:rFonts w:ascii="仿宋_GB2312" w:hAnsi="宋体" w:eastAsia="仿宋_GB2312"/>
          <w:sz w:val="24"/>
        </w:rPr>
        <w:t>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8.3</w:t>
      </w:r>
      <w:r>
        <w:rPr>
          <w:rFonts w:ascii="仿宋_GB2312" w:hAnsi="宋体" w:eastAsia="仿宋_GB2312"/>
          <w:sz w:val="24"/>
        </w:rPr>
        <w:t xml:space="preserve">     </w:t>
      </w:r>
      <w:r>
        <w:rPr>
          <w:rFonts w:hint="eastAsia" w:ascii="仿宋_GB2312" w:hAnsi="宋体" w:eastAsia="仿宋_GB2312"/>
          <w:sz w:val="24"/>
        </w:rPr>
        <w:t>无论招标文件第5章货物需求一览表及技术规格中是否要求，投标人所投货物均应符合国家强制性标准。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8.4     除招标文件中有特殊要求外，投标文件中所使用的计量单位，应采用中华人民共和国法定计量单位。</w:t>
      </w:r>
    </w:p>
    <w:p>
      <w:pPr>
        <w:pStyle w:val="6"/>
        <w:tabs>
          <w:tab w:val="left" w:pos="900"/>
        </w:tabs>
        <w:spacing w:before="0" w:after="0" w:line="240" w:lineRule="atLeast"/>
        <w:rPr>
          <w:rFonts w:ascii="仿宋_GB2312" w:hAnsi="宋体" w:eastAsia="仿宋_GB2312"/>
          <w:u w:val="none"/>
        </w:rPr>
      </w:pPr>
      <w:bookmarkStart w:id="65" w:name="_Ref467306195"/>
      <w:bookmarkStart w:id="66" w:name="_Toc516367022"/>
      <w:bookmarkStart w:id="67" w:name="_Ref467306676"/>
      <w:bookmarkStart w:id="68" w:name="_Toc515647768"/>
      <w:bookmarkStart w:id="69" w:name="_Toc28307"/>
      <w:bookmarkStart w:id="70" w:name="_Toc3557"/>
      <w:bookmarkStart w:id="71" w:name="_Toc10364"/>
      <w:bookmarkStart w:id="72" w:name="_Toc520356152"/>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65"/>
      <w:bookmarkEnd w:id="66"/>
      <w:bookmarkEnd w:id="67"/>
      <w:r>
        <w:rPr>
          <w:rFonts w:hint="eastAsia" w:ascii="仿宋_GB2312" w:hAnsi="宋体" w:eastAsia="仿宋_GB2312"/>
          <w:u w:val="none"/>
        </w:rPr>
        <w:t>构成</w:t>
      </w:r>
      <w:bookmarkEnd w:id="68"/>
      <w:bookmarkEnd w:id="69"/>
      <w:bookmarkEnd w:id="70"/>
      <w:bookmarkEnd w:id="71"/>
      <w:bookmarkEnd w:id="72"/>
    </w:p>
    <w:p>
      <w:pPr>
        <w:tabs>
          <w:tab w:val="left" w:pos="900"/>
          <w:tab w:val="left" w:pos="5580"/>
        </w:tabs>
        <w:spacing w:line="240" w:lineRule="atLeast"/>
        <w:ind w:left="960" w:hanging="960" w:hangingChars="400"/>
        <w:jc w:val="left"/>
        <w:rPr>
          <w:rFonts w:ascii="仿宋_GB2312" w:hAnsi="宋体" w:eastAsia="仿宋_GB2312"/>
          <w:sz w:val="24"/>
          <w:u w:val="single"/>
        </w:rPr>
      </w:pPr>
      <w:bookmarkStart w:id="73" w:name="_Ref467052588"/>
      <w:r>
        <w:rPr>
          <w:rFonts w:hint="eastAsia" w:ascii="仿宋_GB2312" w:hAnsi="宋体" w:eastAsia="仿宋_GB2312"/>
          <w:sz w:val="24"/>
        </w:rPr>
        <w:t>9</w:t>
      </w:r>
      <w:r>
        <w:rPr>
          <w:rFonts w:ascii="仿宋_GB2312" w:hAnsi="宋体" w:eastAsia="仿宋_GB2312"/>
          <w:sz w:val="24"/>
        </w:rPr>
        <w:t xml:space="preserve">.1     </w:t>
      </w:r>
      <w:r>
        <w:rPr>
          <w:rFonts w:hint="eastAsia" w:ascii="仿宋_GB2312" w:hAnsi="宋体" w:eastAsia="仿宋_GB2312"/>
          <w:sz w:val="24"/>
          <w:u w:val="single"/>
        </w:rPr>
        <w:t>投标单位应完整地按招标文件提供的投标文件格式及要求编写投标文件，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bookmarkEnd w:id="73"/>
    <w:p>
      <w:pPr>
        <w:pStyle w:val="6"/>
        <w:tabs>
          <w:tab w:val="left" w:pos="900"/>
        </w:tabs>
        <w:spacing w:before="0" w:after="0" w:line="240" w:lineRule="atLeast"/>
        <w:rPr>
          <w:rFonts w:ascii="仿宋_GB2312" w:hAnsi="宋体" w:eastAsia="仿宋_GB2312"/>
          <w:u w:val="none"/>
        </w:rPr>
      </w:pPr>
      <w:bookmarkStart w:id="74" w:name="_Toc516367023"/>
      <w:bookmarkStart w:id="75" w:name="_Toc4601"/>
      <w:bookmarkStart w:id="76" w:name="_Toc12744"/>
      <w:bookmarkStart w:id="77" w:name="_Toc515647769"/>
      <w:bookmarkStart w:id="78" w:name="_Toc520356153"/>
      <w:bookmarkStart w:id="79" w:name="_Toc10379"/>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证明投标标的的合格性和符合招标文件规定的技术文件</w:t>
      </w:r>
      <w:bookmarkEnd w:id="74"/>
      <w:bookmarkEnd w:id="75"/>
      <w:bookmarkEnd w:id="76"/>
      <w:bookmarkEnd w:id="77"/>
      <w:bookmarkEnd w:id="78"/>
      <w:bookmarkEnd w:id="7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投标人应提交证明文件，证明其投标内容符合招标文件规定。该证明文件是投标文件的一部分。</w:t>
      </w:r>
    </w:p>
    <w:p>
      <w:pPr>
        <w:spacing w:line="240" w:lineRule="atLeast"/>
        <w:ind w:left="900" w:hanging="900" w:hangingChars="375"/>
        <w:rPr>
          <w:rFonts w:ascii="仿宋_GB2312" w:hAnsi="宋体" w:eastAsia="仿宋_GB2312"/>
          <w:sz w:val="24"/>
        </w:rPr>
      </w:pPr>
      <w:bookmarkStart w:id="80"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80"/>
      <w:r>
        <w:rPr>
          <w:rFonts w:hint="eastAsia" w:ascii="仿宋_GB2312" w:hAnsi="宋体" w:eastAsia="仿宋_GB2312"/>
          <w:sz w:val="24"/>
        </w:rPr>
        <w:t>它包括：</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.2.1</w:t>
      </w:r>
      <w:r>
        <w:rPr>
          <w:rFonts w:ascii="仿宋_GB2312" w:hAnsi="宋体" w:eastAsia="仿宋_GB2312"/>
          <w:sz w:val="24"/>
        </w:rPr>
        <w:tab/>
      </w:r>
      <w:r>
        <w:rPr>
          <w:rFonts w:hint="eastAsia" w:ascii="仿宋_GB2312" w:hAnsi="宋体" w:eastAsia="仿宋_GB2312"/>
          <w:sz w:val="24"/>
        </w:rPr>
        <w:t>货物主要技术指标和性能的详细说明；</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.2.2</w:t>
      </w:r>
      <w:r>
        <w:rPr>
          <w:rFonts w:ascii="仿宋_GB2312" w:hAnsi="宋体" w:eastAsia="仿宋_GB2312"/>
          <w:sz w:val="24"/>
        </w:rPr>
        <w:tab/>
      </w:r>
      <w:r>
        <w:rPr>
          <w:rFonts w:hint="eastAsia" w:ascii="仿宋_GB2312" w:hAnsi="宋体" w:eastAsia="仿宋_GB2312"/>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.2.3</w:t>
      </w:r>
      <w:r>
        <w:rPr>
          <w:rFonts w:ascii="仿宋_GB2312" w:hAnsi="宋体" w:eastAsia="仿宋_GB2312"/>
          <w:sz w:val="24"/>
        </w:rPr>
        <w:tab/>
      </w:r>
      <w:r>
        <w:rPr>
          <w:rFonts w:hint="eastAsia" w:ascii="仿宋_GB2312" w:hAnsi="宋体" w:eastAsia="仿宋_GB2312"/>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ascii="仿宋_GB2312" w:hAnsi="宋体" w:eastAsia="仿宋_GB2312"/>
          <w:sz w:val="24"/>
        </w:rPr>
        <w:t>采购代理机构</w:t>
      </w:r>
      <w:r>
        <w:rPr>
          <w:rFonts w:hint="eastAsia" w:ascii="仿宋_GB2312" w:hAnsi="宋体" w:eastAsia="仿宋_GB2312"/>
          <w:sz w:val="24"/>
        </w:rPr>
        <w:t>承诺不以上述参照品牌型号或分类号作为评标时判定其</w:t>
      </w:r>
      <w:r>
        <w:rPr>
          <w:rFonts w:ascii="仿宋_GB2312" w:hAnsi="宋体" w:eastAsia="仿宋_GB2312"/>
          <w:sz w:val="24"/>
        </w:rPr>
        <w:t>投标是否有效</w:t>
      </w:r>
      <w:r>
        <w:rPr>
          <w:rFonts w:hint="eastAsia" w:ascii="仿宋_GB2312" w:hAnsi="宋体" w:eastAsia="仿宋_GB2312"/>
          <w:sz w:val="24"/>
        </w:rPr>
        <w:t>的标准。</w:t>
      </w:r>
    </w:p>
    <w:p>
      <w:pPr>
        <w:pStyle w:val="6"/>
        <w:spacing w:before="0" w:after="0" w:line="240" w:lineRule="atLeast"/>
        <w:rPr>
          <w:rFonts w:ascii="仿宋_GB2312" w:hAnsi="宋体" w:eastAsia="仿宋_GB2312"/>
          <w:u w:val="none"/>
        </w:rPr>
      </w:pPr>
      <w:bookmarkStart w:id="81" w:name="_Toc520356155"/>
      <w:bookmarkStart w:id="82" w:name="_Toc515647770"/>
      <w:bookmarkStart w:id="83" w:name="_Toc28235"/>
      <w:bookmarkStart w:id="84" w:name="_Toc23231"/>
      <w:bookmarkStart w:id="85" w:name="_Toc2248"/>
      <w:r>
        <w:rPr>
          <w:rFonts w:ascii="仿宋_GB2312" w:hAnsi="宋体" w:eastAsia="仿宋_GB2312"/>
          <w:u w:val="none"/>
        </w:rPr>
        <w:t>1</w:t>
      </w:r>
      <w:r>
        <w:rPr>
          <w:rFonts w:hint="eastAsia" w:ascii="仿宋_GB2312" w:hAnsi="宋体" w:eastAsia="仿宋_GB2312"/>
          <w:u w:val="none"/>
        </w:rPr>
        <w:t>1.投标报价</w:t>
      </w:r>
      <w:bookmarkEnd w:id="81"/>
      <w:bookmarkEnd w:id="82"/>
      <w:bookmarkEnd w:id="83"/>
      <w:bookmarkEnd w:id="84"/>
      <w:bookmarkEnd w:id="85"/>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每种货物只能有一个投标报价。采购人不接受具有附加条件的报价。</w:t>
      </w:r>
    </w:p>
    <w:p>
      <w:pPr>
        <w:pStyle w:val="6"/>
        <w:spacing w:before="0" w:after="0" w:line="240" w:lineRule="atLeast"/>
        <w:rPr>
          <w:rFonts w:ascii="仿宋_GB2312" w:hAnsi="宋体" w:eastAsia="仿宋_GB2312"/>
          <w:u w:val="none"/>
        </w:rPr>
      </w:pPr>
      <w:bookmarkStart w:id="86" w:name="_Toc515647771"/>
      <w:bookmarkStart w:id="87" w:name="_Toc17788"/>
      <w:bookmarkStart w:id="88" w:name="_Toc11514"/>
      <w:bookmarkStart w:id="89" w:name="_Toc20074"/>
      <w:bookmarkStart w:id="90" w:name="_Ref467306513"/>
      <w:bookmarkStart w:id="91" w:name="_Toc520356156"/>
      <w:r>
        <w:rPr>
          <w:rFonts w:ascii="仿宋_GB2312" w:hAnsi="宋体" w:eastAsia="仿宋_GB2312"/>
          <w:u w:val="none"/>
        </w:rPr>
        <w:t>1</w:t>
      </w:r>
      <w:r>
        <w:rPr>
          <w:rFonts w:hint="eastAsia" w:ascii="仿宋_GB2312" w:hAnsi="宋体" w:eastAsia="仿宋_GB2312"/>
          <w:u w:val="none"/>
        </w:rPr>
        <w:t>2.投标保证金</w:t>
      </w:r>
      <w:bookmarkEnd w:id="86"/>
      <w:bookmarkEnd w:id="87"/>
      <w:bookmarkEnd w:id="88"/>
      <w:bookmarkEnd w:id="89"/>
      <w:bookmarkEnd w:id="90"/>
      <w:bookmarkEnd w:id="91"/>
    </w:p>
    <w:p>
      <w:pPr>
        <w:spacing w:line="240" w:lineRule="atLeast"/>
        <w:ind w:left="900" w:hanging="900" w:hangingChars="375"/>
        <w:rPr>
          <w:rFonts w:ascii="仿宋_GB2312" w:hAnsi="宋体" w:eastAsia="仿宋_GB2312"/>
          <w:sz w:val="24"/>
        </w:rPr>
      </w:pPr>
      <w:bookmarkStart w:id="92"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92"/>
      <w:r>
        <w:rPr>
          <w:rFonts w:hint="eastAsia" w:ascii="仿宋_GB2312" w:hAnsi="宋体" w:eastAsia="仿宋_GB2312"/>
          <w:sz w:val="24"/>
        </w:rPr>
        <w:t>，并作为其投标的一部分。</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14"/>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（1）在投标有效期内，撤销投标的；</w:t>
      </w:r>
    </w:p>
    <w:p>
      <w:pPr>
        <w:pStyle w:val="14"/>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14"/>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（3）中标后不按本须知第31条的规定提交履约保证金的；</w:t>
      </w:r>
    </w:p>
    <w:p>
      <w:pPr>
        <w:pStyle w:val="14"/>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14"/>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bookmarkStart w:id="93" w:name="_Ref467306336"/>
      <w:r>
        <w:rPr>
          <w:rFonts w:hint="eastAsia" w:ascii="仿宋_GB2312" w:hAnsi="宋体" w:eastAsia="仿宋_GB2312"/>
          <w:sz w:val="24"/>
        </w:rPr>
        <w:t>12.3</w:t>
      </w:r>
      <w:r>
        <w:rPr>
          <w:rFonts w:hint="eastAsia" w:ascii="仿宋_GB2312" w:hAnsi="宋体" w:eastAsia="仿宋_GB2312"/>
          <w:sz w:val="24"/>
        </w:rPr>
        <w:tab/>
      </w:r>
      <w:bookmarkEnd w:id="93"/>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6"/>
        <w:spacing w:before="0" w:after="0" w:line="240" w:lineRule="atLeast"/>
        <w:rPr>
          <w:rFonts w:ascii="仿宋_GB2312" w:hAnsi="宋体" w:eastAsia="仿宋_GB2312"/>
          <w:u w:val="none"/>
        </w:rPr>
      </w:pPr>
      <w:bookmarkStart w:id="94" w:name="_Toc515647772"/>
      <w:bookmarkStart w:id="95" w:name="_Toc32569"/>
      <w:bookmarkStart w:id="96" w:name="_Toc520356157"/>
      <w:bookmarkStart w:id="97" w:name="_Toc650"/>
      <w:bookmarkStart w:id="98" w:name="_Toc23590"/>
      <w:r>
        <w:rPr>
          <w:rFonts w:hint="eastAsia" w:ascii="仿宋_GB2312" w:hAnsi="宋体" w:eastAsia="仿宋_GB2312"/>
          <w:u w:val="none"/>
        </w:rPr>
        <w:t>13.投标有效期</w:t>
      </w:r>
      <w:bookmarkEnd w:id="94"/>
      <w:bookmarkEnd w:id="95"/>
      <w:bookmarkEnd w:id="96"/>
      <w:bookmarkEnd w:id="97"/>
      <w:bookmarkEnd w:id="9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6"/>
        <w:spacing w:before="0" w:after="0" w:line="240" w:lineRule="atLeast"/>
        <w:rPr>
          <w:rFonts w:ascii="仿宋_GB2312" w:hAnsi="宋体" w:eastAsia="仿宋_GB2312"/>
          <w:u w:val="none"/>
        </w:rPr>
      </w:pPr>
      <w:bookmarkStart w:id="99" w:name="_Toc520356158"/>
      <w:bookmarkStart w:id="100" w:name="_Toc17074"/>
      <w:bookmarkStart w:id="101" w:name="_Toc493"/>
      <w:bookmarkStart w:id="102" w:name="_Toc515647773"/>
      <w:bookmarkStart w:id="103" w:name="_Toc26725"/>
      <w:r>
        <w:rPr>
          <w:rFonts w:hint="eastAsia" w:ascii="仿宋_GB2312" w:hAnsi="宋体" w:eastAsia="仿宋_GB2312"/>
          <w:u w:val="none"/>
        </w:rPr>
        <w:t>14.投标文件的签署</w:t>
      </w:r>
      <w:bookmarkEnd w:id="99"/>
      <w:r>
        <w:rPr>
          <w:rFonts w:hint="eastAsia" w:ascii="仿宋_GB2312" w:hAnsi="宋体" w:eastAsia="仿宋_GB2312"/>
          <w:u w:val="none"/>
        </w:rPr>
        <w:t>及规定</w:t>
      </w:r>
      <w:bookmarkEnd w:id="100"/>
      <w:bookmarkEnd w:id="101"/>
      <w:bookmarkEnd w:id="102"/>
      <w:bookmarkEnd w:id="10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供应商应按供应商须知资料表中的规定，准备和递交(加密上传)电子投标文件。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所有响应文件应按照磋商文件规定的格式填写、签署和盖章。</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14.3</w:t>
      </w:r>
      <w:r>
        <w:rPr>
          <w:rFonts w:hint="eastAsia" w:ascii="仿宋_GB2312" w:hAnsi="宋体" w:eastAsia="仿宋_GB2312"/>
          <w:sz w:val="24"/>
        </w:rPr>
        <w:tab/>
      </w:r>
      <w:r>
        <w:rPr>
          <w:rFonts w:hint="eastAsia" w:ascii="仿宋_GB2312" w:hAnsi="宋体" w:eastAsia="仿宋_GB2312"/>
          <w:sz w:val="24"/>
        </w:rPr>
        <w:t>响应文件因字迹潦草、表达不清或装订不当所引起的后果由供应商负责。</w:t>
      </w:r>
    </w:p>
    <w:p>
      <w:pPr>
        <w:spacing w:line="240" w:lineRule="atLeast"/>
        <w:ind w:left="900" w:hanging="900" w:hangingChars="375"/>
        <w:rPr>
          <w:rFonts w:ascii="仿宋_GB2312" w:hAnsi="宋体" w:eastAsia="仿宋_GB2312"/>
          <w:sz w:val="24"/>
        </w:rPr>
      </w:pPr>
    </w:p>
    <w:p>
      <w:pPr>
        <w:pStyle w:val="5"/>
        <w:spacing w:before="0" w:line="240" w:lineRule="atLeast"/>
        <w:ind w:left="1079" w:leftChars="257" w:hanging="540"/>
        <w:rPr>
          <w:rFonts w:ascii="仿宋_GB2312" w:hAnsi="宋体" w:eastAsia="仿宋_GB2312"/>
          <w:sz w:val="24"/>
        </w:rPr>
      </w:pPr>
      <w:bookmarkStart w:id="104" w:name="_Toc515647774"/>
      <w:bookmarkStart w:id="105" w:name="_Toc11179"/>
      <w:bookmarkStart w:id="106" w:name="_Toc16865"/>
      <w:bookmarkStart w:id="107" w:name="_Toc216582808"/>
      <w:bookmarkStart w:id="108" w:name="_Toc520356159"/>
      <w:bookmarkStart w:id="109" w:name="_Toc28944"/>
      <w:r>
        <w:rPr>
          <w:rFonts w:hint="eastAsia" w:ascii="仿宋_GB2312" w:hAnsi="宋体" w:eastAsia="仿宋_GB2312"/>
          <w:sz w:val="24"/>
        </w:rPr>
        <w:t>四   投标文件的递交</w:t>
      </w:r>
      <w:bookmarkEnd w:id="104"/>
      <w:bookmarkEnd w:id="105"/>
      <w:bookmarkEnd w:id="106"/>
      <w:bookmarkEnd w:id="107"/>
      <w:bookmarkEnd w:id="108"/>
      <w:bookmarkEnd w:id="109"/>
    </w:p>
    <w:p>
      <w:pPr>
        <w:pStyle w:val="6"/>
        <w:spacing w:before="0" w:after="0" w:line="240" w:lineRule="atLeast"/>
        <w:rPr>
          <w:rFonts w:ascii="仿宋_GB2312" w:hAnsi="宋体" w:eastAsia="仿宋_GB2312"/>
          <w:u w:val="none"/>
        </w:rPr>
      </w:pPr>
      <w:bookmarkStart w:id="110" w:name="_Toc21645"/>
      <w:bookmarkStart w:id="111" w:name="_Toc520356160"/>
      <w:bookmarkStart w:id="112" w:name="_Toc515647775"/>
      <w:bookmarkStart w:id="113" w:name="_Toc32337"/>
      <w:bookmarkStart w:id="114" w:name="_Toc9606"/>
      <w:r>
        <w:rPr>
          <w:rFonts w:hint="eastAsia" w:ascii="仿宋_GB2312" w:hAnsi="宋体" w:eastAsia="仿宋_GB2312"/>
          <w:u w:val="none"/>
        </w:rPr>
        <w:t>15.投标文件的密封和标记</w:t>
      </w:r>
      <w:bookmarkEnd w:id="110"/>
      <w:bookmarkEnd w:id="111"/>
      <w:bookmarkEnd w:id="112"/>
      <w:bookmarkEnd w:id="113"/>
      <w:bookmarkEnd w:id="114"/>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15.1   为方便评审及进行资格审查，投标单位应完整地按招标文件提供的投标文件格式及要求编写投标文件，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pPr>
        <w:pStyle w:val="6"/>
        <w:spacing w:before="0" w:after="0" w:line="240" w:lineRule="atLeast"/>
        <w:rPr>
          <w:rFonts w:ascii="仿宋_GB2312" w:hAnsi="宋体" w:eastAsia="仿宋_GB2312"/>
          <w:u w:val="none"/>
        </w:rPr>
      </w:pPr>
      <w:bookmarkStart w:id="115" w:name="_Toc520356161"/>
      <w:bookmarkStart w:id="116" w:name="_Toc25902"/>
      <w:bookmarkStart w:id="117" w:name="_Toc12751"/>
      <w:bookmarkStart w:id="118" w:name="_Toc9840"/>
      <w:bookmarkStart w:id="119" w:name="_Toc515647776"/>
      <w:r>
        <w:rPr>
          <w:rFonts w:hint="eastAsia" w:ascii="仿宋_GB2312" w:hAnsi="宋体" w:eastAsia="仿宋_GB2312"/>
          <w:u w:val="none"/>
        </w:rPr>
        <w:t>16.投标截止</w:t>
      </w:r>
      <w:bookmarkEnd w:id="115"/>
      <w:bookmarkEnd w:id="116"/>
      <w:bookmarkEnd w:id="117"/>
      <w:bookmarkEnd w:id="118"/>
      <w:bookmarkEnd w:id="11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6"/>
        <w:spacing w:before="0" w:after="0" w:line="240" w:lineRule="atLeast"/>
        <w:rPr>
          <w:rFonts w:ascii="仿宋_GB2312" w:hAnsi="宋体" w:eastAsia="仿宋_GB2312"/>
          <w:u w:val="none"/>
        </w:rPr>
      </w:pPr>
      <w:bookmarkStart w:id="120" w:name="_Toc18537"/>
      <w:bookmarkStart w:id="121" w:name="_Toc515647777"/>
      <w:bookmarkStart w:id="122" w:name="_Toc30153"/>
      <w:bookmarkStart w:id="123" w:name="_Toc520356162"/>
      <w:bookmarkStart w:id="124" w:name="_Toc24275"/>
      <w:r>
        <w:rPr>
          <w:rFonts w:hint="eastAsia" w:ascii="仿宋_GB2312" w:hAnsi="宋体" w:eastAsia="仿宋_GB2312"/>
          <w:u w:val="none"/>
        </w:rPr>
        <w:t>17.投标文件的接收、修改与撤回</w:t>
      </w:r>
      <w:bookmarkEnd w:id="120"/>
      <w:bookmarkEnd w:id="121"/>
      <w:bookmarkEnd w:id="122"/>
      <w:bookmarkEnd w:id="123"/>
      <w:bookmarkEnd w:id="124"/>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ascii="仿宋_GB2312" w:hAnsi="宋体" w:eastAsia="仿宋_GB2312"/>
          <w:sz w:val="24"/>
        </w:rPr>
      </w:pPr>
    </w:p>
    <w:tbl>
      <w:tblPr>
        <w:tblStyle w:val="28"/>
        <w:tblW w:w="0" w:type="auto"/>
        <w:tblInd w:w="1101" w:type="dxa"/>
        <w:tblLayout w:type="fixed"/>
        <w:tblCellMar>
          <w:top w:w="0" w:type="dxa"/>
          <w:left w:w="108" w:type="dxa"/>
          <w:bottom w:w="0" w:type="dxa"/>
          <w:right w:w="108" w:type="dxa"/>
        </w:tblCellMar>
      </w:tblPr>
      <w:tblGrid>
        <w:gridCol w:w="1468"/>
        <w:gridCol w:w="1934"/>
        <w:gridCol w:w="2126"/>
        <w:gridCol w:w="1559"/>
      </w:tblGrid>
      <w:tr>
        <w:tblPrEx>
          <w:tblCellMar>
            <w:top w:w="0" w:type="dxa"/>
            <w:left w:w="108" w:type="dxa"/>
            <w:bottom w:w="0" w:type="dxa"/>
            <w:right w:w="108" w:type="dxa"/>
          </w:tblCellMar>
        </w:tblPrEx>
        <w:trPr>
          <w:trHeight w:val="750" w:hRule="atLeast"/>
        </w:trPr>
        <w:tc>
          <w:tcPr>
            <w:tcW w:w="7087" w:type="dxa"/>
            <w:gridSpan w:val="4"/>
            <w:tcBorders>
              <w:top w:val="nil"/>
              <w:left w:val="nil"/>
              <w:bottom w:val="single" w:color="auto" w:sz="4" w:space="0"/>
              <w:right w:val="nil"/>
            </w:tcBorders>
            <w:vAlign w:val="center"/>
          </w:tcPr>
          <w:p>
            <w:pPr>
              <w:widowControl/>
              <w:jc w:val="center"/>
              <w:rPr>
                <w:rFonts w:ascii="仿宋_GB2312" w:hAnsi="宋体" w:eastAsia="仿宋_GB2312"/>
                <w:szCs w:val="21"/>
              </w:rPr>
            </w:pPr>
            <w:r>
              <w:rPr>
                <w:rFonts w:hint="eastAsia" w:ascii="仿宋_GB2312" w:hAnsi="宋体" w:eastAsia="仿宋_GB2312"/>
                <w:szCs w:val="21"/>
              </w:rPr>
              <w:t xml:space="preserve">接收投标文件回执单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7"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9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1934" w:type="dxa"/>
            <w:tcBorders>
              <w:top w:val="nil"/>
              <w:left w:val="nil"/>
              <w:bottom w:val="single" w:color="auto" w:sz="4" w:space="0"/>
              <w:right w:val="single" w:color="auto" w:sz="4" w:space="0"/>
            </w:tcBorders>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126" w:type="dxa"/>
            <w:tcBorders>
              <w:top w:val="nil"/>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p>
        </w:tc>
      </w:tr>
      <w:tr>
        <w:tblPrEx>
          <w:tblCellMar>
            <w:top w:w="0" w:type="dxa"/>
            <w:left w:w="108" w:type="dxa"/>
            <w:bottom w:w="0" w:type="dxa"/>
            <w:right w:w="108" w:type="dxa"/>
          </w:tblCellMar>
        </w:tblPrEx>
        <w:trPr>
          <w:trHeight w:val="26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ascii="仿宋_GB2312" w:hAnsi="宋体" w:eastAsia="仿宋_GB2312"/>
          <w:sz w:val="24"/>
        </w:rPr>
      </w:pPr>
    </w:p>
    <w:p>
      <w:pPr>
        <w:pStyle w:val="8"/>
        <w:rPr>
          <w:rFonts w:ascii="仿宋_GB2312" w:hAnsi="宋体" w:eastAsia="仿宋_GB2312"/>
        </w:rPr>
      </w:pPr>
    </w:p>
    <w:p/>
    <w:p>
      <w:pPr>
        <w:pStyle w:val="5"/>
        <w:spacing w:before="0" w:line="240" w:lineRule="atLeast"/>
        <w:ind w:left="1079" w:leftChars="257" w:hanging="540"/>
        <w:rPr>
          <w:rFonts w:ascii="仿宋_GB2312" w:hAnsi="宋体" w:eastAsia="仿宋_GB2312"/>
          <w:sz w:val="24"/>
        </w:rPr>
      </w:pPr>
      <w:bookmarkStart w:id="125" w:name="_Toc24882"/>
      <w:bookmarkStart w:id="126" w:name="_Toc28398"/>
      <w:bookmarkStart w:id="127" w:name="_Toc12436"/>
      <w:bookmarkStart w:id="128" w:name="_Toc520356163"/>
      <w:bookmarkStart w:id="129" w:name="_Toc216582809"/>
      <w:bookmarkStart w:id="130" w:name="_Toc515647778"/>
      <w:r>
        <w:rPr>
          <w:rFonts w:hint="eastAsia" w:ascii="仿宋_GB2312" w:hAnsi="宋体" w:eastAsia="仿宋_GB2312"/>
          <w:sz w:val="24"/>
        </w:rPr>
        <w:t>五   开标及评标</w:t>
      </w:r>
      <w:bookmarkEnd w:id="125"/>
      <w:bookmarkEnd w:id="126"/>
      <w:bookmarkEnd w:id="127"/>
      <w:bookmarkEnd w:id="128"/>
      <w:bookmarkEnd w:id="129"/>
      <w:bookmarkEnd w:id="130"/>
    </w:p>
    <w:p>
      <w:pPr>
        <w:pStyle w:val="6"/>
        <w:numPr>
          <w:ilvl w:val="0"/>
          <w:numId w:val="5"/>
        </w:numPr>
        <w:spacing w:line="240" w:lineRule="atLeast"/>
      </w:pPr>
      <w:bookmarkStart w:id="131" w:name="_Toc25465"/>
      <w:bookmarkStart w:id="132" w:name="_Toc515647779"/>
      <w:bookmarkStart w:id="133" w:name="_Toc25345"/>
      <w:bookmarkStart w:id="134" w:name="_Toc520356164"/>
      <w:bookmarkStart w:id="135" w:name="_Toc7186"/>
      <w:r>
        <w:rPr>
          <w:rFonts w:hint="eastAsia" w:ascii="仿宋_GB2312" w:hAnsi="宋体" w:eastAsia="仿宋_GB2312"/>
          <w:u w:val="none"/>
        </w:rPr>
        <w:t>开标</w:t>
      </w:r>
      <w:bookmarkEnd w:id="131"/>
      <w:bookmarkEnd w:id="132"/>
      <w:bookmarkEnd w:id="133"/>
      <w:bookmarkEnd w:id="134"/>
      <w:bookmarkEnd w:id="135"/>
    </w:p>
    <w:p>
      <w:pPr>
        <w:numPr>
          <w:ilvl w:val="1"/>
          <w:numId w:val="5"/>
        </w:numPr>
        <w:spacing w:line="240" w:lineRule="atLeast"/>
        <w:ind w:left="900" w:hanging="900" w:hangingChars="375"/>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spacing w:line="240" w:lineRule="atLeast"/>
        <w:ind w:left="735" w:leftChars="350" w:firstLine="120" w:firstLineChars="50"/>
        <w:rPr>
          <w:rFonts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ind w:left="900" w:hanging="900" w:hangingChars="375"/>
        <w:rPr>
          <w:rFonts w:ascii="仿宋_GB2312" w:hAnsi="宋体" w:eastAsia="仿宋_GB2312"/>
          <w:sz w:val="24"/>
        </w:rPr>
      </w:pPr>
      <w:bookmarkStart w:id="136" w:name="_Toc520356165"/>
      <w:r>
        <w:rPr>
          <w:rFonts w:hint="eastAsia" w:ascii="仿宋_GB2312" w:hAnsi="宋体" w:eastAsia="仿宋_GB2312"/>
          <w:sz w:val="24"/>
        </w:rPr>
        <w:t xml:space="preserve">18.2    </w:t>
      </w:r>
      <w:r>
        <w:rPr>
          <w:rFonts w:hint="eastAsia" w:ascii="仿宋_GB2312" w:hAnsi="宋体" w:eastAsia="仿宋_GB2312"/>
          <w:b/>
          <w:bCs/>
          <w:sz w:val="24"/>
        </w:rPr>
        <w:t>本项目实行电子投标文件，电子投标文件的有关要求按供应商须知资料表要求，供应商应该使用供应商 CA 锁对电子投标文件加密，否则，其响应文件将被拒绝评审开标时，供应商必须使用加密该文件的 CA 锁，以便开标时对其电子投标文件进行解密，由于供应商自身原因未能成功导入评标系统的，均视为不响应采购文件，其投标文件将被拒绝评审。未按规定时间在投标文件要求的开评标系统解密成功的电子投标文件无效。</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18.3    供应商在规定时间内对投标文件进行解密，时长为 30 分钟。</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18.4   由采购代理机构开启开标记录，须供应商在政采云平台对报价进行签章确认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18.5    供应商代表对开标过程和开标记录有疑义，以及认为采购人、采购代理机构相关工作人员有需要回避的情形的，应当场提出询问或者回避申请。</w:t>
      </w:r>
    </w:p>
    <w:p>
      <w:pPr>
        <w:pStyle w:val="6"/>
        <w:spacing w:before="0" w:after="0" w:line="240" w:lineRule="atLeast"/>
        <w:rPr>
          <w:rFonts w:ascii="仿宋_GB2312" w:hAnsi="宋体" w:eastAsia="仿宋_GB2312"/>
          <w:u w:val="none"/>
        </w:rPr>
      </w:pPr>
      <w:bookmarkStart w:id="137" w:name="_Toc31368"/>
      <w:bookmarkStart w:id="138" w:name="_Toc19296"/>
      <w:bookmarkStart w:id="139" w:name="_Toc21372"/>
      <w:bookmarkStart w:id="140" w:name="_Toc515647780"/>
      <w:r>
        <w:rPr>
          <w:rFonts w:hint="eastAsia" w:ascii="仿宋_GB2312" w:hAnsi="宋体" w:eastAsia="仿宋_GB2312"/>
          <w:u w:val="none"/>
        </w:rPr>
        <w:t>19.</w:t>
      </w:r>
      <w:bookmarkEnd w:id="136"/>
      <w:r>
        <w:rPr>
          <w:rFonts w:hint="eastAsia" w:ascii="仿宋_GB2312" w:hAnsi="宋体" w:eastAsia="仿宋_GB2312"/>
          <w:u w:val="none"/>
        </w:rPr>
        <w:t>资格审查及组建评标委员会</w:t>
      </w:r>
      <w:bookmarkEnd w:id="137"/>
      <w:bookmarkEnd w:id="138"/>
      <w:bookmarkEnd w:id="139"/>
      <w:bookmarkEnd w:id="14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19.1    采购人或采购代理机构依据法律法规和招标文件中规定的内容，对投标人的资格进行审查。未通过资格审查的投标人不进入评标；进入评标的投标人不足3家的，不得评标。</w:t>
      </w:r>
    </w:p>
    <w:p>
      <w:pPr>
        <w:spacing w:line="360" w:lineRule="auto"/>
        <w:ind w:firstLine="480" w:firstLineChars="200"/>
        <w:rPr>
          <w:rFonts w:ascii="仿宋" w:hAnsi="仿宋" w:eastAsia="仿宋" w:cs="仿宋"/>
          <w:sz w:val="24"/>
        </w:rPr>
      </w:pPr>
      <w:r>
        <w:rPr>
          <w:rFonts w:hint="eastAsia" w:ascii="仿宋" w:hAnsi="仿宋" w:eastAsia="仿宋" w:cs="仿宋"/>
          <w:b/>
          <w:bCs/>
          <w:sz w:val="24"/>
        </w:rPr>
        <w:t>投标人必须符合《中华人民共和国政府采购法》第二十二条的相关规定；</w:t>
      </w:r>
    </w:p>
    <w:p>
      <w:pPr>
        <w:pStyle w:val="8"/>
        <w:rPr>
          <w:rFonts w:ascii="仿宋" w:hAnsi="仿宋" w:eastAsia="仿宋" w:cs="仿宋"/>
          <w:szCs w:val="24"/>
        </w:rPr>
      </w:pPr>
      <w:r>
        <w:rPr>
          <w:rFonts w:hint="eastAsia" w:ascii="仿宋" w:hAnsi="仿宋" w:eastAsia="仿宋" w:cs="仿宋"/>
          <w:szCs w:val="24"/>
        </w:rPr>
        <w:t>（1）具有相应经营范围的企业法人有效的营业执照（三证合一）扫描件加盖公章；</w:t>
      </w:r>
    </w:p>
    <w:p>
      <w:pPr>
        <w:pStyle w:val="8"/>
        <w:rPr>
          <w:rFonts w:ascii="仿宋" w:hAnsi="仿宋" w:eastAsia="仿宋" w:cs="仿宋"/>
          <w:szCs w:val="24"/>
        </w:rPr>
      </w:pPr>
      <w:r>
        <w:rPr>
          <w:rFonts w:hint="eastAsia" w:ascii="仿宋" w:hAnsi="仿宋" w:eastAsia="仿宋" w:cs="仿宋"/>
          <w:szCs w:val="24"/>
        </w:rPr>
        <w:t>（2）银行开户许可证扫描件加盖公章（如投标单位有无法提供开户许可证的情况，需提供基本账户开户银行的基本账户信息及当地不办理银行开户许可证的证明文件）；</w:t>
      </w:r>
    </w:p>
    <w:p>
      <w:pPr>
        <w:pStyle w:val="8"/>
        <w:rPr>
          <w:rFonts w:ascii="仿宋" w:hAnsi="仿宋" w:eastAsia="仿宋" w:cs="仿宋"/>
          <w:szCs w:val="24"/>
        </w:rPr>
      </w:pPr>
      <w:r>
        <w:rPr>
          <w:rFonts w:hint="eastAsia" w:ascii="仿宋" w:hAnsi="仿宋" w:eastAsia="仿宋" w:cs="仿宋"/>
          <w:szCs w:val="24"/>
        </w:rPr>
        <w:t>（3）法定代表人需提供法定代表人身份证明扫描件加盖公章，授权委托人需提供法人授权委托书扫描件加盖公章、法人身份证复印件及授权委托人身份证扫描件加盖公章，授权委托人必须是本单位正式员工；</w:t>
      </w:r>
    </w:p>
    <w:p>
      <w:pPr>
        <w:pStyle w:val="8"/>
        <w:rPr>
          <w:rFonts w:ascii="仿宋" w:hAnsi="仿宋" w:eastAsia="仿宋" w:cs="仿宋"/>
          <w:szCs w:val="24"/>
        </w:rPr>
      </w:pPr>
      <w:r>
        <w:rPr>
          <w:rFonts w:hint="eastAsia" w:ascii="仿宋" w:hAnsi="仿宋" w:eastAsia="仿宋" w:cs="仿宋"/>
          <w:szCs w:val="24"/>
        </w:rPr>
        <w:t>（4）提供“信用中国”（www.creditchina.gov.cn）和中国政府采购网（www.ccgp.gov.cn）网站上未列入失信被执行人、重大税收违法失信主体、政府采购严重违法失信行为记录名单。（提供查询结果网页截图并加盖单位公章）；</w:t>
      </w:r>
    </w:p>
    <w:p>
      <w:pPr>
        <w:pStyle w:val="8"/>
        <w:rPr>
          <w:rFonts w:ascii="仿宋" w:hAnsi="仿宋" w:eastAsia="仿宋" w:cs="仿宋"/>
          <w:szCs w:val="24"/>
        </w:rPr>
      </w:pPr>
      <w:r>
        <w:rPr>
          <w:rFonts w:hint="eastAsia" w:ascii="仿宋" w:hAnsi="仿宋" w:eastAsia="仿宋" w:cs="仿宋"/>
          <w:szCs w:val="24"/>
        </w:rPr>
        <w:t>（5）具有税务局开具依法缴纳近6个月中任意1个月税收证明的良好记录（完税证明）；</w:t>
      </w:r>
    </w:p>
    <w:p>
      <w:pPr>
        <w:pStyle w:val="8"/>
        <w:rPr>
          <w:rFonts w:ascii="仿宋" w:hAnsi="仿宋" w:eastAsia="仿宋" w:cs="仿宋"/>
          <w:szCs w:val="24"/>
        </w:rPr>
      </w:pPr>
      <w:r>
        <w:rPr>
          <w:rFonts w:hint="eastAsia" w:ascii="仿宋" w:hAnsi="仿宋" w:eastAsia="仿宋" w:cs="仿宋"/>
          <w:szCs w:val="24"/>
        </w:rPr>
        <w:t>（6）提供社保部门出具的供应商单位缴纳的近6个月中任意1个月社保证明缴费凭证；</w:t>
      </w:r>
    </w:p>
    <w:p>
      <w:pPr>
        <w:pStyle w:val="8"/>
        <w:rPr>
          <w:rFonts w:ascii="仿宋" w:hAnsi="仿宋" w:eastAsia="仿宋" w:cs="仿宋"/>
          <w:szCs w:val="24"/>
        </w:rPr>
      </w:pPr>
      <w:r>
        <w:rPr>
          <w:rFonts w:hint="eastAsia" w:ascii="仿宋" w:hAnsi="仿宋" w:eastAsia="仿宋" w:cs="仿宋"/>
          <w:szCs w:val="24"/>
        </w:rPr>
        <w:t>（7）提供2021年或2022年度的财务审计报告扫描件加盖公章，2022年以后成立公司提供有效期内银行出具的资信证明；</w:t>
      </w:r>
    </w:p>
    <w:p>
      <w:pPr>
        <w:pStyle w:val="8"/>
        <w:rPr>
          <w:rFonts w:ascii="仿宋" w:hAnsi="仿宋" w:eastAsia="仿宋" w:cs="仿宋"/>
          <w:szCs w:val="24"/>
        </w:rPr>
      </w:pPr>
      <w:r>
        <w:rPr>
          <w:rFonts w:hint="eastAsia" w:ascii="仿宋" w:hAnsi="仿宋" w:eastAsia="仿宋" w:cs="仿宋"/>
          <w:szCs w:val="24"/>
        </w:rPr>
        <w:t>（8）近三年内无重大违法记录的声明及反商业贿赂承诺书；</w:t>
      </w:r>
    </w:p>
    <w:p>
      <w:pPr>
        <w:pStyle w:val="8"/>
        <w:rPr>
          <w:rFonts w:ascii="仿宋" w:hAnsi="仿宋" w:eastAsia="仿宋" w:cs="仿宋"/>
          <w:szCs w:val="24"/>
        </w:rPr>
      </w:pPr>
      <w:r>
        <w:rPr>
          <w:rFonts w:hint="eastAsia" w:ascii="仿宋" w:hAnsi="仿宋" w:eastAsia="仿宋" w:cs="仿宋"/>
        </w:rPr>
        <w:t>（9）投</w:t>
      </w:r>
      <w:r>
        <w:rPr>
          <w:rFonts w:hint="eastAsia" w:ascii="仿宋" w:hAnsi="仿宋" w:eastAsia="仿宋" w:cs="仿宋"/>
          <w:szCs w:val="24"/>
        </w:rPr>
        <w:t>标保证金转账凭证；</w:t>
      </w:r>
    </w:p>
    <w:p>
      <w:pPr>
        <w:pStyle w:val="8"/>
        <w:rPr>
          <w:rFonts w:ascii="仿宋" w:hAnsi="仿宋" w:eastAsia="仿宋" w:cs="仿宋"/>
          <w:szCs w:val="24"/>
        </w:rPr>
      </w:pPr>
      <w:r>
        <w:rPr>
          <w:rFonts w:hint="eastAsia" w:ascii="仿宋" w:hAnsi="仿宋" w:eastAsia="仿宋" w:cs="仿宋"/>
          <w:szCs w:val="24"/>
        </w:rPr>
        <w:t>（10）本项目不接受联合体投标；</w:t>
      </w:r>
    </w:p>
    <w:p>
      <w:pPr>
        <w:pStyle w:val="8"/>
        <w:rPr>
          <w:rFonts w:ascii="仿宋" w:hAnsi="仿宋" w:eastAsia="仿宋" w:cs="仿宋"/>
          <w:szCs w:val="24"/>
        </w:rPr>
      </w:pPr>
      <w:r>
        <w:rPr>
          <w:rFonts w:hint="eastAsia" w:ascii="仿宋" w:hAnsi="仿宋" w:eastAsia="仿宋" w:cs="仿宋"/>
          <w:szCs w:val="24"/>
        </w:rPr>
        <w:t>19.2  采购人或采购代理机构将在开标前1个工作日至投标截止后1小时的期间内查询投标人的信用记录。投标人存在不良信用记录的，其投标将被认定为</w:t>
      </w:r>
      <w:r>
        <w:rPr>
          <w:rFonts w:hint="eastAsia" w:ascii="仿宋" w:hAnsi="仿宋" w:eastAsia="仿宋" w:cs="仿宋"/>
          <w:b/>
          <w:bCs/>
          <w:szCs w:val="24"/>
        </w:rPr>
        <w:t>投标无效</w:t>
      </w:r>
      <w:r>
        <w:rPr>
          <w:rFonts w:hint="eastAsia" w:ascii="仿宋" w:hAnsi="仿宋" w:eastAsia="仿宋" w:cs="仿宋"/>
          <w:szCs w:val="24"/>
        </w:rPr>
        <w:t>。</w:t>
      </w:r>
    </w:p>
    <w:p>
      <w:pPr>
        <w:spacing w:line="260" w:lineRule="exact"/>
        <w:ind w:left="857" w:leftChars="2" w:hanging="853"/>
        <w:rPr>
          <w:rFonts w:ascii="仿宋" w:hAnsi="仿宋" w:eastAsia="仿宋" w:cs="仿宋"/>
          <w:sz w:val="24"/>
        </w:rPr>
      </w:pPr>
      <w:bookmarkStart w:id="141" w:name="_Toc520356166"/>
      <w:bookmarkStart w:id="142" w:name="_Toc19949"/>
      <w:bookmarkStart w:id="143" w:name="_Toc515647781"/>
      <w:bookmarkStart w:id="144" w:name="_Toc28479"/>
      <w:r>
        <w:rPr>
          <w:rFonts w:hint="eastAsia" w:ascii="仿宋" w:hAnsi="仿宋" w:eastAsia="仿宋" w:cs="仿宋"/>
          <w:sz w:val="24"/>
        </w:rPr>
        <w:t>19.2.1  不良信用记录指：投标人在中国政府采购网（www.ccgp.gov.cn）被列</w:t>
      </w:r>
    </w:p>
    <w:p>
      <w:pPr>
        <w:spacing w:line="260" w:lineRule="exact"/>
        <w:ind w:left="968" w:leftChars="458" w:hanging="7" w:hangingChars="3"/>
        <w:rPr>
          <w:rFonts w:ascii="仿宋" w:hAnsi="仿宋" w:eastAsia="仿宋" w:cs="仿宋"/>
          <w:sz w:val="24"/>
        </w:rPr>
      </w:pPr>
      <w:r>
        <w:rPr>
          <w:rFonts w:hint="eastAsia" w:ascii="仿宋" w:hAnsi="仿宋" w:eastAsia="仿宋" w:cs="仿宋"/>
          <w:sz w:val="24"/>
        </w:rPr>
        <w:t>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50" w:leftChars="405"/>
        <w:jc w:val="left"/>
        <w:rPr>
          <w:rFonts w:ascii="仿宋" w:hAnsi="仿宋" w:eastAsia="仿宋" w:cs="仿宋"/>
          <w:sz w:val="24"/>
        </w:rPr>
      </w:pPr>
      <w:r>
        <w:rPr>
          <w:rFonts w:hint="eastAsia" w:ascii="仿宋" w:hAnsi="仿宋" w:eastAsia="仿宋" w:cs="仿宋"/>
          <w:sz w:val="24"/>
        </w:rPr>
        <w:t>以联合体形式参加投标的，联合体任何成员存在以上不良信用记录的，联合体投标将被认定为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8"/>
        <w:ind w:left="850" w:hanging="849" w:hangingChars="354"/>
        <w:jc w:val="both"/>
        <w:rPr>
          <w:rFonts w:ascii="仿宋" w:hAnsi="仿宋" w:eastAsia="仿宋" w:cs="仿宋"/>
        </w:rPr>
      </w:pPr>
      <w:r>
        <w:rPr>
          <w:rFonts w:hint="eastAsia" w:ascii="仿宋" w:hAnsi="仿宋" w:eastAsia="仿宋" w:cs="仿宋"/>
        </w:rPr>
        <w:t>19.2.2 查询及记录方式：采购人或采购代理机构经办人将查询网页打印、签字并存档备查。投标人不良信用记录以采购人或采购代理机构查询结果为准。</w:t>
      </w:r>
    </w:p>
    <w:p>
      <w:pPr>
        <w:pStyle w:val="8"/>
        <w:ind w:left="850" w:leftChars="405" w:firstLine="0"/>
        <w:jc w:val="both"/>
        <w:rPr>
          <w:rFonts w:ascii="仿宋" w:hAnsi="仿宋" w:eastAsia="仿宋" w:cs="仿宋"/>
        </w:rPr>
      </w:pPr>
      <w:r>
        <w:rPr>
          <w:rFonts w:hint="eastAsia" w:ascii="仿宋" w:hAnsi="仿宋" w:eastAsia="仿宋" w:cs="仿宋"/>
        </w:rPr>
        <w:t>在本招标文件规定的查询时间之后，网站信息发生的任何变更均不再作为评标依据。</w:t>
      </w:r>
    </w:p>
    <w:p>
      <w:pPr>
        <w:pStyle w:val="8"/>
        <w:ind w:left="850" w:leftChars="405" w:firstLine="0"/>
        <w:jc w:val="both"/>
        <w:rPr>
          <w:rFonts w:ascii="仿宋" w:hAnsi="仿宋" w:eastAsia="仿宋" w:cs="仿宋"/>
        </w:rPr>
      </w:pPr>
      <w:r>
        <w:rPr>
          <w:rFonts w:hint="eastAsia" w:ascii="仿宋" w:hAnsi="仿宋" w:eastAsia="仿宋" w:cs="仿宋"/>
        </w:rPr>
        <w:t>投标人自行提供的与网站信息不一致的其他证明材料亦不作为资格审查的依据。</w:t>
      </w:r>
    </w:p>
    <w:p>
      <w:pPr>
        <w:spacing w:line="240" w:lineRule="atLeast"/>
        <w:ind w:left="850" w:hanging="849" w:hangingChars="354"/>
        <w:rPr>
          <w:rFonts w:ascii="仿宋" w:hAnsi="仿宋" w:eastAsia="仿宋" w:cs="仿宋"/>
          <w:sz w:val="24"/>
        </w:rPr>
      </w:pPr>
      <w:r>
        <w:rPr>
          <w:rFonts w:hint="eastAsia" w:ascii="仿宋" w:hAnsi="仿宋" w:eastAsia="仿宋" w:cs="仿宋"/>
          <w:sz w:val="24"/>
        </w:rPr>
        <w:t>19.3   按照《中华人民共和国政府采购法》、《中华人民共和国政府采购法实施条例》及本项目本级和上级财政部门的有关规定依法组建的评标委员会，负责本项目评标工作。</w:t>
      </w:r>
    </w:p>
    <w:p>
      <w:pPr>
        <w:spacing w:line="340" w:lineRule="exact"/>
        <w:ind w:left="850" w:hanging="849" w:hangingChars="354"/>
      </w:pPr>
      <w:r>
        <w:rPr>
          <w:rFonts w:hint="eastAsia" w:ascii="仿宋" w:hAnsi="仿宋" w:eastAsia="仿宋" w:cs="仿宋"/>
          <w:sz w:val="24"/>
        </w:rPr>
        <w:t xml:space="preserve">19.4 </w:t>
      </w:r>
      <w:r>
        <w:rPr>
          <w:rFonts w:hint="eastAsia" w:ascii="宋体" w:hAnsi="宋体" w:cs="宋体"/>
          <w:sz w:val="24"/>
        </w:rPr>
        <w:t xml:space="preserve"> </w:t>
      </w:r>
      <w:r>
        <w:rPr>
          <w:rFonts w:hint="eastAsia" w:ascii="仿宋" w:hAnsi="仿宋" w:eastAsia="仿宋" w:cs="仿宋"/>
          <w:sz w:val="24"/>
        </w:rPr>
        <w:t xml:space="preserve"> 按照《中华人民共和国政府采购法》、《中华人民共和国政府采购法实施条例》及本项目本级和上级财政部门的有关规定依法组建的评标委员会，负责评标工作。</w:t>
      </w:r>
      <w:r>
        <w:rPr>
          <w:rFonts w:hint="eastAsia" w:ascii="仿宋" w:hAnsi="仿宋" w:eastAsia="仿宋" w:cs="仿宋"/>
          <w:b/>
          <w:bCs/>
          <w:sz w:val="24"/>
        </w:rPr>
        <w:t>本项目评标委员会由5人单数组成，其中甲方专家1人，其余4人从喀什地区采购专家库中随机抽取。</w:t>
      </w:r>
    </w:p>
    <w:p>
      <w:pPr>
        <w:pStyle w:val="6"/>
        <w:spacing w:before="0" w:after="0" w:line="240" w:lineRule="atLeast"/>
        <w:rPr>
          <w:rFonts w:ascii="仿宋_GB2312" w:hAnsi="宋体" w:eastAsia="仿宋_GB2312"/>
          <w:b w:val="0"/>
          <w:bCs/>
          <w:bdr w:val="single" w:color="auto" w:sz="4" w:space="0"/>
        </w:rPr>
      </w:pPr>
      <w:bookmarkStart w:id="145" w:name="_Toc22881"/>
      <w:r>
        <w:rPr>
          <w:rFonts w:ascii="仿宋_GB2312" w:hAnsi="宋体" w:eastAsia="仿宋_GB2312"/>
          <w:u w:val="none"/>
        </w:rPr>
        <w:t>20.</w:t>
      </w:r>
      <w:r>
        <w:rPr>
          <w:rFonts w:hint="eastAsia" w:ascii="仿宋_GB2312" w:hAnsi="宋体" w:eastAsia="仿宋_GB2312"/>
          <w:u w:val="none"/>
        </w:rPr>
        <w:t>投标文件</w:t>
      </w:r>
      <w:bookmarkEnd w:id="141"/>
      <w:r>
        <w:rPr>
          <w:rFonts w:hint="eastAsia" w:ascii="仿宋_GB2312" w:hAnsi="宋体" w:eastAsia="仿宋_GB2312"/>
          <w:u w:val="none"/>
        </w:rPr>
        <w:t>符合性审查与澄清</w:t>
      </w:r>
      <w:bookmarkEnd w:id="142"/>
      <w:bookmarkEnd w:id="143"/>
      <w:bookmarkEnd w:id="144"/>
      <w:bookmarkEnd w:id="145"/>
    </w:p>
    <w:p>
      <w:pPr>
        <w:spacing w:line="240" w:lineRule="atLeast"/>
        <w:ind w:left="900" w:hanging="900" w:hangingChars="375"/>
        <w:rPr>
          <w:rFonts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146" w:name="_Hlt522424701"/>
      <w:bookmarkEnd w:id="146"/>
      <w:bookmarkStart w:id="147" w:name="_Toc52035616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使用最低评标价法，提供相同品牌产品的不同投标人以其中通过资格审查、符合性审查且报价最低的参加评标；报价相同的，由采购人或者采购人委托评标委员会按照招标文件中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规定的方式确定一个投标人获得中标人推荐资格；未规定的采取随机抽取方式确定，其他同品牌投标人不作为中标候选人。</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5</w:t>
      </w:r>
      <w:r>
        <w:rPr>
          <w:rFonts w:hint="eastAsia" w:ascii="仿宋_GB2312" w:hAnsi="宋体" w:eastAsia="仿宋_GB2312"/>
          <w:sz w:val="24"/>
        </w:rPr>
        <w:t xml:space="preserve">   如</w:t>
      </w:r>
      <w:r>
        <w:rPr>
          <w:rFonts w:ascii="仿宋_GB2312" w:hAnsi="宋体" w:eastAsia="仿宋_GB2312"/>
          <w:sz w:val="24"/>
        </w:rPr>
        <w:t>一个</w:t>
      </w:r>
      <w:r>
        <w:rPr>
          <w:rFonts w:hint="eastAsia" w:ascii="仿宋_GB2312" w:hAnsi="宋体" w:eastAsia="仿宋_GB2312"/>
          <w:sz w:val="24"/>
        </w:rPr>
        <w:t>分包</w:t>
      </w:r>
      <w:r>
        <w:rPr>
          <w:rFonts w:ascii="仿宋_GB2312" w:hAnsi="宋体" w:eastAsia="仿宋_GB2312"/>
          <w:sz w:val="24"/>
        </w:rPr>
        <w:t>内</w:t>
      </w:r>
      <w:r>
        <w:rPr>
          <w:rFonts w:hint="eastAsia" w:ascii="仿宋_GB2312" w:hAnsi="宋体" w:eastAsia="仿宋_GB2312"/>
          <w:sz w:val="24"/>
        </w:rPr>
        <w:t>包含</w:t>
      </w:r>
      <w:r>
        <w:rPr>
          <w:rFonts w:ascii="仿宋_GB2312" w:hAnsi="宋体" w:eastAsia="仿宋_GB2312"/>
          <w:sz w:val="24"/>
        </w:rPr>
        <w:t>多种产品的，</w:t>
      </w:r>
      <w:r>
        <w:rPr>
          <w:rFonts w:hint="eastAsia" w:ascii="仿宋_GB2312" w:hAnsi="宋体" w:eastAsia="仿宋_GB2312"/>
          <w:sz w:val="24"/>
        </w:rPr>
        <w:t>采购人</w:t>
      </w:r>
      <w:r>
        <w:rPr>
          <w:rFonts w:ascii="仿宋_GB2312" w:hAnsi="宋体" w:eastAsia="仿宋_GB2312"/>
          <w:sz w:val="24"/>
        </w:rPr>
        <w:t>或采购代理机构将在</w:t>
      </w:r>
      <w:r>
        <w:rPr>
          <w:rFonts w:hint="eastAsia" w:ascii="仿宋_GB2312" w:hAnsi="宋体" w:eastAsia="仿宋_GB2312"/>
          <w:sz w:val="24"/>
          <w:u w:val="single"/>
        </w:rPr>
        <w:t>投标人须知资料表</w:t>
      </w:r>
      <w:r>
        <w:rPr>
          <w:rFonts w:hint="eastAsia" w:ascii="仿宋_GB2312" w:hAnsi="宋体" w:eastAsia="仿宋_GB2312"/>
          <w:sz w:val="24"/>
        </w:rPr>
        <w:t>中载明</w:t>
      </w:r>
      <w:r>
        <w:rPr>
          <w:rFonts w:ascii="仿宋_GB2312" w:hAnsi="宋体" w:eastAsia="仿宋_GB2312"/>
          <w:sz w:val="24"/>
        </w:rPr>
        <w:t>核心产品，</w:t>
      </w:r>
      <w:r>
        <w:rPr>
          <w:rFonts w:hint="eastAsia" w:ascii="仿宋_GB2312" w:hAnsi="宋体" w:eastAsia="仿宋_GB2312"/>
          <w:sz w:val="24"/>
        </w:rPr>
        <w:t>多家投标人提供的核心产品品牌相同的，按第2</w:t>
      </w:r>
      <w:r>
        <w:rPr>
          <w:rFonts w:ascii="仿宋_GB2312" w:hAnsi="宋体" w:eastAsia="仿宋_GB2312"/>
          <w:sz w:val="24"/>
        </w:rPr>
        <w:t>0.4</w:t>
      </w:r>
      <w:r>
        <w:rPr>
          <w:rFonts w:hint="eastAsia" w:ascii="仿宋_GB2312" w:hAnsi="宋体" w:eastAsia="仿宋_GB2312"/>
          <w:sz w:val="24"/>
        </w:rPr>
        <w:t>条规定处理。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 xml:space="preserve">6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spacing w:before="0" w:after="0" w:line="240" w:lineRule="atLeast"/>
        <w:rPr>
          <w:rFonts w:ascii="仿宋_GB2312" w:hAnsi="宋体" w:eastAsia="仿宋_GB2312"/>
          <w:u w:val="none"/>
        </w:rPr>
      </w:pPr>
      <w:bookmarkStart w:id="148" w:name="_Toc515647782"/>
      <w:bookmarkStart w:id="149" w:name="_Toc9469"/>
      <w:bookmarkStart w:id="150" w:name="_Toc6364"/>
      <w:bookmarkStart w:id="151" w:name="_Toc6073"/>
      <w:r>
        <w:rPr>
          <w:rFonts w:hint="eastAsia" w:ascii="仿宋_GB2312" w:hAnsi="宋体" w:eastAsia="仿宋_GB2312"/>
          <w:u w:val="none"/>
        </w:rPr>
        <w:t>21.投标偏离</w:t>
      </w:r>
      <w:bookmarkEnd w:id="148"/>
      <w:bookmarkEnd w:id="149"/>
      <w:bookmarkEnd w:id="150"/>
      <w:bookmarkEnd w:id="151"/>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6"/>
        <w:spacing w:before="0" w:after="0" w:line="240" w:lineRule="atLeast"/>
        <w:rPr>
          <w:rFonts w:ascii="仿宋_GB2312" w:hAnsi="宋体" w:eastAsia="仿宋_GB2312"/>
          <w:u w:val="none"/>
        </w:rPr>
      </w:pPr>
      <w:bookmarkStart w:id="152" w:name="_Toc515647783"/>
      <w:bookmarkStart w:id="153" w:name="_Toc14141"/>
      <w:bookmarkStart w:id="154" w:name="_Toc4950"/>
      <w:bookmarkStart w:id="155" w:name="_Toc6092"/>
      <w:r>
        <w:rPr>
          <w:rFonts w:hint="eastAsia" w:ascii="仿宋_GB2312" w:hAnsi="宋体" w:eastAsia="仿宋_GB2312"/>
          <w:u w:val="none"/>
        </w:rPr>
        <w:t>22.投标</w:t>
      </w:r>
      <w:bookmarkEnd w:id="152"/>
      <w:r>
        <w:rPr>
          <w:rFonts w:hint="eastAsia" w:ascii="仿宋_GB2312" w:hAnsi="宋体" w:eastAsia="仿宋_GB2312"/>
          <w:u w:val="none"/>
        </w:rPr>
        <w:t>无效</w:t>
      </w:r>
      <w:bookmarkEnd w:id="153"/>
      <w:bookmarkEnd w:id="154"/>
      <w:bookmarkEnd w:id="155"/>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未按照招标文件规定要求签署、盖章的；</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6"/>
        </w:numPr>
        <w:spacing w:line="240" w:lineRule="atLeast"/>
        <w:ind w:left="1080" w:leftChars="429" w:hanging="180"/>
        <w:rPr>
          <w:rFonts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w:t>
      </w:r>
      <w:r>
        <w:rPr>
          <w:rFonts w:hint="eastAsia" w:ascii="仿宋_GB2312" w:hAnsi="宋体" w:eastAsia="仿宋_GB2312"/>
          <w:b/>
          <w:bCs/>
          <w:sz w:val="24"/>
        </w:rPr>
        <w:t>投标无效</w:t>
      </w:r>
      <w:r>
        <w:rPr>
          <w:rFonts w:hint="eastAsia" w:ascii="仿宋_GB2312" w:hAnsi="宋体" w:eastAsia="仿宋_GB2312"/>
          <w:sz w:val="24"/>
        </w:rPr>
        <w:t>情形；</w:t>
      </w:r>
    </w:p>
    <w:p>
      <w:pPr>
        <w:numPr>
          <w:ilvl w:val="0"/>
          <w:numId w:val="6"/>
        </w:numPr>
        <w:spacing w:line="240" w:lineRule="atLeast"/>
        <w:ind w:left="1080" w:leftChars="429" w:hanging="180"/>
        <w:rPr>
          <w:rFonts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6"/>
        </w:numPr>
        <w:tabs>
          <w:tab w:val="left" w:pos="0"/>
        </w:tabs>
        <w:spacing w:line="240" w:lineRule="atLeast"/>
        <w:ind w:left="1080" w:leftChars="429" w:hanging="180"/>
        <w:rPr>
          <w:rFonts w:ascii="仿宋_GB2312" w:hAnsi="宋体" w:eastAsia="仿宋_GB2312"/>
          <w:sz w:val="24"/>
        </w:rPr>
      </w:pPr>
      <w:r>
        <w:rPr>
          <w:rFonts w:hint="eastAsia" w:ascii="仿宋_GB2312" w:hAnsi="宋体" w:eastAsia="仿宋_GB2312"/>
          <w:sz w:val="24"/>
        </w:rPr>
        <w:t>不符合法规和招标文件中规定的其他实质性要求的。</w:t>
      </w:r>
    </w:p>
    <w:p>
      <w:pPr>
        <w:pStyle w:val="6"/>
        <w:spacing w:before="0" w:after="0" w:line="240" w:lineRule="atLeast"/>
        <w:rPr>
          <w:rFonts w:ascii="仿宋_GB2312" w:hAnsi="宋体" w:eastAsia="仿宋_GB2312"/>
          <w:u w:val="none"/>
        </w:rPr>
      </w:pPr>
      <w:bookmarkStart w:id="156" w:name="_Toc18297"/>
      <w:bookmarkStart w:id="157" w:name="_Toc22941"/>
      <w:bookmarkStart w:id="158" w:name="_Toc13652"/>
      <w:bookmarkStart w:id="159" w:name="_Toc515647784"/>
      <w:r>
        <w:rPr>
          <w:rFonts w:hint="eastAsia" w:ascii="仿宋_GB2312" w:hAnsi="宋体" w:eastAsia="仿宋_GB2312"/>
          <w:u w:val="none"/>
        </w:rPr>
        <w:t>23.</w:t>
      </w:r>
      <w:bookmarkEnd w:id="147"/>
      <w:r>
        <w:rPr>
          <w:rFonts w:hint="eastAsia" w:ascii="仿宋_GB2312" w:hAnsi="宋体" w:eastAsia="仿宋_GB2312"/>
          <w:u w:val="none"/>
        </w:rPr>
        <w:t>比较与评价</w:t>
      </w:r>
      <w:bookmarkEnd w:id="156"/>
      <w:bookmarkEnd w:id="157"/>
      <w:bookmarkEnd w:id="158"/>
      <w:bookmarkEnd w:id="159"/>
    </w:p>
    <w:p>
      <w:pPr>
        <w:spacing w:line="240" w:lineRule="atLeast"/>
        <w:ind w:left="900" w:hanging="900" w:hangingChars="375"/>
        <w:rPr>
          <w:rFonts w:ascii="仿宋" w:hAnsi="仿宋" w:eastAsia="仿宋" w:cs="仿宋"/>
          <w:sz w:val="24"/>
        </w:rPr>
      </w:pPr>
      <w:bookmarkStart w:id="160" w:name="_Toc520356168"/>
      <w:bookmarkStart w:id="161" w:name="_Toc515647785"/>
      <w:bookmarkStart w:id="162" w:name="_Toc20227"/>
      <w:bookmarkStart w:id="163" w:name="_Toc9378"/>
      <w:r>
        <w:rPr>
          <w:rFonts w:hint="eastAsia" w:ascii="仿宋" w:hAnsi="仿宋" w:eastAsia="仿宋" w:cs="仿宋"/>
          <w:sz w:val="24"/>
        </w:rPr>
        <w:t>23.1</w:t>
      </w:r>
      <w:r>
        <w:rPr>
          <w:rFonts w:hint="eastAsia" w:ascii="仿宋" w:hAnsi="仿宋" w:eastAsia="仿宋" w:cs="仿宋"/>
          <w:sz w:val="24"/>
        </w:rPr>
        <w:tab/>
      </w:r>
      <w:r>
        <w:rPr>
          <w:rFonts w:hint="eastAsia" w:ascii="仿宋" w:hAnsi="仿宋" w:eastAsia="仿宋" w:cs="仿宋"/>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23.2  </w:t>
      </w:r>
      <w:r>
        <w:rPr>
          <w:rFonts w:hint="eastAsia" w:ascii="仿宋" w:hAnsi="仿宋" w:eastAsia="仿宋" w:cs="仿宋"/>
          <w:sz w:val="24"/>
        </w:rPr>
        <w:tab/>
      </w:r>
      <w:r>
        <w:rPr>
          <w:rFonts w:hint="eastAsia" w:ascii="仿宋" w:hAnsi="仿宋" w:eastAsia="仿宋" w:cs="仿宋"/>
          <w:sz w:val="24"/>
        </w:rPr>
        <w:t>评标严格按照招标文件的要求和条件进行。根据实际情况，在</w:t>
      </w:r>
      <w:r>
        <w:rPr>
          <w:rFonts w:hint="eastAsia" w:ascii="仿宋" w:hAnsi="仿宋" w:eastAsia="仿宋" w:cs="仿宋"/>
          <w:sz w:val="24"/>
          <w:u w:val="single"/>
        </w:rPr>
        <w:t>投标人须知资料表</w:t>
      </w:r>
      <w:r>
        <w:rPr>
          <w:rFonts w:hint="eastAsia" w:ascii="仿宋" w:hAnsi="仿宋" w:eastAsia="仿宋" w:cs="仿宋"/>
          <w:sz w:val="24"/>
        </w:rPr>
        <w:t>中规定采用下列一种评标方法，详细评标标准见招标文件第六章：</w:t>
      </w:r>
    </w:p>
    <w:p>
      <w:pPr>
        <w:pStyle w:val="14"/>
        <w:spacing w:line="240" w:lineRule="atLeast"/>
        <w:ind w:left="899" w:leftChars="342" w:hanging="181"/>
        <w:rPr>
          <w:rFonts w:ascii="仿宋" w:hAnsi="仿宋" w:eastAsia="仿宋" w:cs="仿宋"/>
          <w:sz w:val="24"/>
          <w:szCs w:val="24"/>
        </w:rPr>
      </w:pPr>
      <w:r>
        <w:rPr>
          <w:rFonts w:hint="eastAsia" w:ascii="仿宋" w:hAnsi="仿宋" w:eastAsia="仿宋" w:cs="仿宋"/>
          <w:sz w:val="24"/>
          <w:szCs w:val="24"/>
        </w:rPr>
        <w:t>（1） 最低评标价法，是指投标文件满足招标文件全部实质性要求，且投标报价最低的投标人为中标候选人的评标方法。</w:t>
      </w:r>
    </w:p>
    <w:p>
      <w:pPr>
        <w:pStyle w:val="14"/>
        <w:spacing w:line="240" w:lineRule="atLeast"/>
        <w:ind w:left="898" w:leftChars="342" w:hanging="180"/>
        <w:rPr>
          <w:rFonts w:ascii="仿宋" w:hAnsi="仿宋" w:eastAsia="仿宋" w:cs="仿宋"/>
          <w:sz w:val="24"/>
          <w:szCs w:val="24"/>
        </w:rPr>
      </w:pPr>
      <w:r>
        <w:rPr>
          <w:rFonts w:hint="eastAsia" w:ascii="仿宋" w:hAnsi="仿宋" w:eastAsia="仿宋" w:cs="仿宋"/>
          <w:sz w:val="24"/>
          <w:szCs w:val="24"/>
        </w:rPr>
        <w:t>（2） 综合评分法，是指投标文件满足招标文件全部实质性要求，且按照评审因素的量化指标评审得分最高的投标人为中标候选人的评标方法。</w:t>
      </w:r>
    </w:p>
    <w:p>
      <w:pPr>
        <w:spacing w:line="240" w:lineRule="atLeast"/>
        <w:ind w:left="957" w:leftChars="456" w:firstLine="60" w:firstLineChars="25"/>
        <w:rPr>
          <w:rFonts w:ascii="仿宋" w:hAnsi="仿宋" w:eastAsia="仿宋" w:cs="仿宋"/>
          <w:sz w:val="24"/>
        </w:rPr>
      </w:pPr>
      <w:r>
        <w:rPr>
          <w:rFonts w:hint="eastAsia" w:ascii="仿宋" w:hAnsi="仿宋" w:eastAsia="仿宋" w:cs="仿宋"/>
          <w:b/>
          <w:sz w:val="24"/>
        </w:rPr>
        <w:t>本项目为公开招标，评标办法采用上述第（2）条</w:t>
      </w:r>
    </w:p>
    <w:p>
      <w:pPr>
        <w:pStyle w:val="14"/>
        <w:spacing w:line="240" w:lineRule="atLeast"/>
        <w:ind w:left="900" w:hanging="900" w:hangingChars="375"/>
        <w:rPr>
          <w:rFonts w:ascii="仿宋" w:hAnsi="仿宋" w:eastAsia="仿宋" w:cs="仿宋"/>
          <w:sz w:val="24"/>
          <w:szCs w:val="24"/>
        </w:rPr>
      </w:pPr>
      <w:r>
        <w:rPr>
          <w:rFonts w:hint="eastAsia" w:ascii="仿宋" w:hAnsi="仿宋" w:eastAsia="仿宋" w:cs="仿宋"/>
          <w:sz w:val="24"/>
          <w:szCs w:val="24"/>
        </w:rPr>
        <w:t>23.3   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w:t>
      </w:r>
      <w:bookmarkStart w:id="164" w:name="sendNo"/>
      <w:r>
        <w:rPr>
          <w:rFonts w:hint="eastAsia" w:ascii="仿宋" w:hAnsi="仿宋" w:eastAsia="仿宋" w:cs="仿宋"/>
          <w:bCs/>
          <w:sz w:val="24"/>
          <w:szCs w:val="24"/>
        </w:rPr>
        <w:t>财库〔</w:t>
      </w:r>
      <w:bookmarkEnd w:id="164"/>
      <w:r>
        <w:rPr>
          <w:rFonts w:hint="eastAsia" w:ascii="仿宋" w:hAnsi="仿宋" w:eastAsia="仿宋" w:cs="仿宋"/>
          <w:bCs/>
          <w:sz w:val="24"/>
          <w:szCs w:val="24"/>
        </w:rPr>
        <w:t>2017〕141号</w:t>
      </w:r>
      <w:r>
        <w:rPr>
          <w:rFonts w:hint="eastAsia" w:ascii="仿宋" w:hAnsi="仿宋" w:eastAsia="仿宋" w:cs="仿宋"/>
          <w:sz w:val="24"/>
          <w:szCs w:val="24"/>
        </w:rPr>
        <w:t>）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p>
    <w:p>
      <w:pPr>
        <w:pStyle w:val="6"/>
        <w:spacing w:before="0" w:after="0" w:line="240" w:lineRule="atLeast"/>
        <w:rPr>
          <w:rFonts w:ascii="仿宋_GB2312" w:hAnsi="宋体" w:eastAsia="仿宋_GB2312"/>
          <w:u w:val="none"/>
        </w:rPr>
      </w:pPr>
      <w:bookmarkStart w:id="165" w:name="_Toc3865"/>
      <w:r>
        <w:rPr>
          <w:rFonts w:ascii="仿宋_GB2312" w:hAnsi="宋体" w:eastAsia="仿宋_GB2312"/>
          <w:u w:val="none"/>
        </w:rPr>
        <w:t>24</w:t>
      </w:r>
      <w:bookmarkEnd w:id="160"/>
      <w:r>
        <w:rPr>
          <w:rFonts w:hint="eastAsia" w:ascii="仿宋_GB2312" w:hAnsi="宋体" w:eastAsia="仿宋_GB2312"/>
          <w:u w:val="none"/>
        </w:rPr>
        <w:t>.废标</w:t>
      </w:r>
      <w:bookmarkEnd w:id="161"/>
      <w:bookmarkEnd w:id="162"/>
      <w:bookmarkEnd w:id="163"/>
      <w:bookmarkEnd w:id="165"/>
    </w:p>
    <w:p>
      <w:pPr>
        <w:spacing w:line="240" w:lineRule="atLeast"/>
        <w:ind w:left="897" w:leftChars="399" w:hanging="60" w:hangingChars="25"/>
        <w:rPr>
          <w:rFonts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ascii="仿宋_GB2312" w:hAnsi="宋体" w:eastAsia="仿宋_GB2312"/>
          <w:sz w:val="24"/>
        </w:rPr>
      </w:pPr>
      <w:r>
        <w:rPr>
          <w:rFonts w:hint="eastAsia" w:ascii="仿宋_GB2312" w:hAnsi="宋体" w:eastAsia="仿宋_GB2312"/>
          <w:sz w:val="24"/>
        </w:rPr>
        <w:t xml:space="preserve">（4）因重大变故，采购任务取消的。   </w:t>
      </w:r>
    </w:p>
    <w:p>
      <w:pPr>
        <w:pStyle w:val="6"/>
        <w:spacing w:before="0" w:after="0" w:line="240" w:lineRule="atLeast"/>
        <w:rPr>
          <w:rFonts w:ascii="仿宋_GB2312" w:hAnsi="宋体" w:eastAsia="仿宋_GB2312"/>
          <w:u w:val="none"/>
        </w:rPr>
      </w:pPr>
      <w:bookmarkStart w:id="166" w:name="_Toc515647786"/>
      <w:bookmarkStart w:id="167" w:name="_Toc16688"/>
      <w:bookmarkStart w:id="168" w:name="_Toc31289"/>
      <w:bookmarkStart w:id="169" w:name="_Toc24972"/>
      <w:bookmarkStart w:id="170" w:name="_Toc520356169"/>
      <w:r>
        <w:rPr>
          <w:rFonts w:ascii="仿宋_GB2312" w:hAnsi="宋体" w:eastAsia="仿宋_GB2312"/>
          <w:u w:val="none"/>
        </w:rPr>
        <w:t>25</w:t>
      </w:r>
      <w:r>
        <w:rPr>
          <w:rFonts w:hint="eastAsia" w:ascii="仿宋_GB2312" w:hAnsi="宋体" w:eastAsia="仿宋_GB2312"/>
          <w:u w:val="none"/>
        </w:rPr>
        <w:t>.保密原则</w:t>
      </w:r>
      <w:bookmarkEnd w:id="166"/>
      <w:bookmarkEnd w:id="167"/>
      <w:bookmarkEnd w:id="168"/>
      <w:bookmarkEnd w:id="169"/>
    </w:p>
    <w:p>
      <w:pPr>
        <w:spacing w:line="240" w:lineRule="atLeast"/>
        <w:ind w:left="900" w:hanging="900" w:hangingChars="375"/>
        <w:rPr>
          <w:rFonts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ascii="仿宋_GB2312" w:hAnsi="宋体" w:eastAsia="仿宋_GB2312"/>
          <w:sz w:val="24"/>
        </w:rPr>
      </w:pPr>
    </w:p>
    <w:p>
      <w:pPr>
        <w:pStyle w:val="5"/>
        <w:spacing w:before="0" w:line="240" w:lineRule="atLeast"/>
        <w:ind w:left="1079" w:leftChars="257" w:hanging="540"/>
        <w:rPr>
          <w:rFonts w:ascii="仿宋_GB2312" w:hAnsi="宋体" w:eastAsia="仿宋_GB2312"/>
          <w:sz w:val="24"/>
        </w:rPr>
      </w:pPr>
      <w:bookmarkStart w:id="171" w:name="_Toc23904"/>
      <w:bookmarkStart w:id="172" w:name="_Toc31292"/>
      <w:bookmarkStart w:id="173" w:name="_Toc515647787"/>
      <w:bookmarkStart w:id="174" w:name="_Toc12143"/>
      <w:bookmarkStart w:id="175" w:name="_Toc216582810"/>
      <w:r>
        <w:rPr>
          <w:rFonts w:hint="eastAsia" w:ascii="仿宋_GB2312" w:hAnsi="宋体" w:eastAsia="仿宋_GB2312"/>
          <w:sz w:val="24"/>
        </w:rPr>
        <w:t xml:space="preserve">六   </w:t>
      </w:r>
      <w:bookmarkEnd w:id="170"/>
      <w:r>
        <w:rPr>
          <w:rFonts w:hint="eastAsia" w:ascii="仿宋_GB2312" w:hAnsi="宋体" w:eastAsia="仿宋_GB2312"/>
          <w:sz w:val="24"/>
        </w:rPr>
        <w:t>确定中标</w:t>
      </w:r>
      <w:bookmarkEnd w:id="171"/>
      <w:bookmarkEnd w:id="172"/>
      <w:bookmarkEnd w:id="173"/>
      <w:bookmarkEnd w:id="174"/>
      <w:bookmarkEnd w:id="175"/>
    </w:p>
    <w:p>
      <w:pPr>
        <w:pStyle w:val="6"/>
        <w:spacing w:before="0" w:after="0" w:line="240" w:lineRule="atLeast"/>
        <w:rPr>
          <w:rFonts w:ascii="仿宋_GB2312" w:hAnsi="宋体" w:eastAsia="仿宋_GB2312"/>
          <w:u w:val="none"/>
        </w:rPr>
      </w:pPr>
      <w:bookmarkStart w:id="176" w:name="_Toc520356170"/>
      <w:bookmarkStart w:id="177" w:name="_Toc515647788"/>
      <w:bookmarkStart w:id="178" w:name="_Ref467307010"/>
      <w:bookmarkStart w:id="179" w:name="_Toc25234"/>
      <w:bookmarkStart w:id="180" w:name="_Toc23617"/>
      <w:bookmarkStart w:id="181" w:name="_Toc23762"/>
      <w:r>
        <w:rPr>
          <w:rFonts w:ascii="仿宋_GB2312" w:hAnsi="宋体" w:eastAsia="仿宋_GB2312"/>
          <w:u w:val="none"/>
        </w:rPr>
        <w:t>26</w:t>
      </w:r>
      <w:r>
        <w:rPr>
          <w:rFonts w:hint="eastAsia" w:ascii="仿宋_GB2312" w:hAnsi="宋体" w:eastAsia="仿宋_GB2312"/>
          <w:u w:val="none"/>
        </w:rPr>
        <w:t>.中标候选人的确定原则及标准</w:t>
      </w:r>
      <w:bookmarkEnd w:id="176"/>
      <w:bookmarkEnd w:id="177"/>
      <w:bookmarkEnd w:id="178"/>
      <w:bookmarkEnd w:id="179"/>
      <w:bookmarkEnd w:id="180"/>
      <w:bookmarkEnd w:id="18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ascii="仿宋_GB2312" w:hAnsi="宋体" w:eastAsia="仿宋_GB2312"/>
          <w:sz w:val="24"/>
        </w:rPr>
      </w:pPr>
      <w:bookmarkStart w:id="182" w:name="_Toc520356171"/>
      <w:bookmarkStart w:id="183" w:name="_Toc515647789"/>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6"/>
        <w:tabs>
          <w:tab w:val="left" w:pos="900"/>
        </w:tabs>
        <w:spacing w:before="0" w:after="0" w:line="240" w:lineRule="atLeast"/>
        <w:rPr>
          <w:rFonts w:ascii="仿宋_GB2312" w:hAnsi="宋体" w:eastAsia="仿宋_GB2312"/>
          <w:u w:val="none"/>
        </w:rPr>
      </w:pPr>
      <w:bookmarkStart w:id="184" w:name="_Toc9653"/>
      <w:bookmarkStart w:id="185" w:name="_Toc10959"/>
      <w:bookmarkStart w:id="186" w:name="_Toc23951"/>
      <w:r>
        <w:rPr>
          <w:rFonts w:ascii="仿宋_GB2312" w:hAnsi="宋体" w:eastAsia="仿宋_GB2312"/>
          <w:u w:val="none"/>
        </w:rPr>
        <w:t>27</w:t>
      </w:r>
      <w:bookmarkEnd w:id="182"/>
      <w:r>
        <w:rPr>
          <w:rFonts w:hint="eastAsia" w:ascii="仿宋_GB2312" w:hAnsi="宋体" w:eastAsia="仿宋_GB2312"/>
          <w:u w:val="none"/>
        </w:rPr>
        <w:t>.确定中标候选人和中标人</w:t>
      </w:r>
      <w:bookmarkEnd w:id="183"/>
      <w:bookmarkEnd w:id="184"/>
      <w:bookmarkEnd w:id="185"/>
      <w:bookmarkEnd w:id="186"/>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6"/>
        <w:tabs>
          <w:tab w:val="left" w:pos="900"/>
        </w:tabs>
        <w:spacing w:before="0" w:after="0" w:line="240" w:lineRule="atLeast"/>
        <w:rPr>
          <w:rFonts w:ascii="仿宋_GB2312" w:hAnsi="宋体" w:eastAsia="仿宋_GB2312"/>
          <w:u w:val="none"/>
        </w:rPr>
      </w:pPr>
      <w:bookmarkStart w:id="187" w:name="_Toc520356173"/>
      <w:bookmarkStart w:id="188" w:name="_Ref467306874"/>
      <w:bookmarkStart w:id="189" w:name="_Toc28562"/>
      <w:bookmarkStart w:id="190" w:name="_Toc8389"/>
      <w:bookmarkStart w:id="191" w:name="_Toc23373"/>
      <w:bookmarkStart w:id="192" w:name="_Toc515647790"/>
      <w:r>
        <w:rPr>
          <w:rFonts w:ascii="仿宋_GB2312" w:hAnsi="宋体" w:eastAsia="仿宋_GB2312"/>
          <w:u w:val="none"/>
        </w:rPr>
        <w:t>28</w:t>
      </w:r>
      <w:r>
        <w:rPr>
          <w:rFonts w:hint="eastAsia" w:ascii="仿宋_GB2312" w:hAnsi="宋体" w:eastAsia="仿宋_GB2312"/>
          <w:u w:val="none"/>
        </w:rPr>
        <w:t>.</w:t>
      </w:r>
      <w:bookmarkEnd w:id="187"/>
      <w:bookmarkEnd w:id="188"/>
      <w:r>
        <w:rPr>
          <w:rFonts w:hint="eastAsia" w:ascii="仿宋_GB2312" w:hAnsi="宋体" w:eastAsia="仿宋_GB2312"/>
          <w:u w:val="none"/>
        </w:rPr>
        <w:t>采购任务取消</w:t>
      </w:r>
      <w:bookmarkEnd w:id="189"/>
      <w:bookmarkEnd w:id="190"/>
      <w:bookmarkEnd w:id="191"/>
      <w:bookmarkEnd w:id="192"/>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93" w:name="_Toc520356174"/>
    </w:p>
    <w:p>
      <w:pPr>
        <w:pStyle w:val="6"/>
        <w:spacing w:before="0" w:after="0" w:line="240" w:lineRule="atLeast"/>
        <w:rPr>
          <w:rFonts w:ascii="仿宋_GB2312" w:hAnsi="宋体" w:eastAsia="仿宋_GB2312"/>
          <w:u w:val="none"/>
        </w:rPr>
      </w:pPr>
      <w:bookmarkStart w:id="194" w:name="_Toc30170"/>
      <w:bookmarkStart w:id="195" w:name="_Toc18277"/>
      <w:bookmarkStart w:id="196" w:name="_Toc31099"/>
      <w:bookmarkStart w:id="197" w:name="_Toc515647791"/>
      <w:r>
        <w:rPr>
          <w:rFonts w:ascii="仿宋_GB2312" w:hAnsi="宋体" w:eastAsia="仿宋_GB2312"/>
          <w:u w:val="none"/>
        </w:rPr>
        <w:t>29</w:t>
      </w:r>
      <w:r>
        <w:rPr>
          <w:rFonts w:hint="eastAsia" w:ascii="仿宋_GB2312" w:hAnsi="宋体" w:eastAsia="仿宋_GB2312"/>
          <w:u w:val="none"/>
        </w:rPr>
        <w:t>.中标通知书</w:t>
      </w:r>
      <w:bookmarkEnd w:id="193"/>
      <w:r>
        <w:rPr>
          <w:rFonts w:hint="eastAsia" w:ascii="仿宋_GB2312" w:hAnsi="宋体" w:eastAsia="仿宋_GB2312"/>
          <w:u w:val="none"/>
        </w:rPr>
        <w:t>和招标结果通知书</w:t>
      </w:r>
      <w:bookmarkEnd w:id="194"/>
      <w:bookmarkEnd w:id="195"/>
      <w:bookmarkEnd w:id="196"/>
      <w:bookmarkEnd w:id="197"/>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29.3    招标结果通知书和中标通知书同时发出。招标结果通知书中将告知未通过资格审查的投标人未通过的原因；采用综合评分法评审的，还将告知未中标人本人的评审得分和排序。</w:t>
      </w:r>
    </w:p>
    <w:p>
      <w:pPr>
        <w:pStyle w:val="6"/>
        <w:spacing w:before="0" w:after="0" w:line="240" w:lineRule="atLeast"/>
        <w:rPr>
          <w:rFonts w:ascii="仿宋_GB2312" w:hAnsi="宋体" w:eastAsia="仿宋_GB2312"/>
          <w:u w:val="none"/>
        </w:rPr>
      </w:pPr>
      <w:bookmarkStart w:id="198" w:name="_Ref467307204"/>
      <w:bookmarkStart w:id="199" w:name="_Toc790"/>
      <w:bookmarkStart w:id="200" w:name="_Ref467307062"/>
      <w:bookmarkStart w:id="201" w:name="_Toc32470"/>
      <w:bookmarkStart w:id="202" w:name="_Ref467306978"/>
      <w:bookmarkStart w:id="203" w:name="_Ref467306377"/>
      <w:bookmarkStart w:id="204" w:name="_Toc515647792"/>
      <w:bookmarkStart w:id="205" w:name="_Toc7779"/>
      <w:bookmarkStart w:id="206" w:name="_Toc520356175"/>
      <w:r>
        <w:rPr>
          <w:rFonts w:ascii="仿宋_GB2312" w:hAnsi="宋体" w:eastAsia="仿宋_GB2312"/>
          <w:u w:val="none"/>
        </w:rPr>
        <w:t>30</w:t>
      </w:r>
      <w:r>
        <w:rPr>
          <w:rFonts w:hint="eastAsia" w:ascii="仿宋_GB2312" w:hAnsi="宋体" w:eastAsia="仿宋_GB2312"/>
          <w:u w:val="none"/>
        </w:rPr>
        <w:t>.签订合同</w:t>
      </w:r>
      <w:bookmarkEnd w:id="198"/>
      <w:bookmarkEnd w:id="199"/>
      <w:bookmarkEnd w:id="200"/>
      <w:bookmarkEnd w:id="201"/>
      <w:bookmarkEnd w:id="202"/>
      <w:bookmarkEnd w:id="203"/>
      <w:bookmarkEnd w:id="204"/>
      <w:bookmarkEnd w:id="205"/>
      <w:bookmarkEnd w:id="206"/>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07" w:name="_Ref467307090"/>
      <w:bookmarkStart w:id="208" w:name="_Toc520356176"/>
      <w:bookmarkStart w:id="209" w:name="_Ref467306425"/>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6"/>
        <w:spacing w:before="0" w:after="0" w:line="240" w:lineRule="atLeast"/>
        <w:rPr>
          <w:rFonts w:ascii="仿宋_GB2312" w:hAnsi="宋体" w:eastAsia="仿宋_GB2312"/>
          <w:u w:val="none"/>
        </w:rPr>
      </w:pPr>
      <w:bookmarkStart w:id="210" w:name="_Toc515647793"/>
      <w:bookmarkStart w:id="211" w:name="_Toc18439"/>
      <w:bookmarkStart w:id="212" w:name="_Toc14080"/>
      <w:bookmarkStart w:id="213" w:name="_Toc22555"/>
      <w:r>
        <w:rPr>
          <w:rFonts w:ascii="仿宋_GB2312" w:hAnsi="宋体" w:eastAsia="仿宋_GB2312"/>
          <w:u w:val="none"/>
        </w:rPr>
        <w:t>31</w:t>
      </w:r>
      <w:r>
        <w:rPr>
          <w:rFonts w:hint="eastAsia" w:ascii="仿宋_GB2312" w:hAnsi="宋体" w:eastAsia="仿宋_GB2312"/>
          <w:u w:val="none"/>
        </w:rPr>
        <w:t>.履约保证金</w:t>
      </w:r>
      <w:bookmarkEnd w:id="207"/>
      <w:bookmarkEnd w:id="208"/>
      <w:bookmarkEnd w:id="209"/>
      <w:bookmarkEnd w:id="210"/>
      <w:bookmarkEnd w:id="211"/>
      <w:bookmarkEnd w:id="212"/>
      <w:bookmarkEnd w:id="213"/>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6"/>
        <w:spacing w:before="0" w:after="0" w:line="240" w:lineRule="atLeast"/>
        <w:rPr>
          <w:rFonts w:ascii="仿宋_GB2312" w:hAnsi="宋体" w:eastAsia="仿宋_GB2312"/>
          <w:u w:val="none"/>
        </w:rPr>
      </w:pPr>
      <w:bookmarkStart w:id="214" w:name="_Toc515647794"/>
      <w:bookmarkStart w:id="215" w:name="_Toc13780"/>
      <w:bookmarkStart w:id="216" w:name="_Toc29408"/>
      <w:bookmarkStart w:id="217" w:name="_Toc3090"/>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14"/>
      <w:bookmarkEnd w:id="215"/>
      <w:bookmarkEnd w:id="216"/>
      <w:bookmarkEnd w:id="217"/>
    </w:p>
    <w:p>
      <w:pPr>
        <w:spacing w:line="240" w:lineRule="atLeast"/>
        <w:ind w:left="840" w:leftChars="200" w:hanging="420" w:hangingChars="175"/>
        <w:rPr>
          <w:rFonts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6"/>
        <w:spacing w:before="0" w:after="0" w:line="240" w:lineRule="atLeast"/>
        <w:rPr>
          <w:rFonts w:ascii="仿宋_GB2312" w:hAnsi="宋体" w:eastAsia="仿宋_GB2312"/>
          <w:u w:val="none"/>
        </w:rPr>
      </w:pPr>
      <w:bookmarkStart w:id="218" w:name="_Toc2174"/>
      <w:bookmarkStart w:id="219" w:name="_Toc515647795"/>
      <w:bookmarkStart w:id="220" w:name="_Toc7049"/>
      <w:bookmarkStart w:id="221" w:name="_Toc6923"/>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18"/>
      <w:bookmarkEnd w:id="219"/>
      <w:bookmarkEnd w:id="220"/>
      <w:bookmarkEnd w:id="22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6"/>
        <w:spacing w:before="0" w:after="0" w:line="240" w:lineRule="atLeast"/>
        <w:rPr>
          <w:rFonts w:ascii="仿宋_GB2312" w:hAnsi="宋体" w:eastAsia="仿宋_GB2312"/>
          <w:u w:val="none"/>
        </w:rPr>
      </w:pPr>
      <w:bookmarkStart w:id="222" w:name="_Toc2133"/>
      <w:bookmarkStart w:id="223" w:name="_Toc23999"/>
      <w:bookmarkStart w:id="224" w:name="_Toc515647796"/>
      <w:bookmarkStart w:id="225" w:name="_Toc5057"/>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22"/>
      <w:bookmarkEnd w:id="223"/>
      <w:bookmarkEnd w:id="224"/>
      <w:bookmarkEnd w:id="225"/>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邮箱，反映采购代理机构的廉洁自律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6"/>
        <w:spacing w:before="0" w:after="0" w:line="240" w:lineRule="atLeast"/>
        <w:rPr>
          <w:rFonts w:ascii="仿宋_GB2312" w:hAnsi="宋体" w:eastAsia="仿宋_GB2312"/>
          <w:u w:val="none"/>
        </w:rPr>
      </w:pPr>
      <w:bookmarkStart w:id="226" w:name="_Toc515647797"/>
      <w:bookmarkStart w:id="227" w:name="_Toc8673"/>
      <w:bookmarkStart w:id="228" w:name="_Toc11586"/>
      <w:bookmarkStart w:id="229" w:name="_Toc25480"/>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6"/>
      <w:bookmarkEnd w:id="227"/>
      <w:bookmarkEnd w:id="228"/>
      <w:bookmarkEnd w:id="229"/>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6"/>
        <w:spacing w:before="0" w:after="0" w:line="240" w:lineRule="atLeast"/>
        <w:rPr>
          <w:rFonts w:ascii="仿宋_GB2312" w:hAnsi="宋体" w:eastAsia="仿宋_GB2312"/>
          <w:u w:val="none"/>
        </w:rPr>
      </w:pPr>
      <w:bookmarkStart w:id="230" w:name="_Toc11115"/>
      <w:bookmarkStart w:id="231" w:name="_Toc1148"/>
      <w:bookmarkStart w:id="232" w:name="_Toc515647798"/>
      <w:bookmarkStart w:id="233" w:name="_Toc31416"/>
      <w:r>
        <w:rPr>
          <w:rFonts w:hint="eastAsia" w:ascii="仿宋_GB2312" w:hAnsi="宋体" w:eastAsia="仿宋_GB2312"/>
          <w:u w:val="none"/>
        </w:rPr>
        <w:t>36.质疑与接收</w:t>
      </w:r>
      <w:bookmarkEnd w:id="230"/>
      <w:bookmarkEnd w:id="231"/>
      <w:bookmarkEnd w:id="232"/>
      <w:bookmarkEnd w:id="233"/>
    </w:p>
    <w:p>
      <w:pPr>
        <w:spacing w:line="240" w:lineRule="atLeast"/>
        <w:ind w:left="850" w:leftChars="68" w:hanging="708" w:hangingChars="295"/>
        <w:rPr>
          <w:rFonts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依法向采购人或其委托的采购代理机构提出质疑。</w:t>
      </w:r>
    </w:p>
    <w:p>
      <w:pPr>
        <w:spacing w:line="240" w:lineRule="atLeast"/>
        <w:ind w:left="850" w:leftChars="68" w:hanging="708" w:hangingChars="295"/>
        <w:rPr>
          <w:rFonts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ascii="仿宋_GB2312" w:hAnsi="宋体" w:eastAsia="仿宋_GB2312"/>
          <w:sz w:val="24"/>
        </w:rPr>
      </w:pPr>
    </w:p>
    <w:p>
      <w:pPr>
        <w:pStyle w:val="5"/>
        <w:spacing w:before="0" w:line="240" w:lineRule="atLeast"/>
        <w:ind w:left="1079" w:leftChars="257" w:hanging="540"/>
        <w:rPr>
          <w:rFonts w:ascii="仿宋_GB2312" w:eastAsia="仿宋_GB2312"/>
          <w:szCs w:val="24"/>
        </w:rPr>
      </w:pPr>
      <w:r>
        <w:rPr>
          <w:rFonts w:ascii="仿宋_GB2312" w:hAnsi="宋体" w:eastAsia="仿宋_GB2312"/>
        </w:rPr>
        <w:br w:type="page"/>
      </w:r>
      <w:bookmarkStart w:id="234" w:name="_Toc28092"/>
      <w:bookmarkStart w:id="235" w:name="_Toc27586"/>
      <w:bookmarkStart w:id="236" w:name="_Toc21748"/>
      <w:bookmarkStart w:id="237" w:name="_Toc16186"/>
      <w:bookmarkStart w:id="238" w:name="_Toc515647799"/>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234"/>
      <w:bookmarkEnd w:id="235"/>
      <w:bookmarkEnd w:id="236"/>
      <w:bookmarkEnd w:id="237"/>
      <w:bookmarkEnd w:id="238"/>
    </w:p>
    <w:p>
      <w:pPr>
        <w:pStyle w:val="14"/>
        <w:spacing w:line="240" w:lineRule="atLeast"/>
        <w:ind w:left="1079" w:leftChars="257" w:hanging="540"/>
        <w:rPr>
          <w:rFonts w:ascii="仿宋_GB2312" w:hAnsi="宋体" w:eastAsia="仿宋_GB2312"/>
          <w:b/>
          <w:sz w:val="24"/>
        </w:rPr>
      </w:pPr>
      <w:r>
        <w:rPr>
          <w:rFonts w:hint="eastAsia" w:ascii="仿宋_GB2312" w:hAnsi="宋体" w:eastAsia="仿宋_GB2312"/>
          <w:b/>
          <w:sz w:val="24"/>
        </w:rPr>
        <w:t xml:space="preserve">                         （中标后开具）</w:t>
      </w:r>
    </w:p>
    <w:p>
      <w:pPr>
        <w:pStyle w:val="14"/>
        <w:spacing w:line="240" w:lineRule="atLeast"/>
        <w:ind w:left="1079" w:leftChars="257" w:hanging="540"/>
        <w:rPr>
          <w:rFonts w:ascii="仿宋_GB2312" w:hAnsi="宋体" w:eastAsia="仿宋_GB2312"/>
          <w:b/>
          <w:sz w:val="24"/>
        </w:rPr>
      </w:pPr>
    </w:p>
    <w:p>
      <w:pPr>
        <w:pStyle w:val="14"/>
        <w:spacing w:line="240" w:lineRule="atLeast"/>
        <w:rPr>
          <w:rFonts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14"/>
        <w:spacing w:line="240" w:lineRule="atLeast"/>
        <w:ind w:left="1079" w:leftChars="257" w:hanging="540"/>
        <w:jc w:val="center"/>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14"/>
        <w:spacing w:line="240" w:lineRule="atLeast"/>
        <w:ind w:left="1079" w:leftChars="257" w:hanging="540"/>
        <w:jc w:val="center"/>
        <w:rPr>
          <w:rFonts w:ascii="仿宋_GB2312" w:hAnsi="宋体" w:eastAsia="仿宋_GB2312"/>
          <w:sz w:val="24"/>
        </w:rPr>
      </w:pPr>
    </w:p>
    <w:p>
      <w:pPr>
        <w:pStyle w:val="14"/>
        <w:spacing w:line="240" w:lineRule="atLeast"/>
        <w:ind w:firstLine="600" w:firstLineChars="250"/>
        <w:rPr>
          <w:rFonts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货物名称</w:t>
      </w:r>
      <w:r>
        <w:rPr>
          <w:rFonts w:hint="eastAsia" w:ascii="仿宋_GB2312" w:hAnsi="宋体" w:eastAsia="仿宋_GB2312"/>
          <w:sz w:val="24"/>
        </w:rPr>
        <w:t>)(以下简称货物)签订的(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14"/>
        <w:spacing w:line="240" w:lineRule="atLeast"/>
        <w:ind w:firstLine="540" w:firstLineChars="225"/>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14"/>
        <w:spacing w:line="240" w:lineRule="atLeast"/>
        <w:ind w:left="539" w:leftChars="257"/>
        <w:rPr>
          <w:rFonts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4"/>
        <w:spacing w:line="240" w:lineRule="atLeast"/>
        <w:ind w:left="540"/>
        <w:rPr>
          <w:rFonts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14"/>
        <w:spacing w:line="240" w:lineRule="atLeast"/>
        <w:ind w:left="540"/>
        <w:rPr>
          <w:rFonts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4"/>
        <w:spacing w:line="240" w:lineRule="atLeast"/>
        <w:ind w:left="1079" w:leftChars="257" w:hanging="540"/>
        <w:rPr>
          <w:rFonts w:ascii="仿宋_GB2312" w:hAnsi="宋体" w:eastAsia="仿宋_GB2312"/>
          <w:sz w:val="24"/>
        </w:rPr>
      </w:pPr>
      <w:r>
        <w:rPr>
          <w:rFonts w:hint="eastAsia" w:ascii="仿宋_GB2312" w:hAnsi="宋体" w:eastAsia="仿宋_GB2312"/>
          <w:sz w:val="24"/>
        </w:rPr>
        <w:t>4.本保函在本合同规定的保证期期满前完全有效。</w:t>
      </w:r>
    </w:p>
    <w:p>
      <w:pPr>
        <w:pStyle w:val="14"/>
        <w:spacing w:line="240" w:lineRule="atLeast"/>
        <w:ind w:left="1079" w:leftChars="257" w:hanging="540"/>
        <w:rPr>
          <w:rFonts w:ascii="仿宋_GB2312" w:hAnsi="宋体" w:eastAsia="仿宋_GB2312"/>
          <w:sz w:val="24"/>
        </w:rPr>
      </w:pPr>
    </w:p>
    <w:p>
      <w:pPr>
        <w:pStyle w:val="14"/>
        <w:spacing w:line="240" w:lineRule="atLeast"/>
        <w:ind w:left="1079" w:leftChars="257" w:hanging="540"/>
        <w:rPr>
          <w:rFonts w:ascii="仿宋_GB2312" w:hAnsi="宋体" w:eastAsia="仿宋_GB2312"/>
          <w:sz w:val="24"/>
        </w:rPr>
      </w:pPr>
      <w:r>
        <w:rPr>
          <w:rFonts w:hint="eastAsia" w:ascii="仿宋_GB2312" w:hAnsi="宋体" w:eastAsia="仿宋_GB2312"/>
          <w:sz w:val="24"/>
        </w:rPr>
        <w:t>谨启</w:t>
      </w:r>
    </w:p>
    <w:p>
      <w:pPr>
        <w:pStyle w:val="14"/>
        <w:spacing w:line="240" w:lineRule="atLeast"/>
        <w:ind w:left="1079" w:leftChars="257" w:hanging="540"/>
        <w:rPr>
          <w:rFonts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14"/>
        <w:spacing w:line="240" w:lineRule="atLeast"/>
        <w:ind w:left="1079" w:leftChars="257" w:hanging="540"/>
        <w:rPr>
          <w:rFonts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14"/>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14"/>
        <w:spacing w:line="240" w:lineRule="atLeast"/>
        <w:ind w:left="1079" w:leftChars="257" w:hanging="540"/>
        <w:rPr>
          <w:rFonts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5"/>
        <w:spacing w:before="0" w:line="240" w:lineRule="atLeast"/>
        <w:ind w:left="1079" w:leftChars="257" w:hanging="540"/>
        <w:rPr>
          <w:rFonts w:ascii="仿宋_GB2312" w:eastAsia="仿宋_GB2312"/>
          <w:szCs w:val="24"/>
        </w:rPr>
      </w:pPr>
      <w:r>
        <w:rPr>
          <w:rFonts w:ascii="仿宋_GB2312" w:eastAsia="仿宋_GB2312"/>
        </w:rPr>
        <w:br w:type="page"/>
      </w:r>
      <w:bookmarkStart w:id="239" w:name="_Toc18057"/>
      <w:bookmarkStart w:id="240" w:name="_Toc515647800"/>
      <w:bookmarkStart w:id="241" w:name="_Toc10951"/>
      <w:bookmarkStart w:id="242" w:name="_Toc6548"/>
      <w:bookmarkStart w:id="243" w:name="_Toc26753"/>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239"/>
      <w:bookmarkEnd w:id="240"/>
      <w:bookmarkEnd w:id="241"/>
      <w:bookmarkEnd w:id="242"/>
      <w:bookmarkEnd w:id="243"/>
    </w:p>
    <w:p>
      <w:pPr>
        <w:pStyle w:val="5"/>
        <w:spacing w:before="0" w:line="240" w:lineRule="atLeast"/>
        <w:ind w:left="1079" w:leftChars="257" w:hanging="540"/>
        <w:rPr>
          <w:rFonts w:ascii="仿宋_GB2312" w:eastAsia="仿宋_GB2312"/>
          <w:b w:val="0"/>
        </w:rPr>
      </w:pPr>
      <w:bookmarkStart w:id="244" w:name="_Toc26441"/>
      <w:bookmarkStart w:id="245" w:name="_Toc515647801"/>
      <w:bookmarkStart w:id="246" w:name="_Toc19140"/>
      <w:bookmarkStart w:id="247" w:name="_Toc13962"/>
      <w:bookmarkStart w:id="248" w:name="_Toc162"/>
      <w:r>
        <w:rPr>
          <w:rFonts w:hint="eastAsia" w:ascii="仿宋_GB2312" w:eastAsia="仿宋_GB2312"/>
          <w:szCs w:val="24"/>
        </w:rPr>
        <w:t>（采用政府采购信用担保形式时</w:t>
      </w:r>
      <w:r>
        <w:rPr>
          <w:rFonts w:ascii="仿宋_GB2312" w:eastAsia="仿宋_GB2312"/>
          <w:szCs w:val="24"/>
        </w:rPr>
        <w:t>使用）</w:t>
      </w:r>
      <w:bookmarkEnd w:id="244"/>
      <w:bookmarkEnd w:id="245"/>
      <w:bookmarkEnd w:id="246"/>
      <w:bookmarkEnd w:id="247"/>
      <w:bookmarkEnd w:id="248"/>
    </w:p>
    <w:p>
      <w:pPr>
        <w:spacing w:line="240" w:lineRule="atLeast"/>
        <w:ind w:left="1079" w:leftChars="257" w:hanging="540"/>
        <w:rPr>
          <w:rFonts w:ascii="仿宋_GB2312" w:hAnsi="Arial" w:eastAsia="仿宋_GB2312"/>
          <w:b/>
          <w:kern w:val="0"/>
          <w:sz w:val="24"/>
          <w:szCs w:val="20"/>
        </w:rPr>
      </w:pPr>
    </w:p>
    <w:p>
      <w:pPr>
        <w:jc w:val="center"/>
        <w:rPr>
          <w:rFonts w:ascii="仿宋" w:hAnsi="仿宋" w:eastAsia="仿宋"/>
          <w:sz w:val="24"/>
        </w:rPr>
      </w:pPr>
      <w:r>
        <w:rPr>
          <w:rFonts w:hint="eastAsia" w:ascii="仿宋" w:hAnsi="仿宋" w:eastAsia="仿宋"/>
          <w:sz w:val="24"/>
        </w:rPr>
        <w:t>政府采购履约担保函（项目用）</w:t>
      </w:r>
    </w:p>
    <w:p>
      <w:pPr>
        <w:rPr>
          <w:rFonts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sz w:val="24"/>
        </w:rPr>
      </w:pPr>
      <w:r>
        <w:rPr>
          <w:rFonts w:hint="eastAsia" w:ascii="仿宋" w:hAnsi="仿宋" w:eastAsia="仿宋"/>
          <w:sz w:val="24"/>
        </w:rPr>
        <w:t>一、保证责任的情形及保证金额</w:t>
      </w:r>
    </w:p>
    <w:p>
      <w:pPr>
        <w:ind w:firstLine="480" w:firstLineChars="200"/>
        <w:rPr>
          <w:rFonts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ascii="仿宋" w:hAnsi="仿宋" w:eastAsia="仿宋"/>
          <w:sz w:val="24"/>
        </w:rPr>
      </w:pPr>
      <w:r>
        <w:rPr>
          <w:rFonts w:hint="eastAsia" w:ascii="仿宋" w:hAnsi="仿宋" w:eastAsia="仿宋"/>
          <w:sz w:val="24"/>
        </w:rPr>
        <w:t>二、保证的方式及保证期间</w:t>
      </w:r>
    </w:p>
    <w:p>
      <w:pPr>
        <w:ind w:firstLine="480" w:firstLineChars="200"/>
        <w:rPr>
          <w:rFonts w:ascii="仿宋" w:hAnsi="仿宋" w:eastAsia="仿宋"/>
          <w:sz w:val="24"/>
        </w:rPr>
      </w:pPr>
      <w:r>
        <w:rPr>
          <w:rFonts w:hint="eastAsia" w:ascii="仿宋" w:hAnsi="仿宋" w:eastAsia="仿宋"/>
          <w:sz w:val="24"/>
        </w:rPr>
        <w:t>我方保证的方式为：连带责任保证。</w:t>
      </w:r>
    </w:p>
    <w:p>
      <w:pPr>
        <w:ind w:firstLine="480" w:firstLineChars="200"/>
        <w:rPr>
          <w:rFonts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ascii="仿宋" w:hAnsi="仿宋" w:eastAsia="仿宋"/>
          <w:sz w:val="24"/>
        </w:rPr>
      </w:pPr>
      <w:r>
        <w:rPr>
          <w:rFonts w:hint="eastAsia" w:ascii="仿宋" w:hAnsi="仿宋" w:eastAsia="仿宋"/>
          <w:sz w:val="24"/>
        </w:rPr>
        <w:t>三、承担保证责任的程序</w:t>
      </w:r>
    </w:p>
    <w:p>
      <w:pPr>
        <w:ind w:firstLine="480" w:firstLineChars="200"/>
        <w:rPr>
          <w:rFonts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ascii="仿宋" w:hAnsi="仿宋" w:eastAsia="仿宋"/>
          <w:sz w:val="24"/>
        </w:rPr>
      </w:pPr>
      <w:r>
        <w:rPr>
          <w:rFonts w:hint="eastAsia" w:ascii="仿宋" w:hAnsi="仿宋" w:eastAsia="仿宋"/>
          <w:sz w:val="24"/>
        </w:rPr>
        <w:t>四、保证责任的终止</w:t>
      </w:r>
    </w:p>
    <w:p>
      <w:pPr>
        <w:ind w:firstLine="480" w:firstLineChars="200"/>
        <w:rPr>
          <w:rFonts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sz w:val="24"/>
        </w:rPr>
      </w:pPr>
      <w:r>
        <w:rPr>
          <w:rFonts w:hint="eastAsia" w:ascii="仿宋" w:hAnsi="仿宋" w:eastAsia="仿宋"/>
          <w:sz w:val="24"/>
        </w:rPr>
        <w:t>五、免责条款</w:t>
      </w:r>
    </w:p>
    <w:p>
      <w:pPr>
        <w:ind w:firstLine="480" w:firstLineChars="200"/>
        <w:rPr>
          <w:rFonts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ascii="仿宋" w:hAnsi="仿宋" w:eastAsia="仿宋"/>
          <w:sz w:val="24"/>
        </w:rPr>
      </w:pPr>
      <w:r>
        <w:rPr>
          <w:rFonts w:hint="eastAsia" w:ascii="仿宋" w:hAnsi="仿宋" w:eastAsia="仿宋"/>
          <w:sz w:val="24"/>
        </w:rPr>
        <w:t>六、争议的解决</w:t>
      </w:r>
    </w:p>
    <w:p>
      <w:pPr>
        <w:ind w:firstLine="480" w:firstLineChars="200"/>
        <w:rPr>
          <w:rFonts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ascii="仿宋" w:hAnsi="仿宋" w:eastAsia="仿宋"/>
          <w:sz w:val="24"/>
        </w:rPr>
      </w:pPr>
      <w:r>
        <w:rPr>
          <w:rFonts w:hint="eastAsia" w:ascii="仿宋" w:hAnsi="仿宋" w:eastAsia="仿宋"/>
          <w:sz w:val="24"/>
        </w:rPr>
        <w:t>七、保函的生效</w:t>
      </w:r>
    </w:p>
    <w:p>
      <w:pPr>
        <w:ind w:firstLine="480" w:firstLineChars="200"/>
        <w:rPr>
          <w:rFonts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ascii="仿宋" w:hAnsi="仿宋" w:eastAsia="仿宋"/>
          <w:sz w:val="24"/>
        </w:rPr>
      </w:pPr>
      <w:r>
        <w:rPr>
          <w:rFonts w:hint="eastAsia" w:ascii="仿宋" w:hAnsi="仿宋" w:eastAsia="仿宋"/>
          <w:sz w:val="24"/>
        </w:rPr>
        <w:t xml:space="preserve">                                                   年     月      日</w:t>
      </w:r>
    </w:p>
    <w:p>
      <w:pPr>
        <w:pStyle w:val="8"/>
        <w:spacing w:line="240" w:lineRule="atLeast"/>
        <w:ind w:firstLine="0"/>
        <w:rPr>
          <w:rFonts w:ascii="仿宋_GB2312" w:hAnsi="宋体" w:eastAsia="仿宋_GB2312"/>
          <w:kern w:val="2"/>
          <w:szCs w:val="24"/>
        </w:rPr>
      </w:pPr>
      <w:r>
        <w:rPr>
          <w:rFonts w:ascii="仿宋_GB2312" w:hAnsi="Arial" w:eastAsia="仿宋_GB2312"/>
          <w:b/>
        </w:rPr>
        <w:br w:type="page"/>
      </w:r>
    </w:p>
    <w:p>
      <w:pPr>
        <w:pStyle w:val="4"/>
        <w:numPr>
          <w:ilvl w:val="0"/>
          <w:numId w:val="2"/>
        </w:numPr>
        <w:tabs>
          <w:tab w:val="clear" w:pos="3134"/>
        </w:tabs>
        <w:spacing w:before="0" w:after="0" w:line="240" w:lineRule="atLeast"/>
        <w:ind w:left="0" w:firstLine="0"/>
        <w:rPr>
          <w:rFonts w:ascii="仿宋_GB2312" w:eastAsia="仿宋_GB2312"/>
        </w:rPr>
      </w:pPr>
      <w:bookmarkStart w:id="249" w:name="_Toc216582812"/>
      <w:bookmarkStart w:id="250" w:name="_Toc702"/>
      <w:bookmarkStart w:id="251" w:name="_Toc728"/>
      <w:bookmarkStart w:id="252" w:name="_Toc387"/>
      <w:bookmarkStart w:id="253" w:name="_Toc515647802"/>
      <w:r>
        <w:rPr>
          <w:rFonts w:hint="eastAsia" w:ascii="仿宋_GB2312" w:eastAsia="仿宋_GB2312"/>
        </w:rPr>
        <w:t>投标文件格式</w:t>
      </w:r>
      <w:bookmarkEnd w:id="249"/>
      <w:bookmarkEnd w:id="250"/>
      <w:bookmarkEnd w:id="251"/>
      <w:bookmarkEnd w:id="252"/>
      <w:bookmarkEnd w:id="253"/>
    </w:p>
    <w:p>
      <w:pPr>
        <w:spacing w:line="240" w:lineRule="atLeast"/>
        <w:ind w:left="735" w:leftChars="350" w:firstLine="120" w:firstLineChars="50"/>
        <w:rPr>
          <w:rFonts w:ascii="仿宋_GB2312" w:hAnsi="宋体" w:eastAsia="仿宋_GB2312"/>
          <w:sz w:val="24"/>
        </w:rPr>
      </w:pPr>
    </w:p>
    <w:p>
      <w:pPr>
        <w:pStyle w:val="5"/>
        <w:spacing w:before="0" w:line="240" w:lineRule="atLeast"/>
        <w:ind w:left="1079" w:leftChars="257" w:hanging="540"/>
        <w:rPr>
          <w:rFonts w:ascii="仿宋_GB2312" w:hAnsi="宋体" w:eastAsia="仿宋_GB2312"/>
          <w:sz w:val="24"/>
        </w:rPr>
      </w:pPr>
      <w:bookmarkStart w:id="254" w:name="_Toc515647803"/>
      <w:bookmarkStart w:id="255" w:name="_Toc18694"/>
      <w:bookmarkStart w:id="256" w:name="_Toc18538"/>
      <w:bookmarkStart w:id="257" w:name="_Toc18974"/>
      <w:bookmarkStart w:id="258" w:name="_Toc913"/>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254"/>
      <w:bookmarkEnd w:id="255"/>
      <w:bookmarkEnd w:id="256"/>
      <w:bookmarkEnd w:id="257"/>
      <w:bookmarkEnd w:id="258"/>
    </w:p>
    <w:p>
      <w:pPr>
        <w:spacing w:line="240" w:lineRule="atLeast"/>
        <w:ind w:left="708" w:hanging="708" w:hangingChars="295"/>
        <w:jc w:val="center"/>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bookmarkStart w:id="259" w:name="_Ref467988698"/>
      <w:bookmarkStart w:id="260" w:name="_Toc480942349"/>
      <w:bookmarkStart w:id="261" w:name="_Toc520356217"/>
      <w:bookmarkStart w:id="262" w:name="_Toc216582813"/>
      <w:r>
        <w:rPr>
          <w:rFonts w:hint="eastAsia" w:ascii="仿宋_GB2312" w:hAnsi="宋体" w:eastAsia="仿宋_GB2312"/>
          <w:sz w:val="24"/>
        </w:rPr>
        <w:t>1.开标一览表；</w:t>
      </w:r>
    </w:p>
    <w:p>
      <w:pPr>
        <w:tabs>
          <w:tab w:val="left" w:pos="5580"/>
        </w:tabs>
        <w:spacing w:line="240" w:lineRule="atLeast"/>
        <w:ind w:left="1" w:firstLine="564" w:firstLineChars="235"/>
        <w:rPr>
          <w:rFonts w:ascii="仿宋_GB2312" w:hAnsi="宋体" w:eastAsia="仿宋_GB2312"/>
          <w:sz w:val="24"/>
        </w:rPr>
      </w:pPr>
      <w:r>
        <w:rPr>
          <w:rFonts w:hint="eastAsia" w:ascii="仿宋_GB2312" w:hAnsi="宋体" w:eastAsia="仿宋_GB2312"/>
          <w:sz w:val="24"/>
        </w:rPr>
        <w:t>2.符合《中华人民共和国政府采购法》第二十二条的规定,且必须为未被列入“信用中国”（http://www.creditchina.gov.cn）、中国政府采购网（http://www.ccgp.gov.cn）等有不良行为记录的（尚在处罚期内的），将拒绝其参加本次政府采购活动，需提供相关网站打印件（加盖投标单位公章）（必须为完整版，如不提供完整版，视为投标无效）；</w:t>
      </w:r>
    </w:p>
    <w:p>
      <w:pPr>
        <w:tabs>
          <w:tab w:val="left" w:pos="5580"/>
        </w:tabs>
        <w:spacing w:line="240" w:lineRule="atLeast"/>
        <w:ind w:left="1" w:firstLine="564" w:firstLineChars="235"/>
        <w:rPr>
          <w:rFonts w:ascii="仿宋_GB2312" w:hAnsi="宋体" w:eastAsia="仿宋_GB2312"/>
          <w:sz w:val="24"/>
        </w:rPr>
      </w:pPr>
      <w:r>
        <w:rPr>
          <w:rFonts w:hint="eastAsia" w:ascii="仿宋_GB2312" w:hAnsi="宋体" w:eastAsia="仿宋_GB2312"/>
          <w:sz w:val="24"/>
        </w:rPr>
        <w:t>3.法人或其他组织的合法有效的三证合一营业执照</w:t>
      </w:r>
      <w:r>
        <w:rPr>
          <w:rFonts w:hint="eastAsia" w:ascii="仿宋" w:hAnsi="仿宋" w:eastAsia="仿宋" w:cs="仿宋"/>
        </w:rPr>
        <w:t>扫描件加盖公章</w:t>
      </w:r>
      <w:r>
        <w:rPr>
          <w:rFonts w:hint="eastAsia" w:ascii="仿宋_GB2312" w:hAnsi="宋体" w:eastAsia="仿宋_GB2312"/>
          <w:sz w:val="24"/>
        </w:rPr>
        <w:t>；</w:t>
      </w:r>
    </w:p>
    <w:p>
      <w:pPr>
        <w:tabs>
          <w:tab w:val="left" w:pos="5580"/>
        </w:tabs>
        <w:spacing w:line="240" w:lineRule="atLeast"/>
        <w:ind w:left="1" w:firstLine="564" w:firstLineChars="235"/>
        <w:rPr>
          <w:rFonts w:ascii="仿宋_GB2312" w:hAnsi="宋体" w:eastAsia="仿宋_GB2312"/>
          <w:sz w:val="24"/>
        </w:rPr>
      </w:pPr>
      <w:r>
        <w:rPr>
          <w:rFonts w:hint="eastAsia" w:ascii="仿宋_GB2312" w:hAnsi="宋体" w:eastAsia="仿宋_GB2312"/>
          <w:sz w:val="24"/>
        </w:rPr>
        <w:t>4.法人本人投标的提供法人身份证明及身份证，被授权委托人需提供法人授权委托书及身份证；</w:t>
      </w:r>
    </w:p>
    <w:p>
      <w:pPr>
        <w:tabs>
          <w:tab w:val="left" w:pos="5580"/>
        </w:tabs>
        <w:spacing w:line="240" w:lineRule="atLeast"/>
        <w:ind w:left="1" w:firstLine="564" w:firstLineChars="235"/>
        <w:rPr>
          <w:rFonts w:ascii="仿宋_GB2312" w:hAnsi="宋体" w:eastAsia="仿宋_GB2312"/>
          <w:sz w:val="24"/>
        </w:rPr>
      </w:pPr>
      <w:r>
        <w:rPr>
          <w:rFonts w:hint="eastAsia" w:ascii="仿宋_GB2312" w:hAnsi="宋体" w:eastAsia="仿宋_GB2312"/>
          <w:sz w:val="24"/>
        </w:rPr>
        <w:t>5.社保部门出具的供应商单位缴纳的近6个月中任意1个月社保证明缴费凭证；</w:t>
      </w:r>
    </w:p>
    <w:p>
      <w:pPr>
        <w:tabs>
          <w:tab w:val="left" w:pos="5580"/>
        </w:tabs>
        <w:spacing w:line="240" w:lineRule="atLeast"/>
        <w:ind w:left="1" w:firstLine="564" w:firstLineChars="235"/>
        <w:rPr>
          <w:rFonts w:ascii="仿宋_GB2312" w:hAnsi="宋体" w:eastAsia="仿宋_GB2312"/>
          <w:sz w:val="24"/>
        </w:rPr>
      </w:pPr>
      <w:r>
        <w:rPr>
          <w:rFonts w:hint="eastAsia" w:ascii="仿宋_GB2312" w:hAnsi="宋体" w:eastAsia="仿宋_GB2312"/>
          <w:sz w:val="24"/>
        </w:rPr>
        <w:t>6.具有税务局开具依法缴纳近6个月中任意1个月税收证明的良好记录（完税证明），依法免缴的应提供依法免缴的相关证明文件或零申报报表；</w:t>
      </w:r>
    </w:p>
    <w:p>
      <w:pPr>
        <w:tabs>
          <w:tab w:val="left" w:pos="5580"/>
        </w:tabs>
        <w:spacing w:line="240" w:lineRule="atLeast"/>
        <w:ind w:left="1" w:firstLine="564" w:firstLineChars="235"/>
        <w:rPr>
          <w:rFonts w:ascii="仿宋_GB2312" w:hAnsi="宋体" w:eastAsia="仿宋_GB2312"/>
          <w:sz w:val="24"/>
        </w:rPr>
      </w:pPr>
      <w:r>
        <w:rPr>
          <w:rFonts w:hint="eastAsia" w:ascii="仿宋_GB2312" w:hAnsi="宋体" w:eastAsia="仿宋_GB2312"/>
          <w:sz w:val="24"/>
        </w:rPr>
        <w:t>7.提供2021年或2022年度的财务审计报告（新成立公司需提供银行资信证明）；</w:t>
      </w:r>
    </w:p>
    <w:p>
      <w:pPr>
        <w:tabs>
          <w:tab w:val="left" w:pos="5580"/>
        </w:tabs>
        <w:spacing w:line="240" w:lineRule="atLeast"/>
        <w:ind w:left="1" w:firstLine="564" w:firstLineChars="235"/>
        <w:rPr>
          <w:rFonts w:ascii="仿宋_GB2312" w:hAnsi="宋体" w:eastAsia="仿宋_GB2312"/>
          <w:sz w:val="24"/>
        </w:rPr>
      </w:pPr>
      <w:r>
        <w:rPr>
          <w:rFonts w:hint="eastAsia" w:ascii="仿宋_GB2312" w:hAnsi="宋体" w:eastAsia="仿宋_GB2312"/>
          <w:sz w:val="24"/>
        </w:rPr>
        <w:t>8.参加政府采购活动前3年内在经营活动中没有重大违法记录的书面声明；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hint="eastAsia" w:ascii="仿宋_GB2312" w:hAnsi="宋体" w:eastAsia="仿宋_GB2312"/>
          <w:sz w:val="24"/>
        </w:rPr>
        <w:t>9.提供针对本次项目的反商业贿赂承诺书；</w:t>
      </w:r>
    </w:p>
    <w:p>
      <w:pPr>
        <w:tabs>
          <w:tab w:val="left" w:pos="5580"/>
        </w:tabs>
        <w:spacing w:line="240" w:lineRule="atLeast"/>
        <w:ind w:left="1" w:firstLine="564" w:firstLineChars="235"/>
        <w:rPr>
          <w:rFonts w:ascii="仿宋_GB2312" w:hAnsi="宋体" w:eastAsia="仿宋_GB2312"/>
          <w:sz w:val="24"/>
        </w:rPr>
      </w:pPr>
      <w:r>
        <w:rPr>
          <w:rFonts w:hint="eastAsia" w:ascii="仿宋_GB2312" w:hAnsi="宋体" w:eastAsia="仿宋_GB2312"/>
          <w:sz w:val="24"/>
        </w:rPr>
        <w:t>10.保证金银行缴款凭证；</w:t>
      </w:r>
    </w:p>
    <w:p>
      <w:pPr>
        <w:tabs>
          <w:tab w:val="left" w:pos="5580"/>
        </w:tabs>
        <w:spacing w:line="240" w:lineRule="atLeast"/>
        <w:ind w:left="1" w:firstLine="564" w:firstLineChars="235"/>
        <w:rPr>
          <w:rFonts w:ascii="仿宋_GB2312" w:hAnsi="宋体" w:eastAsia="仿宋_GB2312"/>
          <w:sz w:val="24"/>
        </w:rPr>
      </w:pPr>
      <w:r>
        <w:rPr>
          <w:rFonts w:hint="eastAsia" w:ascii="仿宋_GB2312" w:hAnsi="宋体" w:eastAsia="仿宋_GB2312"/>
          <w:sz w:val="24"/>
        </w:rPr>
        <w:t>11.供应商可提供有利于投标的其他资格证明材料；</w:t>
      </w:r>
    </w:p>
    <w:p>
      <w:pPr>
        <w:pStyle w:val="8"/>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rPr>
          <w:rFonts w:ascii="仿宋_GB2312" w:hAnsi="宋体" w:eastAsia="仿宋_GB2312"/>
          <w:sz w:val="24"/>
        </w:rPr>
      </w:pPr>
      <w:r>
        <w:rPr>
          <w:rFonts w:ascii="仿宋_GB2312" w:hAnsi="宋体" w:eastAsia="仿宋_GB2312"/>
          <w:sz w:val="24"/>
        </w:rPr>
        <w:br w:type="page"/>
      </w:r>
    </w:p>
    <w:p>
      <w:pPr>
        <w:pStyle w:val="5"/>
        <w:spacing w:before="0" w:line="240" w:lineRule="atLeast"/>
        <w:ind w:left="1079" w:leftChars="257" w:hanging="540"/>
        <w:rPr>
          <w:rFonts w:ascii="仿宋_GB2312" w:hAnsi="宋体" w:eastAsia="仿宋_GB2312"/>
          <w:sz w:val="24"/>
        </w:rPr>
      </w:pPr>
      <w:bookmarkStart w:id="263" w:name="_Toc5903"/>
      <w:bookmarkStart w:id="264" w:name="_Toc515647804"/>
      <w:bookmarkStart w:id="265" w:name="_Toc30524"/>
      <w:bookmarkStart w:id="266" w:name="_Toc19687"/>
      <w:bookmarkStart w:id="267" w:name="_Toc30883"/>
      <w:bookmarkStart w:id="268" w:name="_Toc16568"/>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263"/>
      <w:bookmarkEnd w:id="264"/>
      <w:bookmarkEnd w:id="265"/>
      <w:bookmarkEnd w:id="266"/>
      <w:bookmarkEnd w:id="267"/>
      <w:bookmarkEnd w:id="268"/>
    </w:p>
    <w:p>
      <w:pPr>
        <w:pStyle w:val="14"/>
        <w:tabs>
          <w:tab w:val="left" w:pos="5580"/>
        </w:tabs>
        <w:spacing w:line="240" w:lineRule="atLeast"/>
        <w:ind w:left="268" w:leftChars="128"/>
        <w:rPr>
          <w:rFonts w:ascii="仿宋_GB2312" w:hAnsi="宋体" w:eastAsia="仿宋_GB2312"/>
          <w:sz w:val="24"/>
        </w:rPr>
      </w:pPr>
    </w:p>
    <w:p>
      <w:pPr>
        <w:pStyle w:val="14"/>
        <w:tabs>
          <w:tab w:val="left" w:pos="5580"/>
        </w:tabs>
        <w:spacing w:line="240" w:lineRule="atLeast"/>
        <w:ind w:left="268" w:leftChars="128"/>
        <w:rPr>
          <w:rFonts w:ascii="仿宋_GB2312" w:hAnsi="宋体" w:eastAsia="仿宋_GB2312"/>
          <w:sz w:val="24"/>
          <w:szCs w:val="24"/>
        </w:rPr>
      </w:pPr>
    </w:p>
    <w:p>
      <w:pPr>
        <w:pStyle w:val="8"/>
        <w:tabs>
          <w:tab w:val="left" w:pos="5580"/>
        </w:tabs>
        <w:spacing w:line="240" w:lineRule="atLeast"/>
        <w:ind w:left="1079" w:leftChars="257" w:hanging="540"/>
        <w:jc w:val="center"/>
        <w:rPr>
          <w:rFonts w:ascii="仿宋_GB2312" w:hAnsi="宋体" w:eastAsia="仿宋_GB2312"/>
          <w:b/>
        </w:rPr>
      </w:pPr>
      <w:bookmarkStart w:id="269" w:name="_Hlt520356241"/>
      <w:bookmarkEnd w:id="269"/>
      <w:bookmarkStart w:id="270" w:name="_Toc494296984"/>
      <w:r>
        <w:rPr>
          <w:rFonts w:hint="eastAsia" w:ascii="仿宋_GB2312" w:hAnsi="宋体" w:eastAsia="仿宋_GB2312"/>
          <w:b/>
        </w:rPr>
        <w:t>开标一览表</w:t>
      </w:r>
      <w:bookmarkEnd w:id="270"/>
      <w:r>
        <w:rPr>
          <w:rFonts w:hint="eastAsia" w:ascii="仿宋_GB2312" w:hAnsi="宋体" w:eastAsia="仿宋_GB2312"/>
          <w:b/>
        </w:rPr>
        <w:cr/>
      </w:r>
    </w:p>
    <w:p>
      <w:pPr>
        <w:pStyle w:val="8"/>
        <w:tabs>
          <w:tab w:val="left" w:pos="5580"/>
        </w:tabs>
        <w:spacing w:line="240" w:lineRule="atLeast"/>
        <w:ind w:left="1079" w:leftChars="257" w:hanging="540"/>
        <w:rPr>
          <w:rFonts w:ascii="仿宋_GB2312" w:hAnsi="宋体" w:eastAsia="仿宋_GB2312"/>
        </w:rPr>
      </w:pPr>
    </w:p>
    <w:p>
      <w:pPr>
        <w:tabs>
          <w:tab w:val="left" w:pos="1800"/>
          <w:tab w:val="left" w:pos="5580"/>
        </w:tabs>
        <w:spacing w:line="240" w:lineRule="atLeast"/>
        <w:ind w:right="-867" w:rightChars="-413"/>
        <w:rPr>
          <w:rFonts w:ascii="仿宋_GB2312" w:hAnsi="宋体" w:eastAsia="仿宋_GB2312"/>
          <w:sz w:val="24"/>
        </w:rPr>
      </w:pPr>
      <w:r>
        <w:rPr>
          <w:rFonts w:hint="eastAsia" w:ascii="仿宋_GB2312" w:hAnsi="宋体" w:eastAsia="仿宋_GB2312"/>
          <w:sz w:val="24"/>
        </w:rPr>
        <w:t>项目名称：　              招标编号：           报价单位：人民币</w:t>
      </w:r>
      <w:r>
        <w:rPr>
          <w:rFonts w:hint="eastAsia" w:ascii="仿宋_GB2312" w:hAnsi="宋体" w:eastAsia="仿宋_GB2312"/>
          <w:b/>
          <w:sz w:val="24"/>
        </w:rPr>
        <w:t xml:space="preserve">    元</w:t>
      </w:r>
    </w:p>
    <w:tbl>
      <w:tblPr>
        <w:tblStyle w:val="28"/>
        <w:tblW w:w="0" w:type="auto"/>
        <w:tblInd w:w="5" w:type="dxa"/>
        <w:tblLayout w:type="fixed"/>
        <w:tblCellMar>
          <w:top w:w="0" w:type="dxa"/>
          <w:left w:w="0" w:type="dxa"/>
          <w:bottom w:w="0" w:type="dxa"/>
          <w:right w:w="0" w:type="dxa"/>
        </w:tblCellMar>
      </w:tblPr>
      <w:tblGrid>
        <w:gridCol w:w="1294"/>
        <w:gridCol w:w="2133"/>
        <w:gridCol w:w="1644"/>
        <w:gridCol w:w="1315"/>
        <w:gridCol w:w="925"/>
        <w:gridCol w:w="1028"/>
      </w:tblGrid>
      <w:tr>
        <w:tblPrEx>
          <w:tblCellMar>
            <w:top w:w="0" w:type="dxa"/>
            <w:left w:w="0" w:type="dxa"/>
            <w:bottom w:w="0" w:type="dxa"/>
            <w:right w:w="0" w:type="dxa"/>
          </w:tblCellMar>
        </w:tblPrEx>
        <w:trPr>
          <w:trHeight w:val="662" w:hRule="atLeast"/>
        </w:trPr>
        <w:tc>
          <w:tcPr>
            <w:tcW w:w="1294"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仿宋_GB2312" w:hAnsi="宋体" w:eastAsia="仿宋_GB2312"/>
                <w:sz w:val="24"/>
              </w:rPr>
            </w:pPr>
            <w:r>
              <w:rPr>
                <w:rFonts w:hint="eastAsia" w:ascii="仿宋_GB2312" w:hAnsi="宋体" w:eastAsia="仿宋_GB2312"/>
                <w:sz w:val="24"/>
              </w:rPr>
              <w:t>项目名称</w:t>
            </w:r>
          </w:p>
        </w:tc>
        <w:tc>
          <w:tcPr>
            <w:tcW w:w="2133"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投标报价</w:t>
            </w:r>
          </w:p>
        </w:tc>
        <w:tc>
          <w:tcPr>
            <w:tcW w:w="1644"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31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交货期</w:t>
            </w:r>
          </w:p>
        </w:tc>
        <w:tc>
          <w:tcPr>
            <w:tcW w:w="92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交货地点</w:t>
            </w:r>
          </w:p>
        </w:tc>
        <w:tc>
          <w:tcPr>
            <w:tcW w:w="1028"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294"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ascii="仿宋_GB2312" w:hAnsi="宋体" w:eastAsia="仿宋_GB2312"/>
                <w:sz w:val="24"/>
              </w:rPr>
            </w:pPr>
          </w:p>
        </w:tc>
        <w:tc>
          <w:tcPr>
            <w:tcW w:w="2133"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rPr>
                <w:rFonts w:ascii="仿宋_GB2312" w:hAnsi="宋体" w:eastAsia="仿宋_GB2312"/>
                <w:sz w:val="24"/>
              </w:rPr>
            </w:pPr>
            <w:r>
              <w:rPr>
                <w:rFonts w:hint="eastAsia" w:ascii="仿宋_GB2312" w:hAnsi="宋体" w:eastAsia="仿宋_GB2312"/>
                <w:sz w:val="24"/>
              </w:rPr>
              <w:t>大写：</w:t>
            </w:r>
          </w:p>
          <w:p>
            <w:pPr>
              <w:tabs>
                <w:tab w:val="left" w:pos="5580"/>
              </w:tabs>
              <w:spacing w:line="240" w:lineRule="atLeast"/>
              <w:rPr>
                <w:rFonts w:ascii="仿宋_GB2312" w:hAnsi="宋体" w:eastAsia="仿宋_GB2312"/>
                <w:sz w:val="24"/>
              </w:rPr>
            </w:pPr>
            <w:r>
              <w:rPr>
                <w:rFonts w:hint="eastAsia" w:ascii="仿宋_GB2312" w:hAnsi="宋体" w:eastAsia="仿宋_GB2312"/>
                <w:sz w:val="24"/>
              </w:rPr>
              <w:t>小写：</w:t>
            </w:r>
          </w:p>
        </w:tc>
        <w:tc>
          <w:tcPr>
            <w:tcW w:w="1644"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p>
        </w:tc>
        <w:tc>
          <w:tcPr>
            <w:tcW w:w="131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ascii="仿宋_GB2312" w:hAnsi="宋体" w:eastAsia="仿宋_GB2312"/>
                <w:sz w:val="24"/>
              </w:rPr>
            </w:pPr>
          </w:p>
        </w:tc>
        <w:tc>
          <w:tcPr>
            <w:tcW w:w="92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ascii="仿宋_GB2312" w:hAnsi="宋体" w:eastAsia="仿宋_GB2312"/>
                <w:sz w:val="24"/>
              </w:rPr>
            </w:pPr>
          </w:p>
        </w:tc>
        <w:tc>
          <w:tcPr>
            <w:tcW w:w="1028"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ind w:left="1079" w:leftChars="257" w:hanging="540"/>
              <w:jc w:val="center"/>
              <w:rPr>
                <w:rFonts w:ascii="仿宋_GB2312" w:hAnsi="宋体" w:eastAsia="仿宋_GB2312"/>
                <w:sz w:val="24"/>
              </w:rPr>
            </w:pPr>
          </w:p>
        </w:tc>
      </w:tr>
    </w:tbl>
    <w:p>
      <w:pPr>
        <w:pStyle w:val="14"/>
        <w:tabs>
          <w:tab w:val="left" w:pos="5580"/>
        </w:tabs>
        <w:spacing w:line="240" w:lineRule="atLeast"/>
        <w:ind w:left="1079" w:leftChars="257" w:hanging="540"/>
        <w:rPr>
          <w:rFonts w:ascii="仿宋_GB2312" w:hAnsi="宋体" w:eastAsia="仿宋_GB2312"/>
          <w:sz w:val="24"/>
        </w:rPr>
      </w:pPr>
    </w:p>
    <w:p>
      <w:pPr>
        <w:pStyle w:val="14"/>
        <w:tabs>
          <w:tab w:val="left" w:pos="5580"/>
        </w:tabs>
        <w:spacing w:line="240" w:lineRule="atLeast"/>
        <w:ind w:left="1079" w:leftChars="257" w:hanging="540"/>
        <w:rPr>
          <w:rFonts w:ascii="仿宋_GB2312" w:hAnsi="宋体" w:eastAsia="仿宋_GB2312"/>
          <w:sz w:val="24"/>
          <w:u w:val="single"/>
        </w:rPr>
      </w:pP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14"/>
        <w:tabs>
          <w:tab w:val="left" w:pos="5580"/>
        </w:tabs>
        <w:spacing w:line="240" w:lineRule="atLeast"/>
        <w:ind w:left="1079" w:leftChars="257" w:hanging="540"/>
        <w:rPr>
          <w:rFonts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14"/>
        <w:tabs>
          <w:tab w:val="left" w:pos="5580"/>
        </w:tabs>
        <w:spacing w:line="240" w:lineRule="atLeast"/>
        <w:ind w:left="1079" w:leftChars="257" w:hanging="540"/>
        <w:rPr>
          <w:rFonts w:ascii="仿宋_GB2312" w:hAnsi="宋体" w:eastAsia="仿宋_GB2312"/>
          <w:sz w:val="24"/>
        </w:rPr>
      </w:pP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注:1、此表应按投标人须知的规定装订密封。</w:t>
      </w:r>
    </w:p>
    <w:p>
      <w:pPr>
        <w:pStyle w:val="14"/>
        <w:tabs>
          <w:tab w:val="left" w:pos="5580"/>
        </w:tabs>
        <w:spacing w:line="240" w:lineRule="atLeast"/>
        <w:ind w:left="1078" w:leftChars="428" w:hanging="180" w:hangingChars="75"/>
        <w:rPr>
          <w:rFonts w:ascii="仿宋_GB2312" w:hAnsi="宋体" w:eastAsia="仿宋_GB2312"/>
          <w:sz w:val="24"/>
        </w:rPr>
      </w:pPr>
      <w:r>
        <w:rPr>
          <w:rFonts w:hint="eastAsia" w:ascii="仿宋_GB2312" w:hAnsi="宋体" w:eastAsia="仿宋_GB2312"/>
          <w:sz w:val="24"/>
        </w:rPr>
        <w:t>2、此表中，每包的投标总价应和投标分项报价表的总价相一致。</w:t>
      </w:r>
    </w:p>
    <w:p>
      <w:pPr>
        <w:rPr>
          <w:rFonts w:ascii="仿宋_GB2312" w:eastAsia="仿宋_GB2312"/>
          <w:b/>
          <w:sz w:val="24"/>
        </w:rPr>
      </w:pPr>
      <w:r>
        <w:rPr>
          <w:rFonts w:ascii="仿宋_GB2312" w:hAnsi="宋体" w:eastAsia="仿宋_GB2312"/>
          <w:sz w:val="24"/>
        </w:rPr>
        <w:br w:type="page"/>
      </w:r>
      <w:r>
        <w:rPr>
          <w:rFonts w:hint="eastAsia" w:ascii="仿宋_GB2312" w:hAnsi="宋体" w:eastAsia="仿宋_GB2312"/>
          <w:b/>
          <w:kern w:val="0"/>
          <w:sz w:val="24"/>
          <w:szCs w:val="20"/>
        </w:rPr>
        <w:t xml:space="preserve"> 2   符合《中华人民共和国政府采购法》第二十二条的规定,且必须为未被列入“信用中国”（http://www.creditchina.gov.cn）、中国政府采购网（http://www.ccgp.gov.cn）等有不良行为记录的（尚在处罚期内的），将拒绝其参加本次政府采购活动，需提供相关网站打印件（加盖投标单位公章）</w:t>
      </w:r>
    </w:p>
    <w:p>
      <w:pPr>
        <w:pStyle w:val="14"/>
        <w:tabs>
          <w:tab w:val="left" w:pos="5580"/>
        </w:tabs>
        <w:spacing w:line="240" w:lineRule="atLeast"/>
        <w:ind w:left="1079" w:leftChars="257" w:hanging="540"/>
        <w:jc w:val="center"/>
        <w:rPr>
          <w:rFonts w:ascii="仿宋_GB2312" w:hAnsi="宋体" w:eastAsia="仿宋_GB2312"/>
          <w:b/>
          <w:sz w:val="24"/>
        </w:rPr>
      </w:pPr>
    </w:p>
    <w:p>
      <w:pPr>
        <w:pStyle w:val="5"/>
        <w:spacing w:before="0" w:line="240" w:lineRule="atLeast"/>
        <w:jc w:val="both"/>
        <w:rPr>
          <w:rFonts w:ascii="仿宋_GB2312" w:hAnsi="宋体" w:eastAsia="仿宋_GB2312"/>
          <w:sz w:val="24"/>
        </w:rPr>
      </w:pPr>
      <w:bookmarkStart w:id="271" w:name="_Toc6399"/>
      <w:bookmarkStart w:id="272" w:name="_Toc515647805"/>
      <w:bookmarkStart w:id="273" w:name="_Toc29899"/>
      <w:bookmarkStart w:id="274" w:name="_Toc17577"/>
      <w:bookmarkStart w:id="275" w:name="_Toc21187"/>
      <w:bookmarkStart w:id="276" w:name="_Toc8046"/>
      <w:bookmarkStart w:id="277" w:name="_Toc7423"/>
      <w:r>
        <w:rPr>
          <w:rFonts w:hint="eastAsia" w:ascii="仿宋_GB2312" w:hAnsi="宋体" w:eastAsia="仿宋_GB2312"/>
          <w:sz w:val="24"/>
        </w:rPr>
        <w:t xml:space="preserve">3  </w:t>
      </w:r>
      <w:bookmarkEnd w:id="271"/>
      <w:bookmarkEnd w:id="272"/>
      <w:bookmarkEnd w:id="273"/>
      <w:bookmarkEnd w:id="274"/>
      <w:r>
        <w:rPr>
          <w:rFonts w:hint="eastAsia" w:ascii="仿宋_GB2312" w:hAnsi="宋体" w:eastAsia="仿宋_GB2312"/>
          <w:sz w:val="24"/>
        </w:rPr>
        <w:t xml:space="preserve"> 法人或其他组织的合法有效的三证合一营业执照扫描件加盖公章；</w:t>
      </w:r>
      <w:bookmarkEnd w:id="275"/>
      <w:bookmarkEnd w:id="276"/>
      <w:bookmarkEnd w:id="277"/>
    </w:p>
    <w:p>
      <w:pPr>
        <w:pStyle w:val="14"/>
        <w:tabs>
          <w:tab w:val="left" w:pos="5580"/>
        </w:tabs>
        <w:spacing w:line="240" w:lineRule="atLeast"/>
        <w:ind w:left="1079" w:leftChars="257" w:hanging="540"/>
        <w:jc w:val="center"/>
        <w:rPr>
          <w:rFonts w:ascii="仿宋_GB2312" w:hAnsi="宋体" w:eastAsia="仿宋_GB2312"/>
          <w:b/>
          <w:sz w:val="24"/>
        </w:rPr>
      </w:pPr>
    </w:p>
    <w:p>
      <w:pPr>
        <w:pStyle w:val="14"/>
        <w:tabs>
          <w:tab w:val="left" w:pos="5580"/>
        </w:tabs>
        <w:spacing w:line="240" w:lineRule="atLeast"/>
        <w:ind w:left="1079" w:leftChars="257" w:hanging="540"/>
        <w:rPr>
          <w:rFonts w:ascii="仿宋_GB2312" w:hAnsi="宋体" w:eastAsia="仿宋_GB2312"/>
          <w:b/>
          <w:sz w:val="24"/>
        </w:rPr>
      </w:pPr>
    </w:p>
    <w:p>
      <w:pPr>
        <w:pStyle w:val="14"/>
        <w:tabs>
          <w:tab w:val="left" w:pos="5580"/>
        </w:tabs>
        <w:spacing w:line="240" w:lineRule="atLeast"/>
        <w:ind w:left="1079" w:leftChars="257" w:hanging="540"/>
        <w:rPr>
          <w:rFonts w:ascii="仿宋_GB2312" w:hAnsi="宋体" w:eastAsia="仿宋_GB2312"/>
          <w:b/>
          <w:sz w:val="24"/>
        </w:rPr>
      </w:pP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14"/>
        <w:tabs>
          <w:tab w:val="left" w:pos="5580"/>
        </w:tabs>
        <w:spacing w:line="240" w:lineRule="atLeast"/>
        <w:ind w:left="1079" w:leftChars="257" w:hanging="540"/>
        <w:rPr>
          <w:rFonts w:ascii="仿宋_GB2312" w:hAnsi="宋体" w:eastAsia="仿宋_GB2312"/>
          <w:sz w:val="24"/>
        </w:rPr>
      </w:pPr>
    </w:p>
    <w:p>
      <w:pPr>
        <w:pStyle w:val="14"/>
        <w:tabs>
          <w:tab w:val="left" w:pos="5580"/>
        </w:tabs>
        <w:spacing w:line="240" w:lineRule="atLeast"/>
        <w:ind w:left="1079" w:leftChars="257" w:hanging="540"/>
        <w:rPr>
          <w:rFonts w:ascii="仿宋_GB2312" w:hAnsi="宋体" w:eastAsia="仿宋_GB2312"/>
          <w:b/>
          <w:kern w:val="0"/>
          <w:sz w:val="24"/>
        </w:rPr>
      </w:pPr>
    </w:p>
    <w:p>
      <w:pPr>
        <w:pStyle w:val="14"/>
        <w:tabs>
          <w:tab w:val="left" w:pos="5580"/>
        </w:tabs>
        <w:spacing w:line="240" w:lineRule="atLeast"/>
        <w:rPr>
          <w:rFonts w:ascii="仿宋_GB2312" w:hAnsi="宋体" w:eastAsia="仿宋_GB2312"/>
          <w:sz w:val="24"/>
          <w:u w:val="single"/>
        </w:rPr>
      </w:pPr>
      <w:r>
        <w:rPr>
          <w:rFonts w:ascii="仿宋_GB2312" w:hAnsi="宋体" w:eastAsia="仿宋_GB2312"/>
          <w:sz w:val="24"/>
        </w:rPr>
        <w:br w:type="page"/>
      </w:r>
      <w:bookmarkStart w:id="278" w:name="_Toc9641"/>
      <w:bookmarkStart w:id="279" w:name="_Toc22472"/>
      <w:bookmarkStart w:id="280" w:name="_Toc515647807"/>
      <w:bookmarkStart w:id="281" w:name="_Toc1083"/>
      <w:r>
        <w:rPr>
          <w:rFonts w:hint="eastAsia" w:ascii="仿宋_GB2312" w:hAnsi="宋体" w:eastAsia="仿宋_GB2312"/>
          <w:sz w:val="24"/>
        </w:rPr>
        <w:t xml:space="preserve">4  </w:t>
      </w:r>
      <w:bookmarkEnd w:id="278"/>
      <w:bookmarkEnd w:id="279"/>
      <w:bookmarkEnd w:id="280"/>
      <w:bookmarkEnd w:id="281"/>
      <w:r>
        <w:rPr>
          <w:rFonts w:hint="eastAsia" w:ascii="仿宋_GB2312" w:hAnsi="宋体" w:eastAsia="仿宋_GB2312"/>
          <w:sz w:val="24"/>
        </w:rPr>
        <w:t>法人本人投标的提供法人身份证明及身份证，被授权委托人需提供法人授权委托书及身份证</w:t>
      </w:r>
    </w:p>
    <w:p>
      <w:pPr>
        <w:pStyle w:val="14"/>
        <w:spacing w:line="240" w:lineRule="atLeast"/>
        <w:rPr>
          <w:rFonts w:hAnsi="宋体" w:cs="宋体"/>
          <w:b/>
          <w:szCs w:val="21"/>
        </w:rPr>
      </w:pPr>
    </w:p>
    <w:p>
      <w:pPr>
        <w:pStyle w:val="14"/>
        <w:spacing w:line="240" w:lineRule="atLeast"/>
        <w:rPr>
          <w:rFonts w:hAnsi="宋体" w:cs="宋体"/>
          <w:szCs w:val="21"/>
        </w:rPr>
      </w:pPr>
      <w:r>
        <w:rPr>
          <w:rFonts w:hint="eastAsia" w:hAnsi="宋体" w:cs="宋体"/>
          <w:b/>
          <w:szCs w:val="21"/>
        </w:rPr>
        <w:t>（一）法定代表人身份证明</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ind w:firstLine="210" w:firstLineChars="100"/>
        <w:rPr>
          <w:rFonts w:ascii="宋体" w:hAnsi="宋体" w:cs="宋体"/>
          <w:szCs w:val="21"/>
        </w:rPr>
      </w:pPr>
      <w:r>
        <w:rPr>
          <w:rFonts w:hint="eastAsia" w:ascii="宋体" w:hAnsi="宋体" w:cs="宋体"/>
          <w:szCs w:val="21"/>
        </w:rPr>
        <w:t xml:space="preserve">签发日期：                  单位：        </w:t>
      </w:r>
    </w:p>
    <w:p>
      <w:pPr>
        <w:spacing w:line="360" w:lineRule="auto"/>
        <w:ind w:firstLine="210" w:firstLineChars="100"/>
        <w:rPr>
          <w:rFonts w:ascii="宋体" w:hAnsi="宋体" w:cs="宋体"/>
          <w:szCs w:val="21"/>
        </w:rPr>
      </w:pPr>
      <w:r>
        <w:rPr>
          <w:rFonts w:hint="eastAsia" w:ascii="宋体" w:hAnsi="宋体" w:cs="宋体"/>
          <w:szCs w:val="21"/>
        </w:rPr>
        <w:t>附：代表人性别：            年龄：           身份证号码：</w:t>
      </w:r>
    </w:p>
    <w:p>
      <w:pPr>
        <w:spacing w:line="360" w:lineRule="auto"/>
        <w:ind w:firstLine="210" w:firstLineChars="100"/>
        <w:rPr>
          <w:rFonts w:ascii="宋体" w:hAnsi="宋体" w:cs="宋体"/>
          <w:szCs w:val="21"/>
        </w:rPr>
      </w:pPr>
      <w:r>
        <w:rPr>
          <w:rFonts w:hint="eastAsia" w:ascii="宋体" w:hAnsi="宋体" w:cs="宋体"/>
          <w:szCs w:val="21"/>
        </w:rPr>
        <w:t>联系电话：</w:t>
      </w:r>
    </w:p>
    <w:p>
      <w:pPr>
        <w:spacing w:line="360" w:lineRule="auto"/>
        <w:ind w:firstLine="210" w:firstLineChars="100"/>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说明：</w:t>
      </w:r>
    </w:p>
    <w:p>
      <w:pPr>
        <w:spacing w:line="360" w:lineRule="auto"/>
        <w:ind w:firstLine="210" w:firstLineChars="100"/>
        <w:rPr>
          <w:rFonts w:ascii="宋体" w:hAnsi="宋体" w:cs="宋体"/>
          <w:szCs w:val="21"/>
        </w:rPr>
      </w:pPr>
      <w:r>
        <w:rPr>
          <w:rFonts w:hint="eastAsia" w:ascii="宋体" w:hAnsi="宋体" w:cs="宋体"/>
          <w:szCs w:val="21"/>
        </w:rPr>
        <w:t>1、法定代表人为企业事业单位、国家机关、社会团体的主要行政负责人。</w:t>
      </w:r>
    </w:p>
    <w:p>
      <w:pPr>
        <w:spacing w:line="360" w:lineRule="auto"/>
        <w:rPr>
          <w:rFonts w:ascii="宋体" w:hAnsi="宋体" w:cs="宋体"/>
          <w:szCs w:val="21"/>
        </w:rPr>
      </w:pPr>
      <w:r>
        <w:rPr>
          <w:rFonts w:hint="eastAsia" w:ascii="宋体" w:hAnsi="宋体" w:cs="宋体"/>
          <w:szCs w:val="21"/>
        </w:rPr>
        <w:t xml:space="preserve">  2、内容必须填写真实、清楚、涂改无效，不得转让。</w:t>
      </w:r>
    </w:p>
    <w:p>
      <w:pPr>
        <w:spacing w:line="360" w:lineRule="auto"/>
        <w:ind w:firstLine="210" w:firstLineChars="100"/>
        <w:rPr>
          <w:rFonts w:ascii="宋体" w:hAnsi="宋体" w:cs="宋体"/>
          <w:szCs w:val="21"/>
        </w:rPr>
      </w:pPr>
      <w:r>
        <w:rPr>
          <w:rFonts w:hint="eastAsia" w:ascii="宋体" w:hAnsi="宋体" w:cs="宋体"/>
          <w:szCs w:val="21"/>
        </w:rPr>
        <w:t>3、将此证明书提交采购代理机构作为投标文件附件。</w:t>
      </w:r>
    </w:p>
    <w:p>
      <w:pPr>
        <w:spacing w:line="360" w:lineRule="auto"/>
        <w:rPr>
          <w:rFonts w:ascii="宋体" w:hAnsi="宋体" w:cs="宋体"/>
          <w:szCs w:val="21"/>
        </w:rPr>
      </w:pPr>
      <w:r>
        <w:rPr>
          <w:rFonts w:hint="eastAsia" w:ascii="宋体" w:hAnsi="宋体" w:cs="宋体"/>
          <w:szCs w:val="21"/>
        </w:rPr>
        <w:t xml:space="preserve">  (为避免废标，请供应商务必提供本附件)</w:t>
      </w:r>
    </w:p>
    <w:p>
      <w:pPr>
        <w:spacing w:line="360" w:lineRule="auto"/>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0" t="0" r="9525" b="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Vk69dYAAAAIAQAADwAAAAAAAAABACAAAAAiAAAAZHJzL2Rvd25y&#10;ZXYueG1sUEsBAhQAFAAAAAgAh07iQJu9VN85AgAAbgQAAA4AAAAAAAAAAQAgAAAAJQEAAGRycy9l&#10;Mm9Eb2MueG1sUEsFBgAAAAAGAAYAWQEAAN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0" t="0" r="0" b="508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8"/>
                            </w:pPr>
                          </w:p>
                          <w:p>
                            <w:pPr>
                              <w:pStyle w:val="8"/>
                            </w:pPr>
                          </w:p>
                          <w:p>
                            <w:pPr>
                              <w:pStyle w:val="8"/>
                            </w:pPr>
                          </w:p>
                          <w:p>
                            <w:pPr>
                              <w:pStyle w:val="8"/>
                            </w:pPr>
                          </w:p>
                        </w:txbxContent>
                      </wps:txbx>
                      <wps:bodyPr wrap="square"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8vY1/aAAAACQEAAA8AAAAAAAAAAQAgAAAAIgAAAGRycy9kb3du&#10;cmV2LnhtbFBLAQIUABQAAAAIAIdO4kAI6kVeNgIAAHYEAAAOAAAAAAAAAAEAIAAAACkBAABkcnMv&#10;ZTJvRG9jLnhtbFBLBQYAAAAABgAGAFkBAADR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8"/>
                      </w:pPr>
                    </w:p>
                    <w:p>
                      <w:pPr>
                        <w:pStyle w:val="8"/>
                      </w:pPr>
                    </w:p>
                    <w:p>
                      <w:pPr>
                        <w:pStyle w:val="8"/>
                      </w:pPr>
                    </w:p>
                    <w:p>
                      <w:pPr>
                        <w:pStyle w:val="8"/>
                      </w:pPr>
                    </w:p>
                  </w:txbxContent>
                </v:textbox>
              </v:roundrect>
            </w:pict>
          </mc:Fallback>
        </mc:AlternateContent>
      </w:r>
    </w:p>
    <w:p>
      <w:pPr>
        <w:spacing w:line="360" w:lineRule="auto"/>
        <w:rPr>
          <w:rFonts w:ascii="宋体" w:hAnsi="宋体" w:cs="宋体"/>
          <w:szCs w:val="21"/>
        </w:rPr>
      </w:pPr>
    </w:p>
    <w:p>
      <w:pPr>
        <w:spacing w:line="360" w:lineRule="auto"/>
        <w:rPr>
          <w:rFonts w:ascii="宋体" w:hAnsi="宋体" w:cs="宋体"/>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s="宋体"/>
          <w:szCs w:val="21"/>
        </w:rPr>
      </w:pPr>
    </w:p>
    <w:p>
      <w:pPr>
        <w:autoSpaceDE w:val="0"/>
        <w:autoSpaceDN w:val="0"/>
        <w:adjustRightInd w:val="0"/>
        <w:spacing w:line="360" w:lineRule="auto"/>
        <w:ind w:right="246"/>
        <w:rPr>
          <w:rFonts w:ascii="宋体" w:hAnsi="宋体" w:cs="宋体"/>
          <w:kern w:val="0"/>
          <w:szCs w:val="21"/>
        </w:rPr>
      </w:pPr>
    </w:p>
    <w:p>
      <w:pPr>
        <w:autoSpaceDE w:val="0"/>
        <w:autoSpaceDN w:val="0"/>
        <w:adjustRightInd w:val="0"/>
        <w:spacing w:line="360" w:lineRule="auto"/>
        <w:ind w:right="246"/>
        <w:rPr>
          <w:rFonts w:ascii="宋体" w:hAnsi="宋体" w:cs="宋体"/>
          <w:kern w:val="0"/>
          <w:szCs w:val="21"/>
        </w:rPr>
      </w:pPr>
    </w:p>
    <w:p>
      <w:pPr>
        <w:autoSpaceDE w:val="0"/>
        <w:autoSpaceDN w:val="0"/>
        <w:adjustRightInd w:val="0"/>
        <w:spacing w:line="360" w:lineRule="auto"/>
        <w:ind w:right="246" w:firstLine="686" w:firstLineChars="327"/>
        <w:rPr>
          <w:rFonts w:ascii="宋体" w:hAnsi="宋体" w:cs="宋体"/>
          <w:kern w:val="0"/>
          <w:szCs w:val="21"/>
        </w:rPr>
      </w:pPr>
    </w:p>
    <w:p>
      <w:pPr>
        <w:autoSpaceDE w:val="0"/>
        <w:autoSpaceDN w:val="0"/>
        <w:adjustRightInd w:val="0"/>
        <w:spacing w:line="360" w:lineRule="auto"/>
        <w:ind w:right="246" w:firstLine="686" w:firstLineChars="327"/>
        <w:rPr>
          <w:rFonts w:ascii="宋体" w:hAnsi="宋体" w:cs="宋体"/>
          <w:szCs w:val="21"/>
        </w:rPr>
      </w:pPr>
      <w:r>
        <w:rPr>
          <w:rFonts w:hint="eastAsia" w:ascii="宋体" w:hAnsi="宋体" w:cs="宋体"/>
          <w:kern w:val="0"/>
          <w:szCs w:val="21"/>
        </w:rPr>
        <w:t>供应商（公章）：</w:t>
      </w:r>
      <w:r>
        <w:rPr>
          <w:rFonts w:hint="eastAsia" w:ascii="宋体" w:hAnsi="宋体" w:cs="宋体"/>
          <w:kern w:val="0"/>
          <w:szCs w:val="21"/>
          <w:u w:val="single"/>
        </w:rPr>
        <w:t xml:space="preserve">                             </w:t>
      </w:r>
      <w:r>
        <w:rPr>
          <w:rFonts w:hint="eastAsia" w:ascii="宋体" w:hAnsi="宋体" w:cs="宋体"/>
          <w:kern w:val="0"/>
          <w:szCs w:val="21"/>
        </w:rPr>
        <w:t xml:space="preserve"> </w:t>
      </w:r>
    </w:p>
    <w:p>
      <w:pPr>
        <w:adjustRightInd w:val="0"/>
        <w:snapToGrid w:val="0"/>
        <w:spacing w:line="360" w:lineRule="auto"/>
        <w:ind w:firstLine="686" w:firstLineChars="327"/>
        <w:rPr>
          <w:rFonts w:ascii="宋体" w:hAnsi="宋体" w:cs="宋体"/>
          <w:szCs w:val="21"/>
        </w:rPr>
      </w:pPr>
      <w:r>
        <w:rPr>
          <w:rFonts w:hint="eastAsia" w:ascii="宋体" w:hAnsi="宋体" w:cs="宋体"/>
          <w:kern w:val="0"/>
          <w:szCs w:val="21"/>
        </w:rPr>
        <w:t>法定代表人（签/章）：</w:t>
      </w:r>
      <w:r>
        <w:rPr>
          <w:rFonts w:hint="eastAsia" w:ascii="宋体" w:hAnsi="宋体" w:cs="宋体"/>
          <w:szCs w:val="21"/>
          <w:u w:val="single"/>
        </w:rPr>
        <w:t xml:space="preserve">                    </w:t>
      </w:r>
    </w:p>
    <w:p>
      <w:pPr>
        <w:adjustRightInd w:val="0"/>
        <w:snapToGrid w:val="0"/>
        <w:spacing w:line="360" w:lineRule="auto"/>
        <w:ind w:firstLine="686" w:firstLineChars="327"/>
        <w:rPr>
          <w:rFonts w:ascii="宋体" w:hAnsi="宋体" w:cs="宋体"/>
          <w:b/>
          <w:bCs/>
          <w:sz w:val="24"/>
        </w:rPr>
      </w:pPr>
      <w:r>
        <w:rPr>
          <w:rFonts w:hint="eastAsia" w:ascii="宋体" w:hAnsi="宋体" w:cs="宋体"/>
          <w:szCs w:val="21"/>
        </w:rPr>
        <w:t>日期：</w:t>
      </w:r>
      <w:r>
        <w:rPr>
          <w:rFonts w:hint="eastAsia" w:ascii="宋体" w:hAnsi="宋体" w:cs="宋体"/>
          <w:szCs w:val="21"/>
          <w:u w:val="single"/>
        </w:rPr>
        <w:t xml:space="preserve">                                       </w:t>
      </w:r>
    </w:p>
    <w:p>
      <w:pPr>
        <w:pStyle w:val="14"/>
        <w:tabs>
          <w:tab w:val="left" w:pos="5580"/>
        </w:tabs>
        <w:spacing w:line="240" w:lineRule="atLeast"/>
        <w:ind w:firstLine="480" w:firstLineChars="200"/>
        <w:rPr>
          <w:rFonts w:ascii="仿宋_GB2312" w:eastAsia="仿宋_GB2312"/>
          <w:sz w:val="24"/>
        </w:rPr>
      </w:pPr>
    </w:p>
    <w:p>
      <w:pPr>
        <w:spacing w:line="240" w:lineRule="atLeast"/>
        <w:ind w:left="1079" w:leftChars="257" w:hanging="540"/>
        <w:rPr>
          <w:rFonts w:ascii="仿宋_GB2312" w:hAnsi="宋体" w:eastAsia="仿宋_GB2312"/>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pStyle w:val="8"/>
      </w:pPr>
    </w:p>
    <w:p>
      <w:pPr>
        <w:spacing w:line="360" w:lineRule="auto"/>
        <w:rPr>
          <w:rFonts w:ascii="宋体" w:hAnsi="宋体" w:cs="宋体"/>
          <w:b/>
          <w:bCs/>
          <w:sz w:val="24"/>
        </w:rPr>
      </w:pPr>
    </w:p>
    <w:p>
      <w:pPr>
        <w:spacing w:line="360" w:lineRule="auto"/>
        <w:rPr>
          <w:rFonts w:ascii="宋体" w:hAnsi="宋体" w:cs="宋体"/>
          <w:b/>
          <w:bCs/>
          <w:sz w:val="24"/>
        </w:rPr>
      </w:pPr>
    </w:p>
    <w:p>
      <w:pPr>
        <w:pageBreakBefore/>
        <w:spacing w:line="360" w:lineRule="auto"/>
        <w:rPr>
          <w:rFonts w:ascii="宋体" w:hAnsi="宋体" w:cs="宋体"/>
          <w:b/>
          <w:bCs/>
          <w:sz w:val="24"/>
          <w:u w:val="single"/>
        </w:rPr>
      </w:pPr>
      <w:r>
        <w:rPr>
          <w:rFonts w:hint="eastAsia" w:ascii="宋体" w:hAnsi="宋体" w:cs="宋体"/>
          <w:b/>
          <w:bCs/>
          <w:sz w:val="24"/>
        </w:rPr>
        <w:t>（二）法定代表人授权委托书</w:t>
      </w:r>
    </w:p>
    <w:p>
      <w:pPr>
        <w:pStyle w:val="14"/>
        <w:tabs>
          <w:tab w:val="left" w:pos="5580"/>
        </w:tabs>
        <w:spacing w:line="360" w:lineRule="exact"/>
        <w:rPr>
          <w:rFonts w:hAnsi="宋体" w:cs="宋体"/>
          <w:szCs w:val="21"/>
        </w:rPr>
      </w:pPr>
      <w:r>
        <w:rPr>
          <w:rFonts w:hint="eastAsia" w:hAnsi="宋体" w:cs="宋体"/>
          <w:szCs w:val="21"/>
        </w:rPr>
        <w:t xml:space="preserve">    本授权书声明：注册于</w:t>
      </w:r>
      <w:r>
        <w:rPr>
          <w:rFonts w:hint="eastAsia" w:hAnsi="宋体" w:cs="宋体"/>
          <w:szCs w:val="21"/>
          <w:u w:val="single"/>
        </w:rPr>
        <w:t>（国家或地区的名称）</w:t>
      </w:r>
      <w:r>
        <w:rPr>
          <w:rFonts w:hint="eastAsia" w:hAnsi="宋体" w:cs="宋体"/>
          <w:szCs w:val="21"/>
        </w:rPr>
        <w:t>的（</w:t>
      </w:r>
      <w:r>
        <w:rPr>
          <w:rFonts w:hint="eastAsia" w:hAnsi="宋体" w:cs="宋体"/>
          <w:i/>
          <w:szCs w:val="21"/>
          <w:u w:val="single"/>
        </w:rPr>
        <w:t>供应商</w:t>
      </w:r>
      <w:r>
        <w:rPr>
          <w:rFonts w:hint="eastAsia" w:hAnsi="宋体" w:cs="宋体"/>
          <w:szCs w:val="21"/>
        </w:rPr>
        <w:t>）的在下面签字的（</w:t>
      </w:r>
      <w:r>
        <w:rPr>
          <w:rFonts w:hint="eastAsia" w:hAnsi="宋体" w:cs="宋体"/>
          <w:i/>
          <w:szCs w:val="21"/>
          <w:u w:val="single"/>
        </w:rPr>
        <w:t>法人代表姓名、职务</w:t>
      </w:r>
      <w:r>
        <w:rPr>
          <w:rFonts w:hint="eastAsia" w:hAnsi="宋体" w:cs="宋体"/>
          <w:szCs w:val="21"/>
        </w:rPr>
        <w:t>）代表我单位授权（</w:t>
      </w:r>
      <w:r>
        <w:rPr>
          <w:rFonts w:hint="eastAsia" w:hAnsi="宋体" w:cs="宋体"/>
          <w:i/>
          <w:szCs w:val="21"/>
          <w:u w:val="single"/>
        </w:rPr>
        <w:t>单位名称</w:t>
      </w:r>
      <w:r>
        <w:rPr>
          <w:rFonts w:hint="eastAsia" w:hAnsi="宋体" w:cs="宋体"/>
          <w:szCs w:val="21"/>
        </w:rPr>
        <w:t>）的在下面签字的（</w:t>
      </w:r>
      <w:r>
        <w:rPr>
          <w:rFonts w:hint="eastAsia" w:hAnsi="宋体" w:cs="宋体"/>
          <w:i/>
          <w:szCs w:val="21"/>
          <w:u w:val="single"/>
        </w:rPr>
        <w:t>被授权人的姓名、职务</w:t>
      </w:r>
      <w:r>
        <w:rPr>
          <w:rFonts w:hint="eastAsia" w:hAnsi="宋体" w:cs="宋体"/>
          <w:szCs w:val="21"/>
        </w:rPr>
        <w:t>）为我单位的合法代理人，就（</w:t>
      </w:r>
      <w:r>
        <w:rPr>
          <w:rFonts w:hint="eastAsia" w:hAnsi="宋体" w:cs="宋体"/>
          <w:i/>
          <w:szCs w:val="21"/>
          <w:u w:val="single"/>
        </w:rPr>
        <w:t>项目名称）（标段号）的</w:t>
      </w:r>
      <w:r>
        <w:rPr>
          <w:rFonts w:hint="eastAsia" w:hAnsi="宋体" w:cs="宋体"/>
          <w:szCs w:val="21"/>
        </w:rPr>
        <w:t>投标，以我单位名义处理一切与之有关的事务。</w:t>
      </w:r>
      <w:r>
        <w:rPr>
          <w:rFonts w:hint="eastAsia" w:hAnsi="宋体" w:cs="宋体"/>
          <w:szCs w:val="21"/>
        </w:rPr>
        <w:cr/>
      </w:r>
      <w:r>
        <w:rPr>
          <w:rFonts w:hint="eastAsia" w:hAnsi="宋体" w:cs="宋体"/>
          <w:szCs w:val="21"/>
        </w:rPr>
        <w:t>　　</w:t>
      </w:r>
    </w:p>
    <w:p>
      <w:pPr>
        <w:pStyle w:val="14"/>
        <w:tabs>
          <w:tab w:val="left" w:pos="5580"/>
        </w:tabs>
        <w:spacing w:line="360" w:lineRule="exact"/>
        <w:ind w:left="-539" w:leftChars="-257" w:firstLine="787" w:firstLineChars="375"/>
        <w:rPr>
          <w:rFonts w:hAnsi="宋体" w:cs="宋体"/>
          <w:szCs w:val="21"/>
        </w:rPr>
      </w:pPr>
      <w:r>
        <w:rPr>
          <w:rFonts w:hint="eastAsia" w:hAnsi="宋体" w:cs="宋体"/>
          <w:szCs w:val="21"/>
        </w:rPr>
        <w:t>本授权书于</w:t>
      </w: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日签字生效,特此声明。</w:t>
      </w:r>
    </w:p>
    <w:p>
      <w:pPr>
        <w:pStyle w:val="14"/>
        <w:tabs>
          <w:tab w:val="left" w:pos="5580"/>
        </w:tabs>
        <w:spacing w:line="240" w:lineRule="atLeast"/>
        <w:ind w:left="-539" w:leftChars="-257" w:firstLine="787" w:firstLineChars="375"/>
        <w:rPr>
          <w:rFonts w:hAnsi="宋体" w:cs="宋体"/>
          <w:szCs w:val="21"/>
        </w:rPr>
      </w:pPr>
      <w:r>
        <w:rPr>
          <w:rFonts w:hint="eastAsia" w:hAnsi="宋体" w:cs="宋体"/>
          <w:szCs w:val="21"/>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167640</wp:posOffset>
                </wp:positionV>
                <wp:extent cx="2478405" cy="969010"/>
                <wp:effectExtent l="0" t="0" r="0" b="2540"/>
                <wp:wrapNone/>
                <wp:docPr id="8" name="自选图形 5"/>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wrap="square" upright="1"/>
                    </wps:wsp>
                  </a:graphicData>
                </a:graphic>
              </wp:anchor>
            </w:drawing>
          </mc:Choice>
          <mc:Fallback>
            <w:pict>
              <v:roundrect id="自选图形 5" o:spid="_x0000_s1026" o:spt="2" style="position:absolute;left:0pt;margin-left:239.3pt;margin-top:13.2pt;height:76.3pt;width:195.15pt;z-index:251662336;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MFn7jbAAAACgEAAA8AAAAAAAAAAQAgAAAAIgAAAGRycy9kb3ducmV2LnhtbFBL&#10;AQIUABQAAAAIAIdO4kBmDCL4LAIAAGU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hint="eastAsia"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317750" cy="942340"/>
                <wp:effectExtent l="0" t="0" r="6350" b="0"/>
                <wp:wrapNone/>
                <wp:docPr id="7" name="自选图形 6"/>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wrap="square" upright="1"/>
                    </wps:wsp>
                  </a:graphicData>
                </a:graphic>
              </wp:anchor>
            </w:drawing>
          </mc:Choice>
          <mc:Fallback>
            <w:pict>
              <v:shape id="自选图形 6" o:spid="_x0000_s1026" o:spt="176" type="#_x0000_t176" style="position:absolute;left:0pt;margin-left:1.65pt;margin-top:10.7pt;height:74.2pt;width:182.5pt;z-index:251661312;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v&#10;NoQO1gAAAAgBAAAPAAAAAAAAAAEAIAAAACIAAABkcnMvZG93bnJldi54bWxQSwECFAAUAAAACACH&#10;TuJA6H2zoyYCAABSBAAADgAAAAAAAAABACAAAAAlAQAAZHJzL2Uyb0RvYy54bWxQSwUGAAAAAAYA&#10;BgBZAQAAvQ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spacing w:line="360" w:lineRule="auto"/>
        <w:ind w:firstLine="210" w:firstLineChars="100"/>
        <w:rPr>
          <w:rFonts w:ascii="宋体" w:hAnsi="宋体" w:cs="宋体"/>
          <w:szCs w:val="21"/>
        </w:rPr>
      </w:pPr>
    </w:p>
    <w:p>
      <w:pPr>
        <w:spacing w:line="360" w:lineRule="auto"/>
        <w:ind w:firstLine="210" w:firstLineChars="100"/>
        <w:rPr>
          <w:rFonts w:ascii="宋体" w:hAnsi="宋体" w:cs="宋体"/>
          <w:szCs w:val="21"/>
        </w:rPr>
      </w:pPr>
    </w:p>
    <w:p>
      <w:pPr>
        <w:spacing w:line="360" w:lineRule="auto"/>
        <w:ind w:firstLine="210" w:firstLineChars="100"/>
        <w:rPr>
          <w:rFonts w:ascii="宋体" w:hAnsi="宋体" w:cs="宋体"/>
          <w:szCs w:val="21"/>
        </w:rPr>
      </w:pPr>
    </w:p>
    <w:p>
      <w:pPr>
        <w:spacing w:line="360" w:lineRule="auto"/>
        <w:ind w:firstLine="210" w:firstLineChars="100"/>
        <w:rPr>
          <w:rFonts w:ascii="宋体" w:hAnsi="宋体" w:cs="宋体"/>
          <w:szCs w:val="21"/>
        </w:rPr>
      </w:pPr>
    </w:p>
    <w:p>
      <w:pPr>
        <w:spacing w:line="360" w:lineRule="auto"/>
        <w:ind w:firstLine="210" w:firstLineChars="100"/>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96520</wp:posOffset>
                </wp:positionV>
                <wp:extent cx="2535555" cy="935355"/>
                <wp:effectExtent l="0" t="0" r="0" b="0"/>
                <wp:wrapNone/>
                <wp:docPr id="6" name="自选图形 7"/>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法人身份证复印件反面</w:t>
                            </w:r>
                          </w:p>
                          <w:p/>
                        </w:txbxContent>
                      </wps:txbx>
                      <wps:bodyPr wrap="square" upright="1"/>
                    </wps:wsp>
                  </a:graphicData>
                </a:graphic>
              </wp:anchor>
            </w:drawing>
          </mc:Choice>
          <mc:Fallback>
            <w:pict>
              <v:roundrect id="自选图形 7" o:spid="_x0000_s1026" o:spt="2" style="position:absolute;left:0pt;margin-left:237.65pt;margin-top:7.6pt;height:73.65pt;width:199.65pt;z-index:251664384;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A0VntsAAAAKAQAADwAAAAAAAAABACAAAAAiAAAAZHJzL2Rvd25yZXYueG1sUEsB&#10;AhQAFAAAAAgAh07iQDpz/Q0rAgAAZQQAAA4AAAAAAAAAAQAgAAAAKgEAAGRycy9lMm9Eb2MueG1s&#10;UEsFBgAAAAAGAAYAWQEAAMcFA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法人身份证复印件反面</w:t>
                      </w:r>
                    </w:p>
                    <w:p/>
                  </w:txbxContent>
                </v:textbox>
              </v:roundrect>
            </w:pict>
          </mc:Fallback>
        </mc:AlternateContent>
      </w:r>
      <w:r>
        <w:rPr>
          <w:rFonts w:hint="eastAsia" w:ascii="宋体" w:hAnsi="宋体" w:cs="宋体"/>
          <w:szCs w:val="21"/>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29845</wp:posOffset>
                </wp:positionV>
                <wp:extent cx="2555240" cy="1024890"/>
                <wp:effectExtent l="0" t="0" r="0" b="3810"/>
                <wp:wrapNone/>
                <wp:docPr id="5" name="自选图形 8"/>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p>
                          <w:p>
                            <w:pPr>
                              <w:rPr>
                                <w:rFonts w:hAnsi="宋体"/>
                              </w:rPr>
                            </w:pPr>
                          </w:p>
                          <w:p>
                            <w:pPr>
                              <w:jc w:val="center"/>
                            </w:pPr>
                            <w:r>
                              <w:rPr>
                                <w:rFonts w:hint="eastAsia" w:hAnsi="宋体"/>
                              </w:rPr>
                              <w:t>法人身份证复印件正面</w:t>
                            </w:r>
                          </w:p>
                          <w:p/>
                        </w:txbxContent>
                      </wps:txbx>
                      <wps:bodyPr wrap="square" upright="1"/>
                    </wps:wsp>
                  </a:graphicData>
                </a:graphic>
              </wp:anchor>
            </w:drawing>
          </mc:Choice>
          <mc:Fallback>
            <w:pict>
              <v:roundrect id="自选图形 8" o:spid="_x0000_s1026" o:spt="2" style="position:absolute;left:0pt;margin-left:-0.85pt;margin-top:2.35pt;height:80.7pt;width:201.2pt;z-index:251663360;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O+C3vYAAAACAEAAA8AAAAAAAAAAQAgAAAAIgAAAGRycy9kb3ducmV2LnhtbFBL&#10;AQIUABQAAAAIAIdO4kBjTa0GLwIAAGYEAAAOAAAAAAAAAAEAIAAAACcBAABkcnMvZTJvRG9jLnht&#10;bFBLBQYAAAAABgAGAFkBAADIBQAAAAA=&#10;">
                <v:fill on="t" focussize="0,0"/>
                <v:stroke weight="1.25pt" color="#808080" joinstyle="round"/>
                <v:imagedata o:title=""/>
                <o:lock v:ext="edit" aspectratio="f"/>
                <v:textbox>
                  <w:txbxContent>
                    <w:p>
                      <w:pPr>
                        <w:jc w:val="center"/>
                        <w:rPr>
                          <w:rFonts w:hAnsi="宋体"/>
                        </w:rPr>
                      </w:pPr>
                    </w:p>
                    <w:p>
                      <w:pPr>
                        <w:rPr>
                          <w:rFonts w:hAnsi="宋体"/>
                        </w:rPr>
                      </w:pPr>
                    </w:p>
                    <w:p>
                      <w:pPr>
                        <w:jc w:val="center"/>
                      </w:pPr>
                      <w:r>
                        <w:rPr>
                          <w:rFonts w:hint="eastAsia" w:hAnsi="宋体"/>
                        </w:rPr>
                        <w:t>法人身份证复印件正面</w:t>
                      </w:r>
                    </w:p>
                    <w:p/>
                  </w:txbxContent>
                </v:textbox>
              </v:roundrect>
            </w:pict>
          </mc:Fallback>
        </mc:AlternateContent>
      </w:r>
    </w:p>
    <w:p>
      <w:pPr>
        <w:spacing w:line="360" w:lineRule="auto"/>
        <w:ind w:firstLine="210" w:firstLineChars="100"/>
        <w:rPr>
          <w:rFonts w:ascii="宋体" w:hAnsi="宋体" w:cs="宋体"/>
          <w:szCs w:val="21"/>
        </w:rPr>
      </w:pPr>
    </w:p>
    <w:p>
      <w:pPr>
        <w:spacing w:line="360" w:lineRule="auto"/>
        <w:ind w:firstLine="210" w:firstLineChars="100"/>
        <w:rPr>
          <w:rFonts w:ascii="宋体" w:hAnsi="宋体" w:cs="宋体"/>
          <w:szCs w:val="21"/>
        </w:rPr>
      </w:pPr>
    </w:p>
    <w:p>
      <w:pPr>
        <w:spacing w:line="360" w:lineRule="auto"/>
        <w:ind w:firstLine="210" w:firstLineChars="100"/>
        <w:rPr>
          <w:rFonts w:ascii="宋体" w:hAnsi="宋体" w:cs="宋体"/>
          <w:szCs w:val="21"/>
        </w:rPr>
      </w:pPr>
    </w:p>
    <w:p>
      <w:pPr>
        <w:spacing w:line="360" w:lineRule="auto"/>
        <w:ind w:firstLine="210" w:firstLineChars="100"/>
        <w:rPr>
          <w:rFonts w:ascii="宋体" w:hAnsi="宋体" w:cs="宋体"/>
          <w:szCs w:val="21"/>
        </w:rPr>
      </w:pPr>
    </w:p>
    <w:p>
      <w:pPr>
        <w:pStyle w:val="14"/>
        <w:tabs>
          <w:tab w:val="left" w:pos="5580"/>
        </w:tabs>
        <w:spacing w:line="360" w:lineRule="exact"/>
        <w:rPr>
          <w:rFonts w:hAnsi="宋体" w:cs="宋体"/>
          <w:szCs w:val="21"/>
          <w:u w:val="single"/>
        </w:rPr>
      </w:pPr>
      <w:r>
        <w:rPr>
          <w:rFonts w:hint="eastAsia" w:hAnsi="宋体" w:cs="宋体"/>
          <w:szCs w:val="21"/>
        </w:rPr>
        <w:t>供应商（公章）;</w:t>
      </w:r>
      <w:r>
        <w:rPr>
          <w:rFonts w:hint="eastAsia" w:hAnsi="宋体" w:cs="宋体"/>
          <w:szCs w:val="21"/>
          <w:u w:val="single"/>
        </w:rPr>
        <w:t xml:space="preserve">                           </w:t>
      </w:r>
    </w:p>
    <w:p>
      <w:pPr>
        <w:pStyle w:val="14"/>
        <w:tabs>
          <w:tab w:val="left" w:pos="5580"/>
        </w:tabs>
        <w:spacing w:line="360" w:lineRule="exact"/>
        <w:rPr>
          <w:rFonts w:hAnsi="宋体" w:cs="宋体"/>
          <w:szCs w:val="21"/>
          <w:u w:val="single"/>
        </w:rPr>
      </w:pPr>
      <w:r>
        <w:rPr>
          <w:rFonts w:hint="eastAsia" w:hAnsi="宋体" w:cs="宋体"/>
          <w:szCs w:val="21"/>
        </w:rPr>
        <w:t>法定代表人（签/章）：</w:t>
      </w:r>
      <w:r>
        <w:rPr>
          <w:rFonts w:hint="eastAsia" w:hAnsi="宋体" w:cs="宋体"/>
          <w:szCs w:val="21"/>
          <w:u w:val="single"/>
        </w:rPr>
        <w:t xml:space="preserve">                     </w:t>
      </w:r>
    </w:p>
    <w:p>
      <w:pPr>
        <w:pStyle w:val="14"/>
        <w:tabs>
          <w:tab w:val="left" w:pos="5580"/>
        </w:tabs>
        <w:spacing w:line="360" w:lineRule="exact"/>
        <w:rPr>
          <w:rFonts w:hAnsi="宋体" w:cs="宋体"/>
          <w:szCs w:val="21"/>
        </w:rPr>
      </w:pPr>
      <w:r>
        <w:rPr>
          <w:rFonts w:hint="eastAsia" w:hAnsi="宋体" w:cs="宋体"/>
          <w:szCs w:val="21"/>
        </w:rPr>
        <w:t xml:space="preserve">身份证号码：__________________________________ </w:t>
      </w:r>
    </w:p>
    <w:p>
      <w:pPr>
        <w:pStyle w:val="14"/>
        <w:tabs>
          <w:tab w:val="left" w:pos="5580"/>
        </w:tabs>
        <w:spacing w:line="360" w:lineRule="exact"/>
        <w:rPr>
          <w:rFonts w:hAnsi="宋体" w:cs="宋体"/>
          <w:szCs w:val="21"/>
        </w:rPr>
      </w:pPr>
      <w:r>
        <w:rPr>
          <w:rFonts w:hint="eastAsia" w:hAnsi="宋体" w:cs="宋体"/>
          <w:szCs w:val="21"/>
        </w:rPr>
        <w:t>委托代理人（签/章）：</w:t>
      </w:r>
      <w:r>
        <w:rPr>
          <w:rFonts w:hint="eastAsia" w:hAnsi="宋体" w:cs="宋体"/>
          <w:szCs w:val="21"/>
          <w:u w:val="single"/>
        </w:rPr>
        <w:t xml:space="preserve">                          </w:t>
      </w:r>
      <w:r>
        <w:rPr>
          <w:rFonts w:hint="eastAsia" w:hAnsi="宋体" w:cs="宋体"/>
          <w:szCs w:val="21"/>
        </w:rPr>
        <w:t xml:space="preserve">         </w:t>
      </w:r>
    </w:p>
    <w:p>
      <w:pPr>
        <w:pStyle w:val="14"/>
        <w:tabs>
          <w:tab w:val="left" w:pos="5580"/>
        </w:tabs>
        <w:spacing w:line="360" w:lineRule="exact"/>
        <w:rPr>
          <w:rFonts w:hAnsi="宋体" w:cs="宋体"/>
          <w:szCs w:val="21"/>
        </w:rPr>
      </w:pPr>
      <w:r>
        <w:rPr>
          <w:rFonts w:hint="eastAsia" w:hAnsi="宋体" w:cs="宋体"/>
          <w:szCs w:val="21"/>
        </w:rPr>
        <w:t>身份证号码：</w:t>
      </w:r>
      <w:r>
        <w:rPr>
          <w:rFonts w:hint="eastAsia" w:hAnsi="宋体" w:cs="宋体"/>
          <w:szCs w:val="21"/>
          <w:u w:val="single"/>
        </w:rPr>
        <w:t xml:space="preserve">                                  </w:t>
      </w:r>
      <w:r>
        <w:rPr>
          <w:rFonts w:hint="eastAsia" w:hAnsi="宋体" w:cs="宋体"/>
          <w:szCs w:val="21"/>
        </w:rPr>
        <w:t xml:space="preserve"> </w:t>
      </w:r>
    </w:p>
    <w:p>
      <w:pPr>
        <w:pStyle w:val="14"/>
        <w:tabs>
          <w:tab w:val="left" w:pos="5580"/>
        </w:tabs>
        <w:spacing w:line="360" w:lineRule="exact"/>
        <w:rPr>
          <w:rFonts w:hAnsi="宋体" w:cs="宋体"/>
          <w:szCs w:val="21"/>
        </w:rPr>
      </w:pPr>
      <w:r>
        <w:rPr>
          <w:rFonts w:hint="eastAsia" w:hAnsi="宋体" w:cs="宋体"/>
          <w:szCs w:val="21"/>
        </w:rPr>
        <w:t>详细通讯地址：</w:t>
      </w:r>
      <w:r>
        <w:rPr>
          <w:rFonts w:hint="eastAsia" w:hAnsi="宋体" w:cs="宋体"/>
          <w:szCs w:val="21"/>
          <w:u w:val="single"/>
        </w:rPr>
        <w:t xml:space="preserve">                            </w:t>
      </w:r>
      <w:r>
        <w:rPr>
          <w:rFonts w:hint="eastAsia" w:hAnsi="宋体" w:cs="宋体"/>
          <w:szCs w:val="21"/>
        </w:rPr>
        <w:t xml:space="preserve">     </w:t>
      </w:r>
    </w:p>
    <w:p>
      <w:pPr>
        <w:pStyle w:val="14"/>
        <w:tabs>
          <w:tab w:val="left" w:pos="5580"/>
        </w:tabs>
        <w:spacing w:line="360" w:lineRule="exact"/>
        <w:rPr>
          <w:rFonts w:hAnsi="宋体" w:cs="宋体"/>
          <w:szCs w:val="21"/>
        </w:rPr>
      </w:pPr>
      <w:r>
        <w:rPr>
          <w:rFonts w:hint="eastAsia" w:hAnsi="宋体" w:cs="宋体"/>
          <w:szCs w:val="21"/>
        </w:rPr>
        <w:t>邮 政 编 码 ：</w:t>
      </w:r>
      <w:r>
        <w:rPr>
          <w:rFonts w:hint="eastAsia" w:hAnsi="宋体" w:cs="宋体"/>
          <w:szCs w:val="21"/>
          <w:u w:val="single"/>
        </w:rPr>
        <w:t xml:space="preserve">                            </w:t>
      </w:r>
      <w:r>
        <w:rPr>
          <w:rFonts w:hint="eastAsia" w:hAnsi="宋体" w:cs="宋体"/>
          <w:szCs w:val="21"/>
        </w:rPr>
        <w:t xml:space="preserve">     </w:t>
      </w:r>
    </w:p>
    <w:p>
      <w:pPr>
        <w:pStyle w:val="14"/>
        <w:tabs>
          <w:tab w:val="left" w:pos="5580"/>
        </w:tabs>
        <w:spacing w:line="360" w:lineRule="exact"/>
        <w:rPr>
          <w:rFonts w:hAnsi="宋体" w:cs="宋体"/>
          <w:szCs w:val="21"/>
        </w:rPr>
      </w:pPr>
      <w:r>
        <w:rPr>
          <w:rFonts w:hint="eastAsia" w:hAnsi="宋体" w:cs="宋体"/>
          <w:szCs w:val="21"/>
        </w:rPr>
        <w:t>传　　　　真：</w:t>
      </w:r>
      <w:r>
        <w:rPr>
          <w:rFonts w:hint="eastAsia" w:hAnsi="宋体" w:cs="宋体"/>
          <w:szCs w:val="21"/>
          <w:u w:val="single"/>
        </w:rPr>
        <w:t xml:space="preserve">                            </w:t>
      </w:r>
      <w:r>
        <w:rPr>
          <w:rFonts w:hint="eastAsia" w:hAnsi="宋体" w:cs="宋体"/>
          <w:szCs w:val="21"/>
        </w:rPr>
        <w:t xml:space="preserve">      </w:t>
      </w:r>
    </w:p>
    <w:p>
      <w:pPr>
        <w:pStyle w:val="14"/>
        <w:tabs>
          <w:tab w:val="left" w:pos="5580"/>
        </w:tabs>
        <w:spacing w:line="360" w:lineRule="exact"/>
        <w:rPr>
          <w:rFonts w:hAnsi="宋体" w:cs="宋体"/>
          <w:szCs w:val="21"/>
        </w:rPr>
      </w:pPr>
      <w:r>
        <w:rPr>
          <w:rFonts w:hint="eastAsia" w:hAnsi="宋体" w:cs="宋体"/>
          <w:szCs w:val="21"/>
        </w:rPr>
        <w:t>电　　　　话：</w:t>
      </w:r>
      <w:r>
        <w:rPr>
          <w:rFonts w:hint="eastAsia" w:hAnsi="宋体" w:cs="宋体"/>
          <w:szCs w:val="21"/>
          <w:u w:val="single"/>
        </w:rPr>
        <w:t xml:space="preserve">                            </w:t>
      </w:r>
      <w:r>
        <w:rPr>
          <w:rFonts w:hint="eastAsia" w:hAnsi="宋体" w:cs="宋体"/>
          <w:szCs w:val="21"/>
        </w:rPr>
        <w:t xml:space="preserve">     </w:t>
      </w:r>
    </w:p>
    <w:p>
      <w:pPr>
        <w:pStyle w:val="14"/>
        <w:tabs>
          <w:tab w:val="left" w:pos="5580"/>
        </w:tabs>
        <w:spacing w:line="360" w:lineRule="exact"/>
        <w:jc w:val="right"/>
        <w:rPr>
          <w:rFonts w:hAnsi="宋体" w:cs="宋体"/>
          <w:szCs w:val="21"/>
        </w:rPr>
      </w:pPr>
    </w:p>
    <w:p>
      <w:pPr>
        <w:pStyle w:val="14"/>
        <w:tabs>
          <w:tab w:val="left" w:pos="5580"/>
        </w:tabs>
        <w:spacing w:line="360" w:lineRule="exact"/>
        <w:jc w:val="right"/>
        <w:rPr>
          <w:rFonts w:hAnsi="宋体" w:cs="宋体"/>
          <w:szCs w:val="21"/>
        </w:rPr>
      </w:pPr>
    </w:p>
    <w:p>
      <w:pPr>
        <w:pStyle w:val="14"/>
        <w:tabs>
          <w:tab w:val="left" w:pos="5580"/>
        </w:tabs>
        <w:spacing w:line="360" w:lineRule="exact"/>
        <w:jc w:val="right"/>
        <w:rPr>
          <w:rFonts w:hAnsi="宋体" w:cs="宋体"/>
          <w:szCs w:val="21"/>
        </w:rPr>
      </w:pPr>
    </w:p>
    <w:p>
      <w:pPr>
        <w:pStyle w:val="14"/>
        <w:tabs>
          <w:tab w:val="left" w:pos="5580"/>
        </w:tabs>
        <w:spacing w:line="360" w:lineRule="exact"/>
        <w:jc w:val="right"/>
        <w:rPr>
          <w:rFonts w:hAnsi="宋体" w:cs="宋体"/>
          <w:szCs w:val="21"/>
        </w:rPr>
      </w:pPr>
    </w:p>
    <w:p>
      <w:pPr>
        <w:pStyle w:val="14"/>
        <w:tabs>
          <w:tab w:val="left" w:pos="5580"/>
        </w:tabs>
        <w:spacing w:line="360" w:lineRule="exact"/>
        <w:jc w:val="right"/>
        <w:rPr>
          <w:rFonts w:hAnsi="宋体" w:cs="宋体"/>
          <w:szCs w:val="21"/>
        </w:rPr>
      </w:pPr>
      <w:r>
        <w:rPr>
          <w:rFonts w:hint="eastAsia" w:hAnsi="宋体" w:cs="宋体"/>
          <w:szCs w:val="21"/>
        </w:rPr>
        <w:t xml:space="preserve">年   月   日 </w:t>
      </w:r>
    </w:p>
    <w:p>
      <w:pPr>
        <w:pStyle w:val="14"/>
        <w:tabs>
          <w:tab w:val="left" w:pos="5580"/>
        </w:tabs>
        <w:spacing w:line="240" w:lineRule="atLeast"/>
        <w:rPr>
          <w:rFonts w:hAnsi="宋体" w:cs="宋体"/>
          <w:b/>
          <w:szCs w:val="21"/>
        </w:rPr>
      </w:pPr>
    </w:p>
    <w:p>
      <w:pPr>
        <w:pStyle w:val="5"/>
        <w:spacing w:before="0" w:line="240" w:lineRule="atLeast"/>
        <w:jc w:val="both"/>
        <w:rPr>
          <w:rFonts w:ascii="仿宋_GB2312" w:hAnsi="宋体" w:eastAsia="仿宋_GB2312"/>
          <w:sz w:val="24"/>
        </w:rPr>
      </w:pPr>
      <w:r>
        <w:rPr>
          <w:rFonts w:ascii="仿宋_GB2312" w:hAnsi="宋体" w:eastAsia="仿宋_GB2312"/>
          <w:sz w:val="24"/>
        </w:rPr>
        <w:br w:type="page"/>
      </w:r>
      <w:bookmarkStart w:id="282" w:name="_Toc24620"/>
      <w:bookmarkStart w:id="283" w:name="_Toc29177"/>
      <w:bookmarkStart w:id="284" w:name="_Toc31700"/>
      <w:bookmarkStart w:id="285" w:name="_Toc32520"/>
      <w:bookmarkStart w:id="286" w:name="_Toc7039"/>
      <w:bookmarkStart w:id="287" w:name="_Toc515647808"/>
      <w:bookmarkStart w:id="288" w:name="_Toc19580"/>
      <w:r>
        <w:rPr>
          <w:rFonts w:hint="eastAsia" w:ascii="仿宋_GB2312" w:hAnsi="宋体" w:eastAsia="仿宋_GB2312"/>
          <w:sz w:val="24"/>
        </w:rPr>
        <w:t xml:space="preserve">5  </w:t>
      </w:r>
      <w:bookmarkEnd w:id="282"/>
      <w:r>
        <w:rPr>
          <w:rFonts w:hint="eastAsia" w:ascii="仿宋_GB2312" w:hAnsi="宋体" w:eastAsia="仿宋_GB2312"/>
          <w:sz w:val="24"/>
        </w:rPr>
        <w:t>社保部门出具的供应商单位缴纳的近6个月中任意1个月社保证明缴费凭证；</w:t>
      </w:r>
      <w:bookmarkEnd w:id="283"/>
      <w:bookmarkEnd w:id="284"/>
    </w:p>
    <w:p>
      <w:pPr>
        <w:pStyle w:val="8"/>
        <w:rPr>
          <w:rFonts w:ascii="仿宋_GB2312" w:hAnsi="宋体" w:eastAsia="仿宋_GB2312"/>
        </w:rPr>
      </w:pPr>
    </w:p>
    <w:p>
      <w:pPr>
        <w:rPr>
          <w:rFonts w:ascii="仿宋_GB2312" w:hAnsi="宋体" w:eastAsia="仿宋_GB2312"/>
          <w:sz w:val="24"/>
        </w:rPr>
      </w:pPr>
    </w:p>
    <w:p>
      <w:pPr>
        <w:pStyle w:val="21"/>
      </w:pPr>
    </w:p>
    <w:p>
      <w:pPr>
        <w:pStyle w:val="21"/>
      </w:pPr>
    </w:p>
    <w:p>
      <w:pPr>
        <w:pStyle w:val="21"/>
        <w:rPr>
          <w:rFonts w:ascii="仿宋_GB2312" w:hAnsi="宋体" w:eastAsia="仿宋_GB2312"/>
          <w:sz w:val="24"/>
        </w:rPr>
      </w:pPr>
    </w:p>
    <w:p>
      <w:pPr>
        <w:pStyle w:val="21"/>
        <w:outlineLvl w:val="1"/>
        <w:rPr>
          <w:rFonts w:ascii="仿宋_GB2312" w:hAnsi="宋体" w:eastAsia="仿宋_GB2312"/>
          <w:b/>
          <w:kern w:val="0"/>
          <w:sz w:val="24"/>
          <w:szCs w:val="20"/>
        </w:rPr>
      </w:pPr>
      <w:bookmarkStart w:id="289" w:name="_Toc22902"/>
      <w:bookmarkStart w:id="290" w:name="_Toc29253"/>
      <w:bookmarkStart w:id="291" w:name="_Toc23237"/>
      <w:r>
        <w:rPr>
          <w:rFonts w:hint="eastAsia" w:ascii="仿宋_GB2312" w:hAnsi="宋体" w:eastAsia="仿宋_GB2312"/>
          <w:b/>
          <w:kern w:val="0"/>
          <w:sz w:val="24"/>
          <w:szCs w:val="20"/>
        </w:rPr>
        <w:t xml:space="preserve">6  </w:t>
      </w:r>
      <w:bookmarkEnd w:id="289"/>
      <w:r>
        <w:rPr>
          <w:rFonts w:hint="eastAsia" w:ascii="仿宋_GB2312" w:hAnsi="宋体" w:eastAsia="仿宋_GB2312"/>
          <w:b/>
          <w:kern w:val="0"/>
          <w:sz w:val="24"/>
          <w:szCs w:val="20"/>
        </w:rPr>
        <w:t>具有税务局开具依法缴纳近6个月中任意1个月税收证明的良好记录（完税证明），依法免缴的应提供依法免缴的相关证明文件或零申报报表</w:t>
      </w:r>
      <w:bookmarkEnd w:id="290"/>
      <w:bookmarkEnd w:id="291"/>
    </w:p>
    <w:p>
      <w:pPr>
        <w:pStyle w:val="21"/>
        <w:rPr>
          <w:rFonts w:ascii="仿宋_GB2312" w:hAnsi="宋体" w:eastAsia="仿宋_GB2312"/>
          <w:b/>
          <w:kern w:val="0"/>
          <w:sz w:val="24"/>
          <w:szCs w:val="20"/>
        </w:rPr>
      </w:pPr>
    </w:p>
    <w:p>
      <w:pPr>
        <w:pStyle w:val="21"/>
        <w:rPr>
          <w:rFonts w:ascii="仿宋_GB2312" w:hAnsi="宋体" w:eastAsia="仿宋_GB2312"/>
          <w:b/>
          <w:kern w:val="0"/>
          <w:sz w:val="24"/>
          <w:szCs w:val="20"/>
        </w:rPr>
      </w:pPr>
    </w:p>
    <w:p>
      <w:pPr>
        <w:pStyle w:val="21"/>
        <w:rPr>
          <w:rFonts w:ascii="仿宋_GB2312" w:hAnsi="宋体" w:eastAsia="仿宋_GB2312"/>
          <w:b/>
          <w:kern w:val="0"/>
          <w:sz w:val="24"/>
          <w:szCs w:val="20"/>
        </w:rPr>
      </w:pPr>
    </w:p>
    <w:p>
      <w:pPr>
        <w:pStyle w:val="21"/>
        <w:rPr>
          <w:rFonts w:ascii="仿宋_GB2312" w:hAnsi="宋体" w:eastAsia="仿宋_GB2312"/>
          <w:b/>
          <w:kern w:val="0"/>
          <w:sz w:val="24"/>
          <w:szCs w:val="20"/>
        </w:rPr>
      </w:pPr>
    </w:p>
    <w:p>
      <w:pPr>
        <w:pStyle w:val="21"/>
        <w:outlineLvl w:val="1"/>
        <w:rPr>
          <w:rFonts w:ascii="仿宋_GB2312" w:eastAsia="仿宋_GB2312"/>
          <w:b/>
          <w:sz w:val="24"/>
        </w:rPr>
      </w:pPr>
      <w:bookmarkStart w:id="292" w:name="_Toc19865"/>
      <w:bookmarkStart w:id="293" w:name="_Toc5113"/>
      <w:bookmarkStart w:id="294" w:name="_Toc8073"/>
      <w:r>
        <w:rPr>
          <w:rFonts w:hint="eastAsia" w:ascii="仿宋_GB2312" w:hAnsi="宋体" w:eastAsia="仿宋_GB2312"/>
          <w:b/>
          <w:kern w:val="0"/>
          <w:sz w:val="24"/>
          <w:szCs w:val="20"/>
        </w:rPr>
        <w:t>7  提供2021年或2022年度的财务审计报告（新成立公司需提供银行资信证明）</w:t>
      </w:r>
      <w:bookmarkEnd w:id="285"/>
      <w:bookmarkEnd w:id="286"/>
      <w:bookmarkEnd w:id="287"/>
      <w:bookmarkEnd w:id="288"/>
      <w:bookmarkEnd w:id="292"/>
      <w:bookmarkEnd w:id="293"/>
      <w:bookmarkEnd w:id="294"/>
    </w:p>
    <w:p>
      <w:pPr>
        <w:tabs>
          <w:tab w:val="left" w:pos="5580"/>
        </w:tabs>
        <w:spacing w:line="240" w:lineRule="atLeast"/>
        <w:ind w:left="1079" w:leftChars="257" w:hanging="540"/>
        <w:rPr>
          <w:rFonts w:ascii="仿宋_GB2312" w:eastAsia="仿宋_GB2312"/>
          <w:sz w:val="24"/>
        </w:rPr>
      </w:pPr>
      <w:r>
        <w:rPr>
          <w:rFonts w:hint="eastAsia" w:ascii="仿宋_GB2312" w:eastAsia="仿宋_GB2312"/>
          <w:sz w:val="24"/>
        </w:rPr>
        <w:t>说明：</w:t>
      </w:r>
    </w:p>
    <w:p>
      <w:pPr>
        <w:tabs>
          <w:tab w:val="left" w:pos="5580"/>
        </w:tabs>
        <w:spacing w:line="240" w:lineRule="atLeast"/>
        <w:ind w:left="540"/>
        <w:rPr>
          <w:rFonts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银行出具的证明文件。银行证明文件可提供扫描件加盖公章，也可提供银行在开标日前三个月内开具证明文件的复印件。若提供的是复印件，招标采购单位保留审核原件的权利。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79" w:leftChars="257" w:hanging="540"/>
        <w:rPr>
          <w:rFonts w:ascii="仿宋_GB2312" w:eastAsia="仿宋_GB2312"/>
          <w:sz w:val="24"/>
        </w:rPr>
      </w:pPr>
    </w:p>
    <w:p>
      <w:pPr>
        <w:pStyle w:val="21"/>
      </w:pPr>
    </w:p>
    <w:p>
      <w:pPr>
        <w:pStyle w:val="21"/>
      </w:pPr>
    </w:p>
    <w:p>
      <w:pPr>
        <w:pStyle w:val="21"/>
      </w:pPr>
    </w:p>
    <w:p>
      <w:pPr>
        <w:pStyle w:val="21"/>
      </w:pPr>
    </w:p>
    <w:p>
      <w:pPr>
        <w:pStyle w:val="5"/>
        <w:spacing w:before="0" w:line="240" w:lineRule="atLeast"/>
        <w:jc w:val="both"/>
        <w:rPr>
          <w:rFonts w:ascii="仿宋_GB2312" w:hAnsi="宋体" w:eastAsia="仿宋_GB2312"/>
          <w:sz w:val="24"/>
        </w:rPr>
      </w:pPr>
      <w:bookmarkStart w:id="295" w:name="_Toc12917"/>
      <w:bookmarkStart w:id="296" w:name="_Toc6107"/>
      <w:bookmarkStart w:id="297" w:name="_Toc5621"/>
      <w:r>
        <w:rPr>
          <w:rFonts w:hint="eastAsia" w:ascii="仿宋_GB2312" w:eastAsia="仿宋_GB2312"/>
          <w:sz w:val="24"/>
        </w:rPr>
        <w:t xml:space="preserve">8 </w:t>
      </w:r>
      <w:r>
        <w:rPr>
          <w:rFonts w:hint="eastAsia" w:ascii="仿宋_GB2312" w:hAnsi="宋体" w:eastAsia="仿宋_GB2312"/>
          <w:sz w:val="24"/>
        </w:rPr>
        <w:t>参加政府采购活动前3年内在经营活动中没有重大违法记录的书面声明</w:t>
      </w:r>
      <w:bookmarkEnd w:id="295"/>
      <w:bookmarkEnd w:id="296"/>
      <w:bookmarkEnd w:id="297"/>
    </w:p>
    <w:p>
      <w:pPr>
        <w:pStyle w:val="14"/>
        <w:tabs>
          <w:tab w:val="left" w:pos="5580"/>
        </w:tabs>
        <w:spacing w:line="240" w:lineRule="atLeast"/>
        <w:ind w:left="1079" w:leftChars="257" w:hanging="540"/>
        <w:rPr>
          <w:rFonts w:ascii="仿宋_GB2312" w:hAnsi="宋体" w:eastAsia="仿宋_GB2312"/>
          <w:b/>
          <w:kern w:val="0"/>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spacing w:line="240" w:lineRule="atLeast"/>
        <w:rPr>
          <w:rFonts w:ascii="仿宋_GB2312" w:hAnsi="宋体" w:eastAsia="仿宋_GB2312"/>
          <w:sz w:val="24"/>
        </w:rPr>
      </w:pPr>
    </w:p>
    <w:p>
      <w:pPr>
        <w:spacing w:line="240" w:lineRule="atLeast"/>
        <w:rPr>
          <w:rFonts w:ascii="仿宋_GB2312" w:hAnsi="宋体" w:eastAsia="仿宋_GB2312"/>
          <w:sz w:val="24"/>
        </w:rPr>
      </w:pPr>
    </w:p>
    <w:p>
      <w:pPr>
        <w:pStyle w:val="8"/>
      </w:pPr>
    </w:p>
    <w:p>
      <w:pPr>
        <w:spacing w:line="240" w:lineRule="atLeast"/>
        <w:rPr>
          <w:rFonts w:ascii="仿宋_GB2312" w:hAnsi="宋体" w:eastAsia="仿宋_GB2312"/>
          <w:sz w:val="24"/>
        </w:rPr>
      </w:pPr>
    </w:p>
    <w:p>
      <w:pPr>
        <w:pStyle w:val="5"/>
        <w:spacing w:before="0" w:line="240" w:lineRule="atLeast"/>
        <w:jc w:val="both"/>
        <w:rPr>
          <w:rFonts w:ascii="仿宋_GB2312" w:hAnsi="宋体" w:eastAsia="仿宋_GB2312"/>
          <w:sz w:val="24"/>
        </w:rPr>
      </w:pPr>
      <w:bookmarkStart w:id="298" w:name="_Toc14376"/>
      <w:bookmarkStart w:id="299" w:name="_Toc31224"/>
      <w:bookmarkStart w:id="300" w:name="_Toc12551"/>
      <w:r>
        <w:rPr>
          <w:rFonts w:hint="eastAsia" w:ascii="仿宋_GB2312" w:hAnsi="宋体" w:eastAsia="仿宋_GB2312"/>
          <w:sz w:val="24"/>
        </w:rPr>
        <w:t>9 提供针对本次项目的反商业贿赂承诺书</w:t>
      </w:r>
      <w:bookmarkEnd w:id="298"/>
      <w:bookmarkEnd w:id="299"/>
      <w:bookmarkStart w:id="301" w:name="_Toc515647809"/>
      <w:bookmarkStart w:id="302" w:name="_Toc11047"/>
      <w:bookmarkStart w:id="303" w:name="_Toc6715"/>
      <w:bookmarkStart w:id="304" w:name="_Toc28445"/>
    </w:p>
    <w:p>
      <w:pPr>
        <w:spacing w:line="240" w:lineRule="atLeast"/>
        <w:rPr>
          <w:rFonts w:ascii="仿宋_GB2312" w:hAnsi="宋体" w:eastAsia="仿宋_GB2312"/>
          <w:sz w:val="24"/>
        </w:rPr>
      </w:pPr>
    </w:p>
    <w:p>
      <w:pPr>
        <w:spacing w:line="240" w:lineRule="atLeast"/>
        <w:rPr>
          <w:rFonts w:ascii="仿宋_GB2312" w:hAnsi="宋体" w:eastAsia="仿宋_GB2312"/>
          <w:sz w:val="24"/>
        </w:rPr>
      </w:pPr>
    </w:p>
    <w:p>
      <w:pPr>
        <w:spacing w:line="240" w:lineRule="atLeast"/>
        <w:rPr>
          <w:rFonts w:ascii="仿宋_GB2312" w:hAnsi="宋体" w:eastAsia="仿宋_GB2312"/>
          <w:sz w:val="24"/>
        </w:rPr>
      </w:pPr>
    </w:p>
    <w:p>
      <w:pPr>
        <w:pStyle w:val="5"/>
        <w:spacing w:before="0" w:line="240" w:lineRule="atLeast"/>
        <w:jc w:val="both"/>
        <w:rPr>
          <w:rFonts w:ascii="仿宋_GB2312" w:eastAsia="仿宋_GB2312"/>
          <w:sz w:val="24"/>
        </w:rPr>
      </w:pPr>
      <w:bookmarkStart w:id="305" w:name="_Toc204"/>
      <w:bookmarkStart w:id="306" w:name="_Toc30408"/>
      <w:r>
        <w:rPr>
          <w:rFonts w:hint="eastAsia" w:ascii="仿宋_GB2312" w:eastAsia="仿宋_GB2312"/>
          <w:sz w:val="24"/>
        </w:rPr>
        <w:t>10</w:t>
      </w:r>
      <w:r>
        <w:rPr>
          <w:rFonts w:ascii="仿宋_GB2312" w:hAnsi="宋体" w:eastAsia="仿宋_GB2312"/>
          <w:sz w:val="24"/>
        </w:rPr>
        <w:t xml:space="preserve">  </w:t>
      </w:r>
      <w:bookmarkEnd w:id="301"/>
      <w:bookmarkEnd w:id="302"/>
      <w:bookmarkEnd w:id="303"/>
      <w:bookmarkEnd w:id="304"/>
      <w:r>
        <w:rPr>
          <w:rFonts w:hint="eastAsia" w:ascii="仿宋_GB2312" w:hAnsi="宋体" w:eastAsia="仿宋_GB2312"/>
          <w:sz w:val="24"/>
        </w:rPr>
        <w:t>持保证金银行缴款凭证</w:t>
      </w:r>
      <w:bookmarkEnd w:id="300"/>
      <w:bookmarkEnd w:id="305"/>
      <w:bookmarkEnd w:id="306"/>
    </w:p>
    <w:p>
      <w:pPr>
        <w:ind w:firstLine="420" w:firstLineChars="200"/>
        <w:rPr>
          <w:rFonts w:ascii="仿宋" w:hAnsi="仿宋" w:eastAsia="仿宋"/>
        </w:rPr>
      </w:pPr>
      <w:bookmarkStart w:id="307" w:name="_Toc494296991"/>
      <w:bookmarkStart w:id="308" w:name="_Toc494296665"/>
      <w:r>
        <w:rPr>
          <w:rFonts w:hint="eastAsia" w:ascii="仿宋" w:hAnsi="仿宋" w:eastAsia="仿宋"/>
        </w:rPr>
        <w:t>投标人可将本项目投标保证金支付的汇款凭证、</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格式三）,将扫描件加盖公章装订</w:t>
      </w:r>
      <w:r>
        <w:rPr>
          <w:rFonts w:ascii="仿宋" w:hAnsi="仿宋" w:eastAsia="仿宋"/>
        </w:rPr>
        <w:t>在本部分正本中</w:t>
      </w:r>
      <w:r>
        <w:rPr>
          <w:rFonts w:hint="eastAsia" w:ascii="仿宋" w:hAnsi="仿宋" w:eastAsia="仿宋"/>
        </w:rPr>
        <w:t>。</w:t>
      </w:r>
      <w:bookmarkEnd w:id="307"/>
      <w:bookmarkEnd w:id="308"/>
    </w:p>
    <w:p>
      <w:pPr>
        <w:pageBreakBefore/>
        <w:jc w:val="center"/>
        <w:rPr>
          <w:rFonts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格式三）</w:t>
      </w:r>
    </w:p>
    <w:p>
      <w:pPr>
        <w:ind w:firstLine="6720" w:firstLineChars="3200"/>
        <w:rPr>
          <w:rFonts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p>
    <w:p>
      <w:pPr>
        <w:spacing w:line="260" w:lineRule="exact"/>
        <w:rPr>
          <w:rFonts w:ascii="仿宋" w:hAnsi="仿宋" w:eastAsia="仿宋"/>
        </w:rPr>
      </w:pPr>
      <w:r>
        <w:rPr>
          <w:rFonts w:hint="eastAsia" w:ascii="仿宋" w:hAnsi="仿宋" w:eastAsia="仿宋"/>
          <w:u w:val="single"/>
        </w:rPr>
        <w:t xml:space="preserve">                  </w:t>
      </w:r>
      <w:r>
        <w:rPr>
          <w:rFonts w:hint="eastAsia" w:ascii="仿宋" w:hAnsi="仿宋" w:eastAsia="仿宋"/>
        </w:rPr>
        <w:t>（采购人或采购代理机构）：</w:t>
      </w:r>
    </w:p>
    <w:p>
      <w:pPr>
        <w:spacing w:line="260" w:lineRule="exact"/>
        <w:ind w:firstLine="420" w:firstLineChars="200"/>
        <w:rPr>
          <w:rFonts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spacing w:line="260" w:lineRule="exact"/>
        <w:rPr>
          <w:rFonts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260" w:lineRule="exact"/>
        <w:ind w:firstLine="420" w:firstLineChars="200"/>
        <w:rPr>
          <w:rFonts w:ascii="仿宋" w:hAnsi="仿宋" w:eastAsia="仿宋"/>
        </w:rPr>
      </w:pPr>
      <w:r>
        <w:rPr>
          <w:rFonts w:hint="eastAsia" w:ascii="仿宋" w:hAnsi="仿宋" w:eastAsia="仿宋"/>
        </w:rPr>
        <w:t>一、保证责任的情形及保证金额</w:t>
      </w:r>
    </w:p>
    <w:p>
      <w:pPr>
        <w:spacing w:line="260" w:lineRule="exact"/>
        <w:ind w:firstLine="210" w:firstLineChars="100"/>
        <w:rPr>
          <w:rFonts w:ascii="仿宋" w:hAnsi="仿宋" w:eastAsia="仿宋"/>
        </w:rPr>
      </w:pPr>
      <w:r>
        <w:rPr>
          <w:rFonts w:hint="eastAsia" w:ascii="仿宋" w:hAnsi="仿宋" w:eastAsia="仿宋"/>
        </w:rPr>
        <w:t>（一）在投标人出现下列情形之一时，我方承担保证责任：</w:t>
      </w:r>
    </w:p>
    <w:p>
      <w:pPr>
        <w:spacing w:line="260" w:lineRule="exact"/>
        <w:ind w:firstLine="420" w:firstLineChars="200"/>
        <w:rPr>
          <w:rFonts w:ascii="仿宋" w:hAnsi="仿宋" w:eastAsia="仿宋"/>
        </w:rPr>
      </w:pPr>
      <w:r>
        <w:rPr>
          <w:rFonts w:hint="eastAsia" w:ascii="仿宋" w:hAnsi="仿宋" w:eastAsia="仿宋"/>
        </w:rPr>
        <w:t>1．中标后投标人无正当理由不与采购人或者采购代理机构签订《政府采购合同》；</w:t>
      </w:r>
    </w:p>
    <w:p>
      <w:pPr>
        <w:spacing w:line="260" w:lineRule="exact"/>
        <w:ind w:firstLine="420" w:firstLineChars="200"/>
        <w:rPr>
          <w:rFonts w:ascii="仿宋" w:hAnsi="仿宋" w:eastAsia="仿宋"/>
        </w:rPr>
      </w:pPr>
      <w:r>
        <w:rPr>
          <w:rFonts w:hint="eastAsia" w:ascii="仿宋" w:hAnsi="仿宋" w:eastAsia="仿宋"/>
        </w:rPr>
        <w:t>2．招标文件规定的投标人应当缴纳保证金的其他情形。</w:t>
      </w:r>
    </w:p>
    <w:p>
      <w:pPr>
        <w:spacing w:line="260" w:lineRule="exact"/>
        <w:ind w:firstLine="210" w:firstLineChars="100"/>
        <w:rPr>
          <w:rFonts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spacing w:line="260" w:lineRule="exact"/>
        <w:ind w:firstLine="420" w:firstLineChars="200"/>
        <w:rPr>
          <w:rFonts w:ascii="仿宋" w:hAnsi="仿宋" w:eastAsia="仿宋"/>
        </w:rPr>
      </w:pPr>
      <w:r>
        <w:rPr>
          <w:rFonts w:hint="eastAsia" w:ascii="仿宋" w:hAnsi="仿宋" w:eastAsia="仿宋"/>
        </w:rPr>
        <w:t>二、保证的方式及保证期间</w:t>
      </w:r>
    </w:p>
    <w:p>
      <w:pPr>
        <w:spacing w:line="260" w:lineRule="exact"/>
        <w:ind w:firstLine="420" w:firstLineChars="200"/>
        <w:rPr>
          <w:rFonts w:ascii="仿宋" w:hAnsi="仿宋" w:eastAsia="仿宋"/>
        </w:rPr>
      </w:pPr>
      <w:r>
        <w:rPr>
          <w:rFonts w:hint="eastAsia" w:ascii="仿宋" w:hAnsi="仿宋" w:eastAsia="仿宋"/>
        </w:rPr>
        <w:t>我方保证的方式为：连带责任保证。</w:t>
      </w:r>
    </w:p>
    <w:p>
      <w:pPr>
        <w:spacing w:line="260" w:lineRule="exact"/>
        <w:ind w:firstLine="420" w:firstLineChars="200"/>
        <w:rPr>
          <w:rFonts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spacing w:line="260" w:lineRule="exact"/>
        <w:ind w:firstLine="420" w:firstLineChars="200"/>
        <w:rPr>
          <w:rFonts w:ascii="仿宋" w:hAnsi="仿宋" w:eastAsia="仿宋"/>
        </w:rPr>
      </w:pPr>
      <w:r>
        <w:rPr>
          <w:rFonts w:hint="eastAsia" w:ascii="仿宋" w:hAnsi="仿宋" w:eastAsia="仿宋"/>
        </w:rPr>
        <w:t>三、承担保证责任的程序</w:t>
      </w:r>
    </w:p>
    <w:p>
      <w:pPr>
        <w:spacing w:line="260" w:lineRule="exact"/>
        <w:ind w:firstLine="420" w:firstLineChars="200"/>
        <w:rPr>
          <w:rFonts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260" w:lineRule="exact"/>
        <w:ind w:firstLine="420" w:firstLineChars="200"/>
        <w:rPr>
          <w:rFonts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spacing w:line="260" w:lineRule="exact"/>
        <w:ind w:firstLine="420" w:firstLineChars="200"/>
        <w:rPr>
          <w:rFonts w:ascii="仿宋" w:hAnsi="仿宋" w:eastAsia="仿宋"/>
        </w:rPr>
      </w:pPr>
      <w:r>
        <w:rPr>
          <w:rFonts w:hint="eastAsia" w:ascii="仿宋" w:hAnsi="仿宋" w:eastAsia="仿宋"/>
        </w:rPr>
        <w:t>四、保证责任的终止</w:t>
      </w:r>
    </w:p>
    <w:p>
      <w:pPr>
        <w:spacing w:line="260" w:lineRule="exact"/>
        <w:ind w:firstLine="420" w:firstLineChars="200"/>
        <w:rPr>
          <w:rFonts w:ascii="仿宋" w:hAnsi="仿宋" w:eastAsia="仿宋"/>
        </w:rPr>
      </w:pPr>
      <w:r>
        <w:rPr>
          <w:rFonts w:hint="eastAsia" w:ascii="仿宋" w:hAnsi="仿宋" w:eastAsia="仿宋"/>
        </w:rPr>
        <w:t>1．保证期间届满你方未向我方书面主张保证责任的，自保证期间届满次日起，我方保证责任自动终止。</w:t>
      </w:r>
    </w:p>
    <w:p>
      <w:pPr>
        <w:spacing w:line="260" w:lineRule="exact"/>
        <w:ind w:firstLine="420" w:firstLineChars="200"/>
        <w:rPr>
          <w:rFonts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spacing w:line="260" w:lineRule="exact"/>
        <w:ind w:firstLine="420" w:firstLineChars="200"/>
        <w:rPr>
          <w:rFonts w:ascii="仿宋" w:hAnsi="仿宋" w:eastAsia="仿宋"/>
        </w:rPr>
      </w:pPr>
      <w:r>
        <w:rPr>
          <w:rFonts w:hint="eastAsia" w:ascii="仿宋" w:hAnsi="仿宋" w:eastAsia="仿宋"/>
        </w:rPr>
        <w:t>3．按照法律法规的规定或出现我方保证责任终止的其它情形的，我方在本保函项下的保证责任亦终止。</w:t>
      </w:r>
    </w:p>
    <w:p>
      <w:pPr>
        <w:spacing w:line="260" w:lineRule="exact"/>
        <w:ind w:firstLine="420" w:firstLineChars="200"/>
        <w:rPr>
          <w:rFonts w:ascii="仿宋" w:hAnsi="仿宋" w:eastAsia="仿宋"/>
        </w:rPr>
      </w:pPr>
      <w:r>
        <w:rPr>
          <w:rFonts w:hint="eastAsia" w:ascii="仿宋" w:hAnsi="仿宋" w:eastAsia="仿宋"/>
        </w:rPr>
        <w:t>五、免责条款</w:t>
      </w:r>
    </w:p>
    <w:p>
      <w:pPr>
        <w:spacing w:line="260" w:lineRule="exact"/>
        <w:ind w:firstLine="420" w:firstLineChars="200"/>
        <w:rPr>
          <w:rFonts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spacing w:line="260" w:lineRule="exact"/>
        <w:ind w:firstLine="420" w:firstLineChars="200"/>
        <w:rPr>
          <w:rFonts w:ascii="仿宋" w:hAnsi="仿宋" w:eastAsia="仿宋"/>
        </w:rPr>
      </w:pPr>
      <w:r>
        <w:rPr>
          <w:rFonts w:hint="eastAsia" w:ascii="仿宋" w:hAnsi="仿宋" w:eastAsia="仿宋"/>
        </w:rPr>
        <w:t>2．因你方原因致使投标人发生本保函第一条第（一）款约定情形的，我方不承担保证责任。</w:t>
      </w:r>
    </w:p>
    <w:p>
      <w:pPr>
        <w:spacing w:line="260" w:lineRule="exact"/>
        <w:ind w:firstLine="420" w:firstLineChars="200"/>
        <w:rPr>
          <w:rFonts w:ascii="仿宋" w:hAnsi="仿宋" w:eastAsia="仿宋"/>
        </w:rPr>
      </w:pPr>
      <w:r>
        <w:rPr>
          <w:rFonts w:hint="eastAsia" w:ascii="仿宋" w:hAnsi="仿宋" w:eastAsia="仿宋"/>
        </w:rPr>
        <w:t>3．因不可抗力造成投标人发生本保函第一条约定情形的，我方不承担保证责任。</w:t>
      </w:r>
    </w:p>
    <w:p>
      <w:pPr>
        <w:spacing w:line="260" w:lineRule="exact"/>
        <w:ind w:firstLine="420" w:firstLineChars="200"/>
        <w:rPr>
          <w:rFonts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spacing w:line="260" w:lineRule="exact"/>
        <w:ind w:firstLine="420" w:firstLineChars="200"/>
        <w:rPr>
          <w:rFonts w:ascii="仿宋" w:hAnsi="仿宋" w:eastAsia="仿宋"/>
        </w:rPr>
      </w:pPr>
      <w:r>
        <w:rPr>
          <w:rFonts w:hint="eastAsia" w:ascii="仿宋" w:hAnsi="仿宋" w:eastAsia="仿宋"/>
        </w:rPr>
        <w:t>六、争议的解决</w:t>
      </w:r>
    </w:p>
    <w:p>
      <w:pPr>
        <w:spacing w:line="260" w:lineRule="exact"/>
        <w:ind w:firstLine="420" w:firstLineChars="200"/>
        <w:rPr>
          <w:rFonts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spacing w:line="260" w:lineRule="exact"/>
        <w:ind w:firstLine="420" w:firstLineChars="200"/>
        <w:rPr>
          <w:rFonts w:ascii="仿宋" w:hAnsi="仿宋" w:eastAsia="仿宋"/>
        </w:rPr>
      </w:pPr>
      <w:r>
        <w:rPr>
          <w:rFonts w:hint="eastAsia" w:ascii="仿宋" w:hAnsi="仿宋" w:eastAsia="仿宋"/>
        </w:rPr>
        <w:t>七、保函的生效</w:t>
      </w:r>
    </w:p>
    <w:p>
      <w:pPr>
        <w:spacing w:line="260" w:lineRule="exact"/>
        <w:ind w:firstLine="420" w:firstLineChars="200"/>
        <w:rPr>
          <w:rFonts w:ascii="仿宋" w:hAnsi="仿宋" w:eastAsia="仿宋"/>
        </w:rPr>
      </w:pPr>
      <w:r>
        <w:rPr>
          <w:rFonts w:hint="eastAsia" w:ascii="仿宋" w:hAnsi="仿宋" w:eastAsia="仿宋"/>
        </w:rPr>
        <w:t>本保函自我方加盖公章之日起生效。</w:t>
      </w:r>
    </w:p>
    <w:p>
      <w:pPr>
        <w:spacing w:line="260" w:lineRule="exact"/>
        <w:ind w:firstLine="5565" w:firstLineChars="2650"/>
        <w:rPr>
          <w:rFonts w:ascii="仿宋" w:hAnsi="仿宋" w:eastAsia="仿宋"/>
        </w:rPr>
      </w:pPr>
      <w:r>
        <w:rPr>
          <w:rFonts w:hint="eastAsia" w:ascii="仿宋" w:hAnsi="仿宋" w:eastAsia="仿宋"/>
        </w:rPr>
        <w:t>保证人：（公章）</w:t>
      </w:r>
    </w:p>
    <w:p>
      <w:pPr>
        <w:spacing w:line="260" w:lineRule="exact"/>
        <w:rPr>
          <w:rFonts w:ascii="仿宋" w:hAnsi="仿宋" w:eastAsia="仿宋"/>
        </w:rPr>
      </w:pPr>
      <w:r>
        <w:rPr>
          <w:rFonts w:ascii="仿宋" w:hAnsi="仿宋" w:eastAsia="仿宋"/>
        </w:rPr>
        <w:t xml:space="preserve">                               </w:t>
      </w:r>
    </w:p>
    <w:p>
      <w:pPr>
        <w:spacing w:line="260" w:lineRule="exact"/>
        <w:ind w:firstLine="5775" w:firstLineChars="2750"/>
        <w:rPr>
          <w:rFonts w:ascii="仿宋" w:hAnsi="仿宋" w:eastAsia="仿宋"/>
        </w:rPr>
      </w:pPr>
      <w:r>
        <w:rPr>
          <w:rFonts w:hint="eastAsia" w:ascii="仿宋" w:hAnsi="仿宋" w:eastAsia="仿宋"/>
        </w:rPr>
        <w:t>年     月      日</w:t>
      </w:r>
    </w:p>
    <w:p>
      <w:pPr>
        <w:pStyle w:val="8"/>
        <w:rPr>
          <w:rFonts w:ascii="仿宋" w:hAnsi="仿宋" w:eastAsia="仿宋"/>
        </w:rPr>
      </w:pPr>
    </w:p>
    <w:p>
      <w:pPr>
        <w:rPr>
          <w:rFonts w:ascii="仿宋" w:hAnsi="仿宋" w:eastAsia="仿宋"/>
        </w:rPr>
      </w:pPr>
    </w:p>
    <w:p>
      <w:pPr>
        <w:pStyle w:val="8"/>
      </w:pPr>
    </w:p>
    <w:p>
      <w:pPr>
        <w:pStyle w:val="21"/>
        <w:rPr>
          <w:rFonts w:ascii="仿宋" w:hAnsi="仿宋" w:eastAsia="仿宋"/>
        </w:rPr>
      </w:pPr>
    </w:p>
    <w:p>
      <w:pPr>
        <w:pStyle w:val="21"/>
        <w:rPr>
          <w:rFonts w:ascii="仿宋" w:hAnsi="仿宋" w:eastAsia="仿宋"/>
        </w:rPr>
      </w:pPr>
    </w:p>
    <w:p>
      <w:pPr>
        <w:pStyle w:val="14"/>
        <w:tabs>
          <w:tab w:val="left" w:pos="5580"/>
        </w:tabs>
        <w:spacing w:line="240" w:lineRule="atLeast"/>
        <w:outlineLvl w:val="1"/>
        <w:rPr>
          <w:rFonts w:ascii="仿宋_GB2312" w:hAnsi="宋体" w:eastAsia="仿宋_GB2312"/>
          <w:b/>
          <w:kern w:val="0"/>
          <w:sz w:val="24"/>
        </w:rPr>
      </w:pPr>
      <w:bookmarkStart w:id="309" w:name="_Toc30744"/>
      <w:bookmarkStart w:id="310" w:name="_Toc25113"/>
      <w:bookmarkStart w:id="311" w:name="_Toc515647813"/>
      <w:bookmarkStart w:id="312" w:name="_Toc29703"/>
      <w:bookmarkStart w:id="313" w:name="_Toc17207"/>
      <w:bookmarkStart w:id="314" w:name="_Toc18875"/>
      <w:r>
        <w:rPr>
          <w:rFonts w:hint="eastAsia" w:ascii="仿宋_GB2312" w:hAnsi="宋体" w:eastAsia="仿宋_GB2312"/>
          <w:b/>
          <w:kern w:val="0"/>
          <w:sz w:val="24"/>
        </w:rPr>
        <w:t>11  投标人须知资料表要求的其他资格证明文件</w:t>
      </w:r>
      <w:bookmarkEnd w:id="309"/>
      <w:bookmarkEnd w:id="310"/>
      <w:bookmarkEnd w:id="311"/>
      <w:bookmarkEnd w:id="312"/>
      <w:bookmarkEnd w:id="313"/>
      <w:bookmarkEnd w:id="314"/>
    </w:p>
    <w:p>
      <w:pPr>
        <w:spacing w:line="240" w:lineRule="atLeast"/>
        <w:rPr>
          <w:rFonts w:ascii="仿宋_GB2312" w:hAnsi="宋体" w:eastAsia="仿宋_GB2312"/>
          <w:b/>
          <w:bCs/>
          <w:sz w:val="24"/>
        </w:rPr>
      </w:pPr>
    </w:p>
    <w:p>
      <w:pPr>
        <w:spacing w:line="240" w:lineRule="atLeast"/>
        <w:ind w:left="1079" w:leftChars="257" w:hanging="540"/>
        <w:jc w:val="center"/>
        <w:rPr>
          <w:rFonts w:ascii="仿宋_GB2312" w:hAnsi="宋体" w:eastAsia="仿宋_GB2312"/>
          <w:b/>
          <w:bCs/>
          <w:sz w:val="24"/>
        </w:rPr>
      </w:pP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w:t>
      </w:r>
    </w:p>
    <w:p>
      <w:pPr>
        <w:pStyle w:val="14"/>
        <w:tabs>
          <w:tab w:val="left" w:pos="5580"/>
        </w:tabs>
        <w:spacing w:line="240" w:lineRule="atLeast"/>
        <w:ind w:left="1260" w:leftChars="344" w:hanging="538"/>
        <w:rPr>
          <w:rFonts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14"/>
        <w:tabs>
          <w:tab w:val="left" w:pos="5580"/>
        </w:tabs>
        <w:spacing w:line="240" w:lineRule="atLeast"/>
        <w:rPr>
          <w:rFonts w:ascii="仿宋_GB2312" w:eastAsia="仿宋_GB2312"/>
          <w:sz w:val="24"/>
        </w:rPr>
      </w:pPr>
    </w:p>
    <w:p>
      <w:pPr>
        <w:pStyle w:val="14"/>
        <w:tabs>
          <w:tab w:val="left" w:pos="5580"/>
        </w:tabs>
        <w:spacing w:line="240" w:lineRule="atLeast"/>
        <w:rPr>
          <w:rFonts w:ascii="仿宋_GB2312" w:hAnsi="宋体" w:eastAsia="仿宋_GB2312"/>
          <w:sz w:val="24"/>
        </w:rPr>
      </w:pPr>
      <w:r>
        <w:rPr>
          <w:rFonts w:ascii="仿宋_GB2312" w:hAnsi="宋体" w:eastAsia="仿宋_GB2312"/>
          <w:sz w:val="24"/>
        </w:rPr>
        <w:t xml:space="preserve"> </w:t>
      </w:r>
    </w:p>
    <w:p>
      <w:pPr>
        <w:pStyle w:val="5"/>
        <w:spacing w:before="0" w:line="240" w:lineRule="atLeast"/>
        <w:ind w:left="1079" w:leftChars="257" w:hanging="540"/>
        <w:rPr>
          <w:rFonts w:ascii="仿宋_GB2312" w:hAnsi="宋体" w:eastAsia="仿宋_GB2312"/>
          <w:sz w:val="24"/>
        </w:rPr>
      </w:pPr>
      <w:bookmarkStart w:id="315" w:name="_Toc6819"/>
      <w:bookmarkStart w:id="316" w:name="_Toc515647816"/>
      <w:bookmarkStart w:id="317" w:name="_Toc11180"/>
      <w:bookmarkStart w:id="318" w:name="_Toc22967"/>
      <w:bookmarkStart w:id="319" w:name="_Toc14505"/>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315"/>
      <w:bookmarkEnd w:id="316"/>
      <w:bookmarkEnd w:id="317"/>
      <w:bookmarkEnd w:id="318"/>
      <w:bookmarkEnd w:id="319"/>
    </w:p>
    <w:p>
      <w:pPr>
        <w:pStyle w:val="14"/>
        <w:ind w:left="1079" w:leftChars="257" w:hanging="540"/>
        <w:rPr>
          <w:rFonts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格式五）</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pStyle w:val="14"/>
        <w:ind w:left="1079" w:leftChars="257" w:hanging="540"/>
        <w:rPr>
          <w:rFonts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pStyle w:val="14"/>
        <w:ind w:left="1079" w:leftChars="257" w:hanging="54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、货物说明一览表（</w:t>
      </w:r>
      <w:r>
        <w:rPr>
          <w:rFonts w:ascii="仿宋_GB2312" w:hAnsi="宋体" w:eastAsia="仿宋_GB2312"/>
          <w:sz w:val="24"/>
        </w:rPr>
        <w:t>投标文件</w:t>
      </w:r>
      <w:r>
        <w:rPr>
          <w:rFonts w:hint="eastAsia" w:ascii="仿宋_GB2312" w:hAnsi="宋体" w:eastAsia="仿宋_GB2312"/>
          <w:sz w:val="24"/>
        </w:rPr>
        <w:t>格式八）</w:t>
      </w:r>
    </w:p>
    <w:p>
      <w:pPr>
        <w:pStyle w:val="14"/>
        <w:ind w:left="1079" w:leftChars="257" w:hanging="54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、技术规格偏离表（</w:t>
      </w:r>
      <w:r>
        <w:rPr>
          <w:rFonts w:ascii="仿宋_GB2312" w:hAnsi="宋体" w:eastAsia="仿宋_GB2312"/>
          <w:sz w:val="24"/>
        </w:rPr>
        <w:t>投标文件</w:t>
      </w:r>
      <w:r>
        <w:rPr>
          <w:rFonts w:hint="eastAsia" w:ascii="仿宋_GB2312" w:hAnsi="宋体" w:eastAsia="仿宋_GB2312"/>
          <w:sz w:val="24"/>
        </w:rPr>
        <w:t>格式九）</w:t>
      </w:r>
    </w:p>
    <w:p>
      <w:pPr>
        <w:pStyle w:val="14"/>
        <w:ind w:left="1079" w:leftChars="257" w:hanging="54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格式十）</w:t>
      </w:r>
    </w:p>
    <w:p>
      <w:pPr>
        <w:pStyle w:val="14"/>
        <w:ind w:left="1079" w:leftChars="257" w:hanging="540"/>
        <w:rPr>
          <w:rFonts w:ascii="仿宋_GB2312" w:hAnsi="宋体" w:eastAsia="仿宋_GB2312"/>
          <w:sz w:val="24"/>
        </w:rPr>
      </w:pPr>
      <w:r>
        <w:rPr>
          <w:rFonts w:ascii="仿宋_GB2312" w:hAnsi="宋体" w:eastAsia="仿宋_GB2312"/>
          <w:sz w:val="24"/>
        </w:rPr>
        <w:t>7</w:t>
      </w:r>
      <w:r>
        <w:rPr>
          <w:rFonts w:hint="eastAsia" w:ascii="仿宋_GB2312" w:hAnsi="宋体" w:eastAsia="仿宋_GB2312"/>
          <w:sz w:val="24"/>
        </w:rPr>
        <w:t>、符合《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14"/>
        <w:ind w:left="310" w:leftChars="148" w:firstLine="228"/>
        <w:rPr>
          <w:rFonts w:ascii="仿宋_GB2312" w:hAnsi="宋体" w:eastAsia="仿宋_GB2312"/>
          <w:sz w:val="24"/>
        </w:rPr>
      </w:pPr>
      <w:r>
        <w:rPr>
          <w:rFonts w:ascii="仿宋_GB2312" w:hAnsi="宋体" w:eastAsia="仿宋_GB2312"/>
          <w:sz w:val="24"/>
        </w:rPr>
        <w:t>7-1</w:t>
      </w:r>
      <w:r>
        <w:rPr>
          <w:rFonts w:hint="eastAsia" w:ascii="仿宋_GB2312" w:hAnsi="宋体" w:eastAsia="仿宋_GB2312"/>
          <w:sz w:val="24"/>
        </w:rPr>
        <w:t>《</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格式十一）</w:t>
      </w:r>
    </w:p>
    <w:p>
      <w:pPr>
        <w:pStyle w:val="14"/>
        <w:ind w:left="310" w:leftChars="148" w:firstLine="228"/>
        <w:rPr>
          <w:rFonts w:ascii="仿宋_GB2312" w:hAnsi="宋体" w:eastAsia="仿宋_GB2312"/>
          <w:sz w:val="24"/>
        </w:rPr>
      </w:pPr>
      <w:r>
        <w:rPr>
          <w:rFonts w:ascii="仿宋_GB2312" w:hAnsi="宋体" w:eastAsia="仿宋_GB2312"/>
          <w:sz w:val="24"/>
        </w:rPr>
        <w:t>7-</w:t>
      </w:r>
      <w:r>
        <w:rPr>
          <w:rFonts w:hint="eastAsia" w:ascii="仿宋_GB2312" w:hAnsi="宋体" w:eastAsia="仿宋_GB2312"/>
          <w:sz w:val="24"/>
        </w:rPr>
        <w:t>2《残疾人福利性单位声明函》（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ind w:firstLine="480" w:firstLineChars="200"/>
        <w:rPr>
          <w:rFonts w:eastAsia="仿宋_GB2312"/>
        </w:rPr>
      </w:pPr>
      <w:r>
        <w:rPr>
          <w:rFonts w:hint="eastAsia" w:ascii="仿宋_GB2312" w:hAnsi="宋体" w:eastAsia="仿宋_GB2312"/>
          <w:sz w:val="24"/>
        </w:rPr>
        <w:t>7-3 分包协议  ★</w:t>
      </w:r>
      <w:r>
        <w:rPr>
          <w:rFonts w:hint="eastAsia" w:ascii="仿宋_GB2312" w:hAnsi="宋体" w:eastAsia="仿宋_GB2312"/>
          <w:b/>
          <w:bCs/>
          <w:sz w:val="24"/>
        </w:rPr>
        <w:t>大型企业须提供合同分包协议（格式自拟），未提供的供应商投标无效（</w:t>
      </w:r>
      <w:r>
        <w:rPr>
          <w:rFonts w:hint="eastAsia" w:ascii="仿宋_GB2312" w:hAnsi="宋体" w:eastAsia="仿宋_GB2312"/>
          <w:sz w:val="24"/>
        </w:rPr>
        <w:t>本项目预留项目预算总额的40%以上须分包给中小微企业采购</w:t>
      </w:r>
      <w:r>
        <w:rPr>
          <w:rFonts w:hint="eastAsia" w:ascii="仿宋_GB2312" w:hAnsi="宋体" w:eastAsia="仿宋_GB2312"/>
          <w:b/>
          <w:bCs/>
          <w:sz w:val="24"/>
        </w:rPr>
        <w:t>）；中小企业投标须提供中小企业声明函。</w:t>
      </w:r>
    </w:p>
    <w:p>
      <w:pPr>
        <w:pStyle w:val="14"/>
        <w:ind w:left="310" w:leftChars="148" w:firstLine="228"/>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14"/>
        <w:ind w:left="1079" w:leftChars="257" w:hanging="540"/>
        <w:rPr>
          <w:rFonts w:ascii="仿宋_GB2312" w:eastAsia="仿宋_GB2312"/>
          <w:sz w:val="24"/>
        </w:rPr>
      </w:pPr>
      <w:r>
        <w:rPr>
          <w:rFonts w:ascii="仿宋_GB2312" w:hAnsi="宋体" w:eastAsia="仿宋_GB2312"/>
          <w:sz w:val="24"/>
        </w:rPr>
        <w:t>9</w:t>
      </w:r>
      <w:r>
        <w:rPr>
          <w:rFonts w:hint="eastAsia" w:ascii="仿宋_GB2312" w:hAnsi="宋体" w:eastAsia="仿宋_GB2312"/>
          <w:sz w:val="24"/>
        </w:rPr>
        <w:t>、投标文件还应包括投标人须知第10条的所有技术文件</w:t>
      </w:r>
    </w:p>
    <w:p>
      <w:pPr>
        <w:pStyle w:val="14"/>
        <w:tabs>
          <w:tab w:val="left" w:pos="5580"/>
        </w:tabs>
        <w:spacing w:line="240" w:lineRule="atLeast"/>
        <w:ind w:left="1079" w:leftChars="257" w:hanging="540"/>
        <w:rPr>
          <w:rFonts w:ascii="仿宋_GB2312" w:hAnsi="宋体" w:eastAsia="仿宋_GB2312"/>
          <w:sz w:val="24"/>
        </w:rPr>
      </w:pPr>
      <w:r>
        <w:rPr>
          <w:rFonts w:ascii="仿宋_GB2312" w:hAnsi="宋体" w:eastAsia="仿宋_GB2312"/>
          <w:sz w:val="24"/>
        </w:rPr>
        <w:br w:type="page"/>
      </w:r>
    </w:p>
    <w:p>
      <w:pPr>
        <w:pStyle w:val="5"/>
        <w:spacing w:before="0" w:line="240" w:lineRule="atLeast"/>
        <w:ind w:left="1079" w:leftChars="257" w:hanging="540"/>
        <w:rPr>
          <w:rFonts w:ascii="仿宋_GB2312" w:hAnsi="宋体" w:eastAsia="仿宋_GB2312"/>
          <w:sz w:val="24"/>
        </w:rPr>
      </w:pPr>
      <w:bookmarkStart w:id="320" w:name="_Toc30279"/>
      <w:bookmarkStart w:id="321" w:name="_Toc515647817"/>
      <w:bookmarkStart w:id="322" w:name="_Toc2041"/>
      <w:bookmarkStart w:id="323" w:name="_Toc4369"/>
      <w:bookmarkStart w:id="324" w:name="_Toc14915"/>
      <w:r>
        <w:rPr>
          <w:rFonts w:hint="eastAsia" w:ascii="仿宋_GB2312" w:hAnsi="宋体" w:eastAsia="仿宋_GB2312"/>
          <w:sz w:val="24"/>
        </w:rPr>
        <w:t xml:space="preserve">1   </w:t>
      </w:r>
      <w:bookmarkStart w:id="325" w:name="_Hlt520355504"/>
      <w:bookmarkEnd w:id="325"/>
      <w:r>
        <w:rPr>
          <w:rFonts w:hint="eastAsia" w:ascii="仿宋_GB2312" w:hAnsi="宋体" w:eastAsia="仿宋_GB2312"/>
          <w:sz w:val="24"/>
        </w:rPr>
        <w:t>投标</w:t>
      </w:r>
      <w:bookmarkEnd w:id="259"/>
      <w:bookmarkEnd w:id="260"/>
      <w:r>
        <w:rPr>
          <w:rFonts w:hint="eastAsia" w:ascii="仿宋_GB2312" w:hAnsi="宋体" w:eastAsia="仿宋_GB2312"/>
          <w:sz w:val="24"/>
        </w:rPr>
        <w:t>书</w:t>
      </w:r>
      <w:bookmarkEnd w:id="261"/>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262"/>
      <w:bookmarkEnd w:id="320"/>
      <w:bookmarkEnd w:id="321"/>
      <w:bookmarkEnd w:id="322"/>
      <w:bookmarkEnd w:id="323"/>
      <w:bookmarkEnd w:id="324"/>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14"/>
        <w:tabs>
          <w:tab w:val="left" w:pos="5580"/>
        </w:tabs>
        <w:spacing w:line="240" w:lineRule="atLeast"/>
        <w:ind w:left="1079" w:leftChars="257" w:hanging="540"/>
        <w:rPr>
          <w:rFonts w:ascii="仿宋_GB2312" w:hAnsi="宋体" w:eastAsia="仿宋_GB2312"/>
          <w:sz w:val="24"/>
        </w:rPr>
      </w:pPr>
    </w:p>
    <w:p>
      <w:pPr>
        <w:pStyle w:val="14"/>
        <w:tabs>
          <w:tab w:val="left" w:pos="5580"/>
        </w:tabs>
        <w:spacing w:line="240" w:lineRule="atLeast"/>
        <w:ind w:left="2" w:leftChars="1" w:firstLine="480" w:firstLineChars="200"/>
        <w:rPr>
          <w:rFonts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据此，签字代表宣布同意如下：</w:t>
      </w:r>
    </w:p>
    <w:p>
      <w:pPr>
        <w:pStyle w:val="14"/>
        <w:tabs>
          <w:tab w:val="left" w:pos="720"/>
          <w:tab w:val="left" w:pos="900"/>
        </w:tabs>
        <w:spacing w:line="240" w:lineRule="atLeast"/>
        <w:ind w:left="768" w:leftChars="257" w:hanging="229"/>
        <w:rPr>
          <w:rFonts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（9）按照招标文件的规定履行合同责任和义务。</w:t>
      </w:r>
    </w:p>
    <w:p>
      <w:pPr>
        <w:pStyle w:val="14"/>
        <w:tabs>
          <w:tab w:val="left" w:pos="5580"/>
        </w:tabs>
        <w:spacing w:line="240" w:lineRule="atLeast"/>
        <w:ind w:left="358" w:leftChars="68" w:hanging="216" w:hangingChars="90"/>
        <w:rPr>
          <w:rFonts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14"/>
        <w:tabs>
          <w:tab w:val="left" w:pos="5580"/>
        </w:tabs>
        <w:spacing w:line="240" w:lineRule="atLeast"/>
        <w:ind w:left="1079" w:leftChars="257" w:hanging="540"/>
        <w:rPr>
          <w:rFonts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14"/>
        <w:tabs>
          <w:tab w:val="left" w:pos="5580"/>
        </w:tabs>
        <w:spacing w:line="240" w:lineRule="atLeast"/>
        <w:ind w:left="1079" w:leftChars="257" w:hanging="540"/>
        <w:rPr>
          <w:rFonts w:ascii="仿宋_GB2312" w:hAnsi="宋体" w:eastAsia="仿宋_GB2312"/>
          <w:sz w:val="24"/>
        </w:rPr>
      </w:pP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法定代表人或其委托代理人签字-----------------</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投标人名称（全称）-----------------</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投标人单位章-------------------------</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5"/>
        <w:spacing w:before="0" w:line="240" w:lineRule="atLeast"/>
        <w:rPr>
          <w:rFonts w:ascii="仿宋_GB2312" w:eastAsia="仿宋_GB2312"/>
          <w:sz w:val="24"/>
        </w:rPr>
      </w:pPr>
      <w:r>
        <w:rPr>
          <w:rFonts w:ascii="仿宋_GB2312" w:hAnsi="宋体" w:eastAsia="仿宋_GB2312"/>
          <w:sz w:val="24"/>
        </w:rPr>
        <w:br w:type="page"/>
      </w:r>
      <w:bookmarkStart w:id="326" w:name="_Toc23473"/>
      <w:bookmarkStart w:id="327" w:name="_Toc5166"/>
      <w:bookmarkStart w:id="328" w:name="_Toc1266"/>
      <w:bookmarkStart w:id="329" w:name="_Toc29955"/>
      <w:r>
        <w:rPr>
          <w:rFonts w:ascii="仿宋_GB2312" w:hAnsi="宋体" w:eastAsia="仿宋_GB2312"/>
          <w:sz w:val="24"/>
        </w:rPr>
        <w:t>2</w:t>
      </w:r>
      <w:r>
        <w:rPr>
          <w:rFonts w:hint="eastAsia" w:ascii="仿宋_GB2312" w:hAnsi="宋体" w:eastAsia="仿宋_GB2312"/>
          <w:sz w:val="24"/>
        </w:rPr>
        <w:t xml:space="preserve">   投标保证金缴纳凭证复印件或投标担保函</w:t>
      </w:r>
      <w:bookmarkEnd w:id="326"/>
      <w:bookmarkEnd w:id="327"/>
      <w:bookmarkEnd w:id="328"/>
      <w:bookmarkEnd w:id="329"/>
    </w:p>
    <w:p>
      <w:pPr>
        <w:ind w:firstLine="420" w:firstLineChars="200"/>
        <w:rPr>
          <w:rFonts w:ascii="仿宋_GB2312" w:hAnsi="宋体" w:eastAsia="仿宋_GB2312"/>
          <w:sz w:val="24"/>
        </w:rPr>
      </w:pPr>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格式六）,将扫描件加盖公章装订</w:t>
      </w:r>
      <w:r>
        <w:rPr>
          <w:rFonts w:ascii="仿宋" w:hAnsi="仿宋" w:eastAsia="仿宋"/>
        </w:rPr>
        <w:t>在本部分正本中</w:t>
      </w:r>
      <w:r>
        <w:rPr>
          <w:rFonts w:hint="eastAsia" w:ascii="仿宋" w:hAnsi="仿宋" w:eastAsia="仿宋"/>
        </w:rPr>
        <w:t>。</w:t>
      </w:r>
    </w:p>
    <w:p>
      <w:pPr>
        <w:jc w:val="center"/>
        <w:rPr>
          <w:rFonts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格式六）</w:t>
      </w:r>
    </w:p>
    <w:p>
      <w:pPr>
        <w:ind w:firstLine="6720" w:firstLineChars="3200"/>
        <w:rPr>
          <w:rFonts w:ascii="仿宋" w:hAnsi="仿宋" w:eastAsia="仿宋"/>
        </w:rPr>
      </w:pPr>
      <w:r>
        <w:rPr>
          <w:rFonts w:hint="eastAsia" w:ascii="仿宋" w:hAnsi="仿宋" w:eastAsia="仿宋"/>
        </w:rPr>
        <w:t>编号：</w:t>
      </w:r>
    </w:p>
    <w:p>
      <w:pPr>
        <w:spacing w:line="240" w:lineRule="exact"/>
        <w:rPr>
          <w:rFonts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spacing w:line="240" w:lineRule="exact"/>
        <w:ind w:firstLine="420" w:firstLineChars="200"/>
        <w:rPr>
          <w:rFonts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spacing w:line="240" w:lineRule="exact"/>
        <w:rPr>
          <w:rFonts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240" w:lineRule="exact"/>
        <w:ind w:firstLine="420" w:firstLineChars="200"/>
        <w:rPr>
          <w:rFonts w:ascii="仿宋" w:hAnsi="仿宋" w:eastAsia="仿宋"/>
        </w:rPr>
      </w:pPr>
      <w:r>
        <w:rPr>
          <w:rFonts w:hint="eastAsia" w:ascii="仿宋" w:hAnsi="仿宋" w:eastAsia="仿宋"/>
        </w:rPr>
        <w:t>一、保证责任的情形及保证金额</w:t>
      </w:r>
    </w:p>
    <w:p>
      <w:pPr>
        <w:spacing w:line="240" w:lineRule="exact"/>
        <w:ind w:firstLine="210" w:firstLineChars="100"/>
        <w:rPr>
          <w:rFonts w:ascii="仿宋" w:hAnsi="仿宋" w:eastAsia="仿宋"/>
        </w:rPr>
      </w:pPr>
      <w:r>
        <w:rPr>
          <w:rFonts w:hint="eastAsia" w:ascii="仿宋" w:hAnsi="仿宋" w:eastAsia="仿宋"/>
        </w:rPr>
        <w:t>（一）在投标人出现下列情形之一时，我方承担保证责任：</w:t>
      </w:r>
    </w:p>
    <w:p>
      <w:pPr>
        <w:spacing w:line="240" w:lineRule="exact"/>
        <w:ind w:firstLine="420" w:firstLineChars="200"/>
        <w:rPr>
          <w:rFonts w:ascii="仿宋" w:hAnsi="仿宋" w:eastAsia="仿宋"/>
        </w:rPr>
      </w:pPr>
      <w:r>
        <w:rPr>
          <w:rFonts w:hint="eastAsia" w:ascii="仿宋" w:hAnsi="仿宋" w:eastAsia="仿宋"/>
        </w:rPr>
        <w:t>1．中标后投标人无正当理由不与采购人或者采购代理机构签订《政府采购合同》；</w:t>
      </w:r>
    </w:p>
    <w:p>
      <w:pPr>
        <w:spacing w:line="240" w:lineRule="exact"/>
        <w:ind w:firstLine="420" w:firstLineChars="200"/>
        <w:rPr>
          <w:rFonts w:ascii="仿宋" w:hAnsi="仿宋" w:eastAsia="仿宋"/>
        </w:rPr>
      </w:pPr>
      <w:r>
        <w:rPr>
          <w:rFonts w:hint="eastAsia" w:ascii="仿宋" w:hAnsi="仿宋" w:eastAsia="仿宋"/>
        </w:rPr>
        <w:t>2．招标文件规定的投标人应当缴纳保证金的其他情形。</w:t>
      </w:r>
    </w:p>
    <w:p>
      <w:pPr>
        <w:spacing w:line="240" w:lineRule="exact"/>
        <w:ind w:firstLine="210" w:firstLineChars="100"/>
        <w:rPr>
          <w:rFonts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spacing w:line="240" w:lineRule="exact"/>
        <w:ind w:firstLine="420" w:firstLineChars="200"/>
        <w:rPr>
          <w:rFonts w:ascii="仿宋" w:hAnsi="仿宋" w:eastAsia="仿宋"/>
        </w:rPr>
      </w:pPr>
      <w:r>
        <w:rPr>
          <w:rFonts w:hint="eastAsia" w:ascii="仿宋" w:hAnsi="仿宋" w:eastAsia="仿宋"/>
        </w:rPr>
        <w:t>二、保证的方式及保证期间</w:t>
      </w:r>
    </w:p>
    <w:p>
      <w:pPr>
        <w:spacing w:line="240" w:lineRule="exact"/>
        <w:ind w:firstLine="420" w:firstLineChars="200"/>
        <w:rPr>
          <w:rFonts w:ascii="仿宋" w:hAnsi="仿宋" w:eastAsia="仿宋"/>
        </w:rPr>
      </w:pPr>
      <w:r>
        <w:rPr>
          <w:rFonts w:hint="eastAsia" w:ascii="仿宋" w:hAnsi="仿宋" w:eastAsia="仿宋"/>
        </w:rPr>
        <w:t>我方保证的方式为：连带责任保证。</w:t>
      </w:r>
    </w:p>
    <w:p>
      <w:pPr>
        <w:spacing w:line="240" w:lineRule="exact"/>
        <w:ind w:firstLine="420" w:firstLineChars="200"/>
        <w:rPr>
          <w:rFonts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spacing w:line="240" w:lineRule="exact"/>
        <w:ind w:firstLine="420" w:firstLineChars="200"/>
        <w:rPr>
          <w:rFonts w:ascii="仿宋" w:hAnsi="仿宋" w:eastAsia="仿宋"/>
        </w:rPr>
      </w:pPr>
      <w:r>
        <w:rPr>
          <w:rFonts w:hint="eastAsia" w:ascii="仿宋" w:hAnsi="仿宋" w:eastAsia="仿宋"/>
        </w:rPr>
        <w:t>三、承担保证责任的程序</w:t>
      </w:r>
    </w:p>
    <w:p>
      <w:pPr>
        <w:spacing w:line="240" w:lineRule="exact"/>
        <w:ind w:firstLine="420" w:firstLineChars="200"/>
        <w:rPr>
          <w:rFonts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240" w:lineRule="exact"/>
        <w:ind w:firstLine="420" w:firstLineChars="200"/>
        <w:rPr>
          <w:rFonts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spacing w:line="240" w:lineRule="exact"/>
        <w:ind w:firstLine="420" w:firstLineChars="200"/>
        <w:rPr>
          <w:rFonts w:ascii="仿宋" w:hAnsi="仿宋" w:eastAsia="仿宋"/>
        </w:rPr>
      </w:pPr>
      <w:r>
        <w:rPr>
          <w:rFonts w:hint="eastAsia" w:ascii="仿宋" w:hAnsi="仿宋" w:eastAsia="仿宋"/>
        </w:rPr>
        <w:t>四、保证责任的终止</w:t>
      </w:r>
    </w:p>
    <w:p>
      <w:pPr>
        <w:spacing w:line="240" w:lineRule="exact"/>
        <w:ind w:firstLine="420" w:firstLineChars="200"/>
        <w:rPr>
          <w:rFonts w:ascii="仿宋" w:hAnsi="仿宋" w:eastAsia="仿宋"/>
        </w:rPr>
      </w:pPr>
      <w:r>
        <w:rPr>
          <w:rFonts w:hint="eastAsia" w:ascii="仿宋" w:hAnsi="仿宋" w:eastAsia="仿宋"/>
        </w:rPr>
        <w:t>1．保证期间届满你方未向我方书面主张保证责任的，自保证期间届满次日起，我方保证责任自动终止。</w:t>
      </w:r>
    </w:p>
    <w:p>
      <w:pPr>
        <w:spacing w:line="240" w:lineRule="exact"/>
        <w:ind w:firstLine="420" w:firstLineChars="200"/>
        <w:rPr>
          <w:rFonts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spacing w:line="240" w:lineRule="exact"/>
        <w:ind w:firstLine="420" w:firstLineChars="200"/>
        <w:rPr>
          <w:rFonts w:ascii="仿宋" w:hAnsi="仿宋" w:eastAsia="仿宋"/>
        </w:rPr>
      </w:pPr>
      <w:r>
        <w:rPr>
          <w:rFonts w:hint="eastAsia" w:ascii="仿宋" w:hAnsi="仿宋" w:eastAsia="仿宋"/>
        </w:rPr>
        <w:t>3．按照法律法规的规定或出现我方保证责任终止的其它情形的，我方在本保函项下的保证责任亦终止。</w:t>
      </w:r>
    </w:p>
    <w:p>
      <w:pPr>
        <w:spacing w:line="240" w:lineRule="exact"/>
        <w:ind w:firstLine="420" w:firstLineChars="200"/>
        <w:rPr>
          <w:rFonts w:ascii="仿宋" w:hAnsi="仿宋" w:eastAsia="仿宋"/>
        </w:rPr>
      </w:pPr>
      <w:r>
        <w:rPr>
          <w:rFonts w:hint="eastAsia" w:ascii="仿宋" w:hAnsi="仿宋" w:eastAsia="仿宋"/>
        </w:rPr>
        <w:t>五、免责条款</w:t>
      </w:r>
    </w:p>
    <w:p>
      <w:pPr>
        <w:spacing w:line="240" w:lineRule="exact"/>
        <w:ind w:firstLine="420" w:firstLineChars="200"/>
        <w:rPr>
          <w:rFonts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spacing w:line="240" w:lineRule="exact"/>
        <w:ind w:firstLine="420" w:firstLineChars="200"/>
        <w:rPr>
          <w:rFonts w:ascii="仿宋" w:hAnsi="仿宋" w:eastAsia="仿宋"/>
        </w:rPr>
      </w:pPr>
      <w:r>
        <w:rPr>
          <w:rFonts w:hint="eastAsia" w:ascii="仿宋" w:hAnsi="仿宋" w:eastAsia="仿宋"/>
        </w:rPr>
        <w:t>2．因你方原因致使投标人发生本保函第一条第（一）款约定情形的，我方不承担保证责任。</w:t>
      </w:r>
    </w:p>
    <w:p>
      <w:pPr>
        <w:spacing w:line="240" w:lineRule="exact"/>
        <w:ind w:firstLine="420" w:firstLineChars="200"/>
        <w:rPr>
          <w:rFonts w:ascii="仿宋" w:hAnsi="仿宋" w:eastAsia="仿宋"/>
        </w:rPr>
      </w:pPr>
      <w:r>
        <w:rPr>
          <w:rFonts w:hint="eastAsia" w:ascii="仿宋" w:hAnsi="仿宋" w:eastAsia="仿宋"/>
        </w:rPr>
        <w:t>3．因不可抗力造成投标人发生本保函第一条约定情形的，我方不承担保证责任。</w:t>
      </w:r>
    </w:p>
    <w:p>
      <w:pPr>
        <w:spacing w:line="240" w:lineRule="exact"/>
        <w:ind w:firstLine="420" w:firstLineChars="200"/>
        <w:rPr>
          <w:rFonts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spacing w:line="240" w:lineRule="exact"/>
        <w:ind w:firstLine="420" w:firstLineChars="200"/>
        <w:rPr>
          <w:rFonts w:ascii="仿宋" w:hAnsi="仿宋" w:eastAsia="仿宋"/>
        </w:rPr>
      </w:pPr>
      <w:r>
        <w:rPr>
          <w:rFonts w:hint="eastAsia" w:ascii="仿宋" w:hAnsi="仿宋" w:eastAsia="仿宋"/>
        </w:rPr>
        <w:t>六、争议的解决</w:t>
      </w:r>
    </w:p>
    <w:p>
      <w:pPr>
        <w:spacing w:line="240" w:lineRule="exact"/>
        <w:ind w:firstLine="420" w:firstLineChars="200"/>
        <w:rPr>
          <w:rFonts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spacing w:line="240" w:lineRule="exact"/>
        <w:ind w:firstLine="420" w:firstLineChars="200"/>
        <w:rPr>
          <w:rFonts w:ascii="仿宋" w:hAnsi="仿宋" w:eastAsia="仿宋"/>
        </w:rPr>
      </w:pPr>
      <w:r>
        <w:rPr>
          <w:rFonts w:hint="eastAsia" w:ascii="仿宋" w:hAnsi="仿宋" w:eastAsia="仿宋"/>
        </w:rPr>
        <w:t>七、保函的生效</w:t>
      </w:r>
    </w:p>
    <w:p>
      <w:pPr>
        <w:spacing w:line="240" w:lineRule="exact"/>
        <w:ind w:firstLine="420" w:firstLineChars="200"/>
        <w:rPr>
          <w:rFonts w:ascii="仿宋" w:hAnsi="仿宋" w:eastAsia="仿宋"/>
        </w:rPr>
      </w:pPr>
      <w:r>
        <w:rPr>
          <w:rFonts w:hint="eastAsia" w:ascii="仿宋" w:hAnsi="仿宋" w:eastAsia="仿宋"/>
        </w:rPr>
        <w:t>本保函自我方加盖公章之日起生效。</w:t>
      </w:r>
    </w:p>
    <w:p>
      <w:pPr>
        <w:spacing w:line="240" w:lineRule="exact"/>
        <w:ind w:firstLine="5565" w:firstLineChars="2650"/>
        <w:rPr>
          <w:rFonts w:ascii="仿宋" w:hAnsi="仿宋" w:eastAsia="仿宋"/>
        </w:rPr>
      </w:pPr>
      <w:r>
        <w:rPr>
          <w:rFonts w:hint="eastAsia" w:ascii="仿宋" w:hAnsi="仿宋" w:eastAsia="仿宋"/>
        </w:rPr>
        <w:t>保证人：（公章）</w:t>
      </w:r>
    </w:p>
    <w:p>
      <w:pPr>
        <w:spacing w:line="240" w:lineRule="exact"/>
        <w:rPr>
          <w:rFonts w:ascii="仿宋" w:hAnsi="仿宋" w:eastAsia="仿宋"/>
        </w:rPr>
      </w:pPr>
      <w:r>
        <w:rPr>
          <w:rFonts w:ascii="仿宋" w:hAnsi="仿宋" w:eastAsia="仿宋"/>
        </w:rPr>
        <w:t xml:space="preserve">                               </w:t>
      </w:r>
    </w:p>
    <w:p>
      <w:pPr>
        <w:spacing w:line="240" w:lineRule="exact"/>
        <w:ind w:firstLine="5775" w:firstLineChars="2750"/>
        <w:rPr>
          <w:rFonts w:ascii="仿宋" w:hAnsi="仿宋" w:eastAsia="仿宋"/>
        </w:rPr>
      </w:pPr>
      <w:r>
        <w:rPr>
          <w:rFonts w:hint="eastAsia" w:ascii="仿宋" w:hAnsi="仿宋" w:eastAsia="仿宋"/>
        </w:rPr>
        <w:t>年     月      日</w:t>
      </w:r>
    </w:p>
    <w:p>
      <w:pPr>
        <w:pStyle w:val="14"/>
        <w:tabs>
          <w:tab w:val="left" w:pos="5580"/>
        </w:tabs>
        <w:spacing w:line="240" w:lineRule="exact"/>
        <w:ind w:left="1079" w:leftChars="257" w:hanging="540"/>
        <w:rPr>
          <w:rFonts w:ascii="仿宋_GB2312" w:hAnsi="宋体" w:eastAsia="仿宋_GB2312"/>
          <w:sz w:val="24"/>
        </w:rPr>
        <w:sectPr>
          <w:headerReference r:id="rId5" w:type="default"/>
          <w:footerReference r:id="rId6" w:type="default"/>
          <w:pgSz w:w="11906" w:h="16838"/>
          <w:pgMar w:top="1134" w:right="1417" w:bottom="1134" w:left="1417" w:header="851" w:footer="992" w:gutter="0"/>
          <w:cols w:space="720" w:num="1"/>
          <w:docGrid w:type="linesAndChars" w:linePitch="312" w:charSpace="0"/>
        </w:sectPr>
      </w:pPr>
      <w:bookmarkStart w:id="330" w:name="_Hlt520356243"/>
      <w:bookmarkEnd w:id="330"/>
      <w:bookmarkStart w:id="331" w:name="_Hlt520355938"/>
      <w:bookmarkEnd w:id="331"/>
    </w:p>
    <w:p>
      <w:pPr>
        <w:pStyle w:val="5"/>
        <w:spacing w:before="0" w:line="240" w:lineRule="atLeast"/>
        <w:ind w:left="1080" w:leftChars="257" w:hanging="540"/>
        <w:rPr>
          <w:rFonts w:ascii="仿宋_GB2312" w:eastAsia="仿宋_GB2312"/>
          <w:sz w:val="24"/>
        </w:rPr>
      </w:pPr>
      <w:bookmarkStart w:id="332" w:name="_Toc216582815"/>
      <w:bookmarkStart w:id="333" w:name="_Toc27150"/>
      <w:bookmarkStart w:id="334" w:name="_Toc135"/>
      <w:bookmarkStart w:id="335" w:name="_Toc1881"/>
      <w:bookmarkStart w:id="336" w:name="_Toc20897"/>
      <w:bookmarkStart w:id="337" w:name="_Toc515647818"/>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bookmarkEnd w:id="332"/>
      <w:r>
        <w:rPr>
          <w:rFonts w:hint="eastAsia" w:ascii="仿宋_GB2312" w:eastAsia="仿宋_GB2312"/>
          <w:sz w:val="24"/>
        </w:rPr>
        <w:t>-设备部分（</w:t>
      </w:r>
      <w:r>
        <w:rPr>
          <w:rFonts w:ascii="仿宋_GB2312" w:eastAsia="仿宋_GB2312"/>
          <w:sz w:val="24"/>
        </w:rPr>
        <w:t>投标文件</w:t>
      </w:r>
      <w:r>
        <w:rPr>
          <w:rFonts w:hint="eastAsia" w:ascii="仿宋_GB2312" w:eastAsia="仿宋_GB2312"/>
          <w:sz w:val="24"/>
        </w:rPr>
        <w:t>格式七）</w:t>
      </w:r>
      <w:bookmarkEnd w:id="333"/>
      <w:bookmarkEnd w:id="334"/>
      <w:bookmarkEnd w:id="335"/>
      <w:bookmarkEnd w:id="336"/>
      <w:bookmarkEnd w:id="337"/>
    </w:p>
    <w:p>
      <w:pPr>
        <w:pStyle w:val="14"/>
        <w:spacing w:line="240" w:lineRule="atLeast"/>
        <w:ind w:left="1080" w:leftChars="257" w:hanging="540"/>
        <w:rPr>
          <w:rFonts w:ascii="仿宋_GB2312" w:eastAsia="仿宋_GB2312"/>
          <w:sz w:val="24"/>
        </w:rPr>
      </w:pPr>
    </w:p>
    <w:p>
      <w:pPr>
        <w:pStyle w:val="14"/>
        <w:spacing w:line="240" w:lineRule="atLeast"/>
        <w:ind w:left="1080" w:leftChars="257" w:hanging="540"/>
        <w:rPr>
          <w:rFonts w:ascii="仿宋_GB2312" w:eastAsia="仿宋_GB2312"/>
          <w:sz w:val="24"/>
        </w:rPr>
      </w:pPr>
      <w:r>
        <w:rPr>
          <w:rFonts w:hint="eastAsia" w:ascii="仿宋_GB2312" w:eastAsia="仿宋_GB2312"/>
          <w:sz w:val="24"/>
        </w:rPr>
        <w:t xml:space="preserve">项目名称:                      招标编号:                         报价单位：人民币  </w:t>
      </w:r>
      <w:r>
        <w:rPr>
          <w:rFonts w:hint="eastAsia" w:ascii="仿宋_GB2312" w:eastAsia="仿宋_GB2312"/>
          <w:b/>
          <w:bCs/>
          <w:sz w:val="24"/>
        </w:rPr>
        <w:t xml:space="preserve"> 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vAlign w:val="center"/>
          </w:tcPr>
          <w:p>
            <w:pPr>
              <w:pStyle w:val="14"/>
              <w:spacing w:line="240" w:lineRule="atLeast"/>
              <w:ind w:left="269" w:leftChars="128"/>
              <w:jc w:val="center"/>
              <w:rPr>
                <w:rFonts w:ascii="仿宋_GB2312" w:eastAsia="仿宋_GB2312"/>
                <w:sz w:val="24"/>
              </w:rPr>
            </w:pPr>
            <w:r>
              <w:rPr>
                <w:rFonts w:hint="eastAsia" w:ascii="仿宋_GB2312" w:eastAsia="仿宋_GB2312"/>
                <w:sz w:val="24"/>
              </w:rPr>
              <w:t>序号</w:t>
            </w:r>
          </w:p>
        </w:tc>
        <w:tc>
          <w:tcPr>
            <w:tcW w:w="2510" w:type="dxa"/>
            <w:vAlign w:val="center"/>
          </w:tcPr>
          <w:p>
            <w:pPr>
              <w:pStyle w:val="14"/>
              <w:spacing w:line="240" w:lineRule="atLeast"/>
              <w:jc w:val="center"/>
              <w:rPr>
                <w:rFonts w:ascii="仿宋_GB2312" w:eastAsia="仿宋_GB2312"/>
                <w:sz w:val="24"/>
              </w:rPr>
            </w:pPr>
            <w:r>
              <w:rPr>
                <w:rFonts w:hint="eastAsia" w:ascii="仿宋_GB2312" w:eastAsia="仿宋_GB2312"/>
                <w:sz w:val="24"/>
              </w:rPr>
              <w:t>名称</w:t>
            </w:r>
          </w:p>
        </w:tc>
        <w:tc>
          <w:tcPr>
            <w:tcW w:w="1984" w:type="dxa"/>
            <w:vAlign w:val="center"/>
          </w:tcPr>
          <w:p>
            <w:pPr>
              <w:pStyle w:val="14"/>
              <w:spacing w:line="240" w:lineRule="atLeast"/>
              <w:jc w:val="center"/>
              <w:rPr>
                <w:rFonts w:ascii="仿宋_GB2312" w:eastAsia="仿宋_GB2312"/>
                <w:sz w:val="24"/>
              </w:rPr>
            </w:pPr>
            <w:r>
              <w:rPr>
                <w:rFonts w:hint="eastAsia" w:ascii="仿宋_GB2312" w:eastAsia="仿宋_GB2312"/>
                <w:sz w:val="24"/>
              </w:rPr>
              <w:t>型号和规格</w:t>
            </w:r>
          </w:p>
        </w:tc>
        <w:tc>
          <w:tcPr>
            <w:tcW w:w="1418" w:type="dxa"/>
            <w:vAlign w:val="center"/>
          </w:tcPr>
          <w:p>
            <w:pPr>
              <w:pStyle w:val="14"/>
              <w:spacing w:line="240" w:lineRule="atLeast"/>
              <w:jc w:val="center"/>
              <w:rPr>
                <w:rFonts w:ascii="仿宋_GB2312" w:eastAsia="仿宋_GB2312"/>
                <w:sz w:val="24"/>
              </w:rPr>
            </w:pPr>
            <w:r>
              <w:rPr>
                <w:rFonts w:hint="eastAsia" w:ascii="仿宋_GB2312" w:eastAsia="仿宋_GB2312"/>
                <w:sz w:val="24"/>
              </w:rPr>
              <w:t>数量</w:t>
            </w:r>
          </w:p>
        </w:tc>
        <w:tc>
          <w:tcPr>
            <w:tcW w:w="1215" w:type="dxa"/>
            <w:vAlign w:val="center"/>
          </w:tcPr>
          <w:p>
            <w:pPr>
              <w:pStyle w:val="14"/>
              <w:spacing w:line="240" w:lineRule="atLeast"/>
              <w:jc w:val="center"/>
              <w:rPr>
                <w:rFonts w:ascii="仿宋_GB2312" w:eastAsia="仿宋_GB2312"/>
                <w:sz w:val="24"/>
              </w:rPr>
            </w:pPr>
            <w:r>
              <w:rPr>
                <w:rFonts w:hint="eastAsia" w:ascii="仿宋_GB2312" w:eastAsia="仿宋_GB2312"/>
                <w:sz w:val="24"/>
              </w:rPr>
              <w:t>原产地</w:t>
            </w:r>
          </w:p>
        </w:tc>
        <w:tc>
          <w:tcPr>
            <w:tcW w:w="1152" w:type="dxa"/>
            <w:vAlign w:val="center"/>
          </w:tcPr>
          <w:p>
            <w:pPr>
              <w:pStyle w:val="14"/>
              <w:spacing w:line="240" w:lineRule="atLeast"/>
              <w:jc w:val="center"/>
              <w:rPr>
                <w:rFonts w:ascii="仿宋_GB2312" w:eastAsia="仿宋_GB2312"/>
                <w:sz w:val="24"/>
              </w:rPr>
            </w:pPr>
            <w:r>
              <w:rPr>
                <w:rFonts w:hint="eastAsia" w:ascii="仿宋_GB2312" w:eastAsia="仿宋_GB2312"/>
                <w:sz w:val="24"/>
              </w:rPr>
              <w:t>制造商名称</w:t>
            </w:r>
          </w:p>
        </w:tc>
        <w:tc>
          <w:tcPr>
            <w:tcW w:w="1177" w:type="dxa"/>
            <w:vAlign w:val="center"/>
          </w:tcPr>
          <w:p>
            <w:pPr>
              <w:pStyle w:val="14"/>
              <w:spacing w:line="240" w:lineRule="atLeast"/>
              <w:jc w:val="center"/>
              <w:rPr>
                <w:rFonts w:ascii="仿宋_GB2312" w:eastAsia="仿宋_GB2312"/>
                <w:sz w:val="24"/>
              </w:rPr>
            </w:pPr>
            <w:r>
              <w:rPr>
                <w:rFonts w:hint="eastAsia" w:ascii="仿宋_GB2312" w:eastAsia="仿宋_GB2312"/>
                <w:sz w:val="24"/>
              </w:rPr>
              <w:t>单价</w:t>
            </w:r>
          </w:p>
        </w:tc>
        <w:tc>
          <w:tcPr>
            <w:tcW w:w="1717" w:type="dxa"/>
            <w:vAlign w:val="center"/>
          </w:tcPr>
          <w:p>
            <w:pPr>
              <w:pStyle w:val="14"/>
              <w:spacing w:line="240" w:lineRule="atLeast"/>
              <w:jc w:val="center"/>
              <w:rPr>
                <w:rFonts w:ascii="仿宋_GB2312" w:eastAsia="仿宋_GB2312"/>
                <w:sz w:val="24"/>
              </w:rPr>
            </w:pPr>
            <w:r>
              <w:rPr>
                <w:rFonts w:hint="eastAsia" w:ascii="仿宋_GB2312" w:eastAsia="仿宋_GB2312"/>
                <w:sz w:val="24"/>
              </w:rPr>
              <w:t>总价</w:t>
            </w:r>
          </w:p>
        </w:tc>
        <w:tc>
          <w:tcPr>
            <w:tcW w:w="976" w:type="dxa"/>
            <w:vAlign w:val="center"/>
          </w:tcPr>
          <w:p>
            <w:pPr>
              <w:pStyle w:val="14"/>
              <w:spacing w:line="240" w:lineRule="atLeas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vAlign w:val="center"/>
          </w:tcPr>
          <w:p>
            <w:pPr>
              <w:pStyle w:val="14"/>
              <w:spacing w:line="240" w:lineRule="atLeast"/>
              <w:ind w:left="269" w:leftChars="128"/>
              <w:jc w:val="center"/>
              <w:rPr>
                <w:rFonts w:ascii="仿宋_GB2312" w:eastAsia="仿宋_GB2312"/>
                <w:sz w:val="24"/>
              </w:rPr>
            </w:pPr>
            <w:r>
              <w:rPr>
                <w:rFonts w:hint="eastAsia" w:ascii="仿宋_GB2312" w:eastAsia="仿宋_GB2312"/>
                <w:sz w:val="24"/>
              </w:rPr>
              <w:t>1.</w:t>
            </w:r>
          </w:p>
        </w:tc>
        <w:tc>
          <w:tcPr>
            <w:tcW w:w="2510" w:type="dxa"/>
            <w:vAlign w:val="center"/>
          </w:tcPr>
          <w:p>
            <w:pPr>
              <w:pStyle w:val="14"/>
              <w:spacing w:line="240" w:lineRule="atLeast"/>
              <w:jc w:val="center"/>
              <w:rPr>
                <w:rFonts w:ascii="仿宋_GB2312" w:eastAsia="仿宋_GB2312"/>
                <w:sz w:val="24"/>
              </w:rPr>
            </w:pPr>
            <w:r>
              <w:rPr>
                <w:rFonts w:hint="eastAsia" w:ascii="仿宋_GB2312" w:eastAsia="仿宋_GB2312"/>
                <w:sz w:val="24"/>
              </w:rPr>
              <w:t>货物名称</w:t>
            </w:r>
          </w:p>
        </w:tc>
        <w:tc>
          <w:tcPr>
            <w:tcW w:w="1984" w:type="dxa"/>
            <w:vAlign w:val="center"/>
          </w:tcPr>
          <w:p>
            <w:pPr>
              <w:pStyle w:val="14"/>
              <w:spacing w:line="240" w:lineRule="atLeast"/>
              <w:ind w:left="1080" w:leftChars="257" w:hanging="540"/>
              <w:jc w:val="center"/>
              <w:rPr>
                <w:rFonts w:ascii="仿宋_GB2312" w:eastAsia="仿宋_GB2312"/>
                <w:sz w:val="24"/>
              </w:rPr>
            </w:pPr>
          </w:p>
        </w:tc>
        <w:tc>
          <w:tcPr>
            <w:tcW w:w="1418" w:type="dxa"/>
            <w:vAlign w:val="center"/>
          </w:tcPr>
          <w:p>
            <w:pPr>
              <w:pStyle w:val="14"/>
              <w:spacing w:line="240" w:lineRule="atLeast"/>
              <w:ind w:left="1080" w:leftChars="257" w:hanging="540"/>
              <w:jc w:val="center"/>
              <w:rPr>
                <w:rFonts w:ascii="仿宋_GB2312" w:eastAsia="仿宋_GB2312"/>
                <w:sz w:val="24"/>
              </w:rPr>
            </w:pPr>
          </w:p>
        </w:tc>
        <w:tc>
          <w:tcPr>
            <w:tcW w:w="1215" w:type="dxa"/>
            <w:vAlign w:val="center"/>
          </w:tcPr>
          <w:p>
            <w:pPr>
              <w:pStyle w:val="14"/>
              <w:spacing w:line="240" w:lineRule="atLeast"/>
              <w:ind w:left="1080" w:leftChars="257" w:hanging="540"/>
              <w:jc w:val="center"/>
              <w:rPr>
                <w:rFonts w:ascii="仿宋_GB2312" w:eastAsia="仿宋_GB2312"/>
                <w:sz w:val="24"/>
              </w:rPr>
            </w:pPr>
          </w:p>
        </w:tc>
        <w:tc>
          <w:tcPr>
            <w:tcW w:w="1152" w:type="dxa"/>
            <w:vAlign w:val="center"/>
          </w:tcPr>
          <w:p>
            <w:pPr>
              <w:pStyle w:val="14"/>
              <w:spacing w:line="240" w:lineRule="atLeast"/>
              <w:ind w:left="1080" w:leftChars="257" w:hanging="540"/>
              <w:jc w:val="center"/>
              <w:rPr>
                <w:rFonts w:ascii="仿宋_GB2312" w:eastAsia="仿宋_GB2312"/>
                <w:sz w:val="24"/>
              </w:rPr>
            </w:pPr>
          </w:p>
        </w:tc>
        <w:tc>
          <w:tcPr>
            <w:tcW w:w="1177" w:type="dxa"/>
            <w:vAlign w:val="center"/>
          </w:tcPr>
          <w:p>
            <w:pPr>
              <w:pStyle w:val="14"/>
              <w:spacing w:line="240" w:lineRule="atLeast"/>
              <w:ind w:left="1080" w:leftChars="257" w:hanging="540"/>
              <w:jc w:val="center"/>
              <w:rPr>
                <w:rFonts w:ascii="仿宋_GB2312" w:eastAsia="仿宋_GB2312"/>
                <w:sz w:val="24"/>
              </w:rPr>
            </w:pPr>
          </w:p>
        </w:tc>
        <w:tc>
          <w:tcPr>
            <w:tcW w:w="1717" w:type="dxa"/>
            <w:vAlign w:val="center"/>
          </w:tcPr>
          <w:p>
            <w:pPr>
              <w:pStyle w:val="14"/>
              <w:spacing w:line="240" w:lineRule="atLeast"/>
              <w:ind w:left="1080" w:leftChars="257" w:hanging="540"/>
              <w:jc w:val="center"/>
              <w:rPr>
                <w:rFonts w:ascii="仿宋_GB2312" w:eastAsia="仿宋_GB2312"/>
                <w:sz w:val="24"/>
              </w:rPr>
            </w:pPr>
          </w:p>
        </w:tc>
        <w:tc>
          <w:tcPr>
            <w:tcW w:w="976" w:type="dxa"/>
            <w:vAlign w:val="center"/>
          </w:tcPr>
          <w:p>
            <w:pPr>
              <w:pStyle w:val="14"/>
              <w:spacing w:line="24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4"/>
              <w:spacing w:line="240" w:lineRule="atLeast"/>
              <w:ind w:left="269" w:leftChars="128"/>
              <w:jc w:val="center"/>
              <w:rPr>
                <w:rFonts w:ascii="仿宋_GB2312" w:eastAsia="仿宋_GB2312"/>
                <w:sz w:val="24"/>
              </w:rPr>
            </w:pPr>
            <w:r>
              <w:rPr>
                <w:rFonts w:hint="eastAsia" w:ascii="仿宋_GB2312" w:eastAsia="仿宋_GB2312"/>
                <w:sz w:val="24"/>
              </w:rPr>
              <w:t>2.</w:t>
            </w:r>
          </w:p>
        </w:tc>
        <w:tc>
          <w:tcPr>
            <w:tcW w:w="2510" w:type="dxa"/>
            <w:vAlign w:val="center"/>
          </w:tcPr>
          <w:p>
            <w:pPr>
              <w:pStyle w:val="14"/>
              <w:spacing w:line="240" w:lineRule="atLeast"/>
              <w:jc w:val="center"/>
              <w:rPr>
                <w:rFonts w:ascii="仿宋_GB2312" w:eastAsia="仿宋_GB2312"/>
                <w:sz w:val="24"/>
              </w:rPr>
            </w:pPr>
            <w:r>
              <w:rPr>
                <w:rFonts w:hint="eastAsia" w:ascii="仿宋_GB2312" w:eastAsia="仿宋_GB2312"/>
                <w:sz w:val="24"/>
              </w:rPr>
              <w:t>备品备件</w:t>
            </w:r>
          </w:p>
        </w:tc>
        <w:tc>
          <w:tcPr>
            <w:tcW w:w="1984" w:type="dxa"/>
            <w:vAlign w:val="center"/>
          </w:tcPr>
          <w:p>
            <w:pPr>
              <w:pStyle w:val="14"/>
              <w:spacing w:line="240" w:lineRule="atLeast"/>
              <w:ind w:left="1080" w:leftChars="257" w:hanging="540"/>
              <w:jc w:val="center"/>
              <w:rPr>
                <w:rFonts w:ascii="仿宋_GB2312" w:eastAsia="仿宋_GB2312"/>
                <w:sz w:val="24"/>
              </w:rPr>
            </w:pPr>
          </w:p>
        </w:tc>
        <w:tc>
          <w:tcPr>
            <w:tcW w:w="1418" w:type="dxa"/>
            <w:vAlign w:val="center"/>
          </w:tcPr>
          <w:p>
            <w:pPr>
              <w:pStyle w:val="14"/>
              <w:spacing w:line="240" w:lineRule="atLeast"/>
              <w:ind w:left="1080" w:leftChars="257" w:hanging="540"/>
              <w:jc w:val="center"/>
              <w:rPr>
                <w:rFonts w:ascii="仿宋_GB2312" w:eastAsia="仿宋_GB2312"/>
                <w:sz w:val="24"/>
              </w:rPr>
            </w:pPr>
          </w:p>
        </w:tc>
        <w:tc>
          <w:tcPr>
            <w:tcW w:w="1215" w:type="dxa"/>
            <w:vAlign w:val="center"/>
          </w:tcPr>
          <w:p>
            <w:pPr>
              <w:pStyle w:val="14"/>
              <w:spacing w:line="240" w:lineRule="atLeast"/>
              <w:ind w:left="1080" w:leftChars="257" w:hanging="540"/>
              <w:jc w:val="center"/>
              <w:rPr>
                <w:rFonts w:ascii="仿宋_GB2312" w:eastAsia="仿宋_GB2312"/>
                <w:sz w:val="24"/>
              </w:rPr>
            </w:pPr>
          </w:p>
        </w:tc>
        <w:tc>
          <w:tcPr>
            <w:tcW w:w="1152" w:type="dxa"/>
            <w:vAlign w:val="center"/>
          </w:tcPr>
          <w:p>
            <w:pPr>
              <w:pStyle w:val="14"/>
              <w:spacing w:line="240" w:lineRule="atLeast"/>
              <w:ind w:left="1080" w:leftChars="257" w:hanging="540"/>
              <w:jc w:val="center"/>
              <w:rPr>
                <w:rFonts w:ascii="仿宋_GB2312" w:eastAsia="仿宋_GB2312"/>
                <w:sz w:val="24"/>
              </w:rPr>
            </w:pPr>
          </w:p>
        </w:tc>
        <w:tc>
          <w:tcPr>
            <w:tcW w:w="1177" w:type="dxa"/>
            <w:vAlign w:val="center"/>
          </w:tcPr>
          <w:p>
            <w:pPr>
              <w:pStyle w:val="14"/>
              <w:spacing w:line="240" w:lineRule="atLeast"/>
              <w:ind w:left="1080" w:leftChars="257" w:hanging="540"/>
              <w:jc w:val="center"/>
              <w:rPr>
                <w:rFonts w:ascii="仿宋_GB2312" w:eastAsia="仿宋_GB2312"/>
                <w:sz w:val="24"/>
              </w:rPr>
            </w:pPr>
          </w:p>
        </w:tc>
        <w:tc>
          <w:tcPr>
            <w:tcW w:w="1717" w:type="dxa"/>
            <w:vAlign w:val="center"/>
          </w:tcPr>
          <w:p>
            <w:pPr>
              <w:pStyle w:val="14"/>
              <w:spacing w:line="240" w:lineRule="atLeast"/>
              <w:ind w:left="1080" w:leftChars="257" w:hanging="540"/>
              <w:jc w:val="center"/>
              <w:rPr>
                <w:rFonts w:ascii="仿宋_GB2312" w:eastAsia="仿宋_GB2312"/>
                <w:sz w:val="24"/>
              </w:rPr>
            </w:pPr>
          </w:p>
        </w:tc>
        <w:tc>
          <w:tcPr>
            <w:tcW w:w="976" w:type="dxa"/>
            <w:vAlign w:val="center"/>
          </w:tcPr>
          <w:p>
            <w:pPr>
              <w:pStyle w:val="14"/>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4"/>
              <w:spacing w:line="240" w:lineRule="atLeast"/>
              <w:ind w:left="269" w:leftChars="128"/>
              <w:jc w:val="center"/>
              <w:rPr>
                <w:rFonts w:ascii="仿宋_GB2312" w:eastAsia="仿宋_GB2312"/>
                <w:sz w:val="24"/>
              </w:rPr>
            </w:pPr>
            <w:r>
              <w:rPr>
                <w:rFonts w:hint="eastAsia" w:ascii="仿宋_GB2312" w:eastAsia="仿宋_GB2312"/>
                <w:sz w:val="24"/>
              </w:rPr>
              <w:t>3.</w:t>
            </w:r>
          </w:p>
        </w:tc>
        <w:tc>
          <w:tcPr>
            <w:tcW w:w="2510" w:type="dxa"/>
            <w:vAlign w:val="center"/>
          </w:tcPr>
          <w:p>
            <w:pPr>
              <w:pStyle w:val="14"/>
              <w:spacing w:line="240" w:lineRule="atLeast"/>
              <w:jc w:val="center"/>
              <w:rPr>
                <w:rFonts w:ascii="仿宋_GB2312" w:eastAsia="仿宋_GB2312"/>
                <w:sz w:val="24"/>
              </w:rPr>
            </w:pPr>
            <w:r>
              <w:rPr>
                <w:rFonts w:hint="eastAsia" w:ascii="仿宋_GB2312" w:eastAsia="仿宋_GB2312"/>
                <w:sz w:val="24"/>
              </w:rPr>
              <w:t>专用工具</w:t>
            </w:r>
          </w:p>
        </w:tc>
        <w:tc>
          <w:tcPr>
            <w:tcW w:w="1984" w:type="dxa"/>
            <w:vAlign w:val="center"/>
          </w:tcPr>
          <w:p>
            <w:pPr>
              <w:pStyle w:val="14"/>
              <w:spacing w:line="240" w:lineRule="atLeast"/>
              <w:ind w:left="1080" w:leftChars="257" w:hanging="540"/>
              <w:jc w:val="center"/>
              <w:rPr>
                <w:rFonts w:ascii="仿宋_GB2312" w:eastAsia="仿宋_GB2312"/>
                <w:sz w:val="24"/>
              </w:rPr>
            </w:pPr>
          </w:p>
        </w:tc>
        <w:tc>
          <w:tcPr>
            <w:tcW w:w="1418" w:type="dxa"/>
            <w:vAlign w:val="center"/>
          </w:tcPr>
          <w:p>
            <w:pPr>
              <w:pStyle w:val="14"/>
              <w:spacing w:line="240" w:lineRule="atLeast"/>
              <w:ind w:left="1080" w:leftChars="257" w:hanging="540"/>
              <w:jc w:val="center"/>
              <w:rPr>
                <w:rFonts w:ascii="仿宋_GB2312" w:eastAsia="仿宋_GB2312"/>
                <w:sz w:val="24"/>
              </w:rPr>
            </w:pPr>
          </w:p>
        </w:tc>
        <w:tc>
          <w:tcPr>
            <w:tcW w:w="1215" w:type="dxa"/>
            <w:vAlign w:val="center"/>
          </w:tcPr>
          <w:p>
            <w:pPr>
              <w:pStyle w:val="14"/>
              <w:spacing w:line="240" w:lineRule="atLeast"/>
              <w:ind w:left="1080" w:leftChars="257" w:hanging="540"/>
              <w:jc w:val="center"/>
              <w:rPr>
                <w:rFonts w:ascii="仿宋_GB2312" w:eastAsia="仿宋_GB2312"/>
                <w:sz w:val="24"/>
              </w:rPr>
            </w:pPr>
          </w:p>
        </w:tc>
        <w:tc>
          <w:tcPr>
            <w:tcW w:w="1152" w:type="dxa"/>
            <w:vAlign w:val="center"/>
          </w:tcPr>
          <w:p>
            <w:pPr>
              <w:pStyle w:val="14"/>
              <w:spacing w:line="240" w:lineRule="atLeast"/>
              <w:ind w:left="1080" w:leftChars="257" w:hanging="540"/>
              <w:jc w:val="center"/>
              <w:rPr>
                <w:rFonts w:ascii="仿宋_GB2312" w:eastAsia="仿宋_GB2312"/>
                <w:sz w:val="24"/>
              </w:rPr>
            </w:pPr>
          </w:p>
        </w:tc>
        <w:tc>
          <w:tcPr>
            <w:tcW w:w="1177" w:type="dxa"/>
            <w:vAlign w:val="center"/>
          </w:tcPr>
          <w:p>
            <w:pPr>
              <w:pStyle w:val="14"/>
              <w:spacing w:line="240" w:lineRule="atLeast"/>
              <w:ind w:left="1080" w:leftChars="257" w:hanging="540"/>
              <w:jc w:val="center"/>
              <w:rPr>
                <w:rFonts w:ascii="仿宋_GB2312" w:eastAsia="仿宋_GB2312"/>
                <w:sz w:val="24"/>
              </w:rPr>
            </w:pPr>
          </w:p>
        </w:tc>
        <w:tc>
          <w:tcPr>
            <w:tcW w:w="1717" w:type="dxa"/>
            <w:vAlign w:val="center"/>
          </w:tcPr>
          <w:p>
            <w:pPr>
              <w:pStyle w:val="14"/>
              <w:spacing w:line="240" w:lineRule="atLeast"/>
              <w:ind w:left="1080" w:leftChars="257" w:hanging="540"/>
              <w:jc w:val="center"/>
              <w:rPr>
                <w:rFonts w:ascii="仿宋_GB2312" w:eastAsia="仿宋_GB2312"/>
                <w:sz w:val="24"/>
              </w:rPr>
            </w:pPr>
          </w:p>
        </w:tc>
        <w:tc>
          <w:tcPr>
            <w:tcW w:w="976" w:type="dxa"/>
            <w:vAlign w:val="center"/>
          </w:tcPr>
          <w:p>
            <w:pPr>
              <w:pStyle w:val="14"/>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4"/>
              <w:spacing w:line="240" w:lineRule="atLeast"/>
              <w:ind w:left="269" w:leftChars="128"/>
              <w:jc w:val="center"/>
              <w:rPr>
                <w:rFonts w:ascii="仿宋_GB2312" w:eastAsia="仿宋_GB2312"/>
                <w:sz w:val="24"/>
              </w:rPr>
            </w:pPr>
            <w:r>
              <w:rPr>
                <w:rFonts w:hint="eastAsia" w:ascii="仿宋_GB2312" w:eastAsia="仿宋_GB2312"/>
                <w:sz w:val="24"/>
              </w:rPr>
              <w:t>4.</w:t>
            </w:r>
          </w:p>
        </w:tc>
        <w:tc>
          <w:tcPr>
            <w:tcW w:w="2510" w:type="dxa"/>
            <w:vAlign w:val="center"/>
          </w:tcPr>
          <w:p>
            <w:pPr>
              <w:pStyle w:val="14"/>
              <w:spacing w:line="240" w:lineRule="atLeast"/>
              <w:jc w:val="center"/>
              <w:rPr>
                <w:rFonts w:ascii="仿宋_GB2312" w:eastAsia="仿宋_GB2312"/>
                <w:sz w:val="24"/>
              </w:rPr>
            </w:pPr>
            <w:r>
              <w:rPr>
                <w:rFonts w:hint="eastAsia" w:ascii="仿宋_GB2312" w:eastAsia="仿宋_GB2312"/>
                <w:sz w:val="24"/>
              </w:rPr>
              <w:t>安装、调试、检验</w:t>
            </w:r>
          </w:p>
        </w:tc>
        <w:tc>
          <w:tcPr>
            <w:tcW w:w="1984" w:type="dxa"/>
            <w:vAlign w:val="center"/>
          </w:tcPr>
          <w:p>
            <w:pPr>
              <w:pStyle w:val="14"/>
              <w:spacing w:line="240" w:lineRule="atLeast"/>
              <w:ind w:left="1080" w:leftChars="257" w:hanging="540"/>
              <w:jc w:val="center"/>
              <w:rPr>
                <w:rFonts w:ascii="仿宋_GB2312" w:eastAsia="仿宋_GB2312"/>
                <w:sz w:val="24"/>
              </w:rPr>
            </w:pPr>
          </w:p>
        </w:tc>
        <w:tc>
          <w:tcPr>
            <w:tcW w:w="1418" w:type="dxa"/>
            <w:vAlign w:val="center"/>
          </w:tcPr>
          <w:p>
            <w:pPr>
              <w:pStyle w:val="14"/>
              <w:spacing w:line="240" w:lineRule="atLeast"/>
              <w:ind w:left="1080" w:leftChars="257" w:hanging="540"/>
              <w:jc w:val="center"/>
              <w:rPr>
                <w:rFonts w:ascii="仿宋_GB2312" w:eastAsia="仿宋_GB2312"/>
                <w:sz w:val="24"/>
              </w:rPr>
            </w:pPr>
          </w:p>
        </w:tc>
        <w:tc>
          <w:tcPr>
            <w:tcW w:w="1215" w:type="dxa"/>
            <w:vAlign w:val="center"/>
          </w:tcPr>
          <w:p>
            <w:pPr>
              <w:pStyle w:val="14"/>
              <w:spacing w:line="240" w:lineRule="atLeast"/>
              <w:ind w:left="1080" w:leftChars="257" w:hanging="540"/>
              <w:jc w:val="center"/>
              <w:rPr>
                <w:rFonts w:ascii="仿宋_GB2312" w:eastAsia="仿宋_GB2312"/>
                <w:sz w:val="24"/>
              </w:rPr>
            </w:pPr>
          </w:p>
        </w:tc>
        <w:tc>
          <w:tcPr>
            <w:tcW w:w="1152" w:type="dxa"/>
            <w:vAlign w:val="center"/>
          </w:tcPr>
          <w:p>
            <w:pPr>
              <w:pStyle w:val="14"/>
              <w:spacing w:line="240" w:lineRule="atLeast"/>
              <w:ind w:left="1080" w:leftChars="257" w:hanging="540"/>
              <w:jc w:val="center"/>
              <w:rPr>
                <w:rFonts w:ascii="仿宋_GB2312" w:eastAsia="仿宋_GB2312"/>
                <w:sz w:val="24"/>
              </w:rPr>
            </w:pPr>
          </w:p>
        </w:tc>
        <w:tc>
          <w:tcPr>
            <w:tcW w:w="1177" w:type="dxa"/>
            <w:vAlign w:val="center"/>
          </w:tcPr>
          <w:p>
            <w:pPr>
              <w:pStyle w:val="14"/>
              <w:spacing w:line="240" w:lineRule="atLeast"/>
              <w:ind w:left="1080" w:leftChars="257" w:hanging="540"/>
              <w:jc w:val="center"/>
              <w:rPr>
                <w:rFonts w:ascii="仿宋_GB2312" w:eastAsia="仿宋_GB2312"/>
                <w:sz w:val="24"/>
              </w:rPr>
            </w:pPr>
          </w:p>
        </w:tc>
        <w:tc>
          <w:tcPr>
            <w:tcW w:w="1717" w:type="dxa"/>
            <w:vAlign w:val="center"/>
          </w:tcPr>
          <w:p>
            <w:pPr>
              <w:pStyle w:val="14"/>
              <w:spacing w:line="240" w:lineRule="atLeast"/>
              <w:ind w:left="1080" w:leftChars="257" w:hanging="540"/>
              <w:jc w:val="center"/>
              <w:rPr>
                <w:rFonts w:ascii="仿宋_GB2312" w:eastAsia="仿宋_GB2312"/>
                <w:sz w:val="24"/>
              </w:rPr>
            </w:pPr>
          </w:p>
        </w:tc>
        <w:tc>
          <w:tcPr>
            <w:tcW w:w="976" w:type="dxa"/>
            <w:vAlign w:val="center"/>
          </w:tcPr>
          <w:p>
            <w:pPr>
              <w:pStyle w:val="14"/>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vAlign w:val="center"/>
          </w:tcPr>
          <w:p>
            <w:pPr>
              <w:pStyle w:val="14"/>
              <w:spacing w:line="240" w:lineRule="atLeast"/>
              <w:ind w:left="269" w:leftChars="128"/>
              <w:jc w:val="center"/>
              <w:rPr>
                <w:rFonts w:ascii="仿宋_GB2312" w:eastAsia="仿宋_GB2312"/>
                <w:sz w:val="24"/>
              </w:rPr>
            </w:pPr>
            <w:r>
              <w:rPr>
                <w:rFonts w:hint="eastAsia" w:ascii="仿宋_GB2312" w:eastAsia="仿宋_GB2312"/>
                <w:sz w:val="24"/>
              </w:rPr>
              <w:t>5.</w:t>
            </w:r>
          </w:p>
        </w:tc>
        <w:tc>
          <w:tcPr>
            <w:tcW w:w="2510" w:type="dxa"/>
            <w:vAlign w:val="center"/>
          </w:tcPr>
          <w:p>
            <w:pPr>
              <w:pStyle w:val="14"/>
              <w:spacing w:line="240" w:lineRule="atLeast"/>
              <w:jc w:val="center"/>
              <w:rPr>
                <w:rFonts w:ascii="仿宋_GB2312" w:eastAsia="仿宋_GB2312"/>
                <w:sz w:val="24"/>
              </w:rPr>
            </w:pPr>
            <w:r>
              <w:rPr>
                <w:rFonts w:hint="eastAsia" w:ascii="仿宋_GB2312" w:eastAsia="仿宋_GB2312"/>
                <w:sz w:val="24"/>
              </w:rPr>
              <w:t>培训</w:t>
            </w:r>
          </w:p>
        </w:tc>
        <w:tc>
          <w:tcPr>
            <w:tcW w:w="1984" w:type="dxa"/>
            <w:vAlign w:val="center"/>
          </w:tcPr>
          <w:p>
            <w:pPr>
              <w:pStyle w:val="14"/>
              <w:spacing w:line="240" w:lineRule="atLeast"/>
              <w:ind w:left="1080" w:leftChars="257" w:hanging="540"/>
              <w:jc w:val="center"/>
              <w:rPr>
                <w:rFonts w:ascii="仿宋_GB2312" w:eastAsia="仿宋_GB2312"/>
                <w:sz w:val="24"/>
              </w:rPr>
            </w:pPr>
          </w:p>
        </w:tc>
        <w:tc>
          <w:tcPr>
            <w:tcW w:w="1418" w:type="dxa"/>
            <w:vAlign w:val="center"/>
          </w:tcPr>
          <w:p>
            <w:pPr>
              <w:pStyle w:val="14"/>
              <w:spacing w:line="240" w:lineRule="atLeast"/>
              <w:ind w:left="1080" w:leftChars="257" w:hanging="540"/>
              <w:jc w:val="center"/>
              <w:rPr>
                <w:rFonts w:ascii="仿宋_GB2312" w:eastAsia="仿宋_GB2312"/>
                <w:sz w:val="24"/>
              </w:rPr>
            </w:pPr>
          </w:p>
        </w:tc>
        <w:tc>
          <w:tcPr>
            <w:tcW w:w="1215" w:type="dxa"/>
            <w:vAlign w:val="center"/>
          </w:tcPr>
          <w:p>
            <w:pPr>
              <w:pStyle w:val="14"/>
              <w:spacing w:line="240" w:lineRule="atLeast"/>
              <w:ind w:left="1080" w:leftChars="257" w:hanging="540"/>
              <w:jc w:val="center"/>
              <w:rPr>
                <w:rFonts w:ascii="仿宋_GB2312" w:eastAsia="仿宋_GB2312"/>
                <w:sz w:val="24"/>
              </w:rPr>
            </w:pPr>
          </w:p>
        </w:tc>
        <w:tc>
          <w:tcPr>
            <w:tcW w:w="1152" w:type="dxa"/>
            <w:vAlign w:val="center"/>
          </w:tcPr>
          <w:p>
            <w:pPr>
              <w:pStyle w:val="14"/>
              <w:spacing w:line="240" w:lineRule="atLeast"/>
              <w:ind w:left="1080" w:leftChars="257" w:hanging="540"/>
              <w:jc w:val="center"/>
              <w:rPr>
                <w:rFonts w:ascii="仿宋_GB2312" w:eastAsia="仿宋_GB2312"/>
                <w:sz w:val="24"/>
              </w:rPr>
            </w:pPr>
          </w:p>
        </w:tc>
        <w:tc>
          <w:tcPr>
            <w:tcW w:w="1177" w:type="dxa"/>
            <w:vAlign w:val="center"/>
          </w:tcPr>
          <w:p>
            <w:pPr>
              <w:pStyle w:val="14"/>
              <w:spacing w:line="240" w:lineRule="atLeast"/>
              <w:ind w:left="1080" w:leftChars="257" w:hanging="540"/>
              <w:jc w:val="center"/>
              <w:rPr>
                <w:rFonts w:ascii="仿宋_GB2312" w:eastAsia="仿宋_GB2312"/>
                <w:sz w:val="24"/>
              </w:rPr>
            </w:pPr>
          </w:p>
        </w:tc>
        <w:tc>
          <w:tcPr>
            <w:tcW w:w="1717" w:type="dxa"/>
            <w:vAlign w:val="center"/>
          </w:tcPr>
          <w:p>
            <w:pPr>
              <w:pStyle w:val="14"/>
              <w:spacing w:line="240" w:lineRule="atLeast"/>
              <w:ind w:left="1080" w:leftChars="257" w:hanging="540"/>
              <w:jc w:val="center"/>
              <w:rPr>
                <w:rFonts w:ascii="仿宋_GB2312" w:eastAsia="仿宋_GB2312"/>
                <w:sz w:val="24"/>
              </w:rPr>
            </w:pPr>
          </w:p>
        </w:tc>
        <w:tc>
          <w:tcPr>
            <w:tcW w:w="976" w:type="dxa"/>
            <w:vAlign w:val="center"/>
          </w:tcPr>
          <w:p>
            <w:pPr>
              <w:pStyle w:val="14"/>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4"/>
              <w:spacing w:line="240" w:lineRule="atLeast"/>
              <w:ind w:left="269" w:leftChars="128"/>
              <w:jc w:val="center"/>
              <w:rPr>
                <w:rFonts w:ascii="仿宋_GB2312" w:eastAsia="仿宋_GB2312"/>
                <w:sz w:val="24"/>
              </w:rPr>
            </w:pPr>
            <w:r>
              <w:rPr>
                <w:rFonts w:hint="eastAsia" w:ascii="仿宋_GB2312" w:eastAsia="仿宋_GB2312"/>
                <w:sz w:val="24"/>
              </w:rPr>
              <w:t>6.</w:t>
            </w:r>
          </w:p>
        </w:tc>
        <w:tc>
          <w:tcPr>
            <w:tcW w:w="2510" w:type="dxa"/>
            <w:vAlign w:val="center"/>
          </w:tcPr>
          <w:p>
            <w:pPr>
              <w:pStyle w:val="14"/>
              <w:spacing w:line="240" w:lineRule="atLeast"/>
              <w:jc w:val="center"/>
              <w:rPr>
                <w:rFonts w:ascii="仿宋_GB2312" w:eastAsia="仿宋_GB2312"/>
                <w:sz w:val="24"/>
              </w:rPr>
            </w:pPr>
            <w:r>
              <w:rPr>
                <w:rFonts w:hint="eastAsia" w:ascii="仿宋_GB2312" w:eastAsia="仿宋_GB2312"/>
                <w:sz w:val="24"/>
              </w:rPr>
              <w:t>技术服务</w:t>
            </w:r>
          </w:p>
        </w:tc>
        <w:tc>
          <w:tcPr>
            <w:tcW w:w="1984" w:type="dxa"/>
            <w:vAlign w:val="center"/>
          </w:tcPr>
          <w:p>
            <w:pPr>
              <w:pStyle w:val="14"/>
              <w:spacing w:line="240" w:lineRule="atLeast"/>
              <w:ind w:left="1080" w:leftChars="257" w:hanging="540"/>
              <w:jc w:val="center"/>
              <w:rPr>
                <w:rFonts w:ascii="仿宋_GB2312" w:eastAsia="仿宋_GB2312"/>
                <w:sz w:val="24"/>
              </w:rPr>
            </w:pPr>
          </w:p>
        </w:tc>
        <w:tc>
          <w:tcPr>
            <w:tcW w:w="1418" w:type="dxa"/>
            <w:vAlign w:val="center"/>
          </w:tcPr>
          <w:p>
            <w:pPr>
              <w:pStyle w:val="14"/>
              <w:spacing w:line="240" w:lineRule="atLeast"/>
              <w:ind w:left="1080" w:leftChars="257" w:hanging="540"/>
              <w:jc w:val="center"/>
              <w:rPr>
                <w:rFonts w:ascii="仿宋_GB2312" w:eastAsia="仿宋_GB2312"/>
                <w:sz w:val="24"/>
              </w:rPr>
            </w:pPr>
          </w:p>
        </w:tc>
        <w:tc>
          <w:tcPr>
            <w:tcW w:w="1215" w:type="dxa"/>
            <w:vAlign w:val="center"/>
          </w:tcPr>
          <w:p>
            <w:pPr>
              <w:pStyle w:val="14"/>
              <w:spacing w:line="240" w:lineRule="atLeast"/>
              <w:ind w:left="1080" w:leftChars="257" w:hanging="540"/>
              <w:jc w:val="center"/>
              <w:rPr>
                <w:rFonts w:ascii="仿宋_GB2312" w:eastAsia="仿宋_GB2312"/>
                <w:sz w:val="24"/>
              </w:rPr>
            </w:pPr>
          </w:p>
        </w:tc>
        <w:tc>
          <w:tcPr>
            <w:tcW w:w="1152" w:type="dxa"/>
            <w:vAlign w:val="center"/>
          </w:tcPr>
          <w:p>
            <w:pPr>
              <w:pStyle w:val="14"/>
              <w:spacing w:line="240" w:lineRule="atLeast"/>
              <w:ind w:left="1080" w:leftChars="257" w:hanging="540"/>
              <w:jc w:val="center"/>
              <w:rPr>
                <w:rFonts w:ascii="仿宋_GB2312" w:eastAsia="仿宋_GB2312"/>
                <w:sz w:val="24"/>
              </w:rPr>
            </w:pPr>
          </w:p>
        </w:tc>
        <w:tc>
          <w:tcPr>
            <w:tcW w:w="1177" w:type="dxa"/>
            <w:vAlign w:val="center"/>
          </w:tcPr>
          <w:p>
            <w:pPr>
              <w:pStyle w:val="14"/>
              <w:spacing w:line="240" w:lineRule="atLeast"/>
              <w:ind w:left="1080" w:leftChars="257" w:hanging="540"/>
              <w:jc w:val="center"/>
              <w:rPr>
                <w:rFonts w:ascii="仿宋_GB2312" w:eastAsia="仿宋_GB2312"/>
                <w:sz w:val="24"/>
              </w:rPr>
            </w:pPr>
          </w:p>
        </w:tc>
        <w:tc>
          <w:tcPr>
            <w:tcW w:w="1717" w:type="dxa"/>
            <w:vAlign w:val="center"/>
          </w:tcPr>
          <w:p>
            <w:pPr>
              <w:pStyle w:val="14"/>
              <w:spacing w:line="240" w:lineRule="atLeast"/>
              <w:ind w:left="1080" w:leftChars="257" w:hanging="540"/>
              <w:jc w:val="center"/>
              <w:rPr>
                <w:rFonts w:ascii="仿宋_GB2312" w:eastAsia="仿宋_GB2312"/>
                <w:sz w:val="24"/>
              </w:rPr>
            </w:pPr>
          </w:p>
        </w:tc>
        <w:tc>
          <w:tcPr>
            <w:tcW w:w="976" w:type="dxa"/>
            <w:vAlign w:val="center"/>
          </w:tcPr>
          <w:p>
            <w:pPr>
              <w:pStyle w:val="14"/>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vAlign w:val="center"/>
          </w:tcPr>
          <w:p>
            <w:pPr>
              <w:pStyle w:val="14"/>
              <w:spacing w:line="240" w:lineRule="atLeast"/>
              <w:ind w:left="1080" w:leftChars="257" w:hanging="540"/>
              <w:rPr>
                <w:rFonts w:ascii="仿宋_GB2312" w:eastAsia="仿宋_GB2312"/>
                <w:sz w:val="24"/>
              </w:rPr>
            </w:pPr>
            <w:r>
              <w:rPr>
                <w:rFonts w:hint="eastAsia" w:ascii="仿宋_GB2312" w:eastAsia="仿宋_GB2312"/>
                <w:sz w:val="24"/>
              </w:rPr>
              <w:t>总价：</w:t>
            </w:r>
          </w:p>
        </w:tc>
        <w:tc>
          <w:tcPr>
            <w:tcW w:w="2693" w:type="dxa"/>
            <w:gridSpan w:val="2"/>
            <w:vAlign w:val="center"/>
          </w:tcPr>
          <w:p>
            <w:pPr>
              <w:pStyle w:val="14"/>
              <w:spacing w:line="240" w:lineRule="atLeast"/>
              <w:ind w:left="1080" w:leftChars="257" w:hanging="540"/>
              <w:jc w:val="center"/>
              <w:rPr>
                <w:rFonts w:ascii="仿宋_GB2312" w:eastAsia="仿宋_GB2312"/>
                <w:sz w:val="24"/>
              </w:rPr>
            </w:pPr>
          </w:p>
        </w:tc>
      </w:tr>
    </w:tbl>
    <w:p>
      <w:pPr>
        <w:pStyle w:val="14"/>
        <w:spacing w:line="240" w:lineRule="atLeast"/>
        <w:ind w:left="1080" w:leftChars="257" w:hanging="540"/>
        <w:rPr>
          <w:rFonts w:ascii="仿宋_GB2312" w:eastAsia="仿宋_GB2312"/>
          <w:sz w:val="24"/>
        </w:rPr>
      </w:pPr>
    </w:p>
    <w:p>
      <w:pPr>
        <w:pStyle w:val="14"/>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4"/>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4"/>
        <w:spacing w:line="240" w:lineRule="atLeast"/>
        <w:ind w:left="1080" w:leftChars="257" w:hanging="540"/>
        <w:rPr>
          <w:rFonts w:ascii="仿宋_GB2312" w:eastAsia="仿宋_GB2312"/>
          <w:sz w:val="24"/>
        </w:rPr>
      </w:pPr>
    </w:p>
    <w:p>
      <w:pPr>
        <w:pStyle w:val="14"/>
        <w:spacing w:line="240" w:lineRule="atLeast"/>
        <w:ind w:left="1080" w:leftChars="257" w:hanging="540"/>
        <w:rPr>
          <w:rFonts w:ascii="仿宋_GB2312" w:eastAsia="仿宋_GB2312"/>
          <w:sz w:val="24"/>
        </w:rPr>
      </w:pPr>
      <w:r>
        <w:rPr>
          <w:rFonts w:hint="eastAsia" w:ascii="仿宋_GB2312" w:eastAsia="仿宋_GB2312"/>
          <w:sz w:val="24"/>
        </w:rPr>
        <w:t>注:1.如果投标人认为需要，每种货物填写一份该表。</w:t>
      </w:r>
    </w:p>
    <w:p>
      <w:pPr>
        <w:pStyle w:val="14"/>
        <w:spacing w:line="240" w:lineRule="atLeast"/>
        <w:ind w:left="1079" w:leftChars="428" w:hanging="180" w:hangingChars="75"/>
        <w:rPr>
          <w:rFonts w:ascii="仿宋_GB2312" w:eastAsia="仿宋_GB2312"/>
          <w:sz w:val="24"/>
        </w:rPr>
      </w:pPr>
      <w:r>
        <w:rPr>
          <w:rFonts w:hint="eastAsia" w:ascii="仿宋_GB2312" w:eastAsia="仿宋_GB2312"/>
          <w:sz w:val="24"/>
        </w:rPr>
        <w:t>2.如果按单价计算的结果与总价不一致,以单价为准修正总价。</w:t>
      </w:r>
    </w:p>
    <w:p>
      <w:pPr>
        <w:pStyle w:val="14"/>
        <w:spacing w:line="240" w:lineRule="atLeast"/>
        <w:ind w:left="1080" w:leftChars="257" w:hanging="540"/>
        <w:rPr>
          <w:rFonts w:ascii="仿宋_GB2312" w:eastAsia="仿宋_GB2312"/>
          <w:sz w:val="24"/>
        </w:rPr>
      </w:pPr>
      <w:r>
        <w:rPr>
          <w:rFonts w:hint="eastAsia" w:ascii="仿宋_GB2312" w:eastAsia="仿宋_GB2312"/>
          <w:sz w:val="24"/>
        </w:rPr>
        <w:t xml:space="preserve">   3.如果不提供详细分项报价将视为没有实质性响应招标文件。</w:t>
      </w:r>
    </w:p>
    <w:p>
      <w:pPr>
        <w:pStyle w:val="14"/>
        <w:spacing w:line="240" w:lineRule="atLeast"/>
        <w:ind w:left="1080" w:leftChars="257" w:hanging="540"/>
        <w:rPr>
          <w:rFonts w:ascii="仿宋_GB2312" w:eastAsia="仿宋_GB2312"/>
          <w:sz w:val="24"/>
        </w:rPr>
      </w:pPr>
      <w:r>
        <w:rPr>
          <w:rFonts w:hint="eastAsia" w:ascii="仿宋_GB2312" w:eastAsia="仿宋_GB2312"/>
          <w:sz w:val="24"/>
        </w:rPr>
        <w:t xml:space="preserve">   4.上述各项的详细分项报价，应另页描述。</w:t>
      </w:r>
    </w:p>
    <w:p>
      <w:pPr>
        <w:pStyle w:val="14"/>
        <w:spacing w:line="240" w:lineRule="atLeast"/>
        <w:ind w:left="1080" w:leftChars="257" w:hanging="540"/>
        <w:rPr>
          <w:rFonts w:ascii="仿宋_GB2312" w:eastAsia="仿宋_GB2312"/>
          <w:sz w:val="24"/>
        </w:rPr>
      </w:pPr>
      <w:r>
        <w:rPr>
          <w:rFonts w:hint="eastAsia" w:ascii="仿宋_GB2312" w:eastAsia="仿宋_GB2312"/>
          <w:sz w:val="24"/>
        </w:rPr>
        <w:t xml:space="preserve">   5.如果开标一览表（报价表）内容与投标文件中明细表内容不一致的，以开标一览表（报价表）内容为准。</w:t>
      </w:r>
    </w:p>
    <w:p>
      <w:pPr>
        <w:rPr>
          <w:rFonts w:eastAsia="仿宋_GB2312"/>
        </w:rPr>
      </w:pPr>
      <w:r>
        <w:rPr>
          <w:rFonts w:hint="eastAsia" w:ascii="仿宋_GB2312" w:eastAsia="仿宋_GB2312"/>
          <w:sz w:val="24"/>
        </w:rPr>
        <w:t xml:space="preserve">      </w:t>
      </w:r>
      <w:r>
        <w:rPr>
          <w:rFonts w:hint="eastAsia" w:ascii="仿宋_GB2312" w:eastAsia="仿宋_GB2312"/>
          <w:b/>
          <w:bCs/>
          <w:sz w:val="24"/>
        </w:rPr>
        <w:t xml:space="preserve"> 6.所有设备的辅助配套设备也必须标明品牌型号，否则作无效响应。</w:t>
      </w:r>
    </w:p>
    <w:p>
      <w:pPr>
        <w:pStyle w:val="14"/>
        <w:spacing w:line="240" w:lineRule="atLeast"/>
        <w:ind w:left="1080" w:leftChars="257" w:hanging="540"/>
        <w:rPr>
          <w:rFonts w:ascii="仿宋_GB2312" w:eastAsia="仿宋_GB2312"/>
          <w:sz w:val="24"/>
        </w:rPr>
      </w:pPr>
    </w:p>
    <w:p>
      <w:pPr>
        <w:pStyle w:val="14"/>
        <w:spacing w:line="240" w:lineRule="atLeast"/>
        <w:ind w:left="1080" w:leftChars="257" w:hanging="540"/>
        <w:rPr>
          <w:rFonts w:ascii="仿宋_GB2312" w:eastAsia="仿宋_GB2312"/>
          <w:sz w:val="24"/>
        </w:rPr>
      </w:pPr>
    </w:p>
    <w:p>
      <w:pPr>
        <w:pStyle w:val="5"/>
        <w:spacing w:before="0" w:line="240" w:lineRule="atLeast"/>
        <w:ind w:left="1080" w:leftChars="257" w:hanging="540"/>
        <w:rPr>
          <w:rFonts w:ascii="仿宋_GB2312" w:eastAsia="仿宋_GB2312"/>
          <w:sz w:val="24"/>
        </w:rPr>
      </w:pPr>
      <w:bookmarkStart w:id="338" w:name="_Toc216582816"/>
      <w:bookmarkStart w:id="339" w:name="_Toc20672"/>
      <w:bookmarkStart w:id="340" w:name="_Toc18267"/>
      <w:bookmarkStart w:id="341" w:name="_Toc32316"/>
      <w:bookmarkStart w:id="342" w:name="_Toc515647819"/>
      <w:bookmarkStart w:id="343" w:name="_Toc14037"/>
      <w:r>
        <w:rPr>
          <w:rFonts w:ascii="仿宋_GB2312" w:eastAsia="仿宋_GB2312"/>
          <w:sz w:val="24"/>
        </w:rPr>
        <w:t xml:space="preserve">4   </w:t>
      </w:r>
      <w:r>
        <w:rPr>
          <w:rFonts w:hint="eastAsia" w:ascii="仿宋_GB2312" w:eastAsia="仿宋_GB2312"/>
          <w:sz w:val="24"/>
        </w:rPr>
        <w:t>货物说明一览表</w:t>
      </w:r>
      <w:bookmarkEnd w:id="33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339"/>
      <w:bookmarkEnd w:id="340"/>
      <w:bookmarkEnd w:id="341"/>
      <w:bookmarkEnd w:id="342"/>
      <w:bookmarkEnd w:id="343"/>
    </w:p>
    <w:p>
      <w:pPr>
        <w:pStyle w:val="14"/>
        <w:spacing w:line="240" w:lineRule="atLeast"/>
        <w:ind w:left="1080" w:leftChars="257" w:hanging="540"/>
        <w:rPr>
          <w:rFonts w:ascii="仿宋_GB2312" w:eastAsia="仿宋_GB2312"/>
          <w:sz w:val="24"/>
        </w:rPr>
      </w:pPr>
    </w:p>
    <w:p>
      <w:pPr>
        <w:pStyle w:val="14"/>
        <w:spacing w:line="240" w:lineRule="atLeast"/>
        <w:ind w:left="1080" w:leftChars="257" w:hanging="540"/>
        <w:rPr>
          <w:rFonts w:ascii="仿宋_GB2312" w:eastAsia="仿宋_GB2312"/>
          <w:sz w:val="24"/>
        </w:rPr>
      </w:pPr>
      <w:r>
        <w:rPr>
          <w:rFonts w:hint="eastAsia" w:ascii="仿宋_GB2312" w:eastAsia="仿宋_GB2312"/>
          <w:sz w:val="24"/>
        </w:rPr>
        <w:t xml:space="preserve">项目名称:                                    招标编号:                       包号:                      </w:t>
      </w:r>
    </w:p>
    <w:p>
      <w:pPr>
        <w:pStyle w:val="14"/>
        <w:spacing w:line="240" w:lineRule="atLeast"/>
        <w:ind w:left="1080" w:leftChars="257" w:hanging="540"/>
        <w:rPr>
          <w:rFonts w:ascii="仿宋_GB2312" w:eastAsia="仿宋_GB2312"/>
          <w:sz w:val="24"/>
        </w:rPr>
      </w:pPr>
    </w:p>
    <w:tbl>
      <w:tblPr>
        <w:tblStyle w:val="2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4"/>
              <w:spacing w:line="240" w:lineRule="atLeast"/>
              <w:ind w:left="1080" w:leftChars="257" w:hanging="540"/>
              <w:rPr>
                <w:rFonts w:ascii="仿宋_GB2312" w:eastAsia="仿宋_GB2312"/>
                <w:sz w:val="24"/>
              </w:rPr>
            </w:pPr>
            <w:r>
              <w:rPr>
                <w:rFonts w:hint="eastAsia" w:ascii="仿宋_GB2312" w:eastAsia="仿宋_GB2312"/>
                <w:sz w:val="24"/>
              </w:rPr>
              <w:t>序号</w:t>
            </w:r>
          </w:p>
        </w:tc>
        <w:tc>
          <w:tcPr>
            <w:tcW w:w="1980" w:type="dxa"/>
          </w:tcPr>
          <w:p>
            <w:pPr>
              <w:pStyle w:val="14"/>
              <w:spacing w:line="240" w:lineRule="atLeast"/>
              <w:ind w:left="1080" w:leftChars="257" w:hanging="540"/>
              <w:rPr>
                <w:rFonts w:ascii="仿宋_GB2312" w:eastAsia="仿宋_GB2312"/>
                <w:sz w:val="24"/>
              </w:rPr>
            </w:pPr>
            <w:r>
              <w:rPr>
                <w:rFonts w:hint="eastAsia" w:ascii="仿宋_GB2312" w:eastAsia="仿宋_GB2312"/>
                <w:sz w:val="24"/>
              </w:rPr>
              <w:t>货物名称</w:t>
            </w:r>
          </w:p>
        </w:tc>
        <w:tc>
          <w:tcPr>
            <w:tcW w:w="1800" w:type="dxa"/>
          </w:tcPr>
          <w:p>
            <w:pPr>
              <w:pStyle w:val="14"/>
              <w:spacing w:line="240" w:lineRule="atLeast"/>
              <w:ind w:left="1080" w:leftChars="257" w:hanging="540"/>
              <w:rPr>
                <w:rFonts w:ascii="仿宋_GB2312" w:eastAsia="仿宋_GB2312"/>
                <w:sz w:val="24"/>
              </w:rPr>
            </w:pPr>
            <w:r>
              <w:rPr>
                <w:rFonts w:hint="eastAsia" w:ascii="仿宋_GB2312" w:eastAsia="仿宋_GB2312"/>
                <w:sz w:val="24"/>
              </w:rPr>
              <w:t>主要规格</w:t>
            </w:r>
          </w:p>
        </w:tc>
        <w:tc>
          <w:tcPr>
            <w:tcW w:w="1620" w:type="dxa"/>
          </w:tcPr>
          <w:p>
            <w:pPr>
              <w:pStyle w:val="14"/>
              <w:spacing w:line="240" w:lineRule="atLeast"/>
              <w:ind w:left="1080" w:leftChars="257" w:hanging="540"/>
              <w:rPr>
                <w:rFonts w:ascii="仿宋_GB2312" w:eastAsia="仿宋_GB2312"/>
                <w:sz w:val="24"/>
              </w:rPr>
            </w:pPr>
            <w:r>
              <w:rPr>
                <w:rFonts w:hint="eastAsia" w:ascii="仿宋_GB2312" w:eastAsia="仿宋_GB2312"/>
                <w:sz w:val="24"/>
              </w:rPr>
              <w:t>数量</w:t>
            </w:r>
          </w:p>
        </w:tc>
        <w:tc>
          <w:tcPr>
            <w:tcW w:w="1980" w:type="dxa"/>
          </w:tcPr>
          <w:p>
            <w:pPr>
              <w:pStyle w:val="14"/>
              <w:spacing w:line="240" w:lineRule="atLeast"/>
              <w:ind w:left="1080" w:leftChars="257" w:hanging="540"/>
              <w:rPr>
                <w:rFonts w:ascii="仿宋_GB2312" w:eastAsia="仿宋_GB2312"/>
                <w:sz w:val="24"/>
              </w:rPr>
            </w:pPr>
            <w:r>
              <w:rPr>
                <w:rFonts w:hint="eastAsia" w:ascii="仿宋_GB2312" w:eastAsia="仿宋_GB2312"/>
                <w:sz w:val="24"/>
              </w:rPr>
              <w:t>交货期</w:t>
            </w:r>
          </w:p>
        </w:tc>
        <w:tc>
          <w:tcPr>
            <w:tcW w:w="2160" w:type="dxa"/>
          </w:tcPr>
          <w:p>
            <w:pPr>
              <w:pStyle w:val="14"/>
              <w:spacing w:line="240" w:lineRule="atLeast"/>
              <w:ind w:left="1080" w:leftChars="257" w:hanging="540"/>
              <w:rPr>
                <w:rFonts w:ascii="仿宋_GB2312" w:eastAsia="仿宋_GB2312"/>
                <w:sz w:val="24"/>
              </w:rPr>
            </w:pPr>
            <w:r>
              <w:rPr>
                <w:rFonts w:hint="eastAsia" w:ascii="仿宋_GB2312" w:eastAsia="仿宋_GB2312"/>
                <w:sz w:val="24"/>
              </w:rPr>
              <w:t>交货地点</w:t>
            </w:r>
          </w:p>
        </w:tc>
        <w:tc>
          <w:tcPr>
            <w:tcW w:w="1980" w:type="dxa"/>
          </w:tcPr>
          <w:p>
            <w:pPr>
              <w:pStyle w:val="14"/>
              <w:spacing w:line="240" w:lineRule="atLeast"/>
              <w:ind w:left="1080" w:leftChars="257" w:hanging="540"/>
              <w:rPr>
                <w:rFonts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c>
          <w:tcPr>
            <w:tcW w:w="1800" w:type="dxa"/>
          </w:tcPr>
          <w:p>
            <w:pPr>
              <w:pStyle w:val="14"/>
              <w:spacing w:line="240" w:lineRule="atLeast"/>
              <w:ind w:left="1080" w:leftChars="257" w:hanging="540"/>
              <w:rPr>
                <w:rFonts w:ascii="仿宋_GB2312" w:eastAsia="仿宋_GB2312"/>
                <w:sz w:val="24"/>
              </w:rPr>
            </w:pPr>
          </w:p>
        </w:tc>
        <w:tc>
          <w:tcPr>
            <w:tcW w:w="162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c>
          <w:tcPr>
            <w:tcW w:w="216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c>
          <w:tcPr>
            <w:tcW w:w="1800" w:type="dxa"/>
          </w:tcPr>
          <w:p>
            <w:pPr>
              <w:pStyle w:val="14"/>
              <w:spacing w:line="240" w:lineRule="atLeast"/>
              <w:ind w:left="1080" w:leftChars="257" w:hanging="540"/>
              <w:rPr>
                <w:rFonts w:ascii="仿宋_GB2312" w:eastAsia="仿宋_GB2312"/>
                <w:sz w:val="24"/>
              </w:rPr>
            </w:pPr>
          </w:p>
        </w:tc>
        <w:tc>
          <w:tcPr>
            <w:tcW w:w="162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c>
          <w:tcPr>
            <w:tcW w:w="216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c>
          <w:tcPr>
            <w:tcW w:w="1800" w:type="dxa"/>
          </w:tcPr>
          <w:p>
            <w:pPr>
              <w:pStyle w:val="14"/>
              <w:spacing w:line="240" w:lineRule="atLeast"/>
              <w:ind w:left="1080" w:leftChars="257" w:hanging="540"/>
              <w:rPr>
                <w:rFonts w:ascii="仿宋_GB2312" w:eastAsia="仿宋_GB2312"/>
                <w:sz w:val="24"/>
              </w:rPr>
            </w:pPr>
          </w:p>
        </w:tc>
        <w:tc>
          <w:tcPr>
            <w:tcW w:w="162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c>
          <w:tcPr>
            <w:tcW w:w="216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c>
          <w:tcPr>
            <w:tcW w:w="1800" w:type="dxa"/>
          </w:tcPr>
          <w:p>
            <w:pPr>
              <w:pStyle w:val="14"/>
              <w:spacing w:line="240" w:lineRule="atLeast"/>
              <w:ind w:left="1080" w:leftChars="257" w:hanging="540"/>
              <w:rPr>
                <w:rFonts w:ascii="仿宋_GB2312" w:eastAsia="仿宋_GB2312"/>
                <w:sz w:val="24"/>
              </w:rPr>
            </w:pPr>
          </w:p>
        </w:tc>
        <w:tc>
          <w:tcPr>
            <w:tcW w:w="162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c>
          <w:tcPr>
            <w:tcW w:w="216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c>
          <w:tcPr>
            <w:tcW w:w="1800" w:type="dxa"/>
          </w:tcPr>
          <w:p>
            <w:pPr>
              <w:pStyle w:val="14"/>
              <w:spacing w:line="240" w:lineRule="atLeast"/>
              <w:ind w:left="1080" w:leftChars="257" w:hanging="540"/>
              <w:rPr>
                <w:rFonts w:ascii="仿宋_GB2312" w:eastAsia="仿宋_GB2312"/>
                <w:sz w:val="24"/>
              </w:rPr>
            </w:pPr>
          </w:p>
        </w:tc>
        <w:tc>
          <w:tcPr>
            <w:tcW w:w="162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c>
          <w:tcPr>
            <w:tcW w:w="216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c>
          <w:tcPr>
            <w:tcW w:w="1800" w:type="dxa"/>
          </w:tcPr>
          <w:p>
            <w:pPr>
              <w:pStyle w:val="14"/>
              <w:spacing w:line="240" w:lineRule="atLeast"/>
              <w:ind w:left="1080" w:leftChars="257" w:hanging="540"/>
              <w:rPr>
                <w:rFonts w:ascii="仿宋_GB2312" w:eastAsia="仿宋_GB2312"/>
                <w:sz w:val="24"/>
              </w:rPr>
            </w:pPr>
          </w:p>
        </w:tc>
        <w:tc>
          <w:tcPr>
            <w:tcW w:w="162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c>
          <w:tcPr>
            <w:tcW w:w="216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c>
          <w:tcPr>
            <w:tcW w:w="1800" w:type="dxa"/>
          </w:tcPr>
          <w:p>
            <w:pPr>
              <w:pStyle w:val="14"/>
              <w:spacing w:line="240" w:lineRule="atLeast"/>
              <w:ind w:left="1080" w:leftChars="257" w:hanging="540"/>
              <w:rPr>
                <w:rFonts w:ascii="仿宋_GB2312" w:eastAsia="仿宋_GB2312"/>
                <w:sz w:val="24"/>
              </w:rPr>
            </w:pPr>
          </w:p>
        </w:tc>
        <w:tc>
          <w:tcPr>
            <w:tcW w:w="162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c>
          <w:tcPr>
            <w:tcW w:w="216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c>
          <w:tcPr>
            <w:tcW w:w="1800" w:type="dxa"/>
          </w:tcPr>
          <w:p>
            <w:pPr>
              <w:pStyle w:val="14"/>
              <w:spacing w:line="240" w:lineRule="atLeast"/>
              <w:ind w:left="1080" w:leftChars="257" w:hanging="540"/>
              <w:rPr>
                <w:rFonts w:ascii="仿宋_GB2312" w:eastAsia="仿宋_GB2312"/>
                <w:sz w:val="24"/>
              </w:rPr>
            </w:pPr>
          </w:p>
        </w:tc>
        <w:tc>
          <w:tcPr>
            <w:tcW w:w="162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c>
          <w:tcPr>
            <w:tcW w:w="2160" w:type="dxa"/>
          </w:tcPr>
          <w:p>
            <w:pPr>
              <w:pStyle w:val="14"/>
              <w:spacing w:line="240" w:lineRule="atLeast"/>
              <w:ind w:left="1080" w:leftChars="257" w:hanging="540"/>
              <w:rPr>
                <w:rFonts w:ascii="仿宋_GB2312" w:eastAsia="仿宋_GB2312"/>
                <w:sz w:val="24"/>
              </w:rPr>
            </w:pPr>
          </w:p>
        </w:tc>
        <w:tc>
          <w:tcPr>
            <w:tcW w:w="1980" w:type="dxa"/>
          </w:tcPr>
          <w:p>
            <w:pPr>
              <w:pStyle w:val="14"/>
              <w:spacing w:line="240" w:lineRule="atLeast"/>
              <w:ind w:left="1080" w:leftChars="257" w:hanging="540"/>
              <w:rPr>
                <w:rFonts w:ascii="仿宋_GB2312" w:eastAsia="仿宋_GB2312"/>
                <w:sz w:val="24"/>
              </w:rPr>
            </w:pPr>
          </w:p>
        </w:tc>
      </w:tr>
    </w:tbl>
    <w:p>
      <w:pPr>
        <w:pStyle w:val="14"/>
        <w:spacing w:line="240" w:lineRule="atLeast"/>
        <w:ind w:left="1080" w:leftChars="257" w:hanging="540"/>
        <w:rPr>
          <w:rFonts w:ascii="仿宋_GB2312" w:eastAsia="仿宋_GB2312"/>
          <w:sz w:val="24"/>
        </w:rPr>
      </w:pPr>
    </w:p>
    <w:p>
      <w:pPr>
        <w:pStyle w:val="14"/>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4"/>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4"/>
        <w:spacing w:line="240" w:lineRule="atLeast"/>
        <w:ind w:left="1080" w:leftChars="257" w:hanging="540"/>
        <w:rPr>
          <w:rFonts w:ascii="仿宋_GB2312" w:eastAsia="仿宋_GB2312"/>
          <w:sz w:val="24"/>
        </w:rPr>
      </w:pPr>
    </w:p>
    <w:p>
      <w:pPr>
        <w:pStyle w:val="14"/>
        <w:spacing w:line="240" w:lineRule="atLeast"/>
        <w:ind w:left="1080" w:leftChars="257" w:hanging="540"/>
        <w:rPr>
          <w:rFonts w:ascii="仿宋_GB2312" w:eastAsia="仿宋_GB2312"/>
          <w:sz w:val="24"/>
        </w:rPr>
      </w:pPr>
      <w:r>
        <w:rPr>
          <w:rFonts w:hint="eastAsia" w:ascii="仿宋_GB2312" w:eastAsia="仿宋_GB2312"/>
          <w:sz w:val="24"/>
        </w:rPr>
        <w:t>注: 各项货物详细技术性能应另页描述。</w:t>
      </w:r>
    </w:p>
    <w:p>
      <w:pPr>
        <w:pStyle w:val="14"/>
        <w:spacing w:line="240" w:lineRule="atLeast"/>
        <w:ind w:left="1080" w:leftChars="257" w:hanging="540"/>
        <w:jc w:val="center"/>
        <w:rPr>
          <w:rFonts w:ascii="仿宋_GB2312" w:eastAsia="仿宋_GB2312"/>
          <w:sz w:val="24"/>
        </w:rPr>
      </w:pPr>
    </w:p>
    <w:p>
      <w:pPr>
        <w:pStyle w:val="14"/>
        <w:spacing w:line="240" w:lineRule="atLeast"/>
        <w:ind w:left="1080" w:leftChars="257" w:hanging="540"/>
        <w:jc w:val="center"/>
        <w:rPr>
          <w:rFonts w:ascii="仿宋_GB2312" w:eastAsia="仿宋_GB2312"/>
          <w:sz w:val="24"/>
        </w:rPr>
        <w:sectPr>
          <w:pgSz w:w="16838" w:h="11906" w:orient="landscape"/>
          <w:pgMar w:top="1134" w:right="1417" w:bottom="1134" w:left="1417" w:header="851" w:footer="992" w:gutter="0"/>
          <w:cols w:space="720" w:num="1"/>
          <w:docGrid w:linePitch="312" w:charSpace="0"/>
        </w:sectPr>
      </w:pPr>
    </w:p>
    <w:p>
      <w:pPr>
        <w:pStyle w:val="5"/>
        <w:spacing w:before="0" w:line="240" w:lineRule="atLeast"/>
        <w:ind w:left="1080" w:leftChars="257" w:hanging="540"/>
        <w:rPr>
          <w:rFonts w:ascii="仿宋_GB2312" w:eastAsia="仿宋_GB2312"/>
          <w:sz w:val="24"/>
        </w:rPr>
      </w:pPr>
      <w:bookmarkStart w:id="344" w:name="_Toc216582817"/>
      <w:bookmarkStart w:id="345" w:name="_Toc10749"/>
      <w:bookmarkStart w:id="346" w:name="_Toc9720"/>
      <w:bookmarkStart w:id="347" w:name="_Toc28959"/>
      <w:bookmarkStart w:id="348" w:name="_Toc515647820"/>
      <w:bookmarkStart w:id="349" w:name="_Toc22563"/>
      <w:r>
        <w:rPr>
          <w:rFonts w:ascii="仿宋_GB2312" w:eastAsia="仿宋_GB2312"/>
          <w:sz w:val="24"/>
        </w:rPr>
        <w:t>5</w:t>
      </w:r>
      <w:r>
        <w:rPr>
          <w:rFonts w:hint="eastAsia" w:ascii="仿宋_GB2312" w:eastAsia="仿宋_GB2312"/>
          <w:sz w:val="24"/>
        </w:rPr>
        <w:t xml:space="preserve">   技术规格偏离表</w:t>
      </w:r>
      <w:bookmarkEnd w:id="344"/>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345"/>
      <w:bookmarkEnd w:id="346"/>
      <w:bookmarkEnd w:id="347"/>
      <w:bookmarkEnd w:id="348"/>
      <w:bookmarkEnd w:id="349"/>
    </w:p>
    <w:p>
      <w:pPr>
        <w:pStyle w:val="14"/>
        <w:spacing w:line="240" w:lineRule="atLeast"/>
        <w:ind w:left="1080" w:leftChars="257" w:hanging="540"/>
        <w:rPr>
          <w:rFonts w:ascii="仿宋_GB2312" w:eastAsia="仿宋_GB2312"/>
          <w:sz w:val="24"/>
        </w:rPr>
      </w:pPr>
    </w:p>
    <w:p>
      <w:pPr>
        <w:pStyle w:val="14"/>
        <w:spacing w:line="240" w:lineRule="atLeast"/>
        <w:rPr>
          <w:rFonts w:ascii="仿宋_GB2312" w:eastAsia="仿宋_GB2312"/>
          <w:sz w:val="24"/>
        </w:rPr>
      </w:pPr>
      <w:r>
        <w:rPr>
          <w:rFonts w:hint="eastAsia" w:ascii="仿宋_GB2312" w:eastAsia="仿宋_GB2312"/>
          <w:sz w:val="24"/>
        </w:rPr>
        <w:t>项目名称:                       招标编号:                 包号:</w:t>
      </w:r>
    </w:p>
    <w:p>
      <w:pPr>
        <w:pStyle w:val="14"/>
        <w:spacing w:line="240" w:lineRule="atLeast"/>
        <w:ind w:left="1080" w:leftChars="257" w:hanging="540"/>
        <w:rPr>
          <w:rFonts w:ascii="仿宋_GB2312" w:eastAsia="仿宋_GB2312"/>
          <w:sz w:val="24"/>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4"/>
              <w:spacing w:line="240" w:lineRule="atLeast"/>
              <w:jc w:val="center"/>
              <w:rPr>
                <w:rFonts w:ascii="仿宋_GB2312" w:eastAsia="仿宋_GB2312"/>
                <w:sz w:val="24"/>
              </w:rPr>
            </w:pPr>
            <w:r>
              <w:rPr>
                <w:rFonts w:hint="eastAsia" w:ascii="仿宋_GB2312" w:eastAsia="仿宋_GB2312"/>
                <w:sz w:val="24"/>
              </w:rPr>
              <w:t>序号</w:t>
            </w:r>
          </w:p>
        </w:tc>
        <w:tc>
          <w:tcPr>
            <w:tcW w:w="1260" w:type="dxa"/>
            <w:vAlign w:val="center"/>
          </w:tcPr>
          <w:p>
            <w:pPr>
              <w:pStyle w:val="14"/>
              <w:spacing w:line="240" w:lineRule="atLeast"/>
              <w:jc w:val="center"/>
              <w:rPr>
                <w:rFonts w:ascii="仿宋_GB2312" w:eastAsia="仿宋_GB2312"/>
                <w:sz w:val="24"/>
              </w:rPr>
            </w:pPr>
            <w:r>
              <w:rPr>
                <w:rFonts w:hint="eastAsia" w:ascii="仿宋_GB2312" w:eastAsia="仿宋_GB2312"/>
                <w:sz w:val="24"/>
              </w:rPr>
              <w:t>货物名称</w:t>
            </w:r>
          </w:p>
        </w:tc>
        <w:tc>
          <w:tcPr>
            <w:tcW w:w="2340" w:type="dxa"/>
            <w:vAlign w:val="center"/>
          </w:tcPr>
          <w:p>
            <w:pPr>
              <w:pStyle w:val="14"/>
              <w:spacing w:line="240" w:lineRule="atLeast"/>
              <w:ind w:left="269" w:leftChars="128"/>
              <w:jc w:val="center"/>
              <w:rPr>
                <w:rFonts w:ascii="仿宋_GB2312" w:eastAsia="仿宋_GB2312"/>
                <w:sz w:val="24"/>
              </w:rPr>
            </w:pPr>
            <w:r>
              <w:rPr>
                <w:rFonts w:hint="eastAsia" w:ascii="仿宋_GB2312" w:eastAsia="仿宋_GB2312"/>
                <w:sz w:val="24"/>
              </w:rPr>
              <w:t>招标文件条款号</w:t>
            </w:r>
          </w:p>
        </w:tc>
        <w:tc>
          <w:tcPr>
            <w:tcW w:w="1260" w:type="dxa"/>
            <w:vAlign w:val="center"/>
          </w:tcPr>
          <w:p>
            <w:pPr>
              <w:pStyle w:val="14"/>
              <w:spacing w:line="240" w:lineRule="atLeast"/>
              <w:jc w:val="center"/>
              <w:rPr>
                <w:rFonts w:ascii="仿宋_GB2312" w:eastAsia="仿宋_GB2312"/>
                <w:sz w:val="24"/>
              </w:rPr>
            </w:pPr>
            <w:r>
              <w:rPr>
                <w:rFonts w:hint="eastAsia" w:ascii="仿宋_GB2312" w:eastAsia="仿宋_GB2312"/>
                <w:sz w:val="24"/>
              </w:rPr>
              <w:t>招标规格</w:t>
            </w:r>
          </w:p>
        </w:tc>
        <w:tc>
          <w:tcPr>
            <w:tcW w:w="1260" w:type="dxa"/>
            <w:vAlign w:val="center"/>
          </w:tcPr>
          <w:p>
            <w:pPr>
              <w:pStyle w:val="14"/>
              <w:spacing w:line="240" w:lineRule="atLeast"/>
              <w:jc w:val="center"/>
              <w:rPr>
                <w:rFonts w:ascii="仿宋_GB2312" w:eastAsia="仿宋_GB2312"/>
                <w:sz w:val="24"/>
              </w:rPr>
            </w:pPr>
            <w:r>
              <w:rPr>
                <w:rFonts w:hint="eastAsia" w:ascii="仿宋_GB2312" w:eastAsia="仿宋_GB2312"/>
                <w:sz w:val="24"/>
              </w:rPr>
              <w:t>投标规格</w:t>
            </w:r>
          </w:p>
        </w:tc>
        <w:tc>
          <w:tcPr>
            <w:tcW w:w="900" w:type="dxa"/>
            <w:vAlign w:val="center"/>
          </w:tcPr>
          <w:p>
            <w:pPr>
              <w:pStyle w:val="14"/>
              <w:spacing w:line="240" w:lineRule="atLeast"/>
              <w:jc w:val="center"/>
              <w:rPr>
                <w:rFonts w:ascii="仿宋_GB2312" w:eastAsia="仿宋_GB2312"/>
                <w:sz w:val="24"/>
              </w:rPr>
            </w:pPr>
            <w:r>
              <w:rPr>
                <w:rFonts w:hint="eastAsia" w:ascii="仿宋_GB2312" w:eastAsia="仿宋_GB2312"/>
                <w:sz w:val="24"/>
              </w:rPr>
              <w:t>偏离</w:t>
            </w:r>
          </w:p>
        </w:tc>
        <w:tc>
          <w:tcPr>
            <w:tcW w:w="900" w:type="dxa"/>
            <w:vAlign w:val="center"/>
          </w:tcPr>
          <w:p>
            <w:pPr>
              <w:pStyle w:val="14"/>
              <w:spacing w:line="240" w:lineRule="atLeas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234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126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bl>
    <w:p>
      <w:pPr>
        <w:pStyle w:val="14"/>
        <w:spacing w:line="240" w:lineRule="atLeast"/>
        <w:ind w:left="1080" w:leftChars="257" w:hanging="540"/>
        <w:rPr>
          <w:rFonts w:ascii="仿宋_GB2312" w:eastAsia="仿宋_GB2312"/>
          <w:sz w:val="24"/>
        </w:rPr>
      </w:pPr>
    </w:p>
    <w:p>
      <w:pPr>
        <w:pStyle w:val="14"/>
        <w:spacing w:line="240" w:lineRule="atLeast"/>
        <w:ind w:left="1080" w:leftChars="257" w:hanging="540"/>
        <w:rPr>
          <w:rFonts w:ascii="仿宋_GB2312" w:eastAsia="仿宋_GB2312"/>
          <w:sz w:val="24"/>
        </w:rPr>
      </w:pPr>
    </w:p>
    <w:p>
      <w:pPr>
        <w:pStyle w:val="14"/>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4"/>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4"/>
        <w:tabs>
          <w:tab w:val="left" w:pos="5580"/>
        </w:tabs>
        <w:spacing w:line="240" w:lineRule="atLeast"/>
        <w:ind w:left="1080" w:leftChars="257" w:hanging="540"/>
        <w:rPr>
          <w:rFonts w:ascii="仿宋_GB2312" w:eastAsia="仿宋_GB2312"/>
          <w:sz w:val="24"/>
        </w:rPr>
      </w:pPr>
      <w:r>
        <w:rPr>
          <w:rFonts w:ascii="仿宋_GB2312" w:hAnsi="宋体" w:eastAsia="仿宋_GB2312"/>
          <w:sz w:val="24"/>
          <w:u w:val="single"/>
        </w:rPr>
        <w:br w:type="page"/>
      </w:r>
    </w:p>
    <w:p>
      <w:pPr>
        <w:pStyle w:val="5"/>
        <w:spacing w:before="0" w:line="240" w:lineRule="atLeast"/>
        <w:ind w:left="1080" w:leftChars="257" w:hanging="540"/>
        <w:rPr>
          <w:rFonts w:ascii="仿宋_GB2312" w:eastAsia="仿宋_GB2312"/>
          <w:sz w:val="24"/>
        </w:rPr>
      </w:pPr>
      <w:bookmarkStart w:id="350" w:name="_Toc216582818"/>
      <w:bookmarkStart w:id="351" w:name="_Toc20701"/>
      <w:bookmarkStart w:id="352" w:name="_Toc23"/>
      <w:bookmarkStart w:id="353" w:name="_Toc515647821"/>
      <w:bookmarkStart w:id="354" w:name="_Toc1980"/>
      <w:bookmarkStart w:id="355" w:name="_Toc6654"/>
      <w:r>
        <w:rPr>
          <w:rFonts w:ascii="仿宋_GB2312" w:eastAsia="仿宋_GB2312"/>
          <w:sz w:val="24"/>
        </w:rPr>
        <w:t>6</w:t>
      </w:r>
      <w:r>
        <w:rPr>
          <w:rFonts w:hint="eastAsia" w:ascii="仿宋_GB2312" w:eastAsia="仿宋_GB2312"/>
          <w:sz w:val="24"/>
        </w:rPr>
        <w:t xml:space="preserve">   商务条款偏离表</w:t>
      </w:r>
      <w:bookmarkEnd w:id="350"/>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351"/>
      <w:bookmarkEnd w:id="352"/>
      <w:bookmarkEnd w:id="353"/>
      <w:bookmarkEnd w:id="354"/>
      <w:bookmarkEnd w:id="355"/>
    </w:p>
    <w:p>
      <w:pPr>
        <w:pStyle w:val="14"/>
        <w:spacing w:line="240" w:lineRule="atLeast"/>
        <w:ind w:left="1080" w:leftChars="257" w:hanging="540"/>
        <w:rPr>
          <w:rFonts w:ascii="仿宋_GB2312" w:eastAsia="仿宋_GB2312"/>
          <w:sz w:val="24"/>
        </w:rPr>
      </w:pPr>
    </w:p>
    <w:p>
      <w:pPr>
        <w:pStyle w:val="14"/>
        <w:spacing w:line="240" w:lineRule="atLeast"/>
        <w:ind w:left="1080" w:leftChars="257" w:hanging="540"/>
        <w:rPr>
          <w:rFonts w:ascii="仿宋_GB2312" w:eastAsia="仿宋_GB2312"/>
          <w:sz w:val="24"/>
        </w:rPr>
      </w:pPr>
    </w:p>
    <w:p>
      <w:pPr>
        <w:pStyle w:val="14"/>
        <w:spacing w:line="240" w:lineRule="atLeast"/>
        <w:ind w:left="1080" w:leftChars="257" w:hanging="540"/>
        <w:rPr>
          <w:rFonts w:ascii="仿宋_GB2312" w:eastAsia="仿宋_GB2312"/>
          <w:sz w:val="24"/>
        </w:rPr>
      </w:pPr>
      <w:r>
        <w:rPr>
          <w:rFonts w:hint="eastAsia" w:ascii="仿宋_GB2312" w:eastAsia="仿宋_GB2312"/>
          <w:sz w:val="24"/>
        </w:rPr>
        <w:t>项目名称:                      招标编号:             包号:</w:t>
      </w:r>
    </w:p>
    <w:p>
      <w:pPr>
        <w:pStyle w:val="14"/>
        <w:spacing w:line="240" w:lineRule="atLeast"/>
        <w:ind w:left="1080" w:leftChars="257" w:hanging="540"/>
        <w:rPr>
          <w:rFonts w:ascii="仿宋_GB2312" w:eastAsia="仿宋_GB2312"/>
          <w:sz w:val="24"/>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jc w:val="center"/>
              <w:rPr>
                <w:rFonts w:ascii="仿宋_GB2312" w:eastAsia="仿宋_GB2312"/>
                <w:sz w:val="24"/>
              </w:rPr>
            </w:pPr>
            <w:r>
              <w:rPr>
                <w:rFonts w:hint="eastAsia" w:ascii="仿宋_GB2312" w:eastAsia="仿宋_GB2312"/>
                <w:sz w:val="24"/>
              </w:rPr>
              <w:t>序号</w:t>
            </w:r>
          </w:p>
        </w:tc>
        <w:tc>
          <w:tcPr>
            <w:tcW w:w="2040" w:type="dxa"/>
          </w:tcPr>
          <w:p>
            <w:pPr>
              <w:pStyle w:val="14"/>
              <w:spacing w:line="240" w:lineRule="atLeast"/>
              <w:jc w:val="center"/>
              <w:rPr>
                <w:rFonts w:ascii="仿宋_GB2312" w:eastAsia="仿宋_GB2312"/>
                <w:sz w:val="24"/>
              </w:rPr>
            </w:pPr>
            <w:r>
              <w:rPr>
                <w:rFonts w:hint="eastAsia" w:ascii="仿宋_GB2312" w:eastAsia="仿宋_GB2312"/>
                <w:sz w:val="24"/>
              </w:rPr>
              <w:t>招标文件条款号</w:t>
            </w:r>
          </w:p>
        </w:tc>
        <w:tc>
          <w:tcPr>
            <w:tcW w:w="2520" w:type="dxa"/>
          </w:tcPr>
          <w:p>
            <w:pPr>
              <w:pStyle w:val="14"/>
              <w:spacing w:line="240" w:lineRule="atLeast"/>
              <w:jc w:val="center"/>
              <w:rPr>
                <w:rFonts w:ascii="仿宋_GB2312" w:eastAsia="仿宋_GB2312"/>
                <w:sz w:val="24"/>
              </w:rPr>
            </w:pPr>
            <w:r>
              <w:rPr>
                <w:rFonts w:hint="eastAsia" w:ascii="仿宋_GB2312" w:eastAsia="仿宋_GB2312"/>
                <w:sz w:val="24"/>
              </w:rPr>
              <w:t>招标文件的商务条款</w:t>
            </w:r>
          </w:p>
        </w:tc>
        <w:tc>
          <w:tcPr>
            <w:tcW w:w="2520" w:type="dxa"/>
          </w:tcPr>
          <w:p>
            <w:pPr>
              <w:pStyle w:val="14"/>
              <w:spacing w:line="240" w:lineRule="atLeast"/>
              <w:jc w:val="center"/>
              <w:rPr>
                <w:rFonts w:ascii="仿宋_GB2312" w:eastAsia="仿宋_GB2312"/>
                <w:sz w:val="24"/>
              </w:rPr>
            </w:pPr>
            <w:r>
              <w:rPr>
                <w:rFonts w:hint="eastAsia" w:ascii="仿宋_GB2312" w:eastAsia="仿宋_GB2312"/>
                <w:sz w:val="24"/>
              </w:rPr>
              <w:t>投标文件的商务条款</w:t>
            </w:r>
          </w:p>
        </w:tc>
        <w:tc>
          <w:tcPr>
            <w:tcW w:w="900" w:type="dxa"/>
          </w:tcPr>
          <w:p>
            <w:pPr>
              <w:pStyle w:val="14"/>
              <w:spacing w:line="240" w:lineRule="atLeas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jc w:val="center"/>
              <w:rPr>
                <w:rFonts w:ascii="仿宋_GB2312" w:eastAsia="仿宋_GB2312"/>
                <w:sz w:val="24"/>
              </w:rPr>
            </w:pPr>
          </w:p>
        </w:tc>
        <w:tc>
          <w:tcPr>
            <w:tcW w:w="2520" w:type="dxa"/>
          </w:tcPr>
          <w:p>
            <w:pPr>
              <w:pStyle w:val="14"/>
              <w:spacing w:line="240" w:lineRule="atLeast"/>
              <w:ind w:left="1080" w:leftChars="257" w:hanging="540"/>
              <w:jc w:val="center"/>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_GB2312" w:eastAsia="仿宋_GB2312"/>
                <w:sz w:val="24"/>
              </w:rPr>
            </w:pPr>
          </w:p>
        </w:tc>
        <w:tc>
          <w:tcPr>
            <w:tcW w:w="204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2520" w:type="dxa"/>
          </w:tcPr>
          <w:p>
            <w:pPr>
              <w:pStyle w:val="14"/>
              <w:spacing w:line="240" w:lineRule="atLeast"/>
              <w:ind w:left="1080" w:leftChars="257" w:hanging="540"/>
              <w:rPr>
                <w:rFonts w:ascii="仿宋_GB2312" w:eastAsia="仿宋_GB2312"/>
                <w:sz w:val="24"/>
              </w:rPr>
            </w:pPr>
          </w:p>
        </w:tc>
        <w:tc>
          <w:tcPr>
            <w:tcW w:w="900" w:type="dxa"/>
          </w:tcPr>
          <w:p>
            <w:pPr>
              <w:pStyle w:val="14"/>
              <w:spacing w:line="240" w:lineRule="atLeast"/>
              <w:ind w:left="1080" w:leftChars="257" w:hanging="540"/>
              <w:rPr>
                <w:rFonts w:ascii="仿宋_GB2312" w:eastAsia="仿宋_GB2312"/>
                <w:sz w:val="24"/>
              </w:rPr>
            </w:pPr>
          </w:p>
        </w:tc>
      </w:tr>
    </w:tbl>
    <w:p>
      <w:pPr>
        <w:pStyle w:val="14"/>
        <w:spacing w:line="240" w:lineRule="atLeast"/>
        <w:ind w:left="1080" w:leftChars="257" w:hanging="540"/>
        <w:rPr>
          <w:rFonts w:ascii="仿宋_GB2312" w:eastAsia="仿宋_GB2312"/>
          <w:sz w:val="24"/>
        </w:rPr>
      </w:pPr>
    </w:p>
    <w:p>
      <w:pPr>
        <w:pStyle w:val="14"/>
        <w:spacing w:line="240" w:lineRule="atLeast"/>
        <w:ind w:left="1080" w:leftChars="257" w:hanging="540"/>
        <w:rPr>
          <w:rFonts w:ascii="仿宋_GB2312" w:eastAsia="仿宋_GB2312"/>
          <w:sz w:val="24"/>
        </w:rPr>
      </w:pPr>
    </w:p>
    <w:p>
      <w:pPr>
        <w:pStyle w:val="14"/>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4"/>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4"/>
        <w:spacing w:line="240" w:lineRule="atLeast"/>
        <w:ind w:left="1080" w:leftChars="257" w:hanging="540"/>
        <w:rPr>
          <w:rFonts w:ascii="仿宋_GB2312" w:hAnsi="宋体" w:eastAsia="仿宋_GB2312"/>
          <w:sz w:val="24"/>
        </w:rPr>
      </w:pPr>
      <w:r>
        <w:rPr>
          <w:rFonts w:ascii="仿宋_GB2312" w:hAnsi="宋体" w:eastAsia="仿宋_GB2312"/>
          <w:sz w:val="24"/>
          <w:u w:val="single"/>
        </w:rPr>
        <w:br w:type="page"/>
      </w:r>
    </w:p>
    <w:p>
      <w:pPr>
        <w:pStyle w:val="5"/>
        <w:spacing w:before="0" w:line="240" w:lineRule="atLeast"/>
        <w:ind w:left="1080" w:leftChars="257" w:hanging="540"/>
        <w:rPr>
          <w:rFonts w:ascii="仿宋_GB2312" w:eastAsia="仿宋_GB2312"/>
          <w:sz w:val="24"/>
        </w:rPr>
      </w:pPr>
      <w:bookmarkStart w:id="356" w:name="_Hlt520273973"/>
      <w:bookmarkEnd w:id="356"/>
      <w:bookmarkStart w:id="357" w:name="_Hlt520350957"/>
      <w:bookmarkEnd w:id="357"/>
      <w:bookmarkStart w:id="358" w:name="_Hlt520343392"/>
      <w:bookmarkEnd w:id="358"/>
      <w:bookmarkStart w:id="359" w:name="_Hlt520274393"/>
      <w:bookmarkEnd w:id="359"/>
      <w:bookmarkStart w:id="360" w:name="_Hlt520274911"/>
      <w:bookmarkEnd w:id="360"/>
      <w:bookmarkStart w:id="361" w:name="_Hlt520273711"/>
      <w:bookmarkEnd w:id="361"/>
      <w:bookmarkStart w:id="362" w:name="_Hlt520271212"/>
      <w:bookmarkEnd w:id="362"/>
      <w:bookmarkStart w:id="363" w:name="_Hlt520343000"/>
      <w:bookmarkEnd w:id="363"/>
      <w:bookmarkStart w:id="364" w:name="_Hlt520350918"/>
      <w:bookmarkEnd w:id="364"/>
      <w:bookmarkStart w:id="365" w:name="_Hlt520274407"/>
      <w:bookmarkEnd w:id="365"/>
      <w:bookmarkStart w:id="366" w:name="_Hlt520274065"/>
      <w:bookmarkEnd w:id="366"/>
      <w:bookmarkStart w:id="367" w:name="_Toc515647823"/>
      <w:bookmarkStart w:id="368" w:name="_Toc25347"/>
      <w:bookmarkStart w:id="369" w:name="_Toc10725"/>
      <w:bookmarkStart w:id="370" w:name="_Toc21312"/>
      <w:bookmarkStart w:id="371" w:name="_Toc15630"/>
      <w:bookmarkStart w:id="372" w:name="_Toc2687"/>
      <w:r>
        <w:rPr>
          <w:rFonts w:hint="eastAsia" w:ascii="仿宋_GB2312" w:eastAsia="仿宋_GB2312"/>
          <w:sz w:val="24"/>
        </w:rPr>
        <w:t>7-1  中小企业声明函（投标文件格式十一）</w:t>
      </w:r>
      <w:bookmarkEnd w:id="367"/>
      <w:bookmarkEnd w:id="368"/>
      <w:bookmarkEnd w:id="369"/>
      <w:bookmarkEnd w:id="370"/>
      <w:bookmarkEnd w:id="371"/>
      <w:bookmarkEnd w:id="372"/>
    </w:p>
    <w:p>
      <w:pPr>
        <w:spacing w:line="240" w:lineRule="atLeast"/>
        <w:ind w:left="1080" w:leftChars="257" w:hanging="540"/>
        <w:jc w:val="center"/>
        <w:rPr>
          <w:rFonts w:ascii="宋体" w:hAnsi="宋体" w:cs="宋体"/>
          <w:b/>
          <w:kern w:val="0"/>
          <w:sz w:val="24"/>
        </w:rPr>
      </w:pPr>
    </w:p>
    <w:p>
      <w:pPr>
        <w:spacing w:before="162" w:line="520" w:lineRule="exact"/>
        <w:jc w:val="center"/>
        <w:rPr>
          <w:rFonts w:ascii="宋体" w:hAnsi="宋体" w:cs="宋体"/>
          <w:b/>
          <w:bCs/>
          <w:sz w:val="24"/>
        </w:rPr>
      </w:pPr>
      <w:r>
        <w:rPr>
          <w:rFonts w:hint="eastAsia" w:ascii="宋体" w:hAnsi="宋体" w:cs="宋体"/>
          <w:b/>
          <w:bCs/>
          <w:sz w:val="24"/>
        </w:rPr>
        <w:t>中小企业声明函（货物）</w:t>
      </w:r>
    </w:p>
    <w:p>
      <w:pPr>
        <w:rPr>
          <w:rFonts w:ascii="宋体" w:hAnsi="宋体" w:cs="宋体"/>
        </w:rPr>
      </w:pPr>
    </w:p>
    <w:p>
      <w:pPr>
        <w:pStyle w:val="11"/>
        <w:spacing w:before="55" w:line="360" w:lineRule="exact"/>
        <w:ind w:right="414" w:firstLine="500" w:firstLineChars="200"/>
        <w:rPr>
          <w:rFonts w:cs="宋体"/>
          <w:spacing w:val="11"/>
          <w:w w:val="95"/>
        </w:rPr>
      </w:pPr>
      <w:r>
        <w:rPr>
          <w:rFonts w:hint="eastAsia" w:cs="宋体"/>
          <w:spacing w:val="11"/>
          <w:w w:val="95"/>
        </w:rPr>
        <w:t>本公司（联合体）郑重声明，根据《政府采购促进中小企业发展管理办法》（财库﹝2020﹞46 号）的规定，本公司（联合体）参加</w:t>
      </w:r>
      <w:r>
        <w:rPr>
          <w:rFonts w:hint="eastAsia" w:cs="宋体"/>
          <w:spacing w:val="11"/>
          <w:w w:val="95"/>
          <w:u w:val="single"/>
        </w:rPr>
        <w:t>（单位名称）</w:t>
      </w:r>
      <w:r>
        <w:rPr>
          <w:rFonts w:hint="eastAsia" w:cs="宋体"/>
          <w:spacing w:val="11"/>
          <w:w w:val="95"/>
        </w:rPr>
        <w:t>的</w:t>
      </w:r>
      <w:r>
        <w:rPr>
          <w:rFonts w:hint="eastAsia" w:cs="宋体"/>
          <w:spacing w:val="11"/>
          <w:w w:val="95"/>
          <w:u w:val="single"/>
        </w:rPr>
        <w:t>（项目名称）</w:t>
      </w:r>
      <w:r>
        <w:rPr>
          <w:rFonts w:hint="eastAsia" w:cs="宋体"/>
          <w:spacing w:val="11"/>
          <w:w w:val="95"/>
        </w:rPr>
        <w:t>采购活动，提供的货物全部由符合政策要求的中小企业制造。相关企业（含联合体中的中小企业、签订分包意向协议的中小企业） 的具体情况如下：</w:t>
      </w:r>
    </w:p>
    <w:p>
      <w:pPr>
        <w:pStyle w:val="78"/>
        <w:widowControl w:val="0"/>
        <w:tabs>
          <w:tab w:val="left" w:pos="1183"/>
          <w:tab w:val="left" w:pos="1484"/>
          <w:tab w:val="left" w:pos="4662"/>
          <w:tab w:val="left" w:pos="6903"/>
        </w:tabs>
        <w:spacing w:line="360" w:lineRule="exact"/>
        <w:ind w:left="420" w:leftChars="200" w:right="170" w:firstLine="498"/>
        <w:rPr>
          <w:rFonts w:ascii="宋体" w:hAnsi="宋体" w:cs="宋体"/>
          <w:spacing w:val="11"/>
          <w:w w:val="95"/>
          <w:kern w:val="2"/>
        </w:rPr>
      </w:pPr>
      <w:r>
        <w:rPr>
          <w:rFonts w:hint="eastAsia" w:ascii="宋体" w:hAnsi="宋体" w:cs="宋体"/>
          <w:spacing w:val="11"/>
          <w:w w:val="95"/>
          <w:kern w:val="2"/>
        </w:rPr>
        <w:t>1.</w:t>
      </w:r>
      <w:r>
        <w:rPr>
          <w:rFonts w:hint="eastAsia" w:ascii="宋体" w:hAnsi="宋体" w:cs="宋体"/>
          <w:spacing w:val="11"/>
          <w:w w:val="95"/>
          <w:kern w:val="2"/>
          <w:u w:val="single"/>
        </w:rPr>
        <w:t>（标的名称）</w:t>
      </w:r>
      <w:r>
        <w:rPr>
          <w:rFonts w:hint="eastAsia" w:ascii="宋体" w:hAnsi="宋体" w:cs="宋体"/>
          <w:spacing w:val="11"/>
          <w:w w:val="95"/>
          <w:kern w:val="2"/>
        </w:rPr>
        <w:t>， 属 于</w:t>
      </w:r>
      <w:r>
        <w:rPr>
          <w:rFonts w:hint="eastAsia" w:ascii="宋体" w:hAnsi="宋体" w:cs="宋体"/>
          <w:spacing w:val="11"/>
          <w:w w:val="95"/>
          <w:kern w:val="2"/>
          <w:u w:val="single"/>
        </w:rPr>
        <w:t>（采购文件中明确的所属行业）行业</w:t>
      </w:r>
      <w:r>
        <w:rPr>
          <w:rFonts w:hint="eastAsia" w:ascii="宋体" w:hAnsi="宋体" w:cs="宋体"/>
          <w:spacing w:val="11"/>
          <w:w w:val="95"/>
          <w:kern w:val="2"/>
        </w:rPr>
        <w:t>；制造商为</w:t>
      </w:r>
      <w:r>
        <w:rPr>
          <w:rFonts w:hint="eastAsia" w:ascii="宋体" w:hAnsi="宋体" w:cs="宋体"/>
          <w:spacing w:val="11"/>
          <w:w w:val="95"/>
          <w:kern w:val="2"/>
          <w:u w:val="single"/>
        </w:rPr>
        <w:t>（企业名称）</w:t>
      </w:r>
      <w:r>
        <w:rPr>
          <w:rFonts w:hint="eastAsia" w:ascii="宋体" w:hAnsi="宋体" w:cs="宋体"/>
          <w:spacing w:val="11"/>
          <w:w w:val="95"/>
          <w:kern w:val="2"/>
        </w:rPr>
        <w:t>，从业人员</w:t>
      </w:r>
      <w:r>
        <w:rPr>
          <w:rFonts w:hint="eastAsia" w:ascii="宋体" w:hAnsi="宋体" w:cs="宋体"/>
          <w:spacing w:val="11"/>
          <w:w w:val="95"/>
          <w:kern w:val="2"/>
          <w:u w:val="single"/>
        </w:rPr>
        <w:t xml:space="preserve">    </w:t>
      </w:r>
      <w:r>
        <w:rPr>
          <w:rFonts w:hint="eastAsia" w:ascii="宋体" w:hAnsi="宋体" w:cs="宋体"/>
          <w:spacing w:val="11"/>
          <w:w w:val="95"/>
          <w:kern w:val="2"/>
        </w:rPr>
        <w:t>人，营业收入为</w:t>
      </w:r>
      <w:r>
        <w:rPr>
          <w:rFonts w:hint="eastAsia" w:ascii="宋体" w:hAnsi="宋体" w:cs="宋体"/>
          <w:spacing w:val="11"/>
          <w:w w:val="95"/>
          <w:kern w:val="2"/>
          <w:u w:val="single"/>
        </w:rPr>
        <w:t xml:space="preserve">    </w:t>
      </w:r>
      <w:r>
        <w:rPr>
          <w:rFonts w:hint="eastAsia" w:ascii="宋体" w:hAnsi="宋体" w:cs="宋体"/>
          <w:spacing w:val="11"/>
          <w:w w:val="95"/>
          <w:kern w:val="2"/>
        </w:rPr>
        <w:t>万元，资产总额为</w:t>
      </w:r>
      <w:r>
        <w:rPr>
          <w:rFonts w:hint="eastAsia" w:ascii="宋体" w:hAnsi="宋体" w:cs="宋体"/>
          <w:spacing w:val="11"/>
          <w:w w:val="95"/>
          <w:kern w:val="2"/>
          <w:u w:val="single"/>
        </w:rPr>
        <w:t xml:space="preserve">    </w:t>
      </w:r>
      <w:r>
        <w:rPr>
          <w:rFonts w:hint="eastAsia" w:ascii="宋体" w:hAnsi="宋体" w:cs="宋体"/>
          <w:spacing w:val="11"/>
          <w:w w:val="95"/>
          <w:kern w:val="2"/>
        </w:rPr>
        <w:t>万元，属于</w:t>
      </w:r>
      <w:r>
        <w:rPr>
          <w:rFonts w:hint="eastAsia" w:ascii="宋体" w:hAnsi="宋体" w:cs="宋体"/>
          <w:spacing w:val="11"/>
          <w:w w:val="95"/>
          <w:kern w:val="2"/>
          <w:u w:val="single"/>
        </w:rPr>
        <w:t>（中型企业、小型企业、微型企业）</w:t>
      </w:r>
      <w:r>
        <w:rPr>
          <w:rFonts w:hint="eastAsia" w:ascii="宋体" w:hAnsi="宋体" w:cs="宋体"/>
          <w:spacing w:val="11"/>
          <w:w w:val="95"/>
          <w:kern w:val="2"/>
        </w:rPr>
        <w:t>；</w:t>
      </w:r>
    </w:p>
    <w:p>
      <w:pPr>
        <w:pStyle w:val="78"/>
        <w:widowControl w:val="0"/>
        <w:tabs>
          <w:tab w:val="left" w:pos="1165"/>
          <w:tab w:val="left" w:pos="1183"/>
          <w:tab w:val="left" w:pos="4362"/>
          <w:tab w:val="left" w:pos="6577"/>
        </w:tabs>
        <w:spacing w:line="360" w:lineRule="exact"/>
        <w:ind w:left="420" w:leftChars="200" w:right="169" w:firstLine="498"/>
        <w:rPr>
          <w:rFonts w:ascii="宋体" w:hAnsi="宋体" w:cs="宋体"/>
          <w:spacing w:val="11"/>
          <w:w w:val="95"/>
          <w:kern w:val="2"/>
        </w:rPr>
      </w:pPr>
      <w:r>
        <w:rPr>
          <w:rFonts w:hint="eastAsia" w:ascii="宋体" w:hAnsi="宋体" w:cs="宋体"/>
          <w:spacing w:val="11"/>
          <w:w w:val="95"/>
          <w:kern w:val="2"/>
        </w:rPr>
        <w:t>2.</w:t>
      </w:r>
      <w:r>
        <w:rPr>
          <w:rFonts w:hint="eastAsia" w:ascii="宋体" w:hAnsi="宋体" w:cs="宋体"/>
          <w:spacing w:val="11"/>
          <w:w w:val="95"/>
          <w:kern w:val="2"/>
          <w:u w:val="single"/>
        </w:rPr>
        <w:t>（标的名称）</w:t>
      </w:r>
      <w:r>
        <w:rPr>
          <w:rFonts w:hint="eastAsia" w:ascii="宋体" w:hAnsi="宋体" w:cs="宋体"/>
          <w:spacing w:val="11"/>
          <w:w w:val="95"/>
          <w:kern w:val="2"/>
        </w:rPr>
        <w:t>， 属 于</w:t>
      </w:r>
      <w:r>
        <w:rPr>
          <w:rFonts w:hint="eastAsia" w:ascii="宋体" w:hAnsi="宋体" w:cs="宋体"/>
          <w:spacing w:val="11"/>
          <w:w w:val="95"/>
          <w:kern w:val="2"/>
          <w:u w:val="single"/>
        </w:rPr>
        <w:t>（采购文件中明确的所属行业）行业</w:t>
      </w:r>
      <w:r>
        <w:rPr>
          <w:rFonts w:hint="eastAsia" w:ascii="宋体" w:hAnsi="宋体" w:cs="宋体"/>
          <w:spacing w:val="11"/>
          <w:w w:val="95"/>
          <w:kern w:val="2"/>
        </w:rPr>
        <w:t>；制造商为</w:t>
      </w:r>
      <w:r>
        <w:rPr>
          <w:rFonts w:hint="eastAsia" w:ascii="宋体" w:hAnsi="宋体" w:cs="宋体"/>
          <w:spacing w:val="11"/>
          <w:w w:val="95"/>
          <w:kern w:val="2"/>
          <w:u w:val="single"/>
        </w:rPr>
        <w:t>（企业名称）</w:t>
      </w:r>
      <w:r>
        <w:rPr>
          <w:rFonts w:hint="eastAsia" w:ascii="宋体" w:hAnsi="宋体" w:cs="宋体"/>
          <w:spacing w:val="11"/>
          <w:w w:val="95"/>
          <w:kern w:val="2"/>
        </w:rPr>
        <w:t>，从业人员</w:t>
      </w:r>
      <w:r>
        <w:rPr>
          <w:rFonts w:hint="eastAsia" w:ascii="宋体" w:hAnsi="宋体" w:cs="宋体"/>
          <w:spacing w:val="11"/>
          <w:w w:val="95"/>
          <w:kern w:val="2"/>
          <w:u w:val="single"/>
        </w:rPr>
        <w:t xml:space="preserve">    </w:t>
      </w:r>
      <w:r>
        <w:rPr>
          <w:rFonts w:hint="eastAsia" w:ascii="宋体" w:hAnsi="宋体" w:cs="宋体"/>
          <w:spacing w:val="11"/>
          <w:w w:val="95"/>
          <w:kern w:val="2"/>
        </w:rPr>
        <w:t>人，营业收入为</w:t>
      </w:r>
      <w:r>
        <w:rPr>
          <w:rFonts w:hint="eastAsia" w:ascii="宋体" w:hAnsi="宋体" w:cs="宋体"/>
          <w:spacing w:val="11"/>
          <w:w w:val="95"/>
          <w:kern w:val="2"/>
          <w:u w:val="single"/>
        </w:rPr>
        <w:t xml:space="preserve">    </w:t>
      </w:r>
      <w:r>
        <w:rPr>
          <w:rFonts w:hint="eastAsia" w:ascii="宋体" w:hAnsi="宋体" w:cs="宋体"/>
          <w:spacing w:val="11"/>
          <w:w w:val="95"/>
          <w:kern w:val="2"/>
        </w:rPr>
        <w:t>万元，资产总额为</w:t>
      </w:r>
      <w:r>
        <w:rPr>
          <w:rFonts w:hint="eastAsia" w:ascii="宋体" w:hAnsi="宋体" w:cs="宋体"/>
          <w:spacing w:val="11"/>
          <w:w w:val="95"/>
          <w:kern w:val="2"/>
          <w:u w:val="single"/>
        </w:rPr>
        <w:t xml:space="preserve">    </w:t>
      </w:r>
      <w:r>
        <w:rPr>
          <w:rFonts w:hint="eastAsia" w:ascii="宋体" w:hAnsi="宋体" w:cs="宋体"/>
          <w:spacing w:val="11"/>
          <w:w w:val="95"/>
          <w:kern w:val="2"/>
        </w:rPr>
        <w:t>万元，属于</w:t>
      </w:r>
      <w:r>
        <w:rPr>
          <w:rFonts w:hint="eastAsia" w:ascii="宋体" w:hAnsi="宋体" w:cs="宋体"/>
          <w:spacing w:val="11"/>
          <w:w w:val="95"/>
          <w:kern w:val="2"/>
          <w:u w:val="single"/>
        </w:rPr>
        <w:t>（中型企业、小型企业、微型企业）</w:t>
      </w:r>
      <w:r>
        <w:rPr>
          <w:rFonts w:hint="eastAsia" w:ascii="宋体" w:hAnsi="宋体" w:cs="宋体"/>
          <w:spacing w:val="11"/>
          <w:w w:val="95"/>
          <w:kern w:val="2"/>
        </w:rPr>
        <w:t>；</w:t>
      </w:r>
    </w:p>
    <w:p>
      <w:pPr>
        <w:pStyle w:val="11"/>
        <w:spacing w:line="360" w:lineRule="exact"/>
        <w:ind w:left="860" w:firstLine="500" w:firstLineChars="200"/>
        <w:rPr>
          <w:rFonts w:cs="宋体"/>
          <w:spacing w:val="11"/>
          <w:w w:val="95"/>
        </w:rPr>
      </w:pPr>
      <w:r>
        <w:rPr>
          <w:rFonts w:hint="eastAsia" w:cs="宋体"/>
          <w:spacing w:val="11"/>
          <w:w w:val="95"/>
        </w:rPr>
        <w:t>……</w:t>
      </w:r>
    </w:p>
    <w:p>
      <w:pPr>
        <w:pStyle w:val="11"/>
        <w:spacing w:before="105" w:line="360" w:lineRule="exact"/>
        <w:ind w:right="417" w:firstLine="500" w:firstLineChars="200"/>
        <w:rPr>
          <w:rFonts w:cs="宋体"/>
          <w:spacing w:val="11"/>
          <w:w w:val="95"/>
        </w:rPr>
      </w:pPr>
      <w:r>
        <w:rPr>
          <w:rFonts w:hint="eastAsia" w:cs="宋体"/>
          <w:spacing w:val="11"/>
          <w:w w:val="95"/>
        </w:rPr>
        <w:t>以上企业，不属于大企业的分支机构，不存在控股股东为大企业的情形，也不存在与大企业的负责人为同一人的情形。</w:t>
      </w:r>
    </w:p>
    <w:p>
      <w:pPr>
        <w:pStyle w:val="11"/>
        <w:spacing w:line="360" w:lineRule="exact"/>
        <w:ind w:right="372" w:firstLine="500" w:firstLineChars="200"/>
        <w:rPr>
          <w:rFonts w:cs="宋体"/>
          <w:spacing w:val="11"/>
          <w:w w:val="95"/>
        </w:rPr>
      </w:pPr>
      <w:r>
        <w:rPr>
          <w:rFonts w:hint="eastAsia" w:cs="宋体"/>
          <w:spacing w:val="11"/>
          <w:w w:val="95"/>
        </w:rPr>
        <w:t>本企业对上述声明内容的真实性负责。如有虚假，将依法承担相应责任。</w:t>
      </w:r>
    </w:p>
    <w:p>
      <w:pPr>
        <w:spacing w:line="360" w:lineRule="exact"/>
        <w:ind w:firstLine="420" w:firstLineChars="200"/>
        <w:rPr>
          <w:rFonts w:ascii="宋体" w:hAnsi="宋体" w:cs="宋体"/>
        </w:rPr>
      </w:pPr>
    </w:p>
    <w:p>
      <w:pPr>
        <w:pStyle w:val="11"/>
        <w:spacing w:line="360" w:lineRule="exact"/>
        <w:ind w:right="372" w:firstLine="3000" w:firstLineChars="1200"/>
        <w:rPr>
          <w:rFonts w:cs="宋体"/>
          <w:spacing w:val="11"/>
          <w:w w:val="95"/>
        </w:rPr>
      </w:pPr>
      <w:r>
        <w:rPr>
          <w:rFonts w:hint="eastAsia" w:cs="宋体"/>
          <w:spacing w:val="11"/>
          <w:w w:val="95"/>
        </w:rPr>
        <w:t>企业名称（盖章）：</w:t>
      </w:r>
      <w:r>
        <w:rPr>
          <w:rFonts w:hint="eastAsia" w:cs="宋体"/>
          <w:spacing w:val="11"/>
          <w:w w:val="95"/>
          <w:u w:val="single"/>
        </w:rPr>
        <w:t xml:space="preserve">                  </w:t>
      </w:r>
    </w:p>
    <w:p>
      <w:pPr>
        <w:pStyle w:val="11"/>
        <w:spacing w:line="360" w:lineRule="exact"/>
        <w:ind w:right="372" w:firstLine="3000" w:firstLineChars="1200"/>
        <w:rPr>
          <w:rFonts w:cs="宋体"/>
          <w:spacing w:val="11"/>
          <w:w w:val="95"/>
        </w:rPr>
      </w:pPr>
    </w:p>
    <w:p>
      <w:pPr>
        <w:pStyle w:val="11"/>
        <w:spacing w:line="360" w:lineRule="exact"/>
        <w:ind w:right="372" w:firstLine="3000" w:firstLineChars="1200"/>
        <w:rPr>
          <w:rFonts w:cs="宋体"/>
          <w:spacing w:val="11"/>
          <w:w w:val="95"/>
        </w:rPr>
      </w:pPr>
      <w:r>
        <w:rPr>
          <w:rFonts w:hint="eastAsia" w:cs="宋体"/>
          <w:spacing w:val="11"/>
          <w:w w:val="95"/>
        </w:rPr>
        <w:t>日期：</w:t>
      </w:r>
      <w:r>
        <w:rPr>
          <w:rFonts w:hint="eastAsia" w:cs="宋体"/>
          <w:spacing w:val="11"/>
          <w:w w:val="95"/>
          <w:u w:val="single"/>
        </w:rPr>
        <w:t xml:space="preserve">                     </w:t>
      </w:r>
    </w:p>
    <w:p>
      <w:pPr>
        <w:rPr>
          <w:rFonts w:ascii="宋体" w:hAnsi="宋体" w:cs="宋体"/>
          <w:sz w:val="22"/>
          <w:szCs w:val="22"/>
        </w:rPr>
      </w:pPr>
    </w:p>
    <w:p>
      <w:pPr>
        <w:pStyle w:val="21"/>
        <w:rPr>
          <w:rFonts w:ascii="宋体" w:hAnsi="宋体" w:cs="宋体"/>
        </w:rPr>
      </w:pPr>
    </w:p>
    <w:p>
      <w:pPr>
        <w:pStyle w:val="11"/>
        <w:spacing w:line="360" w:lineRule="exact"/>
        <w:ind w:right="372" w:firstLine="502" w:firstLineChars="200"/>
        <w:rPr>
          <w:rFonts w:cs="宋体"/>
          <w:b/>
          <w:bCs/>
          <w:spacing w:val="11"/>
          <w:w w:val="95"/>
        </w:rPr>
      </w:pPr>
      <w:r>
        <w:rPr>
          <w:rFonts w:hint="eastAsia" w:cs="宋体"/>
          <w:b/>
          <w:bCs/>
          <w:spacing w:val="11"/>
          <w:w w:val="95"/>
        </w:rPr>
        <w:t>注：从业人员、营业收入、资产总额填报近一年度（2021年或2022年）数据，无近一年度（2021年或2022年）数据的新成立企业可不填报。</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 xml:space="preserve">                    </w:t>
      </w:r>
    </w:p>
    <w:p>
      <w:pPr>
        <w:widowControl/>
        <w:spacing w:before="100" w:beforeAutospacing="1" w:after="100" w:afterAutospacing="1" w:line="330" w:lineRule="atLeast"/>
        <w:ind w:firstLine="420"/>
        <w:jc w:val="left"/>
        <w:rPr>
          <w:rFonts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5"/>
        <w:spacing w:before="0" w:line="240" w:lineRule="atLeast"/>
        <w:ind w:firstLine="1200" w:firstLineChars="500"/>
        <w:jc w:val="both"/>
        <w:rPr>
          <w:rFonts w:ascii="仿宋_GB2312" w:eastAsia="仿宋_GB2312"/>
          <w:sz w:val="24"/>
        </w:rPr>
      </w:pPr>
      <w:r>
        <w:rPr>
          <w:rFonts w:ascii="仿宋_GB2312" w:eastAsia="仿宋_GB2312"/>
          <w:b w:val="0"/>
          <w:sz w:val="24"/>
        </w:rPr>
        <w:br w:type="page"/>
      </w:r>
      <w:bookmarkStart w:id="373" w:name="_Toc24603"/>
      <w:bookmarkStart w:id="374" w:name="_Toc30798"/>
      <w:bookmarkStart w:id="375" w:name="_Toc7261"/>
      <w:r>
        <w:rPr>
          <w:rFonts w:hint="eastAsia" w:ascii="仿宋_GB2312" w:eastAsia="仿宋_GB2312"/>
          <w:sz w:val="24"/>
        </w:rPr>
        <w:t>7-2   残疾人福利性单位声明函（投标文件格式十二）</w:t>
      </w:r>
      <w:bookmarkEnd w:id="373"/>
      <w:bookmarkEnd w:id="374"/>
      <w:bookmarkEnd w:id="375"/>
    </w:p>
    <w:p>
      <w:pPr>
        <w:spacing w:line="240" w:lineRule="atLeast"/>
        <w:ind w:left="1080" w:leftChars="257" w:hanging="540"/>
        <w:jc w:val="center"/>
        <w:rPr>
          <w:rFonts w:ascii="宋体" w:hAnsi="宋体" w:cs="宋体"/>
          <w:kern w:val="0"/>
          <w:sz w:val="24"/>
        </w:rPr>
      </w:pPr>
    </w:p>
    <w:p>
      <w:pPr>
        <w:spacing w:line="360" w:lineRule="auto"/>
        <w:ind w:firstLine="567"/>
        <w:rPr>
          <w:rFonts w:ascii="宋体" w:hAnsi="宋体" w:cs="宋体"/>
          <w:kern w:val="0"/>
          <w:sz w:val="24"/>
        </w:rPr>
      </w:pPr>
      <w:r>
        <w:rPr>
          <w:rFonts w:hint="eastAsia" w:ascii="宋体" w:hAnsi="宋体" w:cs="宋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auto"/>
        <w:ind w:left="1080" w:leftChars="257" w:hanging="540"/>
        <w:rPr>
          <w:rFonts w:ascii="宋体" w:hAnsi="宋体" w:cs="宋体"/>
          <w:kern w:val="0"/>
          <w:sz w:val="24"/>
        </w:rPr>
      </w:pPr>
      <w:r>
        <w:rPr>
          <w:rFonts w:hint="eastAsia" w:ascii="宋体" w:hAnsi="宋体" w:cs="宋体"/>
          <w:kern w:val="0"/>
          <w:sz w:val="24"/>
        </w:rPr>
        <w:t>本单位对上述声明的真实性负责。如有虚假，将依法承担相应责任。</w:t>
      </w:r>
    </w:p>
    <w:p>
      <w:pPr>
        <w:spacing w:line="360" w:lineRule="auto"/>
        <w:ind w:left="1080" w:leftChars="257" w:hanging="540"/>
        <w:jc w:val="center"/>
        <w:rPr>
          <w:rFonts w:ascii="宋体" w:hAnsi="宋体" w:cs="宋体"/>
          <w:kern w:val="0"/>
          <w:sz w:val="24"/>
        </w:rPr>
      </w:pPr>
    </w:p>
    <w:p>
      <w:pPr>
        <w:spacing w:line="360" w:lineRule="auto"/>
        <w:ind w:left="1080" w:leftChars="257" w:hanging="540"/>
        <w:jc w:val="center"/>
        <w:rPr>
          <w:rFonts w:ascii="宋体" w:hAnsi="宋体" w:cs="宋体"/>
          <w:kern w:val="0"/>
          <w:sz w:val="24"/>
        </w:rPr>
      </w:pPr>
    </w:p>
    <w:p>
      <w:pPr>
        <w:spacing w:line="360" w:lineRule="auto"/>
        <w:ind w:left="1080" w:leftChars="257" w:hanging="540"/>
        <w:jc w:val="center"/>
        <w:rPr>
          <w:rFonts w:ascii="宋体" w:hAnsi="宋体" w:cs="宋体"/>
          <w:kern w:val="0"/>
          <w:sz w:val="24"/>
        </w:rPr>
      </w:pPr>
      <w:r>
        <w:rPr>
          <w:rFonts w:hint="eastAsia" w:ascii="宋体" w:hAnsi="宋体" w:cs="宋体"/>
          <w:kern w:val="0"/>
          <w:sz w:val="24"/>
        </w:rPr>
        <w:t xml:space="preserve">    残疾人福利性单位名称（盖单位章）：______________</w:t>
      </w:r>
    </w:p>
    <w:p>
      <w:pPr>
        <w:spacing w:line="360" w:lineRule="auto"/>
        <w:ind w:left="1080" w:leftChars="257" w:hanging="540"/>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color="FFFFFF"/>
        </w:rPr>
        <w:t xml:space="preserve">       </w:t>
      </w:r>
      <w:r>
        <w:rPr>
          <w:rFonts w:hint="eastAsia" w:ascii="宋体" w:hAnsi="宋体" w:cs="宋体"/>
          <w:kern w:val="0"/>
          <w:sz w:val="24"/>
        </w:rPr>
        <w:t>日  期：_____________________________________________</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 xml:space="preserve">                  </w:t>
      </w:r>
    </w:p>
    <w:p>
      <w:pPr>
        <w:ind w:firstLine="480" w:firstLineChars="200"/>
        <w:outlineLvl w:val="1"/>
        <w:rPr>
          <w:rFonts w:ascii="仿宋_GB2312" w:hAnsi="宋体" w:eastAsia="仿宋_GB2312"/>
          <w:sz w:val="24"/>
        </w:rPr>
      </w:pPr>
      <w:r>
        <w:rPr>
          <w:rFonts w:hint="eastAsia" w:ascii="仿宋_GB2312" w:hAnsi="宋体" w:eastAsia="仿宋_GB2312"/>
          <w:sz w:val="24"/>
        </w:rPr>
        <w:t>7-3 分包协议</w:t>
      </w:r>
    </w:p>
    <w:p>
      <w:pPr>
        <w:ind w:firstLine="480" w:firstLineChars="200"/>
        <w:rPr>
          <w:rFonts w:eastAsia="仿宋_GB2312"/>
        </w:rPr>
      </w:pPr>
      <w:r>
        <w:rPr>
          <w:rFonts w:hint="eastAsia" w:ascii="仿宋_GB2312" w:hAnsi="宋体" w:eastAsia="仿宋_GB2312"/>
          <w:sz w:val="24"/>
        </w:rPr>
        <w:t>★</w:t>
      </w:r>
      <w:r>
        <w:rPr>
          <w:rFonts w:hint="eastAsia" w:ascii="仿宋_GB2312" w:hAnsi="宋体" w:eastAsia="仿宋_GB2312"/>
          <w:b/>
          <w:bCs/>
          <w:sz w:val="24"/>
        </w:rPr>
        <w:t>大型企业须提供合同分包协议（格式自拟），未提供的供应商投标无效（</w:t>
      </w:r>
      <w:r>
        <w:rPr>
          <w:rFonts w:hint="eastAsia" w:ascii="仿宋_GB2312" w:hAnsi="宋体" w:eastAsia="仿宋_GB2312"/>
          <w:sz w:val="24"/>
        </w:rPr>
        <w:t>本项目预留项目预算总额的40%以上须分包给中小微企业采购</w:t>
      </w:r>
      <w:r>
        <w:rPr>
          <w:rFonts w:hint="eastAsia" w:ascii="仿宋_GB2312" w:hAnsi="宋体" w:eastAsia="仿宋_GB2312"/>
          <w:b/>
          <w:bCs/>
          <w:sz w:val="24"/>
        </w:rPr>
        <w:t>）；中小企业投标须提供中小企业声明函。</w:t>
      </w:r>
    </w:p>
    <w:p>
      <w:pPr>
        <w:pStyle w:val="12"/>
        <w:ind w:firstLine="240"/>
      </w:pPr>
    </w:p>
    <w:p>
      <w:pPr>
        <w:widowControl/>
        <w:spacing w:before="100" w:beforeAutospacing="1" w:after="100" w:afterAutospacing="1" w:line="330" w:lineRule="atLeast"/>
        <w:ind w:firstLine="420"/>
        <w:jc w:val="left"/>
        <w:rPr>
          <w:rFonts w:ascii="仿宋" w:hAnsi="仿宋" w:eastAsia="仿宋" w:cs="宋体"/>
          <w:kern w:val="0"/>
          <w:szCs w:val="21"/>
        </w:rPr>
      </w:pPr>
    </w:p>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5"/>
        <w:spacing w:before="0" w:line="240" w:lineRule="atLeast"/>
        <w:ind w:left="1080" w:leftChars="257" w:hanging="540"/>
        <w:rPr>
          <w:rFonts w:ascii="仿宋_GB2312" w:hAnsi="宋体" w:eastAsia="仿宋_GB2312"/>
          <w:sz w:val="24"/>
        </w:rPr>
      </w:pPr>
      <w:bookmarkStart w:id="376" w:name="_Toc28099"/>
      <w:bookmarkStart w:id="377" w:name="_Toc30795"/>
      <w:bookmarkStart w:id="378" w:name="_Toc13252"/>
      <w:bookmarkStart w:id="379" w:name="_Toc3532"/>
      <w:bookmarkStart w:id="380" w:name="_Toc515647827"/>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bookmarkEnd w:id="376"/>
      <w:bookmarkEnd w:id="377"/>
      <w:bookmarkEnd w:id="378"/>
      <w:bookmarkEnd w:id="379"/>
      <w:bookmarkEnd w:id="380"/>
    </w:p>
    <w:p>
      <w:pPr>
        <w:pStyle w:val="8"/>
        <w:jc w:val="center"/>
      </w:pPr>
    </w:p>
    <w:p>
      <w:pPr>
        <w:pStyle w:val="8"/>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8"/>
        <w:ind w:firstLine="480" w:firstLineChars="200"/>
        <w:rPr>
          <w:rFonts w:ascii="仿宋_GB2312" w:hAnsi="宋体" w:eastAsia="仿宋_GB2312"/>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p>
    <w:p>
      <w:pPr>
        <w:pStyle w:val="8"/>
        <w:ind w:firstLine="480" w:firstLineChars="200"/>
      </w:pP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8"/>
        <w:rPr>
          <w:rFonts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5"/>
        <w:spacing w:before="0" w:line="240" w:lineRule="atLeast"/>
        <w:ind w:left="1080" w:leftChars="257" w:hanging="540"/>
        <w:rPr>
          <w:rFonts w:ascii="仿宋_GB2312" w:hAnsi="宋体" w:eastAsia="仿宋_GB2312"/>
          <w:sz w:val="24"/>
        </w:rPr>
      </w:pPr>
      <w:bookmarkStart w:id="381" w:name="_Toc7414"/>
      <w:bookmarkStart w:id="382" w:name="_Toc515647828"/>
      <w:bookmarkStart w:id="383" w:name="_Toc13233"/>
      <w:bookmarkStart w:id="384" w:name="_Toc17333"/>
      <w:bookmarkStart w:id="385" w:name="_Toc4312"/>
      <w:r>
        <w:rPr>
          <w:rFonts w:ascii="仿宋_GB2312" w:hAnsi="宋体" w:eastAsia="仿宋_GB2312"/>
          <w:sz w:val="24"/>
        </w:rPr>
        <w:t>9</w:t>
      </w:r>
      <w:r>
        <w:rPr>
          <w:rFonts w:hint="eastAsia" w:ascii="仿宋_GB2312" w:hAnsi="宋体" w:eastAsia="仿宋_GB2312"/>
          <w:sz w:val="24"/>
        </w:rPr>
        <w:t xml:space="preserve">   投标文件还应包括投标人须知第10条的所有技术文件</w:t>
      </w:r>
      <w:bookmarkEnd w:id="381"/>
      <w:bookmarkEnd w:id="382"/>
      <w:bookmarkEnd w:id="383"/>
      <w:bookmarkEnd w:id="384"/>
      <w:bookmarkEnd w:id="385"/>
    </w:p>
    <w:p>
      <w:pPr>
        <w:spacing w:line="240" w:lineRule="atLeast"/>
        <w:ind w:left="1080" w:leftChars="257" w:hanging="540"/>
        <w:jc w:val="center"/>
        <w:rPr>
          <w:rFonts w:ascii="仿宋_GB2312" w:eastAsia="仿宋_GB2312"/>
          <w:b/>
          <w:sz w:val="30"/>
          <w:szCs w:val="30"/>
        </w:rPr>
      </w:pPr>
      <w:r>
        <w:rPr>
          <w:rFonts w:ascii="仿宋_GB2312" w:hAnsi="宋体" w:eastAsia="仿宋_GB2312"/>
          <w:sz w:val="24"/>
        </w:rPr>
        <w:br w:type="page"/>
      </w:r>
    </w:p>
    <w:p>
      <w:pPr>
        <w:spacing w:line="240" w:lineRule="atLeast"/>
        <w:ind w:left="1080" w:leftChars="257" w:hanging="540"/>
        <w:jc w:val="center"/>
        <w:rPr>
          <w:rFonts w:ascii="仿宋_GB2312" w:eastAsia="仿宋_GB2312"/>
          <w:b/>
          <w:sz w:val="52"/>
          <w:szCs w:val="52"/>
        </w:rPr>
      </w:pPr>
    </w:p>
    <w:p>
      <w:pPr>
        <w:spacing w:line="240" w:lineRule="atLeast"/>
        <w:ind w:left="-1"/>
        <w:jc w:val="center"/>
        <w:rPr>
          <w:rFonts w:ascii="黑体" w:hAnsi="黑体" w:eastAsia="黑体" w:cs="黑体"/>
          <w:bCs/>
          <w:sz w:val="56"/>
          <w:szCs w:val="56"/>
        </w:rPr>
      </w:pPr>
    </w:p>
    <w:p>
      <w:pPr>
        <w:pStyle w:val="8"/>
        <w:ind w:firstLine="0"/>
        <w:jc w:val="center"/>
        <w:rPr>
          <w:sz w:val="22"/>
          <w:szCs w:val="18"/>
        </w:rPr>
      </w:pPr>
      <w:r>
        <w:rPr>
          <w:rFonts w:hint="eastAsia" w:ascii="黑体" w:hAnsi="黑体" w:eastAsia="黑体" w:cs="黑体"/>
          <w:bCs/>
          <w:sz w:val="52"/>
          <w:szCs w:val="52"/>
        </w:rPr>
        <w:t>喀什大学5G+行业数智化集成与开发实训中心项目</w:t>
      </w:r>
    </w:p>
    <w:p>
      <w:pPr>
        <w:jc w:val="center"/>
      </w:pPr>
    </w:p>
    <w:p>
      <w:pPr>
        <w:pStyle w:val="8"/>
      </w:pPr>
    </w:p>
    <w:p/>
    <w:p>
      <w:pPr>
        <w:spacing w:line="240" w:lineRule="atLeast"/>
        <w:ind w:left="1080" w:leftChars="257" w:hanging="540"/>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rPr>
        <w:t>公开招标文件</w:t>
      </w:r>
    </w:p>
    <w:p>
      <w:pPr>
        <w:spacing w:line="240" w:lineRule="atLeast"/>
        <w:ind w:hanging="18"/>
        <w:jc w:val="center"/>
        <w:rPr>
          <w:rFonts w:ascii="黑体" w:eastAsia="黑体"/>
          <w:sz w:val="28"/>
        </w:rPr>
      </w:pPr>
    </w:p>
    <w:p>
      <w:pPr>
        <w:spacing w:line="240" w:lineRule="atLeast"/>
        <w:ind w:hanging="18"/>
        <w:jc w:val="center"/>
        <w:rPr>
          <w:rFonts w:ascii="仿宋_GB2312" w:eastAsia="黑体"/>
          <w:b/>
          <w:sz w:val="28"/>
        </w:rPr>
      </w:pPr>
      <w:r>
        <w:rPr>
          <w:rFonts w:hint="eastAsia" w:ascii="黑体" w:eastAsia="黑体"/>
          <w:sz w:val="28"/>
        </w:rPr>
        <w:t>项目编号：</w:t>
      </w:r>
      <w:r>
        <w:rPr>
          <w:rFonts w:hint="eastAsia" w:ascii="黑体" w:hAnsi="黑体" w:eastAsia="黑体" w:cs="黑体"/>
          <w:sz w:val="32"/>
          <w:szCs w:val="40"/>
        </w:rPr>
        <w:t>KSDX-TT2023（GK）-22</w:t>
      </w:r>
    </w:p>
    <w:p>
      <w:pPr>
        <w:spacing w:line="240" w:lineRule="atLeast"/>
        <w:ind w:left="1080" w:leftChars="257" w:hanging="540"/>
        <w:jc w:val="center"/>
        <w:rPr>
          <w:rFonts w:ascii="仿宋_GB2312" w:eastAsia="仿宋_GB2312"/>
          <w:b/>
          <w:sz w:val="52"/>
        </w:rPr>
      </w:pPr>
    </w:p>
    <w:p>
      <w:pPr>
        <w:pStyle w:val="8"/>
        <w:rPr>
          <w:rFonts w:ascii="仿宋_GB2312" w:eastAsia="仿宋_GB2312"/>
          <w:b/>
          <w:sz w:val="52"/>
        </w:rPr>
      </w:pPr>
    </w:p>
    <w:p>
      <w:pPr>
        <w:jc w:val="center"/>
        <w:rPr>
          <w:rFonts w:ascii="仿宋_GB2312" w:eastAsia="仿宋_GB2312"/>
          <w:b/>
          <w:sz w:val="52"/>
        </w:rPr>
      </w:pPr>
      <w:r>
        <w:rPr>
          <w:rFonts w:hint="eastAsia" w:ascii="仿宋_GB2312" w:eastAsia="仿宋_GB2312"/>
          <w:b/>
          <w:sz w:val="52"/>
        </w:rPr>
        <w:t>第二册</w:t>
      </w:r>
    </w:p>
    <w:p>
      <w:pPr>
        <w:pStyle w:val="8"/>
        <w:rPr>
          <w:rFonts w:ascii="仿宋_GB2312" w:eastAsia="仿宋_GB2312"/>
          <w:b/>
          <w:sz w:val="52"/>
        </w:rPr>
      </w:pPr>
    </w:p>
    <w:p>
      <w:pPr>
        <w:rPr>
          <w:rFonts w:ascii="仿宋_GB2312" w:eastAsia="仿宋_GB2312"/>
          <w:b/>
          <w:sz w:val="52"/>
        </w:rPr>
      </w:pPr>
    </w:p>
    <w:p>
      <w:pPr>
        <w:pStyle w:val="8"/>
        <w:rPr>
          <w:rFonts w:ascii="仿宋_GB2312" w:eastAsia="仿宋_GB2312"/>
          <w:b/>
          <w:sz w:val="52"/>
        </w:rPr>
      </w:pPr>
    </w:p>
    <w:p>
      <w:pPr>
        <w:rPr>
          <w:rFonts w:ascii="仿宋_GB2312" w:eastAsia="仿宋_GB2312"/>
          <w:b/>
          <w:sz w:val="52"/>
        </w:rPr>
      </w:pPr>
    </w:p>
    <w:p>
      <w:pPr>
        <w:pStyle w:val="8"/>
        <w:rPr>
          <w:rFonts w:ascii="仿宋_GB2312" w:eastAsia="仿宋_GB2312"/>
          <w:b/>
          <w:sz w:val="52"/>
        </w:rPr>
      </w:pPr>
    </w:p>
    <w:p>
      <w:pPr>
        <w:rPr>
          <w:rFonts w:ascii="仿宋_GB2312" w:eastAsia="仿宋_GB2312"/>
          <w:b/>
          <w:sz w:val="52"/>
        </w:rPr>
      </w:pPr>
    </w:p>
    <w:p>
      <w:pPr>
        <w:pStyle w:val="8"/>
      </w:pPr>
    </w:p>
    <w:p>
      <w:pPr>
        <w:pStyle w:val="8"/>
        <w:rPr>
          <w:rFonts w:ascii="仿宋_GB2312" w:eastAsia="仿宋_GB2312"/>
          <w:b/>
          <w:sz w:val="52"/>
        </w:rPr>
      </w:pPr>
    </w:p>
    <w:p>
      <w:pPr>
        <w:rPr>
          <w:rFonts w:ascii="仿宋_GB2312" w:eastAsia="仿宋_GB2312"/>
          <w:b/>
          <w:sz w:val="52"/>
        </w:rPr>
      </w:pPr>
    </w:p>
    <w:p>
      <w:pPr>
        <w:pStyle w:val="4"/>
        <w:pageBreakBefore/>
        <w:numPr>
          <w:ilvl w:val="0"/>
          <w:numId w:val="2"/>
        </w:numPr>
        <w:tabs>
          <w:tab w:val="left" w:pos="0"/>
          <w:tab w:val="clear" w:pos="3134"/>
        </w:tabs>
        <w:spacing w:before="0" w:after="0" w:line="240" w:lineRule="atLeast"/>
        <w:ind w:left="3135" w:hanging="3135"/>
        <w:rPr>
          <w:rFonts w:ascii="仿宋_GB2312" w:eastAsia="仿宋_GB2312"/>
        </w:rPr>
      </w:pPr>
      <w:bookmarkStart w:id="386" w:name="_Toc23646"/>
      <w:bookmarkStart w:id="387" w:name="_Toc515647829"/>
      <w:bookmarkStart w:id="388" w:name="_Toc219175634"/>
      <w:bookmarkStart w:id="389" w:name="_Toc507399902"/>
      <w:bookmarkStart w:id="390" w:name="_Toc218935350"/>
      <w:bookmarkStart w:id="391" w:name="_Toc16370"/>
      <w:bookmarkStart w:id="392" w:name="_Toc216582822"/>
      <w:bookmarkStart w:id="393" w:name="_Toc28765"/>
      <w:r>
        <w:rPr>
          <w:rFonts w:hint="eastAsia" w:ascii="仿宋_GB2312" w:eastAsia="仿宋_GB2312"/>
        </w:rPr>
        <w:t>投标邀请</w:t>
      </w:r>
      <w:bookmarkEnd w:id="386"/>
      <w:bookmarkEnd w:id="387"/>
      <w:bookmarkEnd w:id="388"/>
      <w:bookmarkEnd w:id="389"/>
      <w:bookmarkEnd w:id="390"/>
      <w:bookmarkEnd w:id="391"/>
      <w:bookmarkEnd w:id="392"/>
      <w:bookmarkEnd w:id="393"/>
    </w:p>
    <w:p/>
    <w:p>
      <w:pPr>
        <w:jc w:val="center"/>
        <w:rPr>
          <w:b/>
          <w:bCs/>
          <w:sz w:val="28"/>
          <w:szCs w:val="36"/>
        </w:rPr>
      </w:pPr>
      <w:bookmarkStart w:id="394" w:name="_Toc3129"/>
      <w:bookmarkStart w:id="395" w:name="_Toc30314"/>
      <w:r>
        <w:rPr>
          <w:rFonts w:hint="eastAsia"/>
          <w:b/>
          <w:bCs/>
          <w:sz w:val="28"/>
          <w:szCs w:val="36"/>
        </w:rPr>
        <w:t>喀什大学5G+行业数智化集成与开发实训中心项目</w:t>
      </w:r>
    </w:p>
    <w:p>
      <w:pPr>
        <w:jc w:val="center"/>
      </w:pPr>
      <w:r>
        <w:rPr>
          <w:rFonts w:hint="eastAsia"/>
          <w:b/>
          <w:bCs/>
          <w:sz w:val="28"/>
          <w:szCs w:val="36"/>
        </w:rPr>
        <w:t>公开招标公告</w:t>
      </w:r>
      <w:bookmarkEnd w:id="394"/>
      <w:bookmarkEnd w:id="395"/>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400" w:lineRule="exact"/>
        <w:ind w:firstLine="560" w:firstLineChars="200"/>
        <w:rPr>
          <w:sz w:val="28"/>
          <w:szCs w:val="28"/>
        </w:rPr>
      </w:pPr>
      <w:r>
        <w:rPr>
          <w:rFonts w:hint="eastAsia"/>
          <w:sz w:val="28"/>
          <w:szCs w:val="28"/>
          <w:u w:val="single"/>
        </w:rPr>
        <w:t>喀什大学5G+行业数智化集成与开发实训中心项目</w:t>
      </w:r>
      <w:r>
        <w:rPr>
          <w:rFonts w:hint="eastAsia"/>
          <w:sz w:val="28"/>
          <w:szCs w:val="28"/>
        </w:rPr>
        <w:t>的潜在供应商应在</w:t>
      </w:r>
      <w:r>
        <w:rPr>
          <w:rFonts w:hint="eastAsia"/>
          <w:sz w:val="28"/>
          <w:szCs w:val="28"/>
          <w:u w:val="single"/>
        </w:rPr>
        <w:t>新疆政府采购网（http://www.ccgp-xinjiang.gov.cn/）</w:t>
      </w:r>
      <w:r>
        <w:rPr>
          <w:rFonts w:hint="eastAsia"/>
          <w:sz w:val="28"/>
          <w:szCs w:val="28"/>
        </w:rPr>
        <w:t>获取采购文件，并于</w:t>
      </w:r>
      <w:r>
        <w:rPr>
          <w:rFonts w:hint="eastAsia"/>
          <w:sz w:val="28"/>
          <w:szCs w:val="28"/>
          <w:u w:val="single"/>
        </w:rPr>
        <w:t>2023年08月1</w:t>
      </w:r>
      <w:r>
        <w:rPr>
          <w:rFonts w:hint="eastAsia"/>
          <w:sz w:val="28"/>
          <w:szCs w:val="28"/>
          <w:u w:val="single"/>
          <w:lang w:val="en-US" w:eastAsia="zh-CN"/>
        </w:rPr>
        <w:t>5</w:t>
      </w:r>
      <w:r>
        <w:rPr>
          <w:rFonts w:hint="eastAsia"/>
          <w:sz w:val="28"/>
          <w:szCs w:val="28"/>
          <w:u w:val="single"/>
        </w:rPr>
        <w:t>日1</w:t>
      </w:r>
      <w:r>
        <w:rPr>
          <w:rFonts w:hint="eastAsia"/>
          <w:sz w:val="28"/>
          <w:szCs w:val="28"/>
          <w:u w:val="single"/>
          <w:lang w:val="en-US" w:eastAsia="zh-CN"/>
        </w:rPr>
        <w:t>1</w:t>
      </w:r>
      <w:r>
        <w:rPr>
          <w:rFonts w:hint="eastAsia"/>
          <w:sz w:val="28"/>
          <w:szCs w:val="28"/>
          <w:u w:val="single"/>
        </w:rPr>
        <w:t>点00分（北京时间）</w:t>
      </w:r>
      <w:r>
        <w:rPr>
          <w:rFonts w:hint="eastAsia"/>
          <w:sz w:val="28"/>
          <w:szCs w:val="28"/>
        </w:rPr>
        <w:t>前提交响应文件。</w:t>
      </w:r>
    </w:p>
    <w:p>
      <w:pPr>
        <w:spacing w:line="400" w:lineRule="exact"/>
        <w:jc w:val="left"/>
        <w:rPr>
          <w:rFonts w:ascii="黑体" w:hAnsi="黑体" w:eastAsia="黑体" w:cs="宋体"/>
          <w:sz w:val="28"/>
          <w:szCs w:val="28"/>
        </w:rPr>
      </w:pPr>
      <w:bookmarkStart w:id="396" w:name="_Toc28359012"/>
      <w:bookmarkStart w:id="397" w:name="_Toc28359089"/>
      <w:bookmarkStart w:id="398" w:name="_Toc35393629"/>
      <w:bookmarkStart w:id="399" w:name="_Toc7061"/>
      <w:bookmarkStart w:id="400" w:name="_Toc35393798"/>
      <w:r>
        <w:rPr>
          <w:rFonts w:hint="eastAsia" w:ascii="黑体" w:hAnsi="黑体" w:eastAsia="黑体" w:cs="宋体"/>
          <w:sz w:val="28"/>
          <w:szCs w:val="28"/>
        </w:rPr>
        <w:t>一、项目基本情况</w:t>
      </w:r>
      <w:bookmarkEnd w:id="396"/>
      <w:bookmarkEnd w:id="397"/>
      <w:bookmarkEnd w:id="398"/>
      <w:bookmarkEnd w:id="399"/>
      <w:bookmarkEnd w:id="400"/>
    </w:p>
    <w:p>
      <w:pPr>
        <w:spacing w:line="400" w:lineRule="exact"/>
        <w:ind w:firstLine="638" w:firstLineChars="228"/>
        <w:rPr>
          <w:rFonts w:ascii="宋体" w:hAnsi="宋体" w:cs="宋体"/>
          <w:sz w:val="28"/>
          <w:szCs w:val="28"/>
        </w:rPr>
      </w:pPr>
      <w:r>
        <w:rPr>
          <w:rFonts w:hint="eastAsia" w:ascii="宋体" w:hAnsi="宋体" w:cs="宋体"/>
          <w:sz w:val="28"/>
          <w:szCs w:val="28"/>
        </w:rPr>
        <w:t>项目编号：KSDX-TT2023（GK）-22</w:t>
      </w:r>
    </w:p>
    <w:p>
      <w:pPr>
        <w:spacing w:line="400" w:lineRule="exact"/>
        <w:ind w:firstLine="638" w:firstLineChars="228"/>
        <w:rPr>
          <w:rFonts w:ascii="宋体" w:hAnsi="宋体" w:cs="宋体"/>
          <w:sz w:val="28"/>
          <w:szCs w:val="28"/>
        </w:rPr>
      </w:pPr>
      <w:r>
        <w:rPr>
          <w:rFonts w:hint="eastAsia" w:ascii="宋体" w:hAnsi="宋体" w:cs="宋体"/>
          <w:sz w:val="28"/>
          <w:szCs w:val="28"/>
        </w:rPr>
        <w:t>项目名称：喀什大学5G+行业数智化集成与开发实训中心项目</w:t>
      </w:r>
    </w:p>
    <w:p>
      <w:pPr>
        <w:spacing w:line="400" w:lineRule="exact"/>
        <w:ind w:firstLine="638" w:firstLineChars="228"/>
        <w:rPr>
          <w:rFonts w:ascii="宋体" w:hAnsi="宋体" w:cs="宋体"/>
          <w:sz w:val="28"/>
          <w:szCs w:val="28"/>
        </w:rPr>
      </w:pPr>
      <w:r>
        <w:rPr>
          <w:rFonts w:hint="eastAsia" w:ascii="宋体" w:hAnsi="宋体" w:cs="宋体"/>
          <w:sz w:val="28"/>
          <w:szCs w:val="28"/>
        </w:rPr>
        <w:t>预算金额：335万元。</w:t>
      </w:r>
    </w:p>
    <w:p>
      <w:pPr>
        <w:spacing w:line="400" w:lineRule="exact"/>
        <w:ind w:firstLine="638" w:firstLineChars="228"/>
        <w:rPr>
          <w:rFonts w:ascii="宋体" w:hAnsi="宋体" w:cs="宋体"/>
          <w:sz w:val="28"/>
          <w:szCs w:val="28"/>
        </w:rPr>
      </w:pPr>
      <w:r>
        <w:rPr>
          <w:rFonts w:hint="eastAsia" w:ascii="宋体" w:hAnsi="宋体" w:cs="宋体"/>
          <w:sz w:val="28"/>
          <w:szCs w:val="28"/>
        </w:rPr>
        <w:t>合同履约期限：合同签订后45日内完成（包括供货、安装调试等）。</w:t>
      </w:r>
    </w:p>
    <w:p>
      <w:pPr>
        <w:spacing w:line="400" w:lineRule="exact"/>
        <w:ind w:firstLine="638" w:firstLineChars="228"/>
        <w:rPr>
          <w:rFonts w:ascii="宋体" w:hAnsi="宋体" w:cs="宋体"/>
          <w:sz w:val="28"/>
          <w:szCs w:val="28"/>
        </w:rPr>
      </w:pPr>
      <w:r>
        <w:rPr>
          <w:rFonts w:hint="eastAsia" w:ascii="宋体" w:hAnsi="宋体" w:cs="宋体"/>
          <w:sz w:val="28"/>
          <w:szCs w:val="28"/>
        </w:rPr>
        <w:t>本项目（否）接受联合体投标。</w:t>
      </w:r>
    </w:p>
    <w:p>
      <w:pPr>
        <w:spacing w:line="400" w:lineRule="exact"/>
        <w:ind w:firstLine="638" w:firstLineChars="228"/>
        <w:rPr>
          <w:rFonts w:ascii="宋体" w:hAnsi="宋体" w:cs="宋体"/>
          <w:sz w:val="28"/>
          <w:szCs w:val="28"/>
        </w:rPr>
      </w:pPr>
      <w:r>
        <w:rPr>
          <w:rFonts w:hint="eastAsia" w:ascii="宋体" w:hAnsi="宋体" w:cs="宋体"/>
          <w:sz w:val="28"/>
          <w:szCs w:val="28"/>
        </w:rPr>
        <w:t>主要采购的设备：</w:t>
      </w:r>
    </w:p>
    <w:p>
      <w:pPr>
        <w:spacing w:line="400" w:lineRule="exact"/>
        <w:ind w:firstLine="638" w:firstLineChars="228"/>
        <w:rPr>
          <w:rFonts w:ascii="宋体" w:hAnsi="宋体" w:cs="宋体"/>
          <w:sz w:val="28"/>
          <w:szCs w:val="28"/>
        </w:rPr>
      </w:pPr>
      <w:r>
        <w:rPr>
          <w:rFonts w:hint="eastAsia" w:ascii="宋体" w:hAnsi="宋体" w:cs="宋体"/>
          <w:sz w:val="28"/>
          <w:szCs w:val="28"/>
        </w:rPr>
        <w:t>数字化场景应用实训平台设备、5G站点设计与开发实训平台设备、5G全网建设与优化虚拟仿真实训平台设备、5G移动互联网实训平台、5G物理层协议开发平台、5G+X 行业应用开发实训平台设备、配套设备等，详见采购需求清单。</w:t>
      </w:r>
    </w:p>
    <w:p>
      <w:pPr>
        <w:spacing w:line="400" w:lineRule="exact"/>
        <w:jc w:val="left"/>
        <w:rPr>
          <w:rFonts w:ascii="黑体" w:hAnsi="黑体" w:eastAsia="黑体" w:cs="宋体"/>
          <w:sz w:val="28"/>
          <w:szCs w:val="28"/>
        </w:rPr>
      </w:pPr>
      <w:bookmarkStart w:id="401" w:name="_Toc35393630"/>
      <w:bookmarkStart w:id="402" w:name="_Toc28359090"/>
      <w:bookmarkStart w:id="403" w:name="_Toc35393799"/>
      <w:bookmarkStart w:id="404" w:name="_Toc8873"/>
      <w:bookmarkStart w:id="405" w:name="_Toc28359013"/>
      <w:r>
        <w:rPr>
          <w:rFonts w:hint="eastAsia" w:ascii="黑体" w:hAnsi="黑体" w:eastAsia="黑体" w:cs="宋体"/>
          <w:sz w:val="28"/>
          <w:szCs w:val="28"/>
        </w:rPr>
        <w:t>二、申请人的资格要求：</w:t>
      </w:r>
      <w:bookmarkEnd w:id="401"/>
      <w:bookmarkEnd w:id="402"/>
      <w:bookmarkEnd w:id="403"/>
      <w:bookmarkEnd w:id="404"/>
      <w:bookmarkEnd w:id="405"/>
    </w:p>
    <w:p>
      <w:pPr>
        <w:spacing w:line="400" w:lineRule="exact"/>
        <w:ind w:firstLine="638" w:firstLineChars="228"/>
        <w:rPr>
          <w:rFonts w:ascii="宋体" w:hAnsi="宋体" w:cs="宋体"/>
          <w:sz w:val="28"/>
          <w:szCs w:val="28"/>
        </w:rPr>
      </w:pPr>
      <w:bookmarkStart w:id="406" w:name="_Toc28359091"/>
      <w:bookmarkStart w:id="407" w:name="_Toc31654"/>
      <w:bookmarkStart w:id="408" w:name="_Toc35393631"/>
      <w:bookmarkStart w:id="409" w:name="_Toc35393800"/>
      <w:bookmarkStart w:id="410" w:name="_Toc28359014"/>
      <w:r>
        <w:rPr>
          <w:rFonts w:hint="eastAsia" w:ascii="宋体" w:hAnsi="宋体" w:cs="宋体"/>
          <w:sz w:val="28"/>
          <w:szCs w:val="28"/>
        </w:rPr>
        <w:t>1.满足《中华人民共和国政府采购法》第二十二条规定；</w:t>
      </w:r>
    </w:p>
    <w:p>
      <w:pPr>
        <w:spacing w:line="400" w:lineRule="exact"/>
        <w:ind w:firstLine="638" w:firstLineChars="228"/>
        <w:rPr>
          <w:rFonts w:ascii="宋体" w:hAnsi="宋体" w:cs="宋体"/>
          <w:sz w:val="28"/>
          <w:szCs w:val="28"/>
        </w:rPr>
      </w:pPr>
      <w:r>
        <w:rPr>
          <w:rFonts w:hint="eastAsia" w:ascii="宋体" w:hAnsi="宋体" w:cs="宋体"/>
          <w:sz w:val="28"/>
          <w:szCs w:val="28"/>
        </w:rPr>
        <w:t>2.落实政府采购政策需满足的资格要求：无</w:t>
      </w:r>
    </w:p>
    <w:p>
      <w:pPr>
        <w:spacing w:line="400" w:lineRule="exact"/>
        <w:ind w:firstLine="638" w:firstLineChars="228"/>
        <w:rPr>
          <w:rFonts w:ascii="宋体" w:hAnsi="宋体" w:cs="宋体"/>
          <w:sz w:val="28"/>
          <w:szCs w:val="28"/>
        </w:rPr>
      </w:pPr>
      <w:r>
        <w:rPr>
          <w:rFonts w:hint="eastAsia" w:ascii="宋体" w:hAnsi="宋体" w:cs="宋体"/>
          <w:sz w:val="28"/>
          <w:szCs w:val="28"/>
        </w:rPr>
        <w:t>3.本项目的特定资格要求：</w:t>
      </w:r>
    </w:p>
    <w:p>
      <w:pPr>
        <w:spacing w:line="400" w:lineRule="exact"/>
        <w:ind w:firstLine="638" w:firstLineChars="228"/>
        <w:rPr>
          <w:rFonts w:ascii="宋体" w:hAnsi="宋体" w:cs="宋体"/>
          <w:sz w:val="28"/>
          <w:szCs w:val="28"/>
        </w:rPr>
      </w:pPr>
      <w:r>
        <w:rPr>
          <w:rFonts w:hint="eastAsia" w:ascii="宋体" w:hAnsi="宋体" w:cs="宋体"/>
          <w:sz w:val="28"/>
          <w:szCs w:val="28"/>
        </w:rPr>
        <w:t>（1）符合《中华人民共和国政府采购法》第二十二条款的规定，具有有效的营业执照；</w:t>
      </w:r>
    </w:p>
    <w:p>
      <w:pPr>
        <w:spacing w:line="400" w:lineRule="exact"/>
        <w:ind w:firstLine="638" w:firstLineChars="228"/>
        <w:rPr>
          <w:rFonts w:ascii="宋体" w:hAnsi="宋体" w:cs="宋体"/>
          <w:sz w:val="28"/>
          <w:szCs w:val="28"/>
        </w:rPr>
      </w:pPr>
      <w:r>
        <w:rPr>
          <w:rFonts w:hint="eastAsia" w:ascii="宋体" w:hAnsi="宋体" w:cs="宋体"/>
          <w:sz w:val="28"/>
          <w:szCs w:val="28"/>
        </w:rPr>
        <w:t xml:space="preserve">（2）其他说明：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spacing w:line="400" w:lineRule="exact"/>
        <w:jc w:val="left"/>
        <w:rPr>
          <w:rFonts w:ascii="黑体" w:hAnsi="黑体" w:eastAsia="黑体" w:cs="宋体"/>
          <w:sz w:val="28"/>
          <w:szCs w:val="28"/>
        </w:rPr>
      </w:pPr>
      <w:r>
        <w:rPr>
          <w:rFonts w:hint="eastAsia" w:ascii="黑体" w:hAnsi="黑体" w:eastAsia="黑体" w:cs="宋体"/>
          <w:sz w:val="28"/>
          <w:szCs w:val="28"/>
        </w:rPr>
        <w:t>三、获取采购文件</w:t>
      </w:r>
      <w:bookmarkEnd w:id="406"/>
      <w:bookmarkEnd w:id="407"/>
      <w:bookmarkEnd w:id="408"/>
      <w:bookmarkEnd w:id="409"/>
      <w:bookmarkEnd w:id="410"/>
    </w:p>
    <w:p>
      <w:pPr>
        <w:spacing w:line="400" w:lineRule="exact"/>
        <w:ind w:firstLine="638" w:firstLineChars="228"/>
        <w:jc w:val="left"/>
        <w:rPr>
          <w:rFonts w:ascii="宋体" w:hAnsi="宋体" w:cs="宋体"/>
          <w:sz w:val="28"/>
          <w:szCs w:val="28"/>
        </w:rPr>
      </w:pPr>
      <w:r>
        <w:rPr>
          <w:rFonts w:hint="eastAsia" w:ascii="宋体" w:hAnsi="宋体" w:cs="宋体"/>
          <w:sz w:val="28"/>
          <w:szCs w:val="28"/>
        </w:rPr>
        <w:t>时间：</w:t>
      </w:r>
      <w:r>
        <w:rPr>
          <w:rFonts w:hint="eastAsia" w:ascii="宋体" w:hAnsi="宋体" w:cs="宋体"/>
          <w:sz w:val="28"/>
          <w:szCs w:val="28"/>
          <w:u w:val="single"/>
        </w:rPr>
        <w:t>2023年07月24日至2023年07月31日</w:t>
      </w:r>
      <w:r>
        <w:rPr>
          <w:rFonts w:hint="eastAsia" w:ascii="宋体" w:hAnsi="宋体" w:cs="宋体"/>
          <w:sz w:val="28"/>
          <w:szCs w:val="28"/>
        </w:rPr>
        <w:t>，每天上午</w:t>
      </w:r>
      <w:r>
        <w:rPr>
          <w:rFonts w:hint="eastAsia" w:ascii="宋体" w:hAnsi="宋体" w:cs="宋体"/>
          <w:sz w:val="28"/>
          <w:szCs w:val="28"/>
          <w:u w:val="single"/>
        </w:rPr>
        <w:t>10：00</w:t>
      </w:r>
      <w:r>
        <w:rPr>
          <w:rFonts w:hint="eastAsia" w:ascii="宋体" w:hAnsi="宋体" w:cs="宋体"/>
          <w:sz w:val="28"/>
          <w:szCs w:val="28"/>
        </w:rPr>
        <w:t>至</w:t>
      </w:r>
      <w:r>
        <w:rPr>
          <w:rFonts w:hint="eastAsia" w:ascii="宋体" w:hAnsi="宋体" w:cs="宋体"/>
          <w:sz w:val="28"/>
          <w:szCs w:val="28"/>
          <w:u w:val="single"/>
        </w:rPr>
        <w:t>13：30</w:t>
      </w:r>
      <w:r>
        <w:rPr>
          <w:rFonts w:hint="eastAsia" w:ascii="宋体" w:hAnsi="宋体" w:cs="宋体"/>
          <w:sz w:val="28"/>
          <w:szCs w:val="28"/>
        </w:rPr>
        <w:t>，上午</w:t>
      </w:r>
      <w:r>
        <w:rPr>
          <w:rFonts w:hint="eastAsia" w:ascii="宋体" w:hAnsi="宋体" w:cs="宋体"/>
          <w:sz w:val="28"/>
          <w:szCs w:val="28"/>
          <w:u w:val="single"/>
        </w:rPr>
        <w:t>15：30</w:t>
      </w:r>
      <w:r>
        <w:rPr>
          <w:rFonts w:hint="eastAsia" w:ascii="宋体" w:hAnsi="宋体" w:cs="宋体"/>
          <w:sz w:val="28"/>
          <w:szCs w:val="28"/>
        </w:rPr>
        <w:t>至</w:t>
      </w:r>
      <w:r>
        <w:rPr>
          <w:rFonts w:hint="eastAsia" w:ascii="宋体" w:hAnsi="宋体" w:cs="宋体"/>
          <w:sz w:val="28"/>
          <w:szCs w:val="28"/>
          <w:u w:val="single"/>
        </w:rPr>
        <w:t>20：00</w:t>
      </w:r>
      <w:r>
        <w:rPr>
          <w:rFonts w:hint="eastAsia" w:ascii="宋体" w:hAnsi="宋体" w:cs="宋体"/>
          <w:sz w:val="28"/>
          <w:szCs w:val="28"/>
        </w:rPr>
        <w:t>（北京时间，法定节假日除外）</w:t>
      </w:r>
    </w:p>
    <w:p>
      <w:pPr>
        <w:spacing w:line="380" w:lineRule="exact"/>
        <w:ind w:firstLine="420"/>
        <w:rPr>
          <w:rFonts w:ascii="宋体" w:hAnsi="宋体" w:cs="宋体"/>
          <w:sz w:val="28"/>
          <w:szCs w:val="28"/>
        </w:rPr>
      </w:pPr>
      <w:r>
        <w:rPr>
          <w:rFonts w:hint="eastAsia" w:ascii="宋体" w:hAnsi="宋体" w:cs="宋体"/>
          <w:sz w:val="28"/>
          <w:szCs w:val="28"/>
        </w:rPr>
        <w:t>地点：政采云平台线上获取</w:t>
      </w:r>
    </w:p>
    <w:p>
      <w:pPr>
        <w:spacing w:line="380" w:lineRule="exact"/>
        <w:ind w:firstLine="420"/>
        <w:rPr>
          <w:rFonts w:ascii="宋体" w:hAnsi="宋体" w:cs="宋体"/>
          <w:sz w:val="28"/>
          <w:szCs w:val="28"/>
        </w:rPr>
      </w:pPr>
      <w:r>
        <w:rPr>
          <w:rFonts w:hint="eastAsia" w:ascii="宋体" w:hAnsi="宋体" w:cs="宋体"/>
          <w:sz w:val="28"/>
          <w:szCs w:val="28"/>
        </w:rPr>
        <w:t>方式：供应商登陆政采云平台http://www.ccgp-xinjiang.gov.cn/，在线获取招标文件（登录政府采购云平台→ 项目采购 → 获取招标文件，通过后可下载招标文件，如有操作性问题，可与政采云在线客服进行咨询，咨询电话：400-881-7190）。</w:t>
      </w:r>
    </w:p>
    <w:p>
      <w:pPr>
        <w:spacing w:line="400" w:lineRule="exact"/>
        <w:jc w:val="left"/>
        <w:rPr>
          <w:rFonts w:ascii="黑体" w:hAnsi="黑体" w:eastAsia="黑体" w:cs="宋体"/>
          <w:sz w:val="28"/>
          <w:szCs w:val="28"/>
        </w:rPr>
      </w:pPr>
      <w:bookmarkStart w:id="411" w:name="_Toc28359092"/>
      <w:bookmarkStart w:id="412" w:name="_Toc28359015"/>
      <w:bookmarkStart w:id="413" w:name="_Toc35393801"/>
      <w:bookmarkStart w:id="414" w:name="_Toc35393632"/>
      <w:bookmarkStart w:id="415" w:name="_Toc15603"/>
      <w:r>
        <w:rPr>
          <w:rFonts w:hint="eastAsia" w:ascii="黑体" w:hAnsi="黑体" w:eastAsia="黑体" w:cs="宋体"/>
          <w:sz w:val="28"/>
          <w:szCs w:val="28"/>
        </w:rPr>
        <w:t>四、</w:t>
      </w:r>
      <w:bookmarkEnd w:id="411"/>
      <w:bookmarkEnd w:id="412"/>
      <w:bookmarkEnd w:id="413"/>
      <w:bookmarkEnd w:id="414"/>
      <w:r>
        <w:rPr>
          <w:rFonts w:hint="eastAsia" w:ascii="黑体" w:hAnsi="黑体" w:eastAsia="黑体" w:cs="宋体"/>
          <w:sz w:val="28"/>
          <w:szCs w:val="28"/>
        </w:rPr>
        <w:t>提交投标文件截止时间、开标时间和地点</w:t>
      </w:r>
      <w:bookmarkEnd w:id="415"/>
    </w:p>
    <w:p>
      <w:pPr>
        <w:spacing w:line="400" w:lineRule="exact"/>
        <w:ind w:firstLine="638" w:firstLineChars="228"/>
        <w:jc w:val="left"/>
        <w:rPr>
          <w:rFonts w:ascii="宋体" w:hAnsi="宋体" w:cs="宋体"/>
          <w:i/>
          <w:iCs/>
          <w:sz w:val="28"/>
          <w:szCs w:val="28"/>
          <w:u w:val="single"/>
        </w:rPr>
      </w:pPr>
      <w:r>
        <w:rPr>
          <w:rFonts w:hint="eastAsia" w:ascii="宋体" w:hAnsi="宋体" w:cs="宋体"/>
          <w:sz w:val="28"/>
          <w:szCs w:val="28"/>
        </w:rPr>
        <w:t>截止时间：</w:t>
      </w:r>
      <w:r>
        <w:rPr>
          <w:rFonts w:hint="eastAsia" w:ascii="宋体" w:hAnsi="宋体" w:cs="宋体"/>
          <w:sz w:val="28"/>
          <w:szCs w:val="28"/>
          <w:u w:val="single"/>
        </w:rPr>
        <w:t>2023年08月1</w:t>
      </w:r>
      <w:r>
        <w:rPr>
          <w:rFonts w:hint="eastAsia" w:ascii="宋体" w:hAnsi="宋体" w:cs="宋体"/>
          <w:sz w:val="28"/>
          <w:szCs w:val="28"/>
          <w:u w:val="single"/>
          <w:lang w:val="en-US" w:eastAsia="zh-CN"/>
        </w:rPr>
        <w:t>5</w:t>
      </w:r>
      <w:r>
        <w:rPr>
          <w:rFonts w:hint="eastAsia" w:ascii="宋体" w:hAnsi="宋体" w:cs="宋体"/>
          <w:sz w:val="28"/>
          <w:szCs w:val="28"/>
          <w:u w:val="single"/>
        </w:rPr>
        <w:t>日1</w:t>
      </w:r>
      <w:r>
        <w:rPr>
          <w:rFonts w:hint="eastAsia" w:ascii="宋体" w:hAnsi="宋体" w:cs="宋体"/>
          <w:sz w:val="28"/>
          <w:szCs w:val="28"/>
          <w:u w:val="single"/>
          <w:lang w:val="en-US" w:eastAsia="zh-CN"/>
        </w:rPr>
        <w:t>1</w:t>
      </w:r>
      <w:r>
        <w:rPr>
          <w:rFonts w:hint="eastAsia" w:ascii="宋体" w:hAnsi="宋体" w:cs="宋体"/>
          <w:sz w:val="28"/>
          <w:szCs w:val="28"/>
          <w:u w:val="single"/>
        </w:rPr>
        <w:t>点00分（北京时间）</w:t>
      </w:r>
      <w:r>
        <w:rPr>
          <w:rFonts w:hint="eastAsia" w:ascii="宋体" w:hAnsi="宋体" w:cs="宋体"/>
          <w:i/>
          <w:iCs/>
          <w:sz w:val="28"/>
          <w:szCs w:val="28"/>
          <w:u w:val="single"/>
        </w:rPr>
        <w:t>（自招标文件开始发出之日起至投标人提交投标文件截止之日止，不得少于20日）</w:t>
      </w:r>
    </w:p>
    <w:p>
      <w:pPr>
        <w:spacing w:line="400" w:lineRule="exact"/>
        <w:ind w:firstLine="638" w:firstLineChars="228"/>
        <w:jc w:val="left"/>
        <w:rPr>
          <w:rFonts w:ascii="宋体" w:hAnsi="宋体" w:cs="宋体"/>
          <w:sz w:val="28"/>
          <w:szCs w:val="28"/>
        </w:rPr>
      </w:pPr>
      <w:r>
        <w:rPr>
          <w:rFonts w:hint="eastAsia" w:ascii="宋体" w:hAnsi="宋体" w:cs="宋体"/>
          <w:sz w:val="28"/>
          <w:szCs w:val="28"/>
        </w:rPr>
        <w:t>地点：</w:t>
      </w:r>
      <w:r>
        <w:rPr>
          <w:rFonts w:hint="eastAsia" w:ascii="宋体" w:hAnsi="宋体" w:cs="宋体"/>
          <w:sz w:val="28"/>
          <w:szCs w:val="28"/>
          <w:u w:val="single"/>
        </w:rPr>
        <w:t>（https://login.zcygov.cn/user-login/#/login）。</w:t>
      </w:r>
    </w:p>
    <w:p>
      <w:pPr>
        <w:spacing w:line="400" w:lineRule="exact"/>
        <w:jc w:val="left"/>
        <w:rPr>
          <w:rFonts w:ascii="黑体" w:hAnsi="黑体" w:eastAsia="黑体" w:cs="宋体"/>
          <w:sz w:val="28"/>
          <w:szCs w:val="28"/>
        </w:rPr>
      </w:pPr>
      <w:bookmarkStart w:id="416" w:name="_Toc35393625"/>
      <w:bookmarkStart w:id="417" w:name="_Toc3949"/>
      <w:bookmarkStart w:id="418" w:name="_Toc35393794"/>
      <w:bookmarkStart w:id="419" w:name="_Toc28359084"/>
      <w:bookmarkStart w:id="420" w:name="_Toc28359007"/>
      <w:r>
        <w:rPr>
          <w:rFonts w:hint="eastAsia" w:ascii="黑体" w:hAnsi="黑体" w:eastAsia="黑体" w:cs="宋体"/>
          <w:sz w:val="28"/>
          <w:szCs w:val="28"/>
        </w:rPr>
        <w:t>五、公告期限</w:t>
      </w:r>
      <w:bookmarkEnd w:id="416"/>
      <w:bookmarkEnd w:id="417"/>
      <w:bookmarkEnd w:id="418"/>
      <w:bookmarkEnd w:id="419"/>
      <w:bookmarkEnd w:id="420"/>
    </w:p>
    <w:p>
      <w:pPr>
        <w:spacing w:line="400" w:lineRule="exact"/>
        <w:ind w:firstLine="638" w:firstLineChars="228"/>
        <w:jc w:val="left"/>
        <w:rPr>
          <w:rFonts w:ascii="宋体" w:hAnsi="宋体" w:cs="宋体"/>
          <w:sz w:val="28"/>
          <w:szCs w:val="28"/>
        </w:rPr>
      </w:pPr>
      <w:r>
        <w:rPr>
          <w:rFonts w:hint="eastAsia" w:ascii="宋体" w:hAnsi="宋体" w:cs="宋体"/>
          <w:sz w:val="28"/>
          <w:szCs w:val="28"/>
        </w:rPr>
        <w:t>自本公告发布之日起5个工作日。</w:t>
      </w:r>
    </w:p>
    <w:p>
      <w:pPr>
        <w:spacing w:line="400" w:lineRule="exact"/>
        <w:jc w:val="left"/>
        <w:rPr>
          <w:rFonts w:ascii="黑体" w:hAnsi="黑体" w:eastAsia="黑体" w:cs="宋体"/>
          <w:sz w:val="28"/>
          <w:szCs w:val="28"/>
        </w:rPr>
      </w:pPr>
      <w:bookmarkStart w:id="421" w:name="_Toc35393626"/>
      <w:bookmarkStart w:id="422" w:name="_Toc35393795"/>
      <w:bookmarkStart w:id="423" w:name="_Toc9037"/>
      <w:r>
        <w:rPr>
          <w:rFonts w:hint="eastAsia" w:ascii="黑体" w:hAnsi="黑体" w:eastAsia="黑体" w:cs="宋体"/>
          <w:sz w:val="28"/>
          <w:szCs w:val="28"/>
        </w:rPr>
        <w:t>六、其他补充事宜</w:t>
      </w:r>
      <w:bookmarkEnd w:id="421"/>
      <w:bookmarkEnd w:id="422"/>
      <w:bookmarkEnd w:id="423"/>
    </w:p>
    <w:p>
      <w:pPr>
        <w:spacing w:line="400" w:lineRule="exact"/>
        <w:ind w:firstLine="638" w:firstLineChars="228"/>
        <w:jc w:val="distribute"/>
        <w:rPr>
          <w:rFonts w:ascii="宋体" w:hAnsi="宋体" w:cs="宋体"/>
          <w:sz w:val="28"/>
          <w:szCs w:val="28"/>
        </w:rPr>
      </w:pPr>
      <w:r>
        <w:rPr>
          <w:rFonts w:hint="eastAsia" w:ascii="宋体" w:hAnsi="宋体" w:cs="宋体"/>
          <w:sz w:val="28"/>
          <w:szCs w:val="28"/>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bookmarkStart w:id="424" w:name="_Toc28359008"/>
      <w:bookmarkStart w:id="425" w:name="_Toc35393627"/>
      <w:bookmarkStart w:id="426" w:name="_Toc35393796"/>
      <w:bookmarkStart w:id="427" w:name="_Toc28359085"/>
    </w:p>
    <w:p>
      <w:pPr>
        <w:spacing w:line="400" w:lineRule="exact"/>
        <w:jc w:val="left"/>
        <w:rPr>
          <w:rFonts w:ascii="黑体" w:hAnsi="黑体" w:eastAsia="黑体" w:cs="宋体"/>
          <w:sz w:val="28"/>
          <w:szCs w:val="28"/>
        </w:rPr>
      </w:pPr>
      <w:bookmarkStart w:id="428" w:name="_Toc6772"/>
      <w:r>
        <w:rPr>
          <w:rFonts w:hint="eastAsia" w:ascii="黑体" w:hAnsi="黑体" w:eastAsia="黑体" w:cs="宋体"/>
          <w:sz w:val="28"/>
          <w:szCs w:val="28"/>
        </w:rPr>
        <w:t>七、对本次招标提出询问，请按以下方式联系。</w:t>
      </w:r>
      <w:bookmarkEnd w:id="424"/>
      <w:bookmarkEnd w:id="425"/>
      <w:bookmarkEnd w:id="426"/>
      <w:bookmarkEnd w:id="427"/>
      <w:bookmarkEnd w:id="428"/>
    </w:p>
    <w:p>
      <w:pPr>
        <w:spacing w:line="400" w:lineRule="exact"/>
        <w:ind w:firstLine="638" w:firstLineChars="228"/>
        <w:jc w:val="left"/>
        <w:rPr>
          <w:rFonts w:ascii="宋体" w:hAnsi="宋体" w:cs="宋体"/>
          <w:sz w:val="28"/>
          <w:szCs w:val="28"/>
        </w:rPr>
      </w:pPr>
      <w:r>
        <w:rPr>
          <w:rFonts w:hint="eastAsia" w:ascii="宋体" w:hAnsi="宋体" w:cs="宋体"/>
          <w:sz w:val="28"/>
          <w:szCs w:val="28"/>
        </w:rPr>
        <w:t>1.采购人信息</w:t>
      </w:r>
    </w:p>
    <w:p>
      <w:pPr>
        <w:spacing w:line="400" w:lineRule="exact"/>
        <w:ind w:firstLine="638" w:firstLineChars="228"/>
        <w:jc w:val="left"/>
        <w:rPr>
          <w:rFonts w:ascii="宋体" w:hAnsi="宋体" w:cs="宋体"/>
          <w:sz w:val="28"/>
          <w:szCs w:val="28"/>
        </w:rPr>
      </w:pPr>
      <w:r>
        <w:rPr>
          <w:rFonts w:hint="eastAsia" w:ascii="宋体" w:hAnsi="宋体" w:cs="宋体"/>
          <w:sz w:val="28"/>
          <w:szCs w:val="28"/>
          <w:lang w:val="zh-CN"/>
        </w:rPr>
        <w:t xml:space="preserve">名 </w:t>
      </w:r>
      <w:r>
        <w:rPr>
          <w:rFonts w:hint="eastAsia" w:ascii="宋体" w:hAnsi="宋体" w:cs="宋体"/>
          <w:sz w:val="28"/>
          <w:szCs w:val="28"/>
        </w:rPr>
        <w:t xml:space="preserve">   </w:t>
      </w:r>
      <w:r>
        <w:rPr>
          <w:rFonts w:hint="eastAsia" w:ascii="宋体" w:hAnsi="宋体" w:cs="宋体"/>
          <w:sz w:val="28"/>
          <w:szCs w:val="28"/>
          <w:lang w:val="zh-CN"/>
        </w:rPr>
        <w:t>称：</w:t>
      </w:r>
      <w:r>
        <w:rPr>
          <w:rFonts w:hint="eastAsia" w:ascii="宋体" w:hAnsi="宋体" w:cs="宋体"/>
          <w:sz w:val="28"/>
          <w:szCs w:val="28"/>
          <w:u w:val="single"/>
        </w:rPr>
        <w:t>喀什大学</w:t>
      </w:r>
    </w:p>
    <w:p>
      <w:pPr>
        <w:spacing w:line="400" w:lineRule="exact"/>
        <w:ind w:firstLine="638" w:firstLineChars="228"/>
        <w:jc w:val="left"/>
        <w:rPr>
          <w:rFonts w:ascii="宋体" w:hAnsi="宋体" w:cs="宋体"/>
          <w:sz w:val="28"/>
          <w:szCs w:val="28"/>
          <w:u w:val="single"/>
          <w:lang w:val="zh-CN"/>
        </w:rPr>
      </w:pPr>
      <w:r>
        <w:rPr>
          <w:rFonts w:hint="eastAsia" w:ascii="宋体" w:hAnsi="宋体" w:cs="宋体"/>
          <w:sz w:val="28"/>
          <w:szCs w:val="28"/>
          <w:lang w:val="zh-CN"/>
        </w:rPr>
        <w:t>地</w:t>
      </w:r>
      <w:r>
        <w:rPr>
          <w:rFonts w:hint="eastAsia" w:ascii="宋体" w:hAnsi="宋体" w:cs="宋体"/>
          <w:sz w:val="28"/>
          <w:szCs w:val="28"/>
        </w:rPr>
        <w:t xml:space="preserve">    </w:t>
      </w:r>
      <w:r>
        <w:rPr>
          <w:rFonts w:hint="eastAsia" w:ascii="宋体" w:hAnsi="宋体" w:cs="宋体"/>
          <w:sz w:val="28"/>
          <w:szCs w:val="28"/>
          <w:lang w:val="zh-CN"/>
        </w:rPr>
        <w:t>址：</w:t>
      </w:r>
      <w:r>
        <w:rPr>
          <w:rFonts w:hint="eastAsia" w:ascii="宋体" w:hAnsi="宋体" w:cs="宋体"/>
          <w:sz w:val="28"/>
          <w:szCs w:val="28"/>
          <w:u w:val="single"/>
        </w:rPr>
        <w:t>喀什大学新泉校区</w:t>
      </w:r>
    </w:p>
    <w:p>
      <w:pPr>
        <w:spacing w:line="400" w:lineRule="exact"/>
        <w:ind w:firstLine="638" w:firstLineChars="228"/>
        <w:jc w:val="left"/>
      </w:pPr>
      <w:r>
        <w:rPr>
          <w:rFonts w:hint="eastAsia" w:ascii="宋体" w:hAnsi="宋体" w:cs="宋体"/>
          <w:sz w:val="28"/>
          <w:szCs w:val="28"/>
        </w:rPr>
        <w:t>联系方式：</w:t>
      </w:r>
      <w:bookmarkStart w:id="429" w:name="_Toc28359009"/>
      <w:bookmarkStart w:id="430" w:name="_Toc28359086"/>
      <w:r>
        <w:rPr>
          <w:rFonts w:hint="eastAsia" w:ascii="宋体" w:hAnsi="宋体" w:cs="宋体"/>
          <w:sz w:val="28"/>
          <w:szCs w:val="28"/>
          <w:u w:val="single"/>
        </w:rPr>
        <w:t>吴云虎18199086092</w:t>
      </w:r>
    </w:p>
    <w:p>
      <w:pPr>
        <w:spacing w:line="400" w:lineRule="exact"/>
        <w:ind w:firstLine="638" w:firstLineChars="228"/>
        <w:jc w:val="left"/>
        <w:rPr>
          <w:rFonts w:ascii="宋体" w:hAnsi="宋体" w:cs="宋体"/>
          <w:sz w:val="28"/>
          <w:szCs w:val="28"/>
        </w:rPr>
      </w:pPr>
      <w:r>
        <w:rPr>
          <w:rFonts w:hint="eastAsia" w:ascii="宋体" w:hAnsi="宋体" w:cs="宋体"/>
          <w:sz w:val="28"/>
          <w:szCs w:val="28"/>
        </w:rPr>
        <w:t>2.采购代理机构信息</w:t>
      </w:r>
      <w:bookmarkEnd w:id="429"/>
      <w:bookmarkEnd w:id="430"/>
      <w:r>
        <w:rPr>
          <w:rFonts w:hint="eastAsia" w:ascii="宋体" w:hAnsi="宋体" w:cs="宋体"/>
          <w:sz w:val="28"/>
          <w:szCs w:val="28"/>
        </w:rPr>
        <w:t xml:space="preserve"> </w:t>
      </w:r>
    </w:p>
    <w:p>
      <w:pPr>
        <w:spacing w:line="400" w:lineRule="exact"/>
        <w:ind w:firstLine="638" w:firstLineChars="228"/>
        <w:jc w:val="left"/>
        <w:rPr>
          <w:rFonts w:ascii="宋体" w:hAnsi="宋体" w:cs="宋体"/>
          <w:sz w:val="28"/>
          <w:szCs w:val="28"/>
          <w:u w:val="single"/>
        </w:rPr>
      </w:pPr>
      <w:r>
        <w:rPr>
          <w:rFonts w:hint="eastAsia" w:ascii="宋体" w:hAnsi="宋体" w:cs="宋体"/>
          <w:sz w:val="28"/>
          <w:szCs w:val="28"/>
        </w:rPr>
        <w:t>名    称：</w:t>
      </w:r>
      <w:r>
        <w:rPr>
          <w:rFonts w:hint="eastAsia" w:ascii="宋体" w:hAnsi="宋体" w:cs="宋体"/>
          <w:sz w:val="28"/>
          <w:szCs w:val="28"/>
          <w:u w:val="single"/>
        </w:rPr>
        <w:t>喀什天泰建设工程项目管理有限公司</w:t>
      </w:r>
    </w:p>
    <w:p>
      <w:pPr>
        <w:spacing w:line="400" w:lineRule="exact"/>
        <w:ind w:firstLine="638" w:firstLineChars="228"/>
        <w:jc w:val="left"/>
        <w:rPr>
          <w:rFonts w:ascii="宋体" w:hAnsi="宋体" w:cs="宋体"/>
          <w:sz w:val="28"/>
          <w:szCs w:val="28"/>
          <w:u w:val="single"/>
        </w:rPr>
      </w:pPr>
      <w:r>
        <w:rPr>
          <w:rFonts w:hint="eastAsia" w:ascii="宋体" w:hAnsi="宋体" w:cs="宋体"/>
          <w:sz w:val="28"/>
          <w:szCs w:val="28"/>
        </w:rPr>
        <w:t>地　  址：</w:t>
      </w:r>
      <w:r>
        <w:rPr>
          <w:rFonts w:hint="eastAsia" w:ascii="宋体" w:hAnsi="宋体" w:cs="宋体"/>
          <w:sz w:val="28"/>
          <w:szCs w:val="28"/>
          <w:u w:val="single"/>
        </w:rPr>
        <w:t>喀什市深喀大道永昌大厦8楼</w:t>
      </w:r>
    </w:p>
    <w:p>
      <w:pPr>
        <w:spacing w:line="400" w:lineRule="exact"/>
        <w:ind w:firstLine="638" w:firstLineChars="228"/>
        <w:jc w:val="left"/>
        <w:rPr>
          <w:rFonts w:ascii="宋体" w:hAnsi="宋体" w:cs="宋体"/>
          <w:sz w:val="28"/>
          <w:szCs w:val="28"/>
          <w:u w:val="single"/>
        </w:rPr>
      </w:pPr>
      <w:r>
        <w:rPr>
          <w:rFonts w:hint="eastAsia" w:ascii="宋体" w:hAnsi="宋体" w:cs="宋体"/>
          <w:sz w:val="28"/>
          <w:szCs w:val="28"/>
        </w:rPr>
        <w:t>联系方式：</w:t>
      </w:r>
      <w:bookmarkStart w:id="431" w:name="_Toc28359010"/>
      <w:bookmarkStart w:id="432" w:name="_Toc28359087"/>
      <w:r>
        <w:rPr>
          <w:rFonts w:hint="eastAsia" w:ascii="宋体" w:hAnsi="宋体" w:cs="宋体"/>
          <w:sz w:val="28"/>
          <w:szCs w:val="28"/>
          <w:u w:val="single"/>
        </w:rPr>
        <w:t>许工     19190048877</w:t>
      </w:r>
    </w:p>
    <w:bookmarkEnd w:id="431"/>
    <w:bookmarkEnd w:id="432"/>
    <w:p>
      <w:pPr>
        <w:spacing w:line="400" w:lineRule="exact"/>
        <w:ind w:firstLine="638" w:firstLineChars="228"/>
        <w:jc w:val="left"/>
        <w:rPr>
          <w:rFonts w:ascii="宋体" w:hAnsi="宋体" w:cs="宋体"/>
          <w:sz w:val="28"/>
          <w:szCs w:val="28"/>
        </w:rPr>
      </w:pPr>
    </w:p>
    <w:p>
      <w:pPr>
        <w:pStyle w:val="4"/>
        <w:pageBreakBefore/>
        <w:tabs>
          <w:tab w:val="left" w:pos="0"/>
        </w:tabs>
        <w:spacing w:before="0" w:after="0" w:line="240" w:lineRule="atLeast"/>
        <w:ind w:left="420"/>
        <w:rPr>
          <w:rFonts w:ascii="仿宋_GB2312" w:eastAsia="仿宋_GB2312"/>
          <w:b w:val="0"/>
          <w:szCs w:val="32"/>
        </w:rPr>
      </w:pPr>
      <w:bookmarkStart w:id="433" w:name="_Toc507399903"/>
      <w:bookmarkStart w:id="434" w:name="_Toc216582823"/>
      <w:bookmarkStart w:id="435" w:name="_Toc31583"/>
      <w:bookmarkStart w:id="436" w:name="_Toc515647830"/>
      <w:bookmarkStart w:id="437" w:name="_Toc11194"/>
      <w:bookmarkStart w:id="438" w:name="_Toc10488"/>
      <w:bookmarkStart w:id="439" w:name="_Toc512937850"/>
      <w:r>
        <w:rPr>
          <w:rFonts w:hint="eastAsia" w:ascii="仿宋_GB2312" w:eastAsia="仿宋_GB2312"/>
        </w:rPr>
        <w:t>第4章 投标人须知资料表</w:t>
      </w:r>
      <w:bookmarkEnd w:id="433"/>
      <w:bookmarkEnd w:id="434"/>
      <w:bookmarkEnd w:id="435"/>
      <w:bookmarkEnd w:id="436"/>
      <w:bookmarkEnd w:id="437"/>
      <w:bookmarkEnd w:id="438"/>
    </w:p>
    <w:bookmarkEnd w:id="439"/>
    <w:p>
      <w:pPr>
        <w:spacing w:line="240" w:lineRule="atLeast"/>
        <w:ind w:left="1080" w:leftChars="257" w:hanging="540"/>
        <w:rPr>
          <w:rFonts w:ascii="仿宋_GB2312" w:eastAsia="仿宋_GB2312"/>
          <w:sz w:val="24"/>
        </w:rPr>
      </w:pPr>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的具体资料，是对投标人须知的具体补充和修改，如有矛盾，应以本资料表为准。</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06"/>
        <w:gridCol w:w="75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7517" w:type="dxa"/>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7" w:hRule="atLeast"/>
        </w:trPr>
        <w:tc>
          <w:tcPr>
            <w:tcW w:w="1606" w:type="dxa"/>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7517" w:type="dxa"/>
            <w:vAlign w:val="center"/>
          </w:tcPr>
          <w:p>
            <w:pPr>
              <w:spacing w:line="240" w:lineRule="atLeast"/>
              <w:rPr>
                <w:rFonts w:ascii="仿宋_GB2312" w:eastAsia="仿宋_GB2312"/>
                <w:sz w:val="24"/>
              </w:rPr>
            </w:pPr>
            <w:r>
              <w:rPr>
                <w:rFonts w:hint="eastAsia" w:ascii="仿宋_GB2312" w:eastAsia="仿宋_GB2312"/>
                <w:sz w:val="24"/>
              </w:rPr>
              <w:t>采购人：</w:t>
            </w:r>
            <w:r>
              <w:rPr>
                <w:rFonts w:hint="eastAsia" w:ascii="仿宋_GB2312" w:eastAsia="仿宋_GB2312"/>
                <w:sz w:val="24"/>
                <w:u w:val="single"/>
              </w:rPr>
              <w:t>喀什大学</w:t>
            </w:r>
            <w:r>
              <w:rPr>
                <w:rFonts w:hint="eastAsia" w:ascii="仿宋_GB2312" w:eastAsia="仿宋_GB2312"/>
                <w:sz w:val="24"/>
              </w:rPr>
              <w:t>　　　　　　　　　　　　　　</w:t>
            </w:r>
          </w:p>
          <w:p>
            <w:pPr>
              <w:spacing w:line="240" w:lineRule="atLeast"/>
              <w:rPr>
                <w:rFonts w:ascii="仿宋_GB2312" w:eastAsia="仿宋_GB2312"/>
                <w:sz w:val="24"/>
              </w:rPr>
            </w:pPr>
            <w:r>
              <w:rPr>
                <w:rFonts w:hint="eastAsia" w:ascii="仿宋_GB2312" w:eastAsia="仿宋_GB2312"/>
                <w:sz w:val="24"/>
              </w:rPr>
              <w:t>地  址：</w:t>
            </w:r>
            <w:r>
              <w:rPr>
                <w:rFonts w:hint="eastAsia" w:ascii="仿宋_GB2312" w:eastAsia="仿宋_GB2312"/>
                <w:sz w:val="24"/>
                <w:u w:val="single"/>
              </w:rPr>
              <w:t>喀什大学新泉校区</w:t>
            </w:r>
            <w:r>
              <w:rPr>
                <w:rFonts w:hint="eastAsia" w:ascii="仿宋_GB2312" w:eastAsia="仿宋_GB2312"/>
                <w:sz w:val="24"/>
              </w:rPr>
              <w:t>　　　　　　　　　　  　　　</w:t>
            </w:r>
          </w:p>
          <w:p>
            <w:pPr>
              <w:spacing w:line="240" w:lineRule="atLeast"/>
              <w:rPr>
                <w:rFonts w:eastAsia="仿宋_GB2312"/>
              </w:rPr>
            </w:pPr>
            <w:r>
              <w:rPr>
                <w:rFonts w:hint="eastAsia" w:ascii="仿宋_GB2312" w:eastAsia="仿宋_GB2312"/>
                <w:sz w:val="24"/>
              </w:rPr>
              <w:t>电  话：</w:t>
            </w:r>
            <w:r>
              <w:rPr>
                <w:rFonts w:hint="eastAsia" w:ascii="仿宋_GB2312" w:eastAsia="仿宋_GB2312"/>
                <w:u w:val="single"/>
              </w:rPr>
              <w:t>吴云虎18199086092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06" w:type="dxa"/>
            <w:vAlign w:val="center"/>
          </w:tcPr>
          <w:p>
            <w:pPr>
              <w:spacing w:line="240" w:lineRule="atLeast"/>
              <w:ind w:left="1080" w:leftChars="257" w:hanging="540"/>
              <w:rPr>
                <w:rFonts w:ascii="仿宋_GB2312" w:eastAsia="仿宋_GB2312"/>
                <w:sz w:val="24"/>
              </w:rPr>
            </w:pPr>
            <w:r>
              <w:rPr>
                <w:rFonts w:ascii="仿宋_GB2312" w:eastAsia="仿宋_GB2312"/>
                <w:sz w:val="24"/>
              </w:rPr>
              <w:t>1.2</w:t>
            </w:r>
          </w:p>
        </w:tc>
        <w:tc>
          <w:tcPr>
            <w:tcW w:w="7517" w:type="dxa"/>
            <w:vAlign w:val="center"/>
          </w:tcPr>
          <w:p>
            <w:pPr>
              <w:spacing w:line="240" w:lineRule="atLeast"/>
              <w:rPr>
                <w:rFonts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喀什天泰建设工程项目管理有限公司</w:t>
            </w:r>
          </w:p>
          <w:p>
            <w:pPr>
              <w:spacing w:line="240" w:lineRule="atLeast"/>
              <w:rPr>
                <w:rFonts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rPr>
              <w:t>喀什市深喀大道永昌大厦8楼</w:t>
            </w:r>
          </w:p>
          <w:p>
            <w:pPr>
              <w:spacing w:line="240" w:lineRule="atLeast"/>
              <w:rPr>
                <w:rFonts w:ascii="仿宋_GB2312" w:eastAsia="仿宋_GB2312"/>
                <w:sz w:val="24"/>
              </w:rPr>
            </w:pPr>
            <w:r>
              <w:rPr>
                <w:rFonts w:hint="eastAsia" w:ascii="仿宋_GB2312" w:eastAsia="仿宋_GB2312"/>
                <w:sz w:val="24"/>
              </w:rPr>
              <w:t>业务联系人：</w:t>
            </w:r>
            <w:r>
              <w:rPr>
                <w:rFonts w:hint="eastAsia" w:ascii="仿宋_GB2312" w:eastAsia="仿宋_GB2312"/>
                <w:sz w:val="24"/>
                <w:u w:val="single"/>
              </w:rPr>
              <w:t xml:space="preserve">许工 </w:t>
            </w:r>
            <w:r>
              <w:rPr>
                <w:rFonts w:hint="eastAsia" w:ascii="仿宋_GB2312" w:eastAsia="仿宋_GB2312"/>
                <w:sz w:val="24"/>
              </w:rPr>
              <w:t xml:space="preserve"> 电话：</w:t>
            </w:r>
            <w:r>
              <w:rPr>
                <w:rFonts w:hint="eastAsia" w:ascii="仿宋_GB2312" w:eastAsia="仿宋_GB2312"/>
                <w:sz w:val="24"/>
                <w:u w:val="single"/>
              </w:rPr>
              <w:t>19190048877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57"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1.3.4</w:t>
            </w:r>
          </w:p>
        </w:tc>
        <w:tc>
          <w:tcPr>
            <w:tcW w:w="7517" w:type="dxa"/>
            <w:vAlign w:val="center"/>
          </w:tcPr>
          <w:p>
            <w:pPr>
              <w:spacing w:line="240" w:lineRule="atLeast"/>
              <w:rPr>
                <w:rFonts w:ascii="仿宋_GB2312" w:hAnsi="宋体" w:eastAsia="仿宋_GB2312"/>
                <w:sz w:val="24"/>
              </w:rPr>
            </w:pPr>
            <w:r>
              <w:rPr>
                <w:rFonts w:hint="eastAsia" w:ascii="仿宋_GB2312" w:hAnsi="宋体" w:eastAsia="仿宋_GB2312"/>
                <w:sz w:val="24"/>
              </w:rPr>
              <w:t>合格投标人的其他资格要求：</w:t>
            </w:r>
          </w:p>
          <w:p>
            <w:pPr>
              <w:spacing w:line="240" w:lineRule="atLeast"/>
              <w:rPr>
                <w:rFonts w:ascii="仿宋_GB2312" w:hAnsi="宋体" w:eastAsia="仿宋_GB2312"/>
                <w:sz w:val="24"/>
              </w:rPr>
            </w:pPr>
            <w:r>
              <w:rPr>
                <w:rFonts w:hint="eastAsia" w:ascii="仿宋_GB2312" w:hAnsi="宋体" w:eastAsia="仿宋_GB2312"/>
                <w:sz w:val="24"/>
              </w:rPr>
              <w:t>满足《中华人民共和国政府采购法》第二十二条规定；</w:t>
            </w:r>
          </w:p>
          <w:p>
            <w:pPr>
              <w:spacing w:line="240" w:lineRule="atLeast"/>
              <w:rPr>
                <w:rFonts w:ascii="仿宋_GB2312" w:hAnsi="宋体" w:eastAsia="仿宋_GB2312"/>
                <w:sz w:val="24"/>
              </w:rPr>
            </w:pPr>
            <w:r>
              <w:rPr>
                <w:rFonts w:hint="eastAsia" w:ascii="仿宋_GB2312" w:hAnsi="宋体" w:eastAsia="仿宋_GB2312"/>
                <w:sz w:val="24"/>
              </w:rPr>
              <w:t>（1）具有相应经营范围的企业法人有效的营业执照（三证合一）扫描件加盖公章；</w:t>
            </w:r>
          </w:p>
          <w:p>
            <w:pPr>
              <w:spacing w:line="240" w:lineRule="atLeast"/>
              <w:rPr>
                <w:rFonts w:ascii="仿宋_GB2312" w:hAnsi="宋体" w:eastAsia="仿宋_GB2312"/>
                <w:sz w:val="24"/>
              </w:rPr>
            </w:pPr>
            <w:r>
              <w:rPr>
                <w:rFonts w:hint="eastAsia" w:ascii="仿宋_GB2312" w:hAnsi="宋体" w:eastAsia="仿宋_GB2312"/>
                <w:sz w:val="24"/>
              </w:rPr>
              <w:t>（2）银行开户许可证扫描件加盖公章（如投标单位有无法提供开户许可证的情况，需提供基本账户开户银行的基本账户信息及当地不办理银行开户许可证的证明文件）；</w:t>
            </w:r>
          </w:p>
          <w:p>
            <w:pPr>
              <w:spacing w:line="240" w:lineRule="atLeast"/>
              <w:rPr>
                <w:rFonts w:ascii="仿宋_GB2312" w:hAnsi="宋体" w:eastAsia="仿宋_GB2312"/>
                <w:sz w:val="24"/>
              </w:rPr>
            </w:pPr>
            <w:r>
              <w:rPr>
                <w:rFonts w:hint="eastAsia" w:ascii="仿宋_GB2312" w:hAnsi="宋体" w:eastAsia="仿宋_GB2312"/>
                <w:sz w:val="24"/>
              </w:rPr>
              <w:t>（3）法定代表人需提供法定代表人身份证明扫描件加盖公章，授权委托人需提供法人授权委托书扫描件加盖公章、法人身份证复印件及授权委托人身份证扫描件加盖公章，授权委托人必须是本单位正式员工；</w:t>
            </w:r>
          </w:p>
          <w:p>
            <w:pPr>
              <w:spacing w:line="240" w:lineRule="atLeast"/>
              <w:rPr>
                <w:rFonts w:ascii="仿宋_GB2312" w:hAnsi="宋体" w:eastAsia="仿宋_GB2312"/>
                <w:sz w:val="24"/>
              </w:rPr>
            </w:pPr>
            <w:r>
              <w:rPr>
                <w:rFonts w:hint="eastAsia" w:ascii="仿宋_GB2312" w:hAnsi="宋体" w:eastAsia="仿宋_GB2312"/>
                <w:sz w:val="24"/>
              </w:rPr>
              <w:t>（4）提供“信用中国”（www.creditchina.gov.cn）和中国政府采购网（www.ccgp.gov.cn）网站上未列入失信被执行人、重大税收违法失信主体、政府采购严重违法失信行为记录名单。（提供查询结果网页截图并加盖单位公章）；</w:t>
            </w:r>
          </w:p>
          <w:p>
            <w:pPr>
              <w:spacing w:line="240" w:lineRule="atLeast"/>
              <w:rPr>
                <w:rFonts w:ascii="仿宋_GB2312" w:hAnsi="宋体" w:eastAsia="仿宋_GB2312"/>
                <w:sz w:val="24"/>
              </w:rPr>
            </w:pPr>
            <w:r>
              <w:rPr>
                <w:rFonts w:hint="eastAsia" w:ascii="仿宋_GB2312" w:hAnsi="宋体" w:eastAsia="仿宋_GB2312"/>
                <w:sz w:val="24"/>
              </w:rPr>
              <w:t>（5）具有税务局开具依法缴纳近6个月中任意1个月税收证明的良好记录（完税证明）；</w:t>
            </w:r>
          </w:p>
          <w:p>
            <w:pPr>
              <w:spacing w:line="240" w:lineRule="atLeast"/>
              <w:rPr>
                <w:rFonts w:ascii="仿宋_GB2312" w:hAnsi="宋体" w:eastAsia="仿宋_GB2312"/>
                <w:sz w:val="24"/>
              </w:rPr>
            </w:pPr>
            <w:r>
              <w:rPr>
                <w:rFonts w:hint="eastAsia" w:ascii="仿宋_GB2312" w:hAnsi="宋体" w:eastAsia="仿宋_GB2312"/>
                <w:sz w:val="24"/>
              </w:rPr>
              <w:t>（6）提供社保部门出具的供应商单位缴纳的近6个月中任意1个月社保证明缴费凭证；</w:t>
            </w:r>
          </w:p>
          <w:p>
            <w:pPr>
              <w:spacing w:line="240" w:lineRule="atLeast"/>
              <w:rPr>
                <w:rFonts w:ascii="仿宋_GB2312" w:hAnsi="宋体" w:eastAsia="仿宋_GB2312"/>
                <w:sz w:val="24"/>
              </w:rPr>
            </w:pPr>
            <w:r>
              <w:rPr>
                <w:rFonts w:hint="eastAsia" w:ascii="仿宋_GB2312" w:hAnsi="宋体" w:eastAsia="仿宋_GB2312"/>
                <w:sz w:val="24"/>
              </w:rPr>
              <w:t>（7）提供2021年或2022年度的财务审计报告扫描件加盖公章，2022年以后成立公司提供有效期内银行出具的资信证明；</w:t>
            </w:r>
          </w:p>
          <w:p>
            <w:pPr>
              <w:spacing w:line="240" w:lineRule="atLeast"/>
              <w:rPr>
                <w:rFonts w:ascii="仿宋_GB2312" w:hAnsi="宋体" w:eastAsia="仿宋_GB2312"/>
                <w:sz w:val="24"/>
              </w:rPr>
            </w:pPr>
            <w:r>
              <w:rPr>
                <w:rFonts w:hint="eastAsia" w:ascii="仿宋_GB2312" w:hAnsi="宋体" w:eastAsia="仿宋_GB2312"/>
                <w:sz w:val="24"/>
              </w:rPr>
              <w:t>（8）近三年内无重大违法记录的声明及反商业贿赂承诺书；</w:t>
            </w:r>
          </w:p>
          <w:p>
            <w:pPr>
              <w:spacing w:line="240" w:lineRule="atLeast"/>
              <w:rPr>
                <w:rFonts w:ascii="仿宋_GB2312" w:hAnsi="宋体" w:eastAsia="仿宋_GB2312"/>
                <w:sz w:val="24"/>
              </w:rPr>
            </w:pPr>
            <w:r>
              <w:rPr>
                <w:rFonts w:hint="eastAsia" w:ascii="仿宋_GB2312" w:hAnsi="宋体" w:eastAsia="仿宋_GB2312"/>
                <w:sz w:val="24"/>
              </w:rPr>
              <w:t>（9）投标保证金转账凭证；</w:t>
            </w:r>
          </w:p>
          <w:p>
            <w:pPr>
              <w:spacing w:line="240" w:lineRule="atLeast"/>
              <w:rPr>
                <w:rFonts w:ascii="仿宋_GB2312" w:hAnsi="宋体" w:eastAsia="仿宋_GB2312"/>
                <w:sz w:val="24"/>
              </w:rPr>
            </w:pPr>
            <w:r>
              <w:rPr>
                <w:rFonts w:hint="eastAsia" w:ascii="仿宋_GB2312" w:hAnsi="宋体" w:eastAsia="仿宋_GB2312"/>
                <w:sz w:val="24"/>
              </w:rPr>
              <w:t>（10）本项目不接受联合体投标；</w:t>
            </w:r>
          </w:p>
          <w:p>
            <w:pPr>
              <w:pStyle w:val="12"/>
              <w:ind w:firstLine="0" w:firstLineChars="0"/>
              <w:rPr>
                <w:rFonts w:eastAsia="仿宋"/>
              </w:rPr>
            </w:pPr>
            <w:r>
              <w:rPr>
                <w:rFonts w:hint="eastAsia" w:ascii="仿宋" w:hAnsi="仿宋" w:eastAsia="仿宋" w:cs="仿宋"/>
              </w:rPr>
              <w:t>（11）</w:t>
            </w:r>
            <w:r>
              <w:rPr>
                <w:rFonts w:hint="eastAsia" w:ascii="仿宋_GB2312" w:eastAsia="仿宋_GB2312"/>
              </w:rPr>
              <w:t>★</w:t>
            </w:r>
            <w:r>
              <w:rPr>
                <w:rFonts w:hint="eastAsia" w:ascii="仿宋_GB2312" w:eastAsia="仿宋_GB2312"/>
                <w:b/>
                <w:bCs/>
              </w:rPr>
              <w:t>大型企业须提供合同分包协议（格式自拟），未提供的供应商投标无效（</w:t>
            </w:r>
            <w:r>
              <w:rPr>
                <w:rFonts w:hint="eastAsia" w:ascii="仿宋_GB2312" w:eastAsia="仿宋_GB2312"/>
              </w:rPr>
              <w:t>本项目预留项目预算总额的40%以上须分包给中小微企业采购</w:t>
            </w:r>
            <w:r>
              <w:rPr>
                <w:rFonts w:hint="eastAsia" w:ascii="仿宋_GB2312" w:eastAsia="仿宋_GB2312"/>
                <w:b/>
                <w:bCs/>
              </w:rPr>
              <w:t>）；中小企业投标须提供中小企业声明函。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7517" w:type="dxa"/>
            <w:vAlign w:val="center"/>
          </w:tcPr>
          <w:p>
            <w:pPr>
              <w:spacing w:line="240" w:lineRule="atLeast"/>
              <w:rPr>
                <w:rFonts w:ascii="仿宋_GB2312" w:eastAsia="仿宋_GB2312"/>
                <w:sz w:val="24"/>
              </w:rPr>
            </w:pPr>
            <w:r>
              <w:rPr>
                <w:rFonts w:hint="eastAsia" w:ascii="仿宋_GB2312" w:hAnsi="宋体" w:eastAsia="仿宋_GB2312"/>
                <w:sz w:val="24"/>
              </w:rPr>
              <w:t>是否允许采购进口产品：</w:t>
            </w:r>
            <w:r>
              <w:rPr>
                <w:rFonts w:hint="eastAsia" w:ascii="仿宋_GB2312" w:hAnsi="宋体" w:eastAsia="仿宋_GB2312"/>
                <w:sz w:val="24"/>
                <w:u w:val="single"/>
              </w:rPr>
              <w:t xml:space="preserve">  否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w:t>
            </w:r>
          </w:p>
        </w:tc>
        <w:tc>
          <w:tcPr>
            <w:tcW w:w="7517" w:type="dxa"/>
            <w:vAlign w:val="center"/>
          </w:tcPr>
          <w:p>
            <w:pPr>
              <w:spacing w:line="240" w:lineRule="atLeast"/>
              <w:rPr>
                <w:rFonts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否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w:t>
            </w:r>
            <w:r>
              <w:rPr>
                <w:rFonts w:ascii="仿宋_GB2312" w:eastAsia="仿宋_GB2312"/>
                <w:sz w:val="24"/>
              </w:rPr>
              <w:t>4</w:t>
            </w:r>
          </w:p>
        </w:tc>
        <w:tc>
          <w:tcPr>
            <w:tcW w:w="7517" w:type="dxa"/>
            <w:vAlign w:val="center"/>
          </w:tcPr>
          <w:p>
            <w:pPr>
              <w:spacing w:line="240" w:lineRule="atLeast"/>
              <w:rPr>
                <w:rFonts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 xml:space="preserve">   </w:t>
            </w:r>
            <w:r>
              <w:rPr>
                <w:rFonts w:hint="eastAsia" w:ascii="仿宋_GB2312" w:hAnsi="宋体" w:eastAsia="仿宋_GB2312"/>
                <w:sz w:val="24"/>
                <w:u w:val="single"/>
              </w:rPr>
              <w:t xml:space="preserve">否  </w:t>
            </w:r>
            <w:r>
              <w:rPr>
                <w:rFonts w:hint="eastAsia" w:ascii="仿宋_GB2312" w:eastAsia="仿宋_GB2312"/>
                <w:sz w:val="24"/>
                <w:u w:val="single"/>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2.2</w:t>
            </w:r>
          </w:p>
        </w:tc>
        <w:tc>
          <w:tcPr>
            <w:tcW w:w="7517" w:type="dxa"/>
            <w:vAlign w:val="center"/>
          </w:tcPr>
          <w:p>
            <w:pPr>
              <w:spacing w:line="240" w:lineRule="atLeast"/>
              <w:rPr>
                <w:rFonts w:ascii="仿宋_GB2312" w:eastAsia="仿宋_GB2312"/>
                <w:sz w:val="24"/>
              </w:rPr>
            </w:pPr>
            <w:r>
              <w:rPr>
                <w:rFonts w:hint="eastAsia" w:ascii="仿宋_GB2312" w:eastAsia="仿宋_GB2312"/>
                <w:sz w:val="24"/>
              </w:rPr>
              <w:t xml:space="preserve">预算金额：335万元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7"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3.1</w:t>
            </w:r>
          </w:p>
        </w:tc>
        <w:tc>
          <w:tcPr>
            <w:tcW w:w="7517" w:type="dxa"/>
            <w:vAlign w:val="center"/>
          </w:tcPr>
          <w:p>
            <w:pPr>
              <w:spacing w:line="240" w:lineRule="atLeast"/>
              <w:rPr>
                <w:rFonts w:ascii="仿宋_GB2312" w:eastAsia="仿宋_GB2312"/>
                <w:sz w:val="24"/>
              </w:rPr>
            </w:pPr>
            <w:r>
              <w:rPr>
                <w:rFonts w:hint="eastAsia" w:ascii="仿宋_GB2312" w:eastAsia="仿宋_GB2312"/>
                <w:sz w:val="24"/>
              </w:rPr>
              <w:t>合同履约期限：合同签订后45日内完成（包括供货、安装调试等）。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12</w:t>
            </w:r>
            <w:r>
              <w:rPr>
                <w:rFonts w:ascii="仿宋_GB2312" w:eastAsia="仿宋_GB2312"/>
                <w:sz w:val="24"/>
              </w:rPr>
              <w:t>.1</w:t>
            </w:r>
          </w:p>
        </w:tc>
        <w:tc>
          <w:tcPr>
            <w:tcW w:w="7517" w:type="dxa"/>
            <w:vAlign w:val="center"/>
          </w:tcPr>
          <w:p>
            <w:pPr>
              <w:spacing w:line="480" w:lineRule="exact"/>
              <w:rPr>
                <w:rFonts w:ascii="宋体" w:hAnsi="宋体" w:cs="宋体"/>
                <w:bCs/>
                <w:sz w:val="24"/>
                <w:u w:val="single"/>
              </w:rPr>
            </w:pPr>
            <w:r>
              <w:rPr>
                <w:rFonts w:hint="eastAsia" w:ascii="宋体" w:hAnsi="宋体" w:cs="宋体"/>
                <w:bCs/>
                <w:sz w:val="24"/>
                <w:u w:val="single"/>
              </w:rPr>
              <w:t>保证金形式：基本账户形式提交☑保函☑电汇☑支票</w:t>
            </w:r>
            <w:r>
              <w:rPr>
                <w:rFonts w:hint="eastAsia" w:ascii="宋体" w:hAnsi="宋体" w:cs="宋体"/>
                <w:bCs/>
                <w:sz w:val="24"/>
                <w:u w:val="single"/>
              </w:rPr>
              <w:sym w:font="Wingdings" w:char="00FE"/>
            </w:r>
            <w:r>
              <w:rPr>
                <w:rFonts w:hint="eastAsia" w:ascii="宋体" w:hAnsi="宋体" w:cs="宋体"/>
                <w:bCs/>
                <w:sz w:val="24"/>
                <w:u w:val="single"/>
              </w:rPr>
              <w:t xml:space="preserve">网银☑对公转账 </w:t>
            </w:r>
            <w:r>
              <w:rPr>
                <w:rFonts w:hint="eastAsia" w:ascii="宋体" w:hAnsi="宋体" w:cs="宋体"/>
                <w:bCs/>
                <w:i/>
                <w:sz w:val="24"/>
              </w:rPr>
              <w:t xml:space="preserve"> </w:t>
            </w:r>
          </w:p>
          <w:p>
            <w:pPr>
              <w:spacing w:line="480" w:lineRule="exact"/>
              <w:jc w:val="left"/>
              <w:rPr>
                <w:rFonts w:ascii="宋体" w:hAnsi="宋体" w:cs="宋体"/>
                <w:bCs/>
                <w:sz w:val="24"/>
              </w:rPr>
            </w:pPr>
            <w:r>
              <w:rPr>
                <w:rFonts w:hint="eastAsia" w:ascii="宋体" w:hAnsi="宋体" w:cs="宋体"/>
                <w:bCs/>
                <w:sz w:val="24"/>
                <w:u w:val="single"/>
              </w:rPr>
              <w:t>保证金数额：50000元  打款时注明投标保证金项目名称。</w:t>
            </w:r>
          </w:p>
          <w:p>
            <w:pPr>
              <w:spacing w:line="240" w:lineRule="atLeast"/>
              <w:ind w:firstLine="420" w:firstLineChars="175"/>
              <w:rPr>
                <w:rFonts w:ascii="宋体" w:hAnsi="宋体" w:cs="宋体"/>
                <w:bCs/>
                <w:sz w:val="24"/>
              </w:rPr>
            </w:pPr>
            <w:r>
              <w:rPr>
                <w:rFonts w:hint="eastAsia" w:ascii="宋体" w:hAnsi="宋体" w:cs="宋体"/>
                <w:bCs/>
                <w:sz w:val="24"/>
              </w:rPr>
              <w:t>保证金收款人：喀什天泰建设工程项目管理有限公司</w:t>
            </w:r>
          </w:p>
          <w:p>
            <w:pPr>
              <w:spacing w:line="240" w:lineRule="atLeast"/>
              <w:ind w:firstLine="420" w:firstLineChars="175"/>
              <w:rPr>
                <w:rFonts w:ascii="宋体" w:hAnsi="宋体" w:cs="宋体"/>
                <w:bCs/>
                <w:sz w:val="24"/>
              </w:rPr>
            </w:pPr>
            <w:r>
              <w:rPr>
                <w:rFonts w:hint="eastAsia" w:ascii="宋体" w:hAnsi="宋体" w:cs="宋体"/>
                <w:bCs/>
                <w:sz w:val="24"/>
              </w:rPr>
              <w:t>开户银行：建行喀什分行营业部</w:t>
            </w:r>
          </w:p>
          <w:p>
            <w:pPr>
              <w:spacing w:line="240" w:lineRule="atLeast"/>
              <w:ind w:firstLine="420" w:firstLineChars="175"/>
              <w:rPr>
                <w:rFonts w:ascii="宋体" w:hAnsi="宋体" w:cs="宋体"/>
                <w:bCs/>
                <w:sz w:val="24"/>
              </w:rPr>
            </w:pPr>
            <w:r>
              <w:rPr>
                <w:rFonts w:hint="eastAsia" w:ascii="宋体" w:hAnsi="宋体" w:cs="宋体"/>
                <w:bCs/>
                <w:sz w:val="24"/>
              </w:rPr>
              <w:t>账    号：65050174608600002456</w:t>
            </w:r>
          </w:p>
          <w:p>
            <w:pPr>
              <w:spacing w:line="240" w:lineRule="atLeast"/>
              <w:ind w:firstLine="420" w:firstLineChars="175"/>
              <w:rPr>
                <w:rFonts w:ascii="宋体" w:hAnsi="宋体" w:cs="宋体"/>
                <w:bCs/>
                <w:sz w:val="24"/>
                <w:highlight w:val="yellow"/>
              </w:rPr>
            </w:pPr>
            <w:r>
              <w:rPr>
                <w:rFonts w:hint="eastAsia" w:ascii="宋体" w:hAnsi="宋体" w:cs="宋体"/>
                <w:bCs/>
                <w:sz w:val="24"/>
              </w:rPr>
              <w:t>截止时间：2023年8月1</w:t>
            </w:r>
            <w:r>
              <w:rPr>
                <w:rFonts w:hint="eastAsia" w:ascii="宋体" w:hAnsi="宋体" w:cs="宋体"/>
                <w:bCs/>
                <w:sz w:val="24"/>
                <w:lang w:val="en-US" w:eastAsia="zh-CN"/>
              </w:rPr>
              <w:t>4</w:t>
            </w:r>
            <w:r>
              <w:rPr>
                <w:rFonts w:hint="eastAsia" w:ascii="宋体" w:hAnsi="宋体" w:cs="宋体"/>
                <w:bCs/>
                <w:sz w:val="24"/>
              </w:rPr>
              <w:t>日18：30</w:t>
            </w:r>
          </w:p>
          <w:p>
            <w:pPr>
              <w:spacing w:line="240" w:lineRule="atLeast"/>
              <w:ind w:firstLine="420" w:firstLineChars="175"/>
              <w:rPr>
                <w:rFonts w:ascii="宋体" w:hAnsi="宋体" w:cs="宋体"/>
                <w:bCs/>
                <w:sz w:val="24"/>
              </w:rPr>
            </w:pPr>
            <w:r>
              <w:rPr>
                <w:rFonts w:hint="eastAsia" w:ascii="宋体" w:hAnsi="宋体" w:cs="宋体"/>
                <w:bCs/>
                <w:sz w:val="24"/>
              </w:rPr>
              <w:t>递交方式：投标文件中附保证金转账凭证，无需换取保证金收据。</w:t>
            </w:r>
          </w:p>
          <w:p>
            <w:pPr>
              <w:spacing w:line="240" w:lineRule="atLeast"/>
              <w:ind w:firstLine="420" w:firstLineChars="175"/>
              <w:rPr>
                <w:rFonts w:ascii="仿宋_GB2312" w:eastAsia="仿宋_GB2312"/>
                <w:i/>
                <w:sz w:val="24"/>
              </w:rPr>
            </w:pPr>
            <w:r>
              <w:rPr>
                <w:rFonts w:hint="eastAsia" w:ascii="宋体" w:hAnsi="宋体" w:cs="宋体"/>
                <w:bCs/>
                <w:sz w:val="24"/>
              </w:rPr>
              <w:t>保证金退还：评标结束后，未成交单位保证金将在五个工作日内原账户退回（投标单位需提供相应份数纸质投标文件，纸质投标文件必须与上传的电子投标文件一致），投标单位将保证金转账凭证交至代理公司。成交单位保证金在与采购单位签订合同后，把合同扫描件和保证金银行转账回执单发到1012193429@qq.com邮箱后，五个工作日内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13.1</w:t>
            </w:r>
          </w:p>
        </w:tc>
        <w:tc>
          <w:tcPr>
            <w:tcW w:w="7517" w:type="dxa"/>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14.1</w:t>
            </w:r>
          </w:p>
        </w:tc>
        <w:tc>
          <w:tcPr>
            <w:tcW w:w="7517" w:type="dxa"/>
            <w:vAlign w:val="center"/>
          </w:tcPr>
          <w:p>
            <w:pPr>
              <w:spacing w:line="240" w:lineRule="atLeast"/>
              <w:rPr>
                <w:rFonts w:ascii="仿宋_GB2312" w:hAnsi="宋体" w:eastAsia="仿宋_GB2312"/>
                <w:sz w:val="24"/>
              </w:rPr>
            </w:pPr>
            <w:r>
              <w:rPr>
                <w:rFonts w:hint="eastAsia" w:ascii="仿宋_GB2312" w:hAnsi="宋体" w:eastAsia="仿宋_GB2312"/>
                <w:sz w:val="24"/>
              </w:rPr>
              <w:t>（1）本项目为电子招投标，供应商需要使用 CA 加密设备，凡参加本项目必须可自主通过新疆 CA 申领渠道“新疆政务通”申请政采云平台可使用的 CA 设备，如原有兵团或公共资源使用的 CA，可与新疆 CA 联系，申请增加电子证书即可，无需重复申领。</w:t>
            </w:r>
          </w:p>
          <w:p>
            <w:pPr>
              <w:spacing w:line="240" w:lineRule="atLeast"/>
              <w:rPr>
                <w:rFonts w:ascii="仿宋_GB2312" w:hAnsi="宋体" w:eastAsia="仿宋_GB2312"/>
                <w:sz w:val="24"/>
              </w:rPr>
            </w:pPr>
            <w:r>
              <w:rPr>
                <w:rFonts w:hint="eastAsia" w:ascii="仿宋_GB2312" w:hAnsi="宋体" w:eastAsia="仿宋_GB2312"/>
                <w:sz w:val="24"/>
              </w:rPr>
              <w:t>（2）本项目实行网上投标，采用电子投标文件(供应商须使用 CA 加密设备通过政采云电子投标客户端制作投标文件)。若供应商参与投标，自行承担投标一切费用。</w:t>
            </w:r>
          </w:p>
          <w:p>
            <w:pPr>
              <w:spacing w:line="240" w:lineRule="atLeast"/>
              <w:rPr>
                <w:rFonts w:ascii="仿宋_GB2312" w:hAnsi="宋体" w:eastAsia="仿宋_GB2312"/>
                <w:sz w:val="24"/>
              </w:rPr>
            </w:pPr>
            <w:r>
              <w:rPr>
                <w:rFonts w:hint="eastAsia" w:ascii="仿宋_GB2312" w:hAnsi="宋体" w:eastAsia="仿宋_GB2312"/>
                <w:sz w:val="24"/>
              </w:rPr>
              <w:t>（3）各供应商应在开标前应确保成为新疆政府采购网正式注册入库供应商，并完成 CA 数字证书申领。因未注册入库、未办理 CA 数字证书等原因造成无法投标或投标失败等后果由供应商自行承担。</w:t>
            </w:r>
          </w:p>
          <w:p>
            <w:pPr>
              <w:spacing w:line="240" w:lineRule="atLeast"/>
              <w:rPr>
                <w:rFonts w:ascii="仿宋_GB2312" w:hAnsi="宋体" w:eastAsia="仿宋_GB2312"/>
                <w:sz w:val="24"/>
              </w:rPr>
            </w:pPr>
            <w:r>
              <w:rPr>
                <w:rFonts w:hint="eastAsia" w:ascii="仿宋_GB2312" w:hAnsi="宋体" w:eastAsia="仿宋_GB2312"/>
                <w:sz w:val="24"/>
              </w:rPr>
              <w:t>（4）供应商将政采云电子交易客户端下载、安装完成后，可通过账号密码或CA 登录客户端进行投标文件制作。在使用政采云投标客户端时，建议使用 WIN7及以上操作系统 。 客户端请至新疆政府采 购网  400-881-7190 进行咨询。</w:t>
            </w:r>
          </w:p>
          <w:p>
            <w:pPr>
              <w:spacing w:line="240" w:lineRule="atLeast"/>
              <w:rPr>
                <w:rFonts w:ascii="仿宋_GB2312" w:hAnsi="宋体" w:eastAsia="仿宋_GB2312"/>
                <w:sz w:val="24"/>
              </w:rPr>
            </w:pPr>
            <w:r>
              <w:rPr>
                <w:rFonts w:hint="eastAsia" w:ascii="仿宋_GB2312" w:hAnsi="宋体" w:eastAsia="仿宋_GB2312"/>
                <w:sz w:val="24"/>
              </w:rPr>
              <w:t>（5）供应商在开标时须使用制作加密电子投标文件所使用的 CA 锁及电脑，电脑须提前配置好浏览器（建议使用谷歌浏览器），以便开标时解锁。</w:t>
            </w:r>
          </w:p>
          <w:p>
            <w:pPr>
              <w:spacing w:line="240" w:lineRule="atLeast"/>
              <w:rPr>
                <w:rFonts w:ascii="仿宋_GB2312" w:hAnsi="宋体" w:eastAsia="仿宋_GB2312"/>
                <w:sz w:val="24"/>
              </w:rPr>
            </w:pPr>
            <w:r>
              <w:rPr>
                <w:rFonts w:hint="eastAsia" w:ascii="仿宋_GB2312" w:hAnsi="宋体" w:eastAsia="仿宋_GB2312"/>
                <w:sz w:val="24"/>
              </w:rPr>
              <w:t>（6）投标保证金缴纳及确认时间：凡拟参加本次招标项目的供应商，必须在开标前将投标保证金汇入指定账户。投标保证金汇款凭证上用途栏应注明:招标项目名称+投标保证金。否则，届时其投标将被拒绝。</w:t>
            </w:r>
          </w:p>
          <w:p>
            <w:pPr>
              <w:spacing w:line="240" w:lineRule="atLeast"/>
              <w:rPr>
                <w:rFonts w:ascii="仿宋_GB2312" w:hAnsi="宋体" w:eastAsia="仿宋_GB2312"/>
                <w:sz w:val="24"/>
              </w:rPr>
            </w:pPr>
            <w:r>
              <w:rPr>
                <w:rFonts w:hint="eastAsia" w:ascii="仿宋_GB2312" w:hAnsi="宋体" w:eastAsia="仿宋_GB2312"/>
                <w:sz w:val="24"/>
              </w:rPr>
              <w:t>（7）供应商对不见面开评标系统的技术操作咨询，可通过https://edu.zcygov.cn/luban/xinjiang-e-biding 自助查询，也可在政采云帮助中心常见问题解答和操作流程讲解视频中自助查询，网址为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 1 号群：30349928（如已加入 1-11 群，无需重复加入，十一个群联动直播），钉钉工具软件具有回放功能，直播培训结束后可在钉钉群中回放观看学习。</w:t>
            </w:r>
          </w:p>
          <w:p>
            <w:pPr>
              <w:spacing w:line="240" w:lineRule="atLeast"/>
              <w:rPr>
                <w:rFonts w:ascii="仿宋_GB2312" w:hAnsi="宋体" w:eastAsia="仿宋_GB2312"/>
                <w:sz w:val="24"/>
              </w:rPr>
            </w:pPr>
            <w:r>
              <w:rPr>
                <w:rFonts w:hint="eastAsia" w:ascii="仿宋_GB2312" w:hAnsi="宋体" w:eastAsia="仿宋_GB2312"/>
                <w:sz w:val="24"/>
              </w:rPr>
              <w:t>（8）各供应商须在投标截止时间前完成在系统上递交电子招标文件。供应商的电子投标文件是经过CA证书加密后上传提交的，任何单位或个人均无法在投标截止时间(即开标时间)之前查看或篡改，不存在泄密风险。（严格按照政采云电子投标流程制作并上传电子投标文件）</w:t>
            </w:r>
          </w:p>
          <w:p>
            <w:pPr>
              <w:spacing w:line="240" w:lineRule="atLeast"/>
              <w:rPr>
                <w:rFonts w:ascii="仿宋_GB2312" w:hAnsi="宋体" w:eastAsia="仿宋_GB2312"/>
                <w:sz w:val="24"/>
              </w:rPr>
            </w:pPr>
            <w:r>
              <w:rPr>
                <w:rFonts w:hint="eastAsia" w:ascii="仿宋_GB2312" w:hAnsi="宋体" w:eastAsia="仿宋_GB2312"/>
                <w:sz w:val="24"/>
              </w:rPr>
              <w:t>（9）各供应商在投标截止时间前将“投标文件”上传至政采云平台。投标文件包括“报价一览表及资格证明文件”与“商务及技术文件”两部分合并成一册。投标文件应按照招标文件规定的格式填写、签署和盖章，并以.jmbs格式上传至政采云开评标平台（投标文件为正本扫描件）。</w:t>
            </w:r>
          </w:p>
          <w:p>
            <w:pPr>
              <w:spacing w:line="240" w:lineRule="atLeast"/>
              <w:rPr>
                <w:rFonts w:ascii="仿宋_GB2312" w:hAnsi="宋体" w:eastAsia="仿宋_GB2312"/>
                <w:sz w:val="24"/>
              </w:rPr>
            </w:pPr>
            <w:r>
              <w:rPr>
                <w:rFonts w:hint="eastAsia" w:ascii="仿宋_GB2312" w:hAnsi="宋体" w:eastAsia="仿宋_GB2312"/>
                <w:sz w:val="24"/>
              </w:rPr>
              <w:t>（10）所有供应商应在中标公告公示期结束后2个工作日内将纸质版投标文件邮寄至代理机构备案，纸质版投标文件包括“报价一览表及资格证明文件”和“商务及技术文件”两部分，两部分合订成一册递交。(邮寄标书事项会影响退还投标保证金)</w:t>
            </w:r>
          </w:p>
          <w:p>
            <w:pPr>
              <w:spacing w:line="240" w:lineRule="atLeast"/>
              <w:rPr>
                <w:rFonts w:ascii="仿宋_GB2312" w:hAnsi="宋体" w:eastAsia="仿宋_GB2312"/>
                <w:sz w:val="24"/>
              </w:rPr>
            </w:pPr>
            <w:r>
              <w:rPr>
                <w:rFonts w:hint="eastAsia" w:ascii="仿宋_GB2312" w:hAnsi="宋体" w:eastAsia="仿宋_GB2312"/>
                <w:sz w:val="24"/>
              </w:rPr>
              <w:t>（11）递交数量：正本：壹份、副本：肆份；电子文档1份（以正本为准，副本可以是正本的复印件）</w:t>
            </w:r>
          </w:p>
          <w:p>
            <w:pPr>
              <w:spacing w:line="240" w:lineRule="atLeast"/>
              <w:rPr>
                <w:rFonts w:ascii="仿宋_GB2312" w:hAnsi="宋体" w:eastAsia="仿宋_GB2312"/>
                <w:sz w:val="24"/>
              </w:rPr>
            </w:pPr>
            <w:r>
              <w:rPr>
                <w:rFonts w:hint="eastAsia" w:ascii="仿宋_GB2312" w:hAnsi="宋体" w:eastAsia="仿宋_GB2312"/>
                <w:sz w:val="24"/>
              </w:rPr>
              <w:t>纸质投标文件的签署及规定：投标文件的正副本需打印或用不褪色墨水书写，并由供应商的法定代表人或经其正式委托代理人按招标文件规定在投标文件上签字或盖章，并加盖单位印章。</w:t>
            </w:r>
          </w:p>
          <w:p>
            <w:pPr>
              <w:spacing w:line="240" w:lineRule="atLeast"/>
              <w:rPr>
                <w:rFonts w:ascii="仿宋_GB2312" w:eastAsia="仿宋_GB2312"/>
                <w:sz w:val="24"/>
                <w:u w:val="single"/>
              </w:rPr>
            </w:pPr>
            <w:r>
              <w:rPr>
                <w:rFonts w:hint="eastAsia" w:ascii="仿宋_GB2312" w:hAnsi="宋体" w:eastAsia="仿宋_GB2312"/>
                <w:sz w:val="24"/>
              </w:rPr>
              <w:t>（12）投标文件解密时长（分钟）为30分钟。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16.1</w:t>
            </w:r>
          </w:p>
        </w:tc>
        <w:tc>
          <w:tcPr>
            <w:tcW w:w="7517" w:type="dxa"/>
            <w:vAlign w:val="center"/>
          </w:tcPr>
          <w:p>
            <w:pPr>
              <w:spacing w:line="240" w:lineRule="atLeast"/>
              <w:rPr>
                <w:rFonts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2023年08月1</w:t>
            </w:r>
            <w:r>
              <w:rPr>
                <w:rFonts w:hint="eastAsia" w:ascii="仿宋_GB2312" w:eastAsia="仿宋_GB2312"/>
                <w:sz w:val="24"/>
                <w:u w:val="single"/>
                <w:lang w:val="en-US" w:eastAsia="zh-CN"/>
              </w:rPr>
              <w:t>5</w:t>
            </w:r>
            <w:r>
              <w:rPr>
                <w:rFonts w:hint="eastAsia" w:ascii="仿宋_GB2312" w:eastAsia="仿宋_GB2312"/>
                <w:sz w:val="24"/>
                <w:u w:val="single"/>
              </w:rPr>
              <w:t>日1</w:t>
            </w:r>
            <w:r>
              <w:rPr>
                <w:rFonts w:hint="eastAsia" w:ascii="仿宋_GB2312" w:eastAsia="仿宋_GB2312"/>
                <w:sz w:val="24"/>
                <w:u w:val="single"/>
                <w:lang w:val="en-US" w:eastAsia="zh-CN"/>
              </w:rPr>
              <w:t>1</w:t>
            </w:r>
            <w:r>
              <w:rPr>
                <w:rFonts w:hint="eastAsia" w:ascii="仿宋_GB2312" w:eastAsia="仿宋_GB2312"/>
                <w:sz w:val="24"/>
                <w:u w:val="single"/>
              </w:rPr>
              <w:t>点00分（北京时间）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7517" w:type="dxa"/>
            <w:vAlign w:val="center"/>
          </w:tcPr>
          <w:p>
            <w:pPr>
              <w:spacing w:line="240" w:lineRule="atLeast"/>
              <w:rPr>
                <w:rFonts w:ascii="仿宋_GB2312" w:eastAsia="仿宋_GB2312"/>
                <w:sz w:val="24"/>
                <w:u w:val="single"/>
              </w:rPr>
            </w:pPr>
            <w:r>
              <w:rPr>
                <w:rFonts w:hint="eastAsia" w:ascii="仿宋_GB2312" w:eastAsia="仿宋_GB2312"/>
                <w:sz w:val="24"/>
              </w:rPr>
              <w:t>开标时间：</w:t>
            </w:r>
            <w:r>
              <w:rPr>
                <w:rFonts w:hint="eastAsia" w:ascii="仿宋_GB2312" w:eastAsia="仿宋_GB2312"/>
                <w:sz w:val="24"/>
                <w:u w:val="single"/>
              </w:rPr>
              <w:t>2023年08月1</w:t>
            </w:r>
            <w:r>
              <w:rPr>
                <w:rFonts w:hint="eastAsia" w:ascii="仿宋_GB2312" w:eastAsia="仿宋_GB2312"/>
                <w:sz w:val="24"/>
                <w:u w:val="single"/>
                <w:lang w:val="en-US" w:eastAsia="zh-CN"/>
              </w:rPr>
              <w:t>5</w:t>
            </w:r>
            <w:r>
              <w:rPr>
                <w:rFonts w:hint="eastAsia" w:ascii="仿宋_GB2312" w:eastAsia="仿宋_GB2312"/>
                <w:sz w:val="24"/>
                <w:u w:val="single"/>
              </w:rPr>
              <w:t>日</w:t>
            </w:r>
            <w:r>
              <w:rPr>
                <w:rFonts w:hint="eastAsia" w:ascii="仿宋_GB2312" w:eastAsia="仿宋_GB2312"/>
                <w:sz w:val="24"/>
                <w:u w:val="single"/>
                <w:lang w:val="en-US" w:eastAsia="zh-CN"/>
              </w:rPr>
              <w:t>11</w:t>
            </w:r>
            <w:bookmarkStart w:id="700" w:name="_GoBack"/>
            <w:bookmarkEnd w:id="700"/>
            <w:r>
              <w:rPr>
                <w:rFonts w:hint="eastAsia" w:ascii="仿宋_GB2312" w:eastAsia="仿宋_GB2312"/>
                <w:sz w:val="24"/>
                <w:u w:val="single"/>
              </w:rPr>
              <w:t>点00分（北京时间）</w:t>
            </w:r>
          </w:p>
          <w:p>
            <w:pPr>
              <w:spacing w:line="240" w:lineRule="atLeast"/>
              <w:jc w:val="left"/>
              <w:rPr>
                <w:rFonts w:ascii="仿宋_GB2312" w:eastAsia="仿宋_GB2312"/>
                <w:sz w:val="24"/>
              </w:rPr>
            </w:pPr>
            <w:r>
              <w:rPr>
                <w:rFonts w:hint="eastAsia" w:ascii="仿宋_GB2312" w:eastAsia="仿宋_GB2312"/>
                <w:sz w:val="24"/>
              </w:rPr>
              <w:t>开标地点：政采云平（https://login.zcygov.cn/user-login/#/login）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20.</w:t>
            </w:r>
            <w:r>
              <w:rPr>
                <w:rFonts w:ascii="仿宋_GB2312" w:eastAsia="仿宋_GB2312"/>
                <w:sz w:val="24"/>
              </w:rPr>
              <w:t>5</w:t>
            </w:r>
          </w:p>
        </w:tc>
        <w:tc>
          <w:tcPr>
            <w:tcW w:w="7517" w:type="dxa"/>
            <w:vAlign w:val="center"/>
          </w:tcPr>
          <w:p>
            <w:pPr>
              <w:jc w:val="left"/>
              <w:rPr>
                <w:rFonts w:ascii="仿宋_GB2312" w:eastAsia="仿宋_GB2312"/>
                <w:sz w:val="24"/>
              </w:rPr>
            </w:pPr>
            <w:r>
              <w:rPr>
                <w:rFonts w:hint="eastAsia" w:ascii="仿宋_GB2312" w:eastAsia="仿宋_GB2312"/>
                <w:sz w:val="24"/>
              </w:rPr>
              <w:t>所属行业：</w:t>
            </w:r>
            <w:r>
              <w:rPr>
                <w:rFonts w:hint="eastAsia" w:ascii="仿宋_GB2312" w:eastAsia="仿宋_GB2312"/>
                <w:b/>
                <w:bCs/>
                <w:sz w:val="24"/>
                <w:u w:val="single"/>
              </w:rPr>
              <w:t xml:space="preserve">制造业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7517" w:type="dxa"/>
            <w:vAlign w:val="center"/>
          </w:tcPr>
          <w:p>
            <w:pPr>
              <w:spacing w:line="240" w:lineRule="atLeast"/>
              <w:rPr>
                <w:rFonts w:ascii="仿宋_GB2312" w:eastAsia="仿宋_GB2312"/>
                <w:i/>
                <w:sz w:val="24"/>
              </w:rPr>
            </w:pPr>
            <w:r>
              <w:rPr>
                <w:rFonts w:hint="eastAsia" w:ascii="仿宋_GB2312" w:eastAsia="仿宋_GB2312"/>
                <w:sz w:val="24"/>
              </w:rPr>
              <w:t>评标方法：适用</w:t>
            </w:r>
            <w:r>
              <w:rPr>
                <w:rFonts w:hint="eastAsia" w:ascii="仿宋_GB2312" w:eastAsia="仿宋_GB2312"/>
                <w:b/>
                <w:bCs/>
                <w:sz w:val="24"/>
                <w:u w:val="single"/>
              </w:rPr>
              <w:t>综合评分法</w:t>
            </w:r>
            <w:r>
              <w:rPr>
                <w:rFonts w:hint="eastAsia" w:ascii="仿宋_GB2312" w:eastAsia="仿宋_GB2312"/>
                <w:sz w:val="24"/>
                <w:u w:val="single"/>
              </w:rPr>
              <w:t>。</w:t>
            </w:r>
            <w:r>
              <w:rPr>
                <w:rFonts w:hint="eastAsia" w:ascii="仿宋_GB2312" w:eastAsia="仿宋_GB2312"/>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606" w:type="dxa"/>
            <w:vAlign w:val="center"/>
          </w:tcPr>
          <w:p>
            <w:pPr>
              <w:spacing w:line="240" w:lineRule="atLeast"/>
              <w:ind w:left="1080" w:leftChars="257" w:hanging="540"/>
              <w:rPr>
                <w:rFonts w:ascii="仿宋_GB2312" w:eastAsia="仿宋_GB2312"/>
                <w:sz w:val="24"/>
              </w:rPr>
            </w:pPr>
            <w:r>
              <w:rPr>
                <w:rFonts w:ascii="仿宋_GB2312" w:eastAsia="仿宋_GB2312"/>
                <w:sz w:val="24"/>
              </w:rPr>
              <w:t>27</w:t>
            </w:r>
          </w:p>
        </w:tc>
        <w:tc>
          <w:tcPr>
            <w:tcW w:w="7517" w:type="dxa"/>
            <w:vAlign w:val="center"/>
          </w:tcPr>
          <w:p>
            <w:pPr>
              <w:spacing w:line="240" w:lineRule="atLeast"/>
              <w:rPr>
                <w:rFonts w:ascii="仿宋_GB2312" w:eastAsia="仿宋_GB2312"/>
                <w:sz w:val="24"/>
              </w:rPr>
            </w:pPr>
            <w:r>
              <w:rPr>
                <w:rFonts w:hint="eastAsia" w:ascii="仿宋_GB2312" w:eastAsia="仿宋_GB2312"/>
                <w:sz w:val="24"/>
              </w:rPr>
              <w:t>每个标段推荐</w:t>
            </w:r>
            <w:r>
              <w:rPr>
                <w:rFonts w:ascii="仿宋_GB2312" w:eastAsia="仿宋_GB2312"/>
                <w:sz w:val="24"/>
              </w:rPr>
              <w:t>中标候选供应商的数量：</w:t>
            </w:r>
            <w:r>
              <w:rPr>
                <w:rFonts w:hint="eastAsia" w:ascii="仿宋_GB2312" w:eastAsia="仿宋_GB2312"/>
                <w:sz w:val="24"/>
                <w:u w:val="single"/>
              </w:rPr>
              <w:t>　3家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w:t>
            </w:r>
            <w:r>
              <w:rPr>
                <w:rFonts w:ascii="仿宋_GB2312" w:eastAsia="仿宋_GB2312"/>
                <w:sz w:val="24"/>
              </w:rPr>
              <w:t>7</w:t>
            </w:r>
          </w:p>
        </w:tc>
        <w:tc>
          <w:tcPr>
            <w:tcW w:w="7517" w:type="dxa"/>
            <w:vAlign w:val="center"/>
          </w:tcPr>
          <w:p>
            <w:pPr>
              <w:spacing w:line="240" w:lineRule="atLeast"/>
              <w:rPr>
                <w:rFonts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 xml:space="preserve">  否  </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06" w:type="dxa"/>
            <w:vAlign w:val="center"/>
          </w:tcPr>
          <w:p>
            <w:pPr>
              <w:spacing w:line="240" w:lineRule="atLeast"/>
              <w:ind w:left="1080" w:leftChars="257" w:hanging="540"/>
              <w:rPr>
                <w:rFonts w:ascii="仿宋_GB2312" w:eastAsia="仿宋_GB2312"/>
                <w:sz w:val="24"/>
              </w:rPr>
            </w:pPr>
            <w:r>
              <w:rPr>
                <w:rFonts w:ascii="仿宋_GB2312" w:eastAsia="仿宋_GB2312"/>
                <w:sz w:val="24"/>
              </w:rPr>
              <w:t>31</w:t>
            </w:r>
            <w:r>
              <w:rPr>
                <w:rFonts w:hint="eastAsia" w:ascii="仿宋_GB2312" w:eastAsia="仿宋_GB2312"/>
                <w:sz w:val="24"/>
              </w:rPr>
              <w:t>.1</w:t>
            </w:r>
          </w:p>
        </w:tc>
        <w:tc>
          <w:tcPr>
            <w:tcW w:w="7517" w:type="dxa"/>
            <w:vAlign w:val="center"/>
          </w:tcPr>
          <w:p>
            <w:pPr>
              <w:spacing w:line="240" w:lineRule="atLeast"/>
              <w:rPr>
                <w:rFonts w:ascii="仿宋_GB2312" w:eastAsia="仿宋_GB2312"/>
                <w:sz w:val="24"/>
              </w:rPr>
            </w:pPr>
            <w:r>
              <w:rPr>
                <w:rFonts w:hint="eastAsia" w:ascii="仿宋_GB2312" w:eastAsia="仿宋_GB2312"/>
                <w:sz w:val="24"/>
              </w:rPr>
              <w:t>履约保证金金额：成交金额的　10%　（不得超过成交金额的10%）</w:t>
            </w:r>
          </w:p>
          <w:p>
            <w:pPr>
              <w:spacing w:line="240" w:lineRule="atLeast"/>
              <w:rPr>
                <w:rFonts w:ascii="仿宋_GB2312" w:eastAsia="仿宋_GB2312"/>
                <w:sz w:val="24"/>
              </w:rPr>
            </w:pPr>
            <w:r>
              <w:rPr>
                <w:rFonts w:hint="eastAsia" w:ascii="仿宋_GB2312" w:eastAsia="仿宋_GB2312"/>
                <w:sz w:val="24"/>
              </w:rPr>
              <w:t xml:space="preserve">履约保证金形式： ☑保函  ☑电汇  ☑支票☑  对公转账 （本项目允许的其他形式） </w:t>
            </w:r>
          </w:p>
          <w:p>
            <w:pPr>
              <w:spacing w:line="240" w:lineRule="atLeast"/>
              <w:rPr>
                <w:rFonts w:ascii="仿宋_GB2312" w:eastAsia="仿宋_GB2312"/>
                <w:sz w:val="24"/>
                <w:u w:val="single"/>
              </w:rPr>
            </w:pPr>
            <w:r>
              <w:rPr>
                <w:rFonts w:hint="eastAsia" w:ascii="仿宋_GB2312" w:eastAsia="仿宋_GB2312"/>
                <w:sz w:val="24"/>
              </w:rPr>
              <w:t>金额为中标价的10%，签订合同前最晚2个日历日汇入采购人指定账户。中标企业缴纳履约保证金后与采购人签订合同，履约完成后，由采购人退还其履约保证金(如遇特殊情况甲乙双方协商解决)，不按照要求缴纳履约保证金的，不予签订合同并视为中标人违约，依法处理。采购合同必须依照招标文件及项目实际要求拟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31.2</w:t>
            </w:r>
          </w:p>
        </w:tc>
        <w:tc>
          <w:tcPr>
            <w:tcW w:w="7517" w:type="dxa"/>
            <w:vAlign w:val="center"/>
          </w:tcPr>
          <w:p>
            <w:pPr>
              <w:spacing w:line="240" w:lineRule="atLeast"/>
              <w:rPr>
                <w:rFonts w:ascii="仿宋_GB2312" w:eastAsia="仿宋_GB2312"/>
                <w:sz w:val="24"/>
              </w:rPr>
            </w:pPr>
            <w:r>
              <w:rPr>
                <w:rFonts w:hint="eastAsia" w:ascii="仿宋_GB2312" w:eastAsia="仿宋_GB2312"/>
                <w:sz w:val="24"/>
              </w:rPr>
              <w:t>付款方式：项目实施完成验收后支付全部合同款（包括包括供货、安装调试）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606" w:type="dxa"/>
            <w:vAlign w:val="center"/>
          </w:tcPr>
          <w:p>
            <w:pPr>
              <w:spacing w:line="240" w:lineRule="atLeast"/>
              <w:ind w:left="1080" w:leftChars="257" w:hanging="540"/>
              <w:rPr>
                <w:rFonts w:ascii="仿宋_GB2312" w:eastAsia="仿宋_GB2312"/>
                <w:sz w:val="24"/>
              </w:rPr>
            </w:pPr>
            <w:r>
              <w:rPr>
                <w:rFonts w:ascii="仿宋_GB2312" w:eastAsia="仿宋_GB2312"/>
                <w:sz w:val="24"/>
              </w:rPr>
              <w:t>32</w:t>
            </w:r>
          </w:p>
        </w:tc>
        <w:tc>
          <w:tcPr>
            <w:tcW w:w="7517" w:type="dxa"/>
            <w:vAlign w:val="center"/>
          </w:tcPr>
          <w:p>
            <w:pPr>
              <w:spacing w:line="240" w:lineRule="atLeast"/>
              <w:rPr>
                <w:rFonts w:ascii="仿宋_GB2312" w:eastAsia="仿宋_GB2312"/>
                <w:sz w:val="24"/>
              </w:rPr>
            </w:pPr>
            <w:r>
              <w:rPr>
                <w:rFonts w:hint="eastAsia" w:ascii="仿宋_GB2312" w:eastAsia="仿宋_GB2312"/>
                <w:sz w:val="24"/>
              </w:rPr>
              <w:t>中标服务费：参照发改价格[2015]299号、计价格[2002]1980号文件规定，由中标单位支付</w:t>
            </w:r>
          </w:p>
          <w:p>
            <w:pPr>
              <w:spacing w:line="240" w:lineRule="atLeast"/>
              <w:rPr>
                <w:rFonts w:ascii="仿宋_GB2312" w:eastAsia="仿宋_GB2312"/>
                <w:sz w:val="24"/>
              </w:rPr>
            </w:pPr>
            <w:r>
              <w:rPr>
                <w:rFonts w:ascii="仿宋_GB2312" w:eastAsia="仿宋_GB2312"/>
                <w:sz w:val="24"/>
              </w:rPr>
              <w:t>1、100万元以下，按1.5%收取。</w:t>
            </w:r>
          </w:p>
          <w:p>
            <w:pPr>
              <w:spacing w:line="240" w:lineRule="atLeast"/>
              <w:rPr>
                <w:rFonts w:ascii="仿宋_GB2312" w:eastAsia="仿宋_GB2312"/>
                <w:sz w:val="24"/>
              </w:rPr>
            </w:pPr>
            <w:r>
              <w:rPr>
                <w:rFonts w:ascii="仿宋_GB2312" w:eastAsia="仿宋_GB2312"/>
                <w:sz w:val="24"/>
              </w:rPr>
              <w:t>2、100万元—500万元，按1.1%收取</w:t>
            </w:r>
          </w:p>
          <w:p>
            <w:pPr>
              <w:spacing w:line="240" w:lineRule="atLeast"/>
              <w:rPr>
                <w:rFonts w:ascii="仿宋_GB2312" w:eastAsia="仿宋_GB2312"/>
                <w:sz w:val="24"/>
              </w:rPr>
            </w:pPr>
            <w:r>
              <w:rPr>
                <w:rFonts w:ascii="仿宋_GB2312" w:eastAsia="仿宋_GB2312"/>
                <w:sz w:val="24"/>
              </w:rPr>
              <w:t>招标代理服务收费采用差额定率累进计费方式</w:t>
            </w:r>
          </w:p>
          <w:p>
            <w:pPr>
              <w:spacing w:line="240" w:lineRule="atLeast"/>
              <w:rPr>
                <w:rFonts w:ascii="仿宋_GB2312" w:eastAsia="仿宋_GB2312"/>
                <w:sz w:val="24"/>
              </w:rPr>
            </w:pPr>
            <w:r>
              <w:rPr>
                <w:rFonts w:ascii="仿宋_GB2312" w:eastAsia="仿宋_GB2312"/>
                <w:sz w:val="24"/>
              </w:rPr>
              <w:t>支付形式：电汇、转账</w:t>
            </w:r>
          </w:p>
          <w:p>
            <w:pPr>
              <w:spacing w:line="240" w:lineRule="atLeast"/>
              <w:rPr>
                <w:rFonts w:ascii="仿宋_GB2312" w:eastAsia="仿宋_GB2312"/>
                <w:sz w:val="24"/>
              </w:rPr>
            </w:pPr>
            <w:r>
              <w:rPr>
                <w:rFonts w:ascii="仿宋_GB2312" w:eastAsia="仿宋_GB2312"/>
                <w:sz w:val="24"/>
              </w:rPr>
              <w:t>支付时间：领取中标通知书时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7517" w:type="dxa"/>
            <w:vAlign w:val="center"/>
          </w:tcPr>
          <w:p>
            <w:pPr>
              <w:spacing w:line="240" w:lineRule="atLeast"/>
              <w:rPr>
                <w:rFonts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 xml:space="preserve"> 否 </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606"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p>
        </w:tc>
        <w:tc>
          <w:tcPr>
            <w:tcW w:w="7517" w:type="dxa"/>
            <w:vAlign w:val="center"/>
          </w:tcPr>
          <w:p>
            <w:pPr>
              <w:spacing w:line="240" w:lineRule="atLeast"/>
              <w:rPr>
                <w:rFonts w:ascii="宋体" w:hAnsi="宋体" w:cs="宋体"/>
                <w:b/>
                <w:bCs/>
                <w:szCs w:val="21"/>
              </w:rPr>
            </w:pPr>
            <w:r>
              <w:rPr>
                <w:rFonts w:ascii="宋体" w:hAnsi="宋体" w:cs="宋体"/>
                <w:b/>
                <w:bCs/>
                <w:szCs w:val="21"/>
              </w:rPr>
              <w:t>本项目实行电子招投标，供应商需要使用CA加密设备，凡参加本项目须自行购买与政采云平台完成对接的CA设备，如需购买新疆CA可访问新疆数字证书认证中心官方网站（</w:t>
            </w:r>
            <w:r>
              <w:rPr>
                <w:rFonts w:ascii="宋体" w:hAnsi="宋体" w:cs="宋体"/>
                <w:b/>
                <w:bCs/>
                <w:szCs w:val="21"/>
              </w:rPr>
              <w:drawing>
                <wp:inline distT="0" distB="0" distL="0" distR="0">
                  <wp:extent cx="189865" cy="142240"/>
                  <wp:effectExtent l="0" t="0" r="0" b="0"/>
                  <wp:docPr id="1" name="图片 2" descr="IMG_256"/>
                  <wp:cNvGraphicFramePr/>
                  <a:graphic xmlns:a="http://schemas.openxmlformats.org/drawingml/2006/main">
                    <a:graphicData uri="http://schemas.openxmlformats.org/drawingml/2006/picture">
                      <pic:pic xmlns:pic="http://schemas.openxmlformats.org/drawingml/2006/picture">
                        <pic:nvPicPr>
                          <pic:cNvPr id="1" name="图片 2" descr="IMG_256"/>
                          <pic:cNvPicPr/>
                        </pic:nvPicPr>
                        <pic:blipFill>
                          <a:blip r:embed="rId16">
                            <a:extLst>
                              <a:ext uri="{28A0092B-C50C-407E-A947-70E740481C1C}">
                                <a14:useLocalDpi xmlns:a14="http://schemas.microsoft.com/office/drawing/2010/main" val="0"/>
                              </a:ext>
                            </a:extLst>
                          </a:blip>
                          <a:srcRect/>
                          <a:stretch>
                            <a:fillRect/>
                          </a:stretch>
                        </pic:blipFill>
                        <pic:spPr>
                          <a:xfrm>
                            <a:off x="0" y="0"/>
                            <a:ext cx="189865" cy="142240"/>
                          </a:xfrm>
                          <a:prstGeom prst="rect">
                            <a:avLst/>
                          </a:prstGeom>
                          <a:noFill/>
                          <a:ln>
                            <a:noFill/>
                          </a:ln>
                        </pic:spPr>
                      </pic:pic>
                    </a:graphicData>
                  </a:graphic>
                </wp:inline>
              </w:drawing>
            </w:r>
            <w:r>
              <w:rPr>
                <w:rFonts w:ascii="宋体" w:hAnsi="宋体" w:cs="宋体"/>
                <w:b/>
                <w:bCs/>
                <w:szCs w:val="21"/>
              </w:rPr>
              <w:t>https://www.xjca.com.cn/）或下载“新疆政务通”APP自行进行申领，也可以到其全疆各服务机构现场办理，喀什办理地址：喀什地区行政服务中心二楼182-185号窗口，联系电话：15001465669，0991-2819290。如已有兵团或公共资源使用的新疆CA，也可与新疆CA联系，申请增加电子证书即可，无需重复申领。</w:t>
            </w:r>
          </w:p>
          <w:p>
            <w:pPr>
              <w:spacing w:line="240" w:lineRule="atLeast"/>
              <w:rPr>
                <w:rFonts w:ascii="宋体" w:hAnsi="宋体" w:cs="宋体"/>
                <w:b/>
                <w:bCs/>
                <w:szCs w:val="21"/>
              </w:rPr>
            </w:pPr>
            <w:r>
              <w:rPr>
                <w:rFonts w:ascii="宋体" w:hAnsi="宋体" w:cs="宋体"/>
                <w:b/>
                <w:bCs/>
                <w:szCs w:val="21"/>
              </w:rPr>
              <w:t>（1）各供应商应在开标前确保成为新疆维吾尔自治区政府采购网正式注册入库供应商，并完成CA数字证书申领。因未注册入库、未办理CA数字证书等原因造成无法投标或投标失败等后果由供应商自行承担。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240" w:lineRule="atLeast"/>
              <w:rPr>
                <w:rFonts w:ascii="宋体" w:hAnsi="宋体" w:cs="宋体"/>
                <w:b/>
                <w:bCs/>
                <w:szCs w:val="21"/>
              </w:rPr>
            </w:pPr>
            <w:r>
              <w:rPr>
                <w:rFonts w:ascii="宋体" w:hAnsi="宋体" w:cs="宋体"/>
                <w:b/>
                <w:bCs/>
                <w:szCs w:val="21"/>
              </w:rPr>
              <w:t>（2）供应商须登录政采云平台申请获取</w:t>
            </w:r>
            <w:r>
              <w:rPr>
                <w:rFonts w:hint="eastAsia" w:ascii="宋体" w:hAnsi="宋体" w:cs="宋体"/>
                <w:b/>
                <w:bCs/>
                <w:szCs w:val="21"/>
              </w:rPr>
              <w:t>招标文件</w:t>
            </w:r>
            <w:r>
              <w:rPr>
                <w:rFonts w:ascii="宋体" w:hAnsi="宋体" w:cs="宋体"/>
                <w:b/>
                <w:bCs/>
                <w:szCs w:val="21"/>
              </w:rPr>
              <w:t>，提前下载并安装政采云投标客户端、CA驱动程序后，通过政采云电子投标客户端制作</w:t>
            </w:r>
            <w:r>
              <w:rPr>
                <w:rFonts w:hint="eastAsia" w:ascii="宋体" w:hAnsi="宋体" w:cs="宋体"/>
                <w:b/>
                <w:bCs/>
                <w:szCs w:val="21"/>
              </w:rPr>
              <w:t>投标文件</w:t>
            </w:r>
            <w:r>
              <w:rPr>
                <w:rFonts w:ascii="宋体" w:hAnsi="宋体" w:cs="宋体"/>
                <w:b/>
                <w:bCs/>
                <w:szCs w:val="21"/>
              </w:rPr>
              <w:t>，同时自行承担与投标有关的一切费用。</w:t>
            </w:r>
          </w:p>
          <w:p>
            <w:pPr>
              <w:spacing w:line="240" w:lineRule="atLeast"/>
              <w:rPr>
                <w:rFonts w:ascii="宋体" w:hAnsi="宋体" w:cs="宋体"/>
                <w:b/>
                <w:bCs/>
                <w:szCs w:val="21"/>
              </w:rPr>
            </w:pPr>
            <w:r>
              <w:rPr>
                <w:rFonts w:ascii="宋体" w:hAnsi="宋体" w:cs="宋体"/>
                <w:b/>
                <w:bCs/>
                <w:szCs w:val="21"/>
              </w:rPr>
              <w:t>（3）供应商在使用政采云投标客户端时，建议使用WIN7（64位）及以上操作系统。客户端和驱动程序请至新疆政府采购网（</w:t>
            </w:r>
            <w:r>
              <w:rPr>
                <w:rFonts w:ascii="宋体" w:hAnsi="宋体" w:cs="宋体"/>
                <w:b/>
                <w:bCs/>
                <w:szCs w:val="21"/>
              </w:rPr>
              <w:drawing>
                <wp:inline distT="0" distB="0" distL="0" distR="0">
                  <wp:extent cx="189865" cy="142240"/>
                  <wp:effectExtent l="0" t="0" r="0" b="0"/>
                  <wp:docPr id="2" name="图片 3" descr="IMG_257"/>
                  <wp:cNvGraphicFramePr/>
                  <a:graphic xmlns:a="http://schemas.openxmlformats.org/drawingml/2006/main">
                    <a:graphicData uri="http://schemas.openxmlformats.org/drawingml/2006/picture">
                      <pic:pic xmlns:pic="http://schemas.openxmlformats.org/drawingml/2006/picture">
                        <pic:nvPicPr>
                          <pic:cNvPr id="2" name="图片 3" descr="IMG_257"/>
                          <pic:cNvPicPr/>
                        </pic:nvPicPr>
                        <pic:blipFill>
                          <a:blip r:embed="rId16">
                            <a:extLst>
                              <a:ext uri="{28A0092B-C50C-407E-A947-70E740481C1C}">
                                <a14:useLocalDpi xmlns:a14="http://schemas.microsoft.com/office/drawing/2010/main" val="0"/>
                              </a:ext>
                            </a:extLst>
                          </a:blip>
                          <a:srcRect/>
                          <a:stretch>
                            <a:fillRect/>
                          </a:stretch>
                        </pic:blipFill>
                        <pic:spPr>
                          <a:xfrm>
                            <a:off x="0" y="0"/>
                            <a:ext cx="189865" cy="142240"/>
                          </a:xfrm>
                          <a:prstGeom prst="rect">
                            <a:avLst/>
                          </a:prstGeom>
                          <a:noFill/>
                          <a:ln>
                            <a:noFill/>
                          </a:ln>
                        </pic:spPr>
                      </pic:pic>
                    </a:graphicData>
                  </a:graphic>
                </wp:inline>
              </w:drawing>
            </w:r>
            <w:r>
              <w:rPr>
                <w:rFonts w:ascii="宋体" w:hAnsi="宋体" w:cs="宋体"/>
                <w:b/>
                <w:bCs/>
                <w:szCs w:val="21"/>
              </w:rPr>
              <w:t>http://www.ccgp-xinjiang.gov.cn/）下载专区查看，如有问题可拨打政采云客户服务热线400-881-7190进行咨询。如因供应商自身原因导致在规定时间内无法正常解密的（如：浏览器故障、未安装客户端和相关驱动、网络故障、加密CA与解密CA不一致等），采购中心/代理机构不予异常处理，视为供应商自动弃标。</w:t>
            </w:r>
          </w:p>
          <w:p>
            <w:pPr>
              <w:spacing w:line="240" w:lineRule="atLeast"/>
              <w:rPr>
                <w:rFonts w:ascii="宋体" w:hAnsi="宋体" w:cs="宋体"/>
                <w:b/>
                <w:bCs/>
                <w:szCs w:val="21"/>
              </w:rPr>
            </w:pPr>
            <w:r>
              <w:rPr>
                <w:rFonts w:ascii="宋体" w:hAnsi="宋体" w:cs="宋体"/>
                <w:b/>
                <w:bCs/>
                <w:szCs w:val="21"/>
              </w:rPr>
              <w:t>（4）本项目采用不见面开标，供应商须在投标截止时间前通过CA在政采云平台上传加密的电子</w:t>
            </w:r>
            <w:r>
              <w:rPr>
                <w:rFonts w:hint="eastAsia" w:ascii="宋体" w:hAnsi="宋体" w:cs="宋体"/>
                <w:b/>
                <w:bCs/>
                <w:szCs w:val="21"/>
              </w:rPr>
              <w:t>投标文件</w:t>
            </w:r>
            <w:r>
              <w:rPr>
                <w:rFonts w:ascii="宋体" w:hAnsi="宋体" w:cs="宋体"/>
                <w:b/>
                <w:bCs/>
                <w:szCs w:val="21"/>
              </w:rPr>
              <w:t>。备注：供应商对不见面开评标系统的技术操作咨询，可通过</w:t>
            </w:r>
            <w:r>
              <w:rPr>
                <w:rFonts w:ascii="宋体" w:hAnsi="宋体" w:cs="宋体"/>
                <w:b/>
                <w:bCs/>
                <w:szCs w:val="21"/>
              </w:rPr>
              <w:drawing>
                <wp:inline distT="0" distB="0" distL="0" distR="0">
                  <wp:extent cx="189865" cy="142240"/>
                  <wp:effectExtent l="0" t="0" r="0" b="0"/>
                  <wp:docPr id="3" name="图片 4" descr="IMG_258"/>
                  <wp:cNvGraphicFramePr/>
                  <a:graphic xmlns:a="http://schemas.openxmlformats.org/drawingml/2006/main">
                    <a:graphicData uri="http://schemas.openxmlformats.org/drawingml/2006/picture">
                      <pic:pic xmlns:pic="http://schemas.openxmlformats.org/drawingml/2006/picture">
                        <pic:nvPicPr>
                          <pic:cNvPr id="3" name="图片 4" descr="IMG_258"/>
                          <pic:cNvPicPr/>
                        </pic:nvPicPr>
                        <pic:blipFill>
                          <a:blip r:embed="rId16">
                            <a:extLst>
                              <a:ext uri="{28A0092B-C50C-407E-A947-70E740481C1C}">
                                <a14:useLocalDpi xmlns:a14="http://schemas.microsoft.com/office/drawing/2010/main" val="0"/>
                              </a:ext>
                            </a:extLst>
                          </a:blip>
                          <a:srcRect/>
                          <a:stretch>
                            <a:fillRect/>
                          </a:stretch>
                        </pic:blipFill>
                        <pic:spPr>
                          <a:xfrm>
                            <a:off x="0" y="0"/>
                            <a:ext cx="189865" cy="142240"/>
                          </a:xfrm>
                          <a:prstGeom prst="rect">
                            <a:avLst/>
                          </a:prstGeom>
                          <a:noFill/>
                          <a:ln>
                            <a:noFill/>
                          </a:ln>
                        </pic:spPr>
                      </pic:pic>
                    </a:graphicData>
                  </a:graphic>
                </wp:inline>
              </w:drawing>
            </w:r>
            <w:r>
              <w:rPr>
                <w:rFonts w:ascii="宋体" w:hAnsi="宋体" w:cs="宋体"/>
                <w:b/>
                <w:bCs/>
                <w:szCs w:val="21"/>
              </w:rPr>
              <w:t>https://edu.zcygov.cn/luban/xinjiang-e-biding自助查询，也可在政采云帮助中心常见问题解答和操作流程讲解视频中自助查询，网址为：</w:t>
            </w:r>
            <w:r>
              <w:rPr>
                <w:rFonts w:ascii="宋体" w:hAnsi="宋体" w:cs="宋体"/>
                <w:b/>
                <w:bCs/>
                <w:szCs w:val="21"/>
              </w:rPr>
              <w:drawing>
                <wp:inline distT="0" distB="0" distL="0" distR="0">
                  <wp:extent cx="189865" cy="142240"/>
                  <wp:effectExtent l="0" t="0" r="0" b="0"/>
                  <wp:docPr id="4" name="图片 5" descr="IMG_259"/>
                  <wp:cNvGraphicFramePr/>
                  <a:graphic xmlns:a="http://schemas.openxmlformats.org/drawingml/2006/main">
                    <a:graphicData uri="http://schemas.openxmlformats.org/drawingml/2006/picture">
                      <pic:pic xmlns:pic="http://schemas.openxmlformats.org/drawingml/2006/picture">
                        <pic:nvPicPr>
                          <pic:cNvPr id="4" name="图片 5" descr="IMG_259"/>
                          <pic:cNvPicPr/>
                        </pic:nvPicPr>
                        <pic:blipFill>
                          <a:blip r:embed="rId16">
                            <a:extLst>
                              <a:ext uri="{28A0092B-C50C-407E-A947-70E740481C1C}">
                                <a14:useLocalDpi xmlns:a14="http://schemas.microsoft.com/office/drawing/2010/main" val="0"/>
                              </a:ext>
                            </a:extLst>
                          </a:blip>
                          <a:srcRect/>
                          <a:stretch>
                            <a:fillRect/>
                          </a:stretch>
                        </pic:blipFill>
                        <pic:spPr>
                          <a:xfrm>
                            <a:off x="0" y="0"/>
                            <a:ext cx="189865" cy="142240"/>
                          </a:xfrm>
                          <a:prstGeom prst="rect">
                            <a:avLst/>
                          </a:prstGeom>
                          <a:noFill/>
                          <a:ln>
                            <a:noFill/>
                          </a:ln>
                        </pic:spPr>
                      </pic:pic>
                    </a:graphicData>
                  </a:graphic>
                </wp:inline>
              </w:drawing>
            </w:r>
            <w:r>
              <w:rPr>
                <w:rFonts w:ascii="宋体" w:hAnsi="宋体" w:cs="宋体"/>
                <w:b/>
                <w:bCs/>
                <w:szCs w:val="21"/>
              </w:rPr>
              <w:t>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w:t>
            </w:r>
          </w:p>
          <w:p>
            <w:pPr>
              <w:spacing w:line="240" w:lineRule="atLeast"/>
              <w:rPr>
                <w:rFonts w:ascii="仿宋_GB2312" w:eastAsia="仿宋_GB2312"/>
                <w:sz w:val="24"/>
              </w:rPr>
            </w:pPr>
            <w:r>
              <w:rPr>
                <w:rFonts w:ascii="宋体" w:hAnsi="宋体" w:cs="宋体"/>
                <w:b/>
                <w:bCs/>
                <w:szCs w:val="21"/>
              </w:rPr>
              <w:t>（5）供应商在开标前须提前配置好电脑浏览器（建议使用360浏览器或谷歌浏览器），开标时请使用制作加密电子</w:t>
            </w:r>
            <w:r>
              <w:rPr>
                <w:rFonts w:hint="eastAsia" w:ascii="宋体" w:hAnsi="宋体" w:cs="宋体"/>
                <w:b/>
                <w:bCs/>
                <w:szCs w:val="21"/>
              </w:rPr>
              <w:t>投标文件</w:t>
            </w:r>
            <w:r>
              <w:rPr>
                <w:rFonts w:ascii="宋体" w:hAnsi="宋体" w:cs="宋体"/>
                <w:b/>
                <w:bCs/>
                <w:szCs w:val="21"/>
              </w:rPr>
              <w:t>的CA锁进行解密及报价确认。本项目</w:t>
            </w:r>
            <w:r>
              <w:rPr>
                <w:rFonts w:hint="eastAsia" w:ascii="宋体" w:hAnsi="宋体" w:cs="宋体"/>
                <w:b/>
                <w:bCs/>
                <w:szCs w:val="21"/>
              </w:rPr>
              <w:t>投标文件</w:t>
            </w:r>
            <w:r>
              <w:rPr>
                <w:rFonts w:ascii="宋体" w:hAnsi="宋体" w:cs="宋体"/>
                <w:b/>
                <w:bCs/>
                <w:szCs w:val="21"/>
              </w:rPr>
              <w:t>解密时间定为30分钟，如因自身原因导致无法正常解密，后果由供应商自行承担。</w:t>
            </w:r>
          </w:p>
        </w:tc>
      </w:tr>
    </w:tbl>
    <w:p>
      <w:pPr>
        <w:spacing w:line="240" w:lineRule="atLeast"/>
        <w:ind w:left="1080" w:leftChars="257" w:hanging="540"/>
        <w:rPr>
          <w:rFonts w:ascii="仿宋_GB2312" w:eastAsia="仿宋_GB2312"/>
          <w:sz w:val="24"/>
        </w:rPr>
        <w:sectPr>
          <w:headerReference r:id="rId7" w:type="default"/>
          <w:headerReference r:id="rId8" w:type="even"/>
          <w:footerReference r:id="rId9" w:type="even"/>
          <w:pgSz w:w="11906" w:h="16838"/>
          <w:pgMar w:top="1134" w:right="1417" w:bottom="1134" w:left="1417" w:header="851" w:footer="992" w:gutter="0"/>
          <w:cols w:space="720" w:num="1"/>
          <w:docGrid w:linePitch="312" w:charSpace="0"/>
        </w:sectPr>
      </w:pPr>
    </w:p>
    <w:p>
      <w:pPr>
        <w:pStyle w:val="4"/>
        <w:tabs>
          <w:tab w:val="left" w:pos="0"/>
        </w:tabs>
        <w:spacing w:before="0" w:after="0" w:line="240" w:lineRule="atLeast"/>
        <w:rPr>
          <w:rFonts w:ascii="仿宋_GB2312" w:eastAsia="仿宋_GB2312"/>
        </w:rPr>
      </w:pPr>
      <w:bookmarkStart w:id="440" w:name="_Toc9887"/>
      <w:bookmarkStart w:id="441" w:name="_Toc515647831"/>
      <w:bookmarkStart w:id="442" w:name="_Toc9032"/>
      <w:bookmarkStart w:id="443" w:name="_Toc219175638"/>
      <w:bookmarkStart w:id="444" w:name="_Toc218935354"/>
      <w:bookmarkStart w:id="445" w:name="_Toc507399906"/>
      <w:bookmarkStart w:id="446" w:name="_Toc216582825"/>
      <w:bookmarkStart w:id="447" w:name="_Toc22540"/>
      <w:bookmarkStart w:id="448" w:name="_Toc218935351"/>
      <w:bookmarkStart w:id="449" w:name="_Toc219175635"/>
      <w:bookmarkStart w:id="450" w:name="_Toc216582811"/>
      <w:bookmarkStart w:id="451" w:name="_Toc216513787"/>
      <w:r>
        <w:rPr>
          <w:rFonts w:hint="eastAsia" w:ascii="仿宋_GB2312" w:eastAsia="仿宋_GB2312"/>
        </w:rPr>
        <w:t xml:space="preserve">第5章 </w:t>
      </w:r>
      <w:bookmarkEnd w:id="440"/>
      <w:bookmarkEnd w:id="441"/>
      <w:bookmarkEnd w:id="442"/>
      <w:bookmarkEnd w:id="443"/>
      <w:bookmarkEnd w:id="444"/>
      <w:bookmarkEnd w:id="445"/>
      <w:bookmarkEnd w:id="446"/>
      <w:r>
        <w:rPr>
          <w:rFonts w:hint="eastAsia" w:ascii="仿宋_GB2312" w:eastAsia="仿宋_GB2312"/>
        </w:rPr>
        <w:t>技术及服务要求</w:t>
      </w:r>
      <w:bookmarkEnd w:id="447"/>
    </w:p>
    <w:bookmarkEnd w:id="448"/>
    <w:bookmarkEnd w:id="449"/>
    <w:bookmarkEnd w:id="450"/>
    <w:bookmarkEnd w:id="451"/>
    <w:p>
      <w:pPr>
        <w:pStyle w:val="11"/>
      </w:pPr>
      <w:bookmarkStart w:id="452" w:name="_Toc216582826"/>
      <w:bookmarkStart w:id="453" w:name="_Toc219175639"/>
      <w:bookmarkStart w:id="454" w:name="_Toc218935355"/>
      <w:r>
        <w:rPr>
          <w:rFonts w:hint="eastAsia"/>
        </w:rPr>
        <w:t>表一 设备清单</w:t>
      </w:r>
    </w:p>
    <w:p>
      <w:pPr>
        <w:pStyle w:val="12"/>
        <w:ind w:firstLine="240"/>
      </w:pPr>
      <w:r>
        <w:rPr>
          <w:rFonts w:hint="eastAsia"/>
        </w:rPr>
        <w:drawing>
          <wp:inline distT="0" distB="0" distL="0" distR="0">
            <wp:extent cx="5388610" cy="2856230"/>
            <wp:effectExtent l="9525" t="9525" r="12065" b="10795"/>
            <wp:docPr id="2601797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79766"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388610" cy="2856230"/>
                    </a:xfrm>
                    <a:prstGeom prst="rect">
                      <a:avLst/>
                    </a:prstGeom>
                    <a:noFill/>
                    <a:ln>
                      <a:solidFill>
                        <a:schemeClr val="tx1"/>
                      </a:solidFill>
                    </a:ln>
                  </pic:spPr>
                </pic:pic>
              </a:graphicData>
            </a:graphic>
          </wp:inline>
        </w:drawing>
      </w:r>
    </w:p>
    <w:p/>
    <w:p>
      <w:pPr>
        <w:pStyle w:val="11"/>
      </w:pPr>
      <w:r>
        <w:rPr>
          <w:rFonts w:hint="eastAsia"/>
        </w:rPr>
        <w:t>表二 技术参数</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425"/>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tcBorders>
              <w:bottom w:val="single" w:color="auto" w:sz="4" w:space="0"/>
            </w:tcBorders>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序号</w:t>
            </w:r>
          </w:p>
        </w:tc>
        <w:tc>
          <w:tcPr>
            <w:tcW w:w="767" w:type="pct"/>
            <w:tcBorders>
              <w:bottom w:val="single" w:color="auto" w:sz="4" w:space="0"/>
            </w:tcBorders>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设备名称</w:t>
            </w:r>
          </w:p>
        </w:tc>
        <w:tc>
          <w:tcPr>
            <w:tcW w:w="3797" w:type="pct"/>
            <w:vAlign w:val="center"/>
          </w:tcPr>
          <w:p>
            <w:pPr>
              <w:spacing w:line="300" w:lineRule="exact"/>
              <w:jc w:val="center"/>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tcBorders>
              <w:top w:val="single" w:color="auto" w:sz="4" w:space="0"/>
            </w:tcBorders>
            <w:shd w:val="clear" w:color="auto" w:fill="auto"/>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w:t>
            </w:r>
            <w:r>
              <w:rPr>
                <w:rFonts w:ascii="方正仿宋_GBK" w:hAnsi="方正仿宋_GBK" w:eastAsia="方正仿宋_GBK" w:cs="方正仿宋_GBK"/>
                <w:spacing w:val="10"/>
                <w:sz w:val="24"/>
              </w:rPr>
              <w:t>-1</w:t>
            </w:r>
          </w:p>
        </w:tc>
        <w:tc>
          <w:tcPr>
            <w:tcW w:w="767" w:type="pct"/>
            <w:tcBorders>
              <w:top w:val="single" w:color="auto" w:sz="4" w:space="0"/>
            </w:tcBorders>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数字化场景应用实训平台设备</w:t>
            </w:r>
          </w:p>
        </w:tc>
        <w:tc>
          <w:tcPr>
            <w:tcW w:w="379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本平台包含数字化场景应用统一教学管理平台、5G技术原理类、5G技术设备安装类、5G技术设计类、5G技术规划类等多个模块，其中统一教学管理平台要求如下：</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1、平台基于B/S架构模式，支持手机APP/PC端网页接入，系统包含学生端和教师端独立的功能界面。不少于支持50个并发。</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2、支持学生账号管理、班级管理、课程管理（课程管理，编辑及下发）、实验管理（在线实验管理、实验编辑及下发），以信息化技术手段服务日常教学管理。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3、为教师提供多样化的教学资源及资源管理，立足颗粒化知识架构，整合微课、动画、微实验、教辅教材等多项配套服务资源的在线管理，基于后台智能数据分析、教学资源动态管理。</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4、统一教学管理平台要能为教师提供教学管理模块功能，包括课程管理模块功能、测评管理模块功能、学生学习情况分析模块功能。（1）课程管理模块功能为教师提供课前、课堂或课后的学习资源内容，所选的学习内容均与资源库内容联动；（2）测评管理模块功能，教师选择题库下发，学生可根据教师下发的题库进行测试；（3）学生学习情况分析模块功能包含个体学生学习情况统计，也可对班级或某一指定范围内学生的学习情况进行统计。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统一教学管理平台要能为学生提供学习模块功能，包括课程理论学习服务以及测试考试服务、微实验实训服务。（1）课程理论学习为学生学习教师提供的课前、课堂或课后的学习资源内容，所选的学习内容均与资源库内容联动。（2）测评考试服务，学生可根据教师下发的题库进行测试；（3）微实验实训服务，利用程序仿真实现理论知识的场景化应用，引导学生运用本节理论知识完成实际场景应用。</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5G技术原理类“微实验”模块要求如下：</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6、5G技术原理类“微实验”模块提供不少于6个基础原理实验，满足12个课时的教学需求。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7、5G NR SSB时频资源配置实验项目 需支持主要考察SSB块组成、SSB块时频资源位置、PointA频点与SSB频点的联系、SSB块与帧结构对应关系、SSB块与波束对应关系及SSB块部署规范等理论知识，包含SSB块时频计算、SSB块资源配置与波束检测三个步骤，依照给定规划参数计算完成后，通过资源块拖放可实现SSB块快速部署，并可在波束检测以3D形式进行结果呈现。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8、5G NR物理层PDSCH处理流程实验项目 需支持以5G NR下行业务信道PDSCH的处理流程作为一个典型案例，选取此流程中几个具有代表性的模块进行实验设计，体现5G NR信道处理过程中加扰、调制、层映射、资源映射等模块的功能及其实现方式。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9、5G NR时域帧结构实验项目 需支持NR TDD制式5G网络时域帧结构分析演示。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10、NB-IoT下行物理信道分布实验项目 需支持面向NB-IoT中NPSS、NSSS、NRS、NPBCH与NPDCCH等相关物理信号与物理信道的时频资源配置，基于3GPP R13标准化协议，基于差异化部署模式与PCI、聚合模式等参数配置。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11、NB-IoT随机接入信道时频分布实验项目 需支持以NB-IoT网络中终端随机接入为基础进行设计，包含覆盖等级定级、NPRACH时频资源配置、接入信号调试三个步骤，不同覆盖等级分别对应不同规划接入参数，不同参数配置下对应不同的帧、时隙与载波配置；支持智能水表、智能电表、智能气表与共享单车差异化参数配置。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12、IS-IS SR-BE通信验证实验项目 需支持采用SR-BE场景，进行SR相关部分的配置操作。</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5G技术设备安装类“微实验”模块要求如下：</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13、5G技术设备安装类“微实验”模块提供不少于5个设备安装及配置相关实验，满足16个课时的教学需求。</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14、IPv6 实验项目 需支持从IPV6地址的分类出发，重点考察学员对常用的全球单播地址、唯一本地地址的掌握情况，包括6个分实验：（1）两台路由器互Ping测试（全球单播地址）（2）两台路由器互Ping测试（唯一本地地址）（3）两台路由器互Ping测试（通用）（4）三台路由器互Ping测试（全球单播地址+静态路由）（5）三台路由器互Ping测试（唯一本地地址+静态路由） （6）三台路由器互Ping测试（静态路由）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15、FlexE实验项目 需支持主要包括两个分实验，FlexE_两点直连通信验证与FlexE_跨设备通信验证，每个分实验要求学员通过配置实现eMBB、URLLC、mMTC三种业务的分片硬隔离，三种业务互不影响，并保证每种业务通信正常。业务验证时对正确的配置会生成动画，自动演示FlexE技术在5G网络中的切片工作原理。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16、VXLAN实验项目需支持两个分实验：VXLAN实现相同网段互通测试验证（静态方式+基于报文流封装类型）VXLAN集中式网关部署测试验证（静态方式+基于报文流封装类型）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17、SDN实验项目需支持根据不同的匹配条件及指令，分成如下4个分实验：（1）基于in-port端口的流表（2）基于MAC地址的流表（3）基于IPV4地址的流表（4）基于VLAN操作的流表 每个分实验都可以预置不同的条件，要求学员根据不同的条件配置不同的流表，以控制OpenFlow交换机执行相应的动作，并对执行结果进行验证，在实验的同时帮助学员深化理解SDN和OpenFlow等相关技术。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18、5G 网络系统架构实验项目需支持以城市级5G网络架构为原型，包含端到端5G网络架构搭建，涵盖5G承载网、EPC核心网、5GC核心网、EUTRAN与5G NR无线网多种网络类型；同时呈现5G网络架构中SA、NSA、CRAN、DRAN、CUDU等各种组网方式。</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5G技术设计类“微实验”模块要求如下：</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19、5G技术设计类“微实验”模块提供不少于7个网络规划及覆盖相关实验，满足12个课时的教学需求。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20、5G小区选择与重选实验项目需支持无线覆盖规划和站点重选参数配置，使得终端在任意测试点都能接入小区。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21、5G小区选择与重选实验项目需支持四种站点类型，分别是NR TDD3.5G、NRTDD2.6G、LTE TDD1.9G、LTE FDD1.8G；实验需支持可设置9个测试点，选取其中一个进行信号计算和判断。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22、NB-IoT网元架构搭建实验项目需支持立足商用NB-IoT网络架构进行设计，涵盖MME、PGW、SGW、PTN、HSS、PTN、SW、SMS、SCEF、C-SGN、RT与eNodeB多种类型网元，要求用户基于标准NB-IoT网络模型完成网元连线。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23、NB-IoT室分系统部署实验项目需支持考察室分系统设备、器件及设计图纸理解。涉及RRU、BBU、功分器、耦合器、室内天线等设备的选型安装以及线缆连接。</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24、NB-IoT无线室内分布系统设计-天馈布放实验项目需支持考察根据建设要求、和实际情况完成无线室内分布系统接入的天馈布放设计图纸。再根据图纸，以及无线室内分布系统设计-原理图制作。 本实验需支持考察根据给定的天馈布放图，完成系统组网图。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25、NB-IoT无线室内分布系统设计-室分综合设计实验项目需支持考察根据现有条件，依次完成天馈设计，原理图的系统组网图设计、工程量估算和投资估算工作。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26、NB-IoT无线室内分布系统设计-投资估算实验项目需根据给定的天馈布放图，完成工程量估算以及投资估算。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5G技术规划类“微实验”模块技术要求：</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27、5G技术规划类“微实验”模块提供不少于4个网络规划及覆盖相关实验，满足8个课时的教学需求。</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28、物联网基站部署及待机验证实验项目需支持主要考察物联网终端功耗计算原理，通过与GSM、LTE制式对比体现NB-IoT网络的低功耗优势。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29、NB-IoT覆盖增强特性链路计算实验项目需支持面向密集城区模型，进行链路预算设计，通过不同发射功率下单小区覆盖范围与单站覆盖面积对比计算，结合蜂窝小区组网模型反映不同类型增益与损耗配置对小区覆盖能力的影响。 </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30、NB-IoT站点覆盖模拟规划实验项目需支持以120°蜂窝小区定向覆盖模型为原型进行设计，包含购物中心、大学、火车站、小区、体育馆、小学及政府单位7种场景，覆盖智能停车、共享单车、POS机、智能家居与智能水电表5种终端类型，通过不同场景下小区模拟部署与下倾角、方位角及重传次数配置。</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 xml:space="preserve"> 31、基于容量规划的NB-IoT站点模拟部署实验项目需支持基于NPRACH、NPUSCH于NPDSCH信道容量计算结果，包含均匀覆盖5:3:2与全近点10:0:0两种终端分布模型，在不同场景下完成蜂窝小区部署，充分考察不同覆盖等级终端对下倾角、频点、模型及方位角的需求，以及接入成功率、CPU负荷与覆盖率对部署结果进行实时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shd w:val="clear" w:color="auto" w:fill="auto"/>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1-2</w:t>
            </w:r>
          </w:p>
        </w:tc>
        <w:tc>
          <w:tcPr>
            <w:tcW w:w="76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5G站点设计与开发实训平台设备</w:t>
            </w:r>
          </w:p>
        </w:tc>
        <w:tc>
          <w:tcPr>
            <w:tcW w:w="3797" w:type="pct"/>
            <w:shd w:val="clear" w:color="auto" w:fill="FFFFFF"/>
            <w:vAlign w:val="center"/>
          </w:tcPr>
          <w:p>
            <w:pPr>
              <w:spacing w:line="300" w:lineRule="exact"/>
              <w:rPr>
                <w:rFonts w:ascii="方正仿宋_GBK" w:hAnsi="方正仿宋_GBK" w:eastAsia="方正仿宋_GBK" w:cs="方正仿宋_GBK"/>
                <w:b/>
                <w:bCs/>
                <w:spacing w:val="10"/>
                <w:sz w:val="24"/>
              </w:rPr>
            </w:pPr>
            <w:r>
              <w:rPr>
                <w:rFonts w:hint="eastAsia" w:ascii="方正仿宋_GBK" w:hAnsi="方正仿宋_GBK" w:eastAsia="方正仿宋_GBK" w:cs="方正仿宋_GBK"/>
                <w:b/>
                <w:bCs/>
                <w:spacing w:val="10"/>
                <w:sz w:val="24"/>
              </w:rPr>
              <w:t>一、5G基站工程实训承载平台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 5G基站工程实训承载平台遵循GB/T 51431-2020 移动通信基站工程技术标准，支持工勘、设计、安装、变更、安全记录、验收等全流程工程实训。</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2、支持室内室外等多场景安装实训。</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3、支持重复拆装实训，每个承载模块，带有密集安装螺纹孔，可以使用螺丝安装固定设备或者仪器。</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可模拟室内基站机房和室外女儿墙施工建设环境。通信机房承载平台呈U型，正面高度*宽度*深度不少于2.4米*0.7米*2.4米，带有水平走线架和垂直走线架。走线架为铝合金材质，宽度大于35cm,水平走线架长度大于1米，垂直走线架长度大于2米。女儿墙承载平台呈“L”型，模拟女儿墙，一侧用于室外线缆接入实训，一侧用于AAU安装调试实训，高度宽度深度不少于1.2米*1.5米*1.5米。</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5、标准模块化设计，单模块重量不超过15公斤，可根据实训人数的不同灵活拼装，节省空间。</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 采用Q235钢材焊接拼装，拼装精度毫米级≤0.5mm，外观表面采用高温烤漆工艺，整体简洁大气，盐雾测试≥48小时，所有生产环节及工艺符合RoHs标准检测要求。</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7、 设备安装位置应便于线缆布放及维护操作且不影响机房整体美观。</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8、 设备的各种线缆宜通过走线架、线槽、保护管等进行布放，注意线缆的布放绑扎应整齐、规范、美观。</w:t>
            </w:r>
          </w:p>
          <w:p>
            <w:pPr>
              <w:spacing w:line="300" w:lineRule="exact"/>
              <w:rPr>
                <w:rFonts w:ascii="方正仿宋_GBK" w:hAnsi="方正仿宋_GBK" w:eastAsia="方正仿宋_GBK" w:cs="方正仿宋_GBK"/>
                <w:b/>
                <w:bCs/>
                <w:spacing w:val="10"/>
                <w:sz w:val="24"/>
              </w:rPr>
            </w:pPr>
            <w:r>
              <w:rPr>
                <w:rFonts w:hint="eastAsia" w:ascii="方正仿宋_GBK" w:hAnsi="方正仿宋_GBK" w:eastAsia="方正仿宋_GBK" w:cs="方正仿宋_GBK"/>
                <w:b/>
                <w:bCs/>
                <w:spacing w:val="10"/>
                <w:sz w:val="24"/>
              </w:rPr>
              <w:t>二、5G基站工程综合控制机柜实训模块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1、综合控制机柜不少于1台，高度不低于1.8米，基站通信设备安装于标准19英寸嵌入式通信机柜内，便于线缆布放及维护操作。</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2、简易版本BBU不少于1套，BBU带有主控板，基带板，DC48V电源接入模块，风扇模块。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2.1 尺寸不大于100mmx600mmx300mm(高x宽x深)</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2.2 供电方式为直流-48V</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w:t>
            </w:r>
            <w:r>
              <w:rPr>
                <w:rFonts w:ascii="方正仿宋_GBK" w:hAnsi="方正仿宋_GBK" w:eastAsia="方正仿宋_GBK" w:cs="方正仿宋_GBK"/>
                <w:spacing w:val="10"/>
                <w:sz w:val="24"/>
              </w:rPr>
              <w:t>3</w:t>
            </w:r>
            <w:r>
              <w:rPr>
                <w:rFonts w:hint="eastAsia" w:ascii="方正仿宋_GBK" w:hAnsi="方正仿宋_GBK" w:eastAsia="方正仿宋_GBK" w:cs="方正仿宋_GBK"/>
                <w:spacing w:val="10"/>
                <w:sz w:val="24"/>
              </w:rPr>
              <w:t xml:space="preserve"> 安装方式为标准19英寸嵌入式机柜安装。</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w:t>
            </w:r>
            <w:r>
              <w:rPr>
                <w:rFonts w:ascii="方正仿宋_GBK" w:hAnsi="方正仿宋_GBK" w:eastAsia="方正仿宋_GBK" w:cs="方正仿宋_GBK"/>
                <w:spacing w:val="10"/>
                <w:sz w:val="24"/>
              </w:rPr>
              <w:t>4</w:t>
            </w:r>
            <w:r>
              <w:rPr>
                <w:rFonts w:hint="eastAsia" w:ascii="方正仿宋_GBK" w:hAnsi="方正仿宋_GBK" w:eastAsia="方正仿宋_GBK" w:cs="方正仿宋_GBK"/>
                <w:spacing w:val="10"/>
                <w:sz w:val="24"/>
              </w:rPr>
              <w:t xml:space="preserve"> 简易BBU带有通电指示灯和光纤通信指示灯。</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w:t>
            </w:r>
            <w:r>
              <w:rPr>
                <w:rFonts w:ascii="方正仿宋_GBK" w:hAnsi="方正仿宋_GBK" w:eastAsia="方正仿宋_GBK" w:cs="方正仿宋_GBK"/>
                <w:spacing w:val="10"/>
                <w:sz w:val="24"/>
              </w:rPr>
              <w:t>5</w:t>
            </w:r>
            <w:r>
              <w:rPr>
                <w:rFonts w:hint="eastAsia" w:ascii="方正仿宋_GBK" w:hAnsi="方正仿宋_GBK" w:eastAsia="方正仿宋_GBK" w:cs="方正仿宋_GBK"/>
                <w:spacing w:val="10"/>
                <w:sz w:val="24"/>
              </w:rPr>
              <w:t xml:space="preserve"> 主控板带有接口不少于1个GPS射频接口、1个光纤收发接口。</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w:t>
            </w:r>
            <w:r>
              <w:rPr>
                <w:rFonts w:ascii="方正仿宋_GBK" w:hAnsi="方正仿宋_GBK" w:eastAsia="方正仿宋_GBK" w:cs="方正仿宋_GBK"/>
                <w:spacing w:val="10"/>
                <w:sz w:val="24"/>
              </w:rPr>
              <w:t>6</w:t>
            </w:r>
            <w:r>
              <w:rPr>
                <w:rFonts w:hint="eastAsia" w:ascii="方正仿宋_GBK" w:hAnsi="方正仿宋_GBK" w:eastAsia="方正仿宋_GBK" w:cs="方正仿宋_GBK"/>
                <w:spacing w:val="10"/>
                <w:sz w:val="24"/>
              </w:rPr>
              <w:t xml:space="preserve"> 基带板带有不少于3个光纤收发接口，可与AAU相连接。</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3、ODF光配线架不少于48口，可安装与19英寸机柜。</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4、走线导风插箱不少于1套，高度不超过1U， 带有GPS内置避雷器，并具备走线散热功能。</w:t>
            </w:r>
          </w:p>
          <w:p>
            <w:pPr>
              <w:spacing w:line="300" w:lineRule="exact"/>
              <w:rPr>
                <w:rFonts w:ascii="方正仿宋_GBK" w:hAnsi="方正仿宋_GBK" w:eastAsia="方正仿宋_GBK" w:cs="方正仿宋_GBK"/>
                <w:b/>
                <w:bCs/>
                <w:spacing w:val="10"/>
                <w:sz w:val="24"/>
              </w:rPr>
            </w:pPr>
            <w:r>
              <w:rPr>
                <w:rFonts w:hint="eastAsia" w:ascii="方正仿宋_GBK" w:hAnsi="方正仿宋_GBK" w:eastAsia="方正仿宋_GBK" w:cs="方正仿宋_GBK"/>
                <w:b/>
                <w:bCs/>
                <w:spacing w:val="10"/>
                <w:sz w:val="24"/>
              </w:rPr>
              <w:t>三、5G基站工程供电系统实训模块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1、交流分配单元不少于1套，不小于32A。可安装于19英寸机柜，占位空间不超过3U；可用于通信电源交流电供电接入实训，带有交流电三孔输出模块。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2、交直流转换单元不少于1套，输入电压AC 220V，额定输出电压DC-48V。</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3、直流分配单元不少于1套，不少于9路输出，每路带有单独开关控制。</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4、模拟蓄电池，不少于2组，带有数显直流电压表可显示工作电压，显示额定电压范围5V-60V，为保障操作安全，在无外接电源情况下，无储能及无电流输出。</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6、接地铜排不少于2套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6.1 安装孔距不低于50mm</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6.2 尺寸（高宽深）不小于30*500*3mm</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6.3 材质为紫铜</w:t>
            </w:r>
          </w:p>
          <w:p>
            <w:pPr>
              <w:spacing w:line="300" w:lineRule="exact"/>
              <w:rPr>
                <w:rFonts w:ascii="方正仿宋_GBK" w:hAnsi="方正仿宋_GBK" w:eastAsia="方正仿宋_GBK" w:cs="方正仿宋_GBK"/>
                <w:b/>
                <w:bCs/>
                <w:spacing w:val="10"/>
                <w:sz w:val="24"/>
              </w:rPr>
            </w:pPr>
            <w:r>
              <w:rPr>
                <w:rFonts w:hint="eastAsia" w:ascii="方正仿宋_GBK" w:hAnsi="方正仿宋_GBK" w:eastAsia="方正仿宋_GBK" w:cs="方正仿宋_GBK"/>
                <w:b/>
                <w:bCs/>
                <w:spacing w:val="10"/>
                <w:sz w:val="24"/>
              </w:rPr>
              <w:t>四、5G基站工程室外安装实训模块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1、模拟版本AAU,不少于2个</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1.1 尺寸不大于750mmx400mmx150mm(高x宽x深)</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1.2 供电方式为直流-48V</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1.3 防水单模光纤接口</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1.4 设备带有电源工作指示灯和通信工作指示灯，设备做防雷接地保护。</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 抱杆，抱杆为金属材质，直径不小于50mm,抱杆高度不大于2400mm,不小于1800mm，抱杆顶部带有避雷针连接平台，数量不少于2个。</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3、抱杆底座，不少于2个</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4、GPS天线，数量不少于1个，可通过馈线通过避雷器最终连接到BBU上。</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5、GPS天线安装夹具，不少于1套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6、避雷针，不少于1个，不锈钢避雷针安装在抱杆上，通过纯铜接地线连接到接地棒上，确保模拟AAU设备处于45度保护范围内，并可靠接地。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7、AAU安装夹具，倾角角度可调节正负15度，不少于2套。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8、馈线接地卡，不少于1套。</w:t>
            </w:r>
          </w:p>
          <w:p>
            <w:pPr>
              <w:spacing w:line="300" w:lineRule="exact"/>
              <w:rPr>
                <w:rFonts w:ascii="方正仿宋_GBK" w:hAnsi="方正仿宋_GBK" w:eastAsia="方正仿宋_GBK" w:cs="方正仿宋_GBK"/>
                <w:b/>
                <w:bCs/>
                <w:spacing w:val="10"/>
                <w:sz w:val="24"/>
              </w:rPr>
            </w:pPr>
            <w:r>
              <w:rPr>
                <w:rFonts w:hint="eastAsia" w:ascii="方正仿宋_GBK" w:hAnsi="方正仿宋_GBK" w:eastAsia="方正仿宋_GBK" w:cs="方正仿宋_GBK"/>
                <w:b/>
                <w:bCs/>
                <w:spacing w:val="10"/>
                <w:sz w:val="24"/>
              </w:rPr>
              <w:t>五、5G基站工程室内分布系统实训模块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1、模拟版本RRU设备，不少于1个</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1.1 天线按照标准站型规划，星型连接</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1.2 尺寸不大于400mmx200mmx80mm(高x宽x深)</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1.3 供电方式为直流-48V</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w:t>
            </w:r>
            <w:r>
              <w:rPr>
                <w:rFonts w:ascii="方正仿宋_GBK" w:hAnsi="方正仿宋_GBK" w:eastAsia="方正仿宋_GBK" w:cs="方正仿宋_GBK"/>
                <w:spacing w:val="10"/>
                <w:sz w:val="24"/>
              </w:rPr>
              <w:t>4</w:t>
            </w:r>
            <w:r>
              <w:rPr>
                <w:rFonts w:hint="eastAsia" w:ascii="方正仿宋_GBK" w:hAnsi="方正仿宋_GBK" w:eastAsia="方正仿宋_GBK" w:cs="方正仿宋_GBK"/>
                <w:spacing w:val="10"/>
                <w:sz w:val="24"/>
              </w:rPr>
              <w:t xml:space="preserve"> 设备通电后，带有电源指示灯和通信指示灯，设备做防雷接地保护。</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w:t>
            </w:r>
            <w:r>
              <w:rPr>
                <w:rFonts w:ascii="方正仿宋_GBK" w:hAnsi="方正仿宋_GBK" w:eastAsia="方正仿宋_GBK" w:cs="方正仿宋_GBK"/>
                <w:spacing w:val="10"/>
                <w:sz w:val="24"/>
              </w:rPr>
              <w:t>5</w:t>
            </w:r>
            <w:r>
              <w:rPr>
                <w:rFonts w:hint="eastAsia" w:ascii="方正仿宋_GBK" w:hAnsi="方正仿宋_GBK" w:eastAsia="方正仿宋_GBK" w:cs="方正仿宋_GBK"/>
                <w:spacing w:val="10"/>
                <w:sz w:val="24"/>
              </w:rPr>
              <w:t xml:space="preserve"> RRU安装夹具，倾角角度可调节正负15度，不少于1套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b/>
                <w:bCs/>
                <w:spacing w:val="10"/>
                <w:sz w:val="24"/>
              </w:rPr>
              <w:t>六、5G基站工程实训工具</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1、专用实训配套工具：</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1.1十字螺丝刀套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1.2 活动扳手组1套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1.3 自动剥线钳1套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1.4 VE端子钳1把，</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1.5 OT开口铜鼻子压线钳1把</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1.6 数字万用表1台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1.7 钢卷尺1把</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1.8 c45插针端子钳1把</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1.9 电烙铁及桌垫</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1.10 五金工具箱（尺寸不小于40cm*30cm*10cm）</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2、线缆标签打印机，不少于1台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2.1 打印方式为热敏方式</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2.2 打印精度不低于180dbi</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2.3 标签宽度不超过50mm</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2.4 重量不高于400g</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2.5 可手机蓝牙连接控制使用，也可以独立输入字符使用</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2.6 干电池供电，或者电源适配器供电</w:t>
            </w:r>
          </w:p>
          <w:p>
            <w:pPr>
              <w:spacing w:line="300" w:lineRule="exact"/>
              <w:rPr>
                <w:rFonts w:ascii="方正仿宋_GBK" w:hAnsi="方正仿宋_GBK" w:eastAsia="方正仿宋_GBK" w:cs="方正仿宋_GBK"/>
                <w:b/>
                <w:bCs/>
                <w:spacing w:val="10"/>
                <w:sz w:val="24"/>
              </w:rPr>
            </w:pPr>
            <w:r>
              <w:rPr>
                <w:rFonts w:hint="eastAsia" w:ascii="方正仿宋_GBK" w:hAnsi="方正仿宋_GBK" w:eastAsia="方正仿宋_GBK" w:cs="方正仿宋_GBK"/>
                <w:b/>
                <w:bCs/>
                <w:spacing w:val="10"/>
                <w:sz w:val="24"/>
              </w:rPr>
              <w:t>七、耗材包</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1、实训耗材</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1.1光纤跳线不小于10条（每条不少于5米）</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1.2铜鼻子不小于6个</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1.3电源线一组两条采用2.5平软线，颜色为红，蓝，每条不小于10米</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1.4 4平黄绿接地线不小于5米</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1.5 模拟AAU和模拟RRU通讯光纤一组长度不小于10米（采用单模防水双芯成品光纤）不少于2条</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1.6 GPS天线至GPS避雷器采用成品馈线不少于10米</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1.7 VE端子不少于10个</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1.8 C45插针端子不少于5个</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1.9 导管不少于6条</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1.10 导管管卡不少于10个</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1.11 导管管90°弯头不少于6个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shd w:val="clear" w:color="auto" w:fill="auto"/>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1-3</w:t>
            </w:r>
          </w:p>
        </w:tc>
        <w:tc>
          <w:tcPr>
            <w:tcW w:w="76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5G全网建设与优化虚拟仿真实训平台设备</w:t>
            </w:r>
          </w:p>
        </w:tc>
        <w:tc>
          <w:tcPr>
            <w:tcW w:w="379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1、系统管理功能</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（1）软件基于C/S架构，采用GUI图形化操作界面，场景建模以真实工作场景为原型。</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（2）支持实训、竞技、测评模式。可用于考试、竞赛、测评、课堂学习、课后练习等多种途径。</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（3）支持竞技模式下在线团队合作与实训测评，支持两人及以上组队同时实训或竞技，支持队员之间数据实时同步。</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（4）系统预置多个实训案例与实训数据，通过读取实训项目的存档数据，可以完成实训条件的数据预置，结合对应的实训目的和要求，可以支撑完成不同层级的教学要求。</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2、网络规划功能</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（1）支持SA和NSA两种组网模式。可灵活选择Option3x、Option2、Option4a 三种协议规定的网络架构。在不同组网模式下，能够对应完成不同的网络规划、网络配置和业务验证内容。</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（2）支持5G网络拓扑规划。可完成接入层、汇聚层、核心层网络拓扑的总体设计，能够基于有限节点，结合资源池中的各类网元及设备，设计合理的网络结构，完成网元之间的线路连接。</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（3）支持基于覆盖的无线网络规划，支持使用链路预算工具和传播模型公计算出满足覆盖要求的无线规划站点数目。</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（4）支持基于容量的无线网络规划，能够结合话务速率模型和帧结构配置，计算出满足容量需求的无线规划站点数目。</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支持5G承载网的容量规划计算。包括承载接入网、承载汇聚网和承载核心网的3大模块。承载接入网支持接入环带宽和接入设备的计算；承载汇聚网支持（骨干）汇聚环带宽、（骨干）汇聚环数量的计算；承载核心网支持核心层带宽、核心层设备数量和省骨干网设备容量计算3个部分，可对其中的变量进行灵活改动。</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支持5G核心网的容量规划计算。至少包括AMF数量、UPF数量、VNF需求内存与存储和服务器数量计算4个部分。至少包括单VNF占用内存、单VNF占用存储、单AMF支持站点数目、单UPF支持站点数目、非对接无线VNF数量、单服务器内存、单服务器硬盘容量7个参数的设置，并能根据这些参数完成核心网容量规划4个部分的计算。可对其中的变量进行灵活改动。</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（7）支持多场景站点选址和多种塔型选择，支持多个候选站点灵活选择，支持在选址阶段完成基础天线参数设置，至少包括挂高、方位角、下倾角等参数。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（8）支持自动生成全局网络配置报告，便于查看各个站点的无线、承载、核心网络的参数配置情况。</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3、设备部署功能</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（1）支持无线接入机房设备选型。可灵活部署相关设备，至少包括ITBBU，BBU（NAS架构）、SPN和ODF等，并能在设备指示图中展示设备之间的连接情况。</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（2）支持ITBBU设备部署，具有高集成、多模灵活组网特点。支持4G、5G混合组网，能兼容4G、5G，实现4G、5G基带板集成部署。</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（3）CU与DU采用通用虚拟化设备。支持CU、CU分离与合设部署。</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（4）支持天馈设备选型， 至少包括GPS部署和塔顶AAU 部署。AAU至少支持4G及5G（高/低频）3种型号选择，AAU 5G支持多种类型光口的灵活选择。</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（5）支持承载网机房室内设备灵活部署。至少包括OTN、ODF、SPN、路由器和三层交换机设备安装部署，支持多种型号选择，支持5G主流速率接口。OTN支持4组合波分波系统，支持OTN帧复用与解复用。</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支持核心网机房设备选型。NSA组网模式下，可灵活选择EPC设备（包括MME、SGW、PGW、HSS）和交换机的设备安装及线缆连接；SA组网模式下，5GC核心网采用SBA服务架构，并支持NFV方式部署。支持AMF、SMF、UPF、UDM、AUSF、PCF、NSSF、NRF等8类基础网元功能。</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（7）支持设备间的线缆连接及选型，有多种线缆类型可供选择，对应不同的接口类型，符合真实工作场景，能够加深对不同线缆功能的理解。</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4.数据配置功能</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（1）支持AAU射频参数配置，可根据实际需求灵活选择不同的频段范围和AAU收发模式。</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（2）支持BBU和ITBB设备的网元配置，至少包括PLMN、网络模式、时钟同步模式、TDD/FDD网络制式、承载链路端口等。</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（3）支持网元IP地址配置和SCTP、静态路由配置，能够实现无线设备之间、无线网与核心网之间的对接，静态链路类型至少支持NG偶联、XN偶联、F1偶联、E1偶联。</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（4）支持4/5G小区无线参数配置，至少包括小区标识、跟踪区码（TAC）、物理小区识别码（PCI）、小区功率、中心载频、频域带宽等参数。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（5）支持物理信道配置，至少包括PUCCH、PUSCH、PRACH、SRS、PDCCH、PDSCH、PBCH等信道参数配置。</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（6）承载网业务开通包括IP承载和光传输两部分。IP承载支持三层路由功能，包括逻辑子接口配置、loopback接口配置；支持FlexE切片功能，包括FlexE聚合、交叉配置；光传输部分支持电交叉与频率配置。</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（7）支持5GC核心网，至少包括AMF、SMF、AUSF、UPF、PCF、NSSF、UDM、NRF的数据配置和业务开通操作。支持用户签约及鉴权功能、http配置、虚拟路由配置、N4对接配置，切片功能配置。</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（8）支持EPC核心网，至少包括MME、SGW、PGW、HSS的数据配置和业务开通，包括Diameter连接配置、号码分析配置、APN解析配置、EPC地址解析配置、APN管理、签约用户管理。</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（9）支持4/5G双连接配置，包括4G→5G和5G→4G的X2链路配置，支持4G锚点下的5G邻区配置、4/5G分流配置。</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5.业务调试功能</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（1）支持小区业务验证，验证过程中支持小区信息实时反馈，至少包括SNSSAI ID、TAC、gNode B ID、DU小区ID、CU小区ID、PCI和小区中心载频等典型参数。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支持通过Ping和Trace工具进行链路检测，能够显示Ping的统计信息，至少包括发送/接收成功的数据包数目、丢失数据包数目、丢失率和发送时间；Trace最多能够显示20个跃点跟踪路由。支持Ping和Trace的操作记录查看。</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（3）支持状态信息查询，可查看物理接口、IP接口、路由表和OSPF邻居的状态。</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（4）支持OTN设备之间的光路检测，可通过检测结果定位光传输路径中的故障点。</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（5）支持告警信息提示，能够显示告警级别、告警生成时间、位置信息和告警描述，可根据告警内容定位网络故障原因。</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（6）支持信令跟踪，包含RRC、S1AP、NAS、X2AP、Diameter、GTPV2、HTTP、NGAP、PFCP、IP等类型，信令内容与参数配置联动。可根据所选测试内容、测试位置完成指定信令跟踪，每条信令支持详细内容展示。</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（7）支持工程模式/实验模式两种学习模式。实验模式下支持完成无线网、核心网的配置之后进行业务调试， 工程模式下支持完成无线、核心网、承载网配置之后进行业务调试，两种模式可以自由切换。</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6.网络优化功能</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 支持基础网络优化功能，可通过CQT定点测试，完成涵盖高清语音、直播、超高清视频3种业务类型的网络优化。</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支持移动性管理优化，包括DT测试过程中的重选、切换、漫游，测试逻辑满足S准则和R准则；至少支持最小RSRP接收电平、最小RSRP接收电平偏移、RSRP判决门限、小区重选迟滞等参数配置；优化过程中支持重选/切换/漫游成功率和主服务小区信息实时反馈。</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支持多种切片类型的选择，包括eMBB、uRLLC、mMTC、V2X等不同切片类型，至少能够实现自动驾驶、AR远程医疗、智慧农业、智慧城市等典型应用场景。可针对不同5G典型应用进行自定义切片编排，并至少支持喷灌管理、驾驶管理、路灯管理、医疗设备管理等业务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shd w:val="clear" w:color="auto" w:fill="auto"/>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1-4</w:t>
            </w:r>
          </w:p>
        </w:tc>
        <w:tc>
          <w:tcPr>
            <w:tcW w:w="76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5G移动互联网实训平台</w:t>
            </w:r>
          </w:p>
        </w:tc>
        <w:tc>
          <w:tcPr>
            <w:tcW w:w="379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一、总体要求</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包含现代通信网络中常见的各种通信系统，如5G移动通信、光传输、程控交换、软交换等。单个通信系统都能够独立组网，在实验室里构建成一个个完整的通信系统，对应的商用终端和实验教学终端（如5G智能终端实验开发平台）可以接入，实现网内互相通信。各个通信系统之间能互联互通，各种5G终端、程控电话机、IP电话机、软电话、电脑等，可以互相通信，实现网络之间互联互通。各种通信系统应具有商用通信网络的真实性和实验教学的开放性，采用标准的通信协议，能够抓取和分析信令。</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2、支持配套的终端类教学设备接入，与系统设备一起，构成针对实验教学的完整的5G全网融合通信系统。</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二、5G移动通信系统实验开发平台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1、应包含5GC核心网实验平台、NG-RAN接入网实验平台、5G OMC管理实验平台和5G协议栈实验开发平台四个组成部分。</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2、5GC核心网实验平台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（1）5GC核心网NFV服务器：基于通用服务器设计，支持NFV功能，支持X86服务器和VMWare/KVM虚拟机及容器。通用服务器规格不低于Intel Xeon Silver 4210R处理器、32G DDR4内存、4*10G SFP+、2*GE、512G SSD；应包括AMF、UPF和SMF等网元单元，能够完成5G核心网的功能，可与5G接入网实现5G SA架构网络功能；5GC核心网激活用户数不少于10K；激活会话数不少于10K；系统吞吐量不低于20Gbps。</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（2）5GC核心网数据管理服务器：标准19英寸标准机架安装；硬件规格不低于i5 7500/4G/128G；应包括配置文件管理和账号管理，配置文件管理包括导出配置文件和导入配置文件，账号管理能够设置管理员和用户账号。</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（3）5GC核心网实验开发平台组件单元：应包括通信机柜、显示组件、交换机和工控机等。</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（4）支持即摄即传、FTP上传和下载、数据灌包和流媒体播放等多种5G应用和测试，其中流媒体播放通过搭建流媒体服务器，5G智能手机、5G CPE、5G智能终端实验开发平台等终端接入到5G网络后，可以通过终端播放服务器上的视频。</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3、NG-RAN接入网实验平台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（1）NG-RAN接入网管理服务器：标准19英寸标准机架安装；硬件规格不低于i5 7500/4G/128G；支持对NG-RAN接入网的管理。</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（2）NG-RAN接入网实验平台CU-DU单元：遵循3GPP 5G标准，支持NR、NG、Xn接口协议功能；支持2个NR小区，支持4个下联口；支持5ms单周期和2.5ms双周期帧结构；支持SA架构，可选择CU/DU合设或分离；支持DL 256QAM/UL 64QAM。</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（3）NG-RAN接入网实验平台AAU单元：支持2.6GHz频段；最大支持100MHz信道带宽；发射功率不低于250mW/通道。</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（4）NG-RAN接入网实验平台PMU单元：输入电压AC 220V；输出电压DC 28V/12V/5V。</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（5）NG-RAN接入网实验开发平台组件单元：包括通信机柜、显示组件、交换机、5G CPE、5G测试手机、高清视频采集终端、内网SIM卡等。</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4、5G OMC管理实验平台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（1）5GC OMC管理服务器：标准19英寸标准机架安装；硬件规格不低于i5 7500/4G/128G；支持5G核心网OMC管理软件的安装和使用。</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（2）5GC OMC管理软件：基于B/S架构，支持多用户操作和配置，不接受C/S架构；核心网参数配置包括AMF参数、SMF参数和UPF参数；支持AMF和SMF的IP配置；支持开户销户参数列表，可以进行开户、销户和批量导入功能。</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（3）NG-RAN接入网OMC管理服务器：标准19英寸标准机架安装；硬件规格不低于i5 7500/4G/128G；支持NG-RAN接入网 OMC管理软件的安装和使用。</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（4）NG-RAN接入网OMC管理软件：基于B/S架构，支持多用户操作和配置，不接受C/S架构；参数配置包括CU集中单元配置、DU分布单元配置和MU配置；CU配置包括5G模式配置、5G AMF IP和端口号配置、5G CU LMN配置、5G CU Gnbid配置、5G CU载波参数配置、5G CU TAC配置、5G CU网络切片配置和5G SA邻区配置；DU配置包括5G模式配置、5G DU PLMN配置、5G DU Gnbid配置、5G DU载波参数配置、5G DU TAC配置、5G DU网络切片配置和5G DU时隙配置；MU配置包括同步方式配置、NTP设置和CPRI光口配置。</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5G基站信令分析软件：具备在系统侧实时抓取5G终端网内注册、RRC连接、PDP激活等业务流程的信令，展示5G信令交互过程，并可对信令内容进行解析；支持多用户信令解析、NG接口信令解析、层间消息的解析；支持按照特定字段对消息进行过滤、分类；支持各种格式导出和导入；支持信令数据在线、离线分析。</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（6）5G OMC管理实验开发平台组件单元：包括通信机柜、显示组件、交换机等。</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5、5G协议栈实验开发平台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（1）采用软件无线电架构设计，应包括数字基带单元、射频单元、5G物理层协议软件等组成部分。</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数字基带单元包括ARM、CPLD、FPGA、DSP、ADC、DAC等，其中ARM性能不低于LPC2138；CPLD性能不低于MAX5M40；FPGA性能不低于EP4CGX75；DSP不低于TMS320C6678，集成8核C66x，每核主频1.0/1.25GHz，每核运算能力达40GMACS和20GFLOPS，每核心32KByte L1P、32KByte L1D、512KByte L2，4MByte多核共享内存，8192个多用途硬件队列，支持DMA传输；应提供一个独立的性能指标不低于双通道20MSPS、10位CMOS的ADC；应提供一个独立的性能指标不低于双通道10位，40 MSPS的DAC。</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（3）射频单元的频率范围不低于70MHz-6GHz，支持2发2收，信道带宽不低于56MHz，最大发射功率不低于16dBm，最大接收功率不低于-10dBm。</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（4）应开放多个硬件接口，不少于1个千兆网口、2个USB接口、2个GPIO 接口、2个光接口、5个JTAG下载接口、4个射频接口、9个BNC接口。</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应实现一个移动通信小基站的功能，符合3GPP协议规范的终端都能在该平台中注册、拨打电话、收发短信，且能实现多部手机入网与通信。应提供基站管理软件，可以对基站的基本参数、功率参数、定时器参数等进行设置。</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（6）可以通过BNC接口直接连接示波器，提供调用示波器输出的接口函数。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（7）5G物理层协议软件：</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1）MATLAB算法仿真和C6678DSP实现软件：包括信源生成、加CRC与解 CRC、码块分割与解码块分割、LDPC 编码与译码、速率匹配与解速率匹配、码块级联与解码块级联、加扰与解扰、信道估计、信道均衡、256QAM调制与解调、64QAM调制与解调、16QAM调制与解调、QPSK调制与解调、层映射、解曾映射、传输预编码、解传输预编码、预编码、解预编码、生成 DMRS、资源映射、解资源映射、OFDM基带信号生成等算法内容；提供上述单个仿真算法，以及串接起来的全流程仿真算法；提供DSP程序代码，可下载5G基站物理层协议实现代码到6678DSP中，处理后的数据经射频收发后，接收端CRC校验正确，并能通过 CCS断点观测各处理过程数据。</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5G物理层协议虚拟仿真软件：采用B/S架构设计，支持模块连线、参数配置、波形显示、软件编程等功能，只需打开浏览器即可进行系统搭建、波形观测、程序编写等操作；软件分为验证性实验和设计性实验两部分。在验证性实验部分，该实验涉及到各个程序子模块，以图标形式呈现在图标库中，拖动图标，可以在编辑区连线。程序子模块应具有动画演示实验原理的功能，以及详细描述该模块的函数接口。学生做实验时，拖动图标，在编辑区连线，构建成通信系统，软件应能判断连线的正确与否。应设置多个可以配置的参数，包括调制方式为QPSK、16QAM、64QAM、256QAM可选，RB个数，LDPC开/关，交织开/关，CP开/关，信道估计开/关，信噪比，突发干扰开/关，突发干扰的时域长度，频偏开/关，频偏，时延开/关，时间延迟采样点，衰减因子等，可配置的参数不少于14个。实验结果可以通过图片、数据、波形、星座图等多种方式呈现，应包括信道容量、子载波个数、发送图片、调制映射输出星座图、信道输出信号波形、信道输出信号频谱、解调制映射输出星座图、误码数（调制映射输出数据和解调制映射输出数据比较）、误码数（信源比特和信宿比特比较）、接收图片等内容，可观测的实验结果不少于10个。在设计性实验部分，应将实验涉及到的各个子程序以目录树的形式展示，分为参考代码和设计代码两部分，其中参考代码可以点击查看、分析、学习、运行，可以将过程数据和运行结果以数据、波形、星座图等方式呈现。设计代码需要学生根据要求编写，可以在线编写，也可以在本地编写后上传到服务器，然后与其它子程序模块一起运行，联调自己编写的程序，程序运行错误则在控制台位置予以提示。应将需要学生编写的程序，设置成可选择方式，学生在调试某一个子程序模块时，其它的子程序模块可以选择使用系统默认程序或者自己编写的程序，方便定位程序问题。</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三、融合通信系统实验平台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1、应包括融合通信系统管理服务器、融合通信系统IP交换单元、融合通信系统配线架、IP电话机、程控电话机、融合通信系统OMC软件、融合通信系统实验平台组件单元等组成部分。</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2、融合通信系统管理服务器：标准19英寸标准机架安装；硬件规格不低于i5 7500/4G/128G；支持融合通信系统OMC管理软件的安装和使用。</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3、融合通信系统IP交换单元：最大支持48个模拟分机，168个SIP分机；支持SIP信令标准，支持多种语音编解码，能够配合各种软交换系统及VOIP语音网关，提供IP语音业务；呼叫控制支持SIP/UDP 和SIP/TCP（RFC3261）、IMS平台（3GPP）、MGCP（RFC3435）等协议；网络支持Telnet、SSH、HTTP、DHCP/PPPoE客户端，DNS、STUN等协议；支持SIP信令加密、媒体流加密、配置文件加密导入导出、PIN码加密；支持IP分机禁止外网IP分机拨打外线User-Agent 验证、防暴力破解 IP 分机密码；支持IP话机即插即用；支持端口语音抓录和数据包抓录；支持本地日志内置存储；能够和IP电话机、程控电话机、5G智能终端实验平台、5G手机和5G CPE等组网，实现5G手机、程控电话和IP电话三者任意之间相互语音通话，实现网络的互联互通；持SIP注册和呼叫信令的抓取和解析，能够以信令交互图的方式呈现；支持RTP语音通话数据的抓取，并能够将通话语音回放出来。</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4、融合通信系统配线架：提供不少于24 个FXO/FXS接口，6个10M/100Mbps网络接口；支持呼叫保持、呼叫等待、呼叫转移、别打扰、直接IP 呼叫、盲转、总机转移等功能；支持G.711（a/μ）和G.729a编码。</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IP电话机：支持SIP信令标准；支持G.711a/u，G.723.1，G.726-32K，G.729AB等多种语音编解码；提供2个10/100Mbps以太网接口并内置桥接模式，能够配合各种软交换系统及VOIP语音网关，提供IP语音业务；全双工免提通话，支持声学回音消除(AEC)；静态IP设置/DHCP/ PPPoE；通过FTP/TFTP/HTTP/HTTPS/DHCP OPT66/SIP PNP/TR069配置与管理。</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6、程控电话机：FSK/DTMF来电双制式 ；62组来电、16组去电号码记录；来电、去电号码查询、删除、回拨功能。</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7、融合通信系统OMC软件：支持流量统计，系统日志，远程Web管理，配置文件导入与导出，Web升级，自动管理等功能；包括状态显示、基本设置、分机设置、外线设置、组网设置、应用服务、高级设置和系统工具等功能；包括局域网配置、模拟分机配置、IP分机配置和SIP外线配置；支持RTP语音通话数据的抓取，并能够将通话语音回放出来。</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8、融合通信系统实验平台组件单元：包括通信机柜、显示组件、交换机等。</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四、光传输系统实验平台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1、包括光传输系统管理服务器、数据配置交换机、业务操作交换机、光传输设备单元、光传输系统PMU单元、光传输系统OMC管理软件、光传输系统实验平台组件单元等组成部分。</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2、光传输系统管理服务器：标准19英寸标准机架安装；硬件规格不低于i5 7500/4G/128G；支持光传输系统OMC管理软件的安装和使用。</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3、数据配置交换机：提供24个10/100/1000M自适应RJ45端口，所有端口均可实现线速转发；每个端口均支持MDI/MDIX自动翻转及双工/速率自协商；支持IEEE 802.3x全双工流控和Backpressure半双工流控；提供标准交换、VLAN隔离和网络克隆三种工作模式；支持通过开关切换交换机工作模式；动态LED指示灯，提供工作状态及故障排除提示。</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4、业务操作交换机：提供24个10/100/1000M自适应RJ45端口，所有端口均可实现线速转发；每个端口均支持MDI/MDIX自动翻转及双工/速率自协商；支持IEEE 802.3x全双工流控和Backpressure半双工流控；提供标准交换、VLAN隔离和网络克隆三种工作模式；支持通过开关切换交换机工作模式；动态LED指示灯，提供工作状态及故障排除提示。</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光传输设备单元：业务交换容量不低于双向112Gbps；单框支持10GE，光口接入能力为4个，支持GE业务接入能力为48个，支持E1业务的接入能力为192个；支持CES、ATM、以太网等丰富的业务；支持GE、FE、E1、STM-1、ADSL2+、G.SHDSL等丰富的业务接口；接口数量与类型：电接口支持2M、34M/45M、10/100M，光接口支持FE、GE、155M、622M；支持链形、环形、星形、网格形等复杂网络拓扑。</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6、光传输系统PMU单元：输入电压AC 220V；输出电压DC -48V。</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7、光传输系统OMC管理软件：够在主拓扑上显示3个PTN 设备，并显示设备间的光纤连接状态；每个学生都能够同时访问光传输系统OMC管理软件，进行参数和业务配置；管理软件包括文件、编辑、视图、性能、配置、业务 、存量、系统和窗口等功能。</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8、光传输系统实验平台组件单元：包括通信机柜、显示组件等。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shd w:val="clear" w:color="auto" w:fill="auto"/>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1-5</w:t>
            </w:r>
          </w:p>
        </w:tc>
        <w:tc>
          <w:tcPr>
            <w:tcW w:w="76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5G物理层协议开发平台</w:t>
            </w:r>
          </w:p>
        </w:tc>
        <w:tc>
          <w:tcPr>
            <w:tcW w:w="379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1、整体要求</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（1）采用通用处理器+FPGA+DSP+Transceiver的软件无线电架构，可通过MATLAB、LabVIEW、FPGA和DSP进行开发。</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（2）包括机箱、综合信号处理模块、通信协议模块、扩展接口、算法案例等组成部分。</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（3）应提供包括Link11、GSM、NB-IoT和5G在内的协议算法仿真与实现案例。</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2、硬件技术参数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（1）机箱：采用高档仪表机箱设计。</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（2）综合信号处理模块：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1）数字基带部分：包括ARM、CPLD、FPGA和DSP，ARM性能不低于LPC2138，CPLD性能不低于MAX5M40，FPGA 性能不低于EP4CGX75，DSP性能不低于TMS320VC5410。</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2）宽带射频部分：频段范围不低于70MHz-6GHz，支持2发2收，信道带宽不低于56MHz。发射功率不低于16dBm，发射误差向量幅度＜3%，发射功率衰减范围0-90dB@step 0.25dB，接收功率调整范围0-73dB@step 1dB，集成双通道12bit@61.44MSPS ADC和双通道12bit@61.44MSPS DAC，参考时钟为26MHz。</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3）D/A部分：应提供一个独立的性能指标不低于双通道10位，40 MSPS的DAC。</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4）A/D部分：应提供一个独立的性能指标不低于双通道20MSPS、10位CMOS的ADC。</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（3）通信协议模块：应采用不低于TI KeyStone C66x多核定点/浮点TMS320C6678DSP设计，集成8个C66x核，不低于64MB Nand Flash、512MB DDR3 RAM、1Mb EEPROM，自带仿真器，支持高性能信号处理应用。</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（4）扩展接口：不少于1个千兆网口、2个USB接口、2个GPIO 接口、2个光接口、5个JTAG下载接口、4个射频接口、9个BNC接口。</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3、基本功能要求</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（1）该平台提供示波器接口，能直接连接示波器，各种数据或波形，能够通过软件无线电科研平台输出到示波器上显示。</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能实现一个移动通信小基站的功能，符合3GPP规范的终端都能在该平台中注册、拨打电话、收发短信，且能实现多部手机入网与通信。能将空口数据实时、连续的提供给PC机，软件能对上、下行数据进行实时、连续处理，显示I/Q时域、星座图和频谱。</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4、算法案例</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（1）GSM物理层协议算法</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1）实现3GPP定义的GSM移动终端物理层协议仿真算法，如CRC、卷积编译码、Viterbi编译码、比特重排、交织解交织、GMSK调制解调等。</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2）能将发射和接收的过程串接起来，构成全流程算法，并能看到算法运行的数据、基带I/Q波形和星座图。</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3）算法可以直接采集麦克风音源或者导入音源文件，按照发射部分的算法流程运行，最后调制到真实商用的GSM频点上发射，接收机接收以后，按照接收部分的算法流程运行，最终还原成真实的语音信息。</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（2）Link11战术数据链物理层协议算法</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1）按照北约军事标准协议MIL-STD-188-203-1A设计实现，采用CLEW多载波工作体制。</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应采用模块化设计，发射模块包括：生成数据帧、汉明编码、比特组帧（生成相位基准帧、生成起始标识帧、生成结束标识帧、生成PU地址帧）、串并转换、π/4-DQPSK调制映射、上采样、脉冲成型、多载波调制、加报头。接收模块包括：符号同步、多载波解调、匹配滤波、下采样、π/4-DQPSK解调制映射、并串转换、比特解帧、汉明译码。</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3）应设置多个可配置参数，包含：帧类型（支持网控站报告帧、网控站呼叫帧、前哨战应答帧）、PU地址、数据帧数、信噪比、滤波器滚降因子、数据帧类型、运行方式（仿真系统、真实系统）等。</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4）支持仿真运行、真实系统的自发自收和真实系统的一发多收。</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实验结果以图像可视化方式显示，显示内容包括：发送端星座图、发送信号、接收信号、发送信号频谱、接收信号频谱、相关峰、接收端星座图，通过发送和接收信号频谱可观察多载波（605Hz、935Hz、1045Hz、1155Hz、1265Hz、1375Hz、1485Hz、1595Hz、1705Hz、1815Hz、1925Hz、2035Hz、2145Hz、2255Hz、2365Hz、2915Hz）频率分布。</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（3）NB-IoT物理层协议算法</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应提供3GPP定义的NB-IoT基站系统收发信机物理层协议仿真算法，包括信源生成、加CRC与解CRC、Turbo编译码、速率匹配与解速率匹配、信道交织与解信道交织、加扰与解扰、QPSK调制解调、资源映射与解资源映射、信道估计、信道均衡、MRC合并、生成DRRS、OFDM符号生成等内容。</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2）应提供上述单个仿真算法以及串接起来的全流程仿真算法。</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3）能观测NB-IoT基站系统收发信机物理层处理全过程的数据，至少应包括RF接收数据的时域图、 QPSK调制和解调的星座图、CRC校验数据等。</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4）可通过CCS软件下载NB-IoT物理层协议实现代码到TMS320C6678 DSP中，处理后的数据经射频收发后，接收端CRC校验正确，并能通过CCS断点观测各处理过程数据。</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（4）5G物理层协议算法</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1）应提供3GPP 38系列定义的5G基站系统收发信机物理层协议仿真算法，包括信源生成、加CRC与解CRC、码块分割与解码块分割、LDPC编码与译码、速率匹配与解速率匹配、码块级联与解码块级联、加扰与解扰、256QAM调制与解调、层映射、传输预编码、预编码、生成DMRS、资源映射、OFDM基带信号生成等内容。</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2）应提供上述单个仿真算法以及串接起来的全流程仿真算法。</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3）能观测5G基站系统收发信机物理层处理全过程的数据，至少应包括RF接收数据时域图、256QAM调制和解调的星座图、CRC校验数据等。</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4）可通过CCS软件下载5G物理层协议实现代码到TMS320C6678 DSP中，处理后的数据经射频收发后，接收端CRC校验正确，并能通过CCS断点观测各处理过程数据。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shd w:val="clear" w:color="auto" w:fill="auto"/>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1-6</w:t>
            </w:r>
          </w:p>
        </w:tc>
        <w:tc>
          <w:tcPr>
            <w:tcW w:w="76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5G+X 行业应用开发实训平台设备</w:t>
            </w:r>
          </w:p>
        </w:tc>
        <w:tc>
          <w:tcPr>
            <w:tcW w:w="379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（一）系统功能</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1、采用C/S架构设计，可兼容windows7及以上64位操作系统。</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2、支持1920×1080、1440×900及1366×768三种分辨率。</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3、支持GUI图形化操作界面，基于Unity3D开发设计，仿真场景均为3D场景，包含第一人称视角与全景视角。人机界面友好，易于上手，便于教学、竞赛、自学。</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4、支持竞技模式与实训模式，支持两人及以上组队同时实训或竞技，队员之间数据实时同步。</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5、支持定制化实训赛事与实训任务，可在线下发至多个战队，关联指定赛事或实训任务。</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6、支持系统存档与读档操作，系统预置20+实训案例，可对应初级、中级、高级等不同层级的实训要求。</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7、所有模块均支持独立自动评价，并自动输出评分报告。支持不同学习模式下所有用户实训状态与实训成绩实时图形化监控与评价，并支持实训成绩导出。</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8、支持不同学习模式下所有用户实训状态与实训成绩实时图形化监控与评价，并支持实训成绩导出。</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（二）软件功能</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1、系统以5G全连接工厂为原型设计，包含场景建模、规划设计、网络部署、参数配置及项目验收5大模块，与真实5G数字化工厂数字化升级流程一致。</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1.1 包含原料入库区、原料仓库、生产车间及成品仓库4个工厂典型场景，可通过数字化升级完成5G+协同设计、自动控制、柔性生产、辅助装配、质量控制、远程运维、透明工厂、仓储管理、物流供应等典型智能智能应用场景。</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1.2 涵盖公网公用、公网专用与专网专用3种5G专用网络组网模式，用户可根据实际场景需求灵活进行组网模式选择。</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1.3 包含智能扫描仪、AGV小车、智能堆垛机、机械臂、摄像头、智能手环与数据采集器等10+类型智能终端，包含智能输送线、智能货柜、PCBA产线、装配与烧录产线与包装产线等5类智能产线。</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1.4 支持5G专用网络下5GC核心网、5G承载网、5G NR无线网，涵盖pRRU、ITBBU、SPN、OTN、5GC服务器、MEC服务器、DN服务器及ODF等网络设备，适配5G R15、R16、R17标准协议。</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2、支持工厂传统场景数字化升级，可任选原料入库区、原料仓库、生产车间及成品仓库4个典型场景中任意产线进行数字化升级，并自动输出场景升级报告。</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2.1 支持场景间业务联动，每个场景包含4条生产线，通过所有场景的不同产线配合，可形成端到端闭环的工厂系统。</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2.2 场景分析与传统工厂场景一致，包含完整的传统工厂生产过程与生产环境描述。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2.3 支持智能产线与智能终端自由布放，支持终端原子能力需求配置，包含上行带宽、时延、可靠性与稳定性4类能力需求。</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3、支持5G专用网络规划设计，包含规划方案设计、拓扑规划、覆盖规划、网络估算与切片设计，并自动输出网络规划结果审核报告。</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3.1 支持公网公用、公网专用与专网专用3种组网模式、物理小区载波数、预算、利旧资源、机房距离自由设定，并与后续规划计算实时联动。</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3.2 支持网络拓扑规划，包含5GC服务器、SW、防火墙、DN、SPN、OTN、ITBBU、RRU-HUB、pRRU与终端等网元，网元间连线支持ToB、ToC与ToBToC三种连接方式，5GC支持AMF、NSSF、SMF、UPF、NEF等网络功能，MEC支持MEP、APP、UPF等网络功能。</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3.3 工厂内覆盖规划支持pRRU位置、归属RRU-HUB及包含的扇区数。</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3.4 网络估算包含规划扇区下各载波的小区吞吐量、载波用户面时延、边缘节点用户面时延、承载节点用户面时延、核心节点用户面时延、边缘设备数量、无线设备数量、承载设备数量及核心网设备数量计算。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3.5 网络切片设计包含包含商务座、特等座、一等座与二等座4类切片模板，每种模板可跟根据终端需求设计切片子模板，包含切片基础信息、NSI实例业务需求、NSI网络参数与网络资源编排。</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4、支持5G专用网络设备配置，可根据规划设计进行网络设备与光模块选型、设备布放、设备连线任务。</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4.1 光模块支持10G、25G、50G、100G、200G共5种类型，线缆支持双芯光纤LC-LC、双芯光纤LC-FC、单芯光纤LC-LC、单芯光纤LC-FC与光电复合缆5种类型。</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4.2 原料入库区、原料仓库、生产车间及成品仓库可完成pRRU与RRU-HUB部署、光模块选型及设备线缆连接。</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4.3 工厂内机房可完成ITBBU、SPN、MEC服务器、DN服务器及OTN部署与连线；承载机房可完成SPN及OTN部署与连线；核心网机房可完成5GC服务器、DN服务器、SPN、SW及OTN设备部署与连线。</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5、支持5G专网设备配置，可在系统完成无线网、核心网、承载网数据调试及业务开通配置操作。</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5.1 无线网数据配置可完成CUDU的路由及SCTP对接配置、R15/R16/R17标准协议支持的网络切片配置、multi TRP配置、超级上行SUL及uplink switch配置、免授权调度配置、RB预留配置、2步快速接入配置、载波聚合配置、负载均衡配置，5G物理信道配置、5G频点及CUDU标识等公共参数配置、QoS配置、邻区与邻接关系配置、切换重选配置等。</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5.2 承载网配置可完成IP承载和光传输两部分任务，IP承载网包含IP地址、路由等规划配置、FlexE切片/聚合/交叉配置、前传网络配置、SR配置、SDN配置，光传输设备需支持电交叉、频率等规划与配置。</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5.3 核心网配置包含AMF、SMF、UPF、UDM、NRF、NSSF、AUSF、PCF及NEF等网络功能的数据配置与业务开通配置，包含HTTP虚拟化对接配置、切片签约与切片功能编排配置、用户签约鉴权配置、QoS配置、NF实例配置、NF服务实例配置、NF公共参数配置、核心网策略配置及NF注册等虚拟化业务配置。</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5.4 MEC服务配置可完成HTTP对接、以太网接口配置、链路聚合配置、MEC服务策略配置等MEC服务开通配置。</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5.5 支持参数集合模板配置方式，可配置部分公共参数统一参数模板，并供各无线小区直接调用。</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5.6 支持批处理命令配置，包含新增（ADD）、删除（DEL）、修改（MOD）、查询（LST）4类命令，可通过命令行进行参数批量或单条增删改查操作。</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5.7 支持配置参数以表格形式导出，支持本地表格编辑后导入进行参数增删改查配置功能。</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6、支持项目验收功能，可对场景建模规划的升级场景进行业务验证。</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6.1 支持智能终端设备联网测试，包含注册与会话业务测试。</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6.2 支持网络质量测试，可对5G专用网络的RSRP、SINR、上行速率、下行速率、丢包率及时延等网络关键质量参数进行测试。</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6.3 支持网络关键KPI分析，可自定义分析的指标范围、分析时间段、指标的计算方式等内容。</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6.4 支持网络优化功能，可对工厂内所有场景下的智能终端进行业务质量优化，包含信号质量、速率、时延、丢包率、可靠度、切换重选成功率等。</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6.5 可告警、Ping、Trace、光路检测、路由表与接口状态查询等链路工具，完成基本链路调试及故障处理。</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6.6 支持智能终端与5G网络交互的信令跟踪，包含RRC、S1AP、NAS、X2AP、Diameter、GTPV2、HTTP、NGAP、PFCP、IP等类型，信令内容与参数配置联动，每条信令支持详细内容展示。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Merge w:val="restart"/>
            <w:shd w:val="clear" w:color="auto" w:fill="auto"/>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1-7</w:t>
            </w:r>
          </w:p>
        </w:tc>
        <w:tc>
          <w:tcPr>
            <w:tcW w:w="767" w:type="pct"/>
            <w:vMerge w:val="restar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配套设备</w:t>
            </w:r>
          </w:p>
        </w:tc>
        <w:tc>
          <w:tcPr>
            <w:tcW w:w="379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配套电脑</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CPU：intel-i7 12代处理器及以上</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内存：16GB</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硬盘：256GB SSD+1T SATA3 7200 转</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声卡：集成声卡，内置音箱；</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扩展插槽：≥1个PCIe×16；</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主机端口：USB 3.0端口5个，1个DP1.4端口，1个HDMI1.4b端口，1个RJ45端口；</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操作系统：win11正版操作系统</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显示器：23寸以上显示屏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Merge w:val="continue"/>
            <w:shd w:val="clear" w:color="auto" w:fill="auto"/>
            <w:vAlign w:val="center"/>
          </w:tcPr>
          <w:p>
            <w:pPr>
              <w:spacing w:line="300" w:lineRule="exact"/>
              <w:rPr>
                <w:rFonts w:ascii="方正仿宋_GBK" w:hAnsi="方正仿宋_GBK" w:eastAsia="方正仿宋_GBK" w:cs="方正仿宋_GBK"/>
                <w:spacing w:val="10"/>
                <w:sz w:val="24"/>
              </w:rPr>
            </w:pPr>
          </w:p>
        </w:tc>
        <w:tc>
          <w:tcPr>
            <w:tcW w:w="767" w:type="pct"/>
            <w:vMerge w:val="continue"/>
            <w:shd w:val="clear" w:color="auto" w:fill="FFFFFF"/>
            <w:vAlign w:val="center"/>
          </w:tcPr>
          <w:p>
            <w:pPr>
              <w:spacing w:line="300" w:lineRule="exact"/>
              <w:rPr>
                <w:rFonts w:ascii="方正仿宋_GBK" w:hAnsi="方正仿宋_GBK" w:eastAsia="方正仿宋_GBK" w:cs="方正仿宋_GBK"/>
                <w:spacing w:val="10"/>
                <w:sz w:val="24"/>
              </w:rPr>
            </w:pPr>
          </w:p>
        </w:tc>
        <w:tc>
          <w:tcPr>
            <w:tcW w:w="379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培训桌（6人位/套）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（1）Y字形培训桌；</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（2）钢木结构；</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（3）台面厚度不少于 25mm；</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（4）可以自由拼接成六边形结构或者一字型结构</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学生椅（6个/套）</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（1）环保PP料，具有抗弯曲性，抗冲击性 ，耐高温，耐磨；</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（2）一体成型的椅背；</w:t>
            </w:r>
          </w:p>
          <w:p>
            <w:pPr>
              <w:spacing w:line="300" w:lineRule="exact"/>
              <w:rPr>
                <w:rFonts w:ascii="方正仿宋_GBK" w:hAnsi="方正仿宋_GBK" w:eastAsia="方正仿宋_GBK" w:cs="方正仿宋_GBK"/>
                <w:sz w:val="24"/>
              </w:rPr>
            </w:pPr>
            <w:r>
              <w:rPr>
                <w:rFonts w:hint="eastAsia" w:ascii="方正仿宋_GBK" w:hAnsi="方正仿宋_GBK" w:eastAsia="方正仿宋_GBK" w:cs="方正仿宋_GBK"/>
                <w:spacing w:val="10"/>
                <w:sz w:val="24"/>
              </w:rPr>
              <w:t>（3）钢架，承重不低于 160kg；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Merge w:val="continue"/>
            <w:shd w:val="clear" w:color="auto" w:fill="auto"/>
            <w:vAlign w:val="center"/>
          </w:tcPr>
          <w:p>
            <w:pPr>
              <w:spacing w:line="300" w:lineRule="exact"/>
              <w:rPr>
                <w:rFonts w:ascii="方正仿宋_GBK" w:hAnsi="方正仿宋_GBK" w:eastAsia="方正仿宋_GBK" w:cs="方正仿宋_GBK"/>
                <w:spacing w:val="10"/>
                <w:sz w:val="24"/>
              </w:rPr>
            </w:pPr>
          </w:p>
        </w:tc>
        <w:tc>
          <w:tcPr>
            <w:tcW w:w="767" w:type="pct"/>
            <w:vMerge w:val="continue"/>
            <w:shd w:val="clear" w:color="auto" w:fill="FFFFFF"/>
            <w:vAlign w:val="center"/>
          </w:tcPr>
          <w:p>
            <w:pPr>
              <w:spacing w:line="300" w:lineRule="exact"/>
              <w:rPr>
                <w:rFonts w:ascii="方正仿宋_GBK" w:hAnsi="方正仿宋_GBK" w:eastAsia="方正仿宋_GBK" w:cs="方正仿宋_GBK"/>
                <w:spacing w:val="10"/>
                <w:sz w:val="24"/>
              </w:rPr>
            </w:pPr>
          </w:p>
        </w:tc>
        <w:tc>
          <w:tcPr>
            <w:tcW w:w="379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投影仪：</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投影尺寸：60-100英寸</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屏幕比例：16:10</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投影技术：3LCD</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投影机特性：短焦</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亮度：3300流明</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对比度：10000:1</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标准分辨率：WXGA（1280*800）</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色彩数目：10.7亿色</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光源寿命：高亮模式：4000小时，经济模式：6000小时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Merge w:val="continue"/>
            <w:shd w:val="clear" w:color="auto" w:fill="auto"/>
            <w:vAlign w:val="center"/>
          </w:tcPr>
          <w:p>
            <w:pPr>
              <w:spacing w:line="300" w:lineRule="exact"/>
              <w:rPr>
                <w:rFonts w:ascii="方正仿宋_GBK" w:hAnsi="方正仿宋_GBK" w:eastAsia="方正仿宋_GBK" w:cs="方正仿宋_GBK"/>
                <w:spacing w:val="10"/>
                <w:sz w:val="24"/>
              </w:rPr>
            </w:pPr>
          </w:p>
        </w:tc>
        <w:tc>
          <w:tcPr>
            <w:tcW w:w="767" w:type="pct"/>
            <w:vMerge w:val="continue"/>
            <w:shd w:val="clear" w:color="auto" w:fill="FFFFFF"/>
            <w:vAlign w:val="center"/>
          </w:tcPr>
          <w:p>
            <w:pPr>
              <w:spacing w:line="300" w:lineRule="exact"/>
              <w:rPr>
                <w:rFonts w:ascii="方正仿宋_GBK" w:hAnsi="方正仿宋_GBK" w:eastAsia="方正仿宋_GBK" w:cs="方正仿宋_GBK"/>
                <w:spacing w:val="10"/>
                <w:sz w:val="24"/>
              </w:rPr>
            </w:pPr>
          </w:p>
        </w:tc>
        <w:tc>
          <w:tcPr>
            <w:tcW w:w="379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立柜式空调：</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1.空调匹数：5P</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2.制冷量：12000W；</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3.制冷功率：4800W；</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4.制热量：14000W；</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5.制热功率：4000W；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Merge w:val="continue"/>
            <w:shd w:val="clear" w:color="auto" w:fill="auto"/>
            <w:vAlign w:val="center"/>
          </w:tcPr>
          <w:p>
            <w:pPr>
              <w:spacing w:line="300" w:lineRule="exact"/>
              <w:rPr>
                <w:rFonts w:ascii="方正仿宋_GBK" w:hAnsi="方正仿宋_GBK" w:eastAsia="方正仿宋_GBK" w:cs="方正仿宋_GBK"/>
                <w:spacing w:val="10"/>
                <w:sz w:val="24"/>
              </w:rPr>
            </w:pPr>
          </w:p>
        </w:tc>
        <w:tc>
          <w:tcPr>
            <w:tcW w:w="767" w:type="pct"/>
            <w:vMerge w:val="continue"/>
            <w:shd w:val="clear" w:color="auto" w:fill="FFFFFF"/>
            <w:vAlign w:val="center"/>
          </w:tcPr>
          <w:p>
            <w:pPr>
              <w:spacing w:line="300" w:lineRule="exact"/>
              <w:rPr>
                <w:rFonts w:ascii="方正仿宋_GBK" w:hAnsi="方正仿宋_GBK" w:eastAsia="方正仿宋_GBK" w:cs="方正仿宋_GBK"/>
                <w:spacing w:val="10"/>
                <w:sz w:val="24"/>
              </w:rPr>
            </w:pPr>
          </w:p>
        </w:tc>
        <w:tc>
          <w:tcPr>
            <w:tcW w:w="379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电子白板：</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1.硬件要求：</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要求采用表面光波技术，外框尺寸≥111 英寸，内尺寸≥108 英寸，投影画面区域比例 16:9 ；</w:t>
            </w:r>
          </w:p>
          <w:p>
            <w:pPr>
              <w:numPr>
                <w:ilvl w:val="0"/>
                <w:numId w:val="7"/>
              </w:numPr>
              <w:spacing w:line="300" w:lineRule="exact"/>
              <w:ind w:left="0" w:firstLine="0"/>
              <w:rPr>
                <w:rFonts w:ascii="方正仿宋_GBK" w:hAnsi="方正仿宋_GBK" w:eastAsia="方正仿宋_GBK" w:cs="方正仿宋_GBK"/>
                <w:b/>
                <w:bCs/>
                <w:spacing w:val="10"/>
                <w:sz w:val="24"/>
              </w:rPr>
            </w:pPr>
            <w:r>
              <w:rPr>
                <w:rFonts w:hint="eastAsia" w:ascii="方正仿宋_GBK" w:hAnsi="方正仿宋_GBK" w:eastAsia="方正仿宋_GBK" w:cs="方正仿宋_GBK"/>
                <w:spacing w:val="10"/>
                <w:sz w:val="24"/>
              </w:rPr>
              <w:t>触摸点数：≥20(默认免驱 20 点)，可以 20 点同时书写，无须专用笔，支持书小笔和手指同时书写，无需人工选择，自动识别小笔和手指书写模式，无耗材， 便于维护</w:t>
            </w:r>
            <w:r>
              <w:rPr>
                <w:rFonts w:hint="eastAsia" w:ascii="方正仿宋_GBK" w:hAnsi="方正仿宋_GBK" w:eastAsia="方正仿宋_GBK" w:cs="方正仿宋_GBK"/>
                <w:b/>
                <w:bCs/>
                <w:spacing w:val="10"/>
                <w:sz w:val="24"/>
              </w:rPr>
              <w:t>；</w:t>
            </w:r>
          </w:p>
          <w:p>
            <w:pPr>
              <w:numPr>
                <w:ilvl w:val="0"/>
                <w:numId w:val="7"/>
              </w:numPr>
              <w:spacing w:line="300" w:lineRule="exact"/>
              <w:ind w:left="0" w:firstLine="0"/>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书写部分采用纳米钢板板面，厚度≥0.35mm,涂层采 用纳米辊涂烤漆技术，板面正面涂层≥30μ m。采用高温辊涂烤漆处理，亚光防眩光处理，具有护眼功能，书写流畅，字迹清晰、可视效果佳；板面强度高，涂层硬度≥6H，安全可靠，书写方便；具有卓越的可擦性且无重影，板面支持磁性材料吸附；</w:t>
            </w:r>
          </w:p>
          <w:p>
            <w:pPr>
              <w:numPr>
                <w:ilvl w:val="0"/>
                <w:numId w:val="7"/>
              </w:numPr>
              <w:spacing w:line="300" w:lineRule="exact"/>
              <w:ind w:left="0" w:firstLine="0"/>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为使触控体验顺畅，要求触控精度≤±1mm，触控帧率≥134 帧,触控响应速度≤2ms，最小识别点直径2.5mm, 抗光性≥10WLux，功耗≤1W，报告分辨率32768* 32768；触控高度≤3mm；</w:t>
            </w:r>
          </w:p>
          <w:p>
            <w:pPr>
              <w:numPr>
                <w:ilvl w:val="0"/>
                <w:numId w:val="7"/>
              </w:numPr>
              <w:spacing w:line="300" w:lineRule="exact"/>
              <w:ind w:left="0" w:firstLine="0"/>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数据通讯方式：USB，无需额外供电，只需一根 USB 连接至设备使用，简洁方便</w:t>
            </w:r>
          </w:p>
          <w:p>
            <w:pPr>
              <w:numPr>
                <w:ilvl w:val="0"/>
                <w:numId w:val="7"/>
              </w:numPr>
              <w:spacing w:line="300" w:lineRule="exact"/>
              <w:ind w:left="0" w:firstLine="0"/>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要求支持HID 技术：支持免驱、有驱双模式自由切换， 支持Win7\8\10\MAC\Linux\Android系统，在Win7\8\10\Linux\Android系统下无须安装驱动即可实现桌面触控、书写及图片放大、缩小、旋转。</w:t>
            </w:r>
          </w:p>
          <w:p>
            <w:pPr>
              <w:numPr>
                <w:ilvl w:val="0"/>
                <w:numId w:val="7"/>
              </w:numPr>
              <w:spacing w:line="300" w:lineRule="exact"/>
              <w:ind w:left="0" w:firstLine="0"/>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抗遮挡要求：要求触摸边框底部被遮挡不超过 80%（例如粉尘或灰尘掉落堆积等），仍能在Win系统自带的“画图”软件中实现单手三指及以上同时划线，所划线条连续快速，无串线、无断线、无跳线现象；</w:t>
            </w:r>
          </w:p>
          <w:p>
            <w:pPr>
              <w:numPr>
                <w:ilvl w:val="0"/>
                <w:numId w:val="7"/>
              </w:numPr>
              <w:spacing w:line="300" w:lineRule="exact"/>
              <w:ind w:left="0" w:firstLine="0"/>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容错、抗扭曲要求：要求触摸元器件不连续损坏 15%，损坏或触摸框扭曲变形达到 10 度或以上时仍然可以触控；</w:t>
            </w:r>
          </w:p>
          <w:p>
            <w:pPr>
              <w:numPr>
                <w:ilvl w:val="0"/>
                <w:numId w:val="7"/>
              </w:numPr>
              <w:spacing w:line="300" w:lineRule="exact"/>
              <w:ind w:left="0" w:firstLine="0"/>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防手掌误按要求：要求在Win系统自带的“画图” 软件中，当手掌按在板面上时，能够同时在所按手掌边缘的5厘米距离处连续画出手掌的轮廓线条，并能同时在所划轮廓线条边缘的四个方向，进行书写，所划线条连续快速，无串线、无断线、无跳线现象；</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 软件要求：</w:t>
            </w:r>
          </w:p>
          <w:p>
            <w:pPr>
              <w:numPr>
                <w:ilvl w:val="0"/>
                <w:numId w:val="8"/>
              </w:numPr>
              <w:spacing w:line="300" w:lineRule="exact"/>
              <w:ind w:left="0" w:firstLine="0"/>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本地文档打开调用工具：要求直接打开本地 PPT、excel、word 文件，软件自动调起桌面小工具，进入桌面模式，可对文件进行标记、擦除、截图发起投票、分享、保存；</w:t>
            </w:r>
          </w:p>
          <w:p>
            <w:pPr>
              <w:numPr>
                <w:ilvl w:val="0"/>
                <w:numId w:val="8"/>
              </w:numPr>
              <w:spacing w:line="300" w:lineRule="exact"/>
              <w:ind w:left="0" w:firstLine="0"/>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具备微信导入、智能手势识别、智能图像识别、精细化擦除以及书写等功能</w:t>
            </w:r>
          </w:p>
          <w:p>
            <w:pPr>
              <w:numPr>
                <w:ilvl w:val="0"/>
                <w:numId w:val="8"/>
              </w:numPr>
              <w:spacing w:line="300" w:lineRule="exact"/>
              <w:ind w:left="0" w:firstLine="0"/>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桌面模式：要求在任意界面内支持使用书写笔和手指书写或标记，且支持单根手指擦除或全屏擦除书写痕迹，支持PPT 全屏播放或退出PPT 全屏播放、上下翻页，进入软件主页面；</w:t>
            </w:r>
          </w:p>
          <w:p>
            <w:pPr>
              <w:numPr>
                <w:ilvl w:val="0"/>
                <w:numId w:val="8"/>
              </w:numPr>
              <w:spacing w:line="300" w:lineRule="exact"/>
              <w:ind w:left="0" w:firstLine="0"/>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截图功能：（1）要求不仅在软件内，在任意界面也可对选取区域截图，发起投票，学生可通过微信扫码后投票答题，投票界面实时显示已投票人数，支持老师选中正确答案后，投票答题结果以饼状图显示，且支持投票记录及发起记录传送至云端存储。（2） 要求不仅在软件内，在任意界面截取选取的内容，学生可通过微信扫码保存至个人移动端，共享内容自动存储至云端。（3）要求不仅在软件内，在任意界面截取选取的内容，支持截取的内容存储至本地，保存格式为PDF 或PNG 格式。4.要求不仅在软件内，在任意界面截取选取的内容可添加至软件主界面内，支持对截取的内容放大、缩小、标记；</w:t>
            </w:r>
          </w:p>
          <w:p>
            <w:pPr>
              <w:numPr>
                <w:ilvl w:val="0"/>
                <w:numId w:val="8"/>
              </w:numPr>
              <w:spacing w:line="300" w:lineRule="exact"/>
              <w:ind w:left="0" w:firstLine="0"/>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页面分享功能：（1）软件主界面内容支持保存至本地及云端。（2）支持选择所需分享的页面，点击确认生成分享二维码，微信扫码可以获取分享内容存储至移动端及自动上传至云端。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Merge w:val="continue"/>
            <w:shd w:val="clear" w:color="auto" w:fill="auto"/>
            <w:vAlign w:val="center"/>
          </w:tcPr>
          <w:p>
            <w:pPr>
              <w:spacing w:line="300" w:lineRule="exact"/>
              <w:rPr>
                <w:rFonts w:ascii="方正仿宋_GBK" w:hAnsi="方正仿宋_GBK" w:eastAsia="方正仿宋_GBK" w:cs="方正仿宋_GBK"/>
                <w:spacing w:val="10"/>
                <w:sz w:val="24"/>
              </w:rPr>
            </w:pPr>
          </w:p>
        </w:tc>
        <w:tc>
          <w:tcPr>
            <w:tcW w:w="767" w:type="pct"/>
            <w:vMerge w:val="continue"/>
            <w:shd w:val="clear" w:color="auto" w:fill="FFFFFF"/>
            <w:vAlign w:val="center"/>
          </w:tcPr>
          <w:p>
            <w:pPr>
              <w:spacing w:line="300" w:lineRule="exact"/>
              <w:rPr>
                <w:rFonts w:ascii="方正仿宋_GBK" w:hAnsi="方正仿宋_GBK" w:eastAsia="方正仿宋_GBK" w:cs="方正仿宋_GBK"/>
                <w:spacing w:val="10"/>
                <w:sz w:val="24"/>
              </w:rPr>
            </w:pPr>
          </w:p>
        </w:tc>
        <w:tc>
          <w:tcPr>
            <w:tcW w:w="379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智能黑板</w:t>
            </w:r>
          </w:p>
          <w:p>
            <w:pPr>
              <w:numPr>
                <w:ilvl w:val="0"/>
                <w:numId w:val="9"/>
              </w:num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硬件及性能要求：</w:t>
            </w:r>
          </w:p>
          <w:p>
            <w:pPr>
              <w:numPr>
                <w:ilvl w:val="0"/>
                <w:numId w:val="9"/>
              </w:num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1）要求采用表面光波触控技术采集板书，整体尺寸≥116 英寸，有效书写尺寸≥ 113 英寸</w:t>
            </w:r>
          </w:p>
          <w:p>
            <w:pPr>
              <w:numPr>
                <w:ilvl w:val="0"/>
                <w:numId w:val="9"/>
              </w:num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2）为保障使用操作空间，要求外框长度≥2600mm，高度≥1409mm 边框采用铝合金材质；</w:t>
            </w:r>
          </w:p>
          <w:p>
            <w:pPr>
              <w:numPr>
                <w:ilvl w:val="0"/>
                <w:numId w:val="9"/>
              </w:num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3）正面无角件设计， 整体简洁美观， 边角采用圆角打磨设计，防刮手，安全系数高；</w:t>
            </w:r>
          </w:p>
          <w:p>
            <w:pPr>
              <w:numPr>
                <w:ilvl w:val="0"/>
                <w:numId w:val="9"/>
              </w:num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4）书写面板采用绿色可书写纳米面板，厚度≥0.35mm,涂层采用纳米辊涂烤漆技术，板面正面涂层≥30μ m。采用高温辊涂烤漆处理，亚光防眩光处理，具有护眼功能，书写流畅，字迹清晰、可视效果佳； 板面强度高，涂层硬度≥6H，安全可靠，书写方便； 具有卓越的可擦性且无重影，板面支持磁性材料吸附；</w:t>
            </w:r>
          </w:p>
          <w:p>
            <w:pPr>
              <w:numPr>
                <w:ilvl w:val="0"/>
                <w:numId w:val="10"/>
              </w:num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数据通讯方式：USB，无需额外供电，黑板端只需一根 USB 连接至多种多媒体设备使用，简洁方便。</w:t>
            </w:r>
          </w:p>
          <w:p>
            <w:pPr>
              <w:numPr>
                <w:ilvl w:val="0"/>
                <w:numId w:val="10"/>
              </w:num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为保证最大化板面书写面积，板面无任何快捷键， 要求边框宽度≤30mm；</w:t>
            </w:r>
          </w:p>
          <w:p>
            <w:pPr>
              <w:numPr>
                <w:ilvl w:val="0"/>
                <w:numId w:val="10"/>
              </w:num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具有笔拖设计可放置粉笔及板擦，笔拖边缘圆角打磨，防刮手，安全系数高。</w:t>
            </w:r>
          </w:p>
          <w:p>
            <w:pPr>
              <w:numPr>
                <w:ilvl w:val="0"/>
                <w:numId w:val="10"/>
              </w:num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物体识别：粉笔在智能黑板上书写，软件内最小可识别点≥2.5*2.5mm 的笔尖的笔迹。</w:t>
            </w:r>
          </w:p>
          <w:p>
            <w:pPr>
              <w:numPr>
                <w:ilvl w:val="0"/>
                <w:numId w:val="10"/>
              </w:num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抗损坏：要求传感器不连续损坏≥15%的情况下， 仍可正常触控书写，并能正常记录笔迹；</w:t>
            </w:r>
          </w:p>
          <w:p>
            <w:pPr>
              <w:numPr>
                <w:ilvl w:val="0"/>
                <w:numId w:val="10"/>
              </w:num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抗强光要求：要求红外照射度≥220Lux，要求≥10WLux 下产品能正常书写划线；</w:t>
            </w:r>
          </w:p>
          <w:p>
            <w:pPr>
              <w:numPr>
                <w:ilvl w:val="0"/>
                <w:numId w:val="10"/>
              </w:num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支持免驱、有驱双模式自由切换。支持Win7\8\10\MAC\Linux\Android 系统，在Win7\8\10 \ Linux\Android 系统下无须安装驱动即可实现桌面 触控、书写及图片 放大、缩小、旋转。</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为保障书写效果，要求功耗≤1W；帧率≥134 帧， 报告分辨率 32768* 32768，触控高度≤3mm，触控响应速度≤2ms，触控精度≤±1mm；</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2.智能黑板软件要求</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1)多点支持：软件支持 20 点触控，可 20 点同时书写， 要求双十指可同时划线，连续快速，无串线、无断线、无跳线现象；</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2)互联网功能：支持手机微信扫描二维码登陆云储存空间、无需输入任何账户密码，无需注册即可登陆, 方便老师登陆；</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3)云平台功能：要求登陆后，老师可将资源保存到云端，也可从云端调取资源使用。在白板上书写的任意内容、多媒体资源可保存到云端的私有空间，供老师课后分享给学生；</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4)投票功能：支持单选、多选以及问答题投票作答， 老师在白板上书写或资料中截取的考题，学生可通过微信投票答题，并将答题结果柱状图/饼状图显示在软件上，且支持统计结果传送到云端存储，记录学生掌握知识情况；</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5)桌面模式：桌面模式下可以实现对文档的标注、截图、快捷播放 PPT 和翻页；</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6)智能手势识别功能:要求具有自动手势（手指操作）识别切换书写笔、电子板檫、页面放大、页面缩小、对象资源放大、对象资源缩小、移动页面、翻页等功能，以上功能无需点击任何软硬件按钮、无需使用任何辅助工具就可无缝切换；手掌，或者大物体识别成橡皮擦模式；</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7)书写功能：可选择黑笔、红笔、彩笔、毛笔、图形五种模式；要求支持识别书写的笔尖粗细，使用普通触控笔或毛笔时可根据接触面积不同形成不同大小 的笔迹，无需按钮切换自动识别；</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8)资源导入功能：要求教学软件可实现图片，视频， ppt、word，pdf 等教学资源文件与书写内容在同一页面下共存显示排列，并且用户可同时多人用手势操作ppt，word，pdf，图片等资源文件的书写标注、放大、缩小、旋转、拖拽，方便多人同时互动操作；</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9)多人操作：要求软件支持多人同时操作。支持多人同时书写或支持一人书写、另一人擦除另一边的笔迹等并行操作等，适合多个学生同时进行答题等场景；</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10)资源管理器功能：资源管理器在进行文件选取操作时，支持资源中央悬停，方便使用者在不同大小屏幕上都可以触碰到需要打开的资源，无需借助教鞭等辅助工具；进入文件夹中可以通过右拉手势返回上一级；</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11)互联互动功能：要求软件可通过互联网建立远程互动教学，并可通过互联网对书写笔迹、多媒体文档、语音（有语音设备接入时）与其他白板软件用户进行即时动态同步；支持发现同个局域网的智慧黑板软件，可以直接邀请对方加入互动。可支持 3 方以上同时互动，要求带宽占用小于 1MB/s 连接的任一一方书写的笔迹、导入的多媒体文档都可以同步到其他参与互动的场景中。让远程教学、研讨更加方便；</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12)资源教学功能：全屏播放多媒体文件或常用格式文档时，通过手势操作完成书写、擦除、放大缩小、翻页，无需借助按钮。一指书写、两指放大缩小、多指翻页符合使用者日常使用习惯；</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13）课程轨迹记录功能：在主版面可放大缩小移动， 无限的版面大小对书写区域没有限制，书写后移动放大缩小版面在其他区域书写后，可自动记录书写位置，可通过时间轴快速跳转到书写操作的位置，方便书写后快速找到之前的书写内容。同时可以通过缩略图的形式查看书写区域的内容，方便查找。整个过程无需人工干预，全自动记录；</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14）微信传图与遥控：打开手机微信扫描软件右侧资源栏的二维码后，可实现：1、可发送手机图片到软件，传输完成后，可拖拽到主场景进行浏览；2、可以通过手机发送翻页指令，控制软件上的 PPT、PDF 进行翻页操作；功能无需连接特定WIFI，通过手机2/3/4G 网络即可完成；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Merge w:val="continue"/>
            <w:shd w:val="clear" w:color="auto" w:fill="auto"/>
            <w:vAlign w:val="center"/>
          </w:tcPr>
          <w:p>
            <w:pPr>
              <w:spacing w:line="300" w:lineRule="exact"/>
              <w:rPr>
                <w:rFonts w:ascii="方正仿宋_GBK" w:hAnsi="方正仿宋_GBK" w:eastAsia="方正仿宋_GBK" w:cs="方正仿宋_GBK"/>
                <w:spacing w:val="10"/>
                <w:sz w:val="24"/>
              </w:rPr>
            </w:pPr>
          </w:p>
        </w:tc>
        <w:tc>
          <w:tcPr>
            <w:tcW w:w="767" w:type="pct"/>
            <w:vMerge w:val="continue"/>
            <w:shd w:val="clear" w:color="auto" w:fill="FFFFFF"/>
            <w:vAlign w:val="center"/>
          </w:tcPr>
          <w:p>
            <w:pPr>
              <w:spacing w:line="300" w:lineRule="exact"/>
              <w:rPr>
                <w:rFonts w:ascii="方正仿宋_GBK" w:hAnsi="方正仿宋_GBK" w:eastAsia="方正仿宋_GBK" w:cs="方正仿宋_GBK"/>
                <w:spacing w:val="10"/>
                <w:sz w:val="24"/>
              </w:rPr>
            </w:pPr>
          </w:p>
        </w:tc>
        <w:tc>
          <w:tcPr>
            <w:tcW w:w="3797" w:type="pct"/>
            <w:shd w:val="clear" w:color="auto" w:fill="FFFFFF"/>
            <w:vAlign w:val="center"/>
          </w:tcPr>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综合布线</w:t>
            </w:r>
          </w:p>
          <w:p>
            <w:pPr>
              <w:spacing w:line="300" w:lineRule="exact"/>
              <w:rPr>
                <w:rFonts w:ascii="方正仿宋_GBK" w:hAnsi="方正仿宋_GBK" w:eastAsia="方正仿宋_GBK" w:cs="方正仿宋_GBK"/>
                <w:spacing w:val="10"/>
                <w:sz w:val="24"/>
              </w:rPr>
            </w:pPr>
            <w:r>
              <w:rPr>
                <w:rFonts w:hint="eastAsia" w:ascii="方正仿宋_GBK" w:hAnsi="方正仿宋_GBK" w:eastAsia="方正仿宋_GBK" w:cs="方正仿宋_GBK"/>
                <w:spacing w:val="10"/>
                <w:sz w:val="24"/>
              </w:rPr>
              <w:t>符合相关国家标准，按照相关规定进行施工安装，线缆及耗材符合相关质量标准并且出厂检验合格；</w:t>
            </w:r>
          </w:p>
        </w:tc>
      </w:tr>
    </w:tbl>
    <w:p>
      <w:pPr>
        <w:spacing w:line="360" w:lineRule="auto"/>
        <w:rPr>
          <w:rFonts w:ascii="宋体" w:hAnsi="宋体" w:cs="宋体"/>
          <w:sz w:val="24"/>
        </w:rPr>
      </w:pPr>
    </w:p>
    <w:p>
      <w:pPr>
        <w:pStyle w:val="12"/>
        <w:ind w:firstLine="240"/>
        <w:rPr>
          <w:rFonts w:cs="宋体"/>
        </w:rPr>
        <w:sectPr>
          <w:headerReference r:id="rId10" w:type="default"/>
          <w:footerReference r:id="rId11" w:type="default"/>
          <w:pgSz w:w="11907" w:h="16840"/>
          <w:pgMar w:top="1134" w:right="1417" w:bottom="1134" w:left="1417" w:header="851" w:footer="851" w:gutter="0"/>
          <w:cols w:space="720" w:num="1"/>
          <w:docGrid w:linePitch="462" w:charSpace="0"/>
        </w:sectPr>
      </w:pPr>
    </w:p>
    <w:p>
      <w:pPr>
        <w:ind w:firstLine="482" w:firstLineChars="200"/>
        <w:rPr>
          <w:b/>
          <w:bCs/>
          <w:sz w:val="24"/>
          <w:u w:val="single"/>
        </w:rPr>
      </w:pPr>
    </w:p>
    <w:p>
      <w:pPr>
        <w:widowControl/>
        <w:snapToGrid w:val="0"/>
        <w:spacing w:line="400" w:lineRule="exact"/>
        <w:ind w:left="265" w:leftChars="126"/>
        <w:jc w:val="left"/>
        <w:rPr>
          <w:rFonts w:ascii="宋体" w:hAnsi="宋体" w:cs="宋体"/>
          <w:b/>
          <w:sz w:val="24"/>
        </w:rPr>
      </w:pPr>
      <w:r>
        <w:rPr>
          <w:rFonts w:hint="eastAsia" w:ascii="宋体" w:hAnsi="宋体" w:cs="宋体"/>
          <w:b/>
          <w:sz w:val="24"/>
        </w:rPr>
        <w:t>二、售后服务</w:t>
      </w:r>
    </w:p>
    <w:p>
      <w:pPr>
        <w:widowControl/>
        <w:snapToGrid w:val="0"/>
        <w:spacing w:line="400" w:lineRule="exact"/>
        <w:ind w:left="265" w:leftChars="126" w:firstLine="480" w:firstLineChars="200"/>
        <w:jc w:val="left"/>
        <w:rPr>
          <w:rFonts w:ascii="宋体" w:hAnsi="宋体" w:cs="宋体"/>
          <w:bCs/>
          <w:sz w:val="24"/>
        </w:rPr>
      </w:pPr>
      <w:r>
        <w:rPr>
          <w:rFonts w:hint="eastAsia" w:ascii="宋体" w:hAnsi="宋体" w:cs="宋体"/>
          <w:bCs/>
          <w:sz w:val="24"/>
        </w:rPr>
        <w:t>所投硬件、软件须提供叁年质保及终生维护，使用期间提供24小时技术咨询服务。软件</w:t>
      </w:r>
      <w:r>
        <w:rPr>
          <w:rFonts w:ascii="宋体" w:hAnsi="宋体" w:cs="宋体"/>
          <w:bCs/>
          <w:sz w:val="24"/>
        </w:rPr>
        <w:t>5</w:t>
      </w:r>
      <w:r>
        <w:rPr>
          <w:rFonts w:hint="eastAsia" w:ascii="宋体" w:hAnsi="宋体" w:cs="宋体"/>
          <w:bCs/>
          <w:sz w:val="24"/>
        </w:rPr>
        <w:t>年内免费升级。</w:t>
      </w:r>
    </w:p>
    <w:p>
      <w:pPr>
        <w:widowControl/>
        <w:snapToGrid w:val="0"/>
        <w:spacing w:line="400" w:lineRule="exact"/>
        <w:ind w:left="265" w:leftChars="126"/>
        <w:jc w:val="left"/>
        <w:rPr>
          <w:rFonts w:ascii="宋体" w:hAnsi="宋体" w:cs="宋体"/>
          <w:bCs/>
          <w:sz w:val="24"/>
        </w:rPr>
      </w:pPr>
      <w:r>
        <w:rPr>
          <w:rFonts w:hint="eastAsia" w:ascii="宋体" w:hAnsi="宋体" w:cs="宋体"/>
          <w:bCs/>
          <w:sz w:val="24"/>
        </w:rPr>
        <w:t>2.1 质保期：验收合格后，质量保证期3年。</w:t>
      </w:r>
    </w:p>
    <w:p>
      <w:pPr>
        <w:widowControl/>
        <w:snapToGrid w:val="0"/>
        <w:spacing w:line="400" w:lineRule="exact"/>
        <w:ind w:left="265" w:leftChars="126"/>
        <w:jc w:val="left"/>
        <w:rPr>
          <w:rFonts w:ascii="宋体" w:hAnsi="宋体" w:cs="宋体"/>
          <w:bCs/>
          <w:sz w:val="24"/>
        </w:rPr>
      </w:pPr>
      <w:r>
        <w:rPr>
          <w:rFonts w:hint="eastAsia" w:ascii="宋体" w:hAnsi="宋体" w:cs="宋体"/>
          <w:bCs/>
          <w:sz w:val="24"/>
        </w:rPr>
        <w:t>2.2 故障服务：设备出现故障时，供货方得到通知 3 日内派维修人员到达用户现场维修。</w:t>
      </w:r>
    </w:p>
    <w:p>
      <w:pPr>
        <w:widowControl/>
        <w:snapToGrid w:val="0"/>
        <w:spacing w:line="400" w:lineRule="exact"/>
        <w:ind w:left="265" w:leftChars="126"/>
        <w:jc w:val="left"/>
        <w:rPr>
          <w:rFonts w:ascii="宋体" w:hAnsi="宋体" w:cs="宋体"/>
          <w:bCs/>
          <w:sz w:val="24"/>
        </w:rPr>
      </w:pPr>
      <w:r>
        <w:rPr>
          <w:rFonts w:hint="eastAsia" w:ascii="宋体" w:hAnsi="宋体" w:cs="宋体"/>
          <w:bCs/>
          <w:sz w:val="24"/>
        </w:rPr>
        <w:t>2.3技术资料：免费提供该设备全套技术资料。</w:t>
      </w:r>
    </w:p>
    <w:p>
      <w:pPr>
        <w:widowControl/>
        <w:snapToGrid w:val="0"/>
        <w:spacing w:line="400" w:lineRule="exact"/>
        <w:ind w:left="265" w:leftChars="126"/>
        <w:jc w:val="left"/>
        <w:rPr>
          <w:rFonts w:ascii="宋体" w:hAnsi="宋体" w:cs="宋体"/>
          <w:bCs/>
          <w:sz w:val="24"/>
        </w:rPr>
      </w:pPr>
      <w:r>
        <w:rPr>
          <w:rFonts w:hint="eastAsia" w:ascii="宋体" w:hAnsi="宋体" w:cs="宋体"/>
          <w:bCs/>
          <w:sz w:val="24"/>
        </w:rPr>
        <w:t>2.4 验收标准：满足国家相关行业标准。</w:t>
      </w:r>
    </w:p>
    <w:p>
      <w:pPr>
        <w:ind w:firstLine="240" w:firstLineChars="100"/>
        <w:rPr>
          <w:highlight w:val="yellow"/>
        </w:rPr>
      </w:pPr>
      <w:r>
        <w:rPr>
          <w:rFonts w:hint="eastAsia" w:ascii="宋体" w:hAnsi="宋体" w:cs="宋体"/>
          <w:bCs/>
          <w:sz w:val="24"/>
        </w:rPr>
        <w:t>2.5其他要求：必须免费提供硬件使用培训资料、软件升级服务和免费使用培训。验收前完成设备使用培训，提供每一台设备标准印制的彩印说明书。</w:t>
      </w:r>
    </w:p>
    <w:p>
      <w:pPr>
        <w:rPr>
          <w:b/>
          <w:bCs/>
          <w:sz w:val="24"/>
        </w:rPr>
      </w:pPr>
    </w:p>
    <w:p>
      <w:pPr>
        <w:pStyle w:val="9"/>
        <w:rPr>
          <w:sz w:val="24"/>
        </w:rPr>
      </w:pPr>
    </w:p>
    <w:p>
      <w:pPr>
        <w:pStyle w:val="9"/>
        <w:ind w:firstLine="0"/>
      </w:pPr>
    </w:p>
    <w:p/>
    <w:p>
      <w:pPr>
        <w:pStyle w:val="4"/>
        <w:pageBreakBefore/>
        <w:tabs>
          <w:tab w:val="left" w:pos="0"/>
        </w:tabs>
        <w:spacing w:before="0" w:after="0" w:line="240" w:lineRule="atLeast"/>
        <w:ind w:left="-17"/>
        <w:rPr>
          <w:rFonts w:ascii="仿宋_GB2312" w:eastAsia="仿宋_GB2312"/>
        </w:rPr>
      </w:pPr>
      <w:bookmarkStart w:id="455" w:name="_Toc17188"/>
      <w:r>
        <w:rPr>
          <w:rFonts w:hint="eastAsia" w:ascii="仿宋_GB2312" w:eastAsia="仿宋_GB2312"/>
        </w:rPr>
        <w:t xml:space="preserve">第6章  </w:t>
      </w:r>
      <w:bookmarkStart w:id="456" w:name="_Toc7971"/>
      <w:bookmarkStart w:id="457" w:name="_Toc507399907"/>
      <w:bookmarkStart w:id="458" w:name="_Toc32647"/>
      <w:bookmarkStart w:id="459" w:name="_Toc515647832"/>
      <w:r>
        <w:rPr>
          <w:rFonts w:hint="eastAsia" w:ascii="仿宋_GB2312" w:eastAsia="仿宋_GB2312"/>
        </w:rPr>
        <w:t>评标方法和标准</w:t>
      </w:r>
      <w:bookmarkEnd w:id="452"/>
      <w:bookmarkEnd w:id="453"/>
      <w:bookmarkEnd w:id="454"/>
      <w:bookmarkEnd w:id="455"/>
      <w:bookmarkEnd w:id="456"/>
      <w:bookmarkEnd w:id="457"/>
      <w:bookmarkEnd w:id="458"/>
      <w:bookmarkEnd w:id="459"/>
    </w:p>
    <w:p>
      <w:pPr>
        <w:pStyle w:val="11"/>
        <w:tabs>
          <w:tab w:val="clear" w:pos="567"/>
        </w:tabs>
        <w:spacing w:before="0" w:line="240" w:lineRule="atLeast"/>
        <w:ind w:firstLine="540" w:firstLineChars="225"/>
      </w:pPr>
    </w:p>
    <w:p>
      <w:pPr>
        <w:pStyle w:val="11"/>
        <w:tabs>
          <w:tab w:val="clear" w:pos="567"/>
        </w:tabs>
        <w:spacing w:before="0" w:line="240" w:lineRule="atLeast"/>
        <w:ind w:firstLine="540" w:firstLineChars="225"/>
      </w:pPr>
      <w:r>
        <w:rPr>
          <w:rFonts w:hint="eastAsia"/>
        </w:rPr>
        <w:t>本项目将按照招标文件第一章投标人须知中“五 开标及评标”、“六 确定中标”及本章的规定评标。</w:t>
      </w:r>
    </w:p>
    <w:p>
      <w:pPr>
        <w:ind w:firstLine="460" w:firstLineChars="192"/>
        <w:rPr>
          <w:rFonts w:ascii="宋体" w:hAnsi="宋体"/>
          <w:sz w:val="24"/>
        </w:rPr>
      </w:pPr>
      <w:r>
        <w:rPr>
          <w:rFonts w:hint="eastAsia" w:ascii="宋体" w:hAnsi="宋体"/>
          <w:sz w:val="24"/>
        </w:rPr>
        <w:t>一、评标依据</w:t>
      </w:r>
    </w:p>
    <w:p>
      <w:pPr>
        <w:ind w:firstLine="460" w:firstLineChars="192"/>
        <w:rPr>
          <w:rFonts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ind w:firstLine="460" w:firstLineChars="192"/>
        <w:rPr>
          <w:rFonts w:ascii="宋体" w:hAnsi="宋体"/>
          <w:sz w:val="24"/>
        </w:rPr>
      </w:pPr>
      <w:r>
        <w:rPr>
          <w:rFonts w:hint="eastAsia" w:ascii="宋体" w:hAnsi="宋体"/>
          <w:sz w:val="24"/>
        </w:rPr>
        <w:t>2、评标的依据是招标文件及其补充通知、投标人的投标文件及其澄清文件以及本评标办法。</w:t>
      </w:r>
    </w:p>
    <w:p>
      <w:pPr>
        <w:ind w:firstLine="460" w:firstLineChars="192"/>
        <w:rPr>
          <w:rFonts w:ascii="宋体" w:hAnsi="宋体"/>
          <w:sz w:val="24"/>
        </w:rPr>
      </w:pPr>
      <w:r>
        <w:rPr>
          <w:rFonts w:hint="eastAsia" w:ascii="宋体" w:hAnsi="宋体"/>
          <w:sz w:val="24"/>
        </w:rPr>
        <w:t>3、本项目评标采用</w:t>
      </w:r>
      <w:r>
        <w:rPr>
          <w:rFonts w:hint="eastAsia" w:ascii="宋体" w:hAnsi="宋体"/>
          <w:b/>
          <w:sz w:val="24"/>
        </w:rPr>
        <w:t>综合评分法</w:t>
      </w:r>
      <w:r>
        <w:rPr>
          <w:rFonts w:hint="eastAsia" w:ascii="宋体" w:hAnsi="宋体"/>
          <w:sz w:val="24"/>
        </w:rPr>
        <w:t>。</w:t>
      </w:r>
    </w:p>
    <w:p>
      <w:pPr>
        <w:ind w:firstLine="460" w:firstLineChars="192"/>
        <w:rPr>
          <w:rFonts w:ascii="宋体" w:hAnsi="宋体"/>
          <w:sz w:val="24"/>
        </w:rPr>
      </w:pPr>
      <w:r>
        <w:rPr>
          <w:rFonts w:hint="eastAsia" w:ascii="宋体" w:hAnsi="宋体"/>
          <w:sz w:val="24"/>
        </w:rPr>
        <w:t>二、评标委员会</w:t>
      </w:r>
    </w:p>
    <w:p>
      <w:pPr>
        <w:ind w:firstLine="460" w:firstLineChars="192"/>
        <w:rPr>
          <w:rFonts w:ascii="宋体" w:hAnsi="宋体"/>
          <w:sz w:val="24"/>
        </w:rPr>
      </w:pPr>
      <w:r>
        <w:rPr>
          <w:rFonts w:hint="eastAsia" w:ascii="宋体" w:hAnsi="宋体"/>
          <w:sz w:val="24"/>
        </w:rPr>
        <w:t>招标机构将按照《中华人民共和国招标投标法》、中华人民共和国财政部令第87号《政府采购货物和服务招标投标管理办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ind w:firstLine="463" w:firstLineChars="192"/>
        <w:rPr>
          <w:rFonts w:ascii="宋体" w:hAnsi="宋体"/>
          <w:b/>
          <w:sz w:val="24"/>
        </w:rPr>
      </w:pPr>
      <w:r>
        <w:rPr>
          <w:rFonts w:hint="eastAsia" w:ascii="宋体" w:hAnsi="宋体"/>
          <w:b/>
          <w:sz w:val="24"/>
        </w:rPr>
        <w:t>特别说明：为保证本项目服务质量，良好的售后服务；最低报价不作为中标的唯一依据。</w:t>
      </w:r>
    </w:p>
    <w:p>
      <w:pPr>
        <w:ind w:firstLine="460" w:firstLineChars="192"/>
        <w:rPr>
          <w:rFonts w:ascii="宋体" w:hAnsi="宋体"/>
          <w:sz w:val="24"/>
        </w:rPr>
      </w:pPr>
      <w:r>
        <w:rPr>
          <w:rFonts w:hint="eastAsia" w:ascii="宋体" w:hAnsi="宋体"/>
          <w:sz w:val="24"/>
        </w:rPr>
        <w:t>三、投标文件的澄清</w:t>
      </w:r>
    </w:p>
    <w:p>
      <w:pPr>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ind w:firstLine="460" w:firstLineChars="192"/>
        <w:rPr>
          <w:rFonts w:ascii="宋体" w:hAnsi="宋体"/>
          <w:sz w:val="24"/>
        </w:rPr>
      </w:pPr>
      <w:r>
        <w:rPr>
          <w:rFonts w:hint="eastAsia" w:ascii="宋体" w:hAnsi="宋体"/>
          <w:sz w:val="24"/>
        </w:rPr>
        <w:t>四、对投标文件的评估和比较</w:t>
      </w:r>
    </w:p>
    <w:p>
      <w:pPr>
        <w:ind w:firstLine="460" w:firstLineChars="192"/>
        <w:rPr>
          <w:rFonts w:ascii="宋体" w:hAnsi="宋体"/>
          <w:sz w:val="24"/>
        </w:rPr>
      </w:pPr>
      <w:r>
        <w:rPr>
          <w:rFonts w:hint="eastAsia" w:ascii="宋体" w:hAnsi="宋体"/>
          <w:sz w:val="24"/>
        </w:rPr>
        <w:t>1、对实质性响应的投标文件进行评估和比较。</w:t>
      </w:r>
    </w:p>
    <w:p>
      <w:pPr>
        <w:ind w:firstLine="460" w:firstLineChars="192"/>
        <w:rPr>
          <w:rFonts w:ascii="宋体" w:hAnsi="宋体"/>
          <w:sz w:val="24"/>
        </w:rPr>
      </w:pPr>
      <w:r>
        <w:rPr>
          <w:rFonts w:hint="eastAsia" w:ascii="宋体" w:hAnsi="宋体"/>
          <w:sz w:val="24"/>
        </w:rPr>
        <w:t>2、除考虑投标价格外，还应考虑以下因素：</w:t>
      </w:r>
    </w:p>
    <w:p>
      <w:pPr>
        <w:ind w:firstLine="460" w:firstLineChars="192"/>
        <w:rPr>
          <w:rFonts w:ascii="宋体" w:hAnsi="宋体"/>
          <w:sz w:val="24"/>
        </w:rPr>
      </w:pPr>
      <w:r>
        <w:rPr>
          <w:rFonts w:hint="eastAsia" w:ascii="宋体" w:hAnsi="宋体"/>
          <w:sz w:val="24"/>
        </w:rPr>
        <w:t>1.投标的材料、设备采购及配套安装、完成期限超过招标文件规定期限；</w:t>
      </w:r>
    </w:p>
    <w:p>
      <w:pPr>
        <w:ind w:firstLine="460" w:firstLineChars="192"/>
        <w:rPr>
          <w:rFonts w:ascii="宋体" w:hAnsi="宋体"/>
          <w:sz w:val="24"/>
        </w:rPr>
      </w:pPr>
      <w:r>
        <w:rPr>
          <w:rFonts w:hint="eastAsia" w:ascii="宋体" w:hAnsi="宋体"/>
          <w:sz w:val="24"/>
        </w:rPr>
        <w:t>2.投标文件载明的技术规格、技术标准、货物包装方式、检验标准和方法等，不符合招标文件要求的；</w:t>
      </w:r>
    </w:p>
    <w:p>
      <w:pPr>
        <w:ind w:firstLine="460" w:firstLineChars="192"/>
        <w:rPr>
          <w:rFonts w:ascii="宋体" w:hAnsi="宋体"/>
          <w:sz w:val="24"/>
        </w:rPr>
      </w:pPr>
      <w:r>
        <w:rPr>
          <w:rFonts w:hint="eastAsia" w:ascii="宋体" w:hAnsi="宋体"/>
          <w:sz w:val="24"/>
        </w:rPr>
        <w:t>3.提供供货、安装服务、施工能力；</w:t>
      </w:r>
    </w:p>
    <w:p>
      <w:pPr>
        <w:ind w:firstLine="460" w:firstLineChars="192"/>
        <w:rPr>
          <w:rFonts w:ascii="宋体" w:hAnsi="宋体"/>
          <w:sz w:val="24"/>
        </w:rPr>
      </w:pPr>
      <w:r>
        <w:rPr>
          <w:rFonts w:hint="eastAsia" w:ascii="宋体" w:hAnsi="宋体"/>
          <w:sz w:val="24"/>
        </w:rPr>
        <w:t>4.是否改变招标文件提供的采购清单中的计量单位、数量的；</w:t>
      </w:r>
    </w:p>
    <w:p>
      <w:pPr>
        <w:ind w:firstLine="460" w:firstLineChars="192"/>
        <w:rPr>
          <w:rFonts w:ascii="宋体" w:hAnsi="宋体"/>
          <w:sz w:val="24"/>
        </w:rPr>
      </w:pPr>
      <w:r>
        <w:rPr>
          <w:rFonts w:hint="eastAsia" w:ascii="宋体" w:hAnsi="宋体"/>
          <w:sz w:val="24"/>
        </w:rPr>
        <w:t>5.产品的质量和适用性；</w:t>
      </w:r>
    </w:p>
    <w:p>
      <w:pPr>
        <w:ind w:firstLine="463" w:firstLineChars="192"/>
        <w:rPr>
          <w:rFonts w:ascii="宋体" w:hAnsi="宋体"/>
          <w:b/>
          <w:bCs/>
          <w:sz w:val="24"/>
        </w:rPr>
      </w:pPr>
      <w:r>
        <w:rPr>
          <w:rFonts w:hint="eastAsia" w:ascii="宋体" w:hAnsi="宋体"/>
          <w:b/>
          <w:bCs/>
          <w:sz w:val="24"/>
        </w:rPr>
        <w:t>6.投标人提供的材料、设备采购及配套安装实施方案、技术措施等不能证明其未以低于生产成本投标的；</w:t>
      </w:r>
    </w:p>
    <w:p>
      <w:pPr>
        <w:ind w:firstLine="460" w:firstLineChars="192"/>
        <w:rPr>
          <w:rFonts w:ascii="宋体" w:hAnsi="宋体"/>
          <w:sz w:val="24"/>
        </w:rPr>
      </w:pPr>
      <w:r>
        <w:rPr>
          <w:rFonts w:hint="eastAsia" w:ascii="宋体" w:hAnsi="宋体"/>
          <w:sz w:val="24"/>
        </w:rPr>
        <w:t>7.配套供货、安装服务设备的安全性；</w:t>
      </w:r>
    </w:p>
    <w:p>
      <w:pPr>
        <w:ind w:firstLine="460" w:firstLineChars="192"/>
        <w:rPr>
          <w:rFonts w:ascii="宋体" w:hAnsi="宋体"/>
          <w:sz w:val="24"/>
        </w:rPr>
      </w:pPr>
      <w:r>
        <w:rPr>
          <w:rFonts w:hint="eastAsia" w:ascii="宋体" w:hAnsi="宋体"/>
          <w:sz w:val="24"/>
        </w:rPr>
        <w:t>8.零备件、专用工具及相关服务的费用；</w:t>
      </w:r>
    </w:p>
    <w:p>
      <w:pPr>
        <w:ind w:firstLine="460" w:firstLineChars="192"/>
        <w:rPr>
          <w:rFonts w:ascii="宋体" w:hAnsi="宋体"/>
          <w:sz w:val="24"/>
        </w:rPr>
      </w:pPr>
      <w:r>
        <w:rPr>
          <w:rFonts w:hint="eastAsia" w:ascii="宋体" w:hAnsi="宋体"/>
          <w:sz w:val="24"/>
        </w:rPr>
        <w:t>9.招标文件中所要求的有关服务的费用；</w:t>
      </w:r>
    </w:p>
    <w:p>
      <w:pPr>
        <w:ind w:firstLine="460" w:firstLineChars="192"/>
        <w:rPr>
          <w:rFonts w:ascii="宋体" w:hAnsi="宋体"/>
          <w:sz w:val="24"/>
        </w:rPr>
      </w:pPr>
      <w:r>
        <w:rPr>
          <w:rFonts w:hint="eastAsia" w:ascii="宋体" w:hAnsi="宋体"/>
          <w:sz w:val="24"/>
        </w:rPr>
        <w:t>10.发货到最终目的地的内陆运输、保险及其他费用。</w:t>
      </w:r>
    </w:p>
    <w:p>
      <w:pPr>
        <w:ind w:firstLine="460" w:firstLineChars="192"/>
        <w:rPr>
          <w:rFonts w:ascii="宋体" w:hAnsi="宋体"/>
          <w:sz w:val="24"/>
        </w:rPr>
      </w:pPr>
      <w:r>
        <w:rPr>
          <w:rFonts w:hint="eastAsia" w:ascii="宋体" w:hAnsi="宋体"/>
          <w:sz w:val="24"/>
        </w:rPr>
        <w:t>11.投标文件附有招标人不能接受条件的；</w:t>
      </w:r>
    </w:p>
    <w:p>
      <w:pPr>
        <w:ind w:firstLine="460" w:firstLineChars="192"/>
        <w:rPr>
          <w:rFonts w:ascii="宋体" w:hAnsi="宋体"/>
          <w:sz w:val="24"/>
        </w:rPr>
      </w:pPr>
      <w:r>
        <w:rPr>
          <w:rFonts w:hint="eastAsia" w:ascii="宋体" w:hAnsi="宋体"/>
          <w:sz w:val="24"/>
        </w:rPr>
        <w:t>12.其他特殊因素（如节能、安全和环保等）。</w:t>
      </w:r>
    </w:p>
    <w:p>
      <w:pPr>
        <w:ind w:firstLine="460" w:firstLineChars="192"/>
        <w:rPr>
          <w:rFonts w:ascii="宋体" w:hAnsi="宋体"/>
          <w:sz w:val="24"/>
        </w:rPr>
      </w:pPr>
      <w:r>
        <w:rPr>
          <w:rFonts w:hint="eastAsia" w:ascii="宋体" w:hAnsi="宋体"/>
          <w:sz w:val="24"/>
        </w:rPr>
        <w:t>五、评标过程的保密</w:t>
      </w:r>
    </w:p>
    <w:p>
      <w:pPr>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ind w:firstLine="460" w:firstLineChars="192"/>
        <w:rPr>
          <w:rFonts w:ascii="宋体" w:hAnsi="宋体"/>
          <w:sz w:val="24"/>
        </w:rPr>
      </w:pPr>
      <w:r>
        <w:rPr>
          <w:rFonts w:hint="eastAsia" w:ascii="宋体" w:hAnsi="宋体"/>
          <w:sz w:val="24"/>
        </w:rPr>
        <w:t>2、投标人在评标过程中，发现其进行力图影响评标结果的不符合《政府采购法》及本项目招标有关规定的活动时，将被取消中标资格。</w:t>
      </w:r>
    </w:p>
    <w:p>
      <w:pPr>
        <w:ind w:firstLine="460" w:firstLineChars="192"/>
        <w:rPr>
          <w:rFonts w:ascii="宋体" w:hAnsi="宋体"/>
          <w:sz w:val="24"/>
        </w:rPr>
      </w:pPr>
      <w:r>
        <w:rPr>
          <w:rFonts w:hint="eastAsia" w:ascii="宋体" w:hAnsi="宋体"/>
          <w:sz w:val="24"/>
        </w:rPr>
        <w:t>六、初步（符合性）评审</w:t>
      </w:r>
    </w:p>
    <w:p>
      <w:pPr>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ind w:firstLine="463" w:firstLineChars="192"/>
      </w:pPr>
      <w:r>
        <w:rPr>
          <w:rFonts w:hint="eastAsia" w:ascii="宋体" w:hAnsi="宋体"/>
          <w:b/>
          <w:bCs/>
          <w:sz w:val="24"/>
        </w:rPr>
        <w:t>2、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63" w:firstLineChars="192"/>
        <w:rPr>
          <w:rFonts w:ascii="宋体" w:hAnsi="宋体"/>
          <w:b/>
          <w:bCs/>
          <w:sz w:val="24"/>
        </w:rPr>
      </w:pPr>
      <w:r>
        <w:rPr>
          <w:rFonts w:hint="eastAsia" w:ascii="宋体" w:hAnsi="宋体"/>
          <w:b/>
          <w:bCs/>
          <w:sz w:val="24"/>
        </w:rPr>
        <w:t>3、投标最低报价，不作为是否中标的依据。</w:t>
      </w:r>
    </w:p>
    <w:p>
      <w:pPr>
        <w:ind w:firstLine="460" w:firstLineChars="192"/>
        <w:rPr>
          <w:rFonts w:ascii="宋体" w:hAnsi="宋体"/>
          <w:sz w:val="24"/>
        </w:rPr>
      </w:pPr>
      <w:r>
        <w:rPr>
          <w:rFonts w:hint="eastAsia" w:ascii="宋体" w:hAnsi="宋体"/>
          <w:sz w:val="24"/>
        </w:rPr>
        <w:t>4、招标方不接受不符合国家相关规定的投标报价或优惠方案。</w:t>
      </w:r>
    </w:p>
    <w:p>
      <w:pPr>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ind w:firstLine="463" w:firstLineChars="192"/>
        <w:rPr>
          <w:rFonts w:ascii="宋体" w:hAnsi="宋体"/>
          <w:b/>
          <w:bCs/>
          <w:sz w:val="24"/>
        </w:rPr>
      </w:pPr>
      <w:r>
        <w:rPr>
          <w:rFonts w:hint="eastAsia" w:ascii="宋体" w:hAnsi="宋体"/>
          <w:b/>
          <w:bCs/>
          <w:sz w:val="24"/>
        </w:rPr>
        <w:t>6、投标人的资格条件不符合国家有关规定和招标文件要求的，或者拒不按照要求对投标文件进行澄清、说明或补正的，评标委员会应将其投标作无效投标处理。</w:t>
      </w:r>
    </w:p>
    <w:p>
      <w:pPr>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ind w:firstLine="463" w:firstLineChars="192"/>
        <w:rPr>
          <w:rFonts w:ascii="宋体" w:hAnsi="宋体"/>
          <w:b/>
          <w:bCs/>
          <w:sz w:val="24"/>
        </w:rPr>
      </w:pPr>
      <w:r>
        <w:rPr>
          <w:rFonts w:hint="eastAsia" w:ascii="宋体" w:hAnsi="宋体"/>
          <w:b/>
          <w:bCs/>
          <w:sz w:val="24"/>
        </w:rPr>
        <w:t>10、评标委员会应当对符合资格的投标人的投标文件进行符合性审查，以确定其是否满足招标文件的实质性要求，而没有重大偏离。实质性响应的投标是指符合招标文件的所有条款、条件和规定且没有重大偏离和保留的投标。重大偏离或保留系指影响到招标文件规定的范围和质量，或限制了采购人的权利和投标人的义务，而纠正这些偏离将影响到其他提交实质性响应的投标人的公平竞争地位，作无效投标处理。</w:t>
      </w:r>
    </w:p>
    <w:p>
      <w:pPr>
        <w:ind w:firstLine="460" w:firstLineChars="192"/>
        <w:rPr>
          <w:rFonts w:ascii="宋体" w:hAnsi="宋体"/>
          <w:sz w:val="24"/>
        </w:rPr>
      </w:pPr>
      <w:r>
        <w:rPr>
          <w:rFonts w:hint="eastAsia" w:ascii="宋体" w:hAnsi="宋体"/>
          <w:sz w:val="24"/>
        </w:rPr>
        <w:t>11、下列情况属于重大偏差：</w:t>
      </w:r>
    </w:p>
    <w:p>
      <w:pPr>
        <w:ind w:firstLine="463" w:firstLineChars="192"/>
        <w:rPr>
          <w:rFonts w:ascii="宋体" w:hAnsi="宋体"/>
          <w:b/>
          <w:bCs/>
          <w:sz w:val="24"/>
        </w:rPr>
      </w:pPr>
      <w:r>
        <w:rPr>
          <w:rFonts w:hint="eastAsia" w:ascii="宋体" w:hAnsi="宋体"/>
          <w:b/>
          <w:bCs/>
          <w:sz w:val="24"/>
        </w:rPr>
        <w:t>（1）投标报价高于设定的采购预算招标控制价的；</w:t>
      </w:r>
    </w:p>
    <w:p>
      <w:pPr>
        <w:ind w:firstLine="463" w:firstLineChars="192"/>
        <w:rPr>
          <w:rFonts w:ascii="宋体" w:hAnsi="宋体"/>
          <w:b/>
          <w:bCs/>
          <w:sz w:val="24"/>
        </w:rPr>
      </w:pPr>
      <w:r>
        <w:rPr>
          <w:rFonts w:hint="eastAsia" w:ascii="宋体" w:hAnsi="宋体"/>
          <w:b/>
          <w:bCs/>
          <w:sz w:val="24"/>
        </w:rPr>
        <w:t>（2）投标人对同一招标项目作出两个以上报价未明确效力的；</w:t>
      </w:r>
    </w:p>
    <w:p>
      <w:pPr>
        <w:ind w:firstLine="463" w:firstLineChars="192"/>
        <w:rPr>
          <w:rFonts w:ascii="宋体" w:hAnsi="宋体"/>
          <w:b/>
          <w:bCs/>
          <w:sz w:val="24"/>
        </w:rPr>
      </w:pPr>
      <w:r>
        <w:rPr>
          <w:rFonts w:hint="eastAsia" w:ascii="宋体" w:hAnsi="宋体"/>
          <w:b/>
          <w:bCs/>
          <w:sz w:val="24"/>
        </w:rPr>
        <w:t>（3）未按招标文件要求提供电子投标文件的；</w:t>
      </w:r>
    </w:p>
    <w:p>
      <w:pPr>
        <w:ind w:firstLine="463" w:firstLineChars="192"/>
        <w:rPr>
          <w:rFonts w:ascii="宋体" w:hAnsi="宋体"/>
          <w:b/>
          <w:bCs/>
          <w:sz w:val="24"/>
        </w:rPr>
      </w:pPr>
      <w:r>
        <w:rPr>
          <w:rFonts w:hint="eastAsia" w:ascii="宋体" w:hAnsi="宋体"/>
          <w:b/>
          <w:bCs/>
          <w:sz w:val="24"/>
        </w:rPr>
        <w:t>（4）未按招标文件规定的格式填写，内容不全或关键字迹模糊、无法辨认的；</w:t>
      </w:r>
    </w:p>
    <w:p>
      <w:pPr>
        <w:pStyle w:val="8"/>
        <w:rPr>
          <w:rFonts w:hAnsi="宋体"/>
          <w:b/>
          <w:bCs/>
        </w:rPr>
      </w:pPr>
      <w:r>
        <w:rPr>
          <w:rFonts w:hint="eastAsia" w:hAnsi="宋体"/>
          <w:b/>
          <w:bCs/>
        </w:rPr>
        <w:t>（5）投标文件没有投标人授权代表签字和加盖公章的；</w:t>
      </w:r>
    </w:p>
    <w:p>
      <w:pPr>
        <w:pStyle w:val="8"/>
        <w:rPr>
          <w:rFonts w:hAnsi="宋体"/>
          <w:b/>
          <w:bCs/>
        </w:rPr>
      </w:pPr>
      <w:r>
        <w:rPr>
          <w:rFonts w:hint="eastAsia" w:hAnsi="宋体"/>
          <w:b/>
          <w:bCs/>
        </w:rPr>
        <w:t>（6）投标文件中附有招标人不能接受的条件的；</w:t>
      </w:r>
    </w:p>
    <w:p>
      <w:pPr>
        <w:pStyle w:val="8"/>
        <w:rPr>
          <w:rFonts w:hAnsi="宋体"/>
          <w:b/>
          <w:bCs/>
        </w:rPr>
      </w:pPr>
      <w:r>
        <w:rPr>
          <w:rFonts w:hint="eastAsia" w:hAnsi="宋体"/>
          <w:b/>
          <w:bCs/>
        </w:rPr>
        <w:t>（7）改变招标文件提供的采购清单中的计量单位、数量的；</w:t>
      </w:r>
    </w:p>
    <w:p>
      <w:pPr>
        <w:pStyle w:val="8"/>
        <w:rPr>
          <w:rFonts w:hAnsi="宋体"/>
          <w:b/>
          <w:bCs/>
        </w:rPr>
      </w:pPr>
      <w:r>
        <w:rPr>
          <w:rFonts w:hint="eastAsia" w:hAnsi="宋体"/>
          <w:b/>
          <w:bCs/>
        </w:rPr>
        <w:t>（8）涉嫌以他人名义投标的；</w:t>
      </w:r>
    </w:p>
    <w:p>
      <w:pPr>
        <w:pStyle w:val="8"/>
        <w:rPr>
          <w:rFonts w:hAnsi="宋体"/>
          <w:b/>
          <w:bCs/>
        </w:rPr>
      </w:pPr>
      <w:r>
        <w:rPr>
          <w:rFonts w:hint="eastAsia" w:hAnsi="宋体"/>
          <w:b/>
          <w:bCs/>
        </w:rPr>
        <w:t>（9）提供的材料、设备采购及配套安装实施方案、技术措施等不能证明其未以低于生产成本投标的；</w:t>
      </w:r>
    </w:p>
    <w:p>
      <w:pPr>
        <w:pStyle w:val="8"/>
        <w:rPr>
          <w:rFonts w:hAnsi="宋体"/>
          <w:b/>
          <w:bCs/>
        </w:rPr>
      </w:pPr>
      <w:r>
        <w:rPr>
          <w:rFonts w:hint="eastAsia" w:hAnsi="宋体"/>
          <w:b/>
          <w:bCs/>
        </w:rPr>
        <w:t>（10）履约担保、违约赔偿、变更工程结算等的承诺，不符合招标文件要求的；</w:t>
      </w:r>
    </w:p>
    <w:p>
      <w:pPr>
        <w:ind w:firstLine="463" w:firstLineChars="192"/>
        <w:rPr>
          <w:rFonts w:ascii="宋体" w:hAnsi="宋体"/>
          <w:b/>
          <w:bCs/>
          <w:sz w:val="24"/>
        </w:rPr>
      </w:pPr>
      <w:r>
        <w:rPr>
          <w:rFonts w:hint="eastAsia" w:ascii="宋体" w:hAnsi="宋体"/>
          <w:b/>
          <w:bCs/>
          <w:sz w:val="24"/>
        </w:rPr>
        <w:t>（11）不符合招标文件中规定的其他实质性要求的。投标文件有上述情形之一的，为未能对招标文件做出实质性响应的投标，将作无效投标处理。</w:t>
      </w:r>
    </w:p>
    <w:p>
      <w:pPr>
        <w:ind w:firstLine="460" w:firstLineChars="192"/>
        <w:rPr>
          <w:rFonts w:ascii="宋体" w:hAnsi="宋体"/>
          <w:sz w:val="24"/>
        </w:rPr>
      </w:pPr>
      <w:r>
        <w:rPr>
          <w:rFonts w:hint="eastAsia" w:ascii="宋体" w:hAnsi="宋体"/>
          <w:sz w:val="24"/>
        </w:rPr>
        <w:t>12、细微偏差是指对于投标文件中含义不明确、同类问题表述不一致或者有明显文字和计算错误的内容，评标委员会应当以书面形式要求投标人作出必要的澄清、说明或者补正。</w:t>
      </w:r>
    </w:p>
    <w:p>
      <w:pPr>
        <w:ind w:firstLine="460" w:firstLineChars="192"/>
        <w:rPr>
          <w:rFonts w:ascii="宋体" w:hAnsi="宋体"/>
          <w:sz w:val="24"/>
        </w:rPr>
      </w:pPr>
      <w:r>
        <w:rPr>
          <w:rFonts w:hint="eastAsia" w:ascii="宋体" w:hAnsi="宋体"/>
          <w:sz w:val="24"/>
        </w:rPr>
        <w:t>投标人的澄清、说明或者补正应当采用书面形式，并加盖公章，或者由法定代表人或其授权的代表签字。投标人的澄清、说明或者补正不得超出投标文件的范围或者改变投标文件的实质性内容。</w:t>
      </w:r>
    </w:p>
    <w:p>
      <w:pPr>
        <w:ind w:firstLine="463" w:firstLineChars="192"/>
        <w:rPr>
          <w:rFonts w:ascii="宋体" w:hAnsi="宋体"/>
          <w:b/>
          <w:bCs/>
          <w:sz w:val="24"/>
        </w:rPr>
      </w:pPr>
      <w:r>
        <w:rPr>
          <w:rFonts w:hint="eastAsia" w:ascii="宋体" w:hAnsi="宋体"/>
          <w:b/>
          <w:bCs/>
          <w:sz w:val="24"/>
        </w:rPr>
        <w:t>评标委员会应当要求存在细小偏差的投标人在评标结束前以书面形式予以补正。拒绝补正的，在详细评审时可以对细微偏差作不利于该投标人的量化。</w:t>
      </w:r>
    </w:p>
    <w:p>
      <w:pPr>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ind w:firstLine="460" w:firstLineChars="192"/>
        <w:rPr>
          <w:rFonts w:ascii="宋体" w:hAnsi="宋体"/>
          <w:sz w:val="24"/>
        </w:rPr>
      </w:pPr>
      <w:r>
        <w:rPr>
          <w:rFonts w:hint="eastAsia" w:ascii="宋体" w:hAnsi="宋体"/>
          <w:sz w:val="24"/>
        </w:rPr>
        <w:t>14、对投标文件响应性的审查</w:t>
      </w:r>
    </w:p>
    <w:p>
      <w:pPr>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ind w:firstLine="460" w:firstLineChars="192"/>
        <w:rPr>
          <w:rFonts w:ascii="宋体" w:hAnsi="宋体"/>
          <w:sz w:val="24"/>
        </w:rPr>
      </w:pPr>
      <w:r>
        <w:rPr>
          <w:rFonts w:hint="eastAsia" w:ascii="宋体" w:hAnsi="宋体"/>
          <w:sz w:val="24"/>
        </w:rPr>
        <w:t>七、详细评审</w:t>
      </w:r>
    </w:p>
    <w:p>
      <w:pPr>
        <w:ind w:firstLine="460" w:firstLineChars="192"/>
        <w:rPr>
          <w:rFonts w:ascii="宋体" w:hAnsi="宋体"/>
          <w:sz w:val="24"/>
        </w:rPr>
      </w:pPr>
      <w:r>
        <w:rPr>
          <w:rFonts w:hint="eastAsia" w:ascii="宋体" w:hAnsi="宋体"/>
          <w:sz w:val="24"/>
        </w:rPr>
        <w:t>1、经初步评审合格的投标文件，评标委员会应当根据招标文件确定的评标标准和方法，对其技术和商务部分作进一步的评审和比较。</w:t>
      </w:r>
    </w:p>
    <w:p>
      <w:pPr>
        <w:ind w:firstLine="460" w:firstLineChars="192"/>
        <w:rPr>
          <w:rFonts w:ascii="宋体" w:hAnsi="宋体"/>
          <w:sz w:val="24"/>
        </w:rPr>
      </w:pPr>
      <w:r>
        <w:rPr>
          <w:rFonts w:hint="eastAsia" w:ascii="宋体" w:hAnsi="宋体"/>
          <w:sz w:val="24"/>
        </w:rPr>
        <w:t>2、根据国务院《政府采购法实施条例》的规定，本项目可使用的评标方法为：</w:t>
      </w:r>
    </w:p>
    <w:p>
      <w:pPr>
        <w:ind w:firstLine="460" w:firstLineChars="192"/>
        <w:rPr>
          <w:rFonts w:ascii="宋体" w:hAnsi="宋体"/>
          <w:sz w:val="24"/>
        </w:rPr>
      </w:pPr>
      <w:r>
        <w:rPr>
          <w:rFonts w:hint="eastAsia" w:ascii="宋体" w:hAnsi="宋体"/>
          <w:sz w:val="24"/>
        </w:rPr>
        <w:t>（1）最低评标价法：是指投标文件满足招标文件全部实质性要求，且投标报价最低的投标人为中标候选人的评标方法。技术、服务等标准统一的货物服务项目，应当采用最低评标价法。采用最低评标价法评标时，除了算术修正和落实政府采购政策需进行的价格扣除外，不能对投标人的投标价格进行任何调整。</w:t>
      </w:r>
    </w:p>
    <w:p>
      <w:pPr>
        <w:ind w:firstLine="460" w:firstLineChars="192"/>
        <w:rPr>
          <w:rFonts w:ascii="宋体" w:hAnsi="宋体"/>
          <w:sz w:val="24"/>
        </w:rPr>
      </w:pPr>
      <w:r>
        <w:rPr>
          <w:rFonts w:hint="eastAsia" w:ascii="宋体" w:hAnsi="宋体"/>
          <w:sz w:val="24"/>
        </w:rPr>
        <w:t>采用最低评标价法的，评标结果按投标报价由低到高顺序排列。投标报价相同的并列。投标文件满足招标文件全部实质性要求且投标报价最低的投标人为排名第一的中标候选人。</w:t>
      </w:r>
    </w:p>
    <w:p>
      <w:pPr>
        <w:ind w:firstLine="460" w:firstLineChars="192"/>
        <w:rPr>
          <w:rFonts w:ascii="宋体" w:hAnsi="宋体"/>
          <w:sz w:val="24"/>
        </w:rPr>
      </w:pPr>
      <w:r>
        <w:rPr>
          <w:rFonts w:hint="eastAsia" w:ascii="宋体" w:hAnsi="宋体"/>
          <w:sz w:val="24"/>
        </w:rPr>
        <w:t>（2）综合评分法，是指投标文件满足招标文件全部实质性要求，且按照评审因素的量化指标评审得分最高的投标人为中标候选人的评标方法。</w:t>
      </w:r>
    </w:p>
    <w:p>
      <w:pPr>
        <w:ind w:firstLine="460" w:firstLineChars="192"/>
        <w:rPr>
          <w:rFonts w:ascii="宋体" w:hAnsi="宋体"/>
          <w:sz w:val="24"/>
        </w:rPr>
      </w:pPr>
      <w:r>
        <w:rPr>
          <w:rFonts w:hint="eastAsia" w:ascii="宋体" w:hAnsi="宋体"/>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63" w:firstLineChars="192"/>
        <w:rPr>
          <w:rFonts w:ascii="宋体" w:hAnsi="宋体"/>
          <w:b/>
          <w:sz w:val="24"/>
        </w:rPr>
      </w:pPr>
      <w:r>
        <w:rPr>
          <w:rFonts w:hint="eastAsia" w:ascii="宋体" w:hAnsi="宋体"/>
          <w:b/>
          <w:sz w:val="24"/>
        </w:rPr>
        <w:t>3、本项目依据投标须知中规定的评标办法进行评标，即：综合评分法。</w:t>
      </w:r>
    </w:p>
    <w:p>
      <w:pPr>
        <w:ind w:firstLine="460" w:firstLineChars="192"/>
        <w:rPr>
          <w:rFonts w:ascii="宋体" w:hAnsi="宋体"/>
          <w:sz w:val="24"/>
        </w:rPr>
      </w:pPr>
      <w:r>
        <w:rPr>
          <w:rFonts w:hint="eastAsia" w:ascii="宋体" w:hAnsi="宋体"/>
          <w:sz w:val="24"/>
        </w:rPr>
        <w:t>（1）最低评标价法：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ind w:firstLine="460" w:firstLineChars="192"/>
        <w:rPr>
          <w:rFonts w:ascii="宋体" w:hAnsi="宋体"/>
          <w:sz w:val="24"/>
        </w:rPr>
      </w:pPr>
      <w:r>
        <w:rPr>
          <w:rFonts w:hint="eastAsia" w:ascii="宋体" w:hAnsi="宋体"/>
          <w:sz w:val="24"/>
        </w:rPr>
        <w:t>（2）综合评分法：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ind w:firstLine="460" w:firstLineChars="192"/>
        <w:rPr>
          <w:rFonts w:ascii="宋体" w:hAnsi="宋体"/>
          <w:sz w:val="24"/>
        </w:rPr>
      </w:pPr>
      <w:r>
        <w:rPr>
          <w:rFonts w:hint="eastAsia" w:ascii="宋体" w:hAnsi="宋体"/>
          <w:sz w:val="24"/>
        </w:rPr>
        <w:t>非单一产品采购项目，采购人应当根据采购项目技术构成、产品价格比重等合理确定核心产品，并在招标文件中载明。多家投标人提供的核心产品品牌相同的，按前两款规定处理。</w:t>
      </w:r>
    </w:p>
    <w:p>
      <w:pPr>
        <w:ind w:firstLine="460" w:firstLineChars="192"/>
        <w:rPr>
          <w:rFonts w:ascii="宋体" w:hAnsi="宋体"/>
          <w:sz w:val="24"/>
        </w:rPr>
      </w:pPr>
      <w:r>
        <w:rPr>
          <w:rFonts w:hint="eastAsia" w:ascii="宋体" w:hAnsi="宋体"/>
          <w:sz w:val="24"/>
        </w:rPr>
        <w:t>（3）投标商所投产品应优先选择《财政部 生态环境部关于印发环境标志产品政府采购品目清单的通知》（财库〔2019〕18号）和《财政部 发展改革委关于印发节能产品政府采购品目清单的通知》（财库〔2019〕19号）的规定，落实国家节能环保政策。（须提供节能、环保证明文件复印件加盖公章）。</w:t>
      </w:r>
    </w:p>
    <w:p>
      <w:pPr>
        <w:ind w:firstLine="460" w:firstLineChars="192"/>
        <w:rPr>
          <w:rFonts w:ascii="宋体" w:hAnsi="宋体"/>
          <w:sz w:val="24"/>
        </w:rPr>
      </w:pPr>
      <w:r>
        <w:rPr>
          <w:rFonts w:hint="eastAsia" w:ascii="宋体" w:hAnsi="宋体"/>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ind w:firstLine="460" w:firstLineChars="192"/>
        <w:rPr>
          <w:rFonts w:ascii="宋体" w:hAnsi="宋体"/>
          <w:sz w:val="24"/>
        </w:rPr>
      </w:pPr>
      <w:r>
        <w:rPr>
          <w:rFonts w:hint="eastAsia" w:ascii="宋体" w:hAnsi="宋体"/>
          <w:sz w:val="24"/>
        </w:rPr>
        <w:t>5、评标和定标：采购代理机构应当在评标结束后2个工作日内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ind w:firstLine="460" w:firstLineChars="192"/>
        <w:rPr>
          <w:rFonts w:ascii="宋体" w:hAnsi="宋体"/>
          <w:sz w:val="24"/>
        </w:rPr>
      </w:pPr>
      <w:r>
        <w:rPr>
          <w:rFonts w:hint="eastAsia" w:ascii="宋体" w:hAnsi="宋体"/>
          <w:sz w:val="24"/>
        </w:rPr>
        <w:t>采购人在收到评标报告5个工作日内未按评标报告推荐的中标候选人顺序确定中标人，又不能说明合法理由的，视同按评标报告推荐的顺序确定排名第一的中标候选人为中标人。</w:t>
      </w:r>
    </w:p>
    <w:p>
      <w:pPr>
        <w:ind w:firstLine="460" w:firstLineChars="192"/>
        <w:rPr>
          <w:rFonts w:ascii="宋体" w:hAnsi="宋体"/>
          <w:sz w:val="24"/>
        </w:rPr>
      </w:pPr>
      <w:r>
        <w:rPr>
          <w:rFonts w:hint="eastAsia" w:ascii="宋体" w:hAnsi="宋体"/>
          <w:sz w:val="24"/>
        </w:rPr>
        <w:t>6、如果出现有效投标供应商不足三家时，由于项目紧急，经财政部门（政府采购监督管理部门）批准后，可改为非招标采购方式，采用最低评标价法进行评审，即在符合采购需求、质量和服务相等的前提下，以提出最低报价的供应商作为成交供应商。</w:t>
      </w:r>
    </w:p>
    <w:p>
      <w:pPr>
        <w:widowControl/>
        <w:ind w:firstLine="542" w:firstLineChars="225"/>
        <w:rPr>
          <w:rFonts w:ascii="宋体" w:hAnsi="宋体"/>
          <w:b/>
          <w:sz w:val="24"/>
        </w:rPr>
      </w:pPr>
      <w:r>
        <w:rPr>
          <w:rFonts w:hint="eastAsia" w:ascii="宋体" w:hAnsi="宋体"/>
          <w:b/>
          <w:sz w:val="24"/>
        </w:rPr>
        <w:t>注：《关于进一步加大政府采购支持中小企业力度的通知》财库〔2022〕19号、《政府采购促进中小企业发展管理办法》（财库〔2020〕46号）的规定、《</w:t>
      </w:r>
      <w:r>
        <w:rPr>
          <w:rFonts w:ascii="宋体" w:hAnsi="宋体"/>
          <w:b/>
          <w:sz w:val="24"/>
        </w:rPr>
        <w:t>财政部 司法部关于政府采购支持监狱企业发展有关问题的通知</w:t>
      </w:r>
      <w:r>
        <w:rPr>
          <w:rFonts w:hint="eastAsia" w:ascii="宋体" w:hAnsi="宋体"/>
          <w:b/>
          <w:sz w:val="24"/>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b/>
          <w:sz w:val="24"/>
          <w:u w:val="single"/>
        </w:rPr>
        <w:t xml:space="preserve"> 10 </w:t>
      </w:r>
      <w:r>
        <w:rPr>
          <w:rFonts w:hint="eastAsia" w:ascii="宋体" w:hAnsi="宋体"/>
          <w:b/>
          <w:sz w:val="24"/>
        </w:rPr>
        <w:t>%后参与评审。对于同时</w:t>
      </w:r>
      <w:r>
        <w:rPr>
          <w:rFonts w:ascii="宋体" w:hAnsi="宋体"/>
          <w:b/>
          <w:sz w:val="24"/>
        </w:rPr>
        <w:t>属于小微企业</w:t>
      </w:r>
      <w:r>
        <w:rPr>
          <w:rFonts w:hint="eastAsia" w:ascii="宋体" w:hAnsi="宋体"/>
          <w:b/>
          <w:sz w:val="24"/>
        </w:rPr>
        <w:t>、</w:t>
      </w:r>
      <w:r>
        <w:rPr>
          <w:rFonts w:ascii="宋体" w:hAnsi="宋体"/>
          <w:b/>
          <w:sz w:val="24"/>
        </w:rPr>
        <w:t>监狱企业</w:t>
      </w:r>
      <w:r>
        <w:rPr>
          <w:rFonts w:hint="eastAsia" w:ascii="宋体" w:hAnsi="宋体"/>
          <w:b/>
          <w:sz w:val="24"/>
        </w:rPr>
        <w:t>或</w:t>
      </w:r>
      <w:r>
        <w:rPr>
          <w:rFonts w:ascii="宋体" w:hAnsi="宋体"/>
          <w:b/>
          <w:sz w:val="24"/>
        </w:rPr>
        <w:t>残疾人福利性单位的，不重复进行投标报价扣除。</w:t>
      </w:r>
      <w:r>
        <w:rPr>
          <w:rFonts w:hint="eastAsia" w:ascii="宋体" w:hAnsi="宋体"/>
          <w:b/>
          <w:sz w:val="24"/>
        </w:rPr>
        <w:t>如有其它政策支持因素（如鼓励创新等）需一并列出。</w:t>
      </w:r>
    </w:p>
    <w:p>
      <w:pPr>
        <w:widowControl/>
        <w:ind w:firstLine="542" w:firstLineChars="225"/>
        <w:jc w:val="left"/>
        <w:rPr>
          <w:rFonts w:ascii="宋体" w:hAnsi="宋体"/>
          <w:b/>
          <w:sz w:val="24"/>
        </w:rPr>
      </w:pPr>
      <w:r>
        <w:rPr>
          <w:rFonts w:hint="eastAsia" w:ascii="宋体" w:hAnsi="宋体"/>
          <w:b/>
          <w:sz w:val="24"/>
        </w:rPr>
        <w:t>2.</w:t>
      </w:r>
      <w:r>
        <w:rPr>
          <w:rFonts w:ascii="宋体" w:hAnsi="宋体"/>
          <w:b/>
          <w:sz w:val="24"/>
        </w:rPr>
        <w:t>联合协议中约定，小型、微型企业</w:t>
      </w:r>
      <w:r>
        <w:rPr>
          <w:rFonts w:hint="eastAsia" w:ascii="宋体" w:hAnsi="宋体"/>
          <w:b/>
          <w:sz w:val="24"/>
        </w:rPr>
        <w:t>和监狱企业</w:t>
      </w:r>
      <w:r>
        <w:rPr>
          <w:rFonts w:ascii="宋体" w:hAnsi="宋体"/>
          <w:b/>
          <w:sz w:val="24"/>
        </w:rPr>
        <w:t>的协议合同金额占到联合体协议合同总金额30%以上的，可给予联合体</w:t>
      </w:r>
      <w:r>
        <w:rPr>
          <w:rFonts w:hint="eastAsia" w:ascii="宋体" w:hAnsi="宋体"/>
          <w:b/>
          <w:sz w:val="24"/>
          <w:u w:val="single"/>
        </w:rPr>
        <w:t xml:space="preserve"> 本项目不适用 </w:t>
      </w:r>
      <w:r>
        <w:rPr>
          <w:rFonts w:hint="eastAsia" w:ascii="宋体" w:hAnsi="宋体"/>
          <w:b/>
          <w:sz w:val="24"/>
        </w:rPr>
        <w:t>%</w:t>
      </w:r>
      <w:r>
        <w:rPr>
          <w:rFonts w:ascii="宋体" w:hAnsi="宋体"/>
          <w:b/>
          <w:sz w:val="24"/>
        </w:rPr>
        <w:t>的价格扣除。</w:t>
      </w:r>
    </w:p>
    <w:p>
      <w:pPr>
        <w:widowControl/>
        <w:ind w:firstLine="482" w:firstLineChars="200"/>
        <w:jc w:val="left"/>
        <w:rPr>
          <w:rFonts w:ascii="宋体" w:hAnsi="宋体"/>
          <w:b/>
          <w:sz w:val="24"/>
        </w:rPr>
      </w:pPr>
      <w:r>
        <w:rPr>
          <w:rFonts w:ascii="宋体" w:hAnsi="宋体"/>
          <w:b/>
          <w:sz w:val="24"/>
        </w:rPr>
        <w:t>联合体各方均为小型、微型企业</w:t>
      </w:r>
      <w:r>
        <w:rPr>
          <w:rFonts w:hint="eastAsia" w:ascii="宋体" w:hAnsi="宋体"/>
          <w:b/>
          <w:sz w:val="24"/>
        </w:rPr>
        <w:t>和监狱企业</w:t>
      </w:r>
      <w:r>
        <w:rPr>
          <w:rFonts w:ascii="宋体" w:hAnsi="宋体"/>
          <w:b/>
          <w:sz w:val="24"/>
        </w:rPr>
        <w:t>的，联合体视同为小型、微型企业</w:t>
      </w:r>
      <w:r>
        <w:rPr>
          <w:rFonts w:hint="eastAsia" w:ascii="宋体" w:hAnsi="宋体"/>
          <w:b/>
          <w:sz w:val="24"/>
        </w:rPr>
        <w:t>和监狱企业。</w:t>
      </w:r>
    </w:p>
    <w:p>
      <w:pPr>
        <w:pStyle w:val="11"/>
        <w:tabs>
          <w:tab w:val="clear" w:pos="567"/>
        </w:tabs>
        <w:spacing w:before="0" w:line="240" w:lineRule="auto"/>
        <w:ind w:left="-61" w:leftChars="-29" w:firstLine="542" w:firstLineChars="225"/>
        <w:rPr>
          <w:b/>
          <w:u w:val="single"/>
        </w:rPr>
      </w:pPr>
      <w:r>
        <w:rPr>
          <w:rFonts w:hint="eastAsia"/>
          <w:b/>
        </w:rPr>
        <w:t>3.投标人为</w:t>
      </w:r>
      <w:r>
        <w:rPr>
          <w:b/>
        </w:rPr>
        <w:t>提供服务在</w:t>
      </w:r>
      <w:r>
        <w:rPr>
          <w:rFonts w:hint="eastAsia"/>
          <w:b/>
        </w:rPr>
        <w:t>投标</w:t>
      </w:r>
      <w:r>
        <w:rPr>
          <w:b/>
        </w:rPr>
        <w:t>中</w:t>
      </w:r>
      <w:r>
        <w:rPr>
          <w:rFonts w:hint="eastAsia"/>
          <w:b/>
        </w:rPr>
        <w:t>伴随投标的产品如被列入财政部与国家主管部门颁发的节能产品目录或环境标志产品目录或无线局域网产品目录，应提供相关证明，在评标时予以优先采购，具体</w:t>
      </w:r>
      <w:r>
        <w:rPr>
          <w:b/>
        </w:rPr>
        <w:t>优惠措施为</w:t>
      </w:r>
      <w:r>
        <w:rPr>
          <w:b/>
          <w:u w:val="single"/>
        </w:rPr>
        <w:t>：</w:t>
      </w:r>
      <w:r>
        <w:rPr>
          <w:rFonts w:hint="eastAsia"/>
          <w:b/>
          <w:u w:val="single"/>
        </w:rPr>
        <w:t xml:space="preserve">   见详细评审表        </w:t>
      </w:r>
    </w:p>
    <w:p>
      <w:pPr>
        <w:pStyle w:val="11"/>
        <w:tabs>
          <w:tab w:val="clear" w:pos="567"/>
        </w:tabs>
        <w:spacing w:before="0" w:line="360" w:lineRule="auto"/>
        <w:ind w:left="-181" w:leftChars="-86" w:firstLine="663" w:firstLineChars="275"/>
        <w:rPr>
          <w:b/>
          <w:u w:val="single"/>
        </w:rPr>
      </w:pPr>
      <w:r>
        <w:rPr>
          <w:b/>
        </w:rPr>
        <w:t>4</w:t>
      </w:r>
      <w:r>
        <w:rPr>
          <w:rFonts w:hint="eastAsia"/>
          <w:b/>
        </w:rPr>
        <w:t>.对</w:t>
      </w:r>
      <w:r>
        <w:rPr>
          <w:b/>
        </w:rPr>
        <w:t>创新产品或创新性企业的优惠措施为</w:t>
      </w:r>
      <w:r>
        <w:rPr>
          <w:b/>
          <w:u w:val="single"/>
        </w:rPr>
        <w:t>：</w:t>
      </w:r>
      <w:r>
        <w:rPr>
          <w:rFonts w:hint="eastAsia"/>
          <w:b/>
          <w:u w:val="single"/>
        </w:rPr>
        <w:t xml:space="preserve">    见详细评审表       </w:t>
      </w:r>
    </w:p>
    <w:p>
      <w:pPr>
        <w:pageBreakBefore/>
        <w:spacing w:line="300" w:lineRule="auto"/>
        <w:jc w:val="center"/>
        <w:rPr>
          <w:rFonts w:ascii="宋体" w:hAnsi="宋体" w:cs="宋体"/>
          <w:b/>
          <w:bCs/>
          <w:sz w:val="28"/>
          <w:szCs w:val="32"/>
        </w:rPr>
      </w:pPr>
      <w:r>
        <w:rPr>
          <w:rFonts w:hint="eastAsia" w:ascii="宋体" w:hAnsi="宋体" w:cs="宋体"/>
          <w:b/>
          <w:bCs/>
          <w:sz w:val="28"/>
          <w:szCs w:val="32"/>
        </w:rPr>
        <w:t>初步评审—资格性审查表</w:t>
      </w:r>
    </w:p>
    <w:tbl>
      <w:tblPr>
        <w:tblStyle w:val="28"/>
        <w:tblpPr w:leftFromText="180" w:rightFromText="180" w:vertAnchor="text" w:horzAnchor="page" w:tblpXSpec="center" w:tblpY="116"/>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201"/>
        <w:gridCol w:w="780"/>
        <w:gridCol w:w="779"/>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39" w:type="dxa"/>
            <w:vMerge w:val="restart"/>
            <w:vAlign w:val="center"/>
          </w:tcPr>
          <w:p>
            <w:pPr>
              <w:pStyle w:val="21"/>
              <w:spacing w:line="380" w:lineRule="exact"/>
              <w:rPr>
                <w:rFonts w:ascii="宋体" w:hAnsi="宋体" w:cs="宋体"/>
                <w:sz w:val="24"/>
              </w:rPr>
            </w:pPr>
            <w:r>
              <w:rPr>
                <w:rFonts w:hint="eastAsia" w:ascii="宋体" w:hAnsi="宋体" w:cs="宋体"/>
                <w:sz w:val="24"/>
              </w:rPr>
              <w:t>序号</w:t>
            </w:r>
          </w:p>
        </w:tc>
        <w:tc>
          <w:tcPr>
            <w:tcW w:w="7201" w:type="dxa"/>
            <w:vMerge w:val="restart"/>
            <w:vAlign w:val="center"/>
          </w:tcPr>
          <w:p>
            <w:pPr>
              <w:pStyle w:val="21"/>
              <w:spacing w:line="380" w:lineRule="exact"/>
              <w:rPr>
                <w:rFonts w:ascii="宋体" w:hAnsi="宋体" w:cs="宋体"/>
                <w:sz w:val="24"/>
              </w:rPr>
            </w:pPr>
            <w:r>
              <w:rPr>
                <w:rFonts w:hint="eastAsia" w:ascii="宋体" w:hAnsi="宋体" w:cs="宋体"/>
                <w:sz w:val="24"/>
              </w:rPr>
              <w:t>评审内容</w:t>
            </w:r>
          </w:p>
        </w:tc>
        <w:tc>
          <w:tcPr>
            <w:tcW w:w="2365" w:type="dxa"/>
            <w:gridSpan w:val="3"/>
            <w:vAlign w:val="center"/>
          </w:tcPr>
          <w:p>
            <w:pPr>
              <w:pStyle w:val="21"/>
              <w:spacing w:line="380" w:lineRule="exact"/>
              <w:rPr>
                <w:rFonts w:ascii="宋体" w:hAnsi="宋体" w:cs="宋体"/>
                <w:sz w:val="24"/>
              </w:rPr>
            </w:pPr>
            <w:r>
              <w:rPr>
                <w:rFonts w:hint="eastAsia" w:ascii="宋体" w:hAnsi="宋体" w:cs="宋体"/>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39" w:type="dxa"/>
            <w:vMerge w:val="continue"/>
            <w:vAlign w:val="center"/>
          </w:tcPr>
          <w:p>
            <w:pPr>
              <w:pStyle w:val="21"/>
              <w:spacing w:line="380" w:lineRule="exact"/>
              <w:rPr>
                <w:rFonts w:ascii="宋体" w:hAnsi="宋体" w:cs="宋体"/>
                <w:sz w:val="24"/>
              </w:rPr>
            </w:pPr>
          </w:p>
        </w:tc>
        <w:tc>
          <w:tcPr>
            <w:tcW w:w="7201" w:type="dxa"/>
            <w:vMerge w:val="continue"/>
            <w:vAlign w:val="center"/>
          </w:tcPr>
          <w:p>
            <w:pPr>
              <w:pStyle w:val="21"/>
              <w:spacing w:line="380" w:lineRule="exact"/>
              <w:rPr>
                <w:rFonts w:ascii="宋体" w:hAnsi="宋体" w:cs="宋体"/>
                <w:sz w:val="24"/>
              </w:rPr>
            </w:pPr>
          </w:p>
        </w:tc>
        <w:tc>
          <w:tcPr>
            <w:tcW w:w="780" w:type="dxa"/>
            <w:vAlign w:val="center"/>
          </w:tcPr>
          <w:p>
            <w:pPr>
              <w:pStyle w:val="21"/>
              <w:spacing w:line="380" w:lineRule="exact"/>
              <w:rPr>
                <w:rFonts w:ascii="宋体" w:hAnsi="宋体" w:cs="宋体"/>
                <w:sz w:val="24"/>
              </w:rPr>
            </w:pPr>
            <w:r>
              <w:rPr>
                <w:rFonts w:hint="eastAsia" w:ascii="宋体" w:hAnsi="宋体" w:cs="宋体"/>
                <w:sz w:val="24"/>
              </w:rPr>
              <w:t>是否合格</w:t>
            </w:r>
          </w:p>
        </w:tc>
        <w:tc>
          <w:tcPr>
            <w:tcW w:w="779" w:type="dxa"/>
            <w:vAlign w:val="center"/>
          </w:tcPr>
          <w:p>
            <w:pPr>
              <w:pStyle w:val="21"/>
              <w:spacing w:line="380" w:lineRule="exact"/>
              <w:rPr>
                <w:rFonts w:ascii="宋体" w:hAnsi="宋体" w:cs="宋体"/>
                <w:sz w:val="24"/>
              </w:rPr>
            </w:pPr>
            <w:r>
              <w:rPr>
                <w:rFonts w:hint="eastAsia" w:ascii="宋体" w:hAnsi="宋体" w:cs="宋体"/>
                <w:sz w:val="24"/>
              </w:rPr>
              <w:t>是否合格</w:t>
            </w:r>
          </w:p>
        </w:tc>
        <w:tc>
          <w:tcPr>
            <w:tcW w:w="806" w:type="dxa"/>
            <w:vAlign w:val="center"/>
          </w:tcPr>
          <w:p>
            <w:pPr>
              <w:pStyle w:val="21"/>
              <w:spacing w:line="380" w:lineRule="exact"/>
              <w:rPr>
                <w:rFonts w:ascii="宋体" w:hAnsi="宋体" w:cs="宋体"/>
                <w:sz w:val="24"/>
              </w:rPr>
            </w:pPr>
            <w:r>
              <w:rPr>
                <w:rFonts w:hint="eastAsia" w:ascii="宋体" w:hAnsi="宋体" w:cs="宋体"/>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9" w:type="dxa"/>
            <w:vAlign w:val="center"/>
          </w:tcPr>
          <w:p>
            <w:pPr>
              <w:pStyle w:val="21"/>
              <w:spacing w:line="380" w:lineRule="exact"/>
              <w:jc w:val="center"/>
              <w:rPr>
                <w:rFonts w:ascii="宋体" w:hAnsi="宋体" w:cs="宋体"/>
                <w:sz w:val="24"/>
              </w:rPr>
            </w:pPr>
            <w:r>
              <w:rPr>
                <w:rFonts w:hint="eastAsia" w:ascii="宋体" w:hAnsi="宋体" w:cs="宋体"/>
                <w:sz w:val="24"/>
              </w:rPr>
              <w:t>1</w:t>
            </w:r>
          </w:p>
        </w:tc>
        <w:tc>
          <w:tcPr>
            <w:tcW w:w="7201" w:type="dxa"/>
            <w:vAlign w:val="center"/>
          </w:tcPr>
          <w:p>
            <w:pPr>
              <w:pStyle w:val="8"/>
              <w:ind w:firstLine="0"/>
              <w:rPr>
                <w:rFonts w:hAnsi="宋体" w:cs="宋体"/>
                <w:szCs w:val="24"/>
              </w:rPr>
            </w:pPr>
            <w:r>
              <w:rPr>
                <w:rFonts w:hint="eastAsia" w:hAnsi="宋体" w:cs="宋体"/>
                <w:szCs w:val="24"/>
              </w:rPr>
              <w:t>具有相应经营范围的企业法人有效的营业执照（三证合一）扫描件加盖公章；</w:t>
            </w:r>
          </w:p>
        </w:tc>
        <w:tc>
          <w:tcPr>
            <w:tcW w:w="780" w:type="dxa"/>
          </w:tcPr>
          <w:p>
            <w:pPr>
              <w:pStyle w:val="21"/>
              <w:spacing w:line="380" w:lineRule="exact"/>
              <w:rPr>
                <w:rFonts w:ascii="宋体" w:hAnsi="宋体" w:cs="宋体"/>
                <w:sz w:val="24"/>
              </w:rPr>
            </w:pPr>
          </w:p>
        </w:tc>
        <w:tc>
          <w:tcPr>
            <w:tcW w:w="779" w:type="dxa"/>
          </w:tcPr>
          <w:p>
            <w:pPr>
              <w:pStyle w:val="21"/>
              <w:spacing w:line="380" w:lineRule="exact"/>
              <w:rPr>
                <w:rFonts w:ascii="宋体" w:hAnsi="宋体" w:cs="宋体"/>
                <w:sz w:val="24"/>
              </w:rPr>
            </w:pPr>
          </w:p>
        </w:tc>
        <w:tc>
          <w:tcPr>
            <w:tcW w:w="806" w:type="dxa"/>
          </w:tcPr>
          <w:p>
            <w:pPr>
              <w:pStyle w:val="21"/>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9" w:type="dxa"/>
            <w:vAlign w:val="center"/>
          </w:tcPr>
          <w:p>
            <w:pPr>
              <w:pStyle w:val="21"/>
              <w:spacing w:line="380" w:lineRule="exact"/>
              <w:jc w:val="center"/>
              <w:rPr>
                <w:rFonts w:ascii="宋体" w:hAnsi="宋体" w:cs="宋体"/>
                <w:sz w:val="24"/>
              </w:rPr>
            </w:pPr>
            <w:r>
              <w:rPr>
                <w:rFonts w:hint="eastAsia" w:ascii="宋体" w:hAnsi="宋体" w:cs="宋体"/>
                <w:sz w:val="24"/>
              </w:rPr>
              <w:t>2</w:t>
            </w:r>
          </w:p>
        </w:tc>
        <w:tc>
          <w:tcPr>
            <w:tcW w:w="7201" w:type="dxa"/>
            <w:vAlign w:val="center"/>
          </w:tcPr>
          <w:p>
            <w:pPr>
              <w:pStyle w:val="8"/>
              <w:ind w:firstLine="0"/>
              <w:rPr>
                <w:rFonts w:hAnsi="宋体" w:cs="宋体"/>
                <w:szCs w:val="24"/>
              </w:rPr>
            </w:pPr>
            <w:r>
              <w:rPr>
                <w:rFonts w:hint="eastAsia" w:hAnsi="宋体" w:cs="宋体"/>
                <w:szCs w:val="24"/>
              </w:rPr>
              <w:t>银行开户许可证扫描件加盖公章（如投标单位有无法提供开户许可证的情况，需提供基本账户开户银行的基本账户信息及当地不办理银行开户许可证的证明文件）；</w:t>
            </w:r>
          </w:p>
        </w:tc>
        <w:tc>
          <w:tcPr>
            <w:tcW w:w="780" w:type="dxa"/>
          </w:tcPr>
          <w:p>
            <w:pPr>
              <w:pStyle w:val="21"/>
              <w:spacing w:line="380" w:lineRule="exact"/>
              <w:rPr>
                <w:rFonts w:ascii="宋体" w:hAnsi="宋体" w:cs="宋体"/>
                <w:sz w:val="24"/>
              </w:rPr>
            </w:pPr>
          </w:p>
        </w:tc>
        <w:tc>
          <w:tcPr>
            <w:tcW w:w="779" w:type="dxa"/>
          </w:tcPr>
          <w:p>
            <w:pPr>
              <w:pStyle w:val="21"/>
              <w:spacing w:line="380" w:lineRule="exact"/>
              <w:rPr>
                <w:rFonts w:ascii="宋体" w:hAnsi="宋体" w:cs="宋体"/>
                <w:sz w:val="24"/>
              </w:rPr>
            </w:pPr>
          </w:p>
        </w:tc>
        <w:tc>
          <w:tcPr>
            <w:tcW w:w="806" w:type="dxa"/>
          </w:tcPr>
          <w:p>
            <w:pPr>
              <w:pStyle w:val="21"/>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639" w:type="dxa"/>
            <w:vAlign w:val="center"/>
          </w:tcPr>
          <w:p>
            <w:pPr>
              <w:pStyle w:val="21"/>
              <w:spacing w:line="380" w:lineRule="exact"/>
              <w:jc w:val="center"/>
              <w:rPr>
                <w:rFonts w:ascii="宋体" w:hAnsi="宋体" w:cs="宋体"/>
                <w:sz w:val="24"/>
              </w:rPr>
            </w:pPr>
            <w:r>
              <w:rPr>
                <w:rFonts w:hint="eastAsia" w:ascii="宋体" w:hAnsi="宋体" w:cs="宋体"/>
                <w:sz w:val="24"/>
              </w:rPr>
              <w:t>3</w:t>
            </w:r>
          </w:p>
          <w:p>
            <w:pPr>
              <w:pStyle w:val="21"/>
              <w:spacing w:line="380" w:lineRule="exact"/>
              <w:jc w:val="center"/>
              <w:rPr>
                <w:rFonts w:ascii="宋体" w:hAnsi="宋体" w:cs="宋体"/>
                <w:sz w:val="24"/>
              </w:rPr>
            </w:pPr>
          </w:p>
        </w:tc>
        <w:tc>
          <w:tcPr>
            <w:tcW w:w="7201" w:type="dxa"/>
            <w:vAlign w:val="center"/>
          </w:tcPr>
          <w:p>
            <w:pPr>
              <w:pStyle w:val="8"/>
              <w:ind w:firstLine="0"/>
              <w:rPr>
                <w:rFonts w:hAnsi="宋体" w:cs="宋体"/>
                <w:szCs w:val="24"/>
              </w:rPr>
            </w:pPr>
            <w:r>
              <w:rPr>
                <w:rFonts w:hint="eastAsia" w:hAnsi="宋体" w:cs="宋体"/>
                <w:szCs w:val="24"/>
              </w:rPr>
              <w:t>法定代表人需提供法定代表人身份证明，授权委托人需提供法人授权委托书、法人身份证及授权委托人身份证，授权委托人必须是本单位正式员工</w:t>
            </w:r>
          </w:p>
        </w:tc>
        <w:tc>
          <w:tcPr>
            <w:tcW w:w="780" w:type="dxa"/>
          </w:tcPr>
          <w:p>
            <w:pPr>
              <w:pStyle w:val="21"/>
              <w:spacing w:line="380" w:lineRule="exact"/>
              <w:rPr>
                <w:rFonts w:ascii="宋体" w:hAnsi="宋体" w:cs="宋体"/>
                <w:sz w:val="24"/>
              </w:rPr>
            </w:pPr>
          </w:p>
        </w:tc>
        <w:tc>
          <w:tcPr>
            <w:tcW w:w="779" w:type="dxa"/>
          </w:tcPr>
          <w:p>
            <w:pPr>
              <w:pStyle w:val="21"/>
              <w:spacing w:line="380" w:lineRule="exact"/>
              <w:rPr>
                <w:rFonts w:ascii="宋体" w:hAnsi="宋体" w:cs="宋体"/>
                <w:sz w:val="24"/>
              </w:rPr>
            </w:pPr>
          </w:p>
        </w:tc>
        <w:tc>
          <w:tcPr>
            <w:tcW w:w="806" w:type="dxa"/>
          </w:tcPr>
          <w:p>
            <w:pPr>
              <w:pStyle w:val="21"/>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39" w:type="dxa"/>
            <w:vAlign w:val="center"/>
          </w:tcPr>
          <w:p>
            <w:pPr>
              <w:pStyle w:val="21"/>
              <w:spacing w:line="380" w:lineRule="exact"/>
              <w:jc w:val="center"/>
              <w:rPr>
                <w:rFonts w:ascii="宋体" w:hAnsi="宋体" w:cs="宋体"/>
                <w:sz w:val="24"/>
              </w:rPr>
            </w:pPr>
            <w:r>
              <w:rPr>
                <w:rFonts w:hint="eastAsia" w:ascii="宋体" w:hAnsi="宋体" w:cs="宋体"/>
                <w:sz w:val="24"/>
              </w:rPr>
              <w:t>4</w:t>
            </w:r>
          </w:p>
        </w:tc>
        <w:tc>
          <w:tcPr>
            <w:tcW w:w="7201" w:type="dxa"/>
            <w:vAlign w:val="center"/>
          </w:tcPr>
          <w:p>
            <w:pPr>
              <w:pStyle w:val="8"/>
              <w:ind w:firstLine="0"/>
              <w:rPr>
                <w:rFonts w:hAnsi="宋体" w:cs="宋体"/>
                <w:szCs w:val="24"/>
              </w:rPr>
            </w:pPr>
            <w:r>
              <w:rPr>
                <w:rFonts w:hint="eastAsia" w:hAnsi="宋体" w:cs="宋体"/>
                <w:szCs w:val="24"/>
              </w:rPr>
              <w:t>提供“信用中国”（www.creditchina.gov.cn）和中国政府采购网（www.ccgp.gov.cn）网站上未列入失信被执行人、重大税收违法失信主体、政府采购严重违法失信行为记录名单。（提供查询结果网页截图并加盖单位公章），</w:t>
            </w:r>
          </w:p>
        </w:tc>
        <w:tc>
          <w:tcPr>
            <w:tcW w:w="780" w:type="dxa"/>
          </w:tcPr>
          <w:p>
            <w:pPr>
              <w:pStyle w:val="21"/>
              <w:spacing w:line="380" w:lineRule="exact"/>
              <w:rPr>
                <w:rFonts w:ascii="宋体" w:hAnsi="宋体" w:cs="宋体"/>
                <w:sz w:val="24"/>
              </w:rPr>
            </w:pPr>
          </w:p>
        </w:tc>
        <w:tc>
          <w:tcPr>
            <w:tcW w:w="779" w:type="dxa"/>
          </w:tcPr>
          <w:p>
            <w:pPr>
              <w:pStyle w:val="21"/>
              <w:spacing w:line="380" w:lineRule="exact"/>
              <w:rPr>
                <w:rFonts w:ascii="宋体" w:hAnsi="宋体" w:cs="宋体"/>
                <w:sz w:val="24"/>
              </w:rPr>
            </w:pPr>
          </w:p>
        </w:tc>
        <w:tc>
          <w:tcPr>
            <w:tcW w:w="806" w:type="dxa"/>
          </w:tcPr>
          <w:p>
            <w:pPr>
              <w:pStyle w:val="21"/>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39" w:type="dxa"/>
            <w:vAlign w:val="center"/>
          </w:tcPr>
          <w:p>
            <w:pPr>
              <w:pStyle w:val="21"/>
              <w:spacing w:line="380" w:lineRule="exact"/>
              <w:jc w:val="center"/>
              <w:rPr>
                <w:rFonts w:ascii="宋体" w:hAnsi="宋体" w:cs="宋体"/>
                <w:sz w:val="24"/>
              </w:rPr>
            </w:pPr>
            <w:r>
              <w:rPr>
                <w:rFonts w:hint="eastAsia" w:ascii="宋体" w:hAnsi="宋体" w:cs="宋体"/>
                <w:sz w:val="24"/>
              </w:rPr>
              <w:t>5</w:t>
            </w:r>
          </w:p>
        </w:tc>
        <w:tc>
          <w:tcPr>
            <w:tcW w:w="7201" w:type="dxa"/>
            <w:vAlign w:val="center"/>
          </w:tcPr>
          <w:p>
            <w:pPr>
              <w:pStyle w:val="21"/>
              <w:jc w:val="both"/>
              <w:rPr>
                <w:rFonts w:ascii="宋体" w:hAnsi="宋体" w:cs="宋体"/>
                <w:sz w:val="24"/>
              </w:rPr>
            </w:pPr>
            <w:r>
              <w:rPr>
                <w:rFonts w:hint="eastAsia" w:ascii="宋体" w:hAnsi="宋体" w:cs="宋体"/>
                <w:sz w:val="24"/>
              </w:rPr>
              <w:t>社保部门出具的供应商单位缴纳的近6个月中任意1个月社保证明缴费凭证；</w:t>
            </w:r>
          </w:p>
        </w:tc>
        <w:tc>
          <w:tcPr>
            <w:tcW w:w="780" w:type="dxa"/>
          </w:tcPr>
          <w:p>
            <w:pPr>
              <w:pStyle w:val="21"/>
              <w:spacing w:line="380" w:lineRule="exact"/>
              <w:rPr>
                <w:rFonts w:ascii="宋体" w:hAnsi="宋体" w:cs="宋体"/>
                <w:sz w:val="24"/>
              </w:rPr>
            </w:pPr>
          </w:p>
        </w:tc>
        <w:tc>
          <w:tcPr>
            <w:tcW w:w="779" w:type="dxa"/>
          </w:tcPr>
          <w:p>
            <w:pPr>
              <w:pStyle w:val="21"/>
              <w:spacing w:line="380" w:lineRule="exact"/>
              <w:rPr>
                <w:rFonts w:ascii="宋体" w:hAnsi="宋体" w:cs="宋体"/>
                <w:sz w:val="24"/>
              </w:rPr>
            </w:pPr>
          </w:p>
        </w:tc>
        <w:tc>
          <w:tcPr>
            <w:tcW w:w="806" w:type="dxa"/>
          </w:tcPr>
          <w:p>
            <w:pPr>
              <w:pStyle w:val="21"/>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39" w:type="dxa"/>
            <w:vAlign w:val="center"/>
          </w:tcPr>
          <w:p>
            <w:pPr>
              <w:pStyle w:val="21"/>
              <w:spacing w:line="380" w:lineRule="exact"/>
              <w:jc w:val="center"/>
              <w:rPr>
                <w:rFonts w:ascii="宋体" w:hAnsi="宋体" w:cs="宋体"/>
                <w:sz w:val="24"/>
              </w:rPr>
            </w:pPr>
            <w:r>
              <w:rPr>
                <w:rFonts w:hint="eastAsia" w:ascii="宋体" w:hAnsi="宋体" w:cs="宋体"/>
                <w:sz w:val="24"/>
              </w:rPr>
              <w:t>6</w:t>
            </w:r>
          </w:p>
        </w:tc>
        <w:tc>
          <w:tcPr>
            <w:tcW w:w="7201" w:type="dxa"/>
            <w:vAlign w:val="center"/>
          </w:tcPr>
          <w:p>
            <w:pPr>
              <w:pStyle w:val="21"/>
              <w:jc w:val="both"/>
              <w:rPr>
                <w:rFonts w:ascii="宋体" w:hAnsi="宋体" w:cs="宋体"/>
                <w:sz w:val="24"/>
              </w:rPr>
            </w:pPr>
            <w:r>
              <w:rPr>
                <w:rFonts w:hint="eastAsia" w:ascii="宋体" w:hAnsi="宋体" w:cs="宋体"/>
                <w:sz w:val="24"/>
              </w:rPr>
              <w:t>具有税务局开具依法缴纳近6个月中任意1个月税收证明的良好记录（完税证明），依法免缴的应提供依法免缴的相关证明文件或零申报报表；</w:t>
            </w:r>
          </w:p>
        </w:tc>
        <w:tc>
          <w:tcPr>
            <w:tcW w:w="780" w:type="dxa"/>
          </w:tcPr>
          <w:p>
            <w:pPr>
              <w:pStyle w:val="21"/>
              <w:spacing w:line="380" w:lineRule="exact"/>
              <w:rPr>
                <w:rFonts w:ascii="宋体" w:hAnsi="宋体" w:cs="宋体"/>
                <w:sz w:val="24"/>
              </w:rPr>
            </w:pPr>
          </w:p>
        </w:tc>
        <w:tc>
          <w:tcPr>
            <w:tcW w:w="779" w:type="dxa"/>
          </w:tcPr>
          <w:p>
            <w:pPr>
              <w:pStyle w:val="21"/>
              <w:spacing w:line="380" w:lineRule="exact"/>
              <w:rPr>
                <w:rFonts w:ascii="宋体" w:hAnsi="宋体" w:cs="宋体"/>
                <w:sz w:val="24"/>
              </w:rPr>
            </w:pPr>
          </w:p>
        </w:tc>
        <w:tc>
          <w:tcPr>
            <w:tcW w:w="806" w:type="dxa"/>
          </w:tcPr>
          <w:p>
            <w:pPr>
              <w:pStyle w:val="21"/>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39" w:type="dxa"/>
            <w:vAlign w:val="center"/>
          </w:tcPr>
          <w:p>
            <w:pPr>
              <w:pStyle w:val="21"/>
              <w:spacing w:line="380" w:lineRule="exact"/>
              <w:jc w:val="center"/>
              <w:rPr>
                <w:rFonts w:ascii="宋体" w:hAnsi="宋体" w:cs="宋体"/>
                <w:sz w:val="24"/>
              </w:rPr>
            </w:pPr>
            <w:r>
              <w:rPr>
                <w:rFonts w:hint="eastAsia" w:ascii="宋体" w:hAnsi="宋体" w:cs="宋体"/>
                <w:sz w:val="24"/>
              </w:rPr>
              <w:t>7</w:t>
            </w:r>
          </w:p>
        </w:tc>
        <w:tc>
          <w:tcPr>
            <w:tcW w:w="7201" w:type="dxa"/>
            <w:vAlign w:val="center"/>
          </w:tcPr>
          <w:p>
            <w:pPr>
              <w:rPr>
                <w:rFonts w:ascii="宋体" w:hAnsi="宋体" w:cs="宋体"/>
                <w:sz w:val="24"/>
              </w:rPr>
            </w:pPr>
            <w:r>
              <w:rPr>
                <w:rFonts w:hint="eastAsia" w:ascii="宋体" w:hAnsi="宋体" w:cs="宋体"/>
                <w:sz w:val="24"/>
              </w:rPr>
              <w:t>提供2021年或2022年度的财务审计报告，2022年以后成立公司提供有效期内银行出具的资信证明</w:t>
            </w:r>
          </w:p>
        </w:tc>
        <w:tc>
          <w:tcPr>
            <w:tcW w:w="780" w:type="dxa"/>
          </w:tcPr>
          <w:p>
            <w:pPr>
              <w:pStyle w:val="21"/>
              <w:spacing w:line="380" w:lineRule="exact"/>
              <w:rPr>
                <w:rFonts w:ascii="宋体" w:hAnsi="宋体" w:cs="宋体"/>
                <w:sz w:val="24"/>
              </w:rPr>
            </w:pPr>
          </w:p>
        </w:tc>
        <w:tc>
          <w:tcPr>
            <w:tcW w:w="779" w:type="dxa"/>
          </w:tcPr>
          <w:p>
            <w:pPr>
              <w:pStyle w:val="21"/>
              <w:spacing w:line="380" w:lineRule="exact"/>
              <w:rPr>
                <w:rFonts w:ascii="宋体" w:hAnsi="宋体" w:cs="宋体"/>
                <w:sz w:val="24"/>
              </w:rPr>
            </w:pPr>
          </w:p>
        </w:tc>
        <w:tc>
          <w:tcPr>
            <w:tcW w:w="806" w:type="dxa"/>
          </w:tcPr>
          <w:p>
            <w:pPr>
              <w:pStyle w:val="21"/>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639" w:type="dxa"/>
            <w:vAlign w:val="center"/>
          </w:tcPr>
          <w:p>
            <w:pPr>
              <w:pStyle w:val="21"/>
              <w:spacing w:line="380" w:lineRule="exact"/>
              <w:jc w:val="center"/>
              <w:rPr>
                <w:rFonts w:ascii="宋体" w:hAnsi="宋体" w:cs="宋体"/>
                <w:sz w:val="24"/>
              </w:rPr>
            </w:pPr>
            <w:r>
              <w:rPr>
                <w:rFonts w:hint="eastAsia" w:ascii="宋体" w:hAnsi="宋体" w:cs="宋体"/>
                <w:sz w:val="24"/>
              </w:rPr>
              <w:t>8</w:t>
            </w:r>
          </w:p>
        </w:tc>
        <w:tc>
          <w:tcPr>
            <w:tcW w:w="7201" w:type="dxa"/>
            <w:vAlign w:val="center"/>
          </w:tcPr>
          <w:p>
            <w:pPr>
              <w:rPr>
                <w:rFonts w:ascii="宋体" w:hAnsi="宋体" w:cs="宋体"/>
                <w:kern w:val="0"/>
                <w:sz w:val="24"/>
              </w:rPr>
            </w:pPr>
            <w:r>
              <w:rPr>
                <w:rFonts w:hint="eastAsia" w:ascii="宋体" w:hAnsi="宋体" w:cs="宋体"/>
                <w:kern w:val="0"/>
                <w:sz w:val="24"/>
              </w:rPr>
              <w:t>近三年内无重大违法记录的声明及反商业贿赂承诺书</w:t>
            </w:r>
          </w:p>
        </w:tc>
        <w:tc>
          <w:tcPr>
            <w:tcW w:w="780" w:type="dxa"/>
          </w:tcPr>
          <w:p>
            <w:pPr>
              <w:pStyle w:val="21"/>
              <w:spacing w:line="380" w:lineRule="exact"/>
              <w:rPr>
                <w:rFonts w:ascii="宋体" w:hAnsi="宋体" w:cs="宋体"/>
                <w:sz w:val="24"/>
              </w:rPr>
            </w:pPr>
          </w:p>
        </w:tc>
        <w:tc>
          <w:tcPr>
            <w:tcW w:w="779" w:type="dxa"/>
          </w:tcPr>
          <w:p>
            <w:pPr>
              <w:pStyle w:val="21"/>
              <w:spacing w:line="380" w:lineRule="exact"/>
              <w:rPr>
                <w:rFonts w:ascii="宋体" w:hAnsi="宋体" w:cs="宋体"/>
                <w:sz w:val="24"/>
              </w:rPr>
            </w:pPr>
          </w:p>
        </w:tc>
        <w:tc>
          <w:tcPr>
            <w:tcW w:w="806" w:type="dxa"/>
          </w:tcPr>
          <w:p>
            <w:pPr>
              <w:pStyle w:val="21"/>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639" w:type="dxa"/>
            <w:vAlign w:val="center"/>
          </w:tcPr>
          <w:p>
            <w:pPr>
              <w:pStyle w:val="21"/>
              <w:spacing w:line="380" w:lineRule="exact"/>
              <w:jc w:val="center"/>
              <w:rPr>
                <w:rFonts w:ascii="宋体" w:hAnsi="宋体" w:cs="宋体"/>
                <w:sz w:val="24"/>
              </w:rPr>
            </w:pPr>
            <w:r>
              <w:rPr>
                <w:rFonts w:hint="eastAsia" w:ascii="宋体" w:hAnsi="宋体" w:cs="宋体"/>
                <w:sz w:val="24"/>
              </w:rPr>
              <w:t>9</w:t>
            </w:r>
          </w:p>
        </w:tc>
        <w:tc>
          <w:tcPr>
            <w:tcW w:w="7201" w:type="dxa"/>
            <w:vAlign w:val="center"/>
          </w:tcPr>
          <w:p>
            <w:pPr>
              <w:pStyle w:val="21"/>
              <w:spacing w:line="380" w:lineRule="exact"/>
              <w:rPr>
                <w:rFonts w:ascii="宋体" w:hAnsi="宋体" w:cs="宋体"/>
                <w:sz w:val="24"/>
              </w:rPr>
            </w:pPr>
            <w:r>
              <w:rPr>
                <w:rFonts w:hint="eastAsia" w:ascii="宋体" w:hAnsi="宋体" w:cs="宋体"/>
                <w:kern w:val="0"/>
                <w:sz w:val="24"/>
              </w:rPr>
              <w:t>提供投标保证金转账凭证。</w:t>
            </w:r>
          </w:p>
        </w:tc>
        <w:tc>
          <w:tcPr>
            <w:tcW w:w="780" w:type="dxa"/>
          </w:tcPr>
          <w:p>
            <w:pPr>
              <w:pStyle w:val="21"/>
              <w:spacing w:line="380" w:lineRule="exact"/>
              <w:rPr>
                <w:rFonts w:ascii="宋体" w:hAnsi="宋体" w:cs="宋体"/>
                <w:sz w:val="24"/>
              </w:rPr>
            </w:pPr>
          </w:p>
        </w:tc>
        <w:tc>
          <w:tcPr>
            <w:tcW w:w="779" w:type="dxa"/>
          </w:tcPr>
          <w:p>
            <w:pPr>
              <w:pStyle w:val="21"/>
              <w:spacing w:line="380" w:lineRule="exact"/>
              <w:rPr>
                <w:rFonts w:ascii="宋体" w:hAnsi="宋体" w:cs="宋体"/>
                <w:sz w:val="24"/>
              </w:rPr>
            </w:pPr>
          </w:p>
        </w:tc>
        <w:tc>
          <w:tcPr>
            <w:tcW w:w="806" w:type="dxa"/>
          </w:tcPr>
          <w:p>
            <w:pPr>
              <w:pStyle w:val="21"/>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39" w:type="dxa"/>
            <w:vAlign w:val="center"/>
          </w:tcPr>
          <w:p>
            <w:pPr>
              <w:pStyle w:val="21"/>
              <w:spacing w:line="380" w:lineRule="exact"/>
              <w:jc w:val="center"/>
              <w:rPr>
                <w:rFonts w:ascii="宋体" w:hAnsi="宋体" w:cs="宋体"/>
                <w:sz w:val="24"/>
              </w:rPr>
            </w:pPr>
            <w:r>
              <w:rPr>
                <w:rFonts w:hint="eastAsia" w:ascii="宋体" w:hAnsi="宋体" w:cs="宋体"/>
                <w:sz w:val="24"/>
              </w:rPr>
              <w:t>10</w:t>
            </w:r>
          </w:p>
        </w:tc>
        <w:tc>
          <w:tcPr>
            <w:tcW w:w="7201" w:type="dxa"/>
            <w:vAlign w:val="center"/>
          </w:tcPr>
          <w:p>
            <w:pPr>
              <w:pStyle w:val="21"/>
              <w:spacing w:line="380" w:lineRule="exact"/>
              <w:rPr>
                <w:rFonts w:ascii="宋体" w:hAnsi="宋体" w:cs="宋体"/>
                <w:sz w:val="24"/>
              </w:rPr>
            </w:pPr>
            <w:r>
              <w:rPr>
                <w:rFonts w:ascii="宋体" w:hAnsi="宋体" w:cs="宋体"/>
                <w:sz w:val="24"/>
              </w:rPr>
              <w:t>★大型企业须提供合同分包协议（格式自拟），未提供的供应商投标无效（本项目预留项目预算总额的40%以上须分包给中小微企业采购）；中小企业投标须提供中小企业声明函。</w:t>
            </w:r>
          </w:p>
        </w:tc>
        <w:tc>
          <w:tcPr>
            <w:tcW w:w="780" w:type="dxa"/>
          </w:tcPr>
          <w:p>
            <w:pPr>
              <w:pStyle w:val="21"/>
              <w:spacing w:line="380" w:lineRule="exact"/>
              <w:rPr>
                <w:rFonts w:ascii="宋体" w:hAnsi="宋体" w:cs="宋体"/>
                <w:sz w:val="24"/>
              </w:rPr>
            </w:pPr>
          </w:p>
        </w:tc>
        <w:tc>
          <w:tcPr>
            <w:tcW w:w="779" w:type="dxa"/>
          </w:tcPr>
          <w:p>
            <w:pPr>
              <w:pStyle w:val="21"/>
              <w:spacing w:line="380" w:lineRule="exact"/>
              <w:rPr>
                <w:rFonts w:ascii="宋体" w:hAnsi="宋体" w:cs="宋体"/>
                <w:sz w:val="24"/>
              </w:rPr>
            </w:pPr>
          </w:p>
        </w:tc>
        <w:tc>
          <w:tcPr>
            <w:tcW w:w="806" w:type="dxa"/>
          </w:tcPr>
          <w:p>
            <w:pPr>
              <w:pStyle w:val="21"/>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39" w:type="dxa"/>
            <w:vAlign w:val="center"/>
          </w:tcPr>
          <w:p>
            <w:pPr>
              <w:pStyle w:val="21"/>
              <w:spacing w:line="380" w:lineRule="exact"/>
              <w:rPr>
                <w:rFonts w:ascii="宋体" w:hAnsi="宋体" w:cs="宋体"/>
                <w:sz w:val="24"/>
              </w:rPr>
            </w:pPr>
          </w:p>
        </w:tc>
        <w:tc>
          <w:tcPr>
            <w:tcW w:w="7201" w:type="dxa"/>
            <w:vAlign w:val="center"/>
          </w:tcPr>
          <w:p>
            <w:pPr>
              <w:pStyle w:val="21"/>
              <w:spacing w:line="380" w:lineRule="exact"/>
              <w:rPr>
                <w:rFonts w:ascii="宋体" w:hAnsi="宋体" w:cs="宋体"/>
                <w:sz w:val="24"/>
              </w:rPr>
            </w:pPr>
            <w:r>
              <w:rPr>
                <w:rFonts w:hint="eastAsia" w:ascii="宋体" w:hAnsi="宋体" w:cs="宋体"/>
                <w:sz w:val="24"/>
              </w:rPr>
              <w:t>结论</w:t>
            </w:r>
          </w:p>
        </w:tc>
        <w:tc>
          <w:tcPr>
            <w:tcW w:w="780" w:type="dxa"/>
          </w:tcPr>
          <w:p>
            <w:pPr>
              <w:pStyle w:val="21"/>
              <w:spacing w:line="380" w:lineRule="exact"/>
              <w:rPr>
                <w:rFonts w:ascii="宋体" w:hAnsi="宋体" w:cs="宋体"/>
                <w:sz w:val="24"/>
              </w:rPr>
            </w:pPr>
          </w:p>
        </w:tc>
        <w:tc>
          <w:tcPr>
            <w:tcW w:w="779" w:type="dxa"/>
          </w:tcPr>
          <w:p>
            <w:pPr>
              <w:pStyle w:val="21"/>
              <w:spacing w:line="380" w:lineRule="exact"/>
              <w:rPr>
                <w:rFonts w:ascii="宋体" w:hAnsi="宋体" w:cs="宋体"/>
                <w:sz w:val="24"/>
              </w:rPr>
            </w:pPr>
          </w:p>
        </w:tc>
        <w:tc>
          <w:tcPr>
            <w:tcW w:w="806" w:type="dxa"/>
          </w:tcPr>
          <w:p>
            <w:pPr>
              <w:pStyle w:val="21"/>
              <w:spacing w:line="380" w:lineRule="exact"/>
              <w:rPr>
                <w:rFonts w:ascii="宋体" w:hAnsi="宋体" w:cs="宋体"/>
                <w:sz w:val="24"/>
              </w:rPr>
            </w:pPr>
          </w:p>
        </w:tc>
      </w:tr>
    </w:tbl>
    <w:p>
      <w:pPr>
        <w:pStyle w:val="21"/>
        <w:spacing w:line="380" w:lineRule="exact"/>
        <w:rPr>
          <w:rFonts w:ascii="宋体" w:hAnsi="宋体" w:cs="宋体"/>
          <w:sz w:val="24"/>
        </w:rPr>
      </w:pPr>
      <w:r>
        <w:rPr>
          <w:rFonts w:hint="eastAsia" w:ascii="宋体" w:hAnsi="宋体" w:cs="宋体"/>
          <w:sz w:val="24"/>
        </w:rPr>
        <w:t>说明：（1）上述各项中用“√”表示通过，“×”表示不通过；</w:t>
      </w:r>
    </w:p>
    <w:p>
      <w:pPr>
        <w:pStyle w:val="21"/>
        <w:spacing w:line="380" w:lineRule="exact"/>
        <w:rPr>
          <w:rFonts w:ascii="宋体" w:hAnsi="宋体" w:cs="宋体"/>
          <w:sz w:val="24"/>
        </w:rPr>
      </w:pPr>
      <w:r>
        <w:rPr>
          <w:rFonts w:hint="eastAsia" w:ascii="宋体" w:hAnsi="宋体" w:cs="宋体"/>
          <w:sz w:val="24"/>
        </w:rPr>
        <w:t>（2）上述各项中如有一项为“×”，则结论为“×”，表示该投标文件中存在重大偏差，不能通过初步评审；评委对某一分项评审认为不合格时，必须要写明原因。</w:t>
      </w:r>
    </w:p>
    <w:p>
      <w:pPr>
        <w:rPr>
          <w:rFonts w:ascii="宋体" w:hAnsi="宋体" w:cs="宋体"/>
          <w:sz w:val="24"/>
        </w:rPr>
      </w:pPr>
      <w:r>
        <w:rPr>
          <w:rFonts w:hint="eastAsia" w:ascii="宋体" w:hAnsi="宋体" w:cs="宋体"/>
          <w:sz w:val="24"/>
        </w:rPr>
        <w:t>（3）投标文件最终合格与否，以所有评委的评审意见中少数服从多数为原则定论。</w:t>
      </w:r>
    </w:p>
    <w:p>
      <w:pPr>
        <w:pStyle w:val="8"/>
        <w:pageBreakBefore/>
        <w:spacing w:line="300" w:lineRule="auto"/>
        <w:ind w:firstLine="0"/>
        <w:jc w:val="center"/>
        <w:rPr>
          <w:rFonts w:hAnsi="宋体" w:cs="宋体"/>
          <w:b/>
          <w:bCs/>
          <w:kern w:val="2"/>
          <w:sz w:val="28"/>
          <w:szCs w:val="32"/>
        </w:rPr>
      </w:pPr>
      <w:r>
        <w:rPr>
          <w:rFonts w:hint="eastAsia" w:hAnsi="宋体" w:cs="宋体"/>
          <w:b/>
          <w:bCs/>
          <w:kern w:val="2"/>
          <w:sz w:val="28"/>
          <w:szCs w:val="32"/>
        </w:rPr>
        <w:t>初步评审—符合性审查表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17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000" w:type="dxa"/>
            <w:gridSpan w:val="2"/>
            <w:vAlign w:val="center"/>
          </w:tcPr>
          <w:p>
            <w:pPr>
              <w:spacing w:line="300" w:lineRule="auto"/>
              <w:jc w:val="center"/>
              <w:rPr>
                <w:rFonts w:ascii="宋体" w:hAnsi="宋体" w:cs="宋体"/>
                <w:spacing w:val="-2"/>
                <w:sz w:val="24"/>
              </w:rPr>
            </w:pPr>
            <w:r>
              <w:rPr>
                <w:rFonts w:hint="eastAsia" w:ascii="宋体" w:hAnsi="宋体" w:cs="宋体"/>
                <w:spacing w:val="-2"/>
                <w:sz w:val="24"/>
              </w:rPr>
              <w:t>评审内容</w:t>
            </w:r>
          </w:p>
        </w:tc>
        <w:tc>
          <w:tcPr>
            <w:tcW w:w="2020" w:type="dxa"/>
            <w:vAlign w:val="center"/>
          </w:tcPr>
          <w:p>
            <w:pPr>
              <w:spacing w:line="300" w:lineRule="auto"/>
              <w:jc w:val="center"/>
              <w:rPr>
                <w:rFonts w:ascii="宋体" w:hAnsi="宋体" w:cs="宋体"/>
                <w:spacing w:val="-2"/>
                <w:sz w:val="24"/>
              </w:rPr>
            </w:pPr>
            <w:r>
              <w:rPr>
                <w:rFonts w:hint="eastAsia" w:ascii="宋体" w:hAnsi="宋体" w:cs="宋体"/>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vAlign w:val="center"/>
          </w:tcPr>
          <w:p>
            <w:pPr>
              <w:spacing w:line="300" w:lineRule="auto"/>
              <w:jc w:val="center"/>
              <w:rPr>
                <w:rFonts w:ascii="宋体" w:hAnsi="宋体" w:cs="宋体"/>
                <w:sz w:val="24"/>
              </w:rPr>
            </w:pPr>
            <w:r>
              <w:rPr>
                <w:rFonts w:hint="eastAsia" w:ascii="宋体" w:hAnsi="宋体" w:cs="宋体"/>
                <w:sz w:val="24"/>
              </w:rPr>
              <w:t>序号</w:t>
            </w:r>
          </w:p>
        </w:tc>
        <w:tc>
          <w:tcPr>
            <w:tcW w:w="6172" w:type="dxa"/>
            <w:vAlign w:val="center"/>
          </w:tcPr>
          <w:p>
            <w:pPr>
              <w:spacing w:line="300" w:lineRule="auto"/>
              <w:rPr>
                <w:rFonts w:ascii="宋体" w:hAnsi="宋体" w:cs="宋体"/>
                <w:spacing w:val="-2"/>
                <w:sz w:val="24"/>
              </w:rPr>
            </w:pPr>
          </w:p>
        </w:tc>
        <w:tc>
          <w:tcPr>
            <w:tcW w:w="2020" w:type="dxa"/>
            <w:vAlign w:val="center"/>
          </w:tcPr>
          <w:p>
            <w:pPr>
              <w:spacing w:line="300" w:lineRule="auto"/>
              <w:jc w:val="center"/>
              <w:rPr>
                <w:rFonts w:ascii="宋体" w:hAnsi="宋体" w:cs="宋体"/>
                <w:spacing w:val="-2"/>
                <w:sz w:val="24"/>
              </w:rPr>
            </w:pPr>
            <w:r>
              <w:rPr>
                <w:rFonts w:hint="eastAsia" w:ascii="宋体" w:hAnsi="宋体" w:cs="宋体"/>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ascii="宋体" w:hAnsi="宋体" w:cs="宋体"/>
                <w:sz w:val="24"/>
              </w:rPr>
            </w:pPr>
            <w:r>
              <w:rPr>
                <w:rFonts w:hint="eastAsia" w:ascii="宋体" w:hAnsi="宋体" w:cs="宋体"/>
                <w:sz w:val="24"/>
              </w:rPr>
              <w:t>1</w:t>
            </w:r>
          </w:p>
        </w:tc>
        <w:tc>
          <w:tcPr>
            <w:tcW w:w="6172" w:type="dxa"/>
            <w:vAlign w:val="center"/>
          </w:tcPr>
          <w:p>
            <w:pPr>
              <w:widowControl/>
              <w:spacing w:line="300" w:lineRule="auto"/>
              <w:jc w:val="left"/>
              <w:textAlignment w:val="center"/>
              <w:rPr>
                <w:rFonts w:ascii="宋体" w:hAnsi="宋体" w:cs="宋体"/>
                <w:spacing w:val="-2"/>
                <w:sz w:val="24"/>
              </w:rPr>
            </w:pPr>
            <w:r>
              <w:rPr>
                <w:rFonts w:hint="eastAsia" w:ascii="宋体" w:hAnsi="宋体" w:cs="宋体"/>
                <w:spacing w:val="-2"/>
                <w:sz w:val="24"/>
              </w:rPr>
              <w:t>未按规定由投标供应商的法定代表人或投标供应商代表签字，或未加盖投标供应商公章的，或签字人未经法定代表人有效授权委托的</w:t>
            </w:r>
          </w:p>
        </w:tc>
        <w:tc>
          <w:tcPr>
            <w:tcW w:w="2020" w:type="dxa"/>
            <w:vAlign w:val="center"/>
          </w:tcPr>
          <w:p>
            <w:pPr>
              <w:spacing w:line="300" w:lineRule="auto"/>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28" w:type="dxa"/>
            <w:vAlign w:val="center"/>
          </w:tcPr>
          <w:p>
            <w:pPr>
              <w:spacing w:line="300" w:lineRule="auto"/>
              <w:jc w:val="center"/>
              <w:rPr>
                <w:rFonts w:ascii="宋体" w:hAnsi="宋体" w:cs="宋体"/>
                <w:sz w:val="24"/>
              </w:rPr>
            </w:pPr>
            <w:r>
              <w:rPr>
                <w:rFonts w:hint="eastAsia" w:ascii="宋体" w:hAnsi="宋体" w:cs="宋体"/>
                <w:sz w:val="24"/>
              </w:rPr>
              <w:t>2</w:t>
            </w:r>
          </w:p>
        </w:tc>
        <w:tc>
          <w:tcPr>
            <w:tcW w:w="6172" w:type="dxa"/>
            <w:vAlign w:val="center"/>
          </w:tcPr>
          <w:p>
            <w:pPr>
              <w:widowControl/>
              <w:spacing w:line="300" w:lineRule="auto"/>
              <w:jc w:val="left"/>
              <w:textAlignment w:val="center"/>
              <w:rPr>
                <w:rFonts w:ascii="宋体" w:hAnsi="宋体" w:cs="宋体"/>
                <w:spacing w:val="-2"/>
                <w:sz w:val="24"/>
              </w:rPr>
            </w:pPr>
            <w:r>
              <w:rPr>
                <w:rFonts w:hint="eastAsia" w:ascii="宋体" w:hAnsi="宋体" w:cs="宋体"/>
                <w:spacing w:val="-2"/>
                <w:sz w:val="24"/>
              </w:rPr>
              <w:t>投标有效期不满足招标文件要求的</w:t>
            </w:r>
          </w:p>
        </w:tc>
        <w:tc>
          <w:tcPr>
            <w:tcW w:w="2020" w:type="dxa"/>
            <w:vAlign w:val="center"/>
          </w:tcPr>
          <w:p>
            <w:pPr>
              <w:spacing w:line="300" w:lineRule="auto"/>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28" w:type="dxa"/>
            <w:vAlign w:val="center"/>
          </w:tcPr>
          <w:p>
            <w:pPr>
              <w:spacing w:line="300" w:lineRule="auto"/>
              <w:jc w:val="center"/>
              <w:rPr>
                <w:rFonts w:ascii="宋体" w:hAnsi="宋体" w:cs="宋体"/>
                <w:sz w:val="24"/>
              </w:rPr>
            </w:pPr>
            <w:r>
              <w:rPr>
                <w:rFonts w:hint="eastAsia" w:ascii="宋体" w:hAnsi="宋体" w:cs="宋体"/>
                <w:sz w:val="24"/>
              </w:rPr>
              <w:t>3</w:t>
            </w:r>
          </w:p>
        </w:tc>
        <w:tc>
          <w:tcPr>
            <w:tcW w:w="6172" w:type="dxa"/>
            <w:vAlign w:val="center"/>
          </w:tcPr>
          <w:p>
            <w:pPr>
              <w:widowControl/>
              <w:spacing w:line="300" w:lineRule="auto"/>
              <w:jc w:val="left"/>
              <w:textAlignment w:val="center"/>
              <w:rPr>
                <w:rFonts w:ascii="宋体" w:hAnsi="宋体" w:cs="宋体"/>
                <w:sz w:val="24"/>
              </w:rPr>
            </w:pPr>
            <w:r>
              <w:rPr>
                <w:rFonts w:hint="eastAsia" w:ascii="宋体" w:hAnsi="宋体" w:cs="宋体"/>
                <w:sz w:val="24"/>
              </w:rPr>
              <w:t>投标供应商提交的投标报价高于最高投标限价的；</w:t>
            </w:r>
          </w:p>
        </w:tc>
        <w:tc>
          <w:tcPr>
            <w:tcW w:w="2020" w:type="dxa"/>
            <w:vAlign w:val="center"/>
          </w:tcPr>
          <w:p>
            <w:pPr>
              <w:spacing w:line="30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ascii="宋体" w:hAnsi="宋体" w:cs="宋体"/>
                <w:sz w:val="24"/>
              </w:rPr>
            </w:pPr>
            <w:r>
              <w:rPr>
                <w:rFonts w:hint="eastAsia" w:ascii="宋体" w:hAnsi="宋体" w:cs="宋体"/>
                <w:sz w:val="24"/>
              </w:rPr>
              <w:t>4</w:t>
            </w:r>
          </w:p>
        </w:tc>
        <w:tc>
          <w:tcPr>
            <w:tcW w:w="6172" w:type="dxa"/>
            <w:vAlign w:val="center"/>
          </w:tcPr>
          <w:p>
            <w:pPr>
              <w:widowControl/>
              <w:spacing w:line="300" w:lineRule="auto"/>
              <w:jc w:val="left"/>
              <w:textAlignment w:val="center"/>
              <w:rPr>
                <w:rFonts w:ascii="宋体" w:hAnsi="宋体" w:cs="宋体"/>
                <w:spacing w:val="-2"/>
                <w:sz w:val="24"/>
              </w:rPr>
            </w:pPr>
            <w:r>
              <w:rPr>
                <w:rFonts w:hint="eastAsia" w:ascii="宋体" w:hAnsi="宋体" w:cs="宋体"/>
                <w:spacing w:val="-2"/>
                <w:sz w:val="24"/>
              </w:rPr>
              <w:t>投标文件付款方式不能满足招标文件要求的；</w:t>
            </w:r>
          </w:p>
        </w:tc>
        <w:tc>
          <w:tcPr>
            <w:tcW w:w="2020" w:type="dxa"/>
            <w:vAlign w:val="center"/>
          </w:tcPr>
          <w:p>
            <w:pPr>
              <w:spacing w:line="300" w:lineRule="auto"/>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28" w:type="dxa"/>
            <w:vAlign w:val="center"/>
          </w:tcPr>
          <w:p>
            <w:pPr>
              <w:spacing w:line="300" w:lineRule="auto"/>
              <w:jc w:val="center"/>
              <w:rPr>
                <w:rFonts w:ascii="宋体" w:hAnsi="宋体" w:cs="宋体"/>
                <w:sz w:val="24"/>
              </w:rPr>
            </w:pPr>
            <w:r>
              <w:rPr>
                <w:rFonts w:hint="eastAsia" w:ascii="宋体" w:hAnsi="宋体" w:cs="宋体"/>
                <w:sz w:val="24"/>
              </w:rPr>
              <w:t>5</w:t>
            </w:r>
          </w:p>
        </w:tc>
        <w:tc>
          <w:tcPr>
            <w:tcW w:w="6172" w:type="dxa"/>
            <w:vAlign w:val="center"/>
          </w:tcPr>
          <w:p>
            <w:pPr>
              <w:widowControl/>
              <w:spacing w:line="300" w:lineRule="auto"/>
              <w:jc w:val="left"/>
              <w:textAlignment w:val="center"/>
              <w:rPr>
                <w:rFonts w:ascii="宋体" w:hAnsi="宋体" w:cs="宋体"/>
                <w:spacing w:val="-2"/>
                <w:sz w:val="24"/>
              </w:rPr>
            </w:pPr>
            <w:r>
              <w:rPr>
                <w:rFonts w:hint="eastAsia" w:ascii="宋体" w:hAnsi="宋体" w:cs="宋体"/>
                <w:spacing w:val="-2"/>
                <w:sz w:val="24"/>
              </w:rPr>
              <w:t>投标文件的关键内容字迹模糊、无法辨认的,或者投标文件中经修正的内容字迹模糊难以辩认或者修改处未按规定签名盖章的；</w:t>
            </w:r>
          </w:p>
        </w:tc>
        <w:tc>
          <w:tcPr>
            <w:tcW w:w="2020" w:type="dxa"/>
            <w:vAlign w:val="center"/>
          </w:tcPr>
          <w:p>
            <w:pPr>
              <w:spacing w:line="300" w:lineRule="auto"/>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ascii="宋体" w:hAnsi="宋体" w:cs="宋体"/>
                <w:sz w:val="24"/>
              </w:rPr>
            </w:pPr>
            <w:r>
              <w:rPr>
                <w:rFonts w:hint="eastAsia" w:ascii="宋体" w:hAnsi="宋体" w:cs="宋体"/>
                <w:sz w:val="24"/>
              </w:rPr>
              <w:t>6</w:t>
            </w:r>
          </w:p>
        </w:tc>
        <w:tc>
          <w:tcPr>
            <w:tcW w:w="6172" w:type="dxa"/>
            <w:vAlign w:val="center"/>
          </w:tcPr>
          <w:p>
            <w:pPr>
              <w:widowControl/>
              <w:spacing w:line="300" w:lineRule="auto"/>
              <w:jc w:val="left"/>
              <w:textAlignment w:val="center"/>
              <w:rPr>
                <w:rFonts w:ascii="宋体" w:hAnsi="宋体" w:cs="宋体"/>
                <w:spacing w:val="-2"/>
                <w:sz w:val="24"/>
              </w:rPr>
            </w:pPr>
            <w:r>
              <w:rPr>
                <w:rFonts w:hint="eastAsia" w:ascii="宋体" w:hAnsi="宋体" w:cs="宋体"/>
                <w:spacing w:val="-2"/>
                <w:sz w:val="24"/>
              </w:rPr>
              <w:t>投标有效期、交货期、供货范围等商务条款不能满足招标文件要求的；</w:t>
            </w:r>
          </w:p>
        </w:tc>
        <w:tc>
          <w:tcPr>
            <w:tcW w:w="2020" w:type="dxa"/>
            <w:vAlign w:val="center"/>
          </w:tcPr>
          <w:p>
            <w:pPr>
              <w:spacing w:line="300" w:lineRule="auto"/>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ascii="宋体" w:hAnsi="宋体" w:cs="宋体"/>
                <w:sz w:val="24"/>
              </w:rPr>
            </w:pPr>
            <w:r>
              <w:rPr>
                <w:rFonts w:hint="eastAsia" w:ascii="宋体" w:hAnsi="宋体" w:cs="宋体"/>
                <w:sz w:val="24"/>
              </w:rPr>
              <w:t>7</w:t>
            </w:r>
          </w:p>
        </w:tc>
        <w:tc>
          <w:tcPr>
            <w:tcW w:w="6172" w:type="dxa"/>
            <w:vAlign w:val="center"/>
          </w:tcPr>
          <w:p>
            <w:pPr>
              <w:widowControl/>
              <w:spacing w:line="300" w:lineRule="auto"/>
              <w:jc w:val="left"/>
              <w:textAlignment w:val="center"/>
              <w:rPr>
                <w:rFonts w:ascii="宋体" w:hAnsi="宋体" w:cs="宋体"/>
                <w:spacing w:val="-2"/>
                <w:sz w:val="24"/>
              </w:rPr>
            </w:pPr>
            <w:r>
              <w:rPr>
                <w:rFonts w:hint="eastAsia" w:ascii="宋体" w:hAnsi="宋体" w:cs="宋体"/>
                <w:spacing w:val="-2"/>
                <w:sz w:val="24"/>
              </w:rPr>
              <w:t>投标人递交两份或多份内容不同的投标文件，或在一份投标文件中对同一招标项目出现两个或多个报价</w:t>
            </w:r>
          </w:p>
        </w:tc>
        <w:tc>
          <w:tcPr>
            <w:tcW w:w="2020" w:type="dxa"/>
            <w:vAlign w:val="center"/>
          </w:tcPr>
          <w:p>
            <w:pPr>
              <w:spacing w:line="300" w:lineRule="auto"/>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ascii="宋体" w:hAnsi="宋体" w:cs="宋体"/>
                <w:sz w:val="24"/>
              </w:rPr>
            </w:pPr>
            <w:r>
              <w:rPr>
                <w:rFonts w:hint="eastAsia" w:ascii="宋体" w:hAnsi="宋体" w:cs="宋体"/>
                <w:sz w:val="24"/>
              </w:rPr>
              <w:t>8</w:t>
            </w:r>
          </w:p>
        </w:tc>
        <w:tc>
          <w:tcPr>
            <w:tcW w:w="6172" w:type="dxa"/>
            <w:vAlign w:val="center"/>
          </w:tcPr>
          <w:p>
            <w:pPr>
              <w:widowControl/>
              <w:spacing w:line="300" w:lineRule="auto"/>
              <w:textAlignment w:val="center"/>
              <w:rPr>
                <w:rFonts w:ascii="宋体" w:hAnsi="宋体" w:cs="宋体"/>
                <w:sz w:val="24"/>
              </w:rPr>
            </w:pPr>
            <w:r>
              <w:rPr>
                <w:rFonts w:hint="eastAsia" w:ascii="宋体" w:hAnsi="宋体" w:cs="宋体"/>
                <w:sz w:val="24"/>
              </w:rPr>
              <w:t>未实质性响应或者擅自改变招标文件要求或者投标文件有招标方不能接受的附加条件的。</w:t>
            </w:r>
          </w:p>
        </w:tc>
        <w:tc>
          <w:tcPr>
            <w:tcW w:w="2020" w:type="dxa"/>
            <w:vAlign w:val="center"/>
          </w:tcPr>
          <w:p>
            <w:pPr>
              <w:spacing w:line="30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000" w:type="dxa"/>
            <w:gridSpan w:val="2"/>
            <w:vAlign w:val="center"/>
          </w:tcPr>
          <w:p>
            <w:pPr>
              <w:spacing w:line="300" w:lineRule="auto"/>
              <w:ind w:firstLine="424" w:firstLineChars="180"/>
              <w:rPr>
                <w:rFonts w:ascii="宋体" w:hAnsi="宋体" w:cs="宋体"/>
                <w:spacing w:val="-2"/>
                <w:sz w:val="24"/>
              </w:rPr>
            </w:pPr>
            <w:r>
              <w:rPr>
                <w:rFonts w:hint="eastAsia" w:ascii="宋体" w:hAnsi="宋体" w:cs="宋体"/>
                <w:spacing w:val="-2"/>
                <w:sz w:val="24"/>
              </w:rPr>
              <w:t>结论：通过评审打“√”，未通过评审打“×”</w:t>
            </w:r>
          </w:p>
        </w:tc>
        <w:tc>
          <w:tcPr>
            <w:tcW w:w="2020" w:type="dxa"/>
            <w:vAlign w:val="center"/>
          </w:tcPr>
          <w:p>
            <w:pPr>
              <w:spacing w:line="300" w:lineRule="auto"/>
              <w:ind w:firstLine="424" w:firstLineChars="180"/>
              <w:rPr>
                <w:rFonts w:ascii="宋体" w:hAnsi="宋体" w:cs="宋体"/>
                <w:spacing w:val="-2"/>
                <w:sz w:val="24"/>
              </w:rPr>
            </w:pPr>
          </w:p>
        </w:tc>
      </w:tr>
    </w:tbl>
    <w:p>
      <w:pPr>
        <w:spacing w:line="300" w:lineRule="auto"/>
        <w:rPr>
          <w:rFonts w:ascii="宋体" w:hAnsi="宋体" w:cs="宋体"/>
          <w:sz w:val="24"/>
        </w:rPr>
      </w:pPr>
    </w:p>
    <w:p>
      <w:pPr>
        <w:spacing w:line="300" w:lineRule="auto"/>
        <w:ind w:left="60"/>
        <w:rPr>
          <w:rFonts w:ascii="宋体" w:hAnsi="宋体" w:cs="宋体"/>
          <w:sz w:val="24"/>
        </w:rPr>
      </w:pPr>
    </w:p>
    <w:p>
      <w:pPr>
        <w:spacing w:line="300" w:lineRule="auto"/>
        <w:ind w:left="60"/>
        <w:rPr>
          <w:rFonts w:ascii="宋体" w:hAnsi="宋体" w:cs="宋体"/>
          <w:sz w:val="24"/>
        </w:rPr>
      </w:pPr>
      <w:r>
        <w:rPr>
          <w:rFonts w:hint="eastAsia" w:ascii="宋体" w:hAnsi="宋体" w:cs="宋体"/>
          <w:sz w:val="24"/>
        </w:rPr>
        <w:t>说明：</w:t>
      </w:r>
    </w:p>
    <w:p>
      <w:pPr>
        <w:spacing w:line="300" w:lineRule="auto"/>
        <w:ind w:left="60"/>
        <w:rPr>
          <w:rFonts w:ascii="宋体" w:hAnsi="宋体" w:cs="宋体"/>
          <w:sz w:val="24"/>
        </w:rPr>
      </w:pPr>
      <w:r>
        <w:rPr>
          <w:rFonts w:hint="eastAsia" w:ascii="宋体" w:hAnsi="宋体" w:cs="宋体"/>
          <w:sz w:val="24"/>
        </w:rPr>
        <w:t>（1）上述各项中用“√”表示通过，“×”表示不通过；</w:t>
      </w:r>
    </w:p>
    <w:p>
      <w:pPr>
        <w:spacing w:line="300" w:lineRule="auto"/>
        <w:ind w:left="779" w:leftChars="28" w:hanging="720" w:hangingChars="300"/>
        <w:rPr>
          <w:rFonts w:ascii="宋体" w:hAnsi="宋体" w:cs="宋体"/>
          <w:sz w:val="24"/>
        </w:rPr>
      </w:pPr>
      <w:r>
        <w:rPr>
          <w:rFonts w:hint="eastAsia" w:ascii="宋体" w:hAnsi="宋体" w:cs="宋体"/>
          <w:sz w:val="24"/>
        </w:rPr>
        <w:t>（2）上述各项中如有一项为“×”，则结论为“×”，表示该投标文件中存在重大偏差，不能通过初步评审；评委对某一分项评审认为不合格时，必须要写明原因。</w:t>
      </w:r>
    </w:p>
    <w:p>
      <w:pPr>
        <w:pStyle w:val="11"/>
      </w:pPr>
      <w:r>
        <w:rPr>
          <w:rFonts w:hint="eastAsia" w:cs="宋体"/>
        </w:rPr>
        <w:t>（3）投标文件最终合格与否，以所有评委的评审意见中少数服从多数为原则定论。</w:t>
      </w:r>
    </w:p>
    <w:p>
      <w:pPr>
        <w:pStyle w:val="11"/>
        <w:tabs>
          <w:tab w:val="clear" w:pos="567"/>
        </w:tabs>
        <w:spacing w:before="0" w:line="360" w:lineRule="auto"/>
        <w:ind w:left="-181" w:leftChars="-86" w:firstLine="663" w:firstLineChars="275"/>
        <w:rPr>
          <w:b/>
          <w:u w:val="single"/>
        </w:rPr>
      </w:pPr>
    </w:p>
    <w:p>
      <w:pPr>
        <w:pStyle w:val="11"/>
        <w:tabs>
          <w:tab w:val="clear" w:pos="567"/>
        </w:tabs>
        <w:spacing w:before="0" w:line="360" w:lineRule="auto"/>
        <w:ind w:left="-181" w:leftChars="-86" w:firstLine="663" w:firstLineChars="275"/>
        <w:rPr>
          <w:b/>
          <w:u w:val="single"/>
        </w:rPr>
      </w:pPr>
    </w:p>
    <w:p>
      <w:pPr>
        <w:pStyle w:val="11"/>
        <w:tabs>
          <w:tab w:val="clear" w:pos="567"/>
        </w:tabs>
        <w:spacing w:before="0" w:line="360" w:lineRule="auto"/>
        <w:ind w:left="-181" w:leftChars="-86" w:firstLine="663" w:firstLineChars="275"/>
        <w:rPr>
          <w:b/>
          <w:u w:val="single"/>
        </w:rPr>
      </w:pPr>
    </w:p>
    <w:p>
      <w:pPr>
        <w:pStyle w:val="11"/>
        <w:tabs>
          <w:tab w:val="clear" w:pos="567"/>
        </w:tabs>
        <w:spacing w:before="0" w:line="360" w:lineRule="auto"/>
        <w:ind w:left="-181" w:leftChars="-86" w:firstLine="663" w:firstLineChars="275"/>
        <w:rPr>
          <w:b/>
          <w:u w:val="single"/>
        </w:rPr>
      </w:pPr>
    </w:p>
    <w:p>
      <w:pPr>
        <w:pStyle w:val="11"/>
        <w:pageBreakBefore/>
        <w:tabs>
          <w:tab w:val="clear" w:pos="567"/>
        </w:tabs>
        <w:spacing w:before="0" w:line="360" w:lineRule="auto"/>
        <w:ind w:left="-181" w:leftChars="-86" w:firstLine="180" w:firstLineChars="56"/>
        <w:jc w:val="center"/>
        <w:rPr>
          <w:b/>
          <w:u w:val="single"/>
        </w:rPr>
      </w:pPr>
      <w:r>
        <w:rPr>
          <w:rFonts w:hint="eastAsia" w:ascii="仿宋" w:hAnsi="仿宋" w:eastAsia="仿宋" w:cs="宋体"/>
          <w:b/>
          <w:bCs/>
          <w:kern w:val="0"/>
          <w:sz w:val="32"/>
          <w:szCs w:val="32"/>
        </w:rPr>
        <w:t>一、商务符合性审查表</w:t>
      </w:r>
    </w:p>
    <w:tbl>
      <w:tblPr>
        <w:tblStyle w:val="28"/>
        <w:tblW w:w="0" w:type="auto"/>
        <w:tblInd w:w="0" w:type="dxa"/>
        <w:tblLayout w:type="fixed"/>
        <w:tblCellMar>
          <w:top w:w="0" w:type="dxa"/>
          <w:left w:w="108" w:type="dxa"/>
          <w:bottom w:w="0" w:type="dxa"/>
          <w:right w:w="108" w:type="dxa"/>
        </w:tblCellMar>
      </w:tblPr>
      <w:tblGrid>
        <w:gridCol w:w="3087"/>
        <w:gridCol w:w="4828"/>
        <w:gridCol w:w="458"/>
        <w:gridCol w:w="458"/>
        <w:gridCol w:w="458"/>
      </w:tblGrid>
      <w:tr>
        <w:tblPrEx>
          <w:tblCellMar>
            <w:top w:w="0" w:type="dxa"/>
            <w:left w:w="108" w:type="dxa"/>
            <w:bottom w:w="0" w:type="dxa"/>
            <w:right w:w="108" w:type="dxa"/>
          </w:tblCellMar>
        </w:tblPrEx>
        <w:trPr>
          <w:trHeight w:val="754" w:hRule="atLeast"/>
        </w:trPr>
        <w:tc>
          <w:tcPr>
            <w:tcW w:w="79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137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4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45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9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中小企业投标要求（1.3.6）</w:t>
            </w:r>
          </w:p>
        </w:tc>
        <w:tc>
          <w:tcPr>
            <w:tcW w:w="482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kern w:val="0"/>
                <w:szCs w:val="21"/>
                <w:u w:val="single"/>
              </w:rPr>
              <w:t>不</w:t>
            </w:r>
            <w:r>
              <w:rPr>
                <w:rFonts w:hint="eastAsia" w:ascii="仿宋" w:hAnsi="仿宋" w:eastAsia="仿宋" w:cs="宋体"/>
                <w:i/>
                <w:iCs/>
                <w:kern w:val="0"/>
                <w:szCs w:val="21"/>
                <w:u w:val="single"/>
              </w:rPr>
              <w:t>适用</w:t>
            </w: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（1.4）</w:t>
            </w:r>
          </w:p>
        </w:tc>
        <w:tc>
          <w:tcPr>
            <w:tcW w:w="482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接受</w:t>
            </w:r>
            <w:r>
              <w:rPr>
                <w:rFonts w:hint="eastAsia" w:ascii="仿宋" w:hAnsi="仿宋" w:eastAsia="仿宋" w:cs="宋体"/>
                <w:kern w:val="0"/>
                <w:szCs w:val="21"/>
              </w:rPr>
              <w:t>联合体投标</w:t>
            </w: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（1.5）</w:t>
            </w:r>
          </w:p>
        </w:tc>
        <w:tc>
          <w:tcPr>
            <w:tcW w:w="482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未发现影响采购人决策行为（1.5）</w:t>
            </w:r>
          </w:p>
        </w:tc>
        <w:tc>
          <w:tcPr>
            <w:tcW w:w="482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（8.1）</w:t>
            </w:r>
          </w:p>
        </w:tc>
        <w:tc>
          <w:tcPr>
            <w:tcW w:w="482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（11.4）</w:t>
            </w:r>
          </w:p>
        </w:tc>
        <w:tc>
          <w:tcPr>
            <w:tcW w:w="482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投标保证金（12.1）</w:t>
            </w:r>
          </w:p>
        </w:tc>
        <w:tc>
          <w:tcPr>
            <w:tcW w:w="482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（13.1）</w:t>
            </w:r>
          </w:p>
        </w:tc>
        <w:tc>
          <w:tcPr>
            <w:tcW w:w="482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 xml:space="preserve"> 90 日</w:t>
            </w:r>
            <w:r>
              <w:rPr>
                <w:rFonts w:hint="eastAsia" w:ascii="仿宋" w:hAnsi="仿宋" w:eastAsia="仿宋"/>
                <w:szCs w:val="21"/>
              </w:rPr>
              <w:t>历日内</w:t>
            </w: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投标文件的签署和盖章符合要求（14.2、14.4）</w:t>
            </w:r>
          </w:p>
        </w:tc>
        <w:tc>
          <w:tcPr>
            <w:tcW w:w="482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（20.3）</w:t>
            </w:r>
          </w:p>
        </w:tc>
        <w:tc>
          <w:tcPr>
            <w:tcW w:w="482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符合强制采购节能产品要求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（20.6）</w:t>
            </w:r>
          </w:p>
        </w:tc>
        <w:tc>
          <w:tcPr>
            <w:tcW w:w="482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适用</w:t>
            </w: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未发现串通投标（22.2）</w:t>
            </w:r>
          </w:p>
        </w:tc>
        <w:tc>
          <w:tcPr>
            <w:tcW w:w="482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报价说明可以接受（22.2）</w:t>
            </w:r>
          </w:p>
        </w:tc>
        <w:tc>
          <w:tcPr>
            <w:tcW w:w="482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无采购人不能接受的附加条件（22.2）</w:t>
            </w:r>
          </w:p>
        </w:tc>
        <w:tc>
          <w:tcPr>
            <w:tcW w:w="482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79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45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45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spacing w:line="360" w:lineRule="auto"/>
        <w:rPr>
          <w:rFonts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w:t>
      </w:r>
    </w:p>
    <w:p>
      <w:pPr>
        <w:pStyle w:val="11"/>
        <w:tabs>
          <w:tab w:val="clear" w:pos="567"/>
        </w:tabs>
        <w:spacing w:before="0" w:line="360" w:lineRule="auto"/>
        <w:ind w:left="-181" w:leftChars="-86" w:firstLine="663" w:firstLineChars="275"/>
      </w:pPr>
      <w:r>
        <w:rPr>
          <w:rFonts w:hint="eastAsia" w:cs="宋体"/>
          <w:b/>
        </w:rPr>
        <w:t xml:space="preserve">  2.表中所述分项评审结果分两种：（1）合格用“√”表示；（2）不合格用“×”表示。</w:t>
      </w:r>
    </w:p>
    <w:p>
      <w:pPr>
        <w:pStyle w:val="11"/>
        <w:tabs>
          <w:tab w:val="clear" w:pos="567"/>
        </w:tabs>
        <w:spacing w:before="0" w:line="360" w:lineRule="auto"/>
        <w:ind w:left="-181" w:leftChars="-86" w:firstLine="660" w:firstLineChars="275"/>
      </w:pPr>
    </w:p>
    <w:p>
      <w:pPr>
        <w:pStyle w:val="35"/>
        <w:ind w:firstLine="240"/>
      </w:pPr>
    </w:p>
    <w:p>
      <w:pPr>
        <w:pStyle w:val="11"/>
        <w:tabs>
          <w:tab w:val="clear" w:pos="567"/>
        </w:tabs>
        <w:spacing w:before="0" w:line="360" w:lineRule="auto"/>
        <w:ind w:left="-181" w:leftChars="-86" w:firstLine="660" w:firstLineChars="275"/>
      </w:pPr>
    </w:p>
    <w:p>
      <w:pPr>
        <w:pStyle w:val="11"/>
        <w:tabs>
          <w:tab w:val="clear" w:pos="567"/>
        </w:tabs>
        <w:spacing w:before="0" w:line="360" w:lineRule="auto"/>
        <w:ind w:left="-181" w:leftChars="-86" w:firstLine="883" w:firstLineChars="275"/>
        <w:jc w:val="center"/>
      </w:pPr>
      <w:r>
        <w:rPr>
          <w:rFonts w:hint="eastAsia" w:cs="宋体"/>
          <w:b/>
          <w:bCs/>
          <w:kern w:val="0"/>
          <w:sz w:val="32"/>
          <w:szCs w:val="32"/>
        </w:rPr>
        <w:t>二、技术符合性审查表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1302"/>
        <w:gridCol w:w="1691"/>
        <w:gridCol w:w="1966"/>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901" w:type="dxa"/>
            <w:gridSpan w:val="2"/>
            <w:vMerge w:val="restart"/>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事项</w:t>
            </w:r>
          </w:p>
        </w:tc>
        <w:tc>
          <w:tcPr>
            <w:tcW w:w="1691" w:type="dxa"/>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1966" w:type="dxa"/>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1731" w:type="dxa"/>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901" w:type="dxa"/>
            <w:gridSpan w:val="2"/>
            <w:vMerge w:val="continue"/>
            <w:vAlign w:val="center"/>
          </w:tcPr>
          <w:p>
            <w:pPr>
              <w:widowControl/>
              <w:jc w:val="left"/>
              <w:rPr>
                <w:rFonts w:ascii="宋体" w:hAnsi="宋体" w:cs="宋体"/>
                <w:kern w:val="0"/>
                <w:sz w:val="22"/>
                <w:szCs w:val="22"/>
              </w:rPr>
            </w:pPr>
          </w:p>
        </w:tc>
        <w:tc>
          <w:tcPr>
            <w:tcW w:w="169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6"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3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9" w:type="dxa"/>
            <w:vAlign w:val="center"/>
          </w:tcPr>
          <w:p>
            <w:pPr>
              <w:widowControl/>
              <w:jc w:val="center"/>
              <w:rPr>
                <w:rFonts w:ascii="宋体" w:hAnsi="宋体" w:cs="宋体"/>
                <w:kern w:val="0"/>
                <w:sz w:val="22"/>
                <w:szCs w:val="22"/>
              </w:rPr>
            </w:pPr>
            <w:r>
              <w:rPr>
                <w:rFonts w:hint="eastAsia" w:ascii="宋体" w:hAnsi="宋体" w:cs="宋体"/>
                <w:kern w:val="0"/>
                <w:sz w:val="22"/>
                <w:szCs w:val="22"/>
              </w:rPr>
              <w:t>招标文件要求</w:t>
            </w:r>
          </w:p>
        </w:tc>
        <w:tc>
          <w:tcPr>
            <w:tcW w:w="1302" w:type="dxa"/>
            <w:vAlign w:val="center"/>
          </w:tcPr>
          <w:p>
            <w:pPr>
              <w:widowControl/>
              <w:jc w:val="center"/>
              <w:rPr>
                <w:rFonts w:ascii="宋体" w:hAnsi="宋体" w:cs="宋体"/>
                <w:kern w:val="0"/>
                <w:sz w:val="22"/>
                <w:szCs w:val="22"/>
              </w:rPr>
            </w:pPr>
            <w:r>
              <w:rPr>
                <w:rFonts w:hint="eastAsia" w:ascii="宋体" w:hAnsi="宋体" w:cs="宋体"/>
                <w:kern w:val="0"/>
                <w:sz w:val="22"/>
                <w:szCs w:val="22"/>
              </w:rPr>
              <w:t>条款号</w:t>
            </w:r>
          </w:p>
        </w:tc>
        <w:tc>
          <w:tcPr>
            <w:tcW w:w="169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6"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3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9" w:type="dxa"/>
            <w:vAlign w:val="center"/>
          </w:tcPr>
          <w:p>
            <w:pPr>
              <w:widowControl/>
              <w:jc w:val="center"/>
              <w:rPr>
                <w:rFonts w:ascii="仿宋_GB2312" w:eastAsia="仿宋_GB2312"/>
              </w:rPr>
            </w:pPr>
          </w:p>
        </w:tc>
        <w:tc>
          <w:tcPr>
            <w:tcW w:w="1302" w:type="dxa"/>
            <w:vAlign w:val="center"/>
          </w:tcPr>
          <w:p>
            <w:pPr>
              <w:widowControl/>
              <w:jc w:val="center"/>
              <w:rPr>
                <w:rFonts w:ascii="宋体" w:hAnsi="宋体" w:cs="宋体"/>
                <w:kern w:val="0"/>
                <w:sz w:val="22"/>
                <w:szCs w:val="22"/>
              </w:rPr>
            </w:pPr>
          </w:p>
        </w:tc>
        <w:tc>
          <w:tcPr>
            <w:tcW w:w="169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6" w:type="dxa"/>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731" w:type="dxa"/>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9" w:type="dxa"/>
            <w:vAlign w:val="center"/>
          </w:tcPr>
          <w:p>
            <w:pPr>
              <w:widowControl/>
              <w:jc w:val="center"/>
              <w:rPr>
                <w:rFonts w:ascii="仿宋_GB2312" w:eastAsia="仿宋_GB2312"/>
              </w:rPr>
            </w:pPr>
          </w:p>
        </w:tc>
        <w:tc>
          <w:tcPr>
            <w:tcW w:w="1302" w:type="dxa"/>
            <w:vAlign w:val="center"/>
          </w:tcPr>
          <w:p>
            <w:pPr>
              <w:widowControl/>
              <w:jc w:val="center"/>
              <w:rPr>
                <w:rFonts w:ascii="宋体" w:hAnsi="宋体" w:cs="宋体"/>
                <w:kern w:val="0"/>
                <w:sz w:val="22"/>
                <w:szCs w:val="22"/>
              </w:rPr>
            </w:pPr>
          </w:p>
        </w:tc>
        <w:tc>
          <w:tcPr>
            <w:tcW w:w="169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6"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3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9" w:type="dxa"/>
            <w:vAlign w:val="center"/>
          </w:tcPr>
          <w:p>
            <w:pPr>
              <w:widowControl/>
              <w:jc w:val="center"/>
              <w:rPr>
                <w:rFonts w:ascii="仿宋_GB2312" w:eastAsia="仿宋_GB2312"/>
              </w:rPr>
            </w:pPr>
          </w:p>
        </w:tc>
        <w:tc>
          <w:tcPr>
            <w:tcW w:w="1302" w:type="dxa"/>
            <w:vAlign w:val="center"/>
          </w:tcPr>
          <w:p>
            <w:pPr>
              <w:widowControl/>
              <w:jc w:val="center"/>
              <w:rPr>
                <w:rFonts w:ascii="宋体" w:hAnsi="宋体" w:cs="宋体"/>
                <w:kern w:val="0"/>
                <w:sz w:val="22"/>
                <w:szCs w:val="22"/>
              </w:rPr>
            </w:pPr>
          </w:p>
        </w:tc>
        <w:tc>
          <w:tcPr>
            <w:tcW w:w="169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6"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3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9" w:type="dxa"/>
            <w:vAlign w:val="center"/>
          </w:tcPr>
          <w:p>
            <w:pPr>
              <w:widowControl/>
              <w:jc w:val="left"/>
              <w:rPr>
                <w:rFonts w:ascii="宋体" w:hAnsi="宋体" w:cs="宋体"/>
                <w:kern w:val="0"/>
                <w:sz w:val="22"/>
                <w:szCs w:val="22"/>
                <w:lang w:bidi="ar"/>
              </w:rPr>
            </w:pPr>
          </w:p>
        </w:tc>
        <w:tc>
          <w:tcPr>
            <w:tcW w:w="1302" w:type="dxa"/>
            <w:vAlign w:val="center"/>
          </w:tcPr>
          <w:p>
            <w:pPr>
              <w:widowControl/>
              <w:jc w:val="center"/>
              <w:rPr>
                <w:rFonts w:ascii="宋体" w:hAnsi="宋体" w:cs="宋体"/>
                <w:kern w:val="0"/>
                <w:sz w:val="22"/>
                <w:szCs w:val="22"/>
              </w:rPr>
            </w:pPr>
          </w:p>
        </w:tc>
        <w:tc>
          <w:tcPr>
            <w:tcW w:w="169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6"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3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9" w:type="dxa"/>
            <w:vAlign w:val="center"/>
          </w:tcPr>
          <w:p>
            <w:pPr>
              <w:widowControl/>
              <w:jc w:val="left"/>
              <w:rPr>
                <w:rFonts w:ascii="宋体" w:hAnsi="宋体" w:cs="宋体"/>
                <w:kern w:val="0"/>
                <w:sz w:val="22"/>
                <w:szCs w:val="22"/>
                <w:lang w:bidi="ar"/>
              </w:rPr>
            </w:pPr>
          </w:p>
        </w:tc>
        <w:tc>
          <w:tcPr>
            <w:tcW w:w="1302" w:type="dxa"/>
            <w:vAlign w:val="center"/>
          </w:tcPr>
          <w:p>
            <w:pPr>
              <w:widowControl/>
              <w:jc w:val="center"/>
              <w:rPr>
                <w:rFonts w:ascii="宋体" w:hAnsi="宋体" w:cs="宋体"/>
                <w:kern w:val="0"/>
                <w:sz w:val="22"/>
                <w:szCs w:val="22"/>
              </w:rPr>
            </w:pPr>
          </w:p>
        </w:tc>
        <w:tc>
          <w:tcPr>
            <w:tcW w:w="169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6"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3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9" w:type="dxa"/>
            <w:vAlign w:val="center"/>
          </w:tcPr>
          <w:p>
            <w:pPr>
              <w:widowControl/>
              <w:jc w:val="center"/>
              <w:textAlignment w:val="center"/>
              <w:rPr>
                <w:rFonts w:ascii="宋体" w:hAnsi="宋体" w:cs="宋体"/>
                <w:sz w:val="24"/>
              </w:rPr>
            </w:pPr>
          </w:p>
        </w:tc>
        <w:tc>
          <w:tcPr>
            <w:tcW w:w="1302" w:type="dxa"/>
            <w:vAlign w:val="center"/>
          </w:tcPr>
          <w:p>
            <w:pPr>
              <w:widowControl/>
              <w:jc w:val="center"/>
              <w:rPr>
                <w:rFonts w:ascii="宋体" w:hAnsi="宋体" w:cs="宋体"/>
                <w:kern w:val="0"/>
                <w:sz w:val="22"/>
                <w:szCs w:val="22"/>
              </w:rPr>
            </w:pPr>
          </w:p>
        </w:tc>
        <w:tc>
          <w:tcPr>
            <w:tcW w:w="169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6"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3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9" w:type="dxa"/>
            <w:vAlign w:val="center"/>
          </w:tcPr>
          <w:p>
            <w:pPr>
              <w:widowControl/>
              <w:jc w:val="center"/>
              <w:textAlignment w:val="center"/>
              <w:rPr>
                <w:rFonts w:ascii="宋体" w:hAnsi="宋体" w:cs="宋体"/>
                <w:sz w:val="24"/>
              </w:rPr>
            </w:pPr>
          </w:p>
        </w:tc>
        <w:tc>
          <w:tcPr>
            <w:tcW w:w="1302" w:type="dxa"/>
            <w:vAlign w:val="center"/>
          </w:tcPr>
          <w:p>
            <w:pPr>
              <w:widowControl/>
              <w:jc w:val="center"/>
              <w:rPr>
                <w:rFonts w:ascii="宋体" w:hAnsi="宋体" w:cs="宋体"/>
                <w:kern w:val="0"/>
                <w:sz w:val="22"/>
                <w:szCs w:val="22"/>
              </w:rPr>
            </w:pPr>
          </w:p>
        </w:tc>
        <w:tc>
          <w:tcPr>
            <w:tcW w:w="169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6"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3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9" w:type="dxa"/>
            <w:vAlign w:val="center"/>
          </w:tcPr>
          <w:p>
            <w:pPr>
              <w:widowControl/>
              <w:jc w:val="center"/>
              <w:textAlignment w:val="center"/>
              <w:rPr>
                <w:rFonts w:ascii="宋体" w:hAnsi="宋体" w:cs="宋体"/>
                <w:sz w:val="24"/>
              </w:rPr>
            </w:pPr>
          </w:p>
        </w:tc>
        <w:tc>
          <w:tcPr>
            <w:tcW w:w="1302" w:type="dxa"/>
            <w:vAlign w:val="center"/>
          </w:tcPr>
          <w:p>
            <w:pPr>
              <w:widowControl/>
              <w:jc w:val="center"/>
              <w:rPr>
                <w:rFonts w:ascii="宋体" w:hAnsi="宋体" w:cs="宋体"/>
                <w:kern w:val="0"/>
                <w:sz w:val="22"/>
                <w:szCs w:val="22"/>
              </w:rPr>
            </w:pPr>
          </w:p>
        </w:tc>
        <w:tc>
          <w:tcPr>
            <w:tcW w:w="169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6"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3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9" w:type="dxa"/>
            <w:vAlign w:val="center"/>
          </w:tcPr>
          <w:p>
            <w:pPr>
              <w:widowControl/>
              <w:jc w:val="center"/>
              <w:rPr>
                <w:rFonts w:ascii="宋体" w:hAnsi="宋体" w:cs="宋体"/>
                <w:kern w:val="0"/>
                <w:sz w:val="22"/>
                <w:szCs w:val="22"/>
              </w:rPr>
            </w:pPr>
          </w:p>
        </w:tc>
        <w:tc>
          <w:tcPr>
            <w:tcW w:w="1302" w:type="dxa"/>
            <w:vAlign w:val="center"/>
          </w:tcPr>
          <w:p>
            <w:pPr>
              <w:widowControl/>
              <w:jc w:val="center"/>
              <w:rPr>
                <w:rFonts w:ascii="宋体" w:hAnsi="宋体" w:cs="宋体"/>
                <w:kern w:val="0"/>
                <w:sz w:val="22"/>
                <w:szCs w:val="22"/>
              </w:rPr>
            </w:pPr>
          </w:p>
        </w:tc>
        <w:tc>
          <w:tcPr>
            <w:tcW w:w="169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6"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3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9" w:type="dxa"/>
            <w:vAlign w:val="center"/>
          </w:tcPr>
          <w:p>
            <w:pPr>
              <w:widowControl/>
              <w:jc w:val="center"/>
              <w:rPr>
                <w:rFonts w:ascii="宋体" w:hAnsi="宋体" w:cs="宋体"/>
                <w:kern w:val="0"/>
                <w:sz w:val="22"/>
                <w:szCs w:val="22"/>
              </w:rPr>
            </w:pPr>
          </w:p>
        </w:tc>
        <w:tc>
          <w:tcPr>
            <w:tcW w:w="1302" w:type="dxa"/>
            <w:vAlign w:val="center"/>
          </w:tcPr>
          <w:p>
            <w:pPr>
              <w:widowControl/>
              <w:jc w:val="center"/>
              <w:rPr>
                <w:rFonts w:ascii="宋体" w:hAnsi="宋体" w:cs="宋体"/>
                <w:kern w:val="0"/>
                <w:sz w:val="22"/>
                <w:szCs w:val="22"/>
              </w:rPr>
            </w:pPr>
          </w:p>
        </w:tc>
        <w:tc>
          <w:tcPr>
            <w:tcW w:w="169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6"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31" w:type="dxa"/>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9" w:type="dxa"/>
            <w:vAlign w:val="center"/>
          </w:tcPr>
          <w:p>
            <w:pPr>
              <w:widowControl/>
              <w:jc w:val="center"/>
              <w:rPr>
                <w:rFonts w:ascii="宋体" w:hAnsi="宋体" w:cs="宋体"/>
                <w:kern w:val="0"/>
                <w:sz w:val="22"/>
                <w:szCs w:val="22"/>
              </w:rPr>
            </w:pPr>
          </w:p>
        </w:tc>
        <w:tc>
          <w:tcPr>
            <w:tcW w:w="1302" w:type="dxa"/>
            <w:vAlign w:val="center"/>
          </w:tcPr>
          <w:p>
            <w:pPr>
              <w:widowControl/>
              <w:jc w:val="center"/>
              <w:rPr>
                <w:rFonts w:ascii="宋体" w:hAnsi="宋体" w:cs="宋体"/>
                <w:kern w:val="0"/>
                <w:sz w:val="22"/>
                <w:szCs w:val="22"/>
              </w:rPr>
            </w:pPr>
          </w:p>
        </w:tc>
        <w:tc>
          <w:tcPr>
            <w:tcW w:w="1691" w:type="dxa"/>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6" w:type="dxa"/>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731" w:type="dxa"/>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9" w:type="dxa"/>
            <w:vAlign w:val="center"/>
          </w:tcPr>
          <w:p>
            <w:pPr>
              <w:widowControl/>
              <w:jc w:val="center"/>
              <w:rPr>
                <w:rFonts w:ascii="宋体" w:hAnsi="宋体" w:cs="宋体"/>
                <w:kern w:val="0"/>
                <w:sz w:val="22"/>
                <w:szCs w:val="22"/>
              </w:rPr>
            </w:pPr>
          </w:p>
        </w:tc>
        <w:tc>
          <w:tcPr>
            <w:tcW w:w="1302" w:type="dxa"/>
            <w:vAlign w:val="center"/>
          </w:tcPr>
          <w:p>
            <w:pPr>
              <w:widowControl/>
              <w:jc w:val="center"/>
              <w:rPr>
                <w:rFonts w:ascii="宋体" w:hAnsi="宋体" w:cs="宋体"/>
                <w:kern w:val="0"/>
                <w:sz w:val="22"/>
                <w:szCs w:val="22"/>
              </w:rPr>
            </w:pPr>
          </w:p>
        </w:tc>
        <w:tc>
          <w:tcPr>
            <w:tcW w:w="1691" w:type="dxa"/>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6" w:type="dxa"/>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731" w:type="dxa"/>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9" w:type="dxa"/>
            <w:vAlign w:val="center"/>
          </w:tcPr>
          <w:p>
            <w:pPr>
              <w:widowControl/>
              <w:jc w:val="center"/>
              <w:rPr>
                <w:rFonts w:ascii="宋体" w:hAnsi="宋体" w:cs="宋体"/>
                <w:kern w:val="0"/>
                <w:sz w:val="22"/>
                <w:szCs w:val="22"/>
              </w:rPr>
            </w:pPr>
          </w:p>
        </w:tc>
        <w:tc>
          <w:tcPr>
            <w:tcW w:w="1302" w:type="dxa"/>
            <w:vAlign w:val="center"/>
          </w:tcPr>
          <w:p>
            <w:pPr>
              <w:widowControl/>
              <w:jc w:val="center"/>
              <w:rPr>
                <w:rFonts w:ascii="宋体" w:hAnsi="宋体" w:cs="宋体"/>
                <w:kern w:val="0"/>
                <w:sz w:val="22"/>
                <w:szCs w:val="22"/>
              </w:rPr>
            </w:pPr>
          </w:p>
        </w:tc>
        <w:tc>
          <w:tcPr>
            <w:tcW w:w="1691" w:type="dxa"/>
            <w:vAlign w:val="center"/>
          </w:tcPr>
          <w:p>
            <w:pPr>
              <w:widowControl/>
              <w:jc w:val="center"/>
              <w:rPr>
                <w:rFonts w:ascii="宋体" w:hAnsi="宋体" w:cs="宋体"/>
                <w:kern w:val="0"/>
                <w:sz w:val="22"/>
                <w:szCs w:val="22"/>
              </w:rPr>
            </w:pPr>
          </w:p>
        </w:tc>
        <w:tc>
          <w:tcPr>
            <w:tcW w:w="1966" w:type="dxa"/>
            <w:vAlign w:val="center"/>
          </w:tcPr>
          <w:p>
            <w:pPr>
              <w:widowControl/>
              <w:jc w:val="center"/>
              <w:rPr>
                <w:rFonts w:ascii="宋体" w:hAnsi="宋体" w:cs="宋体"/>
                <w:kern w:val="0"/>
                <w:sz w:val="22"/>
                <w:szCs w:val="22"/>
              </w:rPr>
            </w:pPr>
          </w:p>
        </w:tc>
        <w:tc>
          <w:tcPr>
            <w:tcW w:w="1731" w:type="dxa"/>
            <w:vAlign w:val="center"/>
          </w:tcPr>
          <w:p>
            <w:pPr>
              <w:widowControl/>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9" w:type="dxa"/>
            <w:vAlign w:val="center"/>
          </w:tcPr>
          <w:p>
            <w:pPr>
              <w:widowControl/>
              <w:jc w:val="center"/>
              <w:rPr>
                <w:rFonts w:ascii="宋体" w:hAnsi="宋体" w:cs="宋体"/>
                <w:kern w:val="0"/>
                <w:sz w:val="22"/>
                <w:szCs w:val="22"/>
              </w:rPr>
            </w:pPr>
          </w:p>
        </w:tc>
        <w:tc>
          <w:tcPr>
            <w:tcW w:w="1302" w:type="dxa"/>
            <w:vAlign w:val="center"/>
          </w:tcPr>
          <w:p>
            <w:pPr>
              <w:widowControl/>
              <w:jc w:val="center"/>
              <w:rPr>
                <w:rFonts w:ascii="宋体" w:hAnsi="宋体" w:cs="宋体"/>
                <w:kern w:val="0"/>
                <w:sz w:val="22"/>
                <w:szCs w:val="22"/>
              </w:rPr>
            </w:pPr>
          </w:p>
        </w:tc>
        <w:tc>
          <w:tcPr>
            <w:tcW w:w="1691" w:type="dxa"/>
            <w:vAlign w:val="center"/>
          </w:tcPr>
          <w:p>
            <w:pPr>
              <w:widowControl/>
              <w:jc w:val="center"/>
              <w:rPr>
                <w:rFonts w:ascii="宋体" w:hAnsi="宋体" w:cs="宋体"/>
                <w:kern w:val="0"/>
                <w:sz w:val="22"/>
                <w:szCs w:val="22"/>
              </w:rPr>
            </w:pPr>
          </w:p>
        </w:tc>
        <w:tc>
          <w:tcPr>
            <w:tcW w:w="1966" w:type="dxa"/>
            <w:vAlign w:val="center"/>
          </w:tcPr>
          <w:p>
            <w:pPr>
              <w:widowControl/>
              <w:jc w:val="center"/>
              <w:rPr>
                <w:rFonts w:ascii="宋体" w:hAnsi="宋体" w:cs="宋体"/>
                <w:kern w:val="0"/>
                <w:sz w:val="22"/>
                <w:szCs w:val="22"/>
              </w:rPr>
            </w:pPr>
          </w:p>
        </w:tc>
        <w:tc>
          <w:tcPr>
            <w:tcW w:w="1731" w:type="dxa"/>
            <w:vAlign w:val="center"/>
          </w:tcPr>
          <w:p>
            <w:pPr>
              <w:widowControl/>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901" w:type="dxa"/>
            <w:gridSpan w:val="2"/>
            <w:vAlign w:val="center"/>
          </w:tcPr>
          <w:p>
            <w:pPr>
              <w:widowControl/>
              <w:jc w:val="center"/>
              <w:rPr>
                <w:rFonts w:ascii="宋体" w:hAnsi="宋体" w:cs="宋体"/>
                <w:kern w:val="0"/>
                <w:sz w:val="22"/>
                <w:szCs w:val="22"/>
              </w:rPr>
            </w:pPr>
            <w:r>
              <w:rPr>
                <w:rFonts w:hint="eastAsia" w:ascii="宋体" w:hAnsi="宋体" w:cs="宋体"/>
                <w:kern w:val="0"/>
                <w:sz w:val="22"/>
                <w:szCs w:val="22"/>
              </w:rPr>
              <w:t>结论</w:t>
            </w:r>
          </w:p>
        </w:tc>
        <w:tc>
          <w:tcPr>
            <w:tcW w:w="1691" w:type="dxa"/>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6" w:type="dxa"/>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731" w:type="dxa"/>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bl>
    <w:p>
      <w:pPr>
        <w:pStyle w:val="11"/>
        <w:tabs>
          <w:tab w:val="clear" w:pos="567"/>
        </w:tabs>
        <w:spacing w:before="0" w:line="360" w:lineRule="auto"/>
        <w:ind w:left="-181" w:leftChars="-86" w:firstLine="660" w:firstLineChars="275"/>
      </w:pPr>
    </w:p>
    <w:p>
      <w:pPr>
        <w:ind w:firstLine="540" w:firstLineChars="225"/>
        <w:rPr>
          <w:rFonts w:ascii="宋体" w:hAnsi="宋体" w:cs="宋体"/>
          <w:sz w:val="24"/>
        </w:rPr>
      </w:pPr>
      <w:r>
        <w:rPr>
          <w:rFonts w:hint="eastAsia" w:ascii="宋体" w:hAnsi="宋体" w:cs="宋体"/>
          <w:sz w:val="24"/>
        </w:rPr>
        <w:t>本次招标遵循公平竞争原则、公正原则和诚实信用原则，招标以同等质量比价格，同等价格比服务为准绳。具体评分办法为：采用百分制，即每个投标方的最高得分为100分，评标委员会根据产品质量、供货能力、价格、企业业绩和资质、服务承诺条件等方面对投标方进行综合评分。其中：经济部分占30%、技术、商务部分占70%。</w:t>
      </w:r>
    </w:p>
    <w:p>
      <w:pPr>
        <w:pStyle w:val="11"/>
        <w:pageBreakBefore/>
        <w:numPr>
          <w:ilvl w:val="0"/>
          <w:numId w:val="11"/>
        </w:numPr>
        <w:tabs>
          <w:tab w:val="clear" w:pos="567"/>
        </w:tabs>
        <w:spacing w:before="0" w:line="360" w:lineRule="auto"/>
        <w:ind w:left="-181" w:leftChars="-86" w:firstLine="883" w:firstLineChars="275"/>
        <w:jc w:val="center"/>
        <w:rPr>
          <w:rFonts w:ascii="仿宋" w:hAnsi="仿宋" w:eastAsia="仿宋" w:cs="宋体"/>
          <w:b/>
          <w:bCs/>
          <w:kern w:val="0"/>
          <w:sz w:val="32"/>
          <w:szCs w:val="32"/>
        </w:rPr>
      </w:pPr>
      <w:r>
        <w:rPr>
          <w:rFonts w:hint="eastAsia" w:ascii="仿宋" w:hAnsi="仿宋" w:eastAsia="仿宋" w:cs="宋体"/>
          <w:b/>
          <w:bCs/>
          <w:kern w:val="0"/>
          <w:sz w:val="32"/>
          <w:szCs w:val="32"/>
        </w:rPr>
        <w:t>评分因素和评分标准</w:t>
      </w:r>
    </w:p>
    <w:tbl>
      <w:tblPr>
        <w:tblStyle w:val="28"/>
        <w:tblpPr w:leftFromText="180" w:rightFromText="180" w:vertAnchor="text" w:horzAnchor="page" w:tblpXSpec="center" w:tblpY="151"/>
        <w:tblOverlap w:val="never"/>
        <w:tblW w:w="10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778"/>
        <w:gridCol w:w="339"/>
        <w:gridCol w:w="1074"/>
        <w:gridCol w:w="760"/>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99" w:type="dxa"/>
            <w:vAlign w:val="center"/>
          </w:tcPr>
          <w:p>
            <w:pPr>
              <w:spacing w:line="380" w:lineRule="exact"/>
              <w:rPr>
                <w:rFonts w:ascii="微软雅黑" w:hAnsi="微软雅黑" w:eastAsia="微软雅黑" w:cs="微软雅黑"/>
                <w:sz w:val="24"/>
              </w:rPr>
            </w:pPr>
          </w:p>
          <w:p>
            <w:pPr>
              <w:spacing w:line="380" w:lineRule="exact"/>
              <w:rPr>
                <w:rFonts w:ascii="微软雅黑" w:hAnsi="微软雅黑" w:eastAsia="微软雅黑" w:cs="微软雅黑"/>
                <w:sz w:val="24"/>
              </w:rPr>
            </w:pPr>
          </w:p>
        </w:tc>
        <w:tc>
          <w:tcPr>
            <w:tcW w:w="778" w:type="dxa"/>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项目</w:t>
            </w:r>
          </w:p>
        </w:tc>
        <w:tc>
          <w:tcPr>
            <w:tcW w:w="1413" w:type="dxa"/>
            <w:gridSpan w:val="2"/>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指标</w:t>
            </w:r>
          </w:p>
        </w:tc>
        <w:tc>
          <w:tcPr>
            <w:tcW w:w="760" w:type="dxa"/>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分项标准分</w:t>
            </w:r>
          </w:p>
        </w:tc>
        <w:tc>
          <w:tcPr>
            <w:tcW w:w="6975" w:type="dxa"/>
            <w:vAlign w:val="center"/>
          </w:tcPr>
          <w:p>
            <w:pPr>
              <w:spacing w:line="38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评分标准 （价格30分      商务</w:t>
            </w:r>
            <w:r>
              <w:rPr>
                <w:rFonts w:ascii="微软雅黑" w:hAnsi="微软雅黑" w:eastAsia="微软雅黑" w:cs="微软雅黑"/>
                <w:sz w:val="24"/>
              </w:rPr>
              <w:t>9</w:t>
            </w:r>
            <w:r>
              <w:rPr>
                <w:rFonts w:hint="eastAsia" w:ascii="微软雅黑" w:hAnsi="微软雅黑" w:eastAsia="微软雅黑" w:cs="微软雅黑"/>
                <w:sz w:val="24"/>
              </w:rPr>
              <w:t>分    技术6</w:t>
            </w:r>
            <w:r>
              <w:rPr>
                <w:rFonts w:ascii="微软雅黑" w:hAnsi="微软雅黑" w:eastAsia="微软雅黑" w:cs="微软雅黑"/>
                <w:sz w:val="24"/>
              </w:rPr>
              <w:t>1</w:t>
            </w:r>
            <w:r>
              <w:rPr>
                <w:rFonts w:hint="eastAsia" w:ascii="微软雅黑" w:hAnsi="微软雅黑" w:eastAsia="微软雅黑" w:cs="微软雅黑"/>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0525" w:type="dxa"/>
            <w:gridSpan w:val="6"/>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一、价格部分（30分）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599" w:type="dxa"/>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1</w:t>
            </w:r>
          </w:p>
        </w:tc>
        <w:tc>
          <w:tcPr>
            <w:tcW w:w="1117" w:type="dxa"/>
            <w:gridSpan w:val="2"/>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投标报价得 分</w:t>
            </w:r>
          </w:p>
        </w:tc>
        <w:tc>
          <w:tcPr>
            <w:tcW w:w="1834" w:type="dxa"/>
            <w:gridSpan w:val="2"/>
            <w:vAlign w:val="center"/>
          </w:tcPr>
          <w:p>
            <w:pPr>
              <w:spacing w:line="380" w:lineRule="exact"/>
              <w:jc w:val="center"/>
              <w:rPr>
                <w:rFonts w:ascii="微软雅黑" w:hAnsi="微软雅黑" w:eastAsia="微软雅黑" w:cs="微软雅黑"/>
                <w:sz w:val="24"/>
              </w:rPr>
            </w:pPr>
            <w:r>
              <w:rPr>
                <w:rFonts w:hint="eastAsia" w:ascii="微软雅黑" w:hAnsi="微软雅黑" w:eastAsia="微软雅黑" w:cs="微软雅黑"/>
                <w:sz w:val="24"/>
              </w:rPr>
              <w:t>30</w:t>
            </w:r>
          </w:p>
        </w:tc>
        <w:tc>
          <w:tcPr>
            <w:tcW w:w="6975" w:type="dxa"/>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评标基准价=有效投标报价的最低值，有效投标报价等于基准值的得满分30分，投标报价得分=（评标基准价/投标报价）×价格权重×100；有效投标报价为通过初步审查的供应商报价。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525" w:type="dxa"/>
            <w:gridSpan w:val="6"/>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二、商务部分（</w:t>
            </w:r>
            <w:r>
              <w:rPr>
                <w:rFonts w:ascii="微软雅黑" w:hAnsi="微软雅黑" w:eastAsia="微软雅黑" w:cs="微软雅黑"/>
                <w:sz w:val="24"/>
              </w:rPr>
              <w:t>9</w:t>
            </w:r>
            <w:r>
              <w:rPr>
                <w:rFonts w:hint="eastAsia" w:ascii="微软雅黑" w:hAnsi="微软雅黑" w:eastAsia="微软雅黑" w:cs="微软雅黑"/>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599" w:type="dxa"/>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1</w:t>
            </w:r>
          </w:p>
        </w:tc>
        <w:tc>
          <w:tcPr>
            <w:tcW w:w="1117" w:type="dxa"/>
            <w:gridSpan w:val="2"/>
            <w:vAlign w:val="center"/>
          </w:tcPr>
          <w:p>
            <w:pPr>
              <w:spacing w:line="380" w:lineRule="exact"/>
              <w:jc w:val="center"/>
              <w:rPr>
                <w:rFonts w:ascii="微软雅黑" w:hAnsi="微软雅黑" w:eastAsia="微软雅黑" w:cs="微软雅黑"/>
                <w:sz w:val="24"/>
              </w:rPr>
            </w:pPr>
            <w:r>
              <w:rPr>
                <w:rFonts w:hint="eastAsia" w:ascii="微软雅黑" w:hAnsi="微软雅黑" w:eastAsia="微软雅黑" w:cs="微软雅黑"/>
                <w:sz w:val="24"/>
              </w:rPr>
              <w:t>信誉与实力</w:t>
            </w:r>
          </w:p>
          <w:p>
            <w:pPr>
              <w:spacing w:line="380" w:lineRule="exact"/>
              <w:jc w:val="center"/>
              <w:rPr>
                <w:rFonts w:ascii="微软雅黑" w:hAnsi="微软雅黑" w:eastAsia="微软雅黑" w:cs="微软雅黑"/>
                <w:sz w:val="24"/>
              </w:rPr>
            </w:pPr>
            <w:r>
              <w:rPr>
                <w:rFonts w:hint="eastAsia" w:ascii="微软雅黑" w:hAnsi="微软雅黑" w:eastAsia="微软雅黑" w:cs="微软雅黑"/>
                <w:sz w:val="24"/>
              </w:rPr>
              <w:t>（</w:t>
            </w:r>
            <w:r>
              <w:rPr>
                <w:rFonts w:ascii="微软雅黑" w:hAnsi="微软雅黑" w:eastAsia="微软雅黑" w:cs="微软雅黑"/>
                <w:sz w:val="24"/>
              </w:rPr>
              <w:t>5</w:t>
            </w:r>
            <w:r>
              <w:rPr>
                <w:rFonts w:hint="eastAsia" w:ascii="微软雅黑" w:hAnsi="微软雅黑" w:eastAsia="微软雅黑" w:cs="微软雅黑"/>
                <w:sz w:val="24"/>
              </w:rPr>
              <w:t>分）</w:t>
            </w:r>
          </w:p>
        </w:tc>
        <w:tc>
          <w:tcPr>
            <w:tcW w:w="1074" w:type="dxa"/>
            <w:vAlign w:val="center"/>
          </w:tcPr>
          <w:p>
            <w:pPr>
              <w:spacing w:line="380" w:lineRule="exact"/>
              <w:jc w:val="center"/>
              <w:rPr>
                <w:rFonts w:ascii="微软雅黑" w:hAnsi="微软雅黑" w:eastAsia="微软雅黑" w:cs="微软雅黑"/>
                <w:sz w:val="24"/>
              </w:rPr>
            </w:pPr>
            <w:r>
              <w:rPr>
                <w:rFonts w:hint="eastAsia" w:ascii="微软雅黑" w:hAnsi="微软雅黑" w:eastAsia="微软雅黑" w:cs="微软雅黑"/>
                <w:sz w:val="24"/>
              </w:rPr>
              <w:t>业绩</w:t>
            </w:r>
          </w:p>
        </w:tc>
        <w:tc>
          <w:tcPr>
            <w:tcW w:w="760" w:type="dxa"/>
            <w:vAlign w:val="center"/>
          </w:tcPr>
          <w:p>
            <w:pPr>
              <w:spacing w:line="380" w:lineRule="exact"/>
              <w:jc w:val="center"/>
              <w:rPr>
                <w:rFonts w:ascii="微软雅黑" w:hAnsi="微软雅黑" w:eastAsia="微软雅黑" w:cs="微软雅黑"/>
                <w:sz w:val="24"/>
              </w:rPr>
            </w:pPr>
            <w:r>
              <w:rPr>
                <w:rFonts w:hint="eastAsia" w:ascii="微软雅黑" w:hAnsi="微软雅黑" w:eastAsia="微软雅黑" w:cs="微软雅黑"/>
                <w:sz w:val="24"/>
              </w:rPr>
              <w:t>5</w:t>
            </w:r>
          </w:p>
        </w:tc>
        <w:tc>
          <w:tcPr>
            <w:tcW w:w="6975" w:type="dxa"/>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提供投标商或者制造商近三年类似产品项目的业绩合同</w:t>
            </w:r>
            <w:r>
              <w:rPr>
                <w:rFonts w:hint="eastAsia" w:ascii="微软雅黑" w:hAnsi="微软雅黑" w:eastAsia="微软雅黑" w:cs="微软雅黑"/>
                <w:b/>
                <w:bCs/>
                <w:sz w:val="24"/>
              </w:rPr>
              <w:t>或</w:t>
            </w:r>
            <w:r>
              <w:rPr>
                <w:rFonts w:hint="eastAsia" w:ascii="微软雅黑" w:hAnsi="微软雅黑" w:eastAsia="微软雅黑" w:cs="微软雅黑"/>
                <w:sz w:val="24"/>
              </w:rPr>
              <w:t>中标通知书</w:t>
            </w:r>
            <w:r>
              <w:rPr>
                <w:rFonts w:hint="eastAsia" w:ascii="微软雅黑" w:hAnsi="微软雅黑" w:eastAsia="微软雅黑" w:cs="微软雅黑"/>
                <w:sz w:val="24"/>
                <w:lang w:eastAsia="zh-Hans"/>
              </w:rPr>
              <w:t>，需提供</w:t>
            </w:r>
            <w:r>
              <w:rPr>
                <w:rFonts w:hint="eastAsia" w:ascii="微软雅黑" w:hAnsi="微软雅黑" w:eastAsia="微软雅黑" w:cs="微软雅黑"/>
                <w:sz w:val="24"/>
              </w:rPr>
              <w:t>合同复印件加盖公章，不得涂改，每提交一个得1分，最高不得超过5分；未提交本项不得分。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599" w:type="dxa"/>
            <w:vAlign w:val="center"/>
          </w:tcPr>
          <w:p>
            <w:pPr>
              <w:spacing w:line="380" w:lineRule="exact"/>
              <w:rPr>
                <w:rFonts w:ascii="微软雅黑" w:hAnsi="微软雅黑" w:eastAsia="微软雅黑" w:cs="微软雅黑"/>
                <w:sz w:val="24"/>
              </w:rPr>
            </w:pPr>
            <w:r>
              <w:rPr>
                <w:rFonts w:ascii="微软雅黑" w:hAnsi="微软雅黑" w:eastAsia="微软雅黑" w:cs="微软雅黑"/>
                <w:sz w:val="24"/>
              </w:rPr>
              <w:t>2</w:t>
            </w:r>
          </w:p>
        </w:tc>
        <w:tc>
          <w:tcPr>
            <w:tcW w:w="1117" w:type="dxa"/>
            <w:gridSpan w:val="2"/>
            <w:vAlign w:val="center"/>
          </w:tcPr>
          <w:p>
            <w:pPr>
              <w:spacing w:line="380" w:lineRule="exact"/>
              <w:jc w:val="center"/>
              <w:rPr>
                <w:rFonts w:ascii="微软雅黑" w:hAnsi="微软雅黑" w:eastAsia="微软雅黑" w:cs="微软雅黑"/>
                <w:sz w:val="24"/>
                <w:lang w:eastAsia="zh-Hans"/>
              </w:rPr>
            </w:pPr>
            <w:r>
              <w:rPr>
                <w:rFonts w:hint="eastAsia" w:ascii="微软雅黑" w:hAnsi="微软雅黑" w:eastAsia="微软雅黑" w:cs="微软雅黑"/>
                <w:sz w:val="24"/>
                <w:lang w:eastAsia="zh-Hans"/>
              </w:rPr>
              <w:t>履约能力（</w:t>
            </w:r>
            <w:r>
              <w:rPr>
                <w:rFonts w:ascii="微软雅黑" w:hAnsi="微软雅黑" w:eastAsia="微软雅黑" w:cs="微软雅黑"/>
                <w:sz w:val="24"/>
                <w:lang w:eastAsia="zh-Hans"/>
              </w:rPr>
              <w:t>4</w:t>
            </w:r>
            <w:r>
              <w:rPr>
                <w:rFonts w:hint="eastAsia" w:ascii="微软雅黑" w:hAnsi="微软雅黑" w:eastAsia="微软雅黑" w:cs="微软雅黑"/>
                <w:sz w:val="24"/>
                <w:lang w:eastAsia="zh-Hans"/>
              </w:rPr>
              <w:t>分）</w:t>
            </w:r>
          </w:p>
        </w:tc>
        <w:tc>
          <w:tcPr>
            <w:tcW w:w="1074" w:type="dxa"/>
            <w:vAlign w:val="center"/>
          </w:tcPr>
          <w:p>
            <w:pPr>
              <w:spacing w:line="380" w:lineRule="exact"/>
              <w:jc w:val="center"/>
              <w:rPr>
                <w:rFonts w:ascii="微软雅黑" w:hAnsi="微软雅黑" w:eastAsia="微软雅黑" w:cs="微软雅黑"/>
                <w:sz w:val="24"/>
                <w:lang w:eastAsia="zh-Hans"/>
              </w:rPr>
            </w:pPr>
            <w:r>
              <w:rPr>
                <w:rFonts w:hint="eastAsia" w:ascii="微软雅黑" w:hAnsi="微软雅黑" w:eastAsia="微软雅黑" w:cs="微软雅黑"/>
                <w:sz w:val="24"/>
                <w:lang w:eastAsia="zh-Hans"/>
              </w:rPr>
              <w:t>团队实力</w:t>
            </w:r>
          </w:p>
        </w:tc>
        <w:tc>
          <w:tcPr>
            <w:tcW w:w="760" w:type="dxa"/>
            <w:vAlign w:val="center"/>
          </w:tcPr>
          <w:p>
            <w:pPr>
              <w:spacing w:line="380" w:lineRule="exact"/>
              <w:jc w:val="center"/>
              <w:rPr>
                <w:rFonts w:ascii="微软雅黑" w:hAnsi="微软雅黑" w:eastAsia="微软雅黑" w:cs="微软雅黑"/>
                <w:sz w:val="24"/>
              </w:rPr>
            </w:pPr>
            <w:r>
              <w:rPr>
                <w:rFonts w:ascii="微软雅黑" w:hAnsi="微软雅黑" w:eastAsia="微软雅黑" w:cs="微软雅黑"/>
                <w:sz w:val="24"/>
              </w:rPr>
              <w:t>4</w:t>
            </w:r>
          </w:p>
        </w:tc>
        <w:tc>
          <w:tcPr>
            <w:tcW w:w="6975" w:type="dxa"/>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考察投标人项目团队的经验，包括学历和专业两个方面背景要求：</w:t>
            </w:r>
            <w:r>
              <w:rPr>
                <w:rFonts w:hint="eastAsia" w:ascii="微软雅黑" w:hAnsi="微软雅黑" w:eastAsia="微软雅黑" w:cs="微软雅黑"/>
                <w:sz w:val="24"/>
              </w:rPr>
              <w:br w:type="textWrapping"/>
            </w:r>
            <w:r>
              <w:rPr>
                <w:rFonts w:hint="eastAsia" w:ascii="微软雅黑" w:hAnsi="微软雅黑" w:eastAsia="微软雅黑" w:cs="微软雅黑"/>
                <w:sz w:val="24"/>
              </w:rPr>
              <w:t>1）团队成员（不少于3人）具有研究生及以上学历</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2）团队成员的专业是通信类或电子信息类</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上述</w:t>
            </w:r>
            <w:r>
              <w:rPr>
                <w:rFonts w:hint="eastAsia" w:ascii="微软雅黑" w:hAnsi="微软雅黑" w:eastAsia="微软雅黑" w:cs="微软雅黑"/>
                <w:sz w:val="24"/>
                <w:lang w:eastAsia="zh-Hans"/>
              </w:rPr>
              <w:t>两个</w:t>
            </w:r>
            <w:r>
              <w:rPr>
                <w:rFonts w:hint="eastAsia" w:ascii="微软雅黑" w:hAnsi="微软雅黑" w:eastAsia="微软雅黑" w:cs="微软雅黑"/>
                <w:sz w:val="24"/>
              </w:rPr>
              <w:t>条件全部满足，得</w:t>
            </w:r>
            <w:r>
              <w:rPr>
                <w:rFonts w:ascii="微软雅黑" w:hAnsi="微软雅黑" w:eastAsia="微软雅黑" w:cs="微软雅黑"/>
                <w:sz w:val="24"/>
              </w:rPr>
              <w:t>4</w:t>
            </w:r>
            <w:r>
              <w:rPr>
                <w:rFonts w:hint="eastAsia" w:ascii="微软雅黑" w:hAnsi="微软雅黑" w:eastAsia="微软雅黑" w:cs="微软雅黑"/>
                <w:sz w:val="24"/>
              </w:rPr>
              <w:t>分。满足</w:t>
            </w:r>
            <w:r>
              <w:rPr>
                <w:rFonts w:hint="eastAsia" w:ascii="微软雅黑" w:hAnsi="微软雅黑" w:eastAsia="微软雅黑" w:cs="微软雅黑"/>
                <w:sz w:val="24"/>
                <w:lang w:eastAsia="zh-Hans"/>
              </w:rPr>
              <w:t>一个</w:t>
            </w:r>
            <w:r>
              <w:rPr>
                <w:rFonts w:hint="eastAsia" w:ascii="微软雅黑" w:hAnsi="微软雅黑" w:eastAsia="微软雅黑" w:cs="微软雅黑"/>
                <w:sz w:val="24"/>
              </w:rPr>
              <w:t>得</w:t>
            </w:r>
            <w:r>
              <w:rPr>
                <w:rFonts w:ascii="微软雅黑" w:hAnsi="微软雅黑" w:eastAsia="微软雅黑" w:cs="微软雅黑"/>
                <w:sz w:val="24"/>
              </w:rPr>
              <w:t>2</w:t>
            </w:r>
            <w:r>
              <w:rPr>
                <w:rFonts w:hint="eastAsia" w:ascii="微软雅黑" w:hAnsi="微软雅黑" w:eastAsia="微软雅黑" w:cs="微软雅黑"/>
                <w:sz w:val="24"/>
              </w:rPr>
              <w:t>分。</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注：须提供团队成员的劳动合同和工作简历作为证明材料，缺失任意一项视为未提供。须提供项目团队的人员列表、毕业（或学位）证书复印件。不提供或未按照要求提供本项均不得分。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525" w:type="dxa"/>
            <w:gridSpan w:val="6"/>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二、技术部分（6</w:t>
            </w:r>
            <w:r>
              <w:rPr>
                <w:rFonts w:ascii="微软雅黑" w:hAnsi="微软雅黑" w:eastAsia="微软雅黑" w:cs="微软雅黑"/>
                <w:sz w:val="24"/>
              </w:rPr>
              <w:t>1</w:t>
            </w:r>
            <w:r>
              <w:rPr>
                <w:rFonts w:hint="eastAsia" w:ascii="微软雅黑" w:hAnsi="微软雅黑" w:eastAsia="微软雅黑" w:cs="微软雅黑"/>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99" w:type="dxa"/>
            <w:vMerge w:val="restart"/>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1</w:t>
            </w:r>
          </w:p>
        </w:tc>
        <w:tc>
          <w:tcPr>
            <w:tcW w:w="1117" w:type="dxa"/>
            <w:gridSpan w:val="2"/>
            <w:vMerge w:val="restart"/>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投标产品技术要求 （6</w:t>
            </w:r>
            <w:r>
              <w:rPr>
                <w:rFonts w:ascii="微软雅黑" w:hAnsi="微软雅黑" w:eastAsia="微软雅黑" w:cs="微软雅黑"/>
                <w:sz w:val="24"/>
              </w:rPr>
              <w:t>1</w:t>
            </w:r>
            <w:r>
              <w:rPr>
                <w:rFonts w:hint="eastAsia" w:ascii="微软雅黑" w:hAnsi="微软雅黑" w:eastAsia="微软雅黑" w:cs="微软雅黑"/>
                <w:sz w:val="24"/>
              </w:rPr>
              <w:t>分）</w:t>
            </w:r>
          </w:p>
        </w:tc>
        <w:tc>
          <w:tcPr>
            <w:tcW w:w="1074" w:type="dxa"/>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技术参数</w:t>
            </w:r>
          </w:p>
        </w:tc>
        <w:tc>
          <w:tcPr>
            <w:tcW w:w="760" w:type="dxa"/>
            <w:vAlign w:val="center"/>
          </w:tcPr>
          <w:p>
            <w:pPr>
              <w:spacing w:line="380" w:lineRule="exact"/>
              <w:jc w:val="center"/>
              <w:rPr>
                <w:rFonts w:ascii="微软雅黑" w:hAnsi="微软雅黑" w:eastAsia="微软雅黑" w:cs="微软雅黑"/>
                <w:sz w:val="24"/>
              </w:rPr>
            </w:pPr>
            <w:r>
              <w:rPr>
                <w:rFonts w:ascii="微软雅黑" w:hAnsi="微软雅黑" w:eastAsia="微软雅黑" w:cs="微软雅黑"/>
                <w:sz w:val="24"/>
              </w:rPr>
              <w:t>40</w:t>
            </w:r>
          </w:p>
        </w:tc>
        <w:tc>
          <w:tcPr>
            <w:tcW w:w="6975" w:type="dxa"/>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lang w:eastAsia="zh-Hans"/>
              </w:rPr>
              <w:t>根据投标人提供的功能描述及参数、技术指标的响应程度，满足了招标文件所要求的各项技术指标得满分</w:t>
            </w:r>
            <w:r>
              <w:rPr>
                <w:rFonts w:hint="eastAsia" w:ascii="微软雅黑" w:hAnsi="微软雅黑" w:eastAsia="微软雅黑" w:cs="微软雅黑"/>
                <w:sz w:val="24"/>
              </w:rPr>
              <w:t>4</w:t>
            </w:r>
            <w:r>
              <w:rPr>
                <w:rFonts w:hint="eastAsia" w:ascii="微软雅黑" w:hAnsi="微软雅黑" w:eastAsia="微软雅黑" w:cs="微软雅黑"/>
                <w:sz w:val="24"/>
                <w:lang w:eastAsia="zh-Hans"/>
              </w:rPr>
              <w:t>0分，每有一项负偏离的扣</w:t>
            </w:r>
            <w:r>
              <w:rPr>
                <w:rFonts w:hint="eastAsia" w:ascii="微软雅黑" w:hAnsi="微软雅黑" w:eastAsia="微软雅黑" w:cs="微软雅黑"/>
                <w:sz w:val="24"/>
              </w:rPr>
              <w:t>3</w:t>
            </w:r>
            <w:r>
              <w:rPr>
                <w:rFonts w:hint="eastAsia" w:ascii="微软雅黑" w:hAnsi="微软雅黑" w:eastAsia="微软雅黑" w:cs="微软雅黑"/>
                <w:sz w:val="24"/>
                <w:lang w:eastAsia="zh-Hans"/>
              </w:rPr>
              <w:t>分，直至扣完。</w:t>
            </w:r>
          </w:p>
          <w:p>
            <w:pPr>
              <w:spacing w:line="380" w:lineRule="exact"/>
              <w:rPr>
                <w:rFonts w:ascii="微软雅黑" w:hAnsi="微软雅黑" w:eastAsia="微软雅黑" w:cs="微软雅黑"/>
                <w:sz w:val="28"/>
                <w:szCs w:val="28"/>
              </w:rPr>
            </w:pPr>
            <w:r>
              <w:rPr>
                <w:rFonts w:hint="eastAsia" w:ascii="微软雅黑" w:hAnsi="微软雅黑" w:eastAsia="微软雅黑" w:cs="微软雅黑"/>
                <w:sz w:val="24"/>
                <w:lang w:eastAsia="zh-Hans"/>
              </w:rPr>
              <w:t>注：投标时提供对应的证明材料（证明材料为加盖原厂公章的检测报告或加盖原厂公章的产品说明书等证明材料），若未提供有效证明材料则该参数将被视为负偏离。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9" w:type="dxa"/>
            <w:vMerge w:val="continue"/>
            <w:vAlign w:val="center"/>
          </w:tcPr>
          <w:p>
            <w:pPr>
              <w:spacing w:line="380" w:lineRule="exact"/>
              <w:rPr>
                <w:rFonts w:ascii="微软雅黑" w:hAnsi="微软雅黑" w:eastAsia="微软雅黑" w:cs="微软雅黑"/>
                <w:sz w:val="24"/>
              </w:rPr>
            </w:pPr>
          </w:p>
        </w:tc>
        <w:tc>
          <w:tcPr>
            <w:tcW w:w="1117" w:type="dxa"/>
            <w:gridSpan w:val="2"/>
            <w:vMerge w:val="continue"/>
            <w:vAlign w:val="center"/>
          </w:tcPr>
          <w:p>
            <w:pPr>
              <w:spacing w:line="380" w:lineRule="exact"/>
              <w:rPr>
                <w:rFonts w:ascii="微软雅黑" w:hAnsi="微软雅黑" w:eastAsia="微软雅黑" w:cs="微软雅黑"/>
                <w:sz w:val="24"/>
              </w:rPr>
            </w:pPr>
          </w:p>
        </w:tc>
        <w:tc>
          <w:tcPr>
            <w:tcW w:w="1074" w:type="dxa"/>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样品、演示及视频</w:t>
            </w:r>
          </w:p>
        </w:tc>
        <w:tc>
          <w:tcPr>
            <w:tcW w:w="760" w:type="dxa"/>
            <w:vAlign w:val="center"/>
          </w:tcPr>
          <w:p>
            <w:pPr>
              <w:spacing w:line="380" w:lineRule="exact"/>
              <w:jc w:val="center"/>
              <w:rPr>
                <w:rFonts w:ascii="微软雅黑" w:hAnsi="微软雅黑" w:eastAsia="微软雅黑" w:cs="微软雅黑"/>
                <w:sz w:val="24"/>
              </w:rPr>
            </w:pPr>
            <w:r>
              <w:rPr>
                <w:rFonts w:ascii="微软雅黑" w:hAnsi="微软雅黑" w:eastAsia="微软雅黑" w:cs="微软雅黑"/>
                <w:sz w:val="24"/>
              </w:rPr>
              <w:t>6</w:t>
            </w:r>
          </w:p>
        </w:tc>
        <w:tc>
          <w:tcPr>
            <w:tcW w:w="6975" w:type="dxa"/>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见下附“</w:t>
            </w:r>
            <w:r>
              <w:rPr>
                <w:rFonts w:hint="eastAsia" w:ascii="微软雅黑" w:hAnsi="微软雅黑" w:eastAsia="微软雅黑" w:cs="微软雅黑"/>
                <w:sz w:val="24"/>
                <w:lang w:eastAsia="zh-Hans"/>
              </w:rPr>
              <w:t>演示内容及</w:t>
            </w:r>
            <w:r>
              <w:rPr>
                <w:rFonts w:hint="eastAsia" w:ascii="微软雅黑" w:hAnsi="微软雅黑" w:eastAsia="微软雅黑" w:cs="微软雅黑"/>
                <w:sz w:val="24"/>
              </w:rPr>
              <w:t>打分表”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599" w:type="dxa"/>
            <w:vMerge w:val="continue"/>
            <w:vAlign w:val="center"/>
          </w:tcPr>
          <w:p>
            <w:pPr>
              <w:spacing w:line="380" w:lineRule="exact"/>
              <w:rPr>
                <w:rFonts w:ascii="微软雅黑" w:hAnsi="微软雅黑" w:eastAsia="微软雅黑" w:cs="微软雅黑"/>
                <w:sz w:val="24"/>
              </w:rPr>
            </w:pPr>
          </w:p>
        </w:tc>
        <w:tc>
          <w:tcPr>
            <w:tcW w:w="1117" w:type="dxa"/>
            <w:gridSpan w:val="2"/>
            <w:vMerge w:val="continue"/>
            <w:vAlign w:val="center"/>
          </w:tcPr>
          <w:p>
            <w:pPr>
              <w:spacing w:line="380" w:lineRule="exact"/>
              <w:rPr>
                <w:rFonts w:ascii="微软雅黑" w:hAnsi="微软雅黑" w:eastAsia="微软雅黑" w:cs="微软雅黑"/>
                <w:sz w:val="24"/>
              </w:rPr>
            </w:pPr>
          </w:p>
        </w:tc>
        <w:tc>
          <w:tcPr>
            <w:tcW w:w="1074" w:type="dxa"/>
            <w:vAlign w:val="center"/>
          </w:tcPr>
          <w:p>
            <w:pPr>
              <w:spacing w:line="380" w:lineRule="exact"/>
              <w:jc w:val="center"/>
              <w:rPr>
                <w:rFonts w:ascii="微软雅黑" w:hAnsi="微软雅黑" w:eastAsia="微软雅黑" w:cs="微软雅黑"/>
                <w:sz w:val="24"/>
              </w:rPr>
            </w:pPr>
            <w:r>
              <w:rPr>
                <w:rFonts w:hint="eastAsia" w:ascii="微软雅黑" w:hAnsi="微软雅黑" w:eastAsia="微软雅黑" w:cs="微软雅黑"/>
                <w:iCs/>
                <w:sz w:val="24"/>
              </w:rPr>
              <w:t>实施方案</w:t>
            </w:r>
          </w:p>
        </w:tc>
        <w:tc>
          <w:tcPr>
            <w:tcW w:w="760" w:type="dxa"/>
            <w:vAlign w:val="center"/>
          </w:tcPr>
          <w:p>
            <w:pPr>
              <w:spacing w:line="380" w:lineRule="exact"/>
              <w:jc w:val="center"/>
              <w:rPr>
                <w:rFonts w:ascii="微软雅黑" w:hAnsi="微软雅黑" w:eastAsia="微软雅黑" w:cs="微软雅黑"/>
                <w:sz w:val="24"/>
              </w:rPr>
            </w:pPr>
            <w:r>
              <w:rPr>
                <w:rFonts w:ascii="微软雅黑" w:hAnsi="微软雅黑" w:eastAsia="微软雅黑" w:cs="微软雅黑"/>
                <w:sz w:val="24"/>
              </w:rPr>
              <w:t>6</w:t>
            </w:r>
          </w:p>
        </w:tc>
        <w:tc>
          <w:tcPr>
            <w:tcW w:w="6975" w:type="dxa"/>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kern w:val="0"/>
                <w:sz w:val="24"/>
              </w:rPr>
              <w:t>供应商根据本项目具体特点及实际需求提供项目实施方案，方案包含设备质量保证措施、安装调试方案、项目实施安全措施、突发事件处理措施、各个阶段时间进度安排等进行横向对比，方案优于招标要求，具体全面得6分；方案完全满足招标要求得 4分；方案不够全面、能基本满足项目要求的得2分；未提供的此项不得分。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599" w:type="dxa"/>
            <w:vMerge w:val="continue"/>
            <w:vAlign w:val="center"/>
          </w:tcPr>
          <w:p>
            <w:pPr>
              <w:spacing w:line="380" w:lineRule="exact"/>
              <w:rPr>
                <w:rFonts w:ascii="微软雅黑" w:hAnsi="微软雅黑" w:eastAsia="微软雅黑" w:cs="微软雅黑"/>
                <w:sz w:val="24"/>
              </w:rPr>
            </w:pPr>
          </w:p>
        </w:tc>
        <w:tc>
          <w:tcPr>
            <w:tcW w:w="1117" w:type="dxa"/>
            <w:gridSpan w:val="2"/>
            <w:vMerge w:val="continue"/>
            <w:vAlign w:val="center"/>
          </w:tcPr>
          <w:p>
            <w:pPr>
              <w:spacing w:line="380" w:lineRule="exact"/>
              <w:rPr>
                <w:rFonts w:ascii="微软雅黑" w:hAnsi="微软雅黑" w:eastAsia="微软雅黑" w:cs="微软雅黑"/>
                <w:sz w:val="24"/>
              </w:rPr>
            </w:pPr>
          </w:p>
        </w:tc>
        <w:tc>
          <w:tcPr>
            <w:tcW w:w="1074" w:type="dxa"/>
            <w:vAlign w:val="center"/>
          </w:tcPr>
          <w:p>
            <w:pPr>
              <w:widowControl/>
              <w:spacing w:line="380" w:lineRule="exact"/>
              <w:jc w:val="center"/>
              <w:rPr>
                <w:rFonts w:ascii="微软雅黑" w:hAnsi="微软雅黑" w:eastAsia="微软雅黑" w:cs="微软雅黑"/>
                <w:sz w:val="24"/>
              </w:rPr>
            </w:pPr>
            <w:r>
              <w:rPr>
                <w:rFonts w:hint="eastAsia" w:ascii="微软雅黑" w:hAnsi="微软雅黑" w:eastAsia="微软雅黑" w:cs="微软雅黑"/>
                <w:kern w:val="0"/>
                <w:sz w:val="24"/>
              </w:rPr>
              <w:t>培训方案</w:t>
            </w:r>
          </w:p>
        </w:tc>
        <w:tc>
          <w:tcPr>
            <w:tcW w:w="760" w:type="dxa"/>
            <w:vAlign w:val="center"/>
          </w:tcPr>
          <w:p>
            <w:pPr>
              <w:spacing w:line="380" w:lineRule="exact"/>
              <w:jc w:val="center"/>
              <w:rPr>
                <w:rFonts w:ascii="微软雅黑" w:hAnsi="微软雅黑" w:eastAsia="微软雅黑" w:cs="微软雅黑"/>
                <w:sz w:val="24"/>
              </w:rPr>
            </w:pPr>
            <w:r>
              <w:rPr>
                <w:rFonts w:hint="eastAsia" w:ascii="微软雅黑" w:hAnsi="微软雅黑" w:eastAsia="微软雅黑" w:cs="微软雅黑"/>
                <w:kern w:val="0"/>
                <w:sz w:val="24"/>
              </w:rPr>
              <w:t>4</w:t>
            </w:r>
          </w:p>
        </w:tc>
        <w:tc>
          <w:tcPr>
            <w:tcW w:w="6975" w:type="dxa"/>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kern w:val="0"/>
                <w:sz w:val="24"/>
              </w:rPr>
              <w:t>供应商根据本项目制定的人员培训方案，方案包括培训计划、培训地点、培训方式、培训时间、培训讲师等，方案优于招标要求，具体全面得4分；方案完全满足招标要求得2分；方案不够全面、能基本满足项目要求的得1分；未提供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99" w:type="dxa"/>
            <w:vMerge w:val="continue"/>
            <w:vAlign w:val="center"/>
          </w:tcPr>
          <w:p>
            <w:pPr>
              <w:spacing w:line="380" w:lineRule="exact"/>
              <w:rPr>
                <w:rFonts w:ascii="微软雅黑" w:hAnsi="微软雅黑" w:eastAsia="微软雅黑" w:cs="微软雅黑"/>
                <w:sz w:val="24"/>
              </w:rPr>
            </w:pPr>
          </w:p>
        </w:tc>
        <w:tc>
          <w:tcPr>
            <w:tcW w:w="1117" w:type="dxa"/>
            <w:gridSpan w:val="2"/>
            <w:vMerge w:val="continue"/>
            <w:vAlign w:val="center"/>
          </w:tcPr>
          <w:p>
            <w:pPr>
              <w:spacing w:line="380" w:lineRule="exact"/>
              <w:rPr>
                <w:rFonts w:ascii="微软雅黑" w:hAnsi="微软雅黑" w:eastAsia="微软雅黑" w:cs="微软雅黑"/>
                <w:sz w:val="24"/>
              </w:rPr>
            </w:pPr>
          </w:p>
        </w:tc>
        <w:tc>
          <w:tcPr>
            <w:tcW w:w="1074" w:type="dxa"/>
            <w:vMerge w:val="restart"/>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售后服务</w:t>
            </w:r>
          </w:p>
        </w:tc>
        <w:tc>
          <w:tcPr>
            <w:tcW w:w="760" w:type="dxa"/>
            <w:vAlign w:val="center"/>
          </w:tcPr>
          <w:p>
            <w:pPr>
              <w:spacing w:line="380" w:lineRule="exact"/>
              <w:jc w:val="center"/>
              <w:rPr>
                <w:rFonts w:ascii="微软雅黑" w:hAnsi="微软雅黑" w:eastAsia="微软雅黑" w:cs="微软雅黑"/>
                <w:sz w:val="24"/>
              </w:rPr>
            </w:pPr>
            <w:r>
              <w:rPr>
                <w:rFonts w:ascii="微软雅黑" w:hAnsi="微软雅黑" w:eastAsia="微软雅黑" w:cs="微软雅黑"/>
                <w:sz w:val="24"/>
              </w:rPr>
              <w:t>3</w:t>
            </w:r>
          </w:p>
        </w:tc>
        <w:tc>
          <w:tcPr>
            <w:tcW w:w="6975" w:type="dxa"/>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kern w:val="0"/>
                <w:sz w:val="24"/>
              </w:rPr>
              <w:t>售后服务方案包含软件升级维护方案、响应时间、质保期内的维修方案、质保期过后维修方案及风险防范措施等，方案优于招标要求，具体全面得</w:t>
            </w:r>
            <w:r>
              <w:rPr>
                <w:rFonts w:ascii="微软雅黑" w:hAnsi="微软雅黑" w:eastAsia="微软雅黑" w:cs="微软雅黑"/>
                <w:kern w:val="0"/>
                <w:sz w:val="24"/>
              </w:rPr>
              <w:t>3</w:t>
            </w:r>
            <w:r>
              <w:rPr>
                <w:rFonts w:hint="eastAsia" w:ascii="微软雅黑" w:hAnsi="微软雅黑" w:eastAsia="微软雅黑" w:cs="微软雅黑"/>
                <w:kern w:val="0"/>
                <w:sz w:val="24"/>
              </w:rPr>
              <w:t xml:space="preserve">分；方案完全满足招标要求得 </w:t>
            </w:r>
            <w:r>
              <w:rPr>
                <w:rFonts w:ascii="微软雅黑" w:hAnsi="微软雅黑" w:eastAsia="微软雅黑" w:cs="微软雅黑"/>
                <w:kern w:val="0"/>
                <w:sz w:val="24"/>
              </w:rPr>
              <w:t>2</w:t>
            </w:r>
            <w:r>
              <w:rPr>
                <w:rFonts w:hint="eastAsia" w:ascii="微软雅黑" w:hAnsi="微软雅黑" w:eastAsia="微软雅黑" w:cs="微软雅黑"/>
                <w:kern w:val="0"/>
                <w:sz w:val="24"/>
              </w:rPr>
              <w:t>分；方案不够全面、能基本满足项目要求的得</w:t>
            </w:r>
            <w:r>
              <w:rPr>
                <w:rFonts w:ascii="微软雅黑" w:hAnsi="微软雅黑" w:eastAsia="微软雅黑" w:cs="微软雅黑"/>
                <w:kern w:val="0"/>
                <w:sz w:val="24"/>
              </w:rPr>
              <w:t>1</w:t>
            </w:r>
            <w:r>
              <w:rPr>
                <w:rFonts w:hint="eastAsia" w:ascii="微软雅黑" w:hAnsi="微软雅黑" w:eastAsia="微软雅黑" w:cs="微软雅黑"/>
                <w:kern w:val="0"/>
                <w:sz w:val="24"/>
              </w:rPr>
              <w:t>分；未提供的此项不得分。。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99" w:type="dxa"/>
            <w:vMerge w:val="continue"/>
            <w:vAlign w:val="center"/>
          </w:tcPr>
          <w:p>
            <w:pPr>
              <w:spacing w:line="380" w:lineRule="exact"/>
              <w:rPr>
                <w:rFonts w:ascii="微软雅黑" w:hAnsi="微软雅黑" w:eastAsia="微软雅黑" w:cs="微软雅黑"/>
                <w:sz w:val="24"/>
              </w:rPr>
            </w:pPr>
          </w:p>
        </w:tc>
        <w:tc>
          <w:tcPr>
            <w:tcW w:w="1117" w:type="dxa"/>
            <w:gridSpan w:val="2"/>
            <w:vMerge w:val="continue"/>
            <w:vAlign w:val="center"/>
          </w:tcPr>
          <w:p>
            <w:pPr>
              <w:spacing w:line="380" w:lineRule="exact"/>
              <w:rPr>
                <w:rFonts w:ascii="微软雅黑" w:hAnsi="微软雅黑" w:eastAsia="微软雅黑" w:cs="微软雅黑"/>
                <w:sz w:val="24"/>
              </w:rPr>
            </w:pPr>
          </w:p>
        </w:tc>
        <w:tc>
          <w:tcPr>
            <w:tcW w:w="1074" w:type="dxa"/>
            <w:vMerge w:val="continue"/>
            <w:vAlign w:val="center"/>
          </w:tcPr>
          <w:p>
            <w:pPr>
              <w:spacing w:line="380" w:lineRule="exact"/>
              <w:rPr>
                <w:rFonts w:ascii="微软雅黑" w:hAnsi="微软雅黑" w:eastAsia="微软雅黑" w:cs="微软雅黑"/>
                <w:sz w:val="24"/>
              </w:rPr>
            </w:pPr>
          </w:p>
        </w:tc>
        <w:tc>
          <w:tcPr>
            <w:tcW w:w="760" w:type="dxa"/>
            <w:vAlign w:val="center"/>
          </w:tcPr>
          <w:p>
            <w:pPr>
              <w:spacing w:line="380" w:lineRule="exact"/>
              <w:jc w:val="center"/>
              <w:rPr>
                <w:rFonts w:ascii="微软雅黑" w:hAnsi="微软雅黑" w:eastAsia="微软雅黑" w:cs="微软雅黑"/>
                <w:sz w:val="24"/>
                <w:lang w:val="zh-CN"/>
              </w:rPr>
            </w:pPr>
            <w:r>
              <w:rPr>
                <w:rFonts w:hint="eastAsia" w:ascii="微软雅黑" w:hAnsi="微软雅黑" w:eastAsia="微软雅黑" w:cs="微软雅黑"/>
                <w:sz w:val="24"/>
              </w:rPr>
              <w:t>2</w:t>
            </w:r>
          </w:p>
        </w:tc>
        <w:tc>
          <w:tcPr>
            <w:tcW w:w="6975" w:type="dxa"/>
            <w:vAlign w:val="center"/>
          </w:tcPr>
          <w:p>
            <w:pPr>
              <w:spacing w:line="380" w:lineRule="exact"/>
              <w:rPr>
                <w:rFonts w:ascii="微软雅黑" w:hAnsi="微软雅黑" w:eastAsia="微软雅黑" w:cs="微软雅黑"/>
                <w:sz w:val="24"/>
                <w:lang w:val="zh-CN"/>
              </w:rPr>
            </w:pPr>
            <w:r>
              <w:rPr>
                <w:rFonts w:hint="eastAsia" w:ascii="微软雅黑" w:hAnsi="微软雅黑" w:eastAsia="微软雅黑" w:cs="微软雅黑"/>
                <w:sz w:val="24"/>
              </w:rPr>
              <w:t>根据供应商在备品备件分项报价表中所列明的零部件种类、数量、价格进行横向评议打分。种类齐全、数量多的得2分，种类较全、数量一般的得1分，种类不齐全、数量不多的得0分。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525" w:type="dxa"/>
            <w:gridSpan w:val="6"/>
            <w:vAlign w:val="center"/>
          </w:tcPr>
          <w:tbl>
            <w:tblPr>
              <w:tblStyle w:val="28"/>
              <w:tblW w:w="5238" w:type="pct"/>
              <w:jc w:val="center"/>
              <w:tblLayout w:type="fixed"/>
              <w:tblCellMar>
                <w:top w:w="0" w:type="dxa"/>
                <w:left w:w="0" w:type="dxa"/>
                <w:bottom w:w="0" w:type="dxa"/>
                <w:right w:w="0" w:type="dxa"/>
              </w:tblCellMar>
            </w:tblPr>
            <w:tblGrid>
              <w:gridCol w:w="10800"/>
            </w:tblGrid>
            <w:tr>
              <w:trPr>
                <w:trHeight w:val="112" w:hRule="atLeast"/>
                <w:jc w:val="center"/>
              </w:trPr>
              <w:tc>
                <w:tcPr>
                  <w:tcW w:w="500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80" w:lineRule="exact"/>
                    <w:rPr>
                      <w:rFonts w:ascii="微软雅黑" w:hAnsi="微软雅黑" w:eastAsia="微软雅黑" w:cs="微软雅黑"/>
                      <w:sz w:val="24"/>
                      <w:lang w:val="zh-CN"/>
                    </w:rPr>
                  </w:pPr>
                  <w:r>
                    <w:rPr>
                      <w:rFonts w:hint="eastAsia" w:ascii="微软雅黑" w:hAnsi="微软雅黑" w:eastAsia="微软雅黑" w:cs="微软雅黑"/>
                      <w:sz w:val="24"/>
                      <w:lang w:val="zh-CN"/>
                    </w:rPr>
                    <w:t>评分办法中评审标准设定如下：</w:t>
                  </w:r>
                </w:p>
                <w:p>
                  <w:pPr>
                    <w:spacing w:line="380" w:lineRule="exact"/>
                    <w:rPr>
                      <w:rFonts w:ascii="微软雅黑" w:hAnsi="微软雅黑" w:eastAsia="微软雅黑" w:cs="微软雅黑"/>
                      <w:sz w:val="24"/>
                      <w:lang w:val="zh-CN"/>
                    </w:rPr>
                  </w:pPr>
                  <w:r>
                    <w:rPr>
                      <w:rFonts w:hint="eastAsia" w:ascii="微软雅黑" w:hAnsi="微软雅黑" w:eastAsia="微软雅黑" w:cs="微软雅黑"/>
                      <w:sz w:val="24"/>
                      <w:lang w:val="zh-CN"/>
                    </w:rPr>
                    <w:t>优秀：内容详实，方案科学、合理、安全，考虑周全，措施到位，针对性强，完全能够满足招标项目的需要。</w:t>
                  </w:r>
                </w:p>
                <w:p>
                  <w:pPr>
                    <w:spacing w:line="380" w:lineRule="exact"/>
                    <w:rPr>
                      <w:rFonts w:ascii="微软雅黑" w:hAnsi="微软雅黑" w:eastAsia="微软雅黑" w:cs="微软雅黑"/>
                      <w:sz w:val="24"/>
                      <w:lang w:val="zh-CN"/>
                    </w:rPr>
                  </w:pPr>
                  <w:r>
                    <w:rPr>
                      <w:rFonts w:hint="eastAsia" w:ascii="微软雅黑" w:hAnsi="微软雅黑" w:eastAsia="微软雅黑" w:cs="微软雅黑"/>
                      <w:sz w:val="24"/>
                      <w:lang w:val="zh-CN"/>
                    </w:rPr>
                    <w:t>良好：内容完整，方案基本科学、合理、安全，基本考虑周全，措施基本到位，针对性较强，可以满足招标项目的需要，但有个别细节需要进一步完善或提高</w:t>
                  </w:r>
                </w:p>
                <w:p>
                  <w:pPr>
                    <w:spacing w:line="380" w:lineRule="exact"/>
                    <w:rPr>
                      <w:rFonts w:ascii="微软雅黑" w:hAnsi="微软雅黑" w:eastAsia="微软雅黑" w:cs="微软雅黑"/>
                      <w:sz w:val="24"/>
                      <w:lang w:val="zh-CN"/>
                    </w:rPr>
                  </w:pPr>
                  <w:r>
                    <w:rPr>
                      <w:rFonts w:hint="eastAsia" w:ascii="微软雅黑" w:hAnsi="微软雅黑" w:eastAsia="微软雅黑" w:cs="微软雅黑"/>
                      <w:sz w:val="24"/>
                      <w:lang w:val="zh-CN"/>
                    </w:rPr>
                    <w:t>一般：内容基本完整，方案在科学、合理、安全性方面一般，基本考虑不周，措施不够到位， 针对性不强，虽然能够基本满足招标项目的需要，但有很多方面需要进一步完善。</w:t>
                  </w:r>
                </w:p>
                <w:p>
                  <w:pPr>
                    <w:spacing w:line="380" w:lineRule="exact"/>
                    <w:rPr>
                      <w:rFonts w:ascii="宋体" w:hAnsi="Calibri" w:cs="Arial"/>
                      <w:kern w:val="0"/>
                      <w:sz w:val="24"/>
                      <w:highlight w:val="yellow"/>
                    </w:rPr>
                  </w:pPr>
                  <w:r>
                    <w:rPr>
                      <w:rFonts w:hint="eastAsia" w:ascii="微软雅黑" w:hAnsi="微软雅黑" w:eastAsia="微软雅黑" w:cs="微软雅黑"/>
                      <w:sz w:val="24"/>
                      <w:lang w:val="zh-CN"/>
                    </w:rPr>
                    <w:t>差的：内容不完整，方案在科学、合理、安全性方面不全，基本考虑不周，措施不够到位， 针对性不强，不能满足招标项目的需要，很多方面需要进一步完善甚至重新考虑。</w:t>
                  </w:r>
                </w:p>
              </w:tc>
            </w:tr>
          </w:tbl>
          <w:p>
            <w:pPr>
              <w:spacing w:line="380" w:lineRule="exact"/>
              <w:rPr>
                <w:rFonts w:ascii="微软雅黑" w:hAnsi="微软雅黑" w:eastAsia="微软雅黑" w:cs="微软雅黑"/>
                <w:sz w:val="24"/>
              </w:rPr>
            </w:pPr>
          </w:p>
        </w:tc>
      </w:tr>
    </w:tbl>
    <w:p>
      <w:pPr>
        <w:pStyle w:val="11"/>
        <w:tabs>
          <w:tab w:val="clear" w:pos="567"/>
        </w:tabs>
        <w:spacing w:before="0" w:line="360" w:lineRule="auto"/>
        <w:jc w:val="center"/>
        <w:rPr>
          <w:rFonts w:ascii="仿宋" w:hAnsi="仿宋" w:eastAsia="仿宋" w:cs="宋体"/>
          <w:b/>
          <w:bCs/>
          <w:kern w:val="0"/>
          <w:sz w:val="32"/>
          <w:szCs w:val="32"/>
        </w:rPr>
      </w:pPr>
    </w:p>
    <w:p>
      <w:pPr>
        <w:pageBreakBefore/>
        <w:spacing w:line="360" w:lineRule="auto"/>
        <w:ind w:left="1079" w:leftChars="257" w:hanging="539"/>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lang w:eastAsia="zh-Hans"/>
        </w:rPr>
        <w:t>演示内容及</w:t>
      </w:r>
      <w:r>
        <w:rPr>
          <w:rFonts w:hint="eastAsia" w:ascii="微软雅黑" w:hAnsi="微软雅黑" w:eastAsia="微软雅黑" w:cs="微软雅黑"/>
          <w:b/>
          <w:bCs/>
          <w:sz w:val="44"/>
          <w:szCs w:val="44"/>
        </w:rPr>
        <w:t>打分表</w:t>
      </w:r>
    </w:p>
    <w:tbl>
      <w:tblPr>
        <w:tblStyle w:val="28"/>
        <w:tblW w:w="10120" w:type="dxa"/>
        <w:tblInd w:w="-8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986"/>
        <w:gridCol w:w="4491"/>
        <w:gridCol w:w="1791"/>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60" w:type="dxa"/>
            <w:vAlign w:val="center"/>
          </w:tcPr>
          <w:p>
            <w:pPr>
              <w:pStyle w:val="8"/>
              <w:spacing w:line="400" w:lineRule="exact"/>
              <w:ind w:firstLine="0"/>
              <w:jc w:val="both"/>
              <w:rPr>
                <w:rFonts w:ascii="微软雅黑" w:hAnsi="微软雅黑" w:eastAsia="微软雅黑" w:cs="微软雅黑"/>
                <w:b/>
                <w:bCs/>
                <w:szCs w:val="24"/>
              </w:rPr>
            </w:pPr>
            <w:r>
              <w:rPr>
                <w:rFonts w:hint="eastAsia" w:ascii="微软雅黑" w:hAnsi="微软雅黑" w:eastAsia="微软雅黑" w:cs="微软雅黑"/>
                <w:b/>
                <w:bCs/>
                <w:szCs w:val="24"/>
              </w:rPr>
              <w:t>序号</w:t>
            </w:r>
          </w:p>
        </w:tc>
        <w:tc>
          <w:tcPr>
            <w:tcW w:w="1986" w:type="dxa"/>
            <w:vAlign w:val="center"/>
          </w:tcPr>
          <w:p>
            <w:pPr>
              <w:pStyle w:val="8"/>
              <w:spacing w:line="400" w:lineRule="exact"/>
              <w:ind w:firstLine="0"/>
              <w:jc w:val="both"/>
              <w:rPr>
                <w:rFonts w:ascii="微软雅黑" w:hAnsi="微软雅黑" w:eastAsia="微软雅黑" w:cs="微软雅黑"/>
                <w:b/>
                <w:bCs/>
                <w:szCs w:val="24"/>
              </w:rPr>
            </w:pPr>
            <w:r>
              <w:rPr>
                <w:rFonts w:hint="eastAsia" w:ascii="微软雅黑" w:hAnsi="微软雅黑" w:eastAsia="微软雅黑" w:cs="微软雅黑"/>
                <w:b/>
                <w:bCs/>
                <w:szCs w:val="24"/>
              </w:rPr>
              <w:t>样品名称及分值（总分：</w:t>
            </w:r>
            <w:r>
              <w:rPr>
                <w:rFonts w:ascii="微软雅黑" w:hAnsi="微软雅黑" w:eastAsia="微软雅黑" w:cs="微软雅黑"/>
                <w:b/>
                <w:bCs/>
                <w:szCs w:val="24"/>
              </w:rPr>
              <w:t>6</w:t>
            </w:r>
            <w:r>
              <w:rPr>
                <w:rFonts w:hint="eastAsia" w:ascii="微软雅黑" w:hAnsi="微软雅黑" w:eastAsia="微软雅黑" w:cs="微软雅黑"/>
                <w:b/>
                <w:bCs/>
                <w:szCs w:val="24"/>
              </w:rPr>
              <w:t>分）</w:t>
            </w:r>
          </w:p>
        </w:tc>
        <w:tc>
          <w:tcPr>
            <w:tcW w:w="4491" w:type="dxa"/>
            <w:vAlign w:val="center"/>
          </w:tcPr>
          <w:p>
            <w:pPr>
              <w:pStyle w:val="8"/>
              <w:spacing w:line="400" w:lineRule="exact"/>
              <w:jc w:val="both"/>
              <w:rPr>
                <w:rFonts w:ascii="微软雅黑" w:hAnsi="微软雅黑" w:eastAsia="微软雅黑" w:cs="微软雅黑"/>
                <w:b/>
                <w:bCs/>
                <w:szCs w:val="24"/>
              </w:rPr>
            </w:pPr>
            <w:r>
              <w:rPr>
                <w:rFonts w:hint="eastAsia" w:ascii="微软雅黑" w:hAnsi="微软雅黑" w:eastAsia="微软雅黑" w:cs="微软雅黑"/>
                <w:b/>
                <w:bCs/>
                <w:szCs w:val="24"/>
              </w:rPr>
              <w:t>演示内容</w:t>
            </w:r>
          </w:p>
        </w:tc>
        <w:tc>
          <w:tcPr>
            <w:tcW w:w="1791" w:type="dxa"/>
            <w:vAlign w:val="center"/>
          </w:tcPr>
          <w:p>
            <w:pPr>
              <w:pStyle w:val="8"/>
              <w:spacing w:line="400" w:lineRule="exact"/>
              <w:jc w:val="both"/>
              <w:rPr>
                <w:rFonts w:ascii="微软雅黑" w:hAnsi="微软雅黑" w:eastAsia="微软雅黑" w:cs="微软雅黑"/>
                <w:b/>
                <w:bCs/>
                <w:szCs w:val="24"/>
              </w:rPr>
            </w:pPr>
            <w:r>
              <w:rPr>
                <w:rFonts w:hint="eastAsia" w:ascii="微软雅黑" w:hAnsi="微软雅黑" w:eastAsia="微软雅黑" w:cs="微软雅黑"/>
                <w:b/>
                <w:bCs/>
                <w:szCs w:val="24"/>
              </w:rPr>
              <w:t>评分标准</w:t>
            </w:r>
          </w:p>
        </w:tc>
        <w:tc>
          <w:tcPr>
            <w:tcW w:w="1092" w:type="dxa"/>
            <w:vAlign w:val="center"/>
          </w:tcPr>
          <w:p>
            <w:pPr>
              <w:pStyle w:val="8"/>
              <w:spacing w:line="400" w:lineRule="exact"/>
              <w:ind w:firstLine="240" w:firstLineChars="100"/>
              <w:jc w:val="both"/>
              <w:rPr>
                <w:rFonts w:ascii="微软雅黑" w:hAnsi="微软雅黑" w:eastAsia="微软雅黑" w:cs="微软雅黑"/>
                <w:b/>
                <w:bCs/>
                <w:szCs w:val="24"/>
              </w:rPr>
            </w:pPr>
            <w:r>
              <w:rPr>
                <w:rFonts w:hint="eastAsia" w:ascii="微软雅黑" w:hAnsi="微软雅黑" w:eastAsia="微软雅黑" w:cs="微软雅黑"/>
                <w:b/>
                <w:bCs/>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60" w:type="dxa"/>
            <w:vAlign w:val="center"/>
          </w:tcPr>
          <w:p>
            <w:pPr>
              <w:spacing w:line="400" w:lineRule="exact"/>
              <w:rPr>
                <w:rFonts w:ascii="微软雅黑" w:hAnsi="微软雅黑" w:eastAsia="微软雅黑" w:cs="微软雅黑"/>
                <w:kern w:val="0"/>
                <w:sz w:val="24"/>
              </w:rPr>
            </w:pPr>
            <w:r>
              <w:rPr>
                <w:rFonts w:hint="eastAsia" w:ascii="微软雅黑" w:hAnsi="微软雅黑" w:eastAsia="微软雅黑" w:cs="微软雅黑"/>
                <w:kern w:val="0"/>
                <w:sz w:val="24"/>
              </w:rPr>
              <w:t>1</w:t>
            </w:r>
          </w:p>
        </w:tc>
        <w:tc>
          <w:tcPr>
            <w:tcW w:w="1986" w:type="dxa"/>
            <w:vAlign w:val="center"/>
          </w:tcPr>
          <w:p>
            <w:pPr>
              <w:spacing w:line="400" w:lineRule="exact"/>
              <w:rPr>
                <w:rFonts w:ascii="微软雅黑" w:hAnsi="微软雅黑" w:eastAsia="微软雅黑" w:cs="微软雅黑"/>
                <w:kern w:val="0"/>
                <w:sz w:val="24"/>
              </w:rPr>
            </w:pPr>
            <w:r>
              <w:rPr>
                <w:rFonts w:hint="eastAsia" w:ascii="微软雅黑" w:hAnsi="微软雅黑" w:eastAsia="微软雅黑" w:cs="微软雅黑"/>
                <w:kern w:val="0"/>
                <w:sz w:val="24"/>
              </w:rPr>
              <w:t>5G全网建设与优化虚拟仿真实训平台设备2分</w:t>
            </w:r>
          </w:p>
        </w:tc>
        <w:tc>
          <w:tcPr>
            <w:tcW w:w="4491" w:type="dxa"/>
            <w:vAlign w:val="center"/>
          </w:tcPr>
          <w:p>
            <w:pPr>
              <w:spacing w:line="400" w:lineRule="exact"/>
              <w:rPr>
                <w:rFonts w:ascii="微软雅黑" w:hAnsi="微软雅黑" w:eastAsia="微软雅黑" w:cs="微软雅黑"/>
                <w:sz w:val="24"/>
                <w:lang w:eastAsia="zh-Hans"/>
              </w:rPr>
            </w:pPr>
            <w:r>
              <w:rPr>
                <w:rFonts w:ascii="微软雅黑" w:hAnsi="微软雅黑" w:eastAsia="微软雅黑" w:cs="微软雅黑"/>
                <w:sz w:val="24"/>
                <w:lang w:eastAsia="zh-Hans"/>
              </w:rPr>
              <w:t>1.</w:t>
            </w:r>
            <w:r>
              <w:rPr>
                <w:rFonts w:hint="eastAsia" w:ascii="微软雅黑" w:hAnsi="微软雅黑" w:eastAsia="微软雅黑" w:cs="微软雅黑"/>
                <w:sz w:val="24"/>
                <w:lang w:eastAsia="zh-Hans"/>
              </w:rPr>
              <w:t>演示仿真实训平台支持5G承载网的容量规划计算。包括承载接入网、承载汇聚网和承载核心网的3大模块。承载接入网支持接入环带宽和接入设备的计算；承载汇聚网支持（骨干）汇聚环带宽、（骨干）汇聚环数量的计算；承载核心网支持核心层带宽、核心层设备数量和省骨干网设备容量计算3个部分，可对其中的变量进行灵活改动。</w:t>
            </w:r>
          </w:p>
          <w:p>
            <w:pPr>
              <w:spacing w:line="400" w:lineRule="exact"/>
              <w:rPr>
                <w:rFonts w:eastAsia="微软雅黑"/>
                <w:lang w:eastAsia="zh-Hans"/>
              </w:rPr>
            </w:pPr>
            <w:r>
              <w:rPr>
                <w:rFonts w:ascii="微软雅黑" w:hAnsi="微软雅黑" w:eastAsia="微软雅黑" w:cs="微软雅黑"/>
                <w:sz w:val="24"/>
                <w:lang w:eastAsia="zh-Hans"/>
              </w:rPr>
              <w:t>2.</w:t>
            </w:r>
            <w:r>
              <w:rPr>
                <w:rFonts w:hint="eastAsia" w:ascii="微软雅黑" w:hAnsi="微软雅黑" w:eastAsia="微软雅黑" w:cs="微软雅黑"/>
                <w:sz w:val="24"/>
                <w:lang w:eastAsia="zh-Hans"/>
              </w:rPr>
              <w:t>演示仿真实训平台支持支持核心网机房设备选型。NSA组网模式下，可灵活选择EPC设备（包括MME、SGW、PGW、HSS）和交换机的设备安装及线缆连接；SA组网模式下，5GC核心网采用SBA服务架构，并支持NFV方式部署。支持AMF、SMF、UPF、UDM、AUSF、PCF、NSSF、NRF等8类基础网元功能。</w:t>
            </w:r>
          </w:p>
        </w:tc>
        <w:tc>
          <w:tcPr>
            <w:tcW w:w="1791" w:type="dxa"/>
            <w:vMerge w:val="restart"/>
            <w:vAlign w:val="center"/>
          </w:tcPr>
          <w:p>
            <w:pPr>
              <w:spacing w:line="400" w:lineRule="exact"/>
              <w:rPr>
                <w:rFonts w:ascii="微软雅黑" w:hAnsi="微软雅黑" w:eastAsia="微软雅黑" w:cs="微软雅黑"/>
                <w:kern w:val="0"/>
                <w:sz w:val="24"/>
              </w:rPr>
            </w:pPr>
            <w:r>
              <w:rPr>
                <w:rFonts w:hint="eastAsia" w:ascii="微软雅黑" w:hAnsi="微软雅黑" w:eastAsia="微软雅黑" w:cs="微软雅黑"/>
                <w:sz w:val="24"/>
                <w:lang w:eastAsia="zh-Hans"/>
              </w:rPr>
              <w:t>各供应商需要提供真实的系统进行演示，不接受视频录制或者</w:t>
            </w:r>
            <w:r>
              <w:rPr>
                <w:rFonts w:ascii="微软雅黑" w:hAnsi="微软雅黑" w:eastAsia="微软雅黑" w:cs="微软雅黑"/>
                <w:sz w:val="24"/>
                <w:lang w:eastAsia="zh-Hans"/>
              </w:rPr>
              <w:t>PPT</w:t>
            </w:r>
            <w:r>
              <w:rPr>
                <w:rFonts w:hint="eastAsia" w:ascii="微软雅黑" w:hAnsi="微软雅黑" w:eastAsia="微软雅黑" w:cs="微软雅黑"/>
                <w:sz w:val="24"/>
                <w:lang w:eastAsia="zh-Hans"/>
              </w:rPr>
              <w:t>等其他方式，每演示成功</w:t>
            </w:r>
            <w:r>
              <w:rPr>
                <w:rFonts w:ascii="微软雅黑" w:hAnsi="微软雅黑" w:eastAsia="微软雅黑" w:cs="微软雅黑"/>
                <w:sz w:val="24"/>
                <w:lang w:eastAsia="zh-Hans"/>
              </w:rPr>
              <w:t>1</w:t>
            </w:r>
            <w:r>
              <w:rPr>
                <w:rFonts w:hint="eastAsia" w:ascii="微软雅黑" w:hAnsi="微软雅黑" w:eastAsia="微软雅黑" w:cs="微软雅黑"/>
                <w:sz w:val="24"/>
                <w:lang w:eastAsia="zh-Hans"/>
              </w:rPr>
              <w:t>项得</w:t>
            </w:r>
            <w:r>
              <w:rPr>
                <w:rFonts w:ascii="微软雅黑" w:hAnsi="微软雅黑" w:eastAsia="微软雅黑" w:cs="微软雅黑"/>
                <w:sz w:val="24"/>
                <w:lang w:eastAsia="zh-Hans"/>
              </w:rPr>
              <w:t>1</w:t>
            </w:r>
            <w:r>
              <w:rPr>
                <w:rFonts w:hint="eastAsia" w:ascii="微软雅黑" w:hAnsi="微软雅黑" w:eastAsia="微软雅黑" w:cs="微软雅黑"/>
                <w:sz w:val="24"/>
                <w:lang w:eastAsia="zh-Hans"/>
              </w:rPr>
              <w:t>分，演示不成功或者和要求演示的内容不相符则不得分。</w:t>
            </w:r>
          </w:p>
        </w:tc>
        <w:tc>
          <w:tcPr>
            <w:tcW w:w="1092" w:type="dxa"/>
            <w:vAlign w:val="center"/>
          </w:tcPr>
          <w:p>
            <w:pPr>
              <w:pStyle w:val="8"/>
              <w:spacing w:line="400" w:lineRule="exact"/>
              <w:jc w:val="both"/>
              <w:rPr>
                <w:rFonts w:ascii="微软雅黑" w:hAnsi="微软雅黑" w:eastAsia="微软雅黑" w:cs="微软雅黑"/>
                <w:szCs w:val="24"/>
              </w:rPr>
            </w:pPr>
            <w:r>
              <w:rPr>
                <w:rFonts w:ascii="微软雅黑" w:hAnsi="微软雅黑" w:eastAsia="微软雅黑" w:cs="微软雅黑"/>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60" w:type="dxa"/>
            <w:vAlign w:val="center"/>
          </w:tcPr>
          <w:p>
            <w:pPr>
              <w:widowControl/>
              <w:spacing w:line="400" w:lineRule="exact"/>
              <w:rPr>
                <w:rFonts w:ascii="微软雅黑" w:hAnsi="微软雅黑" w:eastAsia="微软雅黑" w:cs="微软雅黑"/>
                <w:kern w:val="0"/>
                <w:sz w:val="24"/>
              </w:rPr>
            </w:pPr>
            <w:r>
              <w:rPr>
                <w:rFonts w:hint="eastAsia" w:ascii="微软雅黑" w:hAnsi="微软雅黑" w:eastAsia="微软雅黑" w:cs="微软雅黑"/>
                <w:kern w:val="0"/>
                <w:sz w:val="24"/>
              </w:rPr>
              <w:t>2</w:t>
            </w:r>
          </w:p>
        </w:tc>
        <w:tc>
          <w:tcPr>
            <w:tcW w:w="1986" w:type="dxa"/>
            <w:vAlign w:val="center"/>
          </w:tcPr>
          <w:p>
            <w:pPr>
              <w:spacing w:line="400" w:lineRule="exact"/>
              <w:rPr>
                <w:rFonts w:ascii="微软雅黑" w:hAnsi="微软雅黑" w:eastAsia="微软雅黑" w:cs="微软雅黑"/>
                <w:kern w:val="0"/>
                <w:sz w:val="24"/>
                <w:lang w:eastAsia="zh-Hans"/>
              </w:rPr>
            </w:pPr>
            <w:r>
              <w:rPr>
                <w:rFonts w:hint="eastAsia" w:ascii="微软雅黑" w:hAnsi="微软雅黑" w:eastAsia="微软雅黑" w:cs="微软雅黑"/>
                <w:kern w:val="0"/>
                <w:sz w:val="24"/>
              </w:rPr>
              <w:t>5G+X 行业应用开发实训平台设备</w:t>
            </w:r>
            <w:r>
              <w:rPr>
                <w:rFonts w:ascii="微软雅黑" w:hAnsi="微软雅黑" w:eastAsia="微软雅黑" w:cs="微软雅黑"/>
                <w:kern w:val="0"/>
                <w:sz w:val="24"/>
              </w:rPr>
              <w:t>2</w:t>
            </w:r>
            <w:r>
              <w:rPr>
                <w:rFonts w:hint="eastAsia" w:ascii="微软雅黑" w:hAnsi="微软雅黑" w:eastAsia="微软雅黑" w:cs="微软雅黑"/>
                <w:kern w:val="0"/>
                <w:sz w:val="24"/>
                <w:lang w:eastAsia="zh-Hans"/>
              </w:rPr>
              <w:t>分</w:t>
            </w:r>
          </w:p>
        </w:tc>
        <w:tc>
          <w:tcPr>
            <w:tcW w:w="4491" w:type="dxa"/>
            <w:vAlign w:val="center"/>
          </w:tcPr>
          <w:p>
            <w:pPr>
              <w:spacing w:line="400" w:lineRule="exact"/>
              <w:rPr>
                <w:rFonts w:ascii="微软雅黑" w:hAnsi="微软雅黑" w:eastAsia="微软雅黑" w:cs="微软雅黑"/>
                <w:sz w:val="24"/>
                <w:lang w:eastAsia="zh-Hans"/>
              </w:rPr>
            </w:pPr>
            <w:r>
              <w:rPr>
                <w:rFonts w:ascii="微软雅黑" w:hAnsi="微软雅黑" w:eastAsia="微软雅黑" w:cs="微软雅黑"/>
                <w:sz w:val="24"/>
                <w:lang w:eastAsia="zh-Hans"/>
              </w:rPr>
              <w:t>1.</w:t>
            </w:r>
            <w:r>
              <w:rPr>
                <w:rFonts w:hint="eastAsia" w:ascii="微软雅黑" w:hAnsi="微软雅黑" w:eastAsia="微软雅黑" w:cs="微软雅黑"/>
                <w:sz w:val="24"/>
                <w:lang w:eastAsia="zh-Hans"/>
              </w:rPr>
              <w:t>演示实训平台</w:t>
            </w:r>
            <w:r>
              <w:rPr>
                <w:rFonts w:hint="eastAsia" w:ascii="微软雅黑" w:hAnsi="微软雅黑" w:eastAsia="微软雅黑" w:cs="微软雅黑"/>
                <w:sz w:val="24"/>
              </w:rPr>
              <w:t>支持</w:t>
            </w:r>
            <w:r>
              <w:rPr>
                <w:rFonts w:hint="eastAsia" w:ascii="微软雅黑" w:hAnsi="微软雅黑" w:eastAsia="微软雅黑" w:cs="微软雅黑"/>
                <w:sz w:val="24"/>
                <w:lang w:eastAsia="zh-Hans"/>
              </w:rPr>
              <w:t>网络切片设计</w:t>
            </w:r>
            <w:r>
              <w:rPr>
                <w:rFonts w:hint="eastAsia" w:ascii="微软雅黑" w:hAnsi="微软雅黑" w:eastAsia="微软雅黑" w:cs="微软雅黑"/>
                <w:sz w:val="24"/>
              </w:rPr>
              <w:t>，至少</w:t>
            </w:r>
            <w:r>
              <w:rPr>
                <w:rFonts w:hint="eastAsia" w:ascii="微软雅黑" w:hAnsi="微软雅黑" w:eastAsia="微软雅黑" w:cs="微软雅黑"/>
                <w:sz w:val="24"/>
                <w:lang w:eastAsia="zh-Hans"/>
              </w:rPr>
              <w:t>包含4类不同等级的切片模板，每种模板可跟根据终端需求设计切片子模板，包含切片基础信息、NSI实例业务需求、NSI网络参数与网络资源编排。</w:t>
            </w:r>
          </w:p>
          <w:p>
            <w:pPr>
              <w:spacing w:line="400" w:lineRule="exact"/>
              <w:rPr>
                <w:rFonts w:ascii="仿宋" w:hAnsi="仿宋" w:eastAsia="仿宋" w:cs="仿宋"/>
              </w:rPr>
            </w:pPr>
            <w:r>
              <w:rPr>
                <w:rFonts w:ascii="微软雅黑" w:hAnsi="微软雅黑" w:eastAsia="微软雅黑" w:cs="微软雅黑"/>
                <w:sz w:val="24"/>
              </w:rPr>
              <w:t>2.</w:t>
            </w:r>
            <w:r>
              <w:rPr>
                <w:rFonts w:hint="eastAsia" w:ascii="微软雅黑" w:hAnsi="微软雅黑" w:eastAsia="微软雅黑" w:cs="微软雅黑"/>
                <w:sz w:val="24"/>
                <w:lang w:eastAsia="zh-Hans"/>
              </w:rPr>
              <w:t>演示实训平台</w:t>
            </w:r>
            <w:r>
              <w:rPr>
                <w:rFonts w:hint="eastAsia" w:ascii="微软雅黑" w:hAnsi="微软雅黑" w:eastAsia="微软雅黑" w:cs="微软雅黑"/>
                <w:sz w:val="24"/>
              </w:rPr>
              <w:t>支持</w:t>
            </w:r>
            <w:r>
              <w:rPr>
                <w:rFonts w:hint="eastAsia" w:ascii="微软雅黑" w:hAnsi="微软雅黑" w:eastAsia="微软雅黑" w:cs="微软雅黑"/>
                <w:sz w:val="24"/>
                <w:lang w:eastAsia="zh-Hans"/>
              </w:rPr>
              <w:t>MEC服务配置</w:t>
            </w:r>
            <w:r>
              <w:rPr>
                <w:rFonts w:hint="eastAsia" w:ascii="微软雅黑" w:hAnsi="微软雅黑" w:eastAsia="微软雅黑" w:cs="微软雅黑"/>
                <w:sz w:val="24"/>
              </w:rPr>
              <w:t>，</w:t>
            </w:r>
            <w:r>
              <w:rPr>
                <w:rFonts w:hint="eastAsia" w:ascii="微软雅黑" w:hAnsi="微软雅黑" w:eastAsia="微软雅黑" w:cs="微软雅黑"/>
                <w:sz w:val="24"/>
                <w:lang w:eastAsia="zh-Hans"/>
              </w:rPr>
              <w:t>可完成MEP、MEC APP与边缘UPF基础开通、Mx/Mp/Mm接口配置、高级/基础/二层ACL配置、QoS流量监管配置、边缘策略配置、无线网络信息服务配置（包含无线RAB、PLMN信息）、位置信息服务配置、业务管理服务（包含带宽管理、会话管理、接入能力）配置、边缘应用管理配置、边缘UPF切片与边缘计算策略配置等。</w:t>
            </w:r>
          </w:p>
        </w:tc>
        <w:tc>
          <w:tcPr>
            <w:tcW w:w="1791" w:type="dxa"/>
            <w:vMerge w:val="continue"/>
            <w:vAlign w:val="center"/>
          </w:tcPr>
          <w:p>
            <w:pPr>
              <w:spacing w:line="400" w:lineRule="exact"/>
              <w:rPr>
                <w:rFonts w:ascii="微软雅黑" w:hAnsi="微软雅黑" w:eastAsia="微软雅黑" w:cs="微软雅黑"/>
                <w:kern w:val="0"/>
                <w:sz w:val="24"/>
              </w:rPr>
            </w:pPr>
          </w:p>
        </w:tc>
        <w:tc>
          <w:tcPr>
            <w:tcW w:w="1092" w:type="dxa"/>
            <w:vAlign w:val="center"/>
          </w:tcPr>
          <w:p>
            <w:pPr>
              <w:pStyle w:val="8"/>
              <w:spacing w:line="400" w:lineRule="exact"/>
              <w:jc w:val="both"/>
              <w:rPr>
                <w:rFonts w:ascii="微软雅黑" w:hAnsi="微软雅黑" w:eastAsia="微软雅黑" w:cs="微软雅黑"/>
                <w:szCs w:val="24"/>
              </w:rPr>
            </w:pPr>
            <w:r>
              <w:rPr>
                <w:rFonts w:ascii="微软雅黑" w:hAnsi="微软雅黑" w:eastAsia="微软雅黑" w:cs="微软雅黑"/>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60" w:type="dxa"/>
            <w:vAlign w:val="center"/>
          </w:tcPr>
          <w:p>
            <w:pPr>
              <w:pStyle w:val="8"/>
              <w:spacing w:line="400" w:lineRule="exact"/>
              <w:ind w:firstLine="0"/>
              <w:jc w:val="both"/>
              <w:rPr>
                <w:rFonts w:ascii="微软雅黑" w:hAnsi="微软雅黑" w:eastAsia="微软雅黑" w:cs="微软雅黑"/>
                <w:szCs w:val="24"/>
              </w:rPr>
            </w:pPr>
            <w:r>
              <w:rPr>
                <w:rFonts w:hint="eastAsia" w:ascii="微软雅黑" w:hAnsi="微软雅黑" w:eastAsia="微软雅黑" w:cs="微软雅黑"/>
                <w:szCs w:val="24"/>
              </w:rPr>
              <w:t>3</w:t>
            </w:r>
          </w:p>
        </w:tc>
        <w:tc>
          <w:tcPr>
            <w:tcW w:w="1986" w:type="dxa"/>
            <w:vAlign w:val="center"/>
          </w:tcPr>
          <w:p>
            <w:pPr>
              <w:pStyle w:val="8"/>
              <w:spacing w:line="400" w:lineRule="exact"/>
              <w:ind w:firstLine="0"/>
              <w:jc w:val="both"/>
              <w:rPr>
                <w:rFonts w:ascii="微软雅黑" w:hAnsi="微软雅黑" w:eastAsia="微软雅黑" w:cs="微软雅黑"/>
                <w:szCs w:val="24"/>
              </w:rPr>
            </w:pPr>
            <w:r>
              <w:rPr>
                <w:rFonts w:hint="eastAsia" w:ascii="微软雅黑" w:hAnsi="微软雅黑" w:eastAsia="微软雅黑" w:cs="微软雅黑"/>
                <w:szCs w:val="24"/>
              </w:rPr>
              <w:t>数字化场景应用实训平台设备2分</w:t>
            </w:r>
          </w:p>
        </w:tc>
        <w:tc>
          <w:tcPr>
            <w:tcW w:w="4491" w:type="dxa"/>
            <w:vAlign w:val="center"/>
          </w:tcPr>
          <w:p>
            <w:pPr>
              <w:pStyle w:val="21"/>
              <w:spacing w:line="400" w:lineRule="exact"/>
              <w:jc w:val="both"/>
              <w:rPr>
                <w:rFonts w:ascii="微软雅黑" w:hAnsi="微软雅黑" w:eastAsia="微软雅黑" w:cs="微软雅黑"/>
                <w:sz w:val="24"/>
              </w:rPr>
            </w:pPr>
            <w:r>
              <w:rPr>
                <w:rFonts w:ascii="微软雅黑" w:hAnsi="微软雅黑" w:eastAsia="微软雅黑" w:cs="微软雅黑"/>
                <w:sz w:val="24"/>
                <w:lang w:eastAsia="zh-Hans"/>
              </w:rPr>
              <w:t>1.</w:t>
            </w:r>
            <w:r>
              <w:rPr>
                <w:rFonts w:hint="eastAsia" w:ascii="微软雅黑" w:hAnsi="微软雅黑" w:eastAsia="微软雅黑" w:cs="微软雅黑"/>
                <w:sz w:val="24"/>
                <w:lang w:eastAsia="zh-Hans"/>
              </w:rPr>
              <w:t>演示</w:t>
            </w:r>
            <w:r>
              <w:rPr>
                <w:rFonts w:hint="eastAsia" w:ascii="微软雅黑" w:hAnsi="微软雅黑" w:eastAsia="微软雅黑" w:cs="微软雅黑"/>
                <w:sz w:val="24"/>
              </w:rPr>
              <w:t>5G NR SSB时频资源配置实验项目</w:t>
            </w:r>
            <w:r>
              <w:rPr>
                <w:rFonts w:hint="eastAsia" w:ascii="微软雅黑" w:hAnsi="微软雅黑" w:eastAsia="微软雅黑" w:cs="微软雅黑"/>
                <w:sz w:val="24"/>
                <w:lang w:eastAsia="zh-Hans"/>
              </w:rPr>
              <w:t>，</w:t>
            </w:r>
            <w:r>
              <w:rPr>
                <w:rFonts w:hint="eastAsia" w:ascii="微软雅黑" w:hAnsi="微软雅黑" w:eastAsia="微软雅黑" w:cs="微软雅黑"/>
                <w:sz w:val="24"/>
              </w:rPr>
              <w:t>需支持主要考察SSB块组成、SSB块时频资源位置、PointA频点与SSB频点的联系、SSB块与帧结构对应关系、SSB块与波束对应关系及SSB块部署规范等理论知识，包含SSB块时频计算、SSB块资源配置与波束检测三个步骤，依照给定规划参数计算完成后，通过资源块拖放可实现SSB块快速部署，并可在波束检测以3D形式进行结果呈现。</w:t>
            </w:r>
            <w:r>
              <w:rPr>
                <w:rFonts w:hint="eastAsia" w:ascii="微软雅黑" w:hAnsi="微软雅黑" w:eastAsia="微软雅黑" w:cs="微软雅黑"/>
                <w:sz w:val="24"/>
              </w:rPr>
              <w:br w:type="textWrapping"/>
            </w:r>
            <w:r>
              <w:rPr>
                <w:rFonts w:ascii="微软雅黑" w:hAnsi="微软雅黑" w:eastAsia="微软雅黑" w:cs="微软雅黑"/>
                <w:sz w:val="24"/>
              </w:rPr>
              <w:t>2.</w:t>
            </w:r>
            <w:r>
              <w:rPr>
                <w:rFonts w:hint="eastAsia" w:ascii="微软雅黑" w:hAnsi="微软雅黑" w:eastAsia="微软雅黑" w:cs="微软雅黑"/>
                <w:sz w:val="24"/>
                <w:lang w:eastAsia="zh-Hans"/>
              </w:rPr>
              <w:t>演示</w:t>
            </w:r>
            <w:r>
              <w:rPr>
                <w:rFonts w:hint="eastAsia" w:ascii="微软雅黑" w:hAnsi="微软雅黑" w:eastAsia="微软雅黑" w:cs="微软雅黑"/>
                <w:sz w:val="24"/>
              </w:rPr>
              <w:t>5G NR物理层PDSCH处理流程实验项目</w:t>
            </w:r>
            <w:r>
              <w:rPr>
                <w:rFonts w:hint="eastAsia" w:ascii="微软雅黑" w:hAnsi="微软雅黑" w:eastAsia="微软雅黑" w:cs="微软雅黑"/>
                <w:sz w:val="24"/>
                <w:lang w:eastAsia="zh-Hans"/>
              </w:rPr>
              <w:t>，</w:t>
            </w:r>
            <w:r>
              <w:rPr>
                <w:rFonts w:hint="eastAsia" w:ascii="微软雅黑" w:hAnsi="微软雅黑" w:eastAsia="微软雅黑" w:cs="微软雅黑"/>
                <w:sz w:val="24"/>
              </w:rPr>
              <w:t>需支持以5G NR下行业务信道PDSCH的处理流程作为一个典型案例，选取此流程中几个具有代表性的模块进行实验设计，体现5G NR信道处理过程中加扰、调制、层映射、资源映射等模块的功能及其实现方式。</w:t>
            </w:r>
          </w:p>
        </w:tc>
        <w:tc>
          <w:tcPr>
            <w:tcW w:w="1791" w:type="dxa"/>
            <w:vMerge w:val="continue"/>
            <w:vAlign w:val="center"/>
          </w:tcPr>
          <w:p>
            <w:pPr>
              <w:spacing w:line="400" w:lineRule="exact"/>
              <w:rPr>
                <w:rFonts w:ascii="微软雅黑" w:hAnsi="微软雅黑" w:eastAsia="微软雅黑" w:cs="微软雅黑"/>
                <w:kern w:val="0"/>
                <w:sz w:val="24"/>
              </w:rPr>
            </w:pPr>
          </w:p>
        </w:tc>
        <w:tc>
          <w:tcPr>
            <w:tcW w:w="1092" w:type="dxa"/>
            <w:vAlign w:val="center"/>
          </w:tcPr>
          <w:p>
            <w:pPr>
              <w:pStyle w:val="8"/>
              <w:spacing w:line="400" w:lineRule="exact"/>
              <w:jc w:val="both"/>
              <w:rPr>
                <w:rFonts w:ascii="微软雅黑" w:hAnsi="微软雅黑" w:eastAsia="微软雅黑" w:cs="微软雅黑"/>
                <w:szCs w:val="24"/>
              </w:rPr>
            </w:pPr>
          </w:p>
          <w:p>
            <w:pPr>
              <w:pStyle w:val="8"/>
              <w:spacing w:line="400" w:lineRule="exact"/>
              <w:jc w:val="both"/>
              <w:rPr>
                <w:rFonts w:ascii="微软雅黑" w:hAnsi="微软雅黑" w:eastAsia="微软雅黑" w:cs="微软雅黑"/>
                <w:szCs w:val="24"/>
              </w:rPr>
            </w:pPr>
          </w:p>
          <w:p>
            <w:pPr>
              <w:pStyle w:val="8"/>
              <w:spacing w:line="400" w:lineRule="exact"/>
              <w:jc w:val="both"/>
              <w:rPr>
                <w:rFonts w:ascii="微软雅黑" w:hAnsi="微软雅黑" w:eastAsia="微软雅黑" w:cs="微软雅黑"/>
                <w:szCs w:val="24"/>
              </w:rPr>
            </w:pPr>
          </w:p>
          <w:p>
            <w:pPr>
              <w:pStyle w:val="8"/>
              <w:spacing w:line="400" w:lineRule="exact"/>
              <w:jc w:val="both"/>
              <w:rPr>
                <w:rFonts w:ascii="微软雅黑" w:hAnsi="微软雅黑" w:eastAsia="微软雅黑" w:cs="微软雅黑"/>
                <w:szCs w:val="24"/>
              </w:rPr>
            </w:pPr>
          </w:p>
          <w:p>
            <w:pPr>
              <w:pStyle w:val="8"/>
              <w:spacing w:line="400" w:lineRule="exact"/>
              <w:jc w:val="both"/>
              <w:rPr>
                <w:rFonts w:ascii="微软雅黑" w:hAnsi="微软雅黑" w:eastAsia="微软雅黑" w:cs="微软雅黑"/>
                <w:szCs w:val="24"/>
              </w:rPr>
            </w:pPr>
          </w:p>
          <w:p>
            <w:pPr>
              <w:pStyle w:val="8"/>
              <w:spacing w:line="400" w:lineRule="exact"/>
              <w:jc w:val="both"/>
              <w:rPr>
                <w:rFonts w:ascii="微软雅黑" w:hAnsi="微软雅黑" w:eastAsia="微软雅黑" w:cs="微软雅黑"/>
                <w:szCs w:val="24"/>
              </w:rPr>
            </w:pPr>
          </w:p>
          <w:p>
            <w:pPr>
              <w:pStyle w:val="8"/>
              <w:spacing w:line="400" w:lineRule="exact"/>
              <w:jc w:val="both"/>
              <w:rPr>
                <w:rFonts w:ascii="微软雅黑" w:hAnsi="微软雅黑" w:eastAsia="微软雅黑" w:cs="微软雅黑"/>
                <w:szCs w:val="24"/>
              </w:rPr>
            </w:pPr>
            <w:r>
              <w:rPr>
                <w:rFonts w:ascii="微软雅黑" w:hAnsi="微软雅黑" w:eastAsia="微软雅黑" w:cs="微软雅黑"/>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28" w:type="dxa"/>
            <w:gridSpan w:val="4"/>
            <w:vAlign w:val="center"/>
          </w:tcPr>
          <w:p>
            <w:pPr>
              <w:pStyle w:val="8"/>
              <w:spacing w:line="400" w:lineRule="exact"/>
              <w:ind w:firstLine="3840" w:firstLineChars="1600"/>
              <w:jc w:val="both"/>
              <w:rPr>
                <w:rFonts w:ascii="微软雅黑" w:hAnsi="微软雅黑" w:eastAsia="微软雅黑" w:cs="微软雅黑"/>
                <w:szCs w:val="24"/>
              </w:rPr>
            </w:pPr>
            <w:r>
              <w:rPr>
                <w:rFonts w:hint="eastAsia" w:ascii="微软雅黑" w:hAnsi="微软雅黑" w:eastAsia="微软雅黑" w:cs="微软雅黑"/>
                <w:szCs w:val="24"/>
              </w:rPr>
              <w:t>合计</w:t>
            </w:r>
          </w:p>
        </w:tc>
        <w:tc>
          <w:tcPr>
            <w:tcW w:w="1092" w:type="dxa"/>
            <w:vAlign w:val="center"/>
          </w:tcPr>
          <w:p>
            <w:pPr>
              <w:pStyle w:val="8"/>
              <w:spacing w:line="400" w:lineRule="exact"/>
              <w:jc w:val="both"/>
              <w:rPr>
                <w:rFonts w:ascii="微软雅黑" w:hAnsi="微软雅黑" w:eastAsia="微软雅黑" w:cs="微软雅黑"/>
                <w:szCs w:val="24"/>
              </w:rPr>
            </w:pPr>
            <w:r>
              <w:rPr>
                <w:rFonts w:ascii="微软雅黑" w:hAnsi="微软雅黑" w:eastAsia="微软雅黑" w:cs="微软雅黑"/>
                <w:szCs w:val="24"/>
              </w:rPr>
              <w:t>6</w:t>
            </w:r>
          </w:p>
        </w:tc>
      </w:tr>
    </w:tbl>
    <w:p>
      <w:pPr>
        <w:pStyle w:val="11"/>
        <w:tabs>
          <w:tab w:val="clear" w:pos="567"/>
        </w:tabs>
        <w:spacing w:before="0" w:line="360" w:lineRule="auto"/>
        <w:jc w:val="center"/>
        <w:rPr>
          <w:rFonts w:ascii="仿宋" w:hAnsi="仿宋" w:eastAsia="仿宋" w:cs="宋体"/>
          <w:b/>
          <w:bCs/>
          <w:kern w:val="0"/>
          <w:sz w:val="32"/>
          <w:szCs w:val="32"/>
        </w:rPr>
      </w:pPr>
    </w:p>
    <w:p>
      <w:pPr>
        <w:pStyle w:val="11"/>
        <w:tabs>
          <w:tab w:val="clear" w:pos="567"/>
        </w:tabs>
        <w:spacing w:before="0" w:line="360" w:lineRule="auto"/>
        <w:jc w:val="center"/>
        <w:rPr>
          <w:rFonts w:eastAsia="仿宋"/>
        </w:rPr>
      </w:pPr>
      <w:r>
        <w:rPr>
          <w:rFonts w:hint="eastAsia" w:ascii="仿宋" w:hAnsi="仿宋" w:eastAsia="仿宋" w:cs="宋体"/>
          <w:b/>
          <w:bCs/>
          <w:kern w:val="0"/>
          <w:sz w:val="32"/>
          <w:szCs w:val="32"/>
        </w:rPr>
        <w:br w:type="page"/>
      </w:r>
      <w:bookmarkStart w:id="460" w:name="_Toc507399904"/>
      <w:r>
        <w:rPr>
          <w:rFonts w:hint="eastAsia" w:ascii="黑体" w:hAnsi="黑体" w:eastAsia="黑体" w:cs="黑体"/>
          <w:bCs/>
          <w:sz w:val="56"/>
          <w:szCs w:val="56"/>
        </w:rPr>
        <w:t>喀什大学5G+行业数智化集成与开发实训中心项目</w:t>
      </w:r>
    </w:p>
    <w:p>
      <w:pPr>
        <w:pStyle w:val="8"/>
      </w:pPr>
    </w:p>
    <w:p/>
    <w:p>
      <w:pPr>
        <w:spacing w:line="240" w:lineRule="atLeast"/>
        <w:ind w:left="1080" w:leftChars="257" w:hanging="540"/>
        <w:jc w:val="center"/>
        <w:rPr>
          <w:rFonts w:ascii="仿宋_GB2312" w:eastAsia="仿宋_GB2312"/>
          <w:b/>
          <w:sz w:val="52"/>
          <w:szCs w:val="52"/>
        </w:rPr>
      </w:pPr>
      <w:r>
        <w:rPr>
          <w:rFonts w:hint="eastAsia" w:ascii="华文中宋" w:hAnsi="华文中宋" w:eastAsia="华文中宋" w:cs="华文中宋"/>
          <w:bCs/>
          <w:sz w:val="52"/>
          <w:szCs w:val="52"/>
        </w:rPr>
        <w:t>公开招标文件</w:t>
      </w: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rPr>
          <w:rFonts w:ascii="仿宋_GB2312" w:eastAsia="仿宋_GB2312"/>
          <w:b/>
          <w:sz w:val="28"/>
        </w:rPr>
      </w:pPr>
    </w:p>
    <w:p>
      <w:pPr>
        <w:spacing w:line="240" w:lineRule="atLeast"/>
        <w:ind w:left="1080" w:leftChars="257" w:hanging="540"/>
        <w:jc w:val="center"/>
        <w:rPr>
          <w:rFonts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pStyle w:val="4"/>
        <w:pageBreakBefore/>
        <w:tabs>
          <w:tab w:val="left" w:pos="0"/>
        </w:tabs>
        <w:spacing w:before="0" w:after="0" w:line="240" w:lineRule="atLeast"/>
        <w:ind w:left="-17"/>
        <w:rPr>
          <w:rFonts w:ascii="仿宋_GB2312" w:eastAsia="仿宋_GB2312"/>
        </w:rPr>
      </w:pPr>
      <w:bookmarkStart w:id="461" w:name="_Toc515647833"/>
      <w:bookmarkStart w:id="462" w:name="_Toc4796"/>
      <w:bookmarkStart w:id="463" w:name="_Toc6865"/>
      <w:bookmarkStart w:id="464" w:name="_Toc14977"/>
      <w:r>
        <w:rPr>
          <w:rFonts w:hint="eastAsia" w:ascii="仿宋_GB2312" w:eastAsia="仿宋_GB2312"/>
        </w:rPr>
        <w:t>第7章 政府采购合同</w:t>
      </w:r>
      <w:bookmarkEnd w:id="460"/>
      <w:bookmarkEnd w:id="461"/>
      <w:bookmarkEnd w:id="462"/>
      <w:bookmarkEnd w:id="463"/>
      <w:bookmarkEnd w:id="464"/>
      <w:bookmarkStart w:id="465" w:name="_Hlt487972895"/>
      <w:bookmarkEnd w:id="465"/>
      <w:bookmarkStart w:id="466" w:name="_Toc487900382"/>
      <w:bookmarkStart w:id="467" w:name="_Toc216513788"/>
    </w:p>
    <w:bookmarkEnd w:id="466"/>
    <w:bookmarkEnd w:id="467"/>
    <w:p>
      <w:pPr>
        <w:spacing w:line="240" w:lineRule="atLeast"/>
        <w:rPr>
          <w:rFonts w:ascii="仿宋_GB2312" w:eastAsia="仿宋_GB2312"/>
          <w:b/>
          <w:kern w:val="44"/>
          <w:sz w:val="32"/>
          <w:szCs w:val="20"/>
        </w:rPr>
      </w:pPr>
    </w:p>
    <w:p>
      <w:pPr>
        <w:spacing w:line="240" w:lineRule="atLeast"/>
        <w:ind w:left="-567" w:leftChars="-270" w:firstLine="540"/>
        <w:jc w:val="center"/>
        <w:rPr>
          <w:rFonts w:ascii="仿宋_GB2312" w:eastAsia="仿宋_GB2312"/>
          <w:kern w:val="44"/>
          <w:sz w:val="28"/>
          <w:szCs w:val="28"/>
        </w:rPr>
      </w:pPr>
      <w:r>
        <w:rPr>
          <w:rFonts w:hint="eastAsia" w:ascii="仿宋_GB2312" w:eastAsia="仿宋_GB2312"/>
          <w:kern w:val="44"/>
          <w:sz w:val="28"/>
          <w:szCs w:val="28"/>
        </w:rPr>
        <w:t>请参照货物类政府采购合同参考范本订立采购合同。</w:t>
      </w:r>
    </w:p>
    <w:p>
      <w:pPr>
        <w:spacing w:line="240" w:lineRule="atLeast"/>
      </w:pPr>
    </w:p>
    <w:p>
      <w:pPr>
        <w:rPr>
          <w:rFonts w:ascii="楷体" w:hAnsi="楷体" w:eastAsia="楷体"/>
          <w:sz w:val="24"/>
        </w:rPr>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（货物类）</w:t>
      </w:r>
    </w:p>
    <w:p>
      <w:pPr>
        <w:pStyle w:val="66"/>
        <w:ind w:firstLine="0"/>
        <w:rPr>
          <w:rFonts w:ascii="楷体" w:hAnsi="楷体" w:eastAsia="楷体"/>
          <w:szCs w:val="24"/>
        </w:rPr>
      </w:pPr>
    </w:p>
    <w:p>
      <w:pPr>
        <w:pStyle w:val="66"/>
        <w:ind w:firstLine="0"/>
        <w:rPr>
          <w:rFonts w:ascii="楷体" w:hAnsi="楷体" w:eastAsia="楷体"/>
          <w:szCs w:val="24"/>
        </w:rPr>
      </w:pPr>
    </w:p>
    <w:p>
      <w:pPr>
        <w:pStyle w:val="66"/>
        <w:ind w:firstLine="0"/>
        <w:rPr>
          <w:rFonts w:ascii="楷体" w:hAnsi="楷体" w:eastAsia="楷体"/>
          <w:szCs w:val="24"/>
        </w:rPr>
      </w:pPr>
    </w:p>
    <w:p>
      <w:pPr>
        <w:pStyle w:val="66"/>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66"/>
        <w:ind w:firstLine="0"/>
        <w:rPr>
          <w:rFonts w:ascii="楷体" w:hAnsi="楷体" w:eastAsia="楷体"/>
          <w:szCs w:val="24"/>
        </w:rPr>
      </w:pPr>
    </w:p>
    <w:p>
      <w:pPr>
        <w:pStyle w:val="66"/>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pStyle w:val="69"/>
        <w:spacing w:before="120" w:line="22" w:lineRule="atLeast"/>
        <w:rPr>
          <w:rFonts w:ascii="楷体" w:hAnsi="楷体" w:eastAsia="楷体"/>
          <w:szCs w:val="24"/>
        </w:rPr>
      </w:pPr>
    </w:p>
    <w:p>
      <w:pPr>
        <w:pStyle w:val="69"/>
        <w:spacing w:before="120" w:line="22" w:lineRule="atLeast"/>
        <w:rPr>
          <w:rFonts w:ascii="楷体" w:hAnsi="楷体" w:eastAsia="楷体"/>
          <w:szCs w:val="24"/>
        </w:rPr>
      </w:pP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2" w:type="default"/>
          <w:footerReference r:id="rId13" w:type="default"/>
          <w:pgSz w:w="11907" w:h="16840"/>
          <w:pgMar w:top="1134" w:right="1417" w:bottom="1134" w:left="1417" w:header="851" w:footer="851" w:gutter="0"/>
          <w:cols w:space="720" w:num="1"/>
          <w:docGrid w:linePitch="462" w:charSpace="0"/>
        </w:sectPr>
      </w:pPr>
    </w:p>
    <w:p>
      <w:pPr>
        <w:spacing w:line="560" w:lineRule="exact"/>
        <w:ind w:firstLine="480" w:firstLineChars="200"/>
        <w:rPr>
          <w:rFonts w:ascii="楷体" w:hAnsi="楷体" w:eastAsia="楷体"/>
          <w:sz w:val="24"/>
          <w:u w:val="single"/>
          <w:lang w:val="zh-CN"/>
        </w:r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rPr>
          <w:rFonts w:ascii="楷体" w:hAnsi="楷体" w:eastAsia="楷体"/>
          <w:b/>
          <w:sz w:val="24"/>
        </w:rPr>
      </w:pPr>
      <w:bookmarkStart w:id="468" w:name="_Toc3029"/>
      <w:bookmarkStart w:id="469" w:name="_Toc32539"/>
      <w:bookmarkStart w:id="470" w:name="_Toc24159"/>
      <w:bookmarkStart w:id="471" w:name="_Toc2232"/>
      <w:bookmarkStart w:id="472" w:name="_Toc24059"/>
      <w:r>
        <w:rPr>
          <w:rFonts w:ascii="楷体" w:hAnsi="楷体" w:eastAsia="楷体"/>
          <w:b/>
          <w:sz w:val="24"/>
        </w:rPr>
        <w:t xml:space="preserve">1.1 </w:t>
      </w:r>
      <w:r>
        <w:rPr>
          <w:rFonts w:hint="eastAsia" w:ascii="楷体" w:hAnsi="楷体" w:eastAsia="楷体"/>
          <w:b/>
          <w:sz w:val="24"/>
        </w:rPr>
        <w:t>合同组成部分</w:t>
      </w:r>
      <w:bookmarkEnd w:id="468"/>
      <w:bookmarkEnd w:id="469"/>
      <w:bookmarkEnd w:id="470"/>
      <w:bookmarkEnd w:id="471"/>
      <w:bookmarkEnd w:id="472"/>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rPr>
          <w:rFonts w:ascii="楷体" w:hAnsi="楷体" w:eastAsia="楷体"/>
          <w:b/>
          <w:sz w:val="24"/>
        </w:rPr>
      </w:pPr>
      <w:bookmarkStart w:id="473" w:name="_Toc9498"/>
      <w:bookmarkStart w:id="474" w:name="_Toc6297"/>
      <w:bookmarkStart w:id="475" w:name="_Toc21295"/>
      <w:bookmarkStart w:id="476" w:name="_Toc24300"/>
      <w:bookmarkStart w:id="477" w:name="_Toc27126"/>
      <w:r>
        <w:rPr>
          <w:rFonts w:ascii="楷体" w:hAnsi="楷体" w:eastAsia="楷体"/>
          <w:b/>
          <w:sz w:val="24"/>
        </w:rPr>
        <w:t xml:space="preserve">1.2 </w:t>
      </w:r>
      <w:r>
        <w:rPr>
          <w:rFonts w:hint="eastAsia" w:ascii="楷体" w:hAnsi="楷体" w:eastAsia="楷体"/>
          <w:b/>
          <w:sz w:val="24"/>
        </w:rPr>
        <w:t>货物</w:t>
      </w:r>
      <w:bookmarkEnd w:id="473"/>
      <w:bookmarkEnd w:id="474"/>
      <w:bookmarkEnd w:id="475"/>
      <w:bookmarkEnd w:id="476"/>
      <w:bookmarkEnd w:id="477"/>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货物名称：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货物数量：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货物质量：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rPr>
          <w:rFonts w:ascii="楷体" w:hAnsi="楷体" w:eastAsia="楷体"/>
          <w:b/>
          <w:sz w:val="24"/>
        </w:rPr>
      </w:pPr>
      <w:bookmarkStart w:id="478" w:name="_Toc21631"/>
      <w:bookmarkStart w:id="479" w:name="_Toc23292"/>
      <w:bookmarkStart w:id="480" w:name="_Toc21551"/>
      <w:bookmarkStart w:id="481" w:name="_Toc28525"/>
      <w:bookmarkStart w:id="482" w:name="_Toc41"/>
      <w:r>
        <w:rPr>
          <w:rFonts w:ascii="楷体" w:hAnsi="楷体" w:eastAsia="楷体"/>
          <w:b/>
          <w:sz w:val="24"/>
        </w:rPr>
        <w:t xml:space="preserve">1.3 </w:t>
      </w:r>
      <w:r>
        <w:rPr>
          <w:rFonts w:hint="eastAsia" w:ascii="楷体" w:hAnsi="楷体" w:eastAsia="楷体"/>
          <w:b/>
          <w:sz w:val="24"/>
        </w:rPr>
        <w:t>价款</w:t>
      </w:r>
      <w:bookmarkEnd w:id="478"/>
      <w:bookmarkEnd w:id="479"/>
      <w:bookmarkEnd w:id="480"/>
      <w:bookmarkEnd w:id="481"/>
      <w:bookmarkEnd w:id="482"/>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0"/>
              <w:spacing w:line="560" w:lineRule="exact"/>
              <w:jc w:val="center"/>
              <w:rPr>
                <w:rFonts w:ascii="楷体" w:hAnsi="楷体" w:eastAsia="楷体"/>
                <w:kern w:val="2"/>
                <w:sz w:val="24"/>
                <w:szCs w:val="24"/>
              </w:rPr>
            </w:pPr>
            <w:r>
              <w:rPr>
                <w:rFonts w:hint="eastAsia" w:ascii="楷体" w:hAnsi="楷体" w:eastAsia="楷体"/>
                <w:kern w:val="2"/>
                <w:sz w:val="24"/>
                <w:szCs w:val="24"/>
              </w:rPr>
              <w:t>序号</w:t>
            </w:r>
          </w:p>
        </w:tc>
        <w:tc>
          <w:tcPr>
            <w:tcW w:w="3402" w:type="dxa"/>
            <w:vAlign w:val="center"/>
          </w:tcPr>
          <w:p>
            <w:pPr>
              <w:pStyle w:val="60"/>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分项名称</w:t>
            </w:r>
          </w:p>
        </w:tc>
        <w:tc>
          <w:tcPr>
            <w:tcW w:w="2552" w:type="dxa"/>
            <w:vAlign w:val="center"/>
          </w:tcPr>
          <w:p>
            <w:pPr>
              <w:pStyle w:val="60"/>
              <w:spacing w:line="560" w:lineRule="exact"/>
              <w:jc w:val="center"/>
              <w:rPr>
                <w:rFonts w:ascii="楷体" w:hAnsi="楷体" w:eastAsia="楷体"/>
                <w:kern w:val="2"/>
                <w:sz w:val="24"/>
                <w:szCs w:val="24"/>
              </w:rPr>
            </w:pPr>
            <w:r>
              <w:rPr>
                <w:rFonts w:hint="eastAsia" w:ascii="楷体" w:hAnsi="楷体" w:eastAsia="楷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0"/>
              <w:spacing w:line="560" w:lineRule="exact"/>
              <w:ind w:firstLine="200"/>
              <w:jc w:val="center"/>
              <w:rPr>
                <w:rFonts w:ascii="楷体" w:hAnsi="楷体" w:eastAsia="楷体"/>
                <w:kern w:val="2"/>
                <w:sz w:val="24"/>
                <w:szCs w:val="24"/>
              </w:rPr>
            </w:pPr>
          </w:p>
        </w:tc>
        <w:tc>
          <w:tcPr>
            <w:tcW w:w="3402" w:type="dxa"/>
            <w:vAlign w:val="center"/>
          </w:tcPr>
          <w:p>
            <w:pPr>
              <w:pStyle w:val="60"/>
              <w:spacing w:line="560" w:lineRule="exact"/>
              <w:ind w:firstLine="200"/>
              <w:jc w:val="center"/>
              <w:rPr>
                <w:rFonts w:ascii="楷体" w:hAnsi="楷体" w:eastAsia="楷体"/>
                <w:kern w:val="2"/>
                <w:sz w:val="24"/>
                <w:szCs w:val="24"/>
              </w:rPr>
            </w:pPr>
          </w:p>
        </w:tc>
        <w:tc>
          <w:tcPr>
            <w:tcW w:w="2552" w:type="dxa"/>
            <w:vAlign w:val="center"/>
          </w:tcPr>
          <w:p>
            <w:pPr>
              <w:pStyle w:val="60"/>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0"/>
              <w:spacing w:line="560" w:lineRule="exact"/>
              <w:ind w:firstLine="200"/>
              <w:jc w:val="center"/>
              <w:rPr>
                <w:rFonts w:ascii="楷体" w:hAnsi="楷体" w:eastAsia="楷体"/>
                <w:kern w:val="2"/>
                <w:sz w:val="24"/>
                <w:szCs w:val="24"/>
              </w:rPr>
            </w:pPr>
          </w:p>
        </w:tc>
        <w:tc>
          <w:tcPr>
            <w:tcW w:w="3402" w:type="dxa"/>
            <w:vAlign w:val="center"/>
          </w:tcPr>
          <w:p>
            <w:pPr>
              <w:pStyle w:val="60"/>
              <w:spacing w:line="560" w:lineRule="exact"/>
              <w:ind w:firstLine="200"/>
              <w:jc w:val="center"/>
              <w:rPr>
                <w:rFonts w:ascii="楷体" w:hAnsi="楷体" w:eastAsia="楷体"/>
                <w:kern w:val="2"/>
                <w:sz w:val="24"/>
                <w:szCs w:val="24"/>
              </w:rPr>
            </w:pPr>
          </w:p>
        </w:tc>
        <w:tc>
          <w:tcPr>
            <w:tcW w:w="2552" w:type="dxa"/>
            <w:vAlign w:val="center"/>
          </w:tcPr>
          <w:p>
            <w:pPr>
              <w:pStyle w:val="60"/>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0"/>
              <w:spacing w:line="560" w:lineRule="exact"/>
              <w:ind w:firstLine="200"/>
              <w:jc w:val="center"/>
              <w:rPr>
                <w:rFonts w:ascii="楷体" w:hAnsi="楷体" w:eastAsia="楷体"/>
                <w:kern w:val="2"/>
                <w:sz w:val="24"/>
                <w:szCs w:val="24"/>
              </w:rPr>
            </w:pPr>
          </w:p>
        </w:tc>
        <w:tc>
          <w:tcPr>
            <w:tcW w:w="3402" w:type="dxa"/>
            <w:vAlign w:val="center"/>
          </w:tcPr>
          <w:p>
            <w:pPr>
              <w:pStyle w:val="60"/>
              <w:spacing w:line="560" w:lineRule="exact"/>
              <w:ind w:firstLine="200"/>
              <w:jc w:val="center"/>
              <w:rPr>
                <w:rFonts w:ascii="楷体" w:hAnsi="楷体" w:eastAsia="楷体"/>
                <w:kern w:val="2"/>
                <w:sz w:val="24"/>
                <w:szCs w:val="24"/>
              </w:rPr>
            </w:pPr>
          </w:p>
        </w:tc>
        <w:tc>
          <w:tcPr>
            <w:tcW w:w="2552" w:type="dxa"/>
            <w:vAlign w:val="center"/>
          </w:tcPr>
          <w:p>
            <w:pPr>
              <w:pStyle w:val="60"/>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0"/>
              <w:spacing w:line="560" w:lineRule="exact"/>
              <w:ind w:firstLine="200"/>
              <w:jc w:val="center"/>
              <w:rPr>
                <w:rFonts w:ascii="楷体" w:hAnsi="楷体" w:eastAsia="楷体"/>
                <w:kern w:val="2"/>
                <w:sz w:val="24"/>
                <w:szCs w:val="24"/>
              </w:rPr>
            </w:pPr>
          </w:p>
        </w:tc>
        <w:tc>
          <w:tcPr>
            <w:tcW w:w="3402" w:type="dxa"/>
            <w:vAlign w:val="center"/>
          </w:tcPr>
          <w:p>
            <w:pPr>
              <w:pStyle w:val="60"/>
              <w:spacing w:line="560" w:lineRule="exact"/>
              <w:ind w:firstLine="200"/>
              <w:jc w:val="center"/>
              <w:rPr>
                <w:rFonts w:ascii="楷体" w:hAnsi="楷体" w:eastAsia="楷体"/>
                <w:kern w:val="2"/>
                <w:sz w:val="24"/>
                <w:szCs w:val="24"/>
              </w:rPr>
            </w:pPr>
          </w:p>
        </w:tc>
        <w:tc>
          <w:tcPr>
            <w:tcW w:w="2552" w:type="dxa"/>
            <w:vAlign w:val="center"/>
          </w:tcPr>
          <w:p>
            <w:pPr>
              <w:pStyle w:val="60"/>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0"/>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总价</w:t>
            </w:r>
          </w:p>
        </w:tc>
        <w:tc>
          <w:tcPr>
            <w:tcW w:w="2552" w:type="dxa"/>
            <w:vAlign w:val="center"/>
          </w:tcPr>
          <w:p>
            <w:pPr>
              <w:pStyle w:val="60"/>
              <w:spacing w:line="560" w:lineRule="exact"/>
              <w:ind w:firstLine="200"/>
              <w:jc w:val="center"/>
              <w:rPr>
                <w:rFonts w:ascii="楷体" w:hAnsi="楷体" w:eastAsia="楷体"/>
                <w:kern w:val="2"/>
                <w:sz w:val="24"/>
                <w:szCs w:val="24"/>
              </w:rPr>
            </w:pPr>
          </w:p>
        </w:tc>
      </w:tr>
    </w:tbl>
    <w:p>
      <w:pPr>
        <w:spacing w:line="560" w:lineRule="exact"/>
        <w:ind w:firstLine="482" w:firstLineChars="200"/>
        <w:rPr>
          <w:rFonts w:ascii="楷体" w:hAnsi="楷体" w:eastAsia="楷体"/>
          <w:b/>
          <w:sz w:val="24"/>
        </w:rPr>
      </w:pPr>
      <w:bookmarkStart w:id="483" w:name="_Toc18216"/>
      <w:bookmarkStart w:id="484" w:name="_Toc1814"/>
      <w:bookmarkStart w:id="485" w:name="_Toc15229"/>
      <w:bookmarkStart w:id="486" w:name="_Toc22618"/>
      <w:bookmarkStart w:id="487" w:name="_Toc10340"/>
      <w:r>
        <w:rPr>
          <w:rFonts w:ascii="楷体" w:hAnsi="楷体" w:eastAsia="楷体"/>
          <w:b/>
          <w:sz w:val="24"/>
        </w:rPr>
        <w:t xml:space="preserve">1.4 </w:t>
      </w:r>
      <w:r>
        <w:rPr>
          <w:rFonts w:hint="eastAsia" w:ascii="楷体" w:hAnsi="楷体" w:eastAsia="楷体"/>
          <w:b/>
          <w:sz w:val="24"/>
        </w:rPr>
        <w:t>付款方式和发票开具方式</w:t>
      </w:r>
      <w:bookmarkEnd w:id="483"/>
      <w:bookmarkEnd w:id="484"/>
      <w:bookmarkEnd w:id="485"/>
      <w:bookmarkEnd w:id="486"/>
      <w:bookmarkEnd w:id="487"/>
    </w:p>
    <w:p>
      <w:pPr>
        <w:spacing w:line="560" w:lineRule="exact"/>
        <w:ind w:firstLine="480" w:firstLineChars="200"/>
        <w:rPr>
          <w:rFonts w:ascii="楷体" w:hAnsi="楷体" w:eastAsia="楷体"/>
          <w:sz w:val="24"/>
        </w:rPr>
      </w:pPr>
      <w:r>
        <w:rPr>
          <w:rFonts w:ascii="楷体" w:hAnsi="楷体" w:eastAsia="楷体"/>
          <w:sz w:val="24"/>
        </w:rPr>
        <w:t xml:space="preserve">1.4.1 </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rPr>
          <w:rFonts w:ascii="楷体" w:hAnsi="楷体" w:eastAsia="楷体"/>
          <w:b/>
          <w:sz w:val="24"/>
        </w:rPr>
      </w:pPr>
      <w:bookmarkStart w:id="488" w:name="_Toc30295"/>
      <w:bookmarkStart w:id="489" w:name="_Toc19304"/>
      <w:bookmarkStart w:id="490" w:name="_Toc2846"/>
      <w:bookmarkStart w:id="491" w:name="_Toc30675"/>
      <w:bookmarkStart w:id="492" w:name="_Toc32071"/>
      <w:r>
        <w:rPr>
          <w:rFonts w:ascii="楷体" w:hAnsi="楷体" w:eastAsia="楷体"/>
          <w:b/>
          <w:sz w:val="24"/>
        </w:rPr>
        <w:t xml:space="preserve">1.5 </w:t>
      </w:r>
      <w:r>
        <w:rPr>
          <w:rFonts w:hint="eastAsia" w:ascii="楷体" w:hAnsi="楷体" w:eastAsia="楷体"/>
          <w:b/>
          <w:sz w:val="24"/>
        </w:rPr>
        <w:t>货物交付期限、地点和方式</w:t>
      </w:r>
      <w:bookmarkEnd w:id="488"/>
      <w:bookmarkEnd w:id="489"/>
      <w:bookmarkEnd w:id="490"/>
      <w:bookmarkEnd w:id="491"/>
      <w:bookmarkEnd w:id="492"/>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交付期限：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交付地点：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交付方式：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rPr>
          <w:rFonts w:ascii="楷体" w:hAnsi="楷体" w:eastAsia="楷体"/>
          <w:b/>
          <w:sz w:val="24"/>
        </w:rPr>
      </w:pPr>
      <w:bookmarkStart w:id="493" w:name="_Toc27250"/>
      <w:bookmarkStart w:id="494" w:name="_Toc21423"/>
      <w:bookmarkStart w:id="495" w:name="_Toc19554"/>
      <w:bookmarkStart w:id="496" w:name="_Toc30362"/>
      <w:bookmarkStart w:id="497" w:name="_Toc27215"/>
      <w:r>
        <w:rPr>
          <w:rFonts w:ascii="楷体" w:hAnsi="楷体" w:eastAsia="楷体"/>
          <w:b/>
          <w:sz w:val="24"/>
        </w:rPr>
        <w:t xml:space="preserve">1.6 </w:t>
      </w:r>
      <w:r>
        <w:rPr>
          <w:rFonts w:hint="eastAsia" w:ascii="楷体" w:hAnsi="楷体" w:eastAsia="楷体"/>
          <w:b/>
          <w:sz w:val="24"/>
        </w:rPr>
        <w:t>违约责任</w:t>
      </w:r>
      <w:bookmarkEnd w:id="493"/>
      <w:bookmarkEnd w:id="494"/>
      <w:bookmarkEnd w:id="495"/>
      <w:bookmarkEnd w:id="496"/>
      <w:bookmarkEnd w:id="497"/>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rPr>
          <w:rFonts w:ascii="楷体" w:hAnsi="楷体" w:eastAsia="楷体"/>
          <w:b/>
          <w:sz w:val="24"/>
        </w:rPr>
      </w:pPr>
      <w:bookmarkStart w:id="498" w:name="_Toc15583"/>
      <w:bookmarkStart w:id="499" w:name="_Toc16021"/>
      <w:bookmarkStart w:id="500" w:name="_Toc28375"/>
      <w:bookmarkStart w:id="501" w:name="_Toc1302"/>
      <w:bookmarkStart w:id="502" w:name="_Toc31120"/>
      <w:r>
        <w:rPr>
          <w:rFonts w:ascii="楷体" w:hAnsi="楷体" w:eastAsia="楷体"/>
          <w:b/>
          <w:sz w:val="24"/>
        </w:rPr>
        <w:t xml:space="preserve">1.7 </w:t>
      </w:r>
      <w:r>
        <w:rPr>
          <w:rFonts w:hint="eastAsia" w:ascii="楷体" w:hAnsi="楷体" w:eastAsia="楷体"/>
          <w:b/>
          <w:sz w:val="24"/>
        </w:rPr>
        <w:t>合同争议的解决</w:t>
      </w:r>
      <w:bookmarkEnd w:id="498"/>
      <w:bookmarkEnd w:id="499"/>
      <w:bookmarkEnd w:id="500"/>
      <w:bookmarkEnd w:id="501"/>
      <w:bookmarkEnd w:id="502"/>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rPr>
          <w:rFonts w:ascii="楷体" w:hAnsi="楷体" w:eastAsia="楷体"/>
          <w:b/>
          <w:sz w:val="24"/>
        </w:rPr>
      </w:pPr>
      <w:bookmarkStart w:id="503" w:name="_Toc15322"/>
      <w:bookmarkStart w:id="504" w:name="_Toc7245"/>
      <w:bookmarkStart w:id="505" w:name="_Toc11173"/>
      <w:bookmarkStart w:id="506" w:name="_Toc7933"/>
      <w:bookmarkStart w:id="507" w:name="_Toc25307"/>
      <w:r>
        <w:rPr>
          <w:rFonts w:ascii="楷体" w:hAnsi="楷体" w:eastAsia="楷体"/>
          <w:b/>
          <w:sz w:val="24"/>
        </w:rPr>
        <w:t xml:space="preserve">1.8 </w:t>
      </w:r>
      <w:r>
        <w:rPr>
          <w:rFonts w:hint="eastAsia" w:ascii="楷体" w:hAnsi="楷体" w:eastAsia="楷体"/>
          <w:b/>
          <w:sz w:val="24"/>
        </w:rPr>
        <w:t>合同生效</w:t>
      </w:r>
      <w:bookmarkEnd w:id="503"/>
      <w:bookmarkEnd w:id="504"/>
      <w:bookmarkEnd w:id="505"/>
      <w:bookmarkEnd w:id="506"/>
      <w:bookmarkEnd w:id="507"/>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508" w:name="_Toc331685783"/>
    </w:p>
    <w:p>
      <w:pPr>
        <w:widowControl/>
        <w:spacing w:line="560" w:lineRule="exact"/>
        <w:jc w:val="left"/>
        <w:rPr>
          <w:rFonts w:ascii="楷体" w:hAnsi="楷体" w:eastAsia="楷体"/>
          <w:b/>
        </w:rPr>
      </w:pPr>
    </w:p>
    <w:p>
      <w:pPr>
        <w:widowControl/>
        <w:spacing w:line="560" w:lineRule="exact"/>
        <w:jc w:val="left"/>
        <w:rPr>
          <w:rFonts w:ascii="楷体" w:hAnsi="楷体" w:eastAsia="楷体"/>
          <w:b/>
          <w:kern w:val="0"/>
          <w:sz w:val="24"/>
        </w:rPr>
      </w:pPr>
    </w:p>
    <w:p>
      <w:pPr>
        <w:widowControl/>
        <w:spacing w:line="560" w:lineRule="exact"/>
        <w:jc w:val="left"/>
        <w:rPr>
          <w:rFonts w:ascii="楷体" w:hAnsi="楷体" w:eastAsia="楷体"/>
          <w:b/>
          <w:kern w:val="0"/>
          <w:sz w:val="24"/>
        </w:rPr>
      </w:pPr>
    </w:p>
    <w:p>
      <w:pPr>
        <w:widowControl/>
        <w:spacing w:line="560" w:lineRule="exact"/>
        <w:jc w:val="left"/>
        <w:rPr>
          <w:rFonts w:ascii="楷体" w:hAnsi="楷体" w:eastAsia="楷体"/>
          <w:b/>
          <w:kern w:val="0"/>
          <w:sz w:val="24"/>
        </w:rPr>
      </w:pPr>
    </w:p>
    <w:p>
      <w:pPr>
        <w:widowControl/>
        <w:spacing w:line="560" w:lineRule="exact"/>
        <w:jc w:val="left"/>
        <w:rPr>
          <w:rFonts w:ascii="楷体" w:hAnsi="楷体" w:eastAsia="楷体"/>
          <w:b/>
          <w:kern w:val="0"/>
          <w:sz w:val="24"/>
        </w:rPr>
      </w:pPr>
    </w:p>
    <w:p>
      <w:pPr>
        <w:pStyle w:val="8"/>
        <w:rPr>
          <w:rFonts w:ascii="楷体" w:hAnsi="楷体" w:eastAsia="楷体"/>
          <w:b/>
        </w:rPr>
      </w:pPr>
    </w:p>
    <w:p>
      <w:pPr>
        <w:rPr>
          <w:rFonts w:ascii="楷体" w:hAnsi="楷体" w:eastAsia="楷体"/>
          <w:b/>
          <w:kern w:val="0"/>
          <w:sz w:val="24"/>
        </w:rPr>
      </w:pPr>
    </w:p>
    <w:p>
      <w:pPr>
        <w:pStyle w:val="8"/>
        <w:rPr>
          <w:rFonts w:ascii="楷体" w:hAnsi="楷体" w:eastAsia="楷体"/>
          <w:b/>
        </w:rPr>
      </w:pPr>
    </w:p>
    <w:p>
      <w:pPr>
        <w:rPr>
          <w:rFonts w:ascii="楷体" w:hAnsi="楷体" w:eastAsia="楷体"/>
          <w:b/>
          <w:kern w:val="0"/>
          <w:sz w:val="24"/>
        </w:rPr>
      </w:pPr>
    </w:p>
    <w:p>
      <w:pPr>
        <w:pStyle w:val="8"/>
      </w:pPr>
    </w:p>
    <w:p>
      <w:pPr>
        <w:widowControl/>
        <w:spacing w:line="560" w:lineRule="exact"/>
        <w:jc w:val="left"/>
        <w:rPr>
          <w:rFonts w:ascii="楷体" w:hAnsi="楷体" w:eastAsia="楷体"/>
          <w:b/>
          <w:kern w:val="0"/>
          <w:sz w:val="24"/>
        </w:rPr>
      </w:pPr>
    </w:p>
    <w:p>
      <w:pPr>
        <w:pStyle w:val="66"/>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508"/>
    </w:p>
    <w:p>
      <w:pPr>
        <w:spacing w:line="520" w:lineRule="exact"/>
        <w:ind w:firstLine="482" w:firstLineChars="200"/>
        <w:rPr>
          <w:rFonts w:ascii="楷体" w:hAnsi="楷体" w:eastAsia="楷体"/>
          <w:b/>
          <w:sz w:val="24"/>
        </w:rPr>
      </w:pPr>
      <w:bookmarkStart w:id="509" w:name="_Ref467379094"/>
      <w:bookmarkStart w:id="510" w:name="_Ref467379101"/>
      <w:bookmarkStart w:id="511" w:name="_Toc6177"/>
      <w:bookmarkStart w:id="512" w:name="_Toc19614"/>
      <w:bookmarkStart w:id="513" w:name="_Ref467378463"/>
      <w:bookmarkStart w:id="514" w:name="_Ref467379109"/>
      <w:bookmarkStart w:id="515" w:name="_Toc4031"/>
      <w:bookmarkStart w:id="516" w:name="_Ref467379205"/>
      <w:bookmarkStart w:id="517" w:name="_Toc279701240"/>
      <w:bookmarkStart w:id="518" w:name="_Ref467379195"/>
      <w:bookmarkStart w:id="519" w:name="_Ref467378499"/>
      <w:bookmarkStart w:id="520" w:name="_Toc28763"/>
      <w:bookmarkStart w:id="521" w:name="_Toc487900349"/>
      <w:bookmarkStart w:id="522" w:name="_Toc259093669"/>
      <w:bookmarkStart w:id="523" w:name="_Toc16917"/>
      <w:bookmarkStart w:id="524" w:name="_Ref467379214"/>
      <w:bookmarkStart w:id="525" w:name="_Ref467378404"/>
      <w:bookmarkStart w:id="526" w:name="_Ref467379225"/>
      <w:r>
        <w:rPr>
          <w:rFonts w:ascii="楷体" w:hAnsi="楷体" w:eastAsia="楷体"/>
          <w:b/>
          <w:sz w:val="24"/>
        </w:rPr>
        <w:t xml:space="preserve">2.1 </w:t>
      </w:r>
      <w:r>
        <w:rPr>
          <w:rFonts w:hint="eastAsia" w:ascii="楷体" w:hAnsi="楷体" w:eastAsia="楷体"/>
          <w:b/>
          <w:sz w:val="24"/>
        </w:rPr>
        <w:t>定义</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spacing w:line="52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2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2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2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“货物”系指中标供应商根据合同约定应向采购人交付的一切各种形态和种类的物品，包括原材料、燃料、设备、机械、仪表、备件、计算机软件、产品等，并包括工具、手册等其他相关资料。</w:t>
      </w:r>
    </w:p>
    <w:p>
      <w:pPr>
        <w:spacing w:line="520" w:lineRule="exact"/>
        <w:ind w:firstLine="480" w:firstLineChars="200"/>
        <w:rPr>
          <w:rFonts w:ascii="楷体" w:hAnsi="楷体" w:eastAsia="楷体"/>
          <w:sz w:val="24"/>
        </w:rPr>
      </w:pPr>
      <w:bookmarkStart w:id="527"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527"/>
      <w:r>
        <w:rPr>
          <w:rFonts w:hint="eastAsia" w:ascii="楷体" w:hAnsi="楷体" w:eastAsia="楷体"/>
          <w:sz w:val="24"/>
        </w:rPr>
        <w:t>；采购人委托采购代理机构代表其与乙方签订合同的，采购人的授权委托书作为合同附件。</w:t>
      </w:r>
    </w:p>
    <w:p>
      <w:pPr>
        <w:spacing w:line="520" w:lineRule="exact"/>
        <w:ind w:firstLine="480" w:firstLineChars="200"/>
        <w:rPr>
          <w:rFonts w:ascii="楷体" w:hAnsi="楷体" w:eastAsia="楷体"/>
          <w:sz w:val="24"/>
        </w:rPr>
      </w:pPr>
      <w:bookmarkStart w:id="528" w:name="_Ref467379400"/>
      <w:r>
        <w:rPr>
          <w:rFonts w:ascii="楷体" w:hAnsi="楷体" w:eastAsia="楷体"/>
          <w:sz w:val="24"/>
        </w:rPr>
        <w:t xml:space="preserve">2.1.5 </w:t>
      </w:r>
      <w:r>
        <w:rPr>
          <w:rFonts w:hint="eastAsia" w:ascii="楷体" w:hAnsi="楷体" w:eastAsia="楷体"/>
          <w:sz w:val="24"/>
        </w:rPr>
        <w:t>“乙方”系指根据合同约定交付货物的中标供应商</w:t>
      </w:r>
      <w:bookmarkEnd w:id="528"/>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20" w:lineRule="exact"/>
        <w:ind w:firstLine="480" w:firstLineChars="200"/>
        <w:rPr>
          <w:rFonts w:ascii="楷体" w:hAnsi="楷体" w:eastAsia="楷体"/>
          <w:sz w:val="24"/>
        </w:rPr>
      </w:pPr>
      <w:bookmarkStart w:id="529" w:name="_Ref467379436"/>
      <w:r>
        <w:rPr>
          <w:rFonts w:ascii="楷体" w:hAnsi="楷体" w:eastAsia="楷体"/>
          <w:sz w:val="24"/>
        </w:rPr>
        <w:t xml:space="preserve">2.1.6 </w:t>
      </w:r>
      <w:r>
        <w:rPr>
          <w:rFonts w:hint="eastAsia" w:ascii="楷体" w:hAnsi="楷体" w:eastAsia="楷体"/>
          <w:sz w:val="24"/>
        </w:rPr>
        <w:t>“现场”系指合同约定货物将要运至或者安装的地点。</w:t>
      </w:r>
      <w:bookmarkEnd w:id="529"/>
    </w:p>
    <w:p>
      <w:pPr>
        <w:spacing w:line="520" w:lineRule="exact"/>
        <w:ind w:firstLine="482" w:firstLineChars="200"/>
        <w:rPr>
          <w:rFonts w:ascii="楷体" w:hAnsi="楷体" w:eastAsia="楷体"/>
          <w:b/>
          <w:sz w:val="24"/>
        </w:rPr>
      </w:pPr>
      <w:bookmarkStart w:id="530" w:name="_Toc487900350"/>
      <w:bookmarkStart w:id="531" w:name="_Toc32504"/>
      <w:bookmarkStart w:id="532" w:name="_Toc3536"/>
      <w:bookmarkStart w:id="533" w:name="_Toc259093670"/>
      <w:bookmarkStart w:id="534" w:name="_Toc13336"/>
      <w:bookmarkStart w:id="535" w:name="_Toc279701241"/>
      <w:bookmarkStart w:id="536" w:name="_Toc19075"/>
      <w:bookmarkStart w:id="537" w:name="_Toc27635"/>
      <w:r>
        <w:rPr>
          <w:rFonts w:ascii="楷体" w:hAnsi="楷体" w:eastAsia="楷体"/>
          <w:b/>
          <w:sz w:val="24"/>
        </w:rPr>
        <w:t xml:space="preserve">2.2 </w:t>
      </w:r>
      <w:r>
        <w:rPr>
          <w:rFonts w:hint="eastAsia" w:ascii="楷体" w:hAnsi="楷体" w:eastAsia="楷体"/>
          <w:b/>
          <w:sz w:val="24"/>
        </w:rPr>
        <w:t>技术规范</w:t>
      </w:r>
      <w:bookmarkEnd w:id="530"/>
      <w:bookmarkEnd w:id="531"/>
      <w:bookmarkEnd w:id="532"/>
      <w:bookmarkEnd w:id="533"/>
      <w:bookmarkEnd w:id="534"/>
      <w:bookmarkEnd w:id="535"/>
      <w:bookmarkEnd w:id="536"/>
      <w:bookmarkEnd w:id="537"/>
    </w:p>
    <w:p>
      <w:pPr>
        <w:spacing w:line="520" w:lineRule="exact"/>
        <w:ind w:firstLine="480" w:firstLineChars="200"/>
        <w:rPr>
          <w:rFonts w:ascii="楷体" w:hAnsi="楷体" w:eastAsia="楷体"/>
          <w:sz w:val="24"/>
        </w:rPr>
      </w:pPr>
      <w:r>
        <w:rPr>
          <w:rFonts w:hint="eastAsia" w:ascii="楷体" w:hAnsi="楷体" w:eastAsia="楷体"/>
          <w:sz w:val="24"/>
        </w:rPr>
        <w:t>货物所应遵守的技术规范应与采购文件规定的技术规范和技术规范附件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20" w:lineRule="exact"/>
        <w:ind w:firstLine="482" w:firstLineChars="200"/>
        <w:rPr>
          <w:rFonts w:ascii="楷体" w:hAnsi="楷体" w:eastAsia="楷体"/>
          <w:b/>
          <w:sz w:val="24"/>
        </w:rPr>
      </w:pPr>
      <w:bookmarkStart w:id="538" w:name="_Toc279701242"/>
      <w:bookmarkStart w:id="539" w:name="_Toc22986"/>
      <w:bookmarkStart w:id="540" w:name="_Toc9829"/>
      <w:bookmarkStart w:id="541" w:name="_Toc31634"/>
      <w:bookmarkStart w:id="542" w:name="_Toc487900351"/>
      <w:bookmarkStart w:id="543" w:name="_Toc29043"/>
      <w:bookmarkStart w:id="544" w:name="_Toc259093671"/>
      <w:bookmarkStart w:id="545" w:name="_Toc27853"/>
      <w:r>
        <w:rPr>
          <w:rFonts w:ascii="楷体" w:hAnsi="楷体" w:eastAsia="楷体"/>
          <w:b/>
          <w:sz w:val="24"/>
        </w:rPr>
        <w:t xml:space="preserve">2.3 </w:t>
      </w:r>
      <w:r>
        <w:rPr>
          <w:rFonts w:hint="eastAsia" w:ascii="楷体" w:hAnsi="楷体" w:eastAsia="楷体"/>
          <w:b/>
          <w:sz w:val="24"/>
        </w:rPr>
        <w:t>知识产权</w:t>
      </w:r>
      <w:bookmarkEnd w:id="538"/>
      <w:bookmarkEnd w:id="539"/>
      <w:bookmarkEnd w:id="540"/>
      <w:bookmarkEnd w:id="541"/>
      <w:bookmarkEnd w:id="542"/>
      <w:bookmarkEnd w:id="543"/>
      <w:bookmarkEnd w:id="544"/>
      <w:bookmarkEnd w:id="545"/>
    </w:p>
    <w:p>
      <w:pPr>
        <w:spacing w:line="52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20" w:lineRule="exact"/>
        <w:ind w:firstLine="480" w:firstLineChars="200"/>
        <w:rPr>
          <w:rFonts w:ascii="楷体" w:hAnsi="楷体" w:eastAsia="楷体"/>
          <w:sz w:val="24"/>
        </w:rPr>
      </w:pPr>
      <w:r>
        <w:rPr>
          <w:rFonts w:ascii="楷体" w:hAnsi="楷体" w:eastAsia="楷体"/>
          <w:sz w:val="24"/>
        </w:rPr>
        <w:t>2.3.2</w:t>
      </w:r>
      <w:r>
        <w:rPr>
          <w:rFonts w:hint="eastAsia" w:ascii="楷体" w:hAnsi="楷体" w:eastAsia="楷体"/>
          <w:sz w:val="24"/>
        </w:rPr>
        <w:t>具有知识产权的计算机软件等货物的知识产权归属，详见</w:t>
      </w:r>
      <w:r>
        <w:rPr>
          <w:rFonts w:hint="eastAsia" w:ascii="楷体" w:hAnsi="楷体" w:eastAsia="楷体"/>
          <w:b/>
          <w:i/>
          <w:sz w:val="24"/>
          <w:u w:val="single"/>
        </w:rPr>
        <w:t>合同专用条款</w:t>
      </w:r>
      <w:r>
        <w:rPr>
          <w:rFonts w:hint="eastAsia" w:ascii="楷体" w:hAnsi="楷体" w:eastAsia="楷体"/>
          <w:sz w:val="24"/>
        </w:rPr>
        <w:t>。</w:t>
      </w:r>
    </w:p>
    <w:p>
      <w:pPr>
        <w:spacing w:line="520" w:lineRule="exact"/>
        <w:ind w:firstLine="482" w:firstLineChars="200"/>
        <w:rPr>
          <w:rFonts w:ascii="楷体" w:hAnsi="楷体" w:eastAsia="楷体"/>
          <w:b/>
          <w:sz w:val="24"/>
        </w:rPr>
      </w:pPr>
      <w:bookmarkStart w:id="546" w:name="_Toc29149"/>
      <w:bookmarkStart w:id="547" w:name="_Toc31023"/>
      <w:bookmarkStart w:id="548" w:name="_Toc4194"/>
      <w:bookmarkStart w:id="549" w:name="_Toc11932"/>
      <w:bookmarkStart w:id="550" w:name="_Toc10469"/>
      <w:r>
        <w:rPr>
          <w:rFonts w:ascii="楷体" w:hAnsi="楷体" w:eastAsia="楷体"/>
          <w:b/>
          <w:sz w:val="24"/>
        </w:rPr>
        <w:t xml:space="preserve">2.4 </w:t>
      </w:r>
      <w:r>
        <w:rPr>
          <w:rFonts w:hint="eastAsia" w:ascii="楷体" w:hAnsi="楷体" w:eastAsia="楷体"/>
          <w:b/>
          <w:sz w:val="24"/>
        </w:rPr>
        <w:t>包装和装运</w:t>
      </w:r>
      <w:bookmarkEnd w:id="546"/>
      <w:bookmarkEnd w:id="547"/>
      <w:bookmarkEnd w:id="548"/>
      <w:bookmarkEnd w:id="549"/>
      <w:bookmarkEnd w:id="550"/>
    </w:p>
    <w:p>
      <w:pPr>
        <w:spacing w:line="520" w:lineRule="exact"/>
        <w:ind w:firstLine="480" w:firstLineChars="200"/>
        <w:rPr>
          <w:rFonts w:ascii="楷体" w:hAnsi="楷体" w:eastAsia="楷体"/>
          <w:sz w:val="24"/>
        </w:rPr>
      </w:pPr>
      <w:r>
        <w:rPr>
          <w:rFonts w:ascii="楷体" w:hAnsi="楷体" w:eastAsia="楷体"/>
          <w:sz w:val="24"/>
        </w:rPr>
        <w:t>2.4.1</w:t>
      </w:r>
      <w:r>
        <w:rPr>
          <w:rFonts w:hint="eastAsia" w:ascii="楷体" w:hAnsi="楷体" w:eastAsia="楷体"/>
          <w:sz w:val="24"/>
        </w:rPr>
        <w:t>除</w:t>
      </w:r>
      <w:r>
        <w:rPr>
          <w:rFonts w:hint="eastAsia" w:ascii="楷体" w:hAnsi="楷体" w:eastAsia="楷体"/>
          <w:b/>
          <w:i/>
          <w:sz w:val="24"/>
          <w:u w:val="single"/>
        </w:rPr>
        <w:t>合同专用条款</w:t>
      </w:r>
      <w:r>
        <w:rPr>
          <w:rFonts w:hint="eastAsia" w:ascii="楷体" w:hAnsi="楷体" w:eastAsia="楷体"/>
          <w:sz w:val="24"/>
        </w:rPr>
        <w:t>另有约定外</w:t>
      </w:r>
      <w:r>
        <w:rPr>
          <w:rFonts w:ascii="楷体" w:hAnsi="楷体" w:eastAsia="楷体"/>
          <w:sz w:val="24"/>
        </w:rPr>
        <w:t>,</w:t>
      </w:r>
      <w:r>
        <w:rPr>
          <w:rFonts w:hint="eastAsia" w:ascii="楷体" w:hAnsi="楷体" w:eastAsia="楷体"/>
          <w:sz w:val="24"/>
        </w:rPr>
        <w:t>乙方交付的全部货物</w:t>
      </w:r>
      <w:r>
        <w:rPr>
          <w:rFonts w:ascii="楷体" w:hAnsi="楷体" w:eastAsia="楷体"/>
          <w:sz w:val="24"/>
        </w:rPr>
        <w:t>,</w:t>
      </w:r>
      <w:r>
        <w:rPr>
          <w:rFonts w:hint="eastAsia" w:ascii="楷体" w:hAnsi="楷体" w:eastAsia="楷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2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装运货物的要求和通知，详见</w:t>
      </w:r>
      <w:r>
        <w:rPr>
          <w:rFonts w:hint="eastAsia" w:ascii="楷体" w:hAnsi="楷体" w:eastAsia="楷体"/>
          <w:b/>
          <w:i/>
          <w:sz w:val="24"/>
          <w:u w:val="single"/>
        </w:rPr>
        <w:t>合同专用条款</w:t>
      </w:r>
      <w:r>
        <w:rPr>
          <w:rFonts w:hint="eastAsia" w:ascii="楷体" w:hAnsi="楷体" w:eastAsia="楷体"/>
          <w:sz w:val="24"/>
        </w:rPr>
        <w:t>。</w:t>
      </w:r>
    </w:p>
    <w:p>
      <w:pPr>
        <w:spacing w:line="520" w:lineRule="exact"/>
        <w:ind w:firstLine="482" w:firstLineChars="200"/>
        <w:rPr>
          <w:rFonts w:ascii="楷体" w:hAnsi="楷体" w:eastAsia="楷体"/>
          <w:b/>
          <w:sz w:val="24"/>
        </w:rPr>
      </w:pPr>
      <w:bookmarkStart w:id="551" w:name="_Toc487900354"/>
      <w:bookmarkStart w:id="552" w:name="_Ref467379536"/>
      <w:bookmarkStart w:id="553" w:name="_Ref467378591"/>
      <w:bookmarkStart w:id="554" w:name="_Ref467379542"/>
      <w:bookmarkStart w:id="555" w:name="_Toc259093674"/>
      <w:bookmarkStart w:id="556" w:name="_Ref467379527"/>
      <w:bookmarkStart w:id="557" w:name="_Ref467378541"/>
      <w:bookmarkStart w:id="558" w:name="_Toc279701245"/>
      <w:bookmarkStart w:id="559" w:name="_Toc20354"/>
      <w:bookmarkStart w:id="560" w:name="_Toc2603"/>
      <w:bookmarkStart w:id="561" w:name="_Toc19074"/>
      <w:bookmarkStart w:id="562" w:name="_Toc30272"/>
      <w:bookmarkStart w:id="563" w:name="_Toc26182"/>
      <w:r>
        <w:rPr>
          <w:rFonts w:ascii="楷体" w:hAnsi="楷体" w:eastAsia="楷体"/>
          <w:b/>
          <w:sz w:val="24"/>
        </w:rPr>
        <w:t>2.</w:t>
      </w:r>
      <w:bookmarkEnd w:id="551"/>
      <w:bookmarkEnd w:id="552"/>
      <w:bookmarkEnd w:id="553"/>
      <w:bookmarkEnd w:id="554"/>
      <w:bookmarkEnd w:id="555"/>
      <w:bookmarkEnd w:id="556"/>
      <w:bookmarkEnd w:id="557"/>
      <w:bookmarkEnd w:id="558"/>
      <w:r>
        <w:rPr>
          <w:rFonts w:ascii="楷体" w:hAnsi="楷体" w:eastAsia="楷体"/>
          <w:b/>
          <w:sz w:val="24"/>
        </w:rPr>
        <w:t xml:space="preserve">5 </w:t>
      </w:r>
      <w:r>
        <w:rPr>
          <w:rFonts w:hint="eastAsia" w:ascii="楷体" w:hAnsi="楷体" w:eastAsia="楷体"/>
          <w:b/>
          <w:sz w:val="24"/>
        </w:rPr>
        <w:t>履约检查和问题反馈</w:t>
      </w:r>
      <w:bookmarkEnd w:id="559"/>
      <w:bookmarkEnd w:id="560"/>
      <w:bookmarkEnd w:id="561"/>
      <w:bookmarkEnd w:id="562"/>
      <w:bookmarkEnd w:id="563"/>
    </w:p>
    <w:p>
      <w:pPr>
        <w:spacing w:line="520" w:lineRule="exact"/>
        <w:ind w:firstLine="480" w:firstLineChars="200"/>
        <w:rPr>
          <w:rFonts w:ascii="楷体" w:hAnsi="楷体" w:eastAsia="楷体"/>
          <w:sz w:val="24"/>
        </w:rPr>
      </w:pPr>
      <w:bookmarkStart w:id="564" w:name="_Ref467379657"/>
      <w:r>
        <w:rPr>
          <w:rFonts w:ascii="楷体" w:hAnsi="楷体" w:eastAsia="楷体"/>
          <w:sz w:val="24"/>
        </w:rPr>
        <w:t>2.5.1</w:t>
      </w:r>
      <w:bookmarkEnd w:id="564"/>
      <w:bookmarkStart w:id="565" w:name="_Toc186431854"/>
      <w:bookmarkStart w:id="566" w:name="_Ref467379807"/>
      <w:bookmarkStart w:id="567" w:name="_Toc259093676"/>
      <w:bookmarkStart w:id="568" w:name="_Toc487900357"/>
      <w:bookmarkStart w:id="569" w:name="_Toc279701247"/>
      <w:bookmarkStart w:id="570" w:name="_Ref467379793"/>
      <w:r>
        <w:rPr>
          <w:rFonts w:hint="eastAsia" w:ascii="楷体" w:hAnsi="楷体" w:eastAsia="楷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20" w:lineRule="exact"/>
        <w:ind w:firstLine="480" w:firstLineChars="200"/>
        <w:rPr>
          <w:rFonts w:ascii="楷体" w:hAnsi="楷体" w:eastAsia="楷体"/>
          <w:sz w:val="24"/>
        </w:rPr>
      </w:pPr>
      <w:r>
        <w:rPr>
          <w:rFonts w:ascii="楷体" w:hAnsi="楷体" w:eastAsia="楷体"/>
          <w:sz w:val="24"/>
        </w:rPr>
        <w:t xml:space="preserve">2.5.2 </w:t>
      </w:r>
      <w:r>
        <w:rPr>
          <w:rFonts w:hint="eastAsia" w:ascii="楷体" w:hAnsi="楷体" w:eastAsia="楷体"/>
          <w:sz w:val="24"/>
        </w:rPr>
        <w:t>合同履行期间，甲方有权将履行过程中出现的问题反馈给乙方，双方当事人应以书面形式约定需要完善和改进的内容</w:t>
      </w:r>
      <w:bookmarkEnd w:id="565"/>
      <w:bookmarkStart w:id="571" w:name="_Toc186431855"/>
      <w:r>
        <w:rPr>
          <w:rFonts w:hint="eastAsia" w:ascii="楷体" w:hAnsi="楷体" w:eastAsia="楷体"/>
          <w:sz w:val="24"/>
        </w:rPr>
        <w:t>。</w:t>
      </w:r>
    </w:p>
    <w:bookmarkEnd w:id="571"/>
    <w:p>
      <w:pPr>
        <w:spacing w:line="520" w:lineRule="exact"/>
        <w:ind w:firstLine="482" w:firstLineChars="200"/>
        <w:rPr>
          <w:rFonts w:ascii="楷体" w:hAnsi="楷体" w:eastAsia="楷体"/>
          <w:b/>
          <w:sz w:val="24"/>
        </w:rPr>
      </w:pPr>
      <w:bookmarkStart w:id="572" w:name="_Toc6765"/>
      <w:bookmarkStart w:id="573" w:name="_Toc28451"/>
      <w:bookmarkStart w:id="574" w:name="_Toc19219"/>
      <w:bookmarkStart w:id="575" w:name="_Toc7836"/>
      <w:bookmarkStart w:id="576" w:name="_Toc887"/>
      <w:r>
        <w:rPr>
          <w:rFonts w:ascii="楷体" w:hAnsi="楷体" w:eastAsia="楷体"/>
          <w:b/>
          <w:sz w:val="24"/>
        </w:rPr>
        <w:t xml:space="preserve">2.6 </w:t>
      </w:r>
      <w:r>
        <w:rPr>
          <w:rFonts w:hint="eastAsia" w:ascii="楷体" w:hAnsi="楷体" w:eastAsia="楷体"/>
          <w:b/>
          <w:sz w:val="24"/>
        </w:rPr>
        <w:t>结算方式和付款条件</w:t>
      </w:r>
      <w:bookmarkEnd w:id="566"/>
      <w:bookmarkEnd w:id="567"/>
      <w:bookmarkEnd w:id="568"/>
      <w:bookmarkEnd w:id="569"/>
      <w:bookmarkEnd w:id="570"/>
      <w:bookmarkEnd w:id="572"/>
      <w:bookmarkEnd w:id="573"/>
      <w:bookmarkEnd w:id="574"/>
      <w:bookmarkEnd w:id="575"/>
      <w:bookmarkEnd w:id="576"/>
    </w:p>
    <w:p>
      <w:pPr>
        <w:spacing w:line="52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20" w:lineRule="exact"/>
        <w:ind w:firstLine="482" w:firstLineChars="200"/>
        <w:rPr>
          <w:rFonts w:ascii="楷体" w:hAnsi="楷体" w:eastAsia="楷体"/>
          <w:b/>
          <w:sz w:val="24"/>
        </w:rPr>
      </w:pPr>
      <w:bookmarkStart w:id="577" w:name="_Ref467379863"/>
      <w:bookmarkStart w:id="578" w:name="_Toc259093677"/>
      <w:bookmarkStart w:id="579" w:name="_Ref467379923"/>
      <w:bookmarkStart w:id="580" w:name="_Ref467379852"/>
      <w:bookmarkStart w:id="581" w:name="_Toc487900358"/>
      <w:bookmarkStart w:id="582" w:name="_Toc279701248"/>
      <w:bookmarkStart w:id="583" w:name="_Toc25713"/>
      <w:bookmarkStart w:id="584" w:name="_Toc16070"/>
      <w:bookmarkStart w:id="585" w:name="_Toc3225"/>
      <w:bookmarkStart w:id="586" w:name="_Toc16110"/>
      <w:bookmarkStart w:id="587" w:name="_Toc774"/>
      <w:r>
        <w:rPr>
          <w:rFonts w:ascii="楷体" w:hAnsi="楷体" w:eastAsia="楷体"/>
          <w:b/>
          <w:sz w:val="24"/>
        </w:rPr>
        <w:t xml:space="preserve">2.7 </w:t>
      </w:r>
      <w:r>
        <w:rPr>
          <w:rFonts w:hint="eastAsia" w:ascii="楷体" w:hAnsi="楷体" w:eastAsia="楷体"/>
          <w:b/>
          <w:sz w:val="24"/>
        </w:rPr>
        <w:t>技术资料</w:t>
      </w:r>
      <w:bookmarkEnd w:id="577"/>
      <w:bookmarkEnd w:id="578"/>
      <w:bookmarkEnd w:id="579"/>
      <w:bookmarkEnd w:id="580"/>
      <w:bookmarkEnd w:id="581"/>
      <w:bookmarkEnd w:id="582"/>
      <w:r>
        <w:rPr>
          <w:rFonts w:hint="eastAsia" w:ascii="楷体" w:hAnsi="楷体" w:eastAsia="楷体"/>
          <w:b/>
          <w:sz w:val="24"/>
        </w:rPr>
        <w:t>和保密义务</w:t>
      </w:r>
      <w:bookmarkEnd w:id="583"/>
      <w:bookmarkEnd w:id="584"/>
      <w:bookmarkEnd w:id="585"/>
      <w:bookmarkEnd w:id="586"/>
      <w:bookmarkEnd w:id="587"/>
    </w:p>
    <w:p>
      <w:pPr>
        <w:spacing w:line="52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乙方有权依据合同约定和项目需要，向甲方了解有关情况，调阅有关资料等，甲方应予积极配合；</w:t>
      </w:r>
    </w:p>
    <w:p>
      <w:pPr>
        <w:spacing w:line="52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乙方有义务妥善保管和保护由甲方提供的前款信息和资料等；</w:t>
      </w:r>
    </w:p>
    <w:p>
      <w:pPr>
        <w:spacing w:line="520" w:lineRule="exact"/>
        <w:ind w:firstLine="480" w:firstLineChars="200"/>
        <w:rPr>
          <w:rFonts w:ascii="楷体" w:hAnsi="楷体" w:eastAsia="楷体"/>
          <w:sz w:val="24"/>
        </w:rPr>
      </w:pPr>
      <w:r>
        <w:rPr>
          <w:rFonts w:ascii="楷体" w:hAnsi="楷体" w:eastAsia="楷体"/>
          <w:sz w:val="24"/>
        </w:rPr>
        <w:t xml:space="preserve">2.7.3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20" w:lineRule="exact"/>
        <w:ind w:firstLine="482" w:firstLineChars="200"/>
        <w:rPr>
          <w:rFonts w:ascii="楷体" w:hAnsi="楷体" w:eastAsia="楷体"/>
          <w:b/>
          <w:sz w:val="24"/>
        </w:rPr>
      </w:pPr>
      <w:bookmarkStart w:id="588" w:name="_Toc13846"/>
      <w:bookmarkStart w:id="589" w:name="_Toc11864"/>
      <w:bookmarkStart w:id="590" w:name="_Toc7860"/>
      <w:r>
        <w:rPr>
          <w:rFonts w:ascii="楷体" w:hAnsi="楷体" w:eastAsia="楷体"/>
          <w:b/>
          <w:sz w:val="24"/>
        </w:rPr>
        <w:t xml:space="preserve">2.8 </w:t>
      </w:r>
      <w:r>
        <w:rPr>
          <w:rFonts w:hint="eastAsia" w:ascii="楷体" w:hAnsi="楷体" w:eastAsia="楷体"/>
          <w:b/>
          <w:sz w:val="24"/>
        </w:rPr>
        <w:t>质量保证</w:t>
      </w:r>
      <w:bookmarkEnd w:id="588"/>
      <w:bookmarkEnd w:id="589"/>
      <w:bookmarkEnd w:id="590"/>
    </w:p>
    <w:p>
      <w:pPr>
        <w:spacing w:line="520" w:lineRule="exact"/>
        <w:ind w:firstLine="480" w:firstLineChars="200"/>
        <w:rPr>
          <w:rFonts w:ascii="楷体" w:hAnsi="楷体" w:eastAsia="楷体"/>
          <w:sz w:val="24"/>
        </w:rPr>
      </w:pPr>
      <w:r>
        <w:rPr>
          <w:rFonts w:ascii="楷体" w:hAnsi="楷体" w:eastAsia="楷体"/>
          <w:sz w:val="24"/>
        </w:rPr>
        <w:t xml:space="preserve">2.8.1 </w:t>
      </w:r>
      <w:r>
        <w:rPr>
          <w:rFonts w:hint="eastAsia" w:ascii="楷体" w:hAnsi="楷体" w:eastAsia="楷体"/>
          <w:sz w:val="24"/>
        </w:rPr>
        <w:t>乙方应建立和完善履行合同的内部质量保证体系，并提供相关内部规章制度给甲方，以便甲方进行监督检查；</w:t>
      </w:r>
    </w:p>
    <w:p>
      <w:pPr>
        <w:spacing w:line="520" w:lineRule="exact"/>
        <w:ind w:firstLine="480" w:firstLineChars="200"/>
        <w:rPr>
          <w:rFonts w:ascii="楷体" w:hAnsi="楷体" w:eastAsia="楷体"/>
          <w:sz w:val="24"/>
        </w:rPr>
      </w:pPr>
      <w:r>
        <w:rPr>
          <w:rFonts w:ascii="楷体" w:hAnsi="楷体" w:eastAsia="楷体"/>
          <w:sz w:val="24"/>
        </w:rPr>
        <w:t xml:space="preserve">2.8.2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20" w:lineRule="exact"/>
        <w:ind w:firstLine="482" w:firstLineChars="200"/>
        <w:rPr>
          <w:rFonts w:ascii="楷体" w:hAnsi="楷体" w:eastAsia="楷体"/>
          <w:b/>
          <w:sz w:val="24"/>
        </w:rPr>
      </w:pPr>
      <w:bookmarkStart w:id="591" w:name="_Toc20432"/>
      <w:bookmarkStart w:id="592" w:name="_Toc11450"/>
      <w:bookmarkStart w:id="593" w:name="_Toc17244"/>
      <w:bookmarkStart w:id="594" w:name="_Toc487900362"/>
      <w:bookmarkStart w:id="595" w:name="_Toc279701252"/>
      <w:bookmarkStart w:id="596" w:name="_Toc259093681"/>
      <w:r>
        <w:rPr>
          <w:rFonts w:ascii="楷体" w:hAnsi="楷体" w:eastAsia="楷体"/>
          <w:b/>
          <w:sz w:val="24"/>
        </w:rPr>
        <w:t xml:space="preserve">2.9 </w:t>
      </w:r>
      <w:r>
        <w:rPr>
          <w:rFonts w:hint="eastAsia" w:ascii="楷体" w:hAnsi="楷体" w:eastAsia="楷体"/>
          <w:b/>
          <w:sz w:val="24"/>
        </w:rPr>
        <w:t>货物的风险负担</w:t>
      </w:r>
      <w:bookmarkEnd w:id="591"/>
      <w:bookmarkEnd w:id="592"/>
      <w:bookmarkEnd w:id="593"/>
    </w:p>
    <w:p>
      <w:pPr>
        <w:spacing w:line="520" w:lineRule="exact"/>
        <w:ind w:firstLine="480" w:firstLineChars="200"/>
        <w:rPr>
          <w:rFonts w:ascii="楷体" w:hAnsi="楷体" w:eastAsia="楷体"/>
          <w:b/>
          <w:sz w:val="24"/>
        </w:rPr>
      </w:pPr>
      <w:r>
        <w:rPr>
          <w:rFonts w:hint="eastAsia" w:ascii="楷体" w:hAnsi="楷体" w:eastAsia="楷体"/>
          <w:sz w:val="24"/>
        </w:rPr>
        <w:t>货物或者在途货物或者交付给第一承运人后的货物毁损、灭失的风险负担详见</w:t>
      </w:r>
      <w:r>
        <w:rPr>
          <w:rFonts w:hint="eastAsia" w:ascii="楷体" w:hAnsi="楷体" w:eastAsia="楷体"/>
          <w:b/>
          <w:i/>
          <w:sz w:val="24"/>
          <w:u w:val="single"/>
        </w:rPr>
        <w:t>合同专用条款</w:t>
      </w:r>
      <w:r>
        <w:rPr>
          <w:rFonts w:hint="eastAsia" w:ascii="楷体" w:hAnsi="楷体" w:eastAsia="楷体"/>
          <w:sz w:val="24"/>
        </w:rPr>
        <w:t>。</w:t>
      </w:r>
    </w:p>
    <w:p>
      <w:pPr>
        <w:spacing w:line="520" w:lineRule="exact"/>
        <w:ind w:firstLine="482" w:firstLineChars="200"/>
        <w:rPr>
          <w:rFonts w:ascii="楷体" w:hAnsi="楷体" w:eastAsia="楷体"/>
          <w:b/>
          <w:sz w:val="24"/>
        </w:rPr>
      </w:pPr>
      <w:bookmarkStart w:id="597" w:name="_Toc14055"/>
      <w:bookmarkStart w:id="598" w:name="_Toc23755"/>
      <w:bookmarkStart w:id="599" w:name="_Toc11341"/>
      <w:r>
        <w:rPr>
          <w:rFonts w:ascii="楷体" w:hAnsi="楷体" w:eastAsia="楷体"/>
          <w:b/>
          <w:sz w:val="24"/>
        </w:rPr>
        <w:t xml:space="preserve">2.10 </w:t>
      </w:r>
      <w:r>
        <w:rPr>
          <w:rFonts w:hint="eastAsia" w:ascii="楷体" w:hAnsi="楷体" w:eastAsia="楷体"/>
          <w:b/>
          <w:sz w:val="24"/>
        </w:rPr>
        <w:t>延迟交货</w:t>
      </w:r>
      <w:bookmarkEnd w:id="594"/>
      <w:bookmarkEnd w:id="595"/>
      <w:bookmarkEnd w:id="596"/>
      <w:bookmarkEnd w:id="597"/>
      <w:bookmarkEnd w:id="598"/>
      <w:bookmarkEnd w:id="599"/>
    </w:p>
    <w:p>
      <w:pPr>
        <w:spacing w:line="520" w:lineRule="exact"/>
        <w:ind w:firstLine="480" w:firstLineChars="200"/>
        <w:rPr>
          <w:rFonts w:ascii="楷体" w:hAnsi="楷体" w:eastAsia="楷体"/>
          <w:sz w:val="24"/>
        </w:rPr>
      </w:pPr>
      <w:r>
        <w:rPr>
          <w:rFonts w:hint="eastAsia" w:ascii="楷体" w:hAnsi="楷体" w:eastAsia="楷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20" w:lineRule="exact"/>
        <w:ind w:firstLine="482" w:firstLineChars="200"/>
        <w:rPr>
          <w:rFonts w:ascii="楷体" w:hAnsi="楷体" w:eastAsia="楷体"/>
          <w:b/>
          <w:sz w:val="24"/>
        </w:rPr>
      </w:pPr>
      <w:bookmarkStart w:id="600" w:name="_Toc7502"/>
      <w:bookmarkStart w:id="601" w:name="_Toc21729"/>
      <w:bookmarkStart w:id="602" w:name="_Toc27877"/>
      <w:bookmarkStart w:id="603" w:name="_Ref467378121"/>
      <w:bookmarkStart w:id="604" w:name="_Toc279701254"/>
      <w:bookmarkStart w:id="605" w:name="_Toc259093683"/>
      <w:bookmarkStart w:id="606" w:name="_Toc487900364"/>
      <w:r>
        <w:rPr>
          <w:rFonts w:ascii="楷体" w:hAnsi="楷体" w:eastAsia="楷体"/>
          <w:b/>
          <w:sz w:val="24"/>
        </w:rPr>
        <w:t xml:space="preserve">2.11 </w:t>
      </w:r>
      <w:r>
        <w:rPr>
          <w:rFonts w:hint="eastAsia" w:ascii="楷体" w:hAnsi="楷体" w:eastAsia="楷体"/>
          <w:b/>
          <w:sz w:val="24"/>
        </w:rPr>
        <w:t>合同变更</w:t>
      </w:r>
      <w:bookmarkEnd w:id="600"/>
      <w:bookmarkEnd w:id="601"/>
      <w:bookmarkEnd w:id="602"/>
    </w:p>
    <w:p>
      <w:pPr>
        <w:spacing w:line="52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2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607" w:name="_Toc279701259"/>
      <w:bookmarkStart w:id="608" w:name="_Toc259093688"/>
      <w:bookmarkStart w:id="609" w:name="_Toc487900369"/>
    </w:p>
    <w:p>
      <w:pPr>
        <w:spacing w:line="520" w:lineRule="exact"/>
        <w:ind w:firstLine="482" w:firstLineChars="200"/>
        <w:rPr>
          <w:rFonts w:ascii="楷体" w:hAnsi="楷体" w:eastAsia="楷体"/>
          <w:b/>
          <w:sz w:val="24"/>
        </w:rPr>
      </w:pPr>
      <w:bookmarkStart w:id="610" w:name="_Toc10366"/>
      <w:bookmarkStart w:id="611" w:name="_Toc15237"/>
      <w:bookmarkStart w:id="612" w:name="_Toc30203"/>
      <w:bookmarkStart w:id="613" w:name="_Toc28311"/>
      <w:bookmarkStart w:id="614" w:name="_Toc22955"/>
      <w:r>
        <w:rPr>
          <w:rFonts w:ascii="楷体" w:hAnsi="楷体" w:eastAsia="楷体"/>
          <w:b/>
          <w:sz w:val="24"/>
        </w:rPr>
        <w:t xml:space="preserve">2.12 </w:t>
      </w:r>
      <w:r>
        <w:rPr>
          <w:rFonts w:hint="eastAsia" w:ascii="楷体" w:hAnsi="楷体" w:eastAsia="楷体"/>
          <w:b/>
          <w:sz w:val="24"/>
        </w:rPr>
        <w:t>合同转让</w:t>
      </w:r>
      <w:bookmarkEnd w:id="607"/>
      <w:bookmarkEnd w:id="608"/>
      <w:bookmarkEnd w:id="609"/>
      <w:r>
        <w:rPr>
          <w:rFonts w:hint="eastAsia" w:ascii="楷体" w:hAnsi="楷体" w:eastAsia="楷体"/>
          <w:b/>
          <w:sz w:val="24"/>
        </w:rPr>
        <w:t>和分包</w:t>
      </w:r>
      <w:bookmarkEnd w:id="610"/>
      <w:bookmarkEnd w:id="611"/>
      <w:bookmarkEnd w:id="612"/>
      <w:bookmarkEnd w:id="613"/>
      <w:bookmarkEnd w:id="614"/>
    </w:p>
    <w:p>
      <w:pPr>
        <w:spacing w:line="52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20" w:lineRule="exact"/>
        <w:ind w:firstLine="482" w:firstLineChars="200"/>
        <w:rPr>
          <w:rFonts w:ascii="楷体" w:hAnsi="楷体" w:eastAsia="楷体"/>
          <w:b/>
          <w:sz w:val="24"/>
        </w:rPr>
      </w:pPr>
      <w:bookmarkStart w:id="615" w:name="_Toc16508"/>
      <w:bookmarkStart w:id="616" w:name="_Toc13566"/>
      <w:bookmarkStart w:id="617" w:name="_Toc23232"/>
      <w:bookmarkStart w:id="618" w:name="_Toc843"/>
      <w:bookmarkStart w:id="619" w:name="_Toc14066"/>
      <w:r>
        <w:rPr>
          <w:rFonts w:ascii="楷体" w:hAnsi="楷体" w:eastAsia="楷体"/>
          <w:b/>
          <w:sz w:val="24"/>
        </w:rPr>
        <w:t xml:space="preserve">2.13 </w:t>
      </w:r>
      <w:r>
        <w:rPr>
          <w:rFonts w:hint="eastAsia" w:ascii="楷体" w:hAnsi="楷体" w:eastAsia="楷体"/>
          <w:b/>
          <w:sz w:val="24"/>
        </w:rPr>
        <w:t>不可抗力</w:t>
      </w:r>
      <w:bookmarkEnd w:id="615"/>
      <w:bookmarkEnd w:id="616"/>
      <w:bookmarkEnd w:id="617"/>
      <w:bookmarkEnd w:id="618"/>
      <w:bookmarkEnd w:id="619"/>
    </w:p>
    <w:p>
      <w:pPr>
        <w:spacing w:line="520" w:lineRule="exact"/>
        <w:ind w:firstLine="480" w:firstLineChars="200"/>
        <w:rPr>
          <w:rFonts w:ascii="楷体" w:hAnsi="楷体" w:eastAsia="楷体"/>
          <w:sz w:val="24"/>
        </w:rPr>
      </w:pPr>
      <w:r>
        <w:rPr>
          <w:rFonts w:ascii="楷体" w:hAnsi="楷体" w:eastAsia="楷体"/>
          <w:sz w:val="24"/>
        </w:rPr>
        <w:t>2.13.1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20" w:lineRule="exact"/>
        <w:ind w:firstLine="480" w:firstLineChars="200"/>
        <w:rPr>
          <w:rFonts w:ascii="楷体" w:hAnsi="楷体" w:eastAsia="楷体"/>
          <w:sz w:val="24"/>
        </w:rPr>
      </w:pPr>
      <w:r>
        <w:rPr>
          <w:rFonts w:ascii="楷体" w:hAnsi="楷体" w:eastAsia="楷体"/>
          <w:sz w:val="24"/>
        </w:rPr>
        <w:t xml:space="preserve">2.13.2 </w:t>
      </w:r>
      <w:r>
        <w:rPr>
          <w:rFonts w:hint="eastAsia" w:ascii="楷体" w:hAnsi="楷体" w:eastAsia="楷体"/>
          <w:sz w:val="24"/>
        </w:rPr>
        <w:t>因不可抗力致使不能实现合同目的的，当事人可以解除合同；</w:t>
      </w:r>
    </w:p>
    <w:p>
      <w:pPr>
        <w:spacing w:line="520" w:lineRule="exact"/>
        <w:ind w:firstLine="480" w:firstLineChars="200"/>
        <w:rPr>
          <w:rFonts w:ascii="楷体" w:hAnsi="楷体" w:eastAsia="楷体"/>
          <w:sz w:val="24"/>
        </w:rPr>
      </w:pPr>
      <w:r>
        <w:rPr>
          <w:rFonts w:ascii="楷体" w:hAnsi="楷体" w:eastAsia="楷体"/>
          <w:sz w:val="24"/>
        </w:rPr>
        <w:t xml:space="preserve">2.13.3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20" w:lineRule="exact"/>
        <w:ind w:firstLine="480" w:firstLineChars="200"/>
        <w:rPr>
          <w:rFonts w:ascii="楷体" w:hAnsi="楷体" w:eastAsia="楷体"/>
          <w:sz w:val="24"/>
        </w:rPr>
      </w:pPr>
      <w:r>
        <w:rPr>
          <w:rFonts w:ascii="楷体" w:hAnsi="楷体" w:eastAsia="楷体"/>
          <w:sz w:val="24"/>
        </w:rPr>
        <w:t>2.13.4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20" w:lineRule="exact"/>
        <w:ind w:firstLine="482" w:firstLineChars="200"/>
        <w:rPr>
          <w:rFonts w:ascii="楷体" w:hAnsi="楷体" w:eastAsia="楷体"/>
          <w:b/>
          <w:sz w:val="24"/>
        </w:rPr>
      </w:pPr>
      <w:bookmarkStart w:id="620" w:name="_Toc20346"/>
      <w:bookmarkStart w:id="621" w:name="_Toc9072"/>
      <w:bookmarkStart w:id="622" w:name="_Toc6969"/>
      <w:bookmarkStart w:id="623" w:name="_Toc30676"/>
      <w:bookmarkStart w:id="624" w:name="_Toc259093684"/>
      <w:bookmarkStart w:id="625" w:name="_Toc689"/>
      <w:bookmarkStart w:id="626" w:name="_Toc279701255"/>
      <w:bookmarkStart w:id="627" w:name="_Toc487900365"/>
      <w:r>
        <w:rPr>
          <w:rFonts w:ascii="楷体" w:hAnsi="楷体" w:eastAsia="楷体"/>
          <w:b/>
          <w:sz w:val="24"/>
        </w:rPr>
        <w:t xml:space="preserve">2.14 </w:t>
      </w:r>
      <w:r>
        <w:rPr>
          <w:rFonts w:hint="eastAsia" w:ascii="楷体" w:hAnsi="楷体" w:eastAsia="楷体"/>
          <w:b/>
          <w:sz w:val="24"/>
        </w:rPr>
        <w:t>税费</w:t>
      </w:r>
      <w:bookmarkEnd w:id="620"/>
      <w:bookmarkEnd w:id="621"/>
      <w:bookmarkEnd w:id="622"/>
      <w:bookmarkEnd w:id="623"/>
      <w:bookmarkEnd w:id="624"/>
      <w:bookmarkEnd w:id="625"/>
      <w:bookmarkEnd w:id="626"/>
      <w:bookmarkEnd w:id="627"/>
    </w:p>
    <w:p>
      <w:pPr>
        <w:spacing w:line="52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w:t>
      </w:r>
    </w:p>
    <w:p>
      <w:pPr>
        <w:spacing w:line="520" w:lineRule="exact"/>
        <w:ind w:firstLine="482" w:firstLineChars="200"/>
        <w:rPr>
          <w:rFonts w:ascii="楷体" w:hAnsi="楷体" w:eastAsia="楷体"/>
          <w:b/>
          <w:sz w:val="24"/>
        </w:rPr>
      </w:pPr>
      <w:bookmarkStart w:id="628" w:name="_Toc23789"/>
      <w:bookmarkStart w:id="629" w:name="_Toc16959"/>
      <w:bookmarkStart w:id="630" w:name="_Toc24286"/>
      <w:bookmarkStart w:id="631" w:name="_Toc8298"/>
      <w:bookmarkStart w:id="632" w:name="_Toc487900368"/>
      <w:bookmarkStart w:id="633" w:name="_Toc259093687"/>
      <w:bookmarkStart w:id="634" w:name="_Toc7102"/>
      <w:bookmarkStart w:id="635" w:name="_Toc279701258"/>
      <w:r>
        <w:rPr>
          <w:rFonts w:ascii="楷体" w:hAnsi="楷体" w:eastAsia="楷体"/>
          <w:b/>
          <w:sz w:val="24"/>
        </w:rPr>
        <w:t xml:space="preserve">2.15 </w:t>
      </w:r>
      <w:r>
        <w:rPr>
          <w:rFonts w:hint="eastAsia" w:ascii="楷体" w:hAnsi="楷体" w:eastAsia="楷体"/>
          <w:b/>
          <w:sz w:val="24"/>
        </w:rPr>
        <w:t>乙方破产</w:t>
      </w:r>
      <w:bookmarkEnd w:id="628"/>
      <w:bookmarkEnd w:id="629"/>
      <w:bookmarkEnd w:id="630"/>
      <w:bookmarkEnd w:id="631"/>
      <w:bookmarkEnd w:id="632"/>
      <w:bookmarkEnd w:id="633"/>
      <w:bookmarkEnd w:id="634"/>
      <w:bookmarkEnd w:id="635"/>
    </w:p>
    <w:p>
      <w:pPr>
        <w:spacing w:line="52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20" w:lineRule="exact"/>
        <w:ind w:firstLine="482" w:firstLineChars="200"/>
        <w:rPr>
          <w:rFonts w:ascii="楷体" w:hAnsi="楷体" w:eastAsia="楷体"/>
          <w:b/>
          <w:sz w:val="24"/>
        </w:rPr>
      </w:pPr>
      <w:bookmarkStart w:id="636" w:name="_Toc29333"/>
      <w:bookmarkStart w:id="637" w:name="_Toc23659"/>
      <w:bookmarkStart w:id="638" w:name="_Toc6134"/>
      <w:bookmarkStart w:id="639" w:name="_Toc19492"/>
      <w:bookmarkStart w:id="640" w:name="_Toc15387"/>
      <w:r>
        <w:rPr>
          <w:rFonts w:ascii="楷体" w:hAnsi="楷体" w:eastAsia="楷体"/>
          <w:b/>
          <w:sz w:val="24"/>
        </w:rPr>
        <w:t xml:space="preserve">2.16 </w:t>
      </w:r>
      <w:r>
        <w:rPr>
          <w:rFonts w:hint="eastAsia" w:ascii="楷体" w:hAnsi="楷体" w:eastAsia="楷体"/>
          <w:b/>
          <w:sz w:val="24"/>
        </w:rPr>
        <w:t>合同中止、终止</w:t>
      </w:r>
      <w:bookmarkEnd w:id="636"/>
      <w:bookmarkEnd w:id="637"/>
      <w:bookmarkEnd w:id="638"/>
      <w:bookmarkEnd w:id="639"/>
      <w:bookmarkEnd w:id="640"/>
    </w:p>
    <w:p>
      <w:pPr>
        <w:spacing w:line="520" w:lineRule="exact"/>
        <w:ind w:firstLine="480" w:firstLineChars="200"/>
        <w:rPr>
          <w:rFonts w:ascii="楷体" w:hAnsi="楷体" w:eastAsia="楷体"/>
          <w:sz w:val="24"/>
        </w:rPr>
      </w:pPr>
      <w:r>
        <w:rPr>
          <w:rFonts w:ascii="楷体" w:hAnsi="楷体" w:eastAsia="楷体"/>
          <w:sz w:val="24"/>
        </w:rPr>
        <w:t xml:space="preserve">2.16.1 </w:t>
      </w:r>
      <w:r>
        <w:rPr>
          <w:rFonts w:hint="eastAsia" w:ascii="楷体" w:hAnsi="楷体" w:eastAsia="楷体"/>
          <w:sz w:val="24"/>
        </w:rPr>
        <w:t>双方当事人不得擅自中止或者终止合同；</w:t>
      </w:r>
    </w:p>
    <w:p>
      <w:pPr>
        <w:spacing w:line="520" w:lineRule="exact"/>
        <w:ind w:firstLine="480" w:firstLineChars="200"/>
        <w:rPr>
          <w:rFonts w:ascii="楷体" w:hAnsi="楷体" w:eastAsia="楷体"/>
          <w:sz w:val="24"/>
        </w:rPr>
      </w:pPr>
      <w:r>
        <w:rPr>
          <w:rFonts w:ascii="楷体" w:hAnsi="楷体" w:eastAsia="楷体"/>
          <w:sz w:val="24"/>
        </w:rPr>
        <w:t>2.16.2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20" w:lineRule="exact"/>
        <w:ind w:firstLine="482" w:firstLineChars="200"/>
        <w:rPr>
          <w:rFonts w:ascii="楷体" w:hAnsi="楷体" w:eastAsia="楷体"/>
          <w:b/>
          <w:sz w:val="24"/>
        </w:rPr>
      </w:pPr>
      <w:bookmarkStart w:id="641" w:name="_Toc1125"/>
      <w:bookmarkStart w:id="642" w:name="_Toc14563"/>
      <w:bookmarkStart w:id="643" w:name="_Toc17224"/>
      <w:bookmarkStart w:id="644" w:name="_Toc6596"/>
      <w:bookmarkStart w:id="645" w:name="_Toc12072"/>
      <w:r>
        <w:rPr>
          <w:rFonts w:ascii="楷体" w:hAnsi="楷体" w:eastAsia="楷体"/>
          <w:b/>
          <w:sz w:val="24"/>
        </w:rPr>
        <w:t xml:space="preserve">2.17 </w:t>
      </w:r>
      <w:r>
        <w:rPr>
          <w:rFonts w:hint="eastAsia" w:ascii="楷体" w:hAnsi="楷体" w:eastAsia="楷体"/>
          <w:b/>
          <w:sz w:val="24"/>
        </w:rPr>
        <w:t>检验和验收</w:t>
      </w:r>
      <w:bookmarkEnd w:id="641"/>
      <w:bookmarkEnd w:id="642"/>
      <w:bookmarkEnd w:id="643"/>
      <w:bookmarkEnd w:id="644"/>
      <w:bookmarkEnd w:id="645"/>
    </w:p>
    <w:p>
      <w:pPr>
        <w:tabs>
          <w:tab w:val="left" w:pos="360"/>
          <w:tab w:val="left" w:pos="540"/>
          <w:tab w:val="left" w:pos="1080"/>
        </w:tabs>
        <w:spacing w:line="520" w:lineRule="exact"/>
        <w:ind w:firstLine="480" w:firstLineChars="200"/>
        <w:rPr>
          <w:rFonts w:ascii="楷体" w:hAnsi="楷体" w:eastAsia="楷体"/>
          <w:sz w:val="24"/>
        </w:rPr>
      </w:pPr>
      <w:r>
        <w:rPr>
          <w:rFonts w:ascii="楷体" w:hAnsi="楷体" w:eastAsia="楷体"/>
          <w:sz w:val="24"/>
        </w:rPr>
        <w:t>2.17.1</w:t>
      </w:r>
      <w:r>
        <w:rPr>
          <w:rFonts w:hint="eastAsia" w:ascii="楷体" w:hAnsi="楷体" w:eastAsia="楷体"/>
          <w:sz w:val="24"/>
        </w:rPr>
        <w:t>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合同专用条款</w:t>
      </w:r>
      <w:r>
        <w:rPr>
          <w:rFonts w:hint="eastAsia" w:ascii="楷体" w:hAnsi="楷体" w:eastAsia="楷体"/>
          <w:sz w:val="24"/>
        </w:rPr>
        <w:t>约定时间内组织验收，并可依法邀请相关方参加，验收应出具验收书。</w:t>
      </w:r>
    </w:p>
    <w:p>
      <w:pPr>
        <w:tabs>
          <w:tab w:val="left" w:pos="360"/>
          <w:tab w:val="left" w:pos="540"/>
          <w:tab w:val="left" w:pos="1080"/>
        </w:tabs>
        <w:spacing w:line="520" w:lineRule="exact"/>
        <w:ind w:firstLine="480" w:firstLineChars="200"/>
        <w:rPr>
          <w:rFonts w:ascii="楷体" w:hAnsi="楷体" w:eastAsia="楷体"/>
          <w:sz w:val="24"/>
        </w:rPr>
      </w:pPr>
      <w:r>
        <w:rPr>
          <w:rFonts w:ascii="楷体" w:hAnsi="楷体" w:eastAsia="楷体"/>
          <w:sz w:val="24"/>
        </w:rPr>
        <w:t>2.17.2</w:t>
      </w:r>
      <w:r>
        <w:rPr>
          <w:rFonts w:hint="eastAsia" w:ascii="楷体" w:hAnsi="楷体" w:eastAsia="楷体"/>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20" w:lineRule="exact"/>
        <w:ind w:firstLine="480" w:firstLineChars="200"/>
        <w:rPr>
          <w:rFonts w:ascii="楷体" w:hAnsi="楷体" w:eastAsia="楷体"/>
          <w:spacing w:val="-20"/>
          <w:sz w:val="24"/>
        </w:rPr>
      </w:pPr>
      <w:r>
        <w:rPr>
          <w:rFonts w:ascii="楷体" w:hAnsi="楷体" w:eastAsia="楷体"/>
          <w:sz w:val="24"/>
        </w:rPr>
        <w:t xml:space="preserve">2.17.3 </w:t>
      </w:r>
      <w:r>
        <w:rPr>
          <w:rFonts w:hint="eastAsia" w:ascii="楷体" w:hAnsi="楷体" w:eastAsia="楷体"/>
          <w:sz w:val="24"/>
        </w:rPr>
        <w:t>检验和验收标准、程序等具体内容以及前述验收书的效力详见</w:t>
      </w:r>
      <w:r>
        <w:rPr>
          <w:rFonts w:hint="eastAsia" w:ascii="楷体" w:hAnsi="楷体" w:eastAsia="楷体"/>
          <w:b/>
          <w:i/>
          <w:spacing w:val="-20"/>
          <w:sz w:val="24"/>
          <w:u w:val="single"/>
        </w:rPr>
        <w:t>合同专用条款</w:t>
      </w:r>
      <w:r>
        <w:rPr>
          <w:rFonts w:hint="eastAsia" w:ascii="楷体" w:hAnsi="楷体" w:eastAsia="楷体"/>
          <w:i/>
          <w:spacing w:val="-20"/>
          <w:sz w:val="24"/>
        </w:rPr>
        <w:t>。</w:t>
      </w:r>
    </w:p>
    <w:bookmarkEnd w:id="603"/>
    <w:bookmarkEnd w:id="604"/>
    <w:bookmarkEnd w:id="605"/>
    <w:bookmarkEnd w:id="606"/>
    <w:p>
      <w:pPr>
        <w:spacing w:line="520" w:lineRule="exact"/>
        <w:ind w:firstLine="482" w:firstLineChars="200"/>
        <w:rPr>
          <w:rFonts w:ascii="楷体" w:hAnsi="楷体" w:eastAsia="楷体"/>
          <w:b/>
          <w:sz w:val="24"/>
        </w:rPr>
      </w:pPr>
      <w:bookmarkStart w:id="646" w:name="_Toc487900371"/>
      <w:bookmarkStart w:id="647" w:name="_Toc279701261"/>
      <w:bookmarkStart w:id="648" w:name="_Toc259093690"/>
      <w:bookmarkStart w:id="649" w:name="_Toc11284"/>
      <w:bookmarkStart w:id="650" w:name="_Toc19604"/>
      <w:bookmarkStart w:id="651" w:name="_Toc25182"/>
      <w:bookmarkStart w:id="652" w:name="_Toc10514"/>
      <w:bookmarkStart w:id="653" w:name="_Toc2065"/>
      <w:r>
        <w:rPr>
          <w:rFonts w:ascii="楷体" w:hAnsi="楷体" w:eastAsia="楷体"/>
          <w:b/>
          <w:sz w:val="24"/>
        </w:rPr>
        <w:t xml:space="preserve">2.18 </w:t>
      </w:r>
      <w:r>
        <w:rPr>
          <w:rFonts w:hint="eastAsia" w:ascii="楷体" w:hAnsi="楷体" w:eastAsia="楷体"/>
          <w:b/>
          <w:sz w:val="24"/>
        </w:rPr>
        <w:t>通知</w:t>
      </w:r>
      <w:bookmarkEnd w:id="646"/>
      <w:bookmarkEnd w:id="647"/>
      <w:bookmarkEnd w:id="648"/>
      <w:r>
        <w:rPr>
          <w:rFonts w:hint="eastAsia" w:ascii="楷体" w:hAnsi="楷体" w:eastAsia="楷体"/>
          <w:b/>
          <w:sz w:val="24"/>
        </w:rPr>
        <w:t>和送达</w:t>
      </w:r>
      <w:bookmarkEnd w:id="649"/>
      <w:bookmarkEnd w:id="650"/>
      <w:bookmarkEnd w:id="651"/>
      <w:bookmarkEnd w:id="652"/>
      <w:bookmarkEnd w:id="653"/>
    </w:p>
    <w:p>
      <w:pPr>
        <w:spacing w:line="520" w:lineRule="exact"/>
        <w:ind w:firstLine="480" w:firstLineChars="200"/>
        <w:rPr>
          <w:rFonts w:ascii="楷体" w:hAnsi="楷体" w:eastAsia="楷体"/>
          <w:sz w:val="24"/>
        </w:rPr>
      </w:pPr>
      <w:bookmarkStart w:id="654" w:name="_Toc3135"/>
      <w:bookmarkStart w:id="655" w:name="_Toc6698"/>
      <w:bookmarkStart w:id="656" w:name="_Toc487900372"/>
      <w:bookmarkStart w:id="657" w:name="_Toc259093691"/>
      <w:bookmarkStart w:id="658" w:name="_Toc279701262"/>
      <w:r>
        <w:rPr>
          <w:rFonts w:ascii="楷体" w:hAnsi="楷体" w:eastAsia="楷体"/>
          <w:sz w:val="24"/>
        </w:rPr>
        <w:t xml:space="preserve">2.18.1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654"/>
      <w:bookmarkEnd w:id="655"/>
    </w:p>
    <w:p>
      <w:pPr>
        <w:spacing w:line="520" w:lineRule="exact"/>
        <w:ind w:firstLine="480" w:firstLineChars="200"/>
        <w:rPr>
          <w:rFonts w:ascii="楷体" w:hAnsi="楷体" w:eastAsia="楷体"/>
          <w:sz w:val="24"/>
        </w:rPr>
      </w:pPr>
      <w:bookmarkStart w:id="659" w:name="_Toc23128"/>
      <w:bookmarkStart w:id="660" w:name="_Toc23294"/>
      <w:r>
        <w:rPr>
          <w:rFonts w:ascii="楷体" w:hAnsi="楷体" w:eastAsia="楷体"/>
          <w:sz w:val="24"/>
        </w:rPr>
        <w:t>2.18.2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659"/>
      <w:bookmarkEnd w:id="660"/>
    </w:p>
    <w:p>
      <w:pPr>
        <w:spacing w:line="520" w:lineRule="exact"/>
        <w:ind w:firstLine="482" w:firstLineChars="200"/>
        <w:rPr>
          <w:rFonts w:ascii="楷体" w:hAnsi="楷体" w:eastAsia="楷体"/>
          <w:b/>
          <w:sz w:val="24"/>
        </w:rPr>
      </w:pPr>
      <w:bookmarkStart w:id="661" w:name="_Toc17863"/>
      <w:bookmarkStart w:id="662" w:name="_Toc18540"/>
      <w:bookmarkStart w:id="663" w:name="_Toc4355"/>
      <w:bookmarkStart w:id="664" w:name="_Toc29602"/>
      <w:bookmarkStart w:id="665" w:name="_Toc30599"/>
      <w:r>
        <w:rPr>
          <w:rFonts w:ascii="楷体" w:hAnsi="楷体" w:eastAsia="楷体"/>
          <w:b/>
          <w:sz w:val="24"/>
        </w:rPr>
        <w:t xml:space="preserve">2.19 </w:t>
      </w:r>
      <w:r>
        <w:rPr>
          <w:rFonts w:hint="eastAsia" w:ascii="楷体" w:hAnsi="楷体" w:eastAsia="楷体"/>
          <w:b/>
          <w:sz w:val="24"/>
        </w:rPr>
        <w:t>计量单位</w:t>
      </w:r>
      <w:bookmarkEnd w:id="656"/>
      <w:bookmarkEnd w:id="657"/>
      <w:bookmarkEnd w:id="658"/>
      <w:bookmarkEnd w:id="661"/>
      <w:bookmarkEnd w:id="662"/>
      <w:bookmarkEnd w:id="663"/>
      <w:bookmarkEnd w:id="664"/>
      <w:bookmarkEnd w:id="665"/>
    </w:p>
    <w:p>
      <w:pPr>
        <w:spacing w:line="520" w:lineRule="exact"/>
        <w:ind w:firstLine="480" w:firstLineChars="200"/>
        <w:rPr>
          <w:rFonts w:ascii="楷体" w:hAnsi="楷体" w:eastAsia="楷体"/>
          <w:sz w:val="24"/>
        </w:rPr>
      </w:pPr>
      <w:r>
        <w:rPr>
          <w:rFonts w:hint="eastAsia" w:ascii="楷体" w:hAnsi="楷体" w:eastAsia="楷体"/>
          <w:sz w:val="24"/>
        </w:rPr>
        <w:t>除技术规范中另有规定外</w:t>
      </w:r>
      <w:r>
        <w:rPr>
          <w:rFonts w:ascii="楷体" w:hAnsi="楷体" w:eastAsia="楷体"/>
          <w:sz w:val="24"/>
        </w:rPr>
        <w:t>,</w:t>
      </w:r>
      <w:r>
        <w:rPr>
          <w:rFonts w:hint="eastAsia" w:ascii="楷体" w:hAnsi="楷体" w:eastAsia="楷体"/>
          <w:sz w:val="24"/>
        </w:rPr>
        <w:t>合同的计量单位均使用国家法定计量单位。</w:t>
      </w:r>
    </w:p>
    <w:p>
      <w:pPr>
        <w:spacing w:line="520" w:lineRule="exact"/>
        <w:ind w:firstLine="482" w:firstLineChars="200"/>
        <w:rPr>
          <w:rFonts w:ascii="楷体" w:hAnsi="楷体" w:eastAsia="楷体"/>
          <w:b/>
          <w:sz w:val="24"/>
        </w:rPr>
      </w:pPr>
      <w:bookmarkStart w:id="666" w:name="_Toc18567"/>
      <w:bookmarkStart w:id="667" w:name="_Toc279701263"/>
      <w:bookmarkStart w:id="668" w:name="_Toc10330"/>
      <w:bookmarkStart w:id="669" w:name="_Toc18301"/>
      <w:bookmarkStart w:id="670" w:name="_Toc12773"/>
      <w:bookmarkStart w:id="671" w:name="_Toc259093692"/>
      <w:bookmarkStart w:id="672" w:name="_Toc16358"/>
      <w:bookmarkStart w:id="673" w:name="_Toc487900373"/>
      <w:r>
        <w:rPr>
          <w:rFonts w:ascii="楷体" w:hAnsi="楷体" w:eastAsia="楷体"/>
          <w:b/>
          <w:sz w:val="24"/>
        </w:rPr>
        <w:t xml:space="preserve">2.20 </w:t>
      </w:r>
      <w:r>
        <w:rPr>
          <w:rFonts w:hint="eastAsia" w:ascii="楷体" w:hAnsi="楷体" w:eastAsia="楷体"/>
          <w:b/>
          <w:sz w:val="24"/>
        </w:rPr>
        <w:t>合同使用的文字和适用的法律</w:t>
      </w:r>
      <w:bookmarkEnd w:id="666"/>
      <w:bookmarkEnd w:id="667"/>
      <w:bookmarkEnd w:id="668"/>
      <w:bookmarkEnd w:id="669"/>
      <w:bookmarkEnd w:id="670"/>
      <w:bookmarkEnd w:id="671"/>
      <w:bookmarkEnd w:id="672"/>
      <w:bookmarkEnd w:id="673"/>
    </w:p>
    <w:p>
      <w:pPr>
        <w:spacing w:line="520" w:lineRule="exact"/>
        <w:ind w:firstLine="480" w:firstLineChars="200"/>
        <w:rPr>
          <w:rFonts w:ascii="楷体" w:hAnsi="楷体" w:eastAsia="楷体"/>
          <w:sz w:val="24"/>
        </w:rPr>
      </w:pPr>
      <w:r>
        <w:rPr>
          <w:rFonts w:ascii="楷体" w:hAnsi="楷体" w:eastAsia="楷体"/>
          <w:sz w:val="24"/>
        </w:rPr>
        <w:t xml:space="preserve">2.20.1 </w:t>
      </w:r>
      <w:r>
        <w:rPr>
          <w:rFonts w:hint="eastAsia" w:ascii="楷体" w:hAnsi="楷体" w:eastAsia="楷体"/>
          <w:sz w:val="24"/>
        </w:rPr>
        <w:t>合同使用汉语书就、变更和解释；</w:t>
      </w:r>
    </w:p>
    <w:p>
      <w:pPr>
        <w:spacing w:line="520" w:lineRule="exact"/>
        <w:ind w:firstLine="480" w:firstLineChars="200"/>
        <w:rPr>
          <w:rFonts w:ascii="楷体" w:hAnsi="楷体" w:eastAsia="楷体"/>
          <w:sz w:val="24"/>
        </w:rPr>
      </w:pPr>
      <w:r>
        <w:rPr>
          <w:rFonts w:ascii="楷体" w:hAnsi="楷体" w:eastAsia="楷体"/>
          <w:sz w:val="24"/>
        </w:rPr>
        <w:t xml:space="preserve">2.20.2 </w:t>
      </w:r>
      <w:r>
        <w:rPr>
          <w:rFonts w:hint="eastAsia" w:ascii="楷体" w:hAnsi="楷体" w:eastAsia="楷体"/>
          <w:sz w:val="24"/>
        </w:rPr>
        <w:t>合同适用中华人民共和国法律。</w:t>
      </w:r>
    </w:p>
    <w:p>
      <w:pPr>
        <w:spacing w:line="520" w:lineRule="exact"/>
        <w:ind w:firstLine="482" w:firstLineChars="200"/>
        <w:rPr>
          <w:rFonts w:ascii="楷体" w:hAnsi="楷体" w:eastAsia="楷体"/>
          <w:b/>
          <w:sz w:val="24"/>
        </w:rPr>
      </w:pPr>
      <w:bookmarkStart w:id="674" w:name="_Toc23545"/>
      <w:bookmarkStart w:id="675" w:name="_Toc259093693"/>
      <w:bookmarkStart w:id="676" w:name="_Toc12004"/>
      <w:bookmarkStart w:id="677" w:name="_Toc3148"/>
      <w:bookmarkStart w:id="678" w:name="_Toc29042"/>
      <w:bookmarkStart w:id="679" w:name="_Toc16673"/>
      <w:bookmarkStart w:id="680" w:name="_Toc279701264"/>
      <w:bookmarkStart w:id="681" w:name="_Toc487900374"/>
      <w:r>
        <w:rPr>
          <w:rFonts w:ascii="楷体" w:hAnsi="楷体" w:eastAsia="楷体"/>
          <w:b/>
          <w:sz w:val="24"/>
        </w:rPr>
        <w:t xml:space="preserve">2.21 </w:t>
      </w:r>
      <w:r>
        <w:rPr>
          <w:rFonts w:hint="eastAsia" w:ascii="楷体" w:hAnsi="楷体" w:eastAsia="楷体"/>
          <w:b/>
          <w:sz w:val="24"/>
        </w:rPr>
        <w:t>履约保证金</w:t>
      </w:r>
      <w:bookmarkEnd w:id="674"/>
      <w:bookmarkEnd w:id="675"/>
      <w:bookmarkEnd w:id="676"/>
      <w:bookmarkEnd w:id="677"/>
      <w:bookmarkEnd w:id="678"/>
      <w:bookmarkEnd w:id="679"/>
      <w:bookmarkEnd w:id="680"/>
    </w:p>
    <w:p>
      <w:pPr>
        <w:spacing w:line="520" w:lineRule="exact"/>
        <w:ind w:firstLine="480" w:firstLineChars="200"/>
        <w:rPr>
          <w:rFonts w:ascii="楷体" w:hAnsi="楷体" w:eastAsia="楷体"/>
          <w:sz w:val="24"/>
        </w:rPr>
      </w:pPr>
      <w:r>
        <w:rPr>
          <w:rFonts w:ascii="楷体" w:hAnsi="楷体" w:eastAsia="楷体"/>
          <w:sz w:val="24"/>
        </w:rPr>
        <w:t xml:space="preserve">2.21.1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20" w:lineRule="exact"/>
        <w:ind w:firstLine="480" w:firstLineChars="200"/>
        <w:rPr>
          <w:rFonts w:ascii="楷体" w:hAnsi="楷体" w:eastAsia="楷体"/>
          <w:sz w:val="24"/>
        </w:rPr>
      </w:pPr>
      <w:r>
        <w:rPr>
          <w:rFonts w:ascii="楷体" w:hAnsi="楷体" w:eastAsia="楷体"/>
          <w:sz w:val="24"/>
        </w:rPr>
        <w:t xml:space="preserve">2.21.2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约定期间内或者货物质量保证期内不予退还或者应完全有效，前述约定期间届满或者货物质量保证期届满之日起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20" w:lineRule="exact"/>
        <w:ind w:firstLine="480" w:firstLineChars="200"/>
        <w:rPr>
          <w:rFonts w:ascii="楷体" w:hAnsi="楷体" w:eastAsia="楷体"/>
          <w:sz w:val="24"/>
        </w:rPr>
      </w:pPr>
      <w:r>
        <w:rPr>
          <w:rFonts w:ascii="楷体" w:hAnsi="楷体" w:eastAsia="楷体"/>
          <w:sz w:val="24"/>
        </w:rPr>
        <w:t xml:space="preserve">2.21.3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81"/>
    <w:p>
      <w:pPr>
        <w:spacing w:line="520" w:lineRule="exact"/>
        <w:ind w:firstLine="482" w:firstLineChars="200"/>
        <w:rPr>
          <w:rFonts w:ascii="楷体" w:hAnsi="楷体" w:eastAsia="楷体"/>
          <w:b/>
          <w:sz w:val="24"/>
        </w:rPr>
      </w:pPr>
      <w:bookmarkStart w:id="682" w:name="_Toc6885"/>
      <w:bookmarkStart w:id="683" w:name="_Toc14001"/>
      <w:bookmarkStart w:id="684" w:name="_Toc19890"/>
      <w:bookmarkStart w:id="685" w:name="_Toc4101"/>
      <w:bookmarkStart w:id="686" w:name="_Toc11849"/>
      <w:r>
        <w:rPr>
          <w:rFonts w:ascii="楷体" w:hAnsi="楷体" w:eastAsia="楷体"/>
          <w:b/>
          <w:sz w:val="24"/>
        </w:rPr>
        <w:t xml:space="preserve">2.22 </w:t>
      </w:r>
      <w:r>
        <w:rPr>
          <w:rFonts w:hint="eastAsia" w:ascii="楷体" w:hAnsi="楷体" w:eastAsia="楷体"/>
          <w:b/>
          <w:sz w:val="24"/>
        </w:rPr>
        <w:t>合同份数</w:t>
      </w:r>
      <w:bookmarkEnd w:id="682"/>
      <w:bookmarkEnd w:id="683"/>
      <w:bookmarkEnd w:id="684"/>
      <w:bookmarkEnd w:id="685"/>
      <w:bookmarkEnd w:id="686"/>
    </w:p>
    <w:p>
      <w:pPr>
        <w:spacing w:line="52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66"/>
        <w:spacing w:line="560" w:lineRule="exact"/>
        <w:ind w:firstLine="0"/>
        <w:jc w:val="center"/>
        <w:rPr>
          <w:rFonts w:ascii="楷体" w:hAnsi="楷体" w:eastAsia="楷体"/>
          <w:b/>
          <w:szCs w:val="24"/>
        </w:rPr>
      </w:pPr>
      <w:r>
        <w:rPr>
          <w:rFonts w:ascii="楷体" w:hAnsi="楷体" w:eastAsia="楷体"/>
          <w:szCs w:val="24"/>
        </w:rPr>
        <w:br w:type="page"/>
      </w:r>
      <w:bookmarkStart w:id="687"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687"/>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72"/>
        <w:gridCol w:w="77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372" w:type="dxa"/>
            <w:tcBorders>
              <w:left w:val="single" w:color="auto" w:sz="4" w:space="0"/>
            </w:tcBorders>
            <w:vAlign w:val="center"/>
          </w:tcPr>
          <w:p>
            <w:pPr>
              <w:spacing w:line="360" w:lineRule="auto"/>
              <w:jc w:val="center"/>
              <w:rPr>
                <w:rFonts w:ascii="楷体" w:hAnsi="楷体" w:eastAsia="楷体"/>
                <w:b/>
                <w:sz w:val="24"/>
              </w:rPr>
            </w:pPr>
            <w:r>
              <w:rPr>
                <w:rFonts w:hint="eastAsia" w:ascii="楷体" w:hAnsi="楷体" w:eastAsia="楷体"/>
                <w:b/>
                <w:sz w:val="24"/>
              </w:rPr>
              <w:t>条款号</w:t>
            </w:r>
          </w:p>
        </w:tc>
        <w:tc>
          <w:tcPr>
            <w:tcW w:w="7752" w:type="dxa"/>
            <w:vAlign w:val="center"/>
          </w:tcPr>
          <w:p>
            <w:pPr>
              <w:spacing w:line="360" w:lineRule="auto"/>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372" w:type="dxa"/>
            <w:tcBorders>
              <w:left w:val="single" w:color="auto" w:sz="4" w:space="0"/>
            </w:tcBorders>
            <w:vAlign w:val="center"/>
          </w:tcPr>
          <w:p>
            <w:pPr>
              <w:spacing w:line="360" w:lineRule="auto"/>
              <w:rPr>
                <w:rFonts w:ascii="楷体" w:hAnsi="楷体" w:eastAsia="楷体"/>
                <w:b/>
                <w:sz w:val="24"/>
              </w:rPr>
            </w:pPr>
            <w:r>
              <w:rPr>
                <w:rFonts w:hint="eastAsia" w:ascii="楷体" w:hAnsi="楷体" w:eastAsia="楷体"/>
                <w:b/>
                <w:sz w:val="24"/>
              </w:rPr>
              <w:t>1.6 违约责任</w:t>
            </w:r>
          </w:p>
        </w:tc>
        <w:tc>
          <w:tcPr>
            <w:tcW w:w="7752" w:type="dxa"/>
            <w:vAlign w:val="center"/>
          </w:tcPr>
          <w:p>
            <w:pPr>
              <w:spacing w:line="360" w:lineRule="auto"/>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sz w:val="24"/>
                <w:u w:val="single"/>
              </w:rPr>
              <w:t xml:space="preserve"> </w:t>
            </w:r>
            <w:r>
              <w:rPr>
                <w:rFonts w:hint="eastAsia" w:ascii="楷体" w:hAnsi="楷体" w:eastAsia="楷体"/>
                <w:sz w:val="24"/>
                <w:u w:val="single"/>
              </w:rPr>
              <w:t>1</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hint="eastAsia" w:ascii="楷体" w:hAnsi="楷体" w:eastAsia="楷体"/>
                <w:sz w:val="24"/>
                <w:u w:val="single"/>
              </w:rPr>
              <w:t>10</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；迟延交付货物的违约金计算数额达到前述最高限额之日起，甲方有权在要求乙方支付违约金的同时，书面通知乙方解除本合同；</w:t>
            </w:r>
          </w:p>
          <w:p>
            <w:pPr>
              <w:spacing w:line="360" w:lineRule="auto"/>
              <w:ind w:firstLine="480" w:firstLineChars="200"/>
              <w:rPr>
                <w:rFonts w:ascii="楷体" w:hAnsi="楷体" w:eastAsia="楷体"/>
                <w:b/>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hint="eastAsia" w:ascii="楷体" w:hAnsi="楷体" w:eastAsia="楷体"/>
                <w:sz w:val="24"/>
                <w:u w:val="single"/>
              </w:rPr>
              <w:t>/</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hint="eastAsia" w:ascii="楷体" w:hAnsi="楷体" w:eastAsia="楷体"/>
                <w:sz w:val="24"/>
                <w:u w:val="single"/>
              </w:rPr>
              <w:t>/</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372" w:type="dxa"/>
            <w:tcBorders>
              <w:left w:val="single" w:color="auto" w:sz="4" w:space="0"/>
            </w:tcBorders>
            <w:vAlign w:val="center"/>
          </w:tcPr>
          <w:p>
            <w:pPr>
              <w:spacing w:line="360" w:lineRule="auto"/>
              <w:rPr>
                <w:rFonts w:ascii="楷体" w:hAnsi="楷体" w:eastAsia="楷体"/>
                <w:b/>
                <w:sz w:val="24"/>
              </w:rPr>
            </w:pPr>
            <w:r>
              <w:rPr>
                <w:rFonts w:hint="eastAsia" w:ascii="楷体" w:hAnsi="楷体" w:eastAsia="楷体"/>
                <w:b/>
                <w:sz w:val="24"/>
              </w:rPr>
              <w:t>1.7 合同争议的解决</w:t>
            </w:r>
          </w:p>
        </w:tc>
        <w:tc>
          <w:tcPr>
            <w:tcW w:w="7752" w:type="dxa"/>
            <w:vAlign w:val="center"/>
          </w:tcPr>
          <w:p>
            <w:pPr>
              <w:spacing w:line="360" w:lineRule="auto"/>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u w:val="single"/>
              </w:rPr>
              <w:t>1、2</w:t>
            </w:r>
            <w:r>
              <w:rPr>
                <w:rFonts w:ascii="楷体" w:hAnsi="楷体" w:eastAsia="楷体"/>
                <w:sz w:val="24"/>
                <w:u w:val="single"/>
              </w:rPr>
              <w:t xml:space="preserve">  </w:t>
            </w:r>
            <w:r>
              <w:rPr>
                <w:rFonts w:hint="eastAsia" w:ascii="楷体" w:hAnsi="楷体" w:eastAsia="楷体"/>
                <w:sz w:val="24"/>
              </w:rPr>
              <w:t>种方式解决：</w:t>
            </w:r>
          </w:p>
          <w:p>
            <w:pPr>
              <w:spacing w:line="360" w:lineRule="auto"/>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u w:val="single"/>
              </w:rPr>
              <w:t>当地</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360" w:lineRule="auto"/>
              <w:ind w:firstLine="480" w:firstLineChars="200"/>
              <w:rPr>
                <w:rFonts w:ascii="楷体" w:hAnsi="楷体" w:eastAsia="楷体"/>
                <w:b/>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当地</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372" w:type="dxa"/>
            <w:tcBorders>
              <w:left w:val="single" w:color="auto" w:sz="4" w:space="0"/>
            </w:tcBorders>
            <w:vAlign w:val="center"/>
          </w:tcPr>
          <w:p>
            <w:pPr>
              <w:spacing w:line="360" w:lineRule="auto"/>
              <w:rPr>
                <w:rFonts w:ascii="楷体" w:hAnsi="楷体" w:eastAsia="楷体"/>
                <w:b/>
                <w:sz w:val="24"/>
              </w:rPr>
            </w:pPr>
            <w:bookmarkStart w:id="688" w:name="_Toc2115"/>
            <w:bookmarkStart w:id="689" w:name="_Toc8661"/>
            <w:r>
              <w:rPr>
                <w:rFonts w:ascii="楷体" w:hAnsi="楷体" w:eastAsia="楷体"/>
                <w:b/>
                <w:sz w:val="24"/>
              </w:rPr>
              <w:t xml:space="preserve">2.3 </w:t>
            </w:r>
            <w:r>
              <w:rPr>
                <w:rFonts w:hint="eastAsia" w:ascii="楷体" w:hAnsi="楷体" w:eastAsia="楷体"/>
                <w:b/>
                <w:sz w:val="24"/>
              </w:rPr>
              <w:t>知识产权</w:t>
            </w:r>
            <w:bookmarkEnd w:id="688"/>
            <w:bookmarkEnd w:id="689"/>
          </w:p>
        </w:tc>
        <w:tc>
          <w:tcPr>
            <w:tcW w:w="7752" w:type="dxa"/>
            <w:vAlign w:val="center"/>
          </w:tcPr>
          <w:p>
            <w:pPr>
              <w:spacing w:line="360" w:lineRule="auto"/>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80" w:firstLineChars="200"/>
              <w:rPr>
                <w:rFonts w:ascii="楷体" w:hAnsi="楷体" w:eastAsia="楷体"/>
                <w:sz w:val="24"/>
              </w:rPr>
            </w:pPr>
            <w:r>
              <w:rPr>
                <w:rFonts w:ascii="楷体" w:hAnsi="楷体" w:eastAsia="楷体"/>
                <w:sz w:val="24"/>
              </w:rPr>
              <w:t>2.3.2</w:t>
            </w:r>
            <w:r>
              <w:rPr>
                <w:rFonts w:hint="eastAsia" w:ascii="楷体" w:hAnsi="楷体" w:eastAsia="楷体"/>
                <w:sz w:val="24"/>
              </w:rPr>
              <w:t>具有知识产权的计算机软件等货物的知识产权归属，详见</w:t>
            </w:r>
            <w:r>
              <w:rPr>
                <w:rFonts w:hint="eastAsia" w:ascii="楷体" w:hAnsi="楷体" w:eastAsia="楷体"/>
                <w:b/>
                <w:i/>
                <w:sz w:val="24"/>
                <w:u w:val="single"/>
              </w:rPr>
              <w:t>甲方</w:t>
            </w:r>
            <w:r>
              <w:rPr>
                <w:rFonts w:hint="eastAsia" w:ascii="楷体" w:hAnsi="楷体" w:eastAsia="楷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00" w:hRule="atLeast"/>
        </w:trPr>
        <w:tc>
          <w:tcPr>
            <w:tcW w:w="1372" w:type="dxa"/>
            <w:tcBorders>
              <w:left w:val="single" w:color="auto" w:sz="4" w:space="0"/>
            </w:tcBorders>
            <w:vAlign w:val="center"/>
          </w:tcPr>
          <w:p>
            <w:pPr>
              <w:spacing w:line="360" w:lineRule="auto"/>
              <w:rPr>
                <w:rFonts w:ascii="楷体" w:hAnsi="楷体" w:eastAsia="楷体"/>
                <w:b/>
                <w:sz w:val="24"/>
              </w:rPr>
            </w:pPr>
            <w:r>
              <w:rPr>
                <w:rFonts w:ascii="楷体" w:hAnsi="楷体" w:eastAsia="楷体"/>
                <w:b/>
                <w:sz w:val="24"/>
              </w:rPr>
              <w:t xml:space="preserve">2.4 </w:t>
            </w:r>
            <w:r>
              <w:rPr>
                <w:rFonts w:hint="eastAsia" w:ascii="楷体" w:hAnsi="楷体" w:eastAsia="楷体"/>
                <w:b/>
                <w:sz w:val="24"/>
              </w:rPr>
              <w:t>包装和装运</w:t>
            </w:r>
          </w:p>
        </w:tc>
        <w:tc>
          <w:tcPr>
            <w:tcW w:w="7752" w:type="dxa"/>
            <w:vAlign w:val="center"/>
          </w:tcPr>
          <w:p>
            <w:pPr>
              <w:spacing w:line="360" w:lineRule="auto"/>
              <w:ind w:firstLine="480" w:firstLineChars="200"/>
              <w:rPr>
                <w:rFonts w:ascii="楷体" w:hAnsi="楷体" w:eastAsia="楷体"/>
                <w:sz w:val="24"/>
              </w:rPr>
            </w:pPr>
            <w:r>
              <w:rPr>
                <w:rFonts w:ascii="楷体" w:hAnsi="楷体" w:eastAsia="楷体"/>
                <w:sz w:val="24"/>
              </w:rPr>
              <w:t>2.4.1</w:t>
            </w:r>
            <w:r>
              <w:rPr>
                <w:rFonts w:hint="eastAsia" w:ascii="楷体" w:hAnsi="楷体" w:eastAsia="楷体"/>
                <w:sz w:val="24"/>
              </w:rPr>
              <w:t>除</w:t>
            </w:r>
            <w:r>
              <w:rPr>
                <w:rFonts w:hint="eastAsia" w:ascii="楷体" w:hAnsi="楷体" w:eastAsia="楷体"/>
                <w:b/>
                <w:i/>
                <w:sz w:val="24"/>
                <w:u w:val="single"/>
              </w:rPr>
              <w:t>无</w:t>
            </w:r>
            <w:r>
              <w:rPr>
                <w:rFonts w:hint="eastAsia" w:ascii="楷体" w:hAnsi="楷体" w:eastAsia="楷体"/>
                <w:sz w:val="24"/>
              </w:rPr>
              <w:t>另有约定外</w:t>
            </w:r>
            <w:r>
              <w:rPr>
                <w:rFonts w:ascii="楷体" w:hAnsi="楷体" w:eastAsia="楷体"/>
                <w:sz w:val="24"/>
              </w:rPr>
              <w:t>,</w:t>
            </w:r>
            <w:r>
              <w:rPr>
                <w:rFonts w:hint="eastAsia" w:ascii="楷体" w:hAnsi="楷体" w:eastAsia="楷体"/>
                <w:sz w:val="24"/>
              </w:rPr>
              <w:t>乙方交付的全部货物</w:t>
            </w:r>
            <w:r>
              <w:rPr>
                <w:rFonts w:ascii="楷体" w:hAnsi="楷体" w:eastAsia="楷体"/>
                <w:sz w:val="24"/>
              </w:rPr>
              <w:t>,</w:t>
            </w:r>
            <w:r>
              <w:rPr>
                <w:rFonts w:hint="eastAsia" w:ascii="楷体" w:hAnsi="楷体" w:eastAsia="楷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装运货物的要求和通知，详见</w:t>
            </w:r>
            <w:r>
              <w:rPr>
                <w:rFonts w:hint="eastAsia" w:ascii="楷体" w:hAnsi="楷体" w:eastAsia="楷体"/>
                <w:b/>
                <w:i/>
                <w:sz w:val="24"/>
                <w:u w:val="single"/>
              </w:rPr>
              <w:t>应符合国家有关包装的法律、法规的规定</w:t>
            </w:r>
            <w:r>
              <w:rPr>
                <w:rFonts w:hint="eastAsia" w:ascii="楷体" w:hAnsi="楷体" w:eastAsia="楷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372" w:type="dxa"/>
            <w:tcBorders>
              <w:left w:val="single" w:color="auto" w:sz="4" w:space="0"/>
            </w:tcBorders>
            <w:vAlign w:val="center"/>
          </w:tcPr>
          <w:p>
            <w:pPr>
              <w:spacing w:line="360" w:lineRule="auto"/>
              <w:rPr>
                <w:rFonts w:ascii="楷体" w:hAnsi="楷体" w:eastAsia="楷体"/>
                <w:sz w:val="24"/>
              </w:rPr>
            </w:pPr>
            <w:r>
              <w:rPr>
                <w:rFonts w:ascii="楷体" w:hAnsi="楷体" w:eastAsia="楷体"/>
                <w:b/>
                <w:sz w:val="24"/>
              </w:rPr>
              <w:t xml:space="preserve">2.5 </w:t>
            </w:r>
            <w:r>
              <w:rPr>
                <w:rFonts w:hint="eastAsia" w:ascii="楷体" w:hAnsi="楷体" w:eastAsia="楷体"/>
                <w:b/>
                <w:sz w:val="24"/>
              </w:rPr>
              <w:t>结算方式和付款条件</w:t>
            </w:r>
          </w:p>
        </w:tc>
        <w:tc>
          <w:tcPr>
            <w:tcW w:w="7752" w:type="dxa"/>
            <w:vAlign w:val="center"/>
          </w:tcPr>
          <w:p>
            <w:pPr>
              <w:spacing w:line="360" w:lineRule="auto"/>
              <w:jc w:val="left"/>
              <w:rPr>
                <w:rFonts w:ascii="楷体" w:hAnsi="楷体" w:eastAsia="楷体"/>
                <w:sz w:val="24"/>
                <w:u w:val="single"/>
              </w:rPr>
            </w:pPr>
            <w:r>
              <w:rPr>
                <w:rFonts w:hint="eastAsia" w:ascii="楷体" w:hAnsi="楷体" w:eastAsia="楷体"/>
                <w:b/>
                <w:sz w:val="24"/>
              </w:rPr>
              <w:t>付款方式：</w:t>
            </w:r>
            <w:r>
              <w:rPr>
                <w:rFonts w:hint="eastAsia" w:ascii="楷体" w:hAnsi="楷体" w:eastAsia="楷体"/>
                <w:sz w:val="24"/>
                <w:u w:val="single"/>
              </w:rPr>
              <w:t xml:space="preserve">               。</w:t>
            </w:r>
          </w:p>
          <w:p>
            <w:pPr>
              <w:spacing w:line="360" w:lineRule="auto"/>
              <w:rPr>
                <w:rFonts w:ascii="楷体" w:hAnsi="楷体" w:eastAsia="楷体"/>
                <w:sz w:val="24"/>
              </w:rPr>
            </w:pPr>
            <w:r>
              <w:rPr>
                <w:rFonts w:hint="eastAsia" w:ascii="楷体" w:hAnsi="楷体" w:eastAsia="楷体"/>
                <w:b/>
                <w:sz w:val="24"/>
              </w:rPr>
              <w:t>付款条件</w:t>
            </w:r>
            <w:r>
              <w:rPr>
                <w:rFonts w:hint="eastAsia" w:ascii="楷体" w:hAnsi="楷体" w:eastAsia="楷体"/>
                <w:sz w:val="24"/>
              </w:rPr>
              <w:t>：</w:t>
            </w:r>
            <w:r>
              <w:rPr>
                <w:rFonts w:hint="eastAsia" w:ascii="楷体" w:hAnsi="楷体" w:eastAsia="楷体"/>
                <w:sz w:val="24"/>
                <w:u w:val="single"/>
              </w:rPr>
              <w:t>国家税务机关出具的正式发票</w:t>
            </w:r>
            <w:r>
              <w:rPr>
                <w:rFonts w:ascii="楷体" w:hAnsi="楷体" w:eastAsia="楷体"/>
                <w:sz w:val="24"/>
                <w:u w:val="single"/>
              </w:rPr>
              <w:t xml:space="preserve">   </w:t>
            </w:r>
            <w:r>
              <w:rPr>
                <w:rFonts w:hint="eastAsia" w:ascii="楷体" w:hAnsi="楷体" w:eastAsia="楷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372" w:type="dxa"/>
            <w:tcBorders>
              <w:left w:val="single" w:color="auto" w:sz="4" w:space="0"/>
            </w:tcBorders>
            <w:vAlign w:val="center"/>
          </w:tcPr>
          <w:p>
            <w:pPr>
              <w:spacing w:line="360" w:lineRule="auto"/>
              <w:rPr>
                <w:rFonts w:ascii="楷体" w:hAnsi="楷体" w:eastAsia="楷体"/>
                <w:sz w:val="24"/>
              </w:rPr>
            </w:pPr>
            <w:bookmarkStart w:id="690" w:name="_Toc20030"/>
            <w:bookmarkStart w:id="691" w:name="_Toc18184"/>
            <w:r>
              <w:rPr>
                <w:rFonts w:ascii="楷体" w:hAnsi="楷体" w:eastAsia="楷体"/>
                <w:b/>
                <w:sz w:val="24"/>
              </w:rPr>
              <w:t xml:space="preserve">2.9 </w:t>
            </w:r>
            <w:r>
              <w:rPr>
                <w:rFonts w:hint="eastAsia" w:ascii="楷体" w:hAnsi="楷体" w:eastAsia="楷体"/>
                <w:b/>
                <w:sz w:val="24"/>
              </w:rPr>
              <w:t>货物的风险负担</w:t>
            </w:r>
            <w:bookmarkEnd w:id="690"/>
            <w:bookmarkEnd w:id="691"/>
          </w:p>
        </w:tc>
        <w:tc>
          <w:tcPr>
            <w:tcW w:w="7752" w:type="dxa"/>
            <w:vAlign w:val="center"/>
          </w:tcPr>
          <w:p>
            <w:pPr>
              <w:spacing w:line="360" w:lineRule="auto"/>
              <w:ind w:firstLine="480" w:firstLineChars="200"/>
              <w:rPr>
                <w:rFonts w:ascii="楷体" w:hAnsi="楷体" w:eastAsia="楷体"/>
                <w:sz w:val="24"/>
              </w:rPr>
            </w:pPr>
            <w:r>
              <w:rPr>
                <w:rFonts w:hint="eastAsia" w:ascii="楷体" w:hAnsi="楷体" w:eastAsia="楷体"/>
                <w:sz w:val="24"/>
              </w:rPr>
              <w:t>货物或者在途货物或者交付给第一承运人后的货物毁损、灭失的风险负担详见</w:t>
            </w:r>
            <w:r>
              <w:rPr>
                <w:rFonts w:hint="eastAsia" w:ascii="楷体" w:hAnsi="楷体" w:eastAsia="楷体"/>
                <w:b/>
                <w:i/>
                <w:sz w:val="24"/>
                <w:u w:val="single"/>
              </w:rPr>
              <w:t>由乙方自行负担</w:t>
            </w:r>
            <w:r>
              <w:rPr>
                <w:rFonts w:hint="eastAsia" w:ascii="楷体" w:hAnsi="楷体" w:eastAsia="楷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372" w:type="dxa"/>
            <w:tcBorders>
              <w:left w:val="single" w:color="auto" w:sz="4" w:space="0"/>
            </w:tcBorders>
            <w:vAlign w:val="center"/>
          </w:tcPr>
          <w:p>
            <w:pPr>
              <w:spacing w:line="360" w:lineRule="auto"/>
              <w:rPr>
                <w:rFonts w:ascii="楷体" w:hAnsi="楷体" w:eastAsia="楷体"/>
                <w:b/>
                <w:sz w:val="24"/>
              </w:rPr>
            </w:pPr>
            <w:bookmarkStart w:id="692" w:name="_Toc9802"/>
            <w:bookmarkStart w:id="693" w:name="_Toc25642"/>
            <w:r>
              <w:rPr>
                <w:rFonts w:ascii="楷体" w:hAnsi="楷体" w:eastAsia="楷体"/>
                <w:b/>
                <w:sz w:val="24"/>
              </w:rPr>
              <w:t>2.1</w:t>
            </w:r>
            <w:r>
              <w:rPr>
                <w:rFonts w:hint="eastAsia" w:ascii="楷体" w:hAnsi="楷体" w:eastAsia="楷体"/>
                <w:b/>
                <w:sz w:val="24"/>
              </w:rPr>
              <w:t>3</w:t>
            </w:r>
            <w:r>
              <w:rPr>
                <w:rFonts w:ascii="楷体" w:hAnsi="楷体" w:eastAsia="楷体"/>
                <w:b/>
                <w:sz w:val="24"/>
              </w:rPr>
              <w:t xml:space="preserve"> </w:t>
            </w:r>
            <w:r>
              <w:rPr>
                <w:rFonts w:hint="eastAsia" w:ascii="楷体" w:hAnsi="楷体" w:eastAsia="楷体"/>
                <w:b/>
                <w:sz w:val="24"/>
              </w:rPr>
              <w:t>不可抗力</w:t>
            </w:r>
            <w:bookmarkEnd w:id="692"/>
            <w:bookmarkEnd w:id="693"/>
          </w:p>
          <w:p>
            <w:pPr>
              <w:spacing w:line="360" w:lineRule="auto"/>
              <w:rPr>
                <w:rFonts w:ascii="楷体" w:hAnsi="楷体" w:eastAsia="楷体"/>
                <w:sz w:val="24"/>
              </w:rPr>
            </w:pPr>
          </w:p>
        </w:tc>
        <w:tc>
          <w:tcPr>
            <w:tcW w:w="7752" w:type="dxa"/>
            <w:vAlign w:val="center"/>
          </w:tcPr>
          <w:p>
            <w:pPr>
              <w:tabs>
                <w:tab w:val="left" w:pos="360"/>
                <w:tab w:val="left" w:pos="540"/>
                <w:tab w:val="left" w:pos="1080"/>
              </w:tabs>
              <w:spacing w:line="360" w:lineRule="auto"/>
              <w:rPr>
                <w:rFonts w:ascii="楷体" w:hAnsi="楷体" w:eastAsia="楷体"/>
                <w:sz w:val="24"/>
              </w:rPr>
            </w:pPr>
            <w:r>
              <w:rPr>
                <w:rFonts w:hint="eastAsia" w:ascii="楷体" w:hAnsi="楷体" w:eastAsia="楷体"/>
                <w:sz w:val="24"/>
              </w:rPr>
              <w:t>2.13.3 因不可抗力致使合同有变更必要的，双方当事人应在</w:t>
            </w:r>
            <w:r>
              <w:rPr>
                <w:rFonts w:hint="eastAsia" w:ascii="楷体" w:hAnsi="楷体" w:eastAsia="楷体"/>
                <w:sz w:val="24"/>
                <w:u w:val="single"/>
              </w:rPr>
              <w:t>30个工作日内</w:t>
            </w:r>
            <w:r>
              <w:rPr>
                <w:rFonts w:hint="eastAsia" w:ascii="楷体" w:hAnsi="楷体" w:eastAsia="楷体"/>
                <w:sz w:val="24"/>
              </w:rPr>
              <w:t>约定时间内以书面形式变更合同；</w:t>
            </w:r>
          </w:p>
          <w:p>
            <w:pPr>
              <w:tabs>
                <w:tab w:val="left" w:pos="360"/>
                <w:tab w:val="left" w:pos="540"/>
                <w:tab w:val="left" w:pos="1080"/>
              </w:tabs>
              <w:spacing w:line="360" w:lineRule="auto"/>
            </w:pPr>
            <w:r>
              <w:rPr>
                <w:rFonts w:hint="eastAsia" w:ascii="楷体" w:hAnsi="楷体" w:eastAsia="楷体"/>
                <w:sz w:val="24"/>
              </w:rPr>
              <w:t>2.13.4受不可抗力影响的一方在不可抗力发生后，应在</w:t>
            </w:r>
            <w:r>
              <w:rPr>
                <w:rFonts w:hint="eastAsia" w:ascii="楷体" w:hAnsi="楷体" w:eastAsia="楷体"/>
                <w:sz w:val="24"/>
                <w:u w:val="single"/>
              </w:rPr>
              <w:t>5个工作日内</w:t>
            </w:r>
            <w:r>
              <w:rPr>
                <w:rFonts w:hint="eastAsia" w:ascii="楷体" w:hAnsi="楷体" w:eastAsia="楷体"/>
                <w:sz w:val="24"/>
              </w:rPr>
              <w:t>约定时间内以书面形式通知对方当事人，并在</w:t>
            </w:r>
            <w:r>
              <w:rPr>
                <w:rFonts w:hint="eastAsia" w:ascii="楷体" w:hAnsi="楷体" w:eastAsia="楷体"/>
                <w:sz w:val="24"/>
                <w:u w:val="single"/>
              </w:rPr>
              <w:t>5个工作日内</w:t>
            </w:r>
            <w:r>
              <w:rPr>
                <w:rFonts w:hint="eastAsia" w:ascii="楷体" w:hAnsi="楷体" w:eastAsia="楷体"/>
                <w:sz w:val="24"/>
              </w:rPr>
              <w:t>约定时间内，将有关部门出具的证明文件送达对方当事人。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372" w:type="dxa"/>
            <w:tcBorders>
              <w:left w:val="single" w:color="auto" w:sz="4" w:space="0"/>
            </w:tcBorders>
            <w:vAlign w:val="center"/>
          </w:tcPr>
          <w:p>
            <w:pPr>
              <w:spacing w:line="360" w:lineRule="auto"/>
              <w:rPr>
                <w:rFonts w:ascii="楷体" w:hAnsi="楷体" w:eastAsia="楷体"/>
                <w:sz w:val="24"/>
              </w:rPr>
            </w:pPr>
            <w:bookmarkStart w:id="694" w:name="_Toc28863"/>
            <w:bookmarkStart w:id="695" w:name="_Toc20192"/>
            <w:r>
              <w:rPr>
                <w:rFonts w:ascii="楷体" w:hAnsi="楷体" w:eastAsia="楷体"/>
                <w:b/>
                <w:sz w:val="24"/>
              </w:rPr>
              <w:t>2.1</w:t>
            </w:r>
            <w:r>
              <w:rPr>
                <w:rFonts w:hint="eastAsia" w:ascii="楷体" w:hAnsi="楷体" w:eastAsia="楷体"/>
                <w:b/>
                <w:sz w:val="24"/>
              </w:rPr>
              <w:t>7</w:t>
            </w:r>
            <w:r>
              <w:rPr>
                <w:rFonts w:ascii="楷体" w:hAnsi="楷体" w:eastAsia="楷体"/>
                <w:b/>
                <w:sz w:val="24"/>
              </w:rPr>
              <w:t xml:space="preserve"> </w:t>
            </w:r>
            <w:r>
              <w:rPr>
                <w:rFonts w:hint="eastAsia" w:ascii="楷体" w:hAnsi="楷体" w:eastAsia="楷体"/>
                <w:b/>
                <w:sz w:val="24"/>
              </w:rPr>
              <w:t>检验和验收</w:t>
            </w:r>
            <w:bookmarkEnd w:id="694"/>
            <w:bookmarkEnd w:id="695"/>
          </w:p>
        </w:tc>
        <w:tc>
          <w:tcPr>
            <w:tcW w:w="7752" w:type="dxa"/>
            <w:vAlign w:val="center"/>
          </w:tcPr>
          <w:p>
            <w:pPr>
              <w:tabs>
                <w:tab w:val="left" w:pos="360"/>
                <w:tab w:val="left" w:pos="540"/>
                <w:tab w:val="left" w:pos="1080"/>
              </w:tabs>
              <w:spacing w:line="360" w:lineRule="auto"/>
              <w:ind w:firstLine="480" w:firstLineChars="200"/>
              <w:rPr>
                <w:rFonts w:ascii="楷体" w:hAnsi="楷体" w:eastAsia="楷体"/>
                <w:sz w:val="24"/>
              </w:rPr>
            </w:pPr>
            <w:r>
              <w:rPr>
                <w:rFonts w:ascii="楷体" w:hAnsi="楷体" w:eastAsia="楷体"/>
                <w:sz w:val="24"/>
              </w:rPr>
              <w:t>2.17.1</w:t>
            </w:r>
            <w:r>
              <w:rPr>
                <w:rFonts w:hint="eastAsia" w:ascii="楷体" w:hAnsi="楷体" w:eastAsia="楷体"/>
                <w:sz w:val="24"/>
              </w:rPr>
              <w:t>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3个工作日内</w:t>
            </w:r>
            <w:r>
              <w:rPr>
                <w:rFonts w:hint="eastAsia" w:ascii="楷体" w:hAnsi="楷体" w:eastAsia="楷体"/>
                <w:sz w:val="24"/>
              </w:rPr>
              <w:t>约定时间内组织验收，并可依法邀请相关方参加，验收应出具验收书。</w:t>
            </w:r>
          </w:p>
          <w:p>
            <w:pPr>
              <w:tabs>
                <w:tab w:val="left" w:pos="360"/>
                <w:tab w:val="left" w:pos="540"/>
                <w:tab w:val="left" w:pos="1080"/>
              </w:tabs>
              <w:spacing w:line="360" w:lineRule="auto"/>
              <w:ind w:firstLine="480" w:firstLineChars="200"/>
              <w:rPr>
                <w:rFonts w:ascii="楷体" w:hAnsi="楷体" w:eastAsia="楷体"/>
                <w:sz w:val="24"/>
              </w:rPr>
            </w:pPr>
            <w:r>
              <w:rPr>
                <w:rFonts w:ascii="楷体" w:hAnsi="楷体" w:eastAsia="楷体"/>
                <w:sz w:val="24"/>
              </w:rPr>
              <w:t>2.17.2</w:t>
            </w:r>
            <w:r>
              <w:rPr>
                <w:rFonts w:hint="eastAsia" w:ascii="楷体" w:hAnsi="楷体" w:eastAsia="楷体"/>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pPr>
            <w:r>
              <w:rPr>
                <w:rFonts w:ascii="楷体" w:hAnsi="楷体" w:eastAsia="楷体"/>
                <w:sz w:val="24"/>
              </w:rPr>
              <w:t xml:space="preserve">2.17.3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1、中标单位供货时需提供所有产品合格证；2、中标单位供货时需提供所有产品同批次国家认可部门出具的检验检测报告，若提供检验检测报告参数与投标文件不一致，需重新提供产品，不合格产品不予接收。3、符合行业标准，质量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372" w:type="dxa"/>
            <w:tcBorders>
              <w:left w:val="single" w:color="auto" w:sz="4" w:space="0"/>
            </w:tcBorders>
            <w:vAlign w:val="center"/>
          </w:tcPr>
          <w:p>
            <w:pPr>
              <w:spacing w:line="360" w:lineRule="auto"/>
              <w:rPr>
                <w:rFonts w:ascii="楷体" w:hAnsi="楷体" w:eastAsia="楷体"/>
                <w:sz w:val="24"/>
              </w:rPr>
            </w:pPr>
            <w:bookmarkStart w:id="696" w:name="_Toc30952"/>
            <w:bookmarkStart w:id="697" w:name="_Toc26595"/>
            <w:r>
              <w:rPr>
                <w:rFonts w:ascii="楷体" w:hAnsi="楷体" w:eastAsia="楷体"/>
                <w:b/>
                <w:sz w:val="24"/>
              </w:rPr>
              <w:t xml:space="preserve">2.21 </w:t>
            </w:r>
            <w:r>
              <w:rPr>
                <w:rFonts w:hint="eastAsia" w:ascii="楷体" w:hAnsi="楷体" w:eastAsia="楷体"/>
                <w:b/>
                <w:sz w:val="24"/>
              </w:rPr>
              <w:t>履约保证金</w:t>
            </w:r>
            <w:bookmarkEnd w:id="696"/>
            <w:bookmarkEnd w:id="697"/>
          </w:p>
        </w:tc>
        <w:tc>
          <w:tcPr>
            <w:tcW w:w="7752" w:type="dxa"/>
            <w:vAlign w:val="center"/>
          </w:tcPr>
          <w:p>
            <w:pPr>
              <w:spacing w:line="360" w:lineRule="auto"/>
              <w:ind w:firstLine="480" w:firstLineChars="200"/>
              <w:rPr>
                <w:rFonts w:ascii="楷体" w:hAnsi="楷体" w:eastAsia="楷体"/>
                <w:sz w:val="24"/>
              </w:rPr>
            </w:pPr>
            <w:r>
              <w:rPr>
                <w:rFonts w:hint="eastAsia" w:ascii="楷体" w:hAnsi="楷体" w:eastAsia="楷体"/>
                <w:sz w:val="24"/>
              </w:rPr>
              <w:t>2.21.1 采购文件要求乙方提交履约保证金的，乙方应按</w:t>
            </w:r>
            <w:r>
              <w:rPr>
                <w:rFonts w:hint="eastAsia" w:ascii="楷体" w:hAnsi="楷体" w:eastAsia="楷体"/>
                <w:b/>
                <w:i/>
                <w:sz w:val="24"/>
                <w:u w:val="single"/>
              </w:rPr>
              <w:t xml:space="preserve">    </w:t>
            </w:r>
            <w:r>
              <w:rPr>
                <w:rFonts w:hint="eastAsia" w:ascii="楷体" w:hAnsi="楷体" w:eastAsia="楷体"/>
                <w:sz w:val="24"/>
              </w:rPr>
              <w:t>约定的方式，以支票、汇票、本票或者金融机构、担保机构出具的保函等非现金形式，提交不超过合同价10%的履约保证金；</w:t>
            </w:r>
          </w:p>
          <w:p>
            <w:pPr>
              <w:spacing w:line="360" w:lineRule="auto"/>
              <w:ind w:firstLine="480" w:firstLineChars="200"/>
            </w:pPr>
            <w:r>
              <w:rPr>
                <w:rFonts w:hint="eastAsia" w:ascii="楷体" w:hAnsi="楷体" w:eastAsia="楷体"/>
                <w:sz w:val="24"/>
              </w:rPr>
              <w:t>2.21.2 履约保证金</w:t>
            </w:r>
            <w:r>
              <w:rPr>
                <w:rFonts w:hint="eastAsia" w:ascii="楷体" w:hAnsi="楷体" w:eastAsia="楷体"/>
                <w:b/>
                <w:i/>
                <w:sz w:val="24"/>
                <w:u w:val="single"/>
              </w:rPr>
              <w:t>在未达到检验和验收标准前</w:t>
            </w:r>
            <w:r>
              <w:rPr>
                <w:rFonts w:hint="eastAsia" w:ascii="楷体" w:hAnsi="楷体" w:eastAsia="楷体"/>
                <w:sz w:val="24"/>
              </w:rPr>
              <w:t>约定期间内不予退还或者应完全有效，前述约定期间届满之日起</w:t>
            </w:r>
            <w:r>
              <w:rPr>
                <w:rFonts w:hint="eastAsia" w:ascii="楷体" w:hAnsi="楷体" w:eastAsia="楷体"/>
                <w:b/>
                <w:i/>
                <w:sz w:val="24"/>
                <w:u w:val="single"/>
              </w:rPr>
              <w:t xml:space="preserve"> 7 </w:t>
            </w:r>
            <w:r>
              <w:rPr>
                <w:rFonts w:hint="eastAsia" w:ascii="楷体" w:hAnsi="楷体" w:eastAsia="楷体"/>
                <w:sz w:val="24"/>
              </w:rPr>
              <w:t>个工作日内，甲方应将履约保证金退还乙方；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372" w:type="dxa"/>
            <w:tcBorders>
              <w:left w:val="single" w:color="auto" w:sz="4" w:space="0"/>
            </w:tcBorders>
            <w:vAlign w:val="center"/>
          </w:tcPr>
          <w:p>
            <w:pPr>
              <w:spacing w:line="360" w:lineRule="auto"/>
              <w:rPr>
                <w:rFonts w:ascii="楷体" w:hAnsi="楷体" w:eastAsia="楷体"/>
                <w:sz w:val="24"/>
              </w:rPr>
            </w:pPr>
            <w:bookmarkStart w:id="698" w:name="_Toc29343"/>
            <w:bookmarkStart w:id="699" w:name="_Toc4449"/>
            <w:r>
              <w:rPr>
                <w:rFonts w:hint="eastAsia" w:ascii="楷体" w:hAnsi="楷体" w:eastAsia="楷体"/>
                <w:b/>
                <w:sz w:val="24"/>
              </w:rPr>
              <w:t>2.22 合同份数</w:t>
            </w:r>
            <w:bookmarkEnd w:id="698"/>
            <w:bookmarkEnd w:id="699"/>
          </w:p>
        </w:tc>
        <w:tc>
          <w:tcPr>
            <w:tcW w:w="7752" w:type="dxa"/>
            <w:vAlign w:val="center"/>
          </w:tcPr>
          <w:p>
            <w:pPr>
              <w:spacing w:line="360" w:lineRule="auto"/>
              <w:rPr>
                <w:rFonts w:ascii="楷体" w:hAnsi="楷体" w:eastAsia="楷体"/>
                <w:sz w:val="24"/>
                <w:u w:val="single"/>
              </w:rPr>
            </w:pPr>
            <w:r>
              <w:rPr>
                <w:rFonts w:hint="eastAsia" w:ascii="楷体" w:hAnsi="楷体" w:eastAsia="楷体"/>
                <w:sz w:val="24"/>
              </w:rPr>
              <w:t>合同份数为</w:t>
            </w:r>
            <w:r>
              <w:rPr>
                <w:rFonts w:hint="eastAsia" w:ascii="楷体" w:hAnsi="楷体" w:eastAsia="楷体"/>
                <w:b/>
                <w:i/>
                <w:sz w:val="24"/>
                <w:u w:val="single"/>
              </w:rPr>
              <w:t>正本两份，副本六份</w:t>
            </w:r>
            <w:r>
              <w:rPr>
                <w:rFonts w:hint="eastAsia" w:ascii="楷体" w:hAnsi="楷体" w:eastAsia="楷体"/>
                <w:sz w:val="24"/>
              </w:rPr>
              <w:t>规定，每份均具有同等法律效力。</w:t>
            </w:r>
          </w:p>
        </w:tc>
      </w:tr>
    </w:tbl>
    <w:p>
      <w:pPr>
        <w:pStyle w:val="8"/>
        <w:spacing w:line="240" w:lineRule="atLeast"/>
        <w:ind w:left="1080" w:leftChars="257" w:hanging="540"/>
        <w:rPr>
          <w:rFonts w:ascii="仿宋_GB2312" w:eastAsia="仿宋_GB2312"/>
          <w:sz w:val="28"/>
        </w:rPr>
      </w:pPr>
    </w:p>
    <w:sectPr>
      <w:footerReference r:id="rId14" w:type="default"/>
      <w:pgSz w:w="11907" w:h="16840"/>
      <w:pgMar w:top="1134" w:right="1417" w:bottom="1134" w:left="141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10" w:usb3="00000000" w:csb0="0004009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11" name="文本框 3"/>
              <wp:cNvGraphicFramePr/>
              <a:graphic xmlns:a="http://schemas.openxmlformats.org/drawingml/2006/main">
                <a:graphicData uri="http://schemas.microsoft.com/office/word/2010/wordprocessingShape">
                  <wps:wsp>
                    <wps:cNvSpPr txBox="1"/>
                    <wps:spPr bwMode="auto">
                      <a:xfrm>
                        <a:off x="0" y="0"/>
                        <a:ext cx="114935" cy="148590"/>
                      </a:xfrm>
                      <a:prstGeom prst="rect">
                        <a:avLst/>
                      </a:prstGeom>
                      <a:noFill/>
                      <a:ln>
                        <a:noFill/>
                      </a:ln>
                    </wps:spPr>
                    <wps:txbx>
                      <w:txbxContent>
                        <w:p>
                          <w:pPr>
                            <w:pStyle w:val="18"/>
                            <w:jc w:val="center"/>
                          </w:pPr>
                          <w:r>
                            <w:fldChar w:fldCharType="begin"/>
                          </w:r>
                          <w:r>
                            <w:instrText xml:space="preserve">PAGE   \* MERGEFORMAT</w:instrText>
                          </w:r>
                          <w:r>
                            <w:fldChar w:fldCharType="separate"/>
                          </w:r>
                          <w:r>
                            <w:rPr>
                              <w:lang w:val="zh-CN"/>
                            </w:rPr>
                            <w:t>43</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Au&#10;gUXRAAAAAwEAAA8AAAAAAAAAAQAgAAAAIgAAAGRycy9kb3ducmV2LnhtbFBLAQIUABQAAAAIAIdO&#10;4kC4QOy+8QEAANMDAAAOAAAAAAAAAAEAIAAAACABAABkcnMvZTJvRG9jLnhtbFBLBQYAAAAABgAG&#10;AFkBAACDBQA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43</w:t>
                    </w:r>
                    <w:r>
                      <w:fldChar w:fldCharType="end"/>
                    </w:r>
                  </w:p>
                </w:txbxContent>
              </v:textbox>
            </v:shape>
          </w:pict>
        </mc:Fallback>
      </mc:AlternateContent>
    </w:r>
  </w:p>
  <w:p>
    <w:pPr>
      <w:pStyle w:val="1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end"/>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18"/>
                            <w:jc w:val="center"/>
                          </w:pPr>
                          <w:r>
                            <w:fldChar w:fldCharType="begin"/>
                          </w:r>
                          <w:r>
                            <w:instrText xml:space="preserve">PAGE   \* MERGEFORMAT</w:instrText>
                          </w:r>
                          <w:r>
                            <w:fldChar w:fldCharType="separate"/>
                          </w:r>
                          <w:r>
                            <w:rPr>
                              <w:lang w:val="zh-CN"/>
                            </w:rPr>
                            <w:t>67</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Npat/OsB&#10;AADVAwAADgAAAAAAAAABACAAAAAeAQAAZHJzL2Uyb0RvYy54bWxQSwUGAAAAAAYABgBZAQAAewUA&#10;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67</w:t>
                    </w:r>
                    <w:r>
                      <w:rPr>
                        <w:lang w:val="zh-CN"/>
                      </w:rPr>
                      <w:fldChar w:fldCharType="end"/>
                    </w:r>
                  </w:p>
                </w:txbxContent>
              </v:textbox>
            </v:shape>
          </w:pict>
        </mc:Fallback>
      </mc:AlternateContent>
    </w:r>
  </w:p>
  <w:p>
    <w:pPr>
      <w:pStyle w:val="1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18"/>
                            <w:jc w:val="center"/>
                          </w:pPr>
                          <w:r>
                            <w:fldChar w:fldCharType="begin"/>
                          </w:r>
                          <w:r>
                            <w:instrText xml:space="preserve">PAGE   \* MERGEFORMAT</w:instrText>
                          </w:r>
                          <w:r>
                            <w:fldChar w:fldCharType="separate"/>
                          </w:r>
                          <w:r>
                            <w:rPr>
                              <w:lang w:val="zh-CN"/>
                            </w:rPr>
                            <w:t>67</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1sFnQ+sB&#10;AADVAwAADgAAAAAAAAABACAAAAAeAQAAZHJzL2Uyb0RvYy54bWxQSwUGAAAAAAYABgBZAQAAewUA&#10;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67</w:t>
                    </w:r>
                    <w:r>
                      <w:rPr>
                        <w:lang w:val="zh-CN"/>
                      </w:rPr>
                      <w:fldChar w:fldCharType="end"/>
                    </w:r>
                  </w:p>
                </w:txbxContent>
              </v:textbox>
            </v:shape>
          </w:pict>
        </mc:Fallback>
      </mc:AlternateContent>
    </w:r>
  </w:p>
  <w:p>
    <w:pPr>
      <w:pStyle w:val="1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9" name="文本框 5"/>
              <wp:cNvGraphicFramePr/>
              <a:graphic xmlns:a="http://schemas.openxmlformats.org/drawingml/2006/main">
                <a:graphicData uri="http://schemas.microsoft.com/office/word/2010/wordprocessingShape">
                  <wps:wsp>
                    <wps:cNvSpPr txBox="1"/>
                    <wps:spPr bwMode="auto">
                      <a:xfrm>
                        <a:off x="0" y="0"/>
                        <a:ext cx="114935" cy="148590"/>
                      </a:xfrm>
                      <a:prstGeom prst="rect">
                        <a:avLst/>
                      </a:prstGeom>
                      <a:noFill/>
                      <a:ln>
                        <a:noFill/>
                      </a:ln>
                    </wps:spPr>
                    <wps:txbx>
                      <w:txbxContent>
                        <w:p>
                          <w:pPr>
                            <w:pStyle w:val="18"/>
                            <w:jc w:val="center"/>
                          </w:pPr>
                          <w:r>
                            <w:fldChar w:fldCharType="begin"/>
                          </w:r>
                          <w:r>
                            <w:instrText xml:space="preserve">PAGE   \* MERGEFORMAT</w:instrText>
                          </w:r>
                          <w:r>
                            <w:fldChar w:fldCharType="separate"/>
                          </w:r>
                          <w:r>
                            <w:rPr>
                              <w:lang w:val="zh-CN"/>
                            </w:rPr>
                            <w:t>73</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C6B&#10;RdEAAAADAQAADwAAAAAAAAABACAAAAAiAAAAZHJzL2Rvd25yZXYueG1sUEsBAhQAFAAAAAgAh07i&#10;QB4qb+HwAQAA0gMAAA4AAAAAAAAAAQAgAAAAIAEAAGRycy9lMm9Eb2MueG1sUEsFBgAAAAAGAAYA&#10;WQEAAIIFAA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73</w:t>
                    </w:r>
                    <w:r>
                      <w:fldChar w:fldCharType="end"/>
                    </w:r>
                  </w:p>
                </w:txbxContent>
              </v:textbox>
            </v:shape>
          </w:pict>
        </mc:Fallback>
      </mc:AlternateContent>
    </w:r>
  </w:p>
  <w:p>
    <w:pPr>
      <w:pStyle w:val="18"/>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EB4B074C"/>
    <w:multiLevelType w:val="singleLevel"/>
    <w:tmpl w:val="EB4B074C"/>
    <w:lvl w:ilvl="0" w:tentative="0">
      <w:start w:val="1"/>
      <w:numFmt w:val="decimal"/>
      <w:lvlText w:val="%1."/>
      <w:lvlJc w:val="left"/>
      <w:pPr>
        <w:tabs>
          <w:tab w:val="left" w:pos="312"/>
        </w:tabs>
      </w:pPr>
    </w:lvl>
  </w:abstractNum>
  <w:abstractNum w:abstractNumId="2">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323B8C51"/>
    <w:multiLevelType w:val="singleLevel"/>
    <w:tmpl w:val="323B8C51"/>
    <w:lvl w:ilvl="0" w:tentative="0">
      <w:start w:val="5"/>
      <w:numFmt w:val="decimal"/>
      <w:suff w:val="nothing"/>
      <w:lvlText w:val="%1）"/>
      <w:lvlJc w:val="left"/>
    </w:lvl>
  </w:abstractNum>
  <w:abstractNum w:abstractNumId="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330E4A85"/>
    <w:multiLevelType w:val="singleLevel"/>
    <w:tmpl w:val="330E4A85"/>
    <w:lvl w:ilvl="0" w:tentative="0">
      <w:start w:val="1"/>
      <w:numFmt w:val="decimal"/>
      <w:lvlText w:val="%1)"/>
      <w:lvlJc w:val="left"/>
      <w:pPr>
        <w:ind w:left="425" w:hanging="425"/>
      </w:pPr>
      <w:rPr>
        <w:rFonts w:hint="default"/>
      </w:rPr>
    </w:lvl>
  </w:abstractNum>
  <w:abstractNum w:abstractNumId="8">
    <w:nsid w:val="39C9A70D"/>
    <w:multiLevelType w:val="singleLevel"/>
    <w:tmpl w:val="39C9A70D"/>
    <w:lvl w:ilvl="0" w:tentative="0">
      <w:start w:val="2"/>
      <w:numFmt w:val="chineseCounting"/>
      <w:suff w:val="nothing"/>
      <w:lvlText w:val="%1、"/>
      <w:lvlJc w:val="left"/>
      <w:rPr>
        <w:rFonts w:hint="eastAsia"/>
      </w:rPr>
    </w:lvl>
  </w:abstractNum>
  <w:abstractNum w:abstractNumId="9">
    <w:nsid w:val="49A6306B"/>
    <w:multiLevelType w:val="singleLevel"/>
    <w:tmpl w:val="49A6306B"/>
    <w:lvl w:ilvl="0" w:tentative="0">
      <w:start w:val="1"/>
      <w:numFmt w:val="decimal"/>
      <w:lvlText w:val="%1)"/>
      <w:lvlJc w:val="left"/>
      <w:pPr>
        <w:ind w:left="425" w:hanging="425"/>
      </w:pPr>
      <w:rPr>
        <w:rFonts w:hint="default"/>
      </w:rPr>
    </w:lvl>
  </w:abstractNum>
  <w:abstractNum w:abstractNumId="10">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6"/>
  </w:num>
  <w:num w:numId="2">
    <w:abstractNumId w:val="2"/>
  </w:num>
  <w:num w:numId="3">
    <w:abstractNumId w:val="4"/>
  </w:num>
  <w:num w:numId="4">
    <w:abstractNumId w:val="10"/>
  </w:num>
  <w:num w:numId="5">
    <w:abstractNumId w:val="0"/>
  </w:num>
  <w:num w:numId="6">
    <w:abstractNumId w:val="3"/>
  </w:num>
  <w:num w:numId="7">
    <w:abstractNumId w:val="7"/>
  </w:num>
  <w:num w:numId="8">
    <w:abstractNumId w:val="9"/>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zE1YmVhMjIyOTJiNzMzYTFhM2FiZDk3NmUxYTEwODQ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2A6E"/>
    <w:rsid w:val="000D4E69"/>
    <w:rsid w:val="000D5125"/>
    <w:rsid w:val="000D7812"/>
    <w:rsid w:val="000E1288"/>
    <w:rsid w:val="000E3784"/>
    <w:rsid w:val="000E37E0"/>
    <w:rsid w:val="000E45BD"/>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7C74"/>
    <w:rsid w:val="00157D8E"/>
    <w:rsid w:val="00161588"/>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3F7"/>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3E32"/>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86D"/>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05DF3"/>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4854"/>
    <w:rsid w:val="004E5FCE"/>
    <w:rsid w:val="004F036B"/>
    <w:rsid w:val="004F052D"/>
    <w:rsid w:val="004F0E54"/>
    <w:rsid w:val="004F7B7E"/>
    <w:rsid w:val="00501785"/>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6557D"/>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5F5FC1"/>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239D"/>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3C86"/>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2CEC"/>
    <w:rsid w:val="00BE4E80"/>
    <w:rsid w:val="00BE68B4"/>
    <w:rsid w:val="00C029B6"/>
    <w:rsid w:val="00C03B0F"/>
    <w:rsid w:val="00C03E68"/>
    <w:rsid w:val="00C05139"/>
    <w:rsid w:val="00C124B7"/>
    <w:rsid w:val="00C14785"/>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586"/>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D7CC6"/>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401F5A"/>
    <w:rsid w:val="01592D24"/>
    <w:rsid w:val="01775986"/>
    <w:rsid w:val="018E7ABF"/>
    <w:rsid w:val="0198796C"/>
    <w:rsid w:val="01C133B8"/>
    <w:rsid w:val="020F2171"/>
    <w:rsid w:val="023B1F11"/>
    <w:rsid w:val="02A3645B"/>
    <w:rsid w:val="02E93A76"/>
    <w:rsid w:val="02F778BD"/>
    <w:rsid w:val="031073F5"/>
    <w:rsid w:val="03121468"/>
    <w:rsid w:val="03822C68"/>
    <w:rsid w:val="039F2BBC"/>
    <w:rsid w:val="03D96AC5"/>
    <w:rsid w:val="04507644"/>
    <w:rsid w:val="05071955"/>
    <w:rsid w:val="050B36B6"/>
    <w:rsid w:val="051E3875"/>
    <w:rsid w:val="0533125B"/>
    <w:rsid w:val="054F4EE9"/>
    <w:rsid w:val="06AB5586"/>
    <w:rsid w:val="06CB44B7"/>
    <w:rsid w:val="06DD0584"/>
    <w:rsid w:val="06EE20B1"/>
    <w:rsid w:val="075B63E2"/>
    <w:rsid w:val="07B1625B"/>
    <w:rsid w:val="07D96E9C"/>
    <w:rsid w:val="08534B88"/>
    <w:rsid w:val="08F062C2"/>
    <w:rsid w:val="090B19E1"/>
    <w:rsid w:val="0910646C"/>
    <w:rsid w:val="09AC6517"/>
    <w:rsid w:val="09E15530"/>
    <w:rsid w:val="0A1B58FF"/>
    <w:rsid w:val="0A5840A2"/>
    <w:rsid w:val="0A6D7B49"/>
    <w:rsid w:val="0AD11D45"/>
    <w:rsid w:val="0AE903B8"/>
    <w:rsid w:val="0AFF2E86"/>
    <w:rsid w:val="0B1873A5"/>
    <w:rsid w:val="0B73072B"/>
    <w:rsid w:val="0B7462A1"/>
    <w:rsid w:val="0BA16641"/>
    <w:rsid w:val="0CAB6A33"/>
    <w:rsid w:val="0CAC6BB6"/>
    <w:rsid w:val="0CC34F37"/>
    <w:rsid w:val="0CEA1C84"/>
    <w:rsid w:val="0D864353"/>
    <w:rsid w:val="0DD505F0"/>
    <w:rsid w:val="0DEA5E6A"/>
    <w:rsid w:val="0DFC36FB"/>
    <w:rsid w:val="0EB37705"/>
    <w:rsid w:val="0EC658EC"/>
    <w:rsid w:val="0EF4230F"/>
    <w:rsid w:val="0F0D26CC"/>
    <w:rsid w:val="0F184ADA"/>
    <w:rsid w:val="0F1D38DB"/>
    <w:rsid w:val="0FA1669B"/>
    <w:rsid w:val="10614687"/>
    <w:rsid w:val="10EF538B"/>
    <w:rsid w:val="11312DC0"/>
    <w:rsid w:val="114701EB"/>
    <w:rsid w:val="118848CF"/>
    <w:rsid w:val="11C11380"/>
    <w:rsid w:val="12092462"/>
    <w:rsid w:val="120F2891"/>
    <w:rsid w:val="121D403F"/>
    <w:rsid w:val="129F7C67"/>
    <w:rsid w:val="12A3780B"/>
    <w:rsid w:val="13380DD8"/>
    <w:rsid w:val="1344521A"/>
    <w:rsid w:val="13645ACB"/>
    <w:rsid w:val="13B302FC"/>
    <w:rsid w:val="13E62E35"/>
    <w:rsid w:val="13E957B5"/>
    <w:rsid w:val="13F07A58"/>
    <w:rsid w:val="13F54664"/>
    <w:rsid w:val="14412BB2"/>
    <w:rsid w:val="1455673D"/>
    <w:rsid w:val="146F2D0E"/>
    <w:rsid w:val="15A078BC"/>
    <w:rsid w:val="15AE733A"/>
    <w:rsid w:val="16D058B3"/>
    <w:rsid w:val="16F93153"/>
    <w:rsid w:val="172A1253"/>
    <w:rsid w:val="17A600A5"/>
    <w:rsid w:val="18904498"/>
    <w:rsid w:val="18A3471E"/>
    <w:rsid w:val="192B4DF7"/>
    <w:rsid w:val="19BA6371"/>
    <w:rsid w:val="19F90D7B"/>
    <w:rsid w:val="1A367F46"/>
    <w:rsid w:val="1A4964D8"/>
    <w:rsid w:val="1AD41AAE"/>
    <w:rsid w:val="1AF6583C"/>
    <w:rsid w:val="1B7B66B5"/>
    <w:rsid w:val="1BCF7D1F"/>
    <w:rsid w:val="1BE33357"/>
    <w:rsid w:val="1C225F98"/>
    <w:rsid w:val="1C272EF4"/>
    <w:rsid w:val="1C601FA0"/>
    <w:rsid w:val="1D320A97"/>
    <w:rsid w:val="1D3541D9"/>
    <w:rsid w:val="1D3E6FE0"/>
    <w:rsid w:val="1D4F2685"/>
    <w:rsid w:val="1DEC300D"/>
    <w:rsid w:val="1E176789"/>
    <w:rsid w:val="1E3E2D25"/>
    <w:rsid w:val="1E4507E4"/>
    <w:rsid w:val="1E6210B8"/>
    <w:rsid w:val="1EC014EF"/>
    <w:rsid w:val="1EC664F8"/>
    <w:rsid w:val="1EDA6951"/>
    <w:rsid w:val="1F4E1784"/>
    <w:rsid w:val="1FF91559"/>
    <w:rsid w:val="21A3266E"/>
    <w:rsid w:val="21D20555"/>
    <w:rsid w:val="21E8233F"/>
    <w:rsid w:val="22155EFF"/>
    <w:rsid w:val="224E6CFC"/>
    <w:rsid w:val="226006F6"/>
    <w:rsid w:val="23207452"/>
    <w:rsid w:val="2364528E"/>
    <w:rsid w:val="2395665B"/>
    <w:rsid w:val="23A31F79"/>
    <w:rsid w:val="24F36825"/>
    <w:rsid w:val="250E7091"/>
    <w:rsid w:val="25445D9E"/>
    <w:rsid w:val="25450BA8"/>
    <w:rsid w:val="261467FB"/>
    <w:rsid w:val="263D4A6F"/>
    <w:rsid w:val="26CF57CC"/>
    <w:rsid w:val="26F01CB2"/>
    <w:rsid w:val="27022042"/>
    <w:rsid w:val="276C29FF"/>
    <w:rsid w:val="27B13177"/>
    <w:rsid w:val="28855A7D"/>
    <w:rsid w:val="28D40A58"/>
    <w:rsid w:val="29730B78"/>
    <w:rsid w:val="29EB624B"/>
    <w:rsid w:val="2A452A94"/>
    <w:rsid w:val="2A472991"/>
    <w:rsid w:val="2A610CCD"/>
    <w:rsid w:val="2ABF25ED"/>
    <w:rsid w:val="2B2A3917"/>
    <w:rsid w:val="2BE95450"/>
    <w:rsid w:val="2C0440A1"/>
    <w:rsid w:val="2C150AC6"/>
    <w:rsid w:val="2C2643AF"/>
    <w:rsid w:val="2CC76232"/>
    <w:rsid w:val="2CF271A5"/>
    <w:rsid w:val="2D3175F2"/>
    <w:rsid w:val="2D395076"/>
    <w:rsid w:val="2D426A09"/>
    <w:rsid w:val="2D601D72"/>
    <w:rsid w:val="2D69305E"/>
    <w:rsid w:val="2D8400D7"/>
    <w:rsid w:val="2D851D9A"/>
    <w:rsid w:val="2DBB4827"/>
    <w:rsid w:val="2EDE0726"/>
    <w:rsid w:val="2F7B10A8"/>
    <w:rsid w:val="2F917CA1"/>
    <w:rsid w:val="2FE7396B"/>
    <w:rsid w:val="300D7D4A"/>
    <w:rsid w:val="302D77E8"/>
    <w:rsid w:val="3096731A"/>
    <w:rsid w:val="31FE7C49"/>
    <w:rsid w:val="324463DD"/>
    <w:rsid w:val="3256011D"/>
    <w:rsid w:val="34032FEB"/>
    <w:rsid w:val="346644D8"/>
    <w:rsid w:val="34D84DA0"/>
    <w:rsid w:val="35B6520A"/>
    <w:rsid w:val="35FC7755"/>
    <w:rsid w:val="360607D9"/>
    <w:rsid w:val="36190C5C"/>
    <w:rsid w:val="3638656A"/>
    <w:rsid w:val="363D616D"/>
    <w:rsid w:val="3680580C"/>
    <w:rsid w:val="37297DB7"/>
    <w:rsid w:val="37C200DF"/>
    <w:rsid w:val="385A07E5"/>
    <w:rsid w:val="38982204"/>
    <w:rsid w:val="389E008F"/>
    <w:rsid w:val="38A94C99"/>
    <w:rsid w:val="38D6246F"/>
    <w:rsid w:val="38F00189"/>
    <w:rsid w:val="3952088D"/>
    <w:rsid w:val="3A3C70DA"/>
    <w:rsid w:val="3A8E5D10"/>
    <w:rsid w:val="3AE11A4E"/>
    <w:rsid w:val="3B10495E"/>
    <w:rsid w:val="3B2A4FB6"/>
    <w:rsid w:val="3B932D9C"/>
    <w:rsid w:val="3BD26834"/>
    <w:rsid w:val="3C19288C"/>
    <w:rsid w:val="3CBA43FC"/>
    <w:rsid w:val="3CCE5FE8"/>
    <w:rsid w:val="3D3229CE"/>
    <w:rsid w:val="3D573AAE"/>
    <w:rsid w:val="3D6B54C6"/>
    <w:rsid w:val="3DDC6AF7"/>
    <w:rsid w:val="3E0F066E"/>
    <w:rsid w:val="3E500D27"/>
    <w:rsid w:val="3E5F1E94"/>
    <w:rsid w:val="3EFE0737"/>
    <w:rsid w:val="3F022944"/>
    <w:rsid w:val="3F125943"/>
    <w:rsid w:val="3F5142EF"/>
    <w:rsid w:val="3F817D6A"/>
    <w:rsid w:val="3FAF4912"/>
    <w:rsid w:val="3FF700CE"/>
    <w:rsid w:val="406A72FF"/>
    <w:rsid w:val="406F20EF"/>
    <w:rsid w:val="4073449A"/>
    <w:rsid w:val="40CD787E"/>
    <w:rsid w:val="410D6E52"/>
    <w:rsid w:val="41B45748"/>
    <w:rsid w:val="421B7832"/>
    <w:rsid w:val="42254A34"/>
    <w:rsid w:val="42876CE2"/>
    <w:rsid w:val="429462ED"/>
    <w:rsid w:val="42BC7DDF"/>
    <w:rsid w:val="42D46C25"/>
    <w:rsid w:val="43076C51"/>
    <w:rsid w:val="437E2698"/>
    <w:rsid w:val="43801C1B"/>
    <w:rsid w:val="43AD43B9"/>
    <w:rsid w:val="43E36FA1"/>
    <w:rsid w:val="44201AAB"/>
    <w:rsid w:val="448A72D9"/>
    <w:rsid w:val="44EF1B82"/>
    <w:rsid w:val="45797C51"/>
    <w:rsid w:val="45A168B6"/>
    <w:rsid w:val="45EE4E64"/>
    <w:rsid w:val="46046ED5"/>
    <w:rsid w:val="461B2714"/>
    <w:rsid w:val="46F41301"/>
    <w:rsid w:val="46FC6C97"/>
    <w:rsid w:val="473D2DF8"/>
    <w:rsid w:val="474C5D07"/>
    <w:rsid w:val="47F66832"/>
    <w:rsid w:val="493A0766"/>
    <w:rsid w:val="496C0A81"/>
    <w:rsid w:val="49E8120D"/>
    <w:rsid w:val="4A31006F"/>
    <w:rsid w:val="4B807D59"/>
    <w:rsid w:val="4BA72EF2"/>
    <w:rsid w:val="4BE334A5"/>
    <w:rsid w:val="4C0D2D2A"/>
    <w:rsid w:val="4C3E203F"/>
    <w:rsid w:val="4C4A2448"/>
    <w:rsid w:val="4CF55843"/>
    <w:rsid w:val="4CF6285E"/>
    <w:rsid w:val="4D71117B"/>
    <w:rsid w:val="4DAC0F43"/>
    <w:rsid w:val="4DED52D5"/>
    <w:rsid w:val="4E3B2540"/>
    <w:rsid w:val="4ECF17A1"/>
    <w:rsid w:val="4F4B17C3"/>
    <w:rsid w:val="4F73779A"/>
    <w:rsid w:val="4FAB13D6"/>
    <w:rsid w:val="4FAC2326"/>
    <w:rsid w:val="4FB97DFA"/>
    <w:rsid w:val="50902684"/>
    <w:rsid w:val="50DF56DA"/>
    <w:rsid w:val="50F75801"/>
    <w:rsid w:val="516A1F01"/>
    <w:rsid w:val="5263624F"/>
    <w:rsid w:val="52693681"/>
    <w:rsid w:val="527103FC"/>
    <w:rsid w:val="529A792F"/>
    <w:rsid w:val="52A4759B"/>
    <w:rsid w:val="52B35629"/>
    <w:rsid w:val="52D32AFD"/>
    <w:rsid w:val="53481136"/>
    <w:rsid w:val="539F3171"/>
    <w:rsid w:val="54C857DA"/>
    <w:rsid w:val="54E11994"/>
    <w:rsid w:val="551E6F4F"/>
    <w:rsid w:val="558D47D9"/>
    <w:rsid w:val="55992337"/>
    <w:rsid w:val="55DC418F"/>
    <w:rsid w:val="561F1F50"/>
    <w:rsid w:val="56262AA1"/>
    <w:rsid w:val="562E2336"/>
    <w:rsid w:val="565F1615"/>
    <w:rsid w:val="566540B9"/>
    <w:rsid w:val="568970B9"/>
    <w:rsid w:val="56C715FB"/>
    <w:rsid w:val="58DF6CF4"/>
    <w:rsid w:val="5904132B"/>
    <w:rsid w:val="59157827"/>
    <w:rsid w:val="594400A5"/>
    <w:rsid w:val="59460EC7"/>
    <w:rsid w:val="59C90F05"/>
    <w:rsid w:val="5A9410D3"/>
    <w:rsid w:val="5AB23A35"/>
    <w:rsid w:val="5AF413B3"/>
    <w:rsid w:val="5B4F7AA0"/>
    <w:rsid w:val="5B8C1799"/>
    <w:rsid w:val="5BD92EF8"/>
    <w:rsid w:val="5C3914B8"/>
    <w:rsid w:val="5C6D68F5"/>
    <w:rsid w:val="5C85755D"/>
    <w:rsid w:val="5D13323E"/>
    <w:rsid w:val="5D153410"/>
    <w:rsid w:val="5D7647EC"/>
    <w:rsid w:val="5DBA1FF8"/>
    <w:rsid w:val="5DE8652C"/>
    <w:rsid w:val="5E1D3725"/>
    <w:rsid w:val="5E2A65EB"/>
    <w:rsid w:val="5E37668B"/>
    <w:rsid w:val="5E9C51FA"/>
    <w:rsid w:val="5EC42D73"/>
    <w:rsid w:val="5ED54C52"/>
    <w:rsid w:val="5F2F7AB2"/>
    <w:rsid w:val="5F92436A"/>
    <w:rsid w:val="60C346C6"/>
    <w:rsid w:val="60C73328"/>
    <w:rsid w:val="60DA4BB2"/>
    <w:rsid w:val="61141727"/>
    <w:rsid w:val="61D41829"/>
    <w:rsid w:val="61E50EE4"/>
    <w:rsid w:val="624B70C0"/>
    <w:rsid w:val="625E1FC6"/>
    <w:rsid w:val="630048F7"/>
    <w:rsid w:val="63215DB8"/>
    <w:rsid w:val="632757F0"/>
    <w:rsid w:val="63B77B8E"/>
    <w:rsid w:val="63C6507C"/>
    <w:rsid w:val="63FE1A8B"/>
    <w:rsid w:val="6450315B"/>
    <w:rsid w:val="645079A9"/>
    <w:rsid w:val="64BE130D"/>
    <w:rsid w:val="650A4AEB"/>
    <w:rsid w:val="666E595E"/>
    <w:rsid w:val="668F7750"/>
    <w:rsid w:val="67A8515A"/>
    <w:rsid w:val="67FA2386"/>
    <w:rsid w:val="6878082B"/>
    <w:rsid w:val="689645F9"/>
    <w:rsid w:val="68BE670A"/>
    <w:rsid w:val="68F0733C"/>
    <w:rsid w:val="68F10571"/>
    <w:rsid w:val="68FF21EF"/>
    <w:rsid w:val="692B0CE1"/>
    <w:rsid w:val="6A160FCF"/>
    <w:rsid w:val="6A296146"/>
    <w:rsid w:val="6A8F72B9"/>
    <w:rsid w:val="6AAB7F50"/>
    <w:rsid w:val="6AAF5A0E"/>
    <w:rsid w:val="6AF20FCD"/>
    <w:rsid w:val="6BB46349"/>
    <w:rsid w:val="6BC504B9"/>
    <w:rsid w:val="6C310293"/>
    <w:rsid w:val="6C5D7FE5"/>
    <w:rsid w:val="6CC90D79"/>
    <w:rsid w:val="6D9956BA"/>
    <w:rsid w:val="6DFC0089"/>
    <w:rsid w:val="6DFC351E"/>
    <w:rsid w:val="6E045935"/>
    <w:rsid w:val="6E625129"/>
    <w:rsid w:val="6EA16987"/>
    <w:rsid w:val="6F484143"/>
    <w:rsid w:val="6F574271"/>
    <w:rsid w:val="6F750F26"/>
    <w:rsid w:val="6F7B72E9"/>
    <w:rsid w:val="6F8445D4"/>
    <w:rsid w:val="6F8D5C1A"/>
    <w:rsid w:val="6F8E342E"/>
    <w:rsid w:val="6FA8133A"/>
    <w:rsid w:val="6FD27139"/>
    <w:rsid w:val="707100A7"/>
    <w:rsid w:val="70CD2B48"/>
    <w:rsid w:val="71126EE7"/>
    <w:rsid w:val="71654E27"/>
    <w:rsid w:val="719E73CE"/>
    <w:rsid w:val="71F6500C"/>
    <w:rsid w:val="72AB1549"/>
    <w:rsid w:val="72C2329A"/>
    <w:rsid w:val="737E24ED"/>
    <w:rsid w:val="74203020"/>
    <w:rsid w:val="7458054B"/>
    <w:rsid w:val="746C3508"/>
    <w:rsid w:val="757C043C"/>
    <w:rsid w:val="75B70A65"/>
    <w:rsid w:val="75DD542C"/>
    <w:rsid w:val="76134845"/>
    <w:rsid w:val="763922F4"/>
    <w:rsid w:val="76CB07F4"/>
    <w:rsid w:val="774B075C"/>
    <w:rsid w:val="77666D4C"/>
    <w:rsid w:val="77896DD2"/>
    <w:rsid w:val="782A7F03"/>
    <w:rsid w:val="79616DC4"/>
    <w:rsid w:val="79E820BE"/>
    <w:rsid w:val="79FA5A10"/>
    <w:rsid w:val="7A862644"/>
    <w:rsid w:val="7B4128F5"/>
    <w:rsid w:val="7B681A01"/>
    <w:rsid w:val="7B86410F"/>
    <w:rsid w:val="7BBF2845"/>
    <w:rsid w:val="7BD3539E"/>
    <w:rsid w:val="7C47478B"/>
    <w:rsid w:val="7CB42860"/>
    <w:rsid w:val="7D021F92"/>
    <w:rsid w:val="7E4442CD"/>
    <w:rsid w:val="7E6E2E4D"/>
    <w:rsid w:val="7EBE6F11"/>
    <w:rsid w:val="7EC40A46"/>
    <w:rsid w:val="7EE30DF1"/>
    <w:rsid w:val="7F1570B3"/>
    <w:rsid w:val="7F833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3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3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5"/>
    <w:basedOn w:val="1"/>
    <w:next w:val="8"/>
    <w:qFormat/>
    <w:uiPriority w:val="0"/>
    <w:pPr>
      <w:keepNext/>
      <w:keepLines/>
      <w:numPr>
        <w:ilvl w:val="4"/>
        <w:numId w:val="1"/>
      </w:numPr>
      <w:spacing w:before="280" w:after="290" w:line="376" w:lineRule="auto"/>
      <w:outlineLvl w:val="4"/>
    </w:pPr>
    <w:rPr>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570"/>
    </w:pPr>
    <w:rPr>
      <w:sz w:val="24"/>
    </w:r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a heading"/>
    <w:basedOn w:val="1"/>
    <w:next w:val="1"/>
    <w:qFormat/>
    <w:uiPriority w:val="0"/>
    <w:pPr>
      <w:widowControl/>
      <w:spacing w:before="120"/>
      <w:ind w:firstLine="3584"/>
    </w:pPr>
  </w:style>
  <w:style w:type="paragraph" w:styleId="10">
    <w:name w:val="annotation text"/>
    <w:basedOn w:val="1"/>
    <w:link w:val="40"/>
    <w:qFormat/>
    <w:uiPriority w:val="99"/>
    <w:pPr>
      <w:jc w:val="left"/>
    </w:pPr>
  </w:style>
  <w:style w:type="paragraph" w:styleId="11">
    <w:name w:val="Body Text"/>
    <w:basedOn w:val="1"/>
    <w:next w:val="12"/>
    <w:link w:val="41"/>
    <w:qFormat/>
    <w:uiPriority w:val="0"/>
    <w:pPr>
      <w:tabs>
        <w:tab w:val="left" w:pos="567"/>
      </w:tabs>
      <w:spacing w:before="120" w:line="22" w:lineRule="atLeast"/>
    </w:pPr>
    <w:rPr>
      <w:rFonts w:ascii="宋体" w:hAnsi="宋体"/>
      <w:sz w:val="24"/>
    </w:rPr>
  </w:style>
  <w:style w:type="paragraph" w:styleId="12">
    <w:name w:val="Body Text First Indent"/>
    <w:basedOn w:val="11"/>
    <w:next w:val="1"/>
    <w:qFormat/>
    <w:uiPriority w:val="0"/>
    <w:pPr>
      <w:ind w:firstLine="420" w:firstLineChars="100"/>
    </w:pPr>
  </w:style>
  <w:style w:type="paragraph" w:styleId="13">
    <w:name w:val="toc 3"/>
    <w:basedOn w:val="1"/>
    <w:next w:val="1"/>
    <w:qFormat/>
    <w:uiPriority w:val="39"/>
    <w:pPr>
      <w:ind w:left="840" w:leftChars="400"/>
    </w:pPr>
  </w:style>
  <w:style w:type="paragraph" w:styleId="14">
    <w:name w:val="Plain Text"/>
    <w:basedOn w:val="1"/>
    <w:next w:val="1"/>
    <w:link w:val="44"/>
    <w:qFormat/>
    <w:uiPriority w:val="0"/>
    <w:rPr>
      <w:rFonts w:ascii="宋体" w:hAnsi="Courier New"/>
      <w:szCs w:val="20"/>
    </w:rPr>
  </w:style>
  <w:style w:type="paragraph" w:styleId="15">
    <w:name w:val="Date"/>
    <w:basedOn w:val="1"/>
    <w:next w:val="1"/>
    <w:link w:val="46"/>
    <w:qFormat/>
    <w:uiPriority w:val="0"/>
    <w:pPr>
      <w:ind w:left="100" w:leftChars="2500"/>
    </w:pPr>
    <w:rPr>
      <w:rFonts w:ascii="仿宋_GB2312" w:hAnsi="宋体" w:eastAsia="仿宋_GB2312"/>
      <w:color w:val="000000"/>
      <w:sz w:val="24"/>
    </w:rPr>
  </w:style>
  <w:style w:type="paragraph" w:styleId="16">
    <w:name w:val="Body Text Indent 2"/>
    <w:basedOn w:val="1"/>
    <w:qFormat/>
    <w:uiPriority w:val="0"/>
    <w:pPr>
      <w:ind w:firstLine="480" w:firstLineChars="200"/>
    </w:pPr>
    <w:rPr>
      <w:rFonts w:ascii="仿宋_GB2312" w:eastAsia="仿宋_GB2312"/>
      <w:sz w:val="24"/>
    </w:rPr>
  </w:style>
  <w:style w:type="paragraph" w:styleId="17">
    <w:name w:val="Balloon Text"/>
    <w:basedOn w:val="1"/>
    <w:link w:val="47"/>
    <w:qFormat/>
    <w:uiPriority w:val="0"/>
    <w:rPr>
      <w:sz w:val="18"/>
      <w:szCs w:val="18"/>
    </w:rPr>
  </w:style>
  <w:style w:type="paragraph" w:styleId="18">
    <w:name w:val="footer"/>
    <w:basedOn w:val="1"/>
    <w:link w:val="4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9">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footnote text"/>
    <w:basedOn w:val="1"/>
    <w:qFormat/>
    <w:uiPriority w:val="0"/>
    <w:pPr>
      <w:snapToGrid w:val="0"/>
      <w:jc w:val="left"/>
    </w:pPr>
    <w:rPr>
      <w:sz w:val="18"/>
    </w:rPr>
  </w:style>
  <w:style w:type="paragraph" w:styleId="22">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3">
    <w:name w:val="toc 2"/>
    <w:basedOn w:val="1"/>
    <w:next w:val="1"/>
    <w:qFormat/>
    <w:uiPriority w:val="39"/>
    <w:pPr>
      <w:ind w:left="420" w:leftChars="200"/>
    </w:pPr>
  </w:style>
  <w:style w:type="paragraph" w:styleId="24">
    <w:name w:val="Body Text 2"/>
    <w:basedOn w:val="1"/>
    <w:qFormat/>
    <w:uiPriority w:val="0"/>
    <w:pPr>
      <w:spacing w:after="120" w:line="480" w:lineRule="auto"/>
    </w:pPr>
  </w:style>
  <w:style w:type="paragraph" w:styleId="25">
    <w:name w:val="Normal (Web)"/>
    <w:basedOn w:val="1"/>
    <w:qFormat/>
    <w:uiPriority w:val="99"/>
    <w:pPr>
      <w:widowControl/>
      <w:spacing w:before="100" w:beforeAutospacing="1" w:after="100" w:afterAutospacing="1"/>
      <w:jc w:val="left"/>
    </w:pPr>
  </w:style>
  <w:style w:type="paragraph" w:styleId="26">
    <w:name w:val="index 1"/>
    <w:basedOn w:val="1"/>
    <w:next w:val="1"/>
    <w:semiHidden/>
    <w:qFormat/>
    <w:uiPriority w:val="0"/>
    <w:rPr>
      <w:szCs w:val="20"/>
    </w:rPr>
  </w:style>
  <w:style w:type="paragraph" w:styleId="27">
    <w:name w:val="annotation subject"/>
    <w:basedOn w:val="10"/>
    <w:next w:val="10"/>
    <w:link w:val="55"/>
    <w:qFormat/>
    <w:uiPriority w:val="0"/>
    <w:rPr>
      <w:b/>
      <w:bCs/>
    </w:rPr>
  </w:style>
  <w:style w:type="table" w:styleId="2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31">
    <w:name w:val="Strong"/>
    <w:basedOn w:val="30"/>
    <w:qFormat/>
    <w:uiPriority w:val="22"/>
    <w:rPr>
      <w:b/>
      <w:bCs/>
    </w:rPr>
  </w:style>
  <w:style w:type="character" w:styleId="32">
    <w:name w:val="page number"/>
    <w:qFormat/>
    <w:uiPriority w:val="0"/>
  </w:style>
  <w:style w:type="character" w:styleId="33">
    <w:name w:val="Hyperlink"/>
    <w:basedOn w:val="30"/>
    <w:qFormat/>
    <w:uiPriority w:val="99"/>
    <w:rPr>
      <w:color w:val="0000FF"/>
      <w:u w:val="single"/>
    </w:rPr>
  </w:style>
  <w:style w:type="character" w:styleId="34">
    <w:name w:val="annotation reference"/>
    <w:qFormat/>
    <w:uiPriority w:val="99"/>
    <w:rPr>
      <w:sz w:val="21"/>
      <w:szCs w:val="21"/>
    </w:rPr>
  </w:style>
  <w:style w:type="paragraph" w:customStyle="1" w:styleId="35">
    <w:name w:val="正文首行缩进1"/>
    <w:basedOn w:val="11"/>
    <w:next w:val="1"/>
    <w:unhideWhenUsed/>
    <w:qFormat/>
    <w:uiPriority w:val="99"/>
    <w:pPr>
      <w:ind w:firstLine="420" w:firstLineChars="100"/>
    </w:pPr>
  </w:style>
  <w:style w:type="character" w:customStyle="1" w:styleId="36">
    <w:name w:val="标题 1 字符"/>
    <w:link w:val="4"/>
    <w:qFormat/>
    <w:uiPriority w:val="0"/>
    <w:rPr>
      <w:rFonts w:ascii="宋体"/>
      <w:b/>
      <w:kern w:val="44"/>
      <w:sz w:val="32"/>
    </w:rPr>
  </w:style>
  <w:style w:type="character" w:customStyle="1" w:styleId="37">
    <w:name w:val="标题 2 字符"/>
    <w:link w:val="5"/>
    <w:qFormat/>
    <w:uiPriority w:val="0"/>
    <w:rPr>
      <w:rFonts w:ascii="Arial" w:hAnsi="Arial" w:eastAsia="黑体"/>
      <w:b/>
      <w:sz w:val="30"/>
    </w:rPr>
  </w:style>
  <w:style w:type="character" w:customStyle="1" w:styleId="38">
    <w:name w:val="标题 3 字符"/>
    <w:link w:val="6"/>
    <w:qFormat/>
    <w:uiPriority w:val="0"/>
    <w:rPr>
      <w:rFonts w:ascii="宋体"/>
      <w:b/>
      <w:sz w:val="24"/>
      <w:u w:val="single"/>
    </w:rPr>
  </w:style>
  <w:style w:type="paragraph" w:customStyle="1" w:styleId="39">
    <w:name w:val="目录 71"/>
    <w:basedOn w:val="1"/>
    <w:next w:val="1"/>
    <w:qFormat/>
    <w:uiPriority w:val="39"/>
    <w:pPr>
      <w:ind w:left="2520" w:leftChars="1200"/>
    </w:pPr>
  </w:style>
  <w:style w:type="character" w:customStyle="1" w:styleId="40">
    <w:name w:val="批注文字 字符"/>
    <w:link w:val="10"/>
    <w:qFormat/>
    <w:uiPriority w:val="99"/>
    <w:rPr>
      <w:kern w:val="2"/>
      <w:sz w:val="21"/>
      <w:szCs w:val="24"/>
    </w:rPr>
  </w:style>
  <w:style w:type="character" w:customStyle="1" w:styleId="41">
    <w:name w:val="正文文本 字符"/>
    <w:link w:val="11"/>
    <w:qFormat/>
    <w:uiPriority w:val="0"/>
    <w:rPr>
      <w:rFonts w:ascii="宋体" w:hAnsi="宋体"/>
      <w:kern w:val="2"/>
      <w:sz w:val="24"/>
      <w:szCs w:val="24"/>
    </w:rPr>
  </w:style>
  <w:style w:type="paragraph" w:customStyle="1" w:styleId="42">
    <w:name w:val="目录 51"/>
    <w:basedOn w:val="1"/>
    <w:next w:val="1"/>
    <w:qFormat/>
    <w:uiPriority w:val="39"/>
    <w:pPr>
      <w:ind w:left="1680" w:leftChars="800"/>
    </w:pPr>
  </w:style>
  <w:style w:type="paragraph" w:customStyle="1" w:styleId="43">
    <w:name w:val="目录 31"/>
    <w:basedOn w:val="1"/>
    <w:next w:val="1"/>
    <w:qFormat/>
    <w:uiPriority w:val="39"/>
    <w:pPr>
      <w:tabs>
        <w:tab w:val="left" w:pos="1260"/>
        <w:tab w:val="right" w:leader="dot" w:pos="8630"/>
      </w:tabs>
      <w:ind w:left="840" w:leftChars="400"/>
    </w:pPr>
  </w:style>
  <w:style w:type="character" w:customStyle="1" w:styleId="44">
    <w:name w:val="纯文本 字符"/>
    <w:link w:val="14"/>
    <w:qFormat/>
    <w:uiPriority w:val="0"/>
    <w:rPr>
      <w:rFonts w:ascii="宋体" w:hAnsi="Courier New"/>
      <w:kern w:val="2"/>
      <w:sz w:val="21"/>
    </w:rPr>
  </w:style>
  <w:style w:type="paragraph" w:customStyle="1" w:styleId="45">
    <w:name w:val="目录 81"/>
    <w:basedOn w:val="1"/>
    <w:next w:val="1"/>
    <w:qFormat/>
    <w:uiPriority w:val="39"/>
    <w:pPr>
      <w:ind w:left="2940" w:leftChars="1400"/>
    </w:pPr>
  </w:style>
  <w:style w:type="character" w:customStyle="1" w:styleId="46">
    <w:name w:val="日期 字符"/>
    <w:link w:val="15"/>
    <w:qFormat/>
    <w:uiPriority w:val="0"/>
    <w:rPr>
      <w:rFonts w:ascii="仿宋_GB2312" w:hAnsi="宋体" w:eastAsia="仿宋_GB2312"/>
      <w:color w:val="000000"/>
      <w:kern w:val="2"/>
      <w:sz w:val="24"/>
      <w:szCs w:val="24"/>
    </w:rPr>
  </w:style>
  <w:style w:type="character" w:customStyle="1" w:styleId="47">
    <w:name w:val="批注框文本 字符"/>
    <w:link w:val="17"/>
    <w:qFormat/>
    <w:uiPriority w:val="0"/>
    <w:rPr>
      <w:kern w:val="2"/>
      <w:sz w:val="18"/>
      <w:szCs w:val="18"/>
    </w:rPr>
  </w:style>
  <w:style w:type="character" w:customStyle="1" w:styleId="48">
    <w:name w:val="页脚 字符"/>
    <w:link w:val="18"/>
    <w:qFormat/>
    <w:uiPriority w:val="99"/>
    <w:rPr>
      <w:rFonts w:ascii="宋体"/>
      <w:sz w:val="18"/>
    </w:rPr>
  </w:style>
  <w:style w:type="character" w:customStyle="1" w:styleId="49">
    <w:name w:val="页眉 字符"/>
    <w:link w:val="19"/>
    <w:qFormat/>
    <w:uiPriority w:val="0"/>
    <w:rPr>
      <w:kern w:val="2"/>
      <w:sz w:val="18"/>
      <w:szCs w:val="18"/>
    </w:rPr>
  </w:style>
  <w:style w:type="paragraph" w:customStyle="1" w:styleId="50">
    <w:name w:val="目录 11"/>
    <w:basedOn w:val="1"/>
    <w:next w:val="1"/>
    <w:qFormat/>
    <w:uiPriority w:val="39"/>
  </w:style>
  <w:style w:type="paragraph" w:customStyle="1" w:styleId="51">
    <w:name w:val="目录 41"/>
    <w:basedOn w:val="1"/>
    <w:next w:val="1"/>
    <w:qFormat/>
    <w:uiPriority w:val="39"/>
    <w:pPr>
      <w:ind w:left="1260" w:leftChars="600"/>
    </w:pPr>
  </w:style>
  <w:style w:type="paragraph" w:customStyle="1" w:styleId="52">
    <w:name w:val="目录 61"/>
    <w:basedOn w:val="1"/>
    <w:next w:val="1"/>
    <w:qFormat/>
    <w:uiPriority w:val="39"/>
    <w:pPr>
      <w:ind w:left="2100" w:leftChars="1000"/>
    </w:pPr>
  </w:style>
  <w:style w:type="paragraph" w:customStyle="1" w:styleId="53">
    <w:name w:val="目录 21"/>
    <w:basedOn w:val="1"/>
    <w:next w:val="1"/>
    <w:qFormat/>
    <w:uiPriority w:val="39"/>
    <w:pPr>
      <w:ind w:left="420" w:leftChars="200"/>
    </w:pPr>
  </w:style>
  <w:style w:type="paragraph" w:customStyle="1" w:styleId="54">
    <w:name w:val="目录 91"/>
    <w:basedOn w:val="1"/>
    <w:next w:val="1"/>
    <w:qFormat/>
    <w:uiPriority w:val="39"/>
    <w:pPr>
      <w:ind w:left="3360" w:leftChars="1600"/>
    </w:pPr>
  </w:style>
  <w:style w:type="character" w:customStyle="1" w:styleId="55">
    <w:name w:val="批注主题 字符"/>
    <w:link w:val="27"/>
    <w:qFormat/>
    <w:uiPriority w:val="0"/>
    <w:rPr>
      <w:b/>
      <w:bCs/>
      <w:kern w:val="2"/>
      <w:sz w:val="21"/>
      <w:szCs w:val="24"/>
    </w:rPr>
  </w:style>
  <w:style w:type="character" w:customStyle="1" w:styleId="56">
    <w:name w:val="font112"/>
    <w:qFormat/>
    <w:uiPriority w:val="0"/>
    <w:rPr>
      <w:rFonts w:hint="default" w:ascii="Times New Roman" w:hAnsi="Times New Roman" w:cs="Times New Roman"/>
      <w:color w:val="000000"/>
      <w:sz w:val="20"/>
      <w:szCs w:val="20"/>
      <w:u w:val="none"/>
    </w:rPr>
  </w:style>
  <w:style w:type="character" w:customStyle="1" w:styleId="57">
    <w:name w:val="批注框文本 Char1"/>
    <w:semiHidden/>
    <w:qFormat/>
    <w:uiPriority w:val="99"/>
    <w:rPr>
      <w:kern w:val="2"/>
      <w:sz w:val="18"/>
      <w:szCs w:val="18"/>
    </w:rPr>
  </w:style>
  <w:style w:type="character" w:customStyle="1" w:styleId="58">
    <w:name w:val="批注主题 Char1"/>
    <w:semiHidden/>
    <w:qFormat/>
    <w:uiPriority w:val="99"/>
    <w:rPr>
      <w:b/>
      <w:bCs/>
      <w:kern w:val="2"/>
      <w:sz w:val="21"/>
      <w:szCs w:val="24"/>
    </w:rPr>
  </w:style>
  <w:style w:type="character" w:customStyle="1" w:styleId="59">
    <w:name w:val="纯文本 Char1"/>
    <w:link w:val="60"/>
    <w:qFormat/>
    <w:uiPriority w:val="0"/>
    <w:rPr>
      <w:rFonts w:ascii="宋体" w:hAnsi="Courier New"/>
    </w:rPr>
  </w:style>
  <w:style w:type="paragraph" w:customStyle="1" w:styleId="60">
    <w:name w:val="纯文本1"/>
    <w:basedOn w:val="1"/>
    <w:link w:val="59"/>
    <w:qFormat/>
    <w:uiPriority w:val="0"/>
    <w:rPr>
      <w:rFonts w:ascii="宋体" w:hAnsi="Courier New"/>
      <w:kern w:val="0"/>
      <w:sz w:val="20"/>
      <w:szCs w:val="20"/>
    </w:rPr>
  </w:style>
  <w:style w:type="character" w:customStyle="1" w:styleId="61">
    <w:name w:val="批注文字 Char1"/>
    <w:semiHidden/>
    <w:qFormat/>
    <w:uiPriority w:val="99"/>
    <w:rPr>
      <w:kern w:val="2"/>
      <w:sz w:val="21"/>
      <w:szCs w:val="24"/>
    </w:rPr>
  </w:style>
  <w:style w:type="character" w:customStyle="1" w:styleId="62">
    <w:name w:val="font21"/>
    <w:qFormat/>
    <w:uiPriority w:val="0"/>
    <w:rPr>
      <w:rFonts w:hint="eastAsia" w:ascii="宋体" w:hAnsi="宋体" w:eastAsia="宋体" w:cs="宋体"/>
      <w:color w:val="000000"/>
      <w:sz w:val="20"/>
      <w:szCs w:val="20"/>
      <w:u w:val="none"/>
    </w:rPr>
  </w:style>
  <w:style w:type="character" w:customStyle="1" w:styleId="63">
    <w:name w:val="font41"/>
    <w:qFormat/>
    <w:uiPriority w:val="0"/>
    <w:rPr>
      <w:rFonts w:hint="eastAsia" w:ascii="宋体" w:hAnsi="宋体" w:eastAsia="宋体" w:cs="宋体"/>
      <w:color w:val="000000"/>
      <w:sz w:val="20"/>
      <w:szCs w:val="20"/>
      <w:u w:val="none"/>
    </w:rPr>
  </w:style>
  <w:style w:type="character" w:customStyle="1" w:styleId="64">
    <w:name w:val="页眉 Char1"/>
    <w:semiHidden/>
    <w:qFormat/>
    <w:uiPriority w:val="99"/>
    <w:rPr>
      <w:kern w:val="2"/>
      <w:sz w:val="18"/>
      <w:szCs w:val="18"/>
    </w:rPr>
  </w:style>
  <w:style w:type="character" w:customStyle="1" w:styleId="65">
    <w:name w:val="正文缩进 Char1"/>
    <w:link w:val="66"/>
    <w:qFormat/>
    <w:uiPriority w:val="0"/>
    <w:rPr>
      <w:rFonts w:ascii="宋体"/>
      <w:sz w:val="24"/>
    </w:rPr>
  </w:style>
  <w:style w:type="paragraph" w:customStyle="1" w:styleId="66">
    <w:name w:val="正文缩进1"/>
    <w:basedOn w:val="1"/>
    <w:link w:val="65"/>
    <w:qFormat/>
    <w:uiPriority w:val="0"/>
    <w:pPr>
      <w:autoSpaceDE w:val="0"/>
      <w:autoSpaceDN w:val="0"/>
      <w:adjustRightInd w:val="0"/>
      <w:ind w:firstLine="420"/>
      <w:jc w:val="left"/>
    </w:pPr>
    <w:rPr>
      <w:rFonts w:ascii="宋体"/>
      <w:kern w:val="0"/>
      <w:sz w:val="24"/>
      <w:szCs w:val="20"/>
    </w:rPr>
  </w:style>
  <w:style w:type="paragraph" w:customStyle="1" w:styleId="67">
    <w:name w:val="列出段落"/>
    <w:basedOn w:val="1"/>
    <w:qFormat/>
    <w:uiPriority w:val="34"/>
    <w:pPr>
      <w:widowControl/>
      <w:ind w:firstLine="420" w:firstLineChars="200"/>
      <w:jc w:val="left"/>
    </w:pPr>
    <w:rPr>
      <w:kern w:val="0"/>
      <w:sz w:val="24"/>
    </w:rPr>
  </w:style>
  <w:style w:type="paragraph" w:customStyle="1" w:styleId="68">
    <w:name w:val="Table Paragraph"/>
    <w:basedOn w:val="1"/>
    <w:qFormat/>
    <w:uiPriority w:val="1"/>
    <w:rPr>
      <w:rFonts w:ascii="宋体" w:hAnsi="宋体" w:cs="宋体"/>
      <w:lang w:val="zh-CN" w:bidi="zh-CN"/>
    </w:rPr>
  </w:style>
  <w:style w:type="paragraph" w:customStyle="1" w:styleId="69">
    <w:name w:val="索引 11"/>
    <w:basedOn w:val="1"/>
    <w:next w:val="1"/>
    <w:qFormat/>
    <w:uiPriority w:val="0"/>
    <w:pPr>
      <w:spacing w:line="360" w:lineRule="auto"/>
    </w:pPr>
    <w:rPr>
      <w:rFonts w:ascii="仿宋_GB2312" w:eastAsia="仿宋_GB2312"/>
      <w:sz w:val="24"/>
      <w:szCs w:val="20"/>
    </w:rPr>
  </w:style>
  <w:style w:type="paragraph" w:customStyle="1" w:styleId="70">
    <w:name w:val="段"/>
    <w:next w:val="1"/>
    <w:qFormat/>
    <w:uiPriority w:val="0"/>
    <w:pPr>
      <w:autoSpaceDE w:val="0"/>
      <w:autoSpaceDN w:val="0"/>
      <w:ind w:firstLine="420" w:firstLineChars="200"/>
      <w:jc w:val="both"/>
    </w:pPr>
    <w:rPr>
      <w:rFonts w:ascii="宋体" w:hAnsi="Times New Roman" w:eastAsia="宋体" w:cs="Times New Roman"/>
      <w:kern w:val="2"/>
      <w:sz w:val="21"/>
      <w:szCs w:val="21"/>
      <w:lang w:val="en-US" w:eastAsia="zh-CN" w:bidi="ar-SA"/>
    </w:rPr>
  </w:style>
  <w:style w:type="paragraph" w:customStyle="1" w:styleId="71">
    <w:name w:val="列出段落1"/>
    <w:basedOn w:val="1"/>
    <w:qFormat/>
    <w:uiPriority w:val="99"/>
    <w:pPr>
      <w:ind w:firstLine="420" w:firstLineChars="200"/>
    </w:pPr>
  </w:style>
  <w:style w:type="paragraph" w:customStyle="1" w:styleId="72">
    <w:name w:val="_Style 2"/>
    <w:basedOn w:val="4"/>
    <w:next w:val="1"/>
    <w:qFormat/>
    <w:uiPriority w:val="39"/>
    <w:pPr>
      <w:spacing w:before="480" w:line="276" w:lineRule="auto"/>
      <w:outlineLvl w:val="9"/>
    </w:pPr>
    <w:rPr>
      <w:rFonts w:ascii="仿宋" w:hAnsi="仿宋" w:eastAsia="仿宋"/>
      <w:color w:val="000000"/>
    </w:rPr>
  </w:style>
  <w:style w:type="paragraph" w:customStyle="1" w:styleId="73">
    <w:name w:val="Char"/>
    <w:basedOn w:val="1"/>
    <w:qFormat/>
    <w:uiPriority w:val="0"/>
    <w:pPr>
      <w:tabs>
        <w:tab w:val="left" w:pos="360"/>
      </w:tabs>
    </w:pPr>
    <w:rPr>
      <w:sz w:val="24"/>
    </w:rPr>
  </w:style>
  <w:style w:type="paragraph" w:customStyle="1" w:styleId="7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76">
    <w:name w:val="正文1"/>
    <w:qFormat/>
    <w:uiPriority w:val="0"/>
    <w:pPr>
      <w:widowControl w:val="0"/>
      <w:spacing w:line="360" w:lineRule="auto"/>
    </w:pPr>
    <w:rPr>
      <w:rFonts w:ascii="宋体" w:hAnsi="宋体" w:eastAsia="宋体" w:cs="Times New Roman"/>
      <w:kern w:val="2"/>
      <w:sz w:val="21"/>
      <w:szCs w:val="24"/>
      <w:lang w:val="en-US" w:eastAsia="zh-CN" w:bidi="ar-SA"/>
    </w:rPr>
  </w:style>
  <w:style w:type="paragraph" w:customStyle="1" w:styleId="77">
    <w:name w:val="正文格式"/>
    <w:basedOn w:val="1"/>
    <w:qFormat/>
    <w:uiPriority w:val="99"/>
    <w:pPr>
      <w:widowControl/>
      <w:adjustRightInd w:val="0"/>
      <w:snapToGrid w:val="0"/>
      <w:spacing w:line="400" w:lineRule="atLeast"/>
      <w:ind w:firstLine="482"/>
      <w:textAlignment w:val="baseline"/>
    </w:pPr>
    <w:rPr>
      <w:kern w:val="0"/>
      <w:sz w:val="24"/>
    </w:rPr>
  </w:style>
  <w:style w:type="paragraph" w:customStyle="1" w:styleId="78">
    <w:name w:val="列出段落2"/>
    <w:basedOn w:val="1"/>
    <w:qFormat/>
    <w:uiPriority w:val="34"/>
    <w:pPr>
      <w:widowControl/>
      <w:ind w:firstLine="420" w:firstLineChars="200"/>
      <w:jc w:val="left"/>
    </w:pPr>
    <w:rPr>
      <w:kern w:val="0"/>
      <w:sz w:val="24"/>
    </w:rPr>
  </w:style>
  <w:style w:type="paragraph" w:customStyle="1" w:styleId="79">
    <w:name w:val="Heading1"/>
    <w:basedOn w:val="1"/>
    <w:next w:val="1"/>
    <w:qFormat/>
    <w:uiPriority w:val="0"/>
    <w:pPr>
      <w:keepNext/>
      <w:keepLines/>
      <w:spacing w:before="240" w:after="120" w:line="300" w:lineRule="auto"/>
      <w:jc w:val="center"/>
      <w:textAlignment w:val="baseline"/>
    </w:pPr>
    <w:rPr>
      <w:rFonts w:ascii="宋体"/>
      <w:b/>
      <w:kern w:val="44"/>
      <w:sz w:val="32"/>
      <w:szCs w:val="20"/>
    </w:rPr>
  </w:style>
  <w:style w:type="character" w:customStyle="1" w:styleId="80">
    <w:name w:val="font31"/>
    <w:qFormat/>
    <w:uiPriority w:val="0"/>
    <w:rPr>
      <w:rFonts w:hint="eastAsia" w:ascii="宋体" w:hAnsi="宋体" w:eastAsia="宋体" w:cs="宋体"/>
      <w:color w:val="000000"/>
      <w:sz w:val="32"/>
      <w:szCs w:val="32"/>
      <w:u w:val="none"/>
    </w:rPr>
  </w:style>
  <w:style w:type="character" w:customStyle="1" w:styleId="81">
    <w:name w:val="font71"/>
    <w:qFormat/>
    <w:uiPriority w:val="0"/>
    <w:rPr>
      <w:rFonts w:hint="eastAsia" w:ascii="宋体" w:hAnsi="宋体" w:eastAsia="宋体" w:cs="宋体"/>
      <w:color w:val="000000"/>
      <w:sz w:val="32"/>
      <w:szCs w:val="32"/>
      <w:u w:val="none"/>
      <w:vertAlign w:val="superscript"/>
    </w:rPr>
  </w:style>
  <w:style w:type="character" w:customStyle="1" w:styleId="82">
    <w:name w:val="font81"/>
    <w:qFormat/>
    <w:uiPriority w:val="0"/>
    <w:rPr>
      <w:rFonts w:ascii="Arial" w:hAnsi="Arial" w:cs="Arial"/>
      <w:color w:val="000000"/>
      <w:sz w:val="32"/>
      <w:szCs w:val="32"/>
      <w:u w:val="none"/>
    </w:rPr>
  </w:style>
  <w:style w:type="character" w:customStyle="1" w:styleId="83">
    <w:name w:val="font61"/>
    <w:qFormat/>
    <w:uiPriority w:val="0"/>
    <w:rPr>
      <w:rFonts w:hint="eastAsia" w:ascii="宋体" w:hAnsi="宋体" w:eastAsia="宋体" w:cs="宋体"/>
      <w:color w:val="000000"/>
      <w:sz w:val="32"/>
      <w:szCs w:val="32"/>
      <w:u w:val="none"/>
    </w:rPr>
  </w:style>
  <w:style w:type="character" w:customStyle="1" w:styleId="84">
    <w:name w:val="font91"/>
    <w:qFormat/>
    <w:uiPriority w:val="0"/>
    <w:rPr>
      <w:rFonts w:ascii="Calibri" w:hAnsi="Calibri" w:cs="Calibri"/>
      <w:color w:val="000000"/>
      <w:sz w:val="32"/>
      <w:szCs w:val="32"/>
      <w:u w:val="none"/>
    </w:rPr>
  </w:style>
  <w:style w:type="character" w:customStyle="1" w:styleId="85">
    <w:name w:val="font101"/>
    <w:qFormat/>
    <w:uiPriority w:val="0"/>
    <w:rPr>
      <w:rFonts w:hint="default" w:ascii="Calibri" w:hAnsi="Calibri" w:cs="Calibri"/>
      <w:color w:val="000000"/>
      <w:sz w:val="32"/>
      <w:szCs w:val="32"/>
      <w:u w:val="none"/>
      <w:vertAlign w:val="superscript"/>
    </w:rPr>
  </w:style>
  <w:style w:type="character" w:customStyle="1" w:styleId="86">
    <w:name w:val="font121"/>
    <w:qFormat/>
    <w:uiPriority w:val="0"/>
    <w:rPr>
      <w:rFonts w:hint="default" w:ascii="Calibri" w:hAnsi="Calibri" w:cs="Calibri"/>
      <w:color w:val="000000"/>
      <w:sz w:val="32"/>
      <w:szCs w:val="32"/>
      <w:u w:val="none"/>
    </w:rPr>
  </w:style>
  <w:style w:type="character" w:customStyle="1" w:styleId="87">
    <w:name w:val="font131"/>
    <w:qFormat/>
    <w:uiPriority w:val="0"/>
    <w:rPr>
      <w:rFonts w:hint="default" w:ascii="Calibri" w:hAnsi="Calibri" w:cs="Calibri"/>
      <w:color w:val="FF0000"/>
      <w:sz w:val="32"/>
      <w:szCs w:val="32"/>
      <w:u w:val="none"/>
    </w:rPr>
  </w:style>
  <w:style w:type="character" w:customStyle="1" w:styleId="88">
    <w:name w:val="font11"/>
    <w:basedOn w:val="30"/>
    <w:qFormat/>
    <w:uiPriority w:val="0"/>
    <w:rPr>
      <w:rFonts w:hint="eastAsia" w:ascii="宋体" w:hAnsi="宋体" w:eastAsia="宋体" w:cs="宋体"/>
      <w:color w:val="000000"/>
      <w:sz w:val="32"/>
      <w:szCs w:val="32"/>
      <w:u w:val="none"/>
    </w:rPr>
  </w:style>
  <w:style w:type="character" w:customStyle="1" w:styleId="89">
    <w:name w:val="font151"/>
    <w:qFormat/>
    <w:uiPriority w:val="0"/>
    <w:rPr>
      <w:rFonts w:hint="default" w:ascii="Calibri" w:hAnsi="Calibri" w:cs="Calibri"/>
      <w:color w:val="000000"/>
      <w:sz w:val="32"/>
      <w:szCs w:val="32"/>
      <w:u w:val="none"/>
    </w:rPr>
  </w:style>
  <w:style w:type="character" w:customStyle="1" w:styleId="90">
    <w:name w:val="font161"/>
    <w:qFormat/>
    <w:uiPriority w:val="0"/>
    <w:rPr>
      <w:rFonts w:hint="default" w:ascii="Calibri" w:hAnsi="Calibri" w:cs="Calibri"/>
      <w:color w:val="FF0000"/>
      <w:sz w:val="32"/>
      <w:szCs w:val="32"/>
      <w:u w:val="none"/>
    </w:rPr>
  </w:style>
  <w:style w:type="character" w:customStyle="1" w:styleId="91">
    <w:name w:val="font51"/>
    <w:qFormat/>
    <w:uiPriority w:val="0"/>
    <w:rPr>
      <w:rFonts w:hint="eastAsia" w:ascii="宋体" w:hAnsi="宋体" w:eastAsia="宋体" w:cs="宋体"/>
      <w:color w:val="FF0000"/>
      <w:sz w:val="32"/>
      <w:szCs w:val="32"/>
      <w:u w:val="none"/>
    </w:rPr>
  </w:style>
  <w:style w:type="character" w:customStyle="1" w:styleId="92">
    <w:name w:val="font01"/>
    <w:basedOn w:val="30"/>
    <w:qFormat/>
    <w:uiPriority w:val="0"/>
    <w:rPr>
      <w:rFonts w:ascii="Wingdings 2" w:hAnsi="Wingdings 2" w:eastAsia="Wingdings 2" w:cs="Wingdings 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emf"/><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11692</Words>
  <Characters>66649</Characters>
  <Lines>555</Lines>
  <Paragraphs>156</Paragraphs>
  <TotalTime>3</TotalTime>
  <ScaleCrop>false</ScaleCrop>
  <LinksUpToDate>false</LinksUpToDate>
  <CharactersWithSpaces>78185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2023-05-10T10:31:00Z</dcterms:created>
  <dc:creator>USER-</dc:creator>
  <cp:lastModifiedBy>心若向阳</cp:lastModifiedBy>
  <cp:lastPrinted>2017-09-28T07:16:00Z</cp:lastPrinted>
  <dcterms:modified xsi:type="dcterms:W3CDTF">2023-07-24T09:12:07Z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1FD5B415888D4BC59B6C5A881943EB16_13</vt:lpwstr>
  </property>
</Properties>
</file>